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11B81" w14:textId="03DDC542" w:rsidR="00C64BAB" w:rsidRDefault="00AD36C8" w:rsidP="00AD36C8">
      <w:pPr>
        <w:spacing w:after="0" w:line="240" w:lineRule="auto"/>
        <w:jc w:val="center"/>
        <w:rPr>
          <w:rFonts w:ascii="Times New Roman" w:eastAsia="Times New Roman" w:hAnsi="Times New Roman" w:cs="Times New Roman"/>
          <w:b/>
          <w:sz w:val="24"/>
          <w:szCs w:val="24"/>
        </w:rPr>
      </w:pPr>
      <w:r w:rsidRPr="00AD36C8">
        <w:rPr>
          <w:rFonts w:ascii="Times New Roman" w:eastAsia="Times New Roman" w:hAnsi="Times New Roman" w:cs="Times New Roman"/>
          <w:b/>
          <w:sz w:val="24"/>
          <w:szCs w:val="24"/>
        </w:rPr>
        <w:t>Green Accounting Practices and Financial Performance: Empirical Evidence from Listed Manufacturing Firms in Nigeria</w:t>
      </w:r>
    </w:p>
    <w:p w14:paraId="50087314" w14:textId="77777777" w:rsidR="00F636F9" w:rsidRPr="00F636F9" w:rsidRDefault="00F636F9" w:rsidP="00AA2362">
      <w:pPr>
        <w:pStyle w:val="NormalWeb"/>
        <w:spacing w:after="0" w:afterAutospacing="0"/>
        <w:jc w:val="both"/>
        <w:rPr>
          <w:b/>
        </w:rPr>
      </w:pPr>
      <w:r w:rsidRPr="00F636F9">
        <w:rPr>
          <w:b/>
        </w:rPr>
        <w:t>Abstract</w:t>
      </w:r>
    </w:p>
    <w:p w14:paraId="01953C85" w14:textId="56DFB18C" w:rsidR="00AA2362" w:rsidRPr="00AA2362" w:rsidRDefault="00CA01AE" w:rsidP="00AA2362">
      <w:pPr>
        <w:pStyle w:val="NormalWeb"/>
        <w:jc w:val="both"/>
      </w:pPr>
      <w:r w:rsidRPr="00CA01AE">
        <w:t>Green accounting integrates environmental costs into financial reporting, promoting sustainability alongside economic performance, especially in environmentally intensive sectors like transportation. It helps firms improve long-term financial performance, regulatory compliance, and environmental accountability while supporting global sustainability goals.</w:t>
      </w:r>
      <w:r>
        <w:t xml:space="preserve"> </w:t>
      </w:r>
      <w:r w:rsidR="00AA2362" w:rsidRPr="00AA2362">
        <w:t>This study investigates the effect of green accounting practices on the corporate performance of listed manufacturing firms in Nigeria, with particular focus on environmental waste management and pollution control practices. The study is premised on the growing demand for corporate environmental accountability and the need to ascertain whether sustainability-oriented reporting enhances financial outcomes.</w:t>
      </w:r>
      <w:r w:rsidR="00AA2362">
        <w:t xml:space="preserve"> </w:t>
      </w:r>
      <w:r w:rsidR="00AA2362" w:rsidRPr="00AA2362">
        <w:t>An ex-post facto research design was adopted, using secondary panel data obtained from the annual reports of ten purposively selected firms listed on the Nigerian Exchange Group (NGX) over the period 201</w:t>
      </w:r>
      <w:r w:rsidR="00AF5B9B">
        <w:t>1</w:t>
      </w:r>
      <w:r w:rsidR="00AA2362" w:rsidRPr="00AA2362">
        <w:t>–202</w:t>
      </w:r>
      <w:r w:rsidR="00AF5B9B">
        <w:t>5</w:t>
      </w:r>
      <w:r w:rsidR="00AA2362" w:rsidRPr="00AA2362">
        <w:t>. Descriptive statistics, correlation analysis, and panel regression techniques were employed to examine the relationships among the variables. Fixed Effects and Random Effects models were estimated, while the Dynamic Panel System Generalized Method of Moments (GMM) was applied to address potential endogeneity and firm-specific heterogeneity. The Hausman test supported the Fixed Effects model as the most appropriate specification.</w:t>
      </w:r>
      <w:r w:rsidR="00AA2362">
        <w:t xml:space="preserve"> T</w:t>
      </w:r>
      <w:r w:rsidR="00AA2362" w:rsidRPr="00AA2362">
        <w:t>he findings reveal that environmental waste management practices have a positive and statistically significant impact on return on assets (ROA) and return on equity (ROE), indicating that firms with stronger waste management transparency tend to achieve superior financial performance. The results further indicate that environmental pollution control practices are positively related to performance indicators.</w:t>
      </w:r>
    </w:p>
    <w:p w14:paraId="553F71FD" w14:textId="3C2F3040" w:rsidR="00AA2362" w:rsidRPr="00AA2362" w:rsidRDefault="00AA2362" w:rsidP="00AA2362">
      <w:pPr>
        <w:pStyle w:val="NormalWeb"/>
        <w:jc w:val="both"/>
      </w:pPr>
      <w:r w:rsidRPr="00AA2362">
        <w:t xml:space="preserve">The study concludes that effective green accounting practices enhance financial performance. This finding is consistent with the assumptions of the Resource-Based View (RBV) theory, which emphasizes the linkage between environmental practices and financial performance. </w:t>
      </w:r>
      <w:r w:rsidR="00AF5B9B" w:rsidRPr="00AF5B9B">
        <w:t>The implication of this study is that proactive environmental investments and transparent sustainability reporting can serve as strategic resources that improve competitiveness, strengthen stakeholder confidence, and promote long-term financial sustainability for manufacturing firms. The study therefore recommends t</w:t>
      </w:r>
      <w:r w:rsidRPr="00AA2362">
        <w:t>hat firms integrate environmental strategies into their operational frameworks and that policymakers enforce environmental practice regulations to ensure environmental accountability and sustainable profitability.</w:t>
      </w:r>
    </w:p>
    <w:p w14:paraId="5B559411" w14:textId="0F79438D" w:rsidR="00E57B83" w:rsidRDefault="00F636F9" w:rsidP="00F636F9">
      <w:pPr>
        <w:pStyle w:val="NormalWeb"/>
      </w:pPr>
      <w:r>
        <w:rPr>
          <w:rStyle w:val="Strong"/>
        </w:rPr>
        <w:t>Keywords:</w:t>
      </w:r>
      <w:r>
        <w:t xml:space="preserve"> Green Accounting, Environmental </w:t>
      </w:r>
      <w:r w:rsidR="001E4E58">
        <w:t>practice</w:t>
      </w:r>
      <w:r>
        <w:t>, Financial Performance, Panel Data.</w:t>
      </w:r>
    </w:p>
    <w:p w14:paraId="413D66A4" w14:textId="77777777" w:rsidR="00163C53" w:rsidRDefault="00163C53" w:rsidP="00E57B83">
      <w:pPr>
        <w:pStyle w:val="NormalWeb"/>
        <w:rPr>
          <w:b/>
        </w:rPr>
      </w:pPr>
    </w:p>
    <w:p w14:paraId="7D1E3ADF" w14:textId="0311141E" w:rsidR="00E57B83" w:rsidRPr="00E538F7" w:rsidRDefault="00E57B83" w:rsidP="00E57B83">
      <w:pPr>
        <w:pStyle w:val="NormalWeb"/>
        <w:rPr>
          <w:b/>
        </w:rPr>
      </w:pPr>
      <w:r>
        <w:rPr>
          <w:b/>
        </w:rPr>
        <w:t xml:space="preserve">1. </w:t>
      </w:r>
      <w:r w:rsidRPr="00E538F7">
        <w:rPr>
          <w:b/>
        </w:rPr>
        <w:t>Introduction</w:t>
      </w:r>
    </w:p>
    <w:p w14:paraId="7F5CE6E3" w14:textId="7885B871" w:rsidR="001E4E58" w:rsidRPr="001E4E58" w:rsidRDefault="001E4E58" w:rsidP="001E4E58">
      <w:pPr>
        <w:spacing w:before="100" w:beforeAutospacing="1" w:after="100" w:afterAutospacing="1" w:line="276" w:lineRule="auto"/>
        <w:jc w:val="both"/>
        <w:rPr>
          <w:rFonts w:ascii="Times New Roman" w:eastAsia="Times New Roman" w:hAnsi="Times New Roman" w:cs="Times New Roman"/>
          <w:sz w:val="24"/>
          <w:szCs w:val="24"/>
        </w:rPr>
      </w:pPr>
      <w:r w:rsidRPr="001E4E58">
        <w:rPr>
          <w:rFonts w:ascii="Times New Roman" w:eastAsia="Times New Roman" w:hAnsi="Times New Roman" w:cs="Times New Roman"/>
          <w:sz w:val="24"/>
          <w:szCs w:val="24"/>
        </w:rPr>
        <w:t xml:space="preserve">The increasing integration of sustainability into economic planning has triggered a paradigmatic shift in corporate and national reporting systems, with growing emphasis on ecological stewardship alongside profitability. Central to this transformation is green accounting, which incorporates environmental costs and externalities into conventional financial reporting </w:t>
      </w:r>
      <w:r w:rsidRPr="001E4E58">
        <w:rPr>
          <w:rFonts w:ascii="Times New Roman" w:eastAsia="Times New Roman" w:hAnsi="Times New Roman" w:cs="Times New Roman"/>
          <w:sz w:val="24"/>
          <w:szCs w:val="24"/>
        </w:rPr>
        <w:lastRenderedPageBreak/>
        <w:t>frameworks. This shift is particularly significant in environmentally intensive sectors such as transportation, where carbon emissions and environmental degradation remain pressing concerns (</w:t>
      </w:r>
      <w:r w:rsidR="00D25BE3">
        <w:rPr>
          <w:rFonts w:ascii="Times New Roman" w:eastAsia="Times New Roman" w:hAnsi="Times New Roman" w:cs="Times New Roman"/>
          <w:sz w:val="24"/>
          <w:szCs w:val="24"/>
        </w:rPr>
        <w:t>Roman</w:t>
      </w:r>
      <w:r w:rsidRPr="001E4E58">
        <w:rPr>
          <w:rFonts w:ascii="Times New Roman" w:eastAsia="Times New Roman" w:hAnsi="Times New Roman" w:cs="Times New Roman"/>
          <w:sz w:val="24"/>
          <w:szCs w:val="24"/>
        </w:rPr>
        <w:t>, 202</w:t>
      </w:r>
      <w:r w:rsidR="00D25BE3">
        <w:rPr>
          <w:rFonts w:ascii="Times New Roman" w:eastAsia="Times New Roman" w:hAnsi="Times New Roman" w:cs="Times New Roman"/>
          <w:sz w:val="24"/>
          <w:szCs w:val="24"/>
        </w:rPr>
        <w:t>2</w:t>
      </w:r>
      <w:r w:rsidRPr="001E4E58">
        <w:rPr>
          <w:rFonts w:ascii="Times New Roman" w:eastAsia="Times New Roman" w:hAnsi="Times New Roman" w:cs="Times New Roman"/>
          <w:sz w:val="24"/>
          <w:szCs w:val="24"/>
        </w:rPr>
        <w:t>). Global policy initiatives, notably the United Nations Sustainable Development Goals (SDGs), have further intensified the call for embedding environmental considerations into core business strategies, thereby elevating the relevance of green accounting across sectors (African Development Bank, 2023).</w:t>
      </w:r>
    </w:p>
    <w:p w14:paraId="2A128F72" w14:textId="119ABCD1" w:rsidR="001E4E58" w:rsidRPr="001E4E58" w:rsidRDefault="001E4E58" w:rsidP="001E4E58">
      <w:pPr>
        <w:spacing w:before="100" w:beforeAutospacing="1" w:after="100" w:afterAutospacing="1" w:line="276" w:lineRule="auto"/>
        <w:jc w:val="both"/>
        <w:rPr>
          <w:rFonts w:ascii="Times New Roman" w:eastAsia="Times New Roman" w:hAnsi="Times New Roman" w:cs="Times New Roman"/>
          <w:sz w:val="24"/>
          <w:szCs w:val="24"/>
        </w:rPr>
      </w:pPr>
      <w:r w:rsidRPr="001E4E58">
        <w:rPr>
          <w:rFonts w:ascii="Times New Roman" w:eastAsia="Times New Roman" w:hAnsi="Times New Roman" w:cs="Times New Roman"/>
          <w:sz w:val="24"/>
          <w:szCs w:val="24"/>
        </w:rPr>
        <w:t>Extant literature indicates that green accounting enhances long-term corporate sustainability by aligning environmental responsibility with economic performance (Chukka et al., 2024; Harif &amp; Natasha, 2024). In emerging economies such as Nigeria, where regulatory frameworks are still evolving, green accounting functions both as a compliance mechanism and a strategic instrument for attracting environmentally conscious investors (</w:t>
      </w:r>
      <w:r w:rsidR="00D25BE3" w:rsidRPr="001E4E58">
        <w:rPr>
          <w:rFonts w:ascii="Times New Roman" w:eastAsia="Times New Roman" w:hAnsi="Times New Roman" w:cs="Times New Roman"/>
          <w:sz w:val="24"/>
          <w:szCs w:val="24"/>
        </w:rPr>
        <w:t xml:space="preserve">Adebayo &amp; </w:t>
      </w:r>
      <w:proofErr w:type="spellStart"/>
      <w:r w:rsidR="00D25BE3" w:rsidRPr="001E4E58">
        <w:rPr>
          <w:rFonts w:ascii="Times New Roman" w:eastAsia="Times New Roman" w:hAnsi="Times New Roman" w:cs="Times New Roman"/>
          <w:sz w:val="24"/>
          <w:szCs w:val="24"/>
        </w:rPr>
        <w:t>Aworemi</w:t>
      </w:r>
      <w:proofErr w:type="spellEnd"/>
      <w:r w:rsidR="00D25BE3" w:rsidRPr="001E4E58">
        <w:rPr>
          <w:rFonts w:ascii="Times New Roman" w:eastAsia="Times New Roman" w:hAnsi="Times New Roman" w:cs="Times New Roman"/>
          <w:sz w:val="24"/>
          <w:szCs w:val="24"/>
        </w:rPr>
        <w:t>, 2021</w:t>
      </w:r>
      <w:r w:rsidRPr="001E4E58">
        <w:rPr>
          <w:rFonts w:ascii="Times New Roman" w:eastAsia="Times New Roman" w:hAnsi="Times New Roman" w:cs="Times New Roman"/>
          <w:sz w:val="24"/>
          <w:szCs w:val="24"/>
        </w:rPr>
        <w:t xml:space="preserve">; </w:t>
      </w:r>
      <w:r w:rsidR="0029029D" w:rsidRPr="001E4E58">
        <w:rPr>
          <w:rFonts w:ascii="Times New Roman" w:eastAsia="Times New Roman" w:hAnsi="Times New Roman" w:cs="Times New Roman"/>
          <w:sz w:val="24"/>
          <w:szCs w:val="24"/>
        </w:rPr>
        <w:t>Lawal, &amp; Bello, 2023</w:t>
      </w:r>
      <w:r w:rsidRPr="001E4E58">
        <w:rPr>
          <w:rFonts w:ascii="Times New Roman" w:eastAsia="Times New Roman" w:hAnsi="Times New Roman" w:cs="Times New Roman"/>
          <w:sz w:val="24"/>
          <w:szCs w:val="24"/>
        </w:rPr>
        <w:t>). These developments underscore the strategic imperative for firms—particularly in high-impact sectors like transportation—to institutionalize green accounting as an integral component of sustainable financial management rather than merely a regulatory obligation.</w:t>
      </w:r>
    </w:p>
    <w:p w14:paraId="2515E15B" w14:textId="06E2458C" w:rsidR="001E4E58" w:rsidRPr="001E4E58" w:rsidRDefault="001E4E58" w:rsidP="001E4E58">
      <w:pPr>
        <w:spacing w:before="100" w:beforeAutospacing="1" w:after="100" w:afterAutospacing="1" w:line="276" w:lineRule="auto"/>
        <w:jc w:val="both"/>
        <w:rPr>
          <w:rFonts w:ascii="Times New Roman" w:eastAsia="Times New Roman" w:hAnsi="Times New Roman" w:cs="Times New Roman"/>
          <w:sz w:val="24"/>
          <w:szCs w:val="24"/>
        </w:rPr>
      </w:pPr>
      <w:r w:rsidRPr="001E4E58">
        <w:rPr>
          <w:rFonts w:ascii="Times New Roman" w:eastAsia="Times New Roman" w:hAnsi="Times New Roman" w:cs="Times New Roman"/>
          <w:sz w:val="24"/>
          <w:szCs w:val="24"/>
        </w:rPr>
        <w:t>Concurrently, the financial implications of sustainability-driven initiatives have gained prominence in academic and policy discourse. Evidence suggests that firms with comprehensive environmental</w:t>
      </w:r>
      <w:r w:rsidR="00FD7697">
        <w:rPr>
          <w:rFonts w:ascii="Times New Roman" w:eastAsia="Times New Roman" w:hAnsi="Times New Roman" w:cs="Times New Roman"/>
          <w:sz w:val="24"/>
          <w:szCs w:val="24"/>
        </w:rPr>
        <w:t xml:space="preserve"> practice </w:t>
      </w:r>
      <w:r w:rsidRPr="001E4E58">
        <w:rPr>
          <w:rFonts w:ascii="Times New Roman" w:eastAsia="Times New Roman" w:hAnsi="Times New Roman" w:cs="Times New Roman"/>
          <w:sz w:val="24"/>
          <w:szCs w:val="24"/>
        </w:rPr>
        <w:t>and transparent green investment strategies often outperform their counterparts in long-term profitability metrics (</w:t>
      </w:r>
      <w:proofErr w:type="spellStart"/>
      <w:r w:rsidRPr="001E4E58">
        <w:rPr>
          <w:rFonts w:ascii="Times New Roman" w:eastAsia="Times New Roman" w:hAnsi="Times New Roman" w:cs="Times New Roman"/>
          <w:sz w:val="24"/>
          <w:szCs w:val="24"/>
        </w:rPr>
        <w:t>Adhania</w:t>
      </w:r>
      <w:proofErr w:type="spellEnd"/>
      <w:r w:rsidRPr="001E4E58">
        <w:rPr>
          <w:rFonts w:ascii="Times New Roman" w:eastAsia="Times New Roman" w:hAnsi="Times New Roman" w:cs="Times New Roman"/>
          <w:sz w:val="24"/>
          <w:szCs w:val="24"/>
        </w:rPr>
        <w:t xml:space="preserve"> &amp; </w:t>
      </w:r>
      <w:proofErr w:type="spellStart"/>
      <w:r w:rsidRPr="001E4E58">
        <w:rPr>
          <w:rFonts w:ascii="Times New Roman" w:eastAsia="Times New Roman" w:hAnsi="Times New Roman" w:cs="Times New Roman"/>
          <w:sz w:val="24"/>
          <w:szCs w:val="24"/>
        </w:rPr>
        <w:t>Nurdiana</w:t>
      </w:r>
      <w:proofErr w:type="spellEnd"/>
      <w:r w:rsidRPr="001E4E58">
        <w:rPr>
          <w:rFonts w:ascii="Times New Roman" w:eastAsia="Times New Roman" w:hAnsi="Times New Roman" w:cs="Times New Roman"/>
          <w:sz w:val="24"/>
          <w:szCs w:val="24"/>
        </w:rPr>
        <w:t xml:space="preserve">, 2024; Dura &amp; </w:t>
      </w:r>
      <w:proofErr w:type="spellStart"/>
      <w:r w:rsidRPr="001E4E58">
        <w:rPr>
          <w:rFonts w:ascii="Times New Roman" w:eastAsia="Times New Roman" w:hAnsi="Times New Roman" w:cs="Times New Roman"/>
          <w:sz w:val="24"/>
          <w:szCs w:val="24"/>
        </w:rPr>
        <w:t>Suharsono</w:t>
      </w:r>
      <w:proofErr w:type="spellEnd"/>
      <w:r w:rsidRPr="001E4E58">
        <w:rPr>
          <w:rFonts w:ascii="Times New Roman" w:eastAsia="Times New Roman" w:hAnsi="Times New Roman" w:cs="Times New Roman"/>
          <w:sz w:val="24"/>
          <w:szCs w:val="24"/>
        </w:rPr>
        <w:t xml:space="preserve">, 2022). Within the transportation sector, investments in sustainable logistics and green infrastructure have been linked to operational efficiencies and cost optimization (Adebayo &amp; </w:t>
      </w:r>
      <w:proofErr w:type="spellStart"/>
      <w:r w:rsidRPr="001E4E58">
        <w:rPr>
          <w:rFonts w:ascii="Times New Roman" w:eastAsia="Times New Roman" w:hAnsi="Times New Roman" w:cs="Times New Roman"/>
          <w:sz w:val="24"/>
          <w:szCs w:val="24"/>
        </w:rPr>
        <w:t>Aworemi</w:t>
      </w:r>
      <w:proofErr w:type="spellEnd"/>
      <w:r w:rsidRPr="001E4E58">
        <w:rPr>
          <w:rFonts w:ascii="Times New Roman" w:eastAsia="Times New Roman" w:hAnsi="Times New Roman" w:cs="Times New Roman"/>
          <w:sz w:val="24"/>
          <w:szCs w:val="24"/>
        </w:rPr>
        <w:t xml:space="preserve">, 2021; </w:t>
      </w:r>
      <w:proofErr w:type="spellStart"/>
      <w:r w:rsidR="0029029D" w:rsidRPr="0029029D">
        <w:rPr>
          <w:rFonts w:ascii="Times New Roman" w:eastAsia="Times New Roman" w:hAnsi="Times New Roman" w:cs="Times New Roman"/>
          <w:sz w:val="24"/>
          <w:szCs w:val="24"/>
        </w:rPr>
        <w:t>Krammer</w:t>
      </w:r>
      <w:proofErr w:type="spellEnd"/>
      <w:r w:rsidR="0029029D" w:rsidRPr="0029029D">
        <w:rPr>
          <w:rFonts w:ascii="Times New Roman" w:eastAsia="Times New Roman" w:hAnsi="Times New Roman" w:cs="Times New Roman"/>
          <w:sz w:val="24"/>
          <w:szCs w:val="24"/>
        </w:rPr>
        <w:t xml:space="preserve"> &amp; Schäfer,2025</w:t>
      </w:r>
      <w:r w:rsidRPr="001E4E58">
        <w:rPr>
          <w:rFonts w:ascii="Times New Roman" w:eastAsia="Times New Roman" w:hAnsi="Times New Roman" w:cs="Times New Roman"/>
          <w:sz w:val="24"/>
          <w:szCs w:val="24"/>
        </w:rPr>
        <w:t>). Green accounting frameworks facilitate the systematic identification and measurement of these economic benefits while ensuring regulatory compliance and strengthening non-financial reporting quality (</w:t>
      </w:r>
      <w:proofErr w:type="spellStart"/>
      <w:r w:rsidRPr="001E4E58">
        <w:rPr>
          <w:rFonts w:ascii="Times New Roman" w:eastAsia="Times New Roman" w:hAnsi="Times New Roman" w:cs="Times New Roman"/>
          <w:sz w:val="24"/>
          <w:szCs w:val="24"/>
        </w:rPr>
        <w:t>Achmad</w:t>
      </w:r>
      <w:proofErr w:type="spellEnd"/>
      <w:r w:rsidRPr="001E4E58">
        <w:rPr>
          <w:rFonts w:ascii="Times New Roman" w:eastAsia="Times New Roman" w:hAnsi="Times New Roman" w:cs="Times New Roman"/>
          <w:sz w:val="24"/>
          <w:szCs w:val="24"/>
        </w:rPr>
        <w:t xml:space="preserve"> </w:t>
      </w:r>
      <w:proofErr w:type="spellStart"/>
      <w:r w:rsidRPr="001E4E58">
        <w:rPr>
          <w:rFonts w:ascii="Times New Roman" w:eastAsia="Times New Roman" w:hAnsi="Times New Roman" w:cs="Times New Roman"/>
          <w:sz w:val="24"/>
          <w:szCs w:val="24"/>
        </w:rPr>
        <w:t>Bagraff</w:t>
      </w:r>
      <w:proofErr w:type="spellEnd"/>
      <w:r w:rsidRPr="001E4E58">
        <w:rPr>
          <w:rFonts w:ascii="Times New Roman" w:eastAsia="Times New Roman" w:hAnsi="Times New Roman" w:cs="Times New Roman"/>
          <w:sz w:val="24"/>
          <w:szCs w:val="24"/>
        </w:rPr>
        <w:t xml:space="preserve"> &amp; Ahsan, 2024).</w:t>
      </w:r>
    </w:p>
    <w:p w14:paraId="0FF88B2D" w14:textId="145FCC65" w:rsidR="00E57B83" w:rsidRDefault="001E4E58" w:rsidP="001E4E58">
      <w:pPr>
        <w:spacing w:before="100" w:beforeAutospacing="1" w:after="100" w:afterAutospacing="1" w:line="276" w:lineRule="auto"/>
        <w:jc w:val="both"/>
        <w:rPr>
          <w:rFonts w:ascii="Times New Roman" w:eastAsia="Times New Roman" w:hAnsi="Times New Roman" w:cs="Times New Roman"/>
          <w:sz w:val="24"/>
          <w:szCs w:val="24"/>
        </w:rPr>
      </w:pPr>
      <w:r w:rsidRPr="001E4E58">
        <w:rPr>
          <w:rFonts w:ascii="Times New Roman" w:eastAsia="Times New Roman" w:hAnsi="Times New Roman" w:cs="Times New Roman"/>
          <w:sz w:val="24"/>
          <w:szCs w:val="24"/>
        </w:rPr>
        <w:t>Moreover, financial performance indicators such as return on assets (ROA) and earnings per share (EPS) have shown notable improvements among firms that prioritize environmental accountability (</w:t>
      </w:r>
      <w:r w:rsidR="00D25BE3" w:rsidRPr="00D25BE3">
        <w:rPr>
          <w:rFonts w:ascii="Times New Roman" w:eastAsia="Times New Roman" w:hAnsi="Times New Roman" w:cs="Times New Roman"/>
          <w:sz w:val="24"/>
          <w:szCs w:val="24"/>
        </w:rPr>
        <w:t xml:space="preserve">Bashir, </w:t>
      </w:r>
      <w:r w:rsidR="00D25BE3">
        <w:rPr>
          <w:rFonts w:ascii="Times New Roman" w:eastAsia="Times New Roman" w:hAnsi="Times New Roman" w:cs="Times New Roman"/>
          <w:sz w:val="24"/>
          <w:szCs w:val="24"/>
        </w:rPr>
        <w:t xml:space="preserve">et al. </w:t>
      </w:r>
      <w:r w:rsidR="00D25BE3" w:rsidRPr="00D25BE3">
        <w:rPr>
          <w:rFonts w:ascii="Times New Roman" w:eastAsia="Times New Roman" w:hAnsi="Times New Roman" w:cs="Times New Roman"/>
          <w:sz w:val="24"/>
          <w:szCs w:val="24"/>
        </w:rPr>
        <w:t>2025</w:t>
      </w:r>
      <w:r w:rsidRPr="001E4E58">
        <w:rPr>
          <w:rFonts w:ascii="Times New Roman" w:eastAsia="Times New Roman" w:hAnsi="Times New Roman" w:cs="Times New Roman"/>
          <w:sz w:val="24"/>
          <w:szCs w:val="24"/>
        </w:rPr>
        <w:t>). These outcomes reflect the structured integration of sustainability into capital budgeting, resource allocation, and operational planning processes (</w:t>
      </w:r>
      <w:proofErr w:type="spellStart"/>
      <w:r w:rsidRPr="001E4E58">
        <w:rPr>
          <w:rFonts w:ascii="Times New Roman" w:eastAsia="Times New Roman" w:hAnsi="Times New Roman" w:cs="Times New Roman"/>
          <w:sz w:val="24"/>
          <w:szCs w:val="24"/>
        </w:rPr>
        <w:t>Indriastuti</w:t>
      </w:r>
      <w:proofErr w:type="spellEnd"/>
      <w:r w:rsidRPr="001E4E58">
        <w:rPr>
          <w:rFonts w:ascii="Times New Roman" w:eastAsia="Times New Roman" w:hAnsi="Times New Roman" w:cs="Times New Roman"/>
          <w:sz w:val="24"/>
          <w:szCs w:val="24"/>
        </w:rPr>
        <w:t xml:space="preserve"> &amp; </w:t>
      </w:r>
      <w:proofErr w:type="spellStart"/>
      <w:r w:rsidRPr="001E4E58">
        <w:rPr>
          <w:rFonts w:ascii="Times New Roman" w:eastAsia="Times New Roman" w:hAnsi="Times New Roman" w:cs="Times New Roman"/>
          <w:sz w:val="24"/>
          <w:szCs w:val="24"/>
        </w:rPr>
        <w:t>Mutamimah</w:t>
      </w:r>
      <w:proofErr w:type="spellEnd"/>
      <w:r w:rsidRPr="001E4E58">
        <w:rPr>
          <w:rFonts w:ascii="Times New Roman" w:eastAsia="Times New Roman" w:hAnsi="Times New Roman" w:cs="Times New Roman"/>
          <w:sz w:val="24"/>
          <w:szCs w:val="24"/>
        </w:rPr>
        <w:t>, 2023). As both a significant contributor to environmental challenges and a platform for green innovation, the transportation sector exemplifies the dynamic interplay between environmental responsibility and financial resilience (</w:t>
      </w:r>
      <w:r w:rsidR="00D25BE3">
        <w:rPr>
          <w:rFonts w:ascii="Times New Roman" w:eastAsia="Times New Roman" w:hAnsi="Times New Roman" w:cs="Times New Roman"/>
          <w:sz w:val="24"/>
          <w:szCs w:val="24"/>
        </w:rPr>
        <w:t>Roman 2022</w:t>
      </w:r>
      <w:r w:rsidRPr="001E4E58">
        <w:rPr>
          <w:rFonts w:ascii="Times New Roman" w:eastAsia="Times New Roman" w:hAnsi="Times New Roman" w:cs="Times New Roman"/>
          <w:sz w:val="24"/>
          <w:szCs w:val="24"/>
        </w:rPr>
        <w:t>). Accordingly, the nexus between green accounting and corporate performance provides a compelling framework for advancing sustainable business practices and informing policy interventions aimed at achieving broader economic and environmental objectives.</w:t>
      </w:r>
    </w:p>
    <w:p w14:paraId="4CFFEBE1" w14:textId="77777777" w:rsidR="00E57B83" w:rsidRPr="00606FAE" w:rsidRDefault="00E57B83" w:rsidP="00E57B83">
      <w:pPr>
        <w:spacing w:before="100" w:beforeAutospacing="1" w:after="100" w:afterAutospacing="1" w:line="240" w:lineRule="auto"/>
        <w:jc w:val="both"/>
        <w:rPr>
          <w:rFonts w:ascii="Times New Roman" w:eastAsia="Times New Roman" w:hAnsi="Times New Roman" w:cs="Times New Roman"/>
          <w:b/>
          <w:sz w:val="24"/>
          <w:szCs w:val="24"/>
        </w:rPr>
      </w:pPr>
      <w:r w:rsidRPr="00606FAE">
        <w:rPr>
          <w:rFonts w:ascii="Times New Roman" w:eastAsia="Times New Roman" w:hAnsi="Times New Roman" w:cs="Times New Roman"/>
          <w:b/>
          <w:sz w:val="24"/>
          <w:szCs w:val="24"/>
        </w:rPr>
        <w:t>Statement of the Problem</w:t>
      </w:r>
    </w:p>
    <w:p w14:paraId="1B76B160" w14:textId="74CEFCB2" w:rsidR="001E4E58" w:rsidRPr="001E4E58" w:rsidRDefault="001E4E58" w:rsidP="001E4E58">
      <w:pPr>
        <w:jc w:val="both"/>
        <w:rPr>
          <w:rFonts w:ascii="Times New Roman" w:eastAsia="Times New Roman" w:hAnsi="Times New Roman" w:cs="Times New Roman"/>
          <w:sz w:val="24"/>
          <w:szCs w:val="24"/>
        </w:rPr>
      </w:pPr>
      <w:r w:rsidRPr="001E4E58">
        <w:rPr>
          <w:rFonts w:ascii="Times New Roman" w:eastAsia="Times New Roman" w:hAnsi="Times New Roman" w:cs="Times New Roman"/>
          <w:sz w:val="24"/>
          <w:szCs w:val="24"/>
        </w:rPr>
        <w:t>Despite growing global emphasis on sustainable development and environmental accountability, there remains limited empirical clarity on how specific environmental</w:t>
      </w:r>
      <w:r w:rsidR="00FD7697">
        <w:rPr>
          <w:rFonts w:ascii="Times New Roman" w:eastAsia="Times New Roman" w:hAnsi="Times New Roman" w:cs="Times New Roman"/>
          <w:sz w:val="24"/>
          <w:szCs w:val="24"/>
        </w:rPr>
        <w:t xml:space="preserve"> practice </w:t>
      </w:r>
      <w:r w:rsidRPr="001E4E58">
        <w:rPr>
          <w:rFonts w:ascii="Times New Roman" w:eastAsia="Times New Roman" w:hAnsi="Times New Roman" w:cs="Times New Roman"/>
          <w:sz w:val="24"/>
          <w:szCs w:val="24"/>
        </w:rPr>
        <w:t>practices—</w:t>
      </w:r>
      <w:r w:rsidRPr="001E4E58">
        <w:rPr>
          <w:rFonts w:ascii="Times New Roman" w:eastAsia="Times New Roman" w:hAnsi="Times New Roman" w:cs="Times New Roman"/>
          <w:sz w:val="24"/>
          <w:szCs w:val="24"/>
        </w:rPr>
        <w:lastRenderedPageBreak/>
        <w:t xml:space="preserve">particularly waste management and pollution </w:t>
      </w:r>
      <w:r w:rsidR="00D25BE3" w:rsidRPr="001E4E58">
        <w:rPr>
          <w:rFonts w:ascii="Times New Roman" w:eastAsia="Times New Roman" w:hAnsi="Times New Roman" w:cs="Times New Roman"/>
          <w:sz w:val="24"/>
          <w:szCs w:val="24"/>
        </w:rPr>
        <w:t xml:space="preserve">control </w:t>
      </w:r>
      <w:r w:rsidR="00D25BE3">
        <w:rPr>
          <w:rFonts w:ascii="Times New Roman" w:eastAsia="Times New Roman" w:hAnsi="Times New Roman" w:cs="Times New Roman"/>
          <w:sz w:val="24"/>
          <w:szCs w:val="24"/>
        </w:rPr>
        <w:t>practices</w:t>
      </w:r>
      <w:r w:rsidRPr="001E4E58">
        <w:rPr>
          <w:rFonts w:ascii="Times New Roman" w:eastAsia="Times New Roman" w:hAnsi="Times New Roman" w:cs="Times New Roman"/>
          <w:sz w:val="24"/>
          <w:szCs w:val="24"/>
        </w:rPr>
        <w:t xml:space="preserve">—affect the financial performance of Nigerian manufacturing firms. Although companies increasingly incorporate environmental information into their reporting frameworks, the economic implications of </w:t>
      </w:r>
      <w:r w:rsidR="00D25BE3" w:rsidRPr="001E4E58">
        <w:rPr>
          <w:rFonts w:ascii="Times New Roman" w:eastAsia="Times New Roman" w:hAnsi="Times New Roman" w:cs="Times New Roman"/>
          <w:sz w:val="24"/>
          <w:szCs w:val="24"/>
        </w:rPr>
        <w:t xml:space="preserve">these </w:t>
      </w:r>
      <w:r w:rsidR="00D25BE3">
        <w:rPr>
          <w:rFonts w:ascii="Times New Roman" w:eastAsia="Times New Roman" w:hAnsi="Times New Roman" w:cs="Times New Roman"/>
          <w:sz w:val="24"/>
          <w:szCs w:val="24"/>
        </w:rPr>
        <w:t>practices</w:t>
      </w:r>
      <w:r w:rsidRPr="001E4E58">
        <w:rPr>
          <w:rFonts w:ascii="Times New Roman" w:eastAsia="Times New Roman" w:hAnsi="Times New Roman" w:cs="Times New Roman"/>
          <w:sz w:val="24"/>
          <w:szCs w:val="24"/>
        </w:rPr>
        <w:t xml:space="preserve"> remain inconclusive (Chen &amp; Zhang, 2023; Bamidele, Adeola, &amp; Kolawole, 2023).</w:t>
      </w:r>
    </w:p>
    <w:p w14:paraId="337F720A" w14:textId="0C89F4C9" w:rsidR="001E4E58" w:rsidRPr="001E4E58" w:rsidRDefault="001E4E58" w:rsidP="001E4E58">
      <w:pPr>
        <w:jc w:val="both"/>
        <w:rPr>
          <w:rFonts w:ascii="Times New Roman" w:eastAsia="Times New Roman" w:hAnsi="Times New Roman" w:cs="Times New Roman"/>
          <w:sz w:val="24"/>
          <w:szCs w:val="24"/>
        </w:rPr>
      </w:pPr>
      <w:r w:rsidRPr="001E4E58">
        <w:rPr>
          <w:rFonts w:ascii="Times New Roman" w:eastAsia="Times New Roman" w:hAnsi="Times New Roman" w:cs="Times New Roman"/>
          <w:sz w:val="24"/>
          <w:szCs w:val="24"/>
        </w:rPr>
        <w:t>The Nigerian manufacturing sector, while serving as a key driver of economic growth, is also a major contributor to environmental degradation (</w:t>
      </w:r>
      <w:r w:rsidR="003A62B7" w:rsidRPr="003A62B7">
        <w:rPr>
          <w:rFonts w:ascii="Times New Roman" w:eastAsia="Times New Roman" w:hAnsi="Times New Roman" w:cs="Times New Roman"/>
          <w:sz w:val="24"/>
          <w:szCs w:val="24"/>
        </w:rPr>
        <w:t>Alabi</w:t>
      </w:r>
      <w:r w:rsidR="003A62B7">
        <w:rPr>
          <w:rFonts w:ascii="Times New Roman" w:eastAsia="Times New Roman" w:hAnsi="Times New Roman" w:cs="Times New Roman"/>
          <w:sz w:val="24"/>
          <w:szCs w:val="24"/>
        </w:rPr>
        <w:t xml:space="preserve"> et al., </w:t>
      </w:r>
      <w:r w:rsidR="003A62B7" w:rsidRPr="003A62B7">
        <w:rPr>
          <w:rFonts w:ascii="Times New Roman" w:eastAsia="Times New Roman" w:hAnsi="Times New Roman" w:cs="Times New Roman"/>
          <w:sz w:val="24"/>
          <w:szCs w:val="24"/>
        </w:rPr>
        <w:t>2024</w:t>
      </w:r>
      <w:r w:rsidRPr="001E4E58">
        <w:rPr>
          <w:rFonts w:ascii="Times New Roman" w:eastAsia="Times New Roman" w:hAnsi="Times New Roman" w:cs="Times New Roman"/>
          <w:sz w:val="24"/>
          <w:szCs w:val="24"/>
        </w:rPr>
        <w:t>). This dual role makes it an appropriate context for assessing whether environmental transparency translates into improved financial outcomes. Prior studies suggest that environmental</w:t>
      </w:r>
      <w:r w:rsidR="00FD7697">
        <w:rPr>
          <w:rFonts w:ascii="Times New Roman" w:eastAsia="Times New Roman" w:hAnsi="Times New Roman" w:cs="Times New Roman"/>
          <w:sz w:val="24"/>
          <w:szCs w:val="24"/>
        </w:rPr>
        <w:t xml:space="preserve"> practice </w:t>
      </w:r>
      <w:r w:rsidRPr="001E4E58">
        <w:rPr>
          <w:rFonts w:ascii="Times New Roman" w:eastAsia="Times New Roman" w:hAnsi="Times New Roman" w:cs="Times New Roman"/>
          <w:sz w:val="24"/>
          <w:szCs w:val="24"/>
        </w:rPr>
        <w:t xml:space="preserve">can enhance firm value by reducing reputational risk and strengthening stakeholder confidence (Chen, Wang, &amp; Zhao, 2023; Chukwu, Ugochukwu, &amp; Okafor, 2023). However, much of the existing literature treats environmental accounting as a broad construct, often overlooking the distinct effects of specific components such as waste management and pollution </w:t>
      </w:r>
      <w:r w:rsidR="00D25BE3" w:rsidRPr="001E4E58">
        <w:rPr>
          <w:rFonts w:ascii="Times New Roman" w:eastAsia="Times New Roman" w:hAnsi="Times New Roman" w:cs="Times New Roman"/>
          <w:sz w:val="24"/>
          <w:szCs w:val="24"/>
        </w:rPr>
        <w:t xml:space="preserve">control </w:t>
      </w:r>
      <w:r w:rsidR="00D25BE3">
        <w:rPr>
          <w:rFonts w:ascii="Times New Roman" w:eastAsia="Times New Roman" w:hAnsi="Times New Roman" w:cs="Times New Roman"/>
          <w:sz w:val="24"/>
          <w:szCs w:val="24"/>
        </w:rPr>
        <w:t>practices</w:t>
      </w:r>
      <w:r w:rsidRPr="001E4E58">
        <w:rPr>
          <w:rFonts w:ascii="Times New Roman" w:eastAsia="Times New Roman" w:hAnsi="Times New Roman" w:cs="Times New Roman"/>
          <w:sz w:val="24"/>
          <w:szCs w:val="24"/>
        </w:rPr>
        <w:t xml:space="preserve"> (</w:t>
      </w:r>
      <w:r w:rsidR="00EC6420" w:rsidRPr="00EC6420">
        <w:rPr>
          <w:rFonts w:ascii="Times New Roman" w:eastAsia="Times New Roman" w:hAnsi="Times New Roman" w:cs="Times New Roman"/>
          <w:sz w:val="24"/>
          <w:szCs w:val="24"/>
        </w:rPr>
        <w:t>Tong, Chiappetta Jabbour, Belgacem, Najam, &amp; Abbas, 2022</w:t>
      </w:r>
      <w:r w:rsidRPr="001E4E58">
        <w:rPr>
          <w:rFonts w:ascii="Times New Roman" w:eastAsia="Times New Roman" w:hAnsi="Times New Roman" w:cs="Times New Roman"/>
          <w:sz w:val="24"/>
          <w:szCs w:val="24"/>
        </w:rPr>
        <w:t>).</w:t>
      </w:r>
    </w:p>
    <w:p w14:paraId="2142131C" w14:textId="48F2F900" w:rsidR="001E4E58" w:rsidRDefault="001E4E58" w:rsidP="001E4E58">
      <w:pPr>
        <w:jc w:val="both"/>
        <w:rPr>
          <w:rFonts w:ascii="Times New Roman" w:eastAsia="Times New Roman" w:hAnsi="Times New Roman" w:cs="Times New Roman"/>
          <w:sz w:val="24"/>
          <w:szCs w:val="24"/>
        </w:rPr>
      </w:pPr>
      <w:r w:rsidRPr="001E4E58">
        <w:rPr>
          <w:rFonts w:ascii="Times New Roman" w:eastAsia="Times New Roman" w:hAnsi="Times New Roman" w:cs="Times New Roman"/>
          <w:sz w:val="24"/>
          <w:szCs w:val="24"/>
        </w:rPr>
        <w:t>Moreover, limited research has adequately addressed the Nigerian institutional environment, characterized by evolving sustainability regulations and inconsistent enforcement (</w:t>
      </w:r>
      <w:r w:rsidR="0029029D" w:rsidRPr="0029029D">
        <w:rPr>
          <w:rFonts w:ascii="Times New Roman" w:eastAsia="Times New Roman" w:hAnsi="Times New Roman" w:cs="Times New Roman"/>
          <w:sz w:val="24"/>
          <w:szCs w:val="24"/>
        </w:rPr>
        <w:t>Krammer &amp; Schäfer2025</w:t>
      </w:r>
      <w:r w:rsidRPr="001E4E58">
        <w:rPr>
          <w:rFonts w:ascii="Times New Roman" w:eastAsia="Times New Roman" w:hAnsi="Times New Roman" w:cs="Times New Roman"/>
          <w:sz w:val="24"/>
          <w:szCs w:val="24"/>
        </w:rPr>
        <w:t xml:space="preserve">). Given the resource-based view’s assertion that firm-specific practices can generate competitive advantage (Barney, 1991; Barney &amp; Clark, 2007), it becomes necessary to examine whether targeted </w:t>
      </w:r>
      <w:r w:rsidR="00D25BE3" w:rsidRPr="001E4E58">
        <w:rPr>
          <w:rFonts w:ascii="Times New Roman" w:eastAsia="Times New Roman" w:hAnsi="Times New Roman" w:cs="Times New Roman"/>
          <w:sz w:val="24"/>
          <w:szCs w:val="24"/>
        </w:rPr>
        <w:t xml:space="preserve">environmental </w:t>
      </w:r>
      <w:r w:rsidR="00D25BE3">
        <w:rPr>
          <w:rFonts w:ascii="Times New Roman" w:eastAsia="Times New Roman" w:hAnsi="Times New Roman" w:cs="Times New Roman"/>
          <w:sz w:val="24"/>
          <w:szCs w:val="24"/>
        </w:rPr>
        <w:t>practices</w:t>
      </w:r>
      <w:r w:rsidRPr="001E4E58">
        <w:rPr>
          <w:rFonts w:ascii="Times New Roman" w:eastAsia="Times New Roman" w:hAnsi="Times New Roman" w:cs="Times New Roman"/>
          <w:sz w:val="24"/>
          <w:szCs w:val="24"/>
        </w:rPr>
        <w:t xml:space="preserve"> function as strategic value-enhancing mechanisms.</w:t>
      </w:r>
      <w:r>
        <w:rPr>
          <w:rFonts w:ascii="Times New Roman" w:eastAsia="Times New Roman" w:hAnsi="Times New Roman" w:cs="Times New Roman"/>
          <w:sz w:val="24"/>
          <w:szCs w:val="24"/>
        </w:rPr>
        <w:t xml:space="preserve"> </w:t>
      </w:r>
      <w:r w:rsidRPr="001E4E58">
        <w:rPr>
          <w:rFonts w:ascii="Times New Roman" w:eastAsia="Times New Roman" w:hAnsi="Times New Roman" w:cs="Times New Roman"/>
          <w:sz w:val="24"/>
          <w:szCs w:val="24"/>
        </w:rPr>
        <w:t>Accordingly, this study evaluates the effects of environmental waste management</w:t>
      </w:r>
      <w:r w:rsidR="00FD7697">
        <w:rPr>
          <w:rFonts w:ascii="Times New Roman" w:eastAsia="Times New Roman" w:hAnsi="Times New Roman" w:cs="Times New Roman"/>
          <w:sz w:val="24"/>
          <w:szCs w:val="24"/>
        </w:rPr>
        <w:t xml:space="preserve"> practice </w:t>
      </w:r>
      <w:r w:rsidRPr="001E4E58">
        <w:rPr>
          <w:rFonts w:ascii="Times New Roman" w:eastAsia="Times New Roman" w:hAnsi="Times New Roman" w:cs="Times New Roman"/>
          <w:sz w:val="24"/>
          <w:szCs w:val="24"/>
        </w:rPr>
        <w:t>and environmental pollution control</w:t>
      </w:r>
      <w:r w:rsidR="00FD7697">
        <w:rPr>
          <w:rFonts w:ascii="Times New Roman" w:eastAsia="Times New Roman" w:hAnsi="Times New Roman" w:cs="Times New Roman"/>
          <w:sz w:val="24"/>
          <w:szCs w:val="24"/>
        </w:rPr>
        <w:t xml:space="preserve"> practice </w:t>
      </w:r>
      <w:r w:rsidRPr="001E4E58">
        <w:rPr>
          <w:rFonts w:ascii="Times New Roman" w:eastAsia="Times New Roman" w:hAnsi="Times New Roman" w:cs="Times New Roman"/>
          <w:sz w:val="24"/>
          <w:szCs w:val="24"/>
        </w:rPr>
        <w:t>on the financial performance of listed manufacturing firms in Nigeria.</w:t>
      </w:r>
    </w:p>
    <w:p w14:paraId="301176F8" w14:textId="76FFFFD2" w:rsidR="009A2964" w:rsidRDefault="009A2964" w:rsidP="001E4E58">
      <w:pPr>
        <w:jc w:val="both"/>
        <w:rPr>
          <w:rFonts w:ascii="Times New Roman" w:eastAsia="Times New Roman" w:hAnsi="Times New Roman" w:cs="Times New Roman"/>
          <w:b/>
          <w:bCs/>
          <w:sz w:val="24"/>
          <w:szCs w:val="24"/>
        </w:rPr>
      </w:pPr>
      <w:r w:rsidRPr="009A2964">
        <w:rPr>
          <w:rFonts w:ascii="Times New Roman" w:eastAsia="Times New Roman" w:hAnsi="Times New Roman" w:cs="Times New Roman"/>
          <w:b/>
          <w:bCs/>
          <w:sz w:val="24"/>
          <w:szCs w:val="24"/>
        </w:rPr>
        <w:t xml:space="preserve">Research Hypotheses </w:t>
      </w:r>
    </w:p>
    <w:p w14:paraId="3E360B92" w14:textId="04A04B59" w:rsidR="009A2964" w:rsidRPr="009A2964" w:rsidRDefault="009A2964" w:rsidP="009A2964">
      <w:pPr>
        <w:pStyle w:val="NormalWeb"/>
        <w:jc w:val="both"/>
        <w:rPr>
          <w:iCs/>
        </w:rPr>
      </w:pPr>
      <w:r w:rsidRPr="009A2964">
        <w:rPr>
          <w:rStyle w:val="Strong"/>
          <w:iCs/>
        </w:rPr>
        <w:t>H</w:t>
      </w:r>
      <w:r>
        <w:rPr>
          <w:rStyle w:val="Strong"/>
          <w:iCs/>
        </w:rPr>
        <w:t>01</w:t>
      </w:r>
      <w:r w:rsidRPr="009A2964">
        <w:rPr>
          <w:rStyle w:val="Strong"/>
          <w:iCs/>
        </w:rPr>
        <w:t>:</w:t>
      </w:r>
      <w:r w:rsidRPr="009A2964">
        <w:rPr>
          <w:iCs/>
        </w:rPr>
        <w:t xml:space="preserve"> Environmental waste management has no significant effect on the financial performance of listed manufacturing companies in Nigeria.</w:t>
      </w:r>
    </w:p>
    <w:p w14:paraId="06EC9C55" w14:textId="68A8A3C2" w:rsidR="00163C53" w:rsidRDefault="009A2964" w:rsidP="00163C53">
      <w:pPr>
        <w:spacing w:beforeAutospacing="1" w:after="100" w:afterAutospacing="1" w:line="240" w:lineRule="auto"/>
        <w:jc w:val="both"/>
        <w:rPr>
          <w:rFonts w:ascii="Times New Roman" w:eastAsia="Times New Roman" w:hAnsi="Times New Roman" w:cs="Times New Roman"/>
          <w:iCs/>
          <w:sz w:val="24"/>
          <w:szCs w:val="24"/>
        </w:rPr>
      </w:pPr>
      <w:r w:rsidRPr="009A2964">
        <w:rPr>
          <w:rFonts w:ascii="Times New Roman" w:eastAsia="Times New Roman" w:hAnsi="Times New Roman" w:cs="Times New Roman"/>
          <w:b/>
          <w:bCs/>
          <w:iCs/>
          <w:sz w:val="24"/>
          <w:szCs w:val="24"/>
        </w:rPr>
        <w:t>H</w:t>
      </w:r>
      <w:r>
        <w:rPr>
          <w:rFonts w:ascii="Times New Roman" w:eastAsia="Times New Roman" w:hAnsi="Times New Roman" w:cs="Times New Roman"/>
          <w:b/>
          <w:bCs/>
          <w:iCs/>
          <w:sz w:val="24"/>
          <w:szCs w:val="24"/>
        </w:rPr>
        <w:t>o2</w:t>
      </w:r>
      <w:r w:rsidRPr="009A2964">
        <w:rPr>
          <w:rFonts w:ascii="Times New Roman" w:eastAsia="Times New Roman" w:hAnsi="Times New Roman" w:cs="Times New Roman"/>
          <w:b/>
          <w:bCs/>
          <w:iCs/>
          <w:sz w:val="24"/>
          <w:szCs w:val="24"/>
        </w:rPr>
        <w:t>:</w:t>
      </w:r>
      <w:r w:rsidRPr="009A2964">
        <w:rPr>
          <w:rFonts w:ascii="Times New Roman" w:eastAsia="Times New Roman" w:hAnsi="Times New Roman" w:cs="Times New Roman"/>
          <w:iCs/>
          <w:sz w:val="24"/>
          <w:szCs w:val="24"/>
        </w:rPr>
        <w:t xml:space="preserve"> Environmental pollution control has no significant effect on the financial performance of listed manufacturing companies in Nigeria.</w:t>
      </w:r>
    </w:p>
    <w:p w14:paraId="289F2B90" w14:textId="77777777" w:rsidR="00163C53" w:rsidRDefault="00163C53">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br w:type="page"/>
      </w:r>
    </w:p>
    <w:p w14:paraId="1DDA1CC3" w14:textId="77777777" w:rsidR="00E57B83" w:rsidRPr="00E57B83" w:rsidRDefault="00E57B83" w:rsidP="00E57B83">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Pr="00E57B83">
        <w:rPr>
          <w:rFonts w:ascii="Times New Roman" w:hAnsi="Times New Roman" w:cs="Times New Roman"/>
          <w:b/>
          <w:sz w:val="24"/>
          <w:szCs w:val="24"/>
        </w:rPr>
        <w:t xml:space="preserve">Conceptual Exploration and hypotheses Development </w:t>
      </w:r>
    </w:p>
    <w:p w14:paraId="538E1A56" w14:textId="2B76ED74" w:rsidR="00E57B83" w:rsidRPr="00E57B83" w:rsidRDefault="00E57B83" w:rsidP="00E57B83">
      <w:pPr>
        <w:jc w:val="both"/>
        <w:rPr>
          <w:rFonts w:ascii="Times New Roman" w:hAnsi="Times New Roman" w:cs="Times New Roman"/>
          <w:b/>
          <w:sz w:val="24"/>
          <w:szCs w:val="24"/>
        </w:rPr>
      </w:pPr>
      <w:r w:rsidRPr="00E57B83">
        <w:rPr>
          <w:rFonts w:ascii="Times New Roman" w:hAnsi="Times New Roman" w:cs="Times New Roman"/>
          <w:b/>
          <w:sz w:val="24"/>
          <w:szCs w:val="24"/>
        </w:rPr>
        <w:t xml:space="preserve">Green Accounting </w:t>
      </w:r>
      <w:r w:rsidR="001E4E58">
        <w:rPr>
          <w:rFonts w:ascii="Times New Roman" w:hAnsi="Times New Roman" w:cs="Times New Roman"/>
          <w:b/>
          <w:sz w:val="24"/>
          <w:szCs w:val="24"/>
        </w:rPr>
        <w:t xml:space="preserve">Practice </w:t>
      </w:r>
      <w:r w:rsidRPr="00E57B83">
        <w:rPr>
          <w:rFonts w:ascii="Times New Roman" w:hAnsi="Times New Roman" w:cs="Times New Roman"/>
          <w:b/>
          <w:sz w:val="24"/>
          <w:szCs w:val="24"/>
        </w:rPr>
        <w:t xml:space="preserve"> </w:t>
      </w:r>
    </w:p>
    <w:p w14:paraId="33359C85" w14:textId="147D0497" w:rsidR="00E57B83" w:rsidRPr="00343141" w:rsidRDefault="00E57B83" w:rsidP="00E57B83">
      <w:pPr>
        <w:spacing w:before="100" w:beforeAutospacing="1" w:after="100" w:afterAutospacing="1" w:line="240" w:lineRule="auto"/>
        <w:jc w:val="both"/>
        <w:rPr>
          <w:rFonts w:ascii="Times New Roman" w:eastAsia="Times New Roman" w:hAnsi="Times New Roman" w:cs="Times New Roman"/>
          <w:sz w:val="24"/>
          <w:szCs w:val="24"/>
        </w:rPr>
      </w:pPr>
      <w:r w:rsidRPr="00343141">
        <w:rPr>
          <w:rFonts w:ascii="Times New Roman" w:eastAsia="Times New Roman" w:hAnsi="Times New Roman" w:cs="Times New Roman"/>
          <w:bCs/>
          <w:sz w:val="24"/>
          <w:szCs w:val="24"/>
        </w:rPr>
        <w:t xml:space="preserve">Green accounting </w:t>
      </w:r>
      <w:r w:rsidR="001E4E58">
        <w:rPr>
          <w:rFonts w:ascii="Times New Roman" w:eastAsia="Times New Roman" w:hAnsi="Times New Roman" w:cs="Times New Roman"/>
          <w:bCs/>
          <w:sz w:val="24"/>
          <w:szCs w:val="24"/>
        </w:rPr>
        <w:t xml:space="preserve">practice </w:t>
      </w:r>
      <w:r w:rsidRPr="00343141">
        <w:rPr>
          <w:rFonts w:ascii="Times New Roman" w:eastAsia="Times New Roman" w:hAnsi="Times New Roman" w:cs="Times New Roman"/>
          <w:sz w:val="24"/>
          <w:szCs w:val="24"/>
        </w:rPr>
        <w:t xml:space="preserve">refers to the systematic process by which organizations report environmental costs, liabilities, and sustainability-related activities within their financial statements and sustainability reports. Rooted in the broader framework of </w:t>
      </w:r>
      <w:r w:rsidRPr="00343141">
        <w:rPr>
          <w:rFonts w:ascii="Times New Roman" w:eastAsia="Times New Roman" w:hAnsi="Times New Roman" w:cs="Times New Roman"/>
          <w:bCs/>
          <w:sz w:val="24"/>
          <w:szCs w:val="24"/>
        </w:rPr>
        <w:t>environmental accounting</w:t>
      </w:r>
      <w:r w:rsidRPr="00343141">
        <w:rPr>
          <w:rFonts w:ascii="Times New Roman" w:eastAsia="Times New Roman" w:hAnsi="Times New Roman" w:cs="Times New Roman"/>
          <w:sz w:val="24"/>
          <w:szCs w:val="24"/>
        </w:rPr>
        <w:t xml:space="preserve">, green accounting aims to integrate ecological considerations—such as resource use, pollution output, environmental remediation, and biodiversity impacts—into conventional economic metrics (Chukwu, Ugochukwu, &amp; Okafor, 2023; </w:t>
      </w:r>
      <w:r w:rsidR="003A62B7" w:rsidRPr="003A62B7">
        <w:rPr>
          <w:rFonts w:ascii="Times New Roman" w:eastAsia="Times New Roman" w:hAnsi="Times New Roman" w:cs="Times New Roman"/>
          <w:sz w:val="24"/>
          <w:szCs w:val="24"/>
        </w:rPr>
        <w:t>Alabi</w:t>
      </w:r>
      <w:r w:rsidR="003A62B7">
        <w:rPr>
          <w:rFonts w:ascii="Times New Roman" w:eastAsia="Times New Roman" w:hAnsi="Times New Roman" w:cs="Times New Roman"/>
          <w:sz w:val="24"/>
          <w:szCs w:val="24"/>
        </w:rPr>
        <w:t xml:space="preserve"> et al.</w:t>
      </w:r>
      <w:r w:rsidR="003A62B7" w:rsidRPr="003A62B7">
        <w:rPr>
          <w:rFonts w:ascii="Times New Roman" w:eastAsia="Times New Roman" w:hAnsi="Times New Roman" w:cs="Times New Roman"/>
          <w:sz w:val="24"/>
          <w:szCs w:val="24"/>
        </w:rPr>
        <w:t>, 2024</w:t>
      </w:r>
      <w:r w:rsidRPr="00343141">
        <w:rPr>
          <w:rFonts w:ascii="Times New Roman" w:eastAsia="Times New Roman" w:hAnsi="Times New Roman" w:cs="Times New Roman"/>
          <w:sz w:val="24"/>
          <w:szCs w:val="24"/>
        </w:rPr>
        <w:t>). This</w:t>
      </w:r>
      <w:r w:rsidR="00FD7697">
        <w:rPr>
          <w:rFonts w:ascii="Times New Roman" w:eastAsia="Times New Roman" w:hAnsi="Times New Roman" w:cs="Times New Roman"/>
          <w:sz w:val="24"/>
          <w:szCs w:val="24"/>
        </w:rPr>
        <w:t xml:space="preserve"> practice </w:t>
      </w:r>
      <w:r w:rsidRPr="00343141">
        <w:rPr>
          <w:rFonts w:ascii="Times New Roman" w:eastAsia="Times New Roman" w:hAnsi="Times New Roman" w:cs="Times New Roman"/>
          <w:sz w:val="24"/>
          <w:szCs w:val="24"/>
        </w:rPr>
        <w:t xml:space="preserve">framework enables firms to measure and communicate the financial implications of their environmental practices, thereby enhancing transparency and accountability to stakeholders. At its core, green </w:t>
      </w:r>
      <w:r w:rsidR="00FD7697">
        <w:rPr>
          <w:rFonts w:ascii="Times New Roman" w:eastAsia="Times New Roman" w:hAnsi="Times New Roman" w:cs="Times New Roman"/>
          <w:sz w:val="24"/>
          <w:szCs w:val="24"/>
        </w:rPr>
        <w:t xml:space="preserve">accounting practice </w:t>
      </w:r>
      <w:r w:rsidRPr="00343141">
        <w:rPr>
          <w:rFonts w:ascii="Times New Roman" w:eastAsia="Times New Roman" w:hAnsi="Times New Roman" w:cs="Times New Roman"/>
          <w:sz w:val="24"/>
          <w:szCs w:val="24"/>
        </w:rPr>
        <w:t xml:space="preserve">embodies the principles of </w:t>
      </w:r>
      <w:r w:rsidRPr="00343141">
        <w:rPr>
          <w:rFonts w:ascii="Times New Roman" w:eastAsia="Times New Roman" w:hAnsi="Times New Roman" w:cs="Times New Roman"/>
          <w:bCs/>
          <w:sz w:val="24"/>
          <w:szCs w:val="24"/>
        </w:rPr>
        <w:t>triple bottom line reporting</w:t>
      </w:r>
      <w:r w:rsidRPr="00343141">
        <w:rPr>
          <w:rFonts w:ascii="Times New Roman" w:eastAsia="Times New Roman" w:hAnsi="Times New Roman" w:cs="Times New Roman"/>
          <w:sz w:val="24"/>
          <w:szCs w:val="24"/>
        </w:rPr>
        <w:t>—economic, environmental, and social performance—and supports long-term corporate sustainability by making environmental costs visible in financial terms</w:t>
      </w:r>
      <w:r w:rsidR="00DF518E">
        <w:rPr>
          <w:rFonts w:ascii="Times New Roman" w:eastAsia="Times New Roman" w:hAnsi="Times New Roman" w:cs="Times New Roman"/>
          <w:sz w:val="24"/>
          <w:szCs w:val="24"/>
        </w:rPr>
        <w:t xml:space="preserve">. </w:t>
      </w:r>
      <w:r w:rsidRPr="00343141">
        <w:rPr>
          <w:rFonts w:ascii="Times New Roman" w:eastAsia="Times New Roman" w:hAnsi="Times New Roman" w:cs="Times New Roman"/>
          <w:sz w:val="24"/>
          <w:szCs w:val="24"/>
        </w:rPr>
        <w:t>It typically includes metrics on emissions, energy usage, waste generation, water consumption, environmental fines, and investments in green technologies (</w:t>
      </w:r>
      <w:r w:rsidR="00EC6420" w:rsidRPr="00EC6420">
        <w:rPr>
          <w:rFonts w:ascii="Times New Roman" w:eastAsia="Times New Roman" w:hAnsi="Times New Roman" w:cs="Times New Roman"/>
          <w:sz w:val="24"/>
          <w:szCs w:val="24"/>
        </w:rPr>
        <w:t xml:space="preserve">Tong, </w:t>
      </w:r>
      <w:r w:rsidR="00EC6420">
        <w:rPr>
          <w:rFonts w:ascii="Times New Roman" w:eastAsia="Times New Roman" w:hAnsi="Times New Roman" w:cs="Times New Roman"/>
          <w:sz w:val="24"/>
          <w:szCs w:val="24"/>
        </w:rPr>
        <w:t xml:space="preserve">et al., </w:t>
      </w:r>
      <w:proofErr w:type="gramStart"/>
      <w:r w:rsidR="00EC6420">
        <w:rPr>
          <w:rFonts w:ascii="Times New Roman" w:eastAsia="Times New Roman" w:hAnsi="Times New Roman" w:cs="Times New Roman"/>
          <w:sz w:val="24"/>
          <w:szCs w:val="24"/>
        </w:rPr>
        <w:t>2022)</w:t>
      </w:r>
      <w:r w:rsidRPr="00343141">
        <w:rPr>
          <w:rFonts w:ascii="Times New Roman" w:eastAsia="Times New Roman" w:hAnsi="Times New Roman" w:cs="Times New Roman"/>
          <w:sz w:val="24"/>
          <w:szCs w:val="24"/>
        </w:rPr>
        <w:t>These</w:t>
      </w:r>
      <w:proofErr w:type="gramEnd"/>
      <w:r w:rsidRPr="00343141">
        <w:rPr>
          <w:rFonts w:ascii="Times New Roman" w:eastAsia="Times New Roman" w:hAnsi="Times New Roman" w:cs="Times New Roman"/>
          <w:sz w:val="24"/>
          <w:szCs w:val="24"/>
        </w:rPr>
        <w:t xml:space="preserve"> </w:t>
      </w:r>
      <w:r w:rsidR="001E4E58">
        <w:rPr>
          <w:rFonts w:ascii="Times New Roman" w:eastAsia="Times New Roman" w:hAnsi="Times New Roman" w:cs="Times New Roman"/>
          <w:sz w:val="24"/>
          <w:szCs w:val="24"/>
        </w:rPr>
        <w:t xml:space="preserve"> practice</w:t>
      </w:r>
      <w:r w:rsidRPr="00343141">
        <w:rPr>
          <w:rFonts w:ascii="Times New Roman" w:eastAsia="Times New Roman" w:hAnsi="Times New Roman" w:cs="Times New Roman"/>
          <w:sz w:val="24"/>
          <w:szCs w:val="24"/>
        </w:rPr>
        <w:t>s are crucial for investors, regulators, and the public to assess a firm’s environmental risk exposure and sustainability orientation (</w:t>
      </w:r>
      <w:r w:rsidR="00D06F27" w:rsidRPr="00EC6420">
        <w:rPr>
          <w:rFonts w:ascii="Times New Roman" w:eastAsia="Times New Roman" w:hAnsi="Times New Roman" w:cs="Times New Roman"/>
          <w:sz w:val="24"/>
          <w:szCs w:val="24"/>
        </w:rPr>
        <w:t xml:space="preserve">Tong, </w:t>
      </w:r>
      <w:r w:rsidR="00D06F27">
        <w:rPr>
          <w:rFonts w:ascii="Times New Roman" w:eastAsia="Times New Roman" w:hAnsi="Times New Roman" w:cs="Times New Roman"/>
          <w:sz w:val="24"/>
          <w:szCs w:val="24"/>
        </w:rPr>
        <w:t>et al., 2022)</w:t>
      </w:r>
      <w:r w:rsidRPr="00343141">
        <w:rPr>
          <w:rFonts w:ascii="Times New Roman" w:eastAsia="Times New Roman" w:hAnsi="Times New Roman" w:cs="Times New Roman"/>
          <w:sz w:val="24"/>
          <w:szCs w:val="24"/>
        </w:rPr>
        <w:t xml:space="preserve">). </w:t>
      </w:r>
      <w:r w:rsidR="005538DE">
        <w:rPr>
          <w:rFonts w:ascii="Times New Roman" w:eastAsia="Times New Roman" w:hAnsi="Times New Roman" w:cs="Times New Roman"/>
          <w:sz w:val="24"/>
          <w:szCs w:val="24"/>
        </w:rPr>
        <w:t>H</w:t>
      </w:r>
      <w:r w:rsidRPr="00343141">
        <w:rPr>
          <w:rFonts w:ascii="Times New Roman" w:eastAsia="Times New Roman" w:hAnsi="Times New Roman" w:cs="Times New Roman"/>
          <w:sz w:val="24"/>
          <w:szCs w:val="24"/>
        </w:rPr>
        <w:t xml:space="preserve">owever, the effectiveness of green </w:t>
      </w:r>
      <w:r w:rsidR="00FD7697">
        <w:rPr>
          <w:rFonts w:ascii="Times New Roman" w:eastAsia="Times New Roman" w:hAnsi="Times New Roman" w:cs="Times New Roman"/>
          <w:sz w:val="24"/>
          <w:szCs w:val="24"/>
        </w:rPr>
        <w:t xml:space="preserve">accounting practice </w:t>
      </w:r>
      <w:r w:rsidRPr="00343141">
        <w:rPr>
          <w:rFonts w:ascii="Times New Roman" w:eastAsia="Times New Roman" w:hAnsi="Times New Roman" w:cs="Times New Roman"/>
          <w:sz w:val="24"/>
          <w:szCs w:val="24"/>
        </w:rPr>
        <w:t>in influencing firm performance varies across contexts and sectors—often depending on regulatory environments, firm size, and market pressures (</w:t>
      </w:r>
      <w:r w:rsidR="00D06F27" w:rsidRPr="00EC6420">
        <w:rPr>
          <w:rFonts w:ascii="Times New Roman" w:eastAsia="Times New Roman" w:hAnsi="Times New Roman" w:cs="Times New Roman"/>
          <w:sz w:val="24"/>
          <w:szCs w:val="24"/>
        </w:rPr>
        <w:t xml:space="preserve">Tong, </w:t>
      </w:r>
      <w:r w:rsidR="00D06F27">
        <w:rPr>
          <w:rFonts w:ascii="Times New Roman" w:eastAsia="Times New Roman" w:hAnsi="Times New Roman" w:cs="Times New Roman"/>
          <w:sz w:val="24"/>
          <w:szCs w:val="24"/>
        </w:rPr>
        <w:t>et al., 2022)</w:t>
      </w:r>
      <w:r w:rsidRPr="003431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43141">
        <w:rPr>
          <w:rFonts w:ascii="Times New Roman" w:eastAsia="Times New Roman" w:hAnsi="Times New Roman" w:cs="Times New Roman"/>
          <w:sz w:val="24"/>
          <w:szCs w:val="24"/>
        </w:rPr>
        <w:t xml:space="preserve">Thus, green </w:t>
      </w:r>
      <w:r w:rsidR="00FD7697">
        <w:rPr>
          <w:rFonts w:ascii="Times New Roman" w:eastAsia="Times New Roman" w:hAnsi="Times New Roman" w:cs="Times New Roman"/>
          <w:sz w:val="24"/>
          <w:szCs w:val="24"/>
        </w:rPr>
        <w:t xml:space="preserve">accounting practice </w:t>
      </w:r>
      <w:r w:rsidRPr="00343141">
        <w:rPr>
          <w:rFonts w:ascii="Times New Roman" w:eastAsia="Times New Roman" w:hAnsi="Times New Roman" w:cs="Times New Roman"/>
          <w:sz w:val="24"/>
          <w:szCs w:val="24"/>
        </w:rPr>
        <w:t>represents a critical interface between corporate financial health and ecological responsibility, offering both a tool for internal environmental management and a means for external performance evaluation in sustainability governance.</w:t>
      </w:r>
    </w:p>
    <w:p w14:paraId="2AC272A9" w14:textId="2C334775" w:rsidR="00E57B83" w:rsidRDefault="00E57B83" w:rsidP="00E57B83">
      <w:pPr>
        <w:pStyle w:val="NormalWeb"/>
        <w:jc w:val="both"/>
        <w:rPr>
          <w:rStyle w:val="Strong"/>
        </w:rPr>
      </w:pPr>
      <w:r>
        <w:rPr>
          <w:rStyle w:val="Strong"/>
        </w:rPr>
        <w:t xml:space="preserve">Environmental Waste Management </w:t>
      </w:r>
      <w:r w:rsidR="0039711D">
        <w:rPr>
          <w:rStyle w:val="Strong"/>
        </w:rPr>
        <w:t xml:space="preserve">Accounting </w:t>
      </w:r>
      <w:r>
        <w:rPr>
          <w:rStyle w:val="Strong"/>
        </w:rPr>
        <w:t xml:space="preserve">and Financial Performance </w:t>
      </w:r>
    </w:p>
    <w:p w14:paraId="00B576CB" w14:textId="15AF53BF" w:rsidR="00E57B83" w:rsidRDefault="00E57B83" w:rsidP="00E57B83">
      <w:pPr>
        <w:pStyle w:val="NormalWeb"/>
        <w:jc w:val="both"/>
      </w:pPr>
      <w:r>
        <w:t xml:space="preserve">Environmental </w:t>
      </w:r>
      <w:r w:rsidR="0039711D">
        <w:t>Accounting</w:t>
      </w:r>
      <w:r>
        <w:t>, particularly in the domains of waste management and pollution control, has evolved into a critical component of corporate sustainability strategy. It refers to the systematic communication of a firm's environmental</w:t>
      </w:r>
      <w:r w:rsidR="0039711D">
        <w:t xml:space="preserve"> </w:t>
      </w:r>
      <w:r>
        <w:t>expenditures, risks, and performance to stakeholders. The rationale for such</w:t>
      </w:r>
      <w:r w:rsidR="00FD7697">
        <w:t xml:space="preserve"> practice </w:t>
      </w:r>
      <w:r>
        <w:t xml:space="preserve">is rooted in stakeholder theory, which argues that firms can enhance legitimacy, trust, and long-term survival by aligning their actions with the expectations of diverse interest groups, including regulators, investors, and communities (Chen &amp; Zhang, 2023). Within this framework, environmental waste management </w:t>
      </w:r>
      <w:r w:rsidR="001E4E58">
        <w:t>practice</w:t>
      </w:r>
      <w:r>
        <w:t xml:space="preserve">s specifically communicate how firms handle industrial by-products, mitigate hazardous discharges, and comply with disposal standards—practices that are increasingly under scrutiny due to rising ecological concerns </w:t>
      </w:r>
      <w:r w:rsidR="00EC6420" w:rsidRPr="00343141">
        <w:t>(</w:t>
      </w:r>
      <w:r w:rsidR="00EC6420" w:rsidRPr="00EC6420">
        <w:t xml:space="preserve">Tong, </w:t>
      </w:r>
      <w:r w:rsidR="00EC6420">
        <w:t>et al., 2022)</w:t>
      </w:r>
      <w:r>
        <w:t xml:space="preserve">. Likewise, pollution control </w:t>
      </w:r>
      <w:r w:rsidR="001E4E58">
        <w:t>practice</w:t>
      </w:r>
      <w:r>
        <w:t xml:space="preserve">s reveal the extent to which firms invest in emission reduction technologies, air and water treatment systems, and green innovations, thus serving as proxies for environmental responsibility and technological modernity (Chukwu, Ugochukwu, &amp; Okafor, 2023; </w:t>
      </w:r>
      <w:r w:rsidR="003A62B7" w:rsidRPr="003A62B7">
        <w:t>Alabi</w:t>
      </w:r>
      <w:r w:rsidR="003A62B7">
        <w:t xml:space="preserve"> et al., </w:t>
      </w:r>
      <w:r w:rsidR="003A62B7" w:rsidRPr="003A62B7">
        <w:t>2024</w:t>
      </w:r>
      <w:r>
        <w:t>).</w:t>
      </w:r>
    </w:p>
    <w:p w14:paraId="1A407371" w14:textId="40DC50B8" w:rsidR="00E57B83" w:rsidRPr="00343141" w:rsidRDefault="00E57B83" w:rsidP="00E57B83">
      <w:pPr>
        <w:pStyle w:val="NormalWeb"/>
        <w:jc w:val="both"/>
      </w:pPr>
      <w:r>
        <w:t>Financial performance, in contrast, represents the economic dimension of corporate viability, often operationalized using profitability indicators such as return on assets (ROA), earnings per share (EPS), and net profit margin (ACCA, 2023). The conceptual linkage between environmental</w:t>
      </w:r>
      <w:r w:rsidR="00FD7697">
        <w:t xml:space="preserve"> practice </w:t>
      </w:r>
      <w:r>
        <w:t xml:space="preserve">and financial performance is often explained using the resource-based view (RBV), which posits that environmental capabilities and transparency can act as intangible strategic assets that foster competitive advantage (Barney, 1991; Barney &amp; Clark, 2007). Empirical studies have shown </w:t>
      </w:r>
      <w:r>
        <w:lastRenderedPageBreak/>
        <w:t xml:space="preserve">mixed outcomes: while some report a positive correlation between </w:t>
      </w:r>
      <w:proofErr w:type="gramStart"/>
      <w:r>
        <w:t xml:space="preserve">sustainability </w:t>
      </w:r>
      <w:r w:rsidR="001E4E58">
        <w:t xml:space="preserve"> practice</w:t>
      </w:r>
      <w:r>
        <w:t>s</w:t>
      </w:r>
      <w:proofErr w:type="gramEnd"/>
      <w:r>
        <w:t xml:space="preserve"> and firm profitability due to cost savings and market reputation (</w:t>
      </w:r>
      <w:r w:rsidR="00D06F27" w:rsidRPr="003A62B7">
        <w:t>Alabi</w:t>
      </w:r>
      <w:r w:rsidR="00D06F27">
        <w:t xml:space="preserve"> et al., </w:t>
      </w:r>
      <w:r w:rsidR="00D06F27" w:rsidRPr="003A62B7">
        <w:t>2024</w:t>
      </w:r>
      <w:r>
        <w:t>), others observe inconclusive or negative associations, possibly due to short-term compliance costs or</w:t>
      </w:r>
      <w:r w:rsidR="00FD7697">
        <w:t xml:space="preserve"> practice </w:t>
      </w:r>
      <w:r>
        <w:t>inefficiencies (</w:t>
      </w:r>
      <w:r w:rsidR="00D06F27" w:rsidRPr="003A62B7">
        <w:t>Alabi</w:t>
      </w:r>
      <w:r w:rsidR="00D06F27">
        <w:t xml:space="preserve"> et al., </w:t>
      </w:r>
      <w:r w:rsidR="00D06F27" w:rsidRPr="003A62B7">
        <w:t>2024</w:t>
      </w:r>
      <w:r w:rsidR="00D06F27">
        <w:t xml:space="preserve">). </w:t>
      </w:r>
      <w:r>
        <w:t xml:space="preserve">In Nigeria’s manufacturing sector—characterized by regulatory flux and infrastructure gaps—this relationship is further complicated by systemic challenges such as inconsistent policy enforcement and market volatility Thus, conceptual clarity is needed to dissect how, why, and under what conditions environmental waste and pollution </w:t>
      </w:r>
      <w:proofErr w:type="gramStart"/>
      <w:r>
        <w:t xml:space="preserve">control </w:t>
      </w:r>
      <w:r w:rsidR="001E4E58">
        <w:t xml:space="preserve"> practice</w:t>
      </w:r>
      <w:r>
        <w:t>s</w:t>
      </w:r>
      <w:proofErr w:type="gramEnd"/>
      <w:r>
        <w:t xml:space="preserve"> influence financial outcomes in this context. This nuanced understanding is crucial for informing both academic theory and industrial policy in sustainability accounting.</w:t>
      </w:r>
      <w:r w:rsidR="0039711D">
        <w:t xml:space="preserve"> In line to this assertive .</w:t>
      </w:r>
      <w:r>
        <w:t>the study aims to clarify whether environmental transparency functions as a strategic financial asset or remains an unproductive compliance exercise within the Nigerian manufacturing landscape.</w:t>
      </w:r>
    </w:p>
    <w:p w14:paraId="3599701F" w14:textId="3CF8AE0A" w:rsidR="00E57B83" w:rsidRPr="00E57B83" w:rsidRDefault="00E57B83" w:rsidP="00E57B83">
      <w:pPr>
        <w:spacing w:before="100" w:beforeAutospacing="1" w:after="100" w:afterAutospacing="1" w:line="240" w:lineRule="auto"/>
        <w:jc w:val="both"/>
        <w:rPr>
          <w:rStyle w:val="Strong"/>
          <w:rFonts w:ascii="Times New Roman" w:hAnsi="Times New Roman" w:cs="Times New Roman"/>
          <w:sz w:val="24"/>
          <w:szCs w:val="24"/>
        </w:rPr>
      </w:pPr>
      <w:r w:rsidRPr="00E57B83">
        <w:rPr>
          <w:rStyle w:val="Strong"/>
          <w:rFonts w:ascii="Times New Roman" w:hAnsi="Times New Roman" w:cs="Times New Roman"/>
          <w:sz w:val="24"/>
          <w:szCs w:val="24"/>
        </w:rPr>
        <w:t>Environmental Pollution Control</w:t>
      </w:r>
      <w:r w:rsidR="00FD7697">
        <w:rPr>
          <w:rStyle w:val="Strong"/>
          <w:rFonts w:ascii="Times New Roman" w:hAnsi="Times New Roman" w:cs="Times New Roman"/>
          <w:sz w:val="24"/>
          <w:szCs w:val="24"/>
        </w:rPr>
        <w:t xml:space="preserve"> practice </w:t>
      </w:r>
      <w:r w:rsidRPr="00E57B83">
        <w:rPr>
          <w:rStyle w:val="Strong"/>
          <w:rFonts w:ascii="Times New Roman" w:hAnsi="Times New Roman" w:cs="Times New Roman"/>
          <w:sz w:val="24"/>
          <w:szCs w:val="24"/>
        </w:rPr>
        <w:t xml:space="preserve">and Financial Performance </w:t>
      </w:r>
    </w:p>
    <w:p w14:paraId="4BD8F14F" w14:textId="20368AA0" w:rsidR="009A2964" w:rsidRDefault="00E57B83" w:rsidP="00A614E5">
      <w:pPr>
        <w:spacing w:before="100" w:beforeAutospacing="1" w:after="100" w:afterAutospacing="1" w:line="240" w:lineRule="auto"/>
        <w:jc w:val="both"/>
        <w:rPr>
          <w:rFonts w:ascii="Times New Roman" w:eastAsia="Times New Roman" w:hAnsi="Times New Roman" w:cs="Times New Roman"/>
          <w:sz w:val="24"/>
          <w:szCs w:val="24"/>
        </w:rPr>
      </w:pPr>
      <w:r w:rsidRPr="00343141">
        <w:rPr>
          <w:rFonts w:ascii="Times New Roman" w:eastAsia="Times New Roman" w:hAnsi="Times New Roman" w:cs="Times New Roman"/>
          <w:sz w:val="24"/>
          <w:szCs w:val="24"/>
        </w:rPr>
        <w:t xml:space="preserve">Among the key components of environmental </w:t>
      </w:r>
      <w:r w:rsidR="0039711D">
        <w:rPr>
          <w:rFonts w:ascii="Times New Roman" w:eastAsia="Times New Roman" w:hAnsi="Times New Roman" w:cs="Times New Roman"/>
          <w:sz w:val="24"/>
          <w:szCs w:val="24"/>
        </w:rPr>
        <w:t xml:space="preserve">Accounting </w:t>
      </w:r>
      <w:r w:rsidR="001E4E58">
        <w:rPr>
          <w:rFonts w:ascii="Times New Roman" w:eastAsia="Times New Roman" w:hAnsi="Times New Roman" w:cs="Times New Roman"/>
          <w:sz w:val="24"/>
          <w:szCs w:val="24"/>
        </w:rPr>
        <w:t xml:space="preserve"> practice</w:t>
      </w:r>
      <w:r w:rsidRPr="00343141">
        <w:rPr>
          <w:rFonts w:ascii="Times New Roman" w:eastAsia="Times New Roman" w:hAnsi="Times New Roman" w:cs="Times New Roman"/>
          <w:sz w:val="24"/>
          <w:szCs w:val="24"/>
        </w:rPr>
        <w:t>, pollution control</w:t>
      </w:r>
      <w:r w:rsidR="00FD7697">
        <w:rPr>
          <w:rFonts w:ascii="Times New Roman" w:eastAsia="Times New Roman" w:hAnsi="Times New Roman" w:cs="Times New Roman"/>
          <w:sz w:val="24"/>
          <w:szCs w:val="24"/>
        </w:rPr>
        <w:t xml:space="preserve"> practice </w:t>
      </w:r>
      <w:r w:rsidRPr="00343141">
        <w:rPr>
          <w:rFonts w:ascii="Times New Roman" w:eastAsia="Times New Roman" w:hAnsi="Times New Roman" w:cs="Times New Roman"/>
          <w:sz w:val="24"/>
          <w:szCs w:val="24"/>
        </w:rPr>
        <w:t>has garnered growing attention as firms seek to align business operations with global sustainability goals. Pollution control</w:t>
      </w:r>
      <w:r w:rsidR="00FD7697">
        <w:rPr>
          <w:rFonts w:ascii="Times New Roman" w:eastAsia="Times New Roman" w:hAnsi="Times New Roman" w:cs="Times New Roman"/>
          <w:sz w:val="24"/>
          <w:szCs w:val="24"/>
        </w:rPr>
        <w:t xml:space="preserve"> practice </w:t>
      </w:r>
      <w:r w:rsidRPr="00343141">
        <w:rPr>
          <w:rFonts w:ascii="Times New Roman" w:eastAsia="Times New Roman" w:hAnsi="Times New Roman" w:cs="Times New Roman"/>
          <w:sz w:val="24"/>
          <w:szCs w:val="24"/>
        </w:rPr>
        <w:t>typically includes detailed reports on emissions levels, mitigation measures, and investments in clean technology, thus serving as a measure of a firm's environmental commitment and regulatory compliance (</w:t>
      </w:r>
      <w:r w:rsidR="003A62B7" w:rsidRPr="003A62B7">
        <w:rPr>
          <w:rFonts w:ascii="Times New Roman" w:eastAsia="Times New Roman" w:hAnsi="Times New Roman" w:cs="Times New Roman"/>
          <w:sz w:val="24"/>
          <w:szCs w:val="24"/>
        </w:rPr>
        <w:t>Alabi, Issa,</w:t>
      </w:r>
      <w:r w:rsidR="003A62B7">
        <w:rPr>
          <w:rFonts w:ascii="Times New Roman" w:eastAsia="Times New Roman" w:hAnsi="Times New Roman" w:cs="Times New Roman"/>
          <w:sz w:val="24"/>
          <w:szCs w:val="24"/>
        </w:rPr>
        <w:t xml:space="preserve"> </w:t>
      </w:r>
      <w:r w:rsidR="003A62B7" w:rsidRPr="003A62B7">
        <w:rPr>
          <w:rFonts w:ascii="Times New Roman" w:eastAsia="Times New Roman" w:hAnsi="Times New Roman" w:cs="Times New Roman"/>
          <w:sz w:val="24"/>
          <w:szCs w:val="24"/>
        </w:rPr>
        <w:t>&amp; Usman, 2024</w:t>
      </w:r>
      <w:r w:rsidRPr="00343141">
        <w:rPr>
          <w:rFonts w:ascii="Times New Roman" w:eastAsia="Times New Roman" w:hAnsi="Times New Roman" w:cs="Times New Roman"/>
          <w:sz w:val="24"/>
          <w:szCs w:val="24"/>
        </w:rPr>
        <w:t xml:space="preserve">). </w:t>
      </w:r>
      <w:proofErr w:type="gramStart"/>
      <w:r w:rsidRPr="00343141">
        <w:rPr>
          <w:rFonts w:ascii="Times New Roman" w:eastAsia="Times New Roman" w:hAnsi="Times New Roman" w:cs="Times New Roman"/>
          <w:sz w:val="24"/>
          <w:szCs w:val="24"/>
        </w:rPr>
        <w:t xml:space="preserve">Such </w:t>
      </w:r>
      <w:r w:rsidR="001E4E58">
        <w:rPr>
          <w:rFonts w:ascii="Times New Roman" w:eastAsia="Times New Roman" w:hAnsi="Times New Roman" w:cs="Times New Roman"/>
          <w:sz w:val="24"/>
          <w:szCs w:val="24"/>
        </w:rPr>
        <w:t xml:space="preserve"> practice</w:t>
      </w:r>
      <w:r w:rsidRPr="00343141">
        <w:rPr>
          <w:rFonts w:ascii="Times New Roman" w:eastAsia="Times New Roman" w:hAnsi="Times New Roman" w:cs="Times New Roman"/>
          <w:sz w:val="24"/>
          <w:szCs w:val="24"/>
        </w:rPr>
        <w:t>s</w:t>
      </w:r>
      <w:proofErr w:type="gramEnd"/>
      <w:r w:rsidRPr="00343141">
        <w:rPr>
          <w:rFonts w:ascii="Times New Roman" w:eastAsia="Times New Roman" w:hAnsi="Times New Roman" w:cs="Times New Roman"/>
          <w:sz w:val="24"/>
          <w:szCs w:val="24"/>
        </w:rPr>
        <w:t xml:space="preserve"> are rooted in stakeholder and legitimacy theories, which posit that transparent environmental behavior strengthens corporate reputation, fosters investor confidence, and secures social license to operate</w:t>
      </w:r>
      <w:r w:rsidR="00D06F27">
        <w:rPr>
          <w:rFonts w:ascii="Times New Roman" w:eastAsia="Times New Roman" w:hAnsi="Times New Roman" w:cs="Times New Roman"/>
          <w:sz w:val="24"/>
          <w:szCs w:val="24"/>
        </w:rPr>
        <w:t>.</w:t>
      </w:r>
      <w:r w:rsidRPr="00343141">
        <w:rPr>
          <w:rFonts w:ascii="Times New Roman" w:eastAsia="Times New Roman" w:hAnsi="Times New Roman" w:cs="Times New Roman"/>
          <w:sz w:val="24"/>
          <w:szCs w:val="24"/>
        </w:rPr>
        <w:t xml:space="preserve"> In particular, pollution control initiatives reflect an organization's capacity to innovate and mitigate environmental harm, potentially reducing legal risks and improving operational efficiency </w:t>
      </w:r>
      <w:r w:rsidR="00EC6420" w:rsidRPr="00343141">
        <w:rPr>
          <w:rFonts w:ascii="Times New Roman" w:eastAsia="Times New Roman" w:hAnsi="Times New Roman" w:cs="Times New Roman"/>
          <w:sz w:val="24"/>
          <w:szCs w:val="24"/>
        </w:rPr>
        <w:t>(</w:t>
      </w:r>
      <w:r w:rsidR="00EC6420" w:rsidRPr="00EC6420">
        <w:rPr>
          <w:rFonts w:ascii="Times New Roman" w:eastAsia="Times New Roman" w:hAnsi="Times New Roman" w:cs="Times New Roman"/>
          <w:sz w:val="24"/>
          <w:szCs w:val="24"/>
        </w:rPr>
        <w:t xml:space="preserve">Tong, </w:t>
      </w:r>
      <w:r w:rsidR="00EC6420">
        <w:rPr>
          <w:rFonts w:ascii="Times New Roman" w:eastAsia="Times New Roman" w:hAnsi="Times New Roman" w:cs="Times New Roman"/>
          <w:sz w:val="24"/>
          <w:szCs w:val="24"/>
        </w:rPr>
        <w:t>et al., 2022).</w:t>
      </w:r>
      <w:r w:rsidRPr="00343141">
        <w:rPr>
          <w:rFonts w:ascii="Times New Roman" w:eastAsia="Times New Roman" w:hAnsi="Times New Roman" w:cs="Times New Roman"/>
          <w:sz w:val="24"/>
          <w:szCs w:val="24"/>
        </w:rPr>
        <w:t xml:space="preserve"> When strategically communicated, these practices may enhance a company’s brand equity and appeal to environmentally conscious stakeholders.</w:t>
      </w:r>
      <w:r w:rsidR="009A2964">
        <w:rPr>
          <w:rFonts w:ascii="Times New Roman" w:eastAsia="Times New Roman" w:hAnsi="Times New Roman" w:cs="Times New Roman"/>
          <w:sz w:val="24"/>
          <w:szCs w:val="24"/>
        </w:rPr>
        <w:t xml:space="preserve"> </w:t>
      </w:r>
      <w:r w:rsidRPr="00343141">
        <w:rPr>
          <w:rFonts w:ascii="Times New Roman" w:eastAsia="Times New Roman" w:hAnsi="Times New Roman" w:cs="Times New Roman"/>
          <w:sz w:val="24"/>
          <w:szCs w:val="24"/>
        </w:rPr>
        <w:t xml:space="preserve">From the perspective of the </w:t>
      </w:r>
      <w:r w:rsidRPr="00343141">
        <w:rPr>
          <w:rFonts w:ascii="Times New Roman" w:eastAsia="Times New Roman" w:hAnsi="Times New Roman" w:cs="Times New Roman"/>
          <w:bCs/>
          <w:sz w:val="24"/>
          <w:szCs w:val="24"/>
        </w:rPr>
        <w:t>resource-based view (RBV)</w:t>
      </w:r>
      <w:r w:rsidRPr="00343141">
        <w:rPr>
          <w:rFonts w:ascii="Times New Roman" w:eastAsia="Times New Roman" w:hAnsi="Times New Roman" w:cs="Times New Roman"/>
          <w:sz w:val="24"/>
          <w:szCs w:val="24"/>
        </w:rPr>
        <w:t>, effective pollution control and its transparent</w:t>
      </w:r>
      <w:r w:rsidR="00FD7697">
        <w:rPr>
          <w:rFonts w:ascii="Times New Roman" w:eastAsia="Times New Roman" w:hAnsi="Times New Roman" w:cs="Times New Roman"/>
          <w:sz w:val="24"/>
          <w:szCs w:val="24"/>
        </w:rPr>
        <w:t xml:space="preserve"> practice </w:t>
      </w:r>
      <w:r w:rsidRPr="00343141">
        <w:rPr>
          <w:rFonts w:ascii="Times New Roman" w:eastAsia="Times New Roman" w:hAnsi="Times New Roman" w:cs="Times New Roman"/>
          <w:sz w:val="24"/>
          <w:szCs w:val="24"/>
        </w:rPr>
        <w:t xml:space="preserve">can be considered valuable, rare, and inimitable resources that contribute to long-term competitive advantage (Barney, 1991; Barney &amp; Clark, 2007). However, the relationship between </w:t>
      </w:r>
      <w:proofErr w:type="gramStart"/>
      <w:r w:rsidRPr="00343141">
        <w:rPr>
          <w:rFonts w:ascii="Times New Roman" w:eastAsia="Times New Roman" w:hAnsi="Times New Roman" w:cs="Times New Roman"/>
          <w:sz w:val="24"/>
          <w:szCs w:val="24"/>
        </w:rPr>
        <w:t xml:space="preserve">such </w:t>
      </w:r>
      <w:r w:rsidR="001E4E58">
        <w:rPr>
          <w:rFonts w:ascii="Times New Roman" w:eastAsia="Times New Roman" w:hAnsi="Times New Roman" w:cs="Times New Roman"/>
          <w:sz w:val="24"/>
          <w:szCs w:val="24"/>
        </w:rPr>
        <w:t xml:space="preserve"> practice</w:t>
      </w:r>
      <w:r w:rsidRPr="00343141">
        <w:rPr>
          <w:rFonts w:ascii="Times New Roman" w:eastAsia="Times New Roman" w:hAnsi="Times New Roman" w:cs="Times New Roman"/>
          <w:sz w:val="24"/>
          <w:szCs w:val="24"/>
        </w:rPr>
        <w:t>s</w:t>
      </w:r>
      <w:proofErr w:type="gramEnd"/>
      <w:r w:rsidRPr="00343141">
        <w:rPr>
          <w:rFonts w:ascii="Times New Roman" w:eastAsia="Times New Roman" w:hAnsi="Times New Roman" w:cs="Times New Roman"/>
          <w:sz w:val="24"/>
          <w:szCs w:val="24"/>
        </w:rPr>
        <w:t xml:space="preserve"> and financial performance</w:t>
      </w:r>
      <w:r w:rsidR="00D06F27">
        <w:rPr>
          <w:rFonts w:ascii="Times New Roman" w:eastAsia="Times New Roman" w:hAnsi="Times New Roman" w:cs="Times New Roman"/>
          <w:sz w:val="24"/>
          <w:szCs w:val="24"/>
        </w:rPr>
        <w:t xml:space="preserve"> </w:t>
      </w:r>
      <w:r w:rsidRPr="00343141">
        <w:rPr>
          <w:rFonts w:ascii="Times New Roman" w:eastAsia="Times New Roman" w:hAnsi="Times New Roman" w:cs="Times New Roman"/>
          <w:sz w:val="24"/>
          <w:szCs w:val="24"/>
        </w:rPr>
        <w:t>measured through ROA, EPS, and net profit margins</w:t>
      </w:r>
      <w:r w:rsidR="0039711D">
        <w:rPr>
          <w:rFonts w:ascii="Times New Roman" w:eastAsia="Times New Roman" w:hAnsi="Times New Roman" w:cs="Times New Roman"/>
          <w:sz w:val="24"/>
          <w:szCs w:val="24"/>
        </w:rPr>
        <w:t xml:space="preserve"> </w:t>
      </w:r>
      <w:r w:rsidRPr="00343141">
        <w:rPr>
          <w:rFonts w:ascii="Times New Roman" w:eastAsia="Times New Roman" w:hAnsi="Times New Roman" w:cs="Times New Roman"/>
          <w:sz w:val="24"/>
          <w:szCs w:val="24"/>
        </w:rPr>
        <w:t xml:space="preserve">remains empirically </w:t>
      </w:r>
      <w:proofErr w:type="spellStart"/>
      <w:r w:rsidRPr="00343141">
        <w:rPr>
          <w:rFonts w:ascii="Times New Roman" w:eastAsia="Times New Roman" w:hAnsi="Times New Roman" w:cs="Times New Roman"/>
          <w:sz w:val="24"/>
          <w:szCs w:val="24"/>
        </w:rPr>
        <w:t>inconclusiveGiven</w:t>
      </w:r>
      <w:proofErr w:type="spellEnd"/>
      <w:r w:rsidRPr="00343141">
        <w:rPr>
          <w:rFonts w:ascii="Times New Roman" w:eastAsia="Times New Roman" w:hAnsi="Times New Roman" w:cs="Times New Roman"/>
          <w:sz w:val="24"/>
          <w:szCs w:val="24"/>
        </w:rPr>
        <w:t xml:space="preserve"> Nigeria’s unique industrial landscape, where firms face systemic barriers including poor infrastructure and weak enforcement of environmental standards (</w:t>
      </w:r>
      <w:r w:rsidR="0029029D" w:rsidRPr="0029029D">
        <w:rPr>
          <w:rFonts w:ascii="Times New Roman" w:eastAsia="Times New Roman" w:hAnsi="Times New Roman" w:cs="Times New Roman"/>
          <w:sz w:val="24"/>
          <w:szCs w:val="24"/>
        </w:rPr>
        <w:t>Krammer&amp; Schäfer</w:t>
      </w:r>
      <w:r w:rsidR="0029029D">
        <w:rPr>
          <w:rFonts w:ascii="Times New Roman" w:eastAsia="Times New Roman" w:hAnsi="Times New Roman" w:cs="Times New Roman"/>
          <w:sz w:val="24"/>
          <w:szCs w:val="24"/>
        </w:rPr>
        <w:t xml:space="preserve">, </w:t>
      </w:r>
      <w:r w:rsidR="0029029D" w:rsidRPr="0029029D">
        <w:rPr>
          <w:rFonts w:ascii="Times New Roman" w:eastAsia="Times New Roman" w:hAnsi="Times New Roman" w:cs="Times New Roman"/>
          <w:sz w:val="24"/>
          <w:szCs w:val="24"/>
        </w:rPr>
        <w:t>2025</w:t>
      </w:r>
      <w:r w:rsidRPr="00343141">
        <w:rPr>
          <w:rFonts w:ascii="Times New Roman" w:eastAsia="Times New Roman" w:hAnsi="Times New Roman" w:cs="Times New Roman"/>
          <w:sz w:val="24"/>
          <w:szCs w:val="24"/>
        </w:rPr>
        <w:t xml:space="preserve">), it becomes imperative to examine whether pollution control </w:t>
      </w:r>
      <w:r w:rsidR="001E4E58">
        <w:rPr>
          <w:rFonts w:ascii="Times New Roman" w:eastAsia="Times New Roman" w:hAnsi="Times New Roman" w:cs="Times New Roman"/>
          <w:sz w:val="24"/>
          <w:szCs w:val="24"/>
        </w:rPr>
        <w:t xml:space="preserve"> practice</w:t>
      </w:r>
      <w:r w:rsidRPr="00343141">
        <w:rPr>
          <w:rFonts w:ascii="Times New Roman" w:eastAsia="Times New Roman" w:hAnsi="Times New Roman" w:cs="Times New Roman"/>
          <w:sz w:val="24"/>
          <w:szCs w:val="24"/>
        </w:rPr>
        <w:t>s significantly influence firm-level financial outcomes. Such an investigation not only contributes to sustainability accounting literature but also informs strategic decision-making within the manufacturing sector.</w:t>
      </w:r>
    </w:p>
    <w:p w14:paraId="741CD474" w14:textId="77777777" w:rsidR="0029029D" w:rsidRDefault="0029029D" w:rsidP="00A614E5">
      <w:pPr>
        <w:spacing w:before="100" w:beforeAutospacing="1" w:after="100" w:afterAutospacing="1" w:line="240" w:lineRule="auto"/>
        <w:jc w:val="both"/>
        <w:rPr>
          <w:rFonts w:ascii="Times New Roman" w:eastAsia="Times New Roman" w:hAnsi="Times New Roman" w:cs="Times New Roman"/>
          <w:sz w:val="24"/>
          <w:szCs w:val="24"/>
        </w:rPr>
      </w:pPr>
    </w:p>
    <w:p w14:paraId="15747F8D" w14:textId="77777777" w:rsidR="0029029D" w:rsidRDefault="0029029D" w:rsidP="00A614E5">
      <w:pPr>
        <w:spacing w:before="100" w:beforeAutospacing="1" w:after="100" w:afterAutospacing="1" w:line="240" w:lineRule="auto"/>
        <w:jc w:val="both"/>
        <w:rPr>
          <w:rFonts w:ascii="Times New Roman" w:eastAsia="Times New Roman" w:hAnsi="Times New Roman" w:cs="Times New Roman"/>
          <w:sz w:val="24"/>
          <w:szCs w:val="24"/>
        </w:rPr>
      </w:pPr>
    </w:p>
    <w:p w14:paraId="7131B213" w14:textId="77777777" w:rsidR="00D06F27" w:rsidRDefault="00D06F27" w:rsidP="00A614E5">
      <w:pPr>
        <w:spacing w:before="100" w:beforeAutospacing="1" w:after="100" w:afterAutospacing="1" w:line="240" w:lineRule="auto"/>
        <w:jc w:val="both"/>
        <w:rPr>
          <w:rFonts w:ascii="Times New Roman" w:eastAsia="Times New Roman" w:hAnsi="Times New Roman" w:cs="Times New Roman"/>
          <w:sz w:val="24"/>
          <w:szCs w:val="24"/>
        </w:rPr>
      </w:pPr>
    </w:p>
    <w:p w14:paraId="2854F61C" w14:textId="77777777" w:rsidR="00D06F27" w:rsidRPr="00A614E5" w:rsidRDefault="00D06F27" w:rsidP="00A614E5">
      <w:pPr>
        <w:spacing w:before="100" w:beforeAutospacing="1" w:after="100" w:afterAutospacing="1" w:line="240" w:lineRule="auto"/>
        <w:jc w:val="both"/>
        <w:rPr>
          <w:rFonts w:ascii="Times New Roman" w:eastAsia="Times New Roman" w:hAnsi="Times New Roman" w:cs="Times New Roman"/>
          <w:sz w:val="24"/>
          <w:szCs w:val="24"/>
        </w:rPr>
      </w:pPr>
    </w:p>
    <w:p w14:paraId="60466A86" w14:textId="77777777" w:rsidR="009A2964" w:rsidRPr="0076051E" w:rsidRDefault="009A2964" w:rsidP="00E57B83">
      <w:pPr>
        <w:spacing w:line="360" w:lineRule="auto"/>
        <w:rPr>
          <w:rFonts w:asciiTheme="majorBidi" w:hAnsiTheme="majorBidi" w:cstheme="majorBidi"/>
          <w:sz w:val="24"/>
        </w:rPr>
      </w:pPr>
    </w:p>
    <w:p w14:paraId="46FFAF74" w14:textId="7ABADD60" w:rsidR="00E57B83" w:rsidRPr="0076051E" w:rsidRDefault="00A614E5" w:rsidP="00E57B83">
      <w:pPr>
        <w:spacing w:line="360" w:lineRule="auto"/>
        <w:rPr>
          <w:rFonts w:asciiTheme="majorBidi" w:hAnsiTheme="majorBidi" w:cstheme="majorBidi"/>
          <w:b/>
          <w:bCs/>
          <w:sz w:val="24"/>
        </w:rPr>
      </w:pPr>
      <w:r w:rsidRPr="0076051E">
        <w:rPr>
          <w:rFonts w:asciiTheme="majorBidi" w:hAnsiTheme="majorBidi" w:cstheme="majorBidi"/>
          <w:noProof/>
          <w:sz w:val="24"/>
        </w:rPr>
        <w:lastRenderedPageBreak/>
        <mc:AlternateContent>
          <mc:Choice Requires="wps">
            <w:drawing>
              <wp:anchor distT="0" distB="0" distL="114300" distR="114300" simplePos="0" relativeHeight="251659264" behindDoc="1" locked="0" layoutInCell="1" allowOverlap="1" wp14:anchorId="70FDCE33" wp14:editId="4B4D59C9">
                <wp:simplePos x="0" y="0"/>
                <wp:positionH relativeFrom="margin">
                  <wp:posOffset>0</wp:posOffset>
                </wp:positionH>
                <wp:positionV relativeFrom="paragraph">
                  <wp:posOffset>237067</wp:posOffset>
                </wp:positionV>
                <wp:extent cx="2080260" cy="3606800"/>
                <wp:effectExtent l="0" t="0" r="15240" b="12700"/>
                <wp:wrapNone/>
                <wp:docPr id="1043212252" name="Rectangle: Rounded Corners 1"/>
                <wp:cNvGraphicFramePr/>
                <a:graphic xmlns:a="http://schemas.openxmlformats.org/drawingml/2006/main">
                  <a:graphicData uri="http://schemas.microsoft.com/office/word/2010/wordprocessingShape">
                    <wps:wsp>
                      <wps:cNvSpPr/>
                      <wps:spPr>
                        <a:xfrm>
                          <a:off x="0" y="0"/>
                          <a:ext cx="2080260" cy="3606800"/>
                        </a:xfrm>
                        <a:prstGeom prst="roundRect">
                          <a:avLst/>
                        </a:prstGeom>
                      </wps:spPr>
                      <wps:style>
                        <a:lnRef idx="2">
                          <a:schemeClr val="accent2">
                            <a:shade val="15000"/>
                          </a:schemeClr>
                        </a:lnRef>
                        <a:fillRef idx="1">
                          <a:schemeClr val="accent2"/>
                        </a:fillRef>
                        <a:effectRef idx="0">
                          <a:schemeClr val="accent2"/>
                        </a:effectRef>
                        <a:fontRef idx="minor">
                          <a:schemeClr val="lt1"/>
                        </a:fontRef>
                      </wps:style>
                      <wps:txbx>
                        <w:txbxContent>
                          <w:p w14:paraId="0DB73B14" w14:textId="014C1FB8" w:rsidR="00E57B83" w:rsidRPr="00A614E5" w:rsidRDefault="00E57B83" w:rsidP="00E57B83">
                            <w:pPr>
                              <w:jc w:val="center"/>
                              <w:rPr>
                                <w:rFonts w:asciiTheme="majorBidi" w:hAnsiTheme="majorBidi" w:cstheme="majorBidi"/>
                                <w:b/>
                                <w:bCs/>
                                <w:sz w:val="24"/>
                                <w:u w:val="single"/>
                              </w:rPr>
                            </w:pPr>
                            <w:r w:rsidRPr="00A614E5">
                              <w:rPr>
                                <w:rFonts w:asciiTheme="majorBidi" w:hAnsiTheme="majorBidi" w:cstheme="majorBidi"/>
                                <w:b/>
                                <w:bCs/>
                                <w:sz w:val="24"/>
                                <w:u w:val="single"/>
                              </w:rPr>
                              <w:t xml:space="preserve">Green Accounting </w:t>
                            </w:r>
                            <w:r w:rsidR="009A2964" w:rsidRPr="00A614E5">
                              <w:rPr>
                                <w:rFonts w:asciiTheme="majorBidi" w:hAnsiTheme="majorBidi" w:cstheme="majorBidi"/>
                                <w:b/>
                                <w:bCs/>
                                <w:sz w:val="24"/>
                                <w:u w:val="single"/>
                              </w:rPr>
                              <w:t>Practice</w:t>
                            </w:r>
                            <w:r w:rsidRPr="00A614E5">
                              <w:rPr>
                                <w:rFonts w:asciiTheme="majorBidi" w:hAnsiTheme="majorBidi" w:cstheme="majorBidi"/>
                                <w:b/>
                                <w:bCs/>
                                <w:sz w:val="24"/>
                                <w:u w:val="single"/>
                              </w:rPr>
                              <w:t>:</w:t>
                            </w:r>
                          </w:p>
                          <w:p w14:paraId="6DD195F4" w14:textId="77777777" w:rsidR="00A614E5" w:rsidRDefault="00E57B83" w:rsidP="00A614E5">
                            <w:pPr>
                              <w:spacing w:before="100" w:beforeAutospacing="1" w:after="100" w:afterAutospacing="1" w:line="240" w:lineRule="auto"/>
                              <w:rPr>
                                <w:rFonts w:asciiTheme="majorBidi" w:hAnsiTheme="majorBidi" w:cstheme="majorBidi"/>
                                <w:b/>
                                <w:bCs/>
                                <w:sz w:val="24"/>
                              </w:rPr>
                            </w:pPr>
                            <w:r w:rsidRPr="00B42016">
                              <w:rPr>
                                <w:rFonts w:asciiTheme="majorBidi" w:hAnsiTheme="majorBidi" w:cstheme="majorBidi"/>
                                <w:b/>
                                <w:bCs/>
                                <w:sz w:val="24"/>
                              </w:rPr>
                              <w:t xml:space="preserve">Environmental Waste Management </w:t>
                            </w:r>
                            <w:r w:rsidR="00A614E5">
                              <w:rPr>
                                <w:rFonts w:asciiTheme="majorBidi" w:hAnsiTheme="majorBidi" w:cstheme="majorBidi"/>
                                <w:b/>
                                <w:bCs/>
                                <w:sz w:val="24"/>
                              </w:rPr>
                              <w:t xml:space="preserve">Practice </w:t>
                            </w:r>
                            <w:r w:rsidRPr="00B42016">
                              <w:rPr>
                                <w:rFonts w:asciiTheme="majorBidi" w:hAnsiTheme="majorBidi" w:cstheme="majorBidi"/>
                                <w:b/>
                                <w:bCs/>
                                <w:sz w:val="24"/>
                              </w:rPr>
                              <w:t>(EW</w:t>
                            </w:r>
                            <w:r w:rsidR="00A614E5">
                              <w:rPr>
                                <w:rFonts w:asciiTheme="majorBidi" w:hAnsiTheme="majorBidi" w:cstheme="majorBidi"/>
                                <w:b/>
                                <w:bCs/>
                                <w:sz w:val="24"/>
                              </w:rPr>
                              <w:t>MP</w:t>
                            </w:r>
                            <w:r w:rsidRPr="00B42016">
                              <w:rPr>
                                <w:rFonts w:asciiTheme="majorBidi" w:hAnsiTheme="majorBidi" w:cstheme="majorBidi"/>
                                <w:b/>
                                <w:bCs/>
                                <w:sz w:val="24"/>
                              </w:rPr>
                              <w:t>)</w:t>
                            </w:r>
                            <w:r w:rsidR="00A614E5">
                              <w:rPr>
                                <w:rFonts w:asciiTheme="majorBidi" w:hAnsiTheme="majorBidi" w:cstheme="majorBidi"/>
                                <w:b/>
                                <w:bCs/>
                                <w:sz w:val="24"/>
                              </w:rPr>
                              <w:t xml:space="preserve">: </w:t>
                            </w:r>
                          </w:p>
                          <w:p w14:paraId="5A20D86E" w14:textId="77777777" w:rsidR="00A614E5" w:rsidRDefault="00A614E5" w:rsidP="00A614E5">
                            <w:pPr>
                              <w:pStyle w:val="ListParagraph"/>
                              <w:numPr>
                                <w:ilvl w:val="0"/>
                                <w:numId w:val="12"/>
                              </w:numPr>
                              <w:spacing w:before="100" w:beforeAutospacing="1" w:after="100" w:afterAutospacing="1"/>
                              <w:rPr>
                                <w:rFonts w:eastAsia="Times New Roman"/>
                                <w:sz w:val="24"/>
                              </w:rPr>
                            </w:pPr>
                            <w:r w:rsidRPr="00A614E5">
                              <w:rPr>
                                <w:rFonts w:eastAsia="Times New Roman"/>
                                <w:b/>
                                <w:bCs/>
                                <w:sz w:val="24"/>
                              </w:rPr>
                              <w:t>WME</w:t>
                            </w:r>
                            <w:r w:rsidRPr="00A614E5">
                              <w:rPr>
                                <w:rFonts w:eastAsia="Times New Roman"/>
                                <w:sz w:val="24"/>
                              </w:rPr>
                              <w:t xml:space="preserve"> = Waste Management Expenditure,</w:t>
                            </w:r>
                          </w:p>
                          <w:p w14:paraId="7CA44CC5" w14:textId="77777777" w:rsidR="00A614E5" w:rsidRDefault="00A614E5" w:rsidP="00A614E5">
                            <w:pPr>
                              <w:pStyle w:val="ListParagraph"/>
                              <w:numPr>
                                <w:ilvl w:val="0"/>
                                <w:numId w:val="12"/>
                              </w:numPr>
                              <w:spacing w:before="100" w:beforeAutospacing="1" w:after="100" w:afterAutospacing="1"/>
                              <w:rPr>
                                <w:rFonts w:eastAsia="Times New Roman"/>
                                <w:sz w:val="24"/>
                              </w:rPr>
                            </w:pPr>
                            <w:r w:rsidRPr="00A614E5">
                              <w:rPr>
                                <w:rFonts w:eastAsia="Times New Roman"/>
                                <w:b/>
                                <w:bCs/>
                                <w:sz w:val="24"/>
                              </w:rPr>
                              <w:t>CIWTF</w:t>
                            </w:r>
                            <w:r w:rsidRPr="00A614E5">
                              <w:rPr>
                                <w:rFonts w:eastAsia="Times New Roman"/>
                                <w:sz w:val="24"/>
                              </w:rPr>
                              <w:t xml:space="preserve"> = Capital Investment in Waste Treatment Facilities,</w:t>
                            </w:r>
                          </w:p>
                          <w:p w14:paraId="55536095" w14:textId="51007C6F" w:rsidR="00E57B83" w:rsidRPr="00746A77" w:rsidRDefault="00A614E5" w:rsidP="003D4438">
                            <w:pPr>
                              <w:pStyle w:val="ListParagraph"/>
                              <w:numPr>
                                <w:ilvl w:val="0"/>
                                <w:numId w:val="12"/>
                              </w:numPr>
                              <w:spacing w:before="100" w:beforeAutospacing="1" w:after="100" w:afterAutospacing="1"/>
                              <w:rPr>
                                <w:rFonts w:asciiTheme="majorBidi" w:hAnsiTheme="majorBidi" w:cstheme="majorBidi"/>
                                <w:b/>
                                <w:bCs/>
                                <w:sz w:val="24"/>
                              </w:rPr>
                            </w:pPr>
                            <w:r w:rsidRPr="00A614E5">
                              <w:rPr>
                                <w:rFonts w:eastAsia="Times New Roman"/>
                                <w:sz w:val="24"/>
                              </w:rPr>
                              <w:t xml:space="preserve"> </w:t>
                            </w:r>
                            <w:r w:rsidRPr="00A614E5">
                              <w:rPr>
                                <w:rFonts w:eastAsia="Times New Roman"/>
                                <w:b/>
                                <w:bCs/>
                                <w:sz w:val="24"/>
                              </w:rPr>
                              <w:t>FPWM</w:t>
                            </w:r>
                            <w:r w:rsidRPr="00A614E5">
                              <w:rPr>
                                <w:rFonts w:eastAsia="Times New Roman"/>
                                <w:sz w:val="24"/>
                              </w:rPr>
                              <w:t xml:space="preserve"> = Fines and Penalties for Waste Mismanageme</w:t>
                            </w:r>
                            <w:r w:rsidR="003D4438">
                              <w:rPr>
                                <w:rFonts w:eastAsia="Times New Roman"/>
                                <w:sz w:val="24"/>
                              </w:rPr>
                              <w:t>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FDCE33" id="Rectangle: Rounded Corners 1" o:spid="_x0000_s1026" style="position:absolute;margin-left:0;margin-top:18.65pt;width:163.8pt;height:2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" fillcolor="#ed7d31 [3205]" strokecolor="#261103 [485]" strokeweight="1pt">
                <v:stroke joinstyle="miter"/>
                <v:textbox>
                  <w:txbxContent>
                    <w:p w14:paraId="0DB73B14" w14:textId="014C1FB8" w:rsidR="00E57B83" w:rsidRPr="00A614E5" w:rsidRDefault="00E57B83" w:rsidP="00E57B83">
                      <w:pPr>
                        <w:jc w:val="center"/>
                        <w:rPr>
                          <w:rFonts w:asciiTheme="majorBidi" w:hAnsiTheme="majorBidi" w:cstheme="majorBidi"/>
                          <w:b/>
                          <w:bCs/>
                          <w:sz w:val="24"/>
                          <w:u w:val="single"/>
                        </w:rPr>
                      </w:pPr>
                      <w:r w:rsidRPr="00A614E5">
                        <w:rPr>
                          <w:rFonts w:asciiTheme="majorBidi" w:hAnsiTheme="majorBidi" w:cstheme="majorBidi"/>
                          <w:b/>
                          <w:bCs/>
                          <w:sz w:val="24"/>
                          <w:u w:val="single"/>
                        </w:rPr>
                        <w:t xml:space="preserve">Green Accounting </w:t>
                      </w:r>
                      <w:r w:rsidR="009A2964" w:rsidRPr="00A614E5">
                        <w:rPr>
                          <w:rFonts w:asciiTheme="majorBidi" w:hAnsiTheme="majorBidi" w:cstheme="majorBidi"/>
                          <w:b/>
                          <w:bCs/>
                          <w:sz w:val="24"/>
                          <w:u w:val="single"/>
                        </w:rPr>
                        <w:t>Practice</w:t>
                      </w:r>
                      <w:r w:rsidRPr="00A614E5">
                        <w:rPr>
                          <w:rFonts w:asciiTheme="majorBidi" w:hAnsiTheme="majorBidi" w:cstheme="majorBidi"/>
                          <w:b/>
                          <w:bCs/>
                          <w:sz w:val="24"/>
                          <w:u w:val="single"/>
                        </w:rPr>
                        <w:t>:</w:t>
                      </w:r>
                    </w:p>
                    <w:p w14:paraId="6DD195F4" w14:textId="77777777" w:rsidR="00A614E5" w:rsidRDefault="00E57B83" w:rsidP="00A614E5">
                      <w:pPr>
                        <w:spacing w:before="100" w:beforeAutospacing="1" w:after="100" w:afterAutospacing="1" w:line="240" w:lineRule="auto"/>
                        <w:rPr>
                          <w:rFonts w:asciiTheme="majorBidi" w:hAnsiTheme="majorBidi" w:cstheme="majorBidi"/>
                          <w:b/>
                          <w:bCs/>
                          <w:sz w:val="24"/>
                        </w:rPr>
                      </w:pPr>
                      <w:r w:rsidRPr="00B42016">
                        <w:rPr>
                          <w:rFonts w:asciiTheme="majorBidi" w:hAnsiTheme="majorBidi" w:cstheme="majorBidi"/>
                          <w:b/>
                          <w:bCs/>
                          <w:sz w:val="24"/>
                        </w:rPr>
                        <w:t xml:space="preserve">Environmental Waste Management </w:t>
                      </w:r>
                      <w:r w:rsidR="00A614E5">
                        <w:rPr>
                          <w:rFonts w:asciiTheme="majorBidi" w:hAnsiTheme="majorBidi" w:cstheme="majorBidi"/>
                          <w:b/>
                          <w:bCs/>
                          <w:sz w:val="24"/>
                        </w:rPr>
                        <w:t xml:space="preserve">Practice </w:t>
                      </w:r>
                      <w:r w:rsidRPr="00B42016">
                        <w:rPr>
                          <w:rFonts w:asciiTheme="majorBidi" w:hAnsiTheme="majorBidi" w:cstheme="majorBidi"/>
                          <w:b/>
                          <w:bCs/>
                          <w:sz w:val="24"/>
                        </w:rPr>
                        <w:t>(EW</w:t>
                      </w:r>
                      <w:r w:rsidR="00A614E5">
                        <w:rPr>
                          <w:rFonts w:asciiTheme="majorBidi" w:hAnsiTheme="majorBidi" w:cstheme="majorBidi"/>
                          <w:b/>
                          <w:bCs/>
                          <w:sz w:val="24"/>
                        </w:rPr>
                        <w:t>MP</w:t>
                      </w:r>
                      <w:r w:rsidRPr="00B42016">
                        <w:rPr>
                          <w:rFonts w:asciiTheme="majorBidi" w:hAnsiTheme="majorBidi" w:cstheme="majorBidi"/>
                          <w:b/>
                          <w:bCs/>
                          <w:sz w:val="24"/>
                        </w:rPr>
                        <w:t>)</w:t>
                      </w:r>
                      <w:r w:rsidR="00A614E5">
                        <w:rPr>
                          <w:rFonts w:asciiTheme="majorBidi" w:hAnsiTheme="majorBidi" w:cstheme="majorBidi"/>
                          <w:b/>
                          <w:bCs/>
                          <w:sz w:val="24"/>
                        </w:rPr>
                        <w:t xml:space="preserve">: </w:t>
                      </w:r>
                    </w:p>
                    <w:p w14:paraId="5A20D86E" w14:textId="77777777" w:rsidR="00A614E5" w:rsidRDefault="00A614E5" w:rsidP="00A614E5">
                      <w:pPr>
                        <w:pStyle w:val="ListParagraph"/>
                        <w:numPr>
                          <w:ilvl w:val="0"/>
                          <w:numId w:val="12"/>
                        </w:numPr>
                        <w:spacing w:before="100" w:beforeAutospacing="1" w:after="100" w:afterAutospacing="1"/>
                        <w:rPr>
                          <w:rFonts w:eastAsia="Times New Roman"/>
                          <w:sz w:val="24"/>
                        </w:rPr>
                      </w:pPr>
                      <w:r w:rsidRPr="00A614E5">
                        <w:rPr>
                          <w:rFonts w:eastAsia="Times New Roman"/>
                          <w:b/>
                          <w:bCs/>
                          <w:sz w:val="24"/>
                        </w:rPr>
                        <w:t>WME</w:t>
                      </w:r>
                      <w:r w:rsidRPr="00A614E5">
                        <w:rPr>
                          <w:rFonts w:eastAsia="Times New Roman"/>
                          <w:sz w:val="24"/>
                        </w:rPr>
                        <w:t xml:space="preserve"> = Waste Management Expenditure,</w:t>
                      </w:r>
                    </w:p>
                    <w:p w14:paraId="7CA44CC5" w14:textId="77777777" w:rsidR="00A614E5" w:rsidRDefault="00A614E5" w:rsidP="00A614E5">
                      <w:pPr>
                        <w:pStyle w:val="ListParagraph"/>
                        <w:numPr>
                          <w:ilvl w:val="0"/>
                          <w:numId w:val="12"/>
                        </w:numPr>
                        <w:spacing w:before="100" w:beforeAutospacing="1" w:after="100" w:afterAutospacing="1"/>
                        <w:rPr>
                          <w:rFonts w:eastAsia="Times New Roman"/>
                          <w:sz w:val="24"/>
                        </w:rPr>
                      </w:pPr>
                      <w:r w:rsidRPr="00A614E5">
                        <w:rPr>
                          <w:rFonts w:eastAsia="Times New Roman"/>
                          <w:b/>
                          <w:bCs/>
                          <w:sz w:val="24"/>
                        </w:rPr>
                        <w:t>CIWTF</w:t>
                      </w:r>
                      <w:r w:rsidRPr="00A614E5">
                        <w:rPr>
                          <w:rFonts w:eastAsia="Times New Roman"/>
                          <w:sz w:val="24"/>
                        </w:rPr>
                        <w:t xml:space="preserve"> = Capital Investment in Waste Treatment Facilities,</w:t>
                      </w:r>
                    </w:p>
                    <w:p w14:paraId="55536095" w14:textId="51007C6F" w:rsidR="00E57B83" w:rsidRPr="00746A77" w:rsidRDefault="00A614E5" w:rsidP="003D4438">
                      <w:pPr>
                        <w:pStyle w:val="ListParagraph"/>
                        <w:numPr>
                          <w:ilvl w:val="0"/>
                          <w:numId w:val="12"/>
                        </w:numPr>
                        <w:spacing w:before="100" w:beforeAutospacing="1" w:after="100" w:afterAutospacing="1"/>
                        <w:rPr>
                          <w:rFonts w:asciiTheme="majorBidi" w:hAnsiTheme="majorBidi" w:cstheme="majorBidi"/>
                          <w:b/>
                          <w:bCs/>
                          <w:sz w:val="24"/>
                        </w:rPr>
                      </w:pPr>
                      <w:r w:rsidRPr="00A614E5">
                        <w:rPr>
                          <w:rFonts w:eastAsia="Times New Roman"/>
                          <w:sz w:val="24"/>
                        </w:rPr>
                        <w:t xml:space="preserve"> </w:t>
                      </w:r>
                      <w:r w:rsidRPr="00A614E5">
                        <w:rPr>
                          <w:rFonts w:eastAsia="Times New Roman"/>
                          <w:b/>
                          <w:bCs/>
                          <w:sz w:val="24"/>
                        </w:rPr>
                        <w:t>FPWM</w:t>
                      </w:r>
                      <w:r w:rsidRPr="00A614E5">
                        <w:rPr>
                          <w:rFonts w:eastAsia="Times New Roman"/>
                          <w:sz w:val="24"/>
                        </w:rPr>
                        <w:t xml:space="preserve"> = Fines and Penalties for Waste Mismanageme</w:t>
                      </w:r>
                      <w:r w:rsidR="003D4438">
                        <w:rPr>
                          <w:rFonts w:eastAsia="Times New Roman"/>
                          <w:sz w:val="24"/>
                        </w:rPr>
                        <w:t>nt</w:t>
                      </w:r>
                    </w:p>
                  </w:txbxContent>
                </v:textbox>
                <w10:wrap anchorx="margin"/>
              </v:roundrect>
            </w:pict>
          </mc:Fallback>
        </mc:AlternateContent>
      </w:r>
      <w:r w:rsidR="00E57B83" w:rsidRPr="0076051E">
        <w:rPr>
          <w:rFonts w:asciiTheme="majorBidi" w:hAnsiTheme="majorBidi" w:cstheme="majorBidi"/>
          <w:b/>
          <w:bCs/>
          <w:sz w:val="24"/>
        </w:rPr>
        <w:t>Figure 1: Conceptual Framework</w:t>
      </w:r>
    </w:p>
    <w:p w14:paraId="59FADC51" w14:textId="39C42924" w:rsidR="00E57B83" w:rsidRPr="0076051E" w:rsidRDefault="00E57B83" w:rsidP="00E57B83">
      <w:pPr>
        <w:spacing w:line="360" w:lineRule="auto"/>
        <w:rPr>
          <w:rFonts w:asciiTheme="majorBidi" w:hAnsiTheme="majorBidi" w:cstheme="majorBidi"/>
          <w:color w:val="FFFFFF" w:themeColor="background1"/>
          <w:sz w:val="24"/>
        </w:rPr>
      </w:pPr>
    </w:p>
    <w:p w14:paraId="07E2EDD7" w14:textId="3E72CF05" w:rsidR="00E57B83" w:rsidRPr="0076051E" w:rsidRDefault="00E57B83" w:rsidP="00E57B83">
      <w:pPr>
        <w:rPr>
          <w:rFonts w:asciiTheme="majorBidi" w:hAnsiTheme="majorBidi" w:cstheme="majorBidi"/>
          <w:sz w:val="24"/>
        </w:rPr>
      </w:pPr>
    </w:p>
    <w:p w14:paraId="27CAFF7D" w14:textId="716E894C" w:rsidR="00E57B83" w:rsidRPr="0076051E" w:rsidRDefault="00E57B83" w:rsidP="00E57B83">
      <w:pPr>
        <w:rPr>
          <w:rFonts w:asciiTheme="majorBidi" w:hAnsiTheme="majorBidi" w:cstheme="majorBidi"/>
          <w:sz w:val="24"/>
        </w:rPr>
      </w:pPr>
    </w:p>
    <w:p w14:paraId="31B82299" w14:textId="393EC947" w:rsidR="00E57B83" w:rsidRPr="0076051E" w:rsidRDefault="00E57B83" w:rsidP="00E57B83">
      <w:pPr>
        <w:rPr>
          <w:rFonts w:asciiTheme="majorBidi" w:hAnsiTheme="majorBidi" w:cstheme="majorBidi"/>
          <w:sz w:val="24"/>
        </w:rPr>
      </w:pPr>
    </w:p>
    <w:p w14:paraId="0014064D" w14:textId="53BBA67D" w:rsidR="00E57B83" w:rsidRPr="0076051E" w:rsidRDefault="00E57B83" w:rsidP="00A614E5">
      <w:pPr>
        <w:tabs>
          <w:tab w:val="left" w:pos="1696"/>
          <w:tab w:val="left" w:pos="6810"/>
          <w:tab w:val="right" w:pos="9360"/>
        </w:tabs>
        <w:rPr>
          <w:rFonts w:asciiTheme="majorBidi" w:hAnsiTheme="majorBidi" w:cstheme="majorBidi"/>
          <w:sz w:val="24"/>
        </w:rPr>
      </w:pPr>
      <w:r>
        <w:rPr>
          <w:rFonts w:asciiTheme="majorBidi" w:hAnsiTheme="majorBidi" w:cstheme="majorBidi"/>
          <w:sz w:val="24"/>
        </w:rPr>
        <w:tab/>
      </w:r>
    </w:p>
    <w:p w14:paraId="1B426CBA" w14:textId="4AFA632C" w:rsidR="00E57B83" w:rsidRPr="0076051E" w:rsidRDefault="00E57B83" w:rsidP="00E57B83">
      <w:pPr>
        <w:tabs>
          <w:tab w:val="left" w:pos="6810"/>
        </w:tabs>
        <w:rPr>
          <w:rFonts w:asciiTheme="majorBidi" w:hAnsiTheme="majorBidi" w:cstheme="majorBidi"/>
          <w:sz w:val="24"/>
        </w:rPr>
      </w:pPr>
      <w:r>
        <w:rPr>
          <w:rFonts w:asciiTheme="majorBidi" w:hAnsiTheme="majorBidi" w:cstheme="majorBidi"/>
          <w:sz w:val="24"/>
        </w:rPr>
        <w:tab/>
      </w:r>
    </w:p>
    <w:p w14:paraId="5E51CA40" w14:textId="356B12C2" w:rsidR="00E57B83" w:rsidRPr="0076051E" w:rsidRDefault="00EC0641" w:rsidP="00E57B83">
      <w:pPr>
        <w:rPr>
          <w:rFonts w:asciiTheme="majorBidi" w:hAnsiTheme="majorBidi" w:cstheme="majorBidi"/>
          <w:sz w:val="24"/>
        </w:rPr>
      </w:pPr>
      <w:r w:rsidRPr="0076051E">
        <w:rPr>
          <w:rFonts w:asciiTheme="majorBidi" w:hAnsiTheme="majorBidi" w:cstheme="majorBidi"/>
          <w:noProof/>
          <w:sz w:val="24"/>
        </w:rPr>
        <mc:AlternateContent>
          <mc:Choice Requires="wps">
            <w:drawing>
              <wp:anchor distT="0" distB="0" distL="114300" distR="114300" simplePos="0" relativeHeight="251660288" behindDoc="1" locked="0" layoutInCell="1" allowOverlap="1" wp14:anchorId="4F15F664" wp14:editId="392C5240">
                <wp:simplePos x="0" y="0"/>
                <wp:positionH relativeFrom="margin">
                  <wp:posOffset>3725333</wp:posOffset>
                </wp:positionH>
                <wp:positionV relativeFrom="paragraph">
                  <wp:posOffset>264371</wp:posOffset>
                </wp:positionV>
                <wp:extent cx="2195830" cy="3191933"/>
                <wp:effectExtent l="0" t="0" r="13970" b="27940"/>
                <wp:wrapNone/>
                <wp:docPr id="2122244676" name="Rectangle: Rounded Corners 1"/>
                <wp:cNvGraphicFramePr/>
                <a:graphic xmlns:a="http://schemas.openxmlformats.org/drawingml/2006/main">
                  <a:graphicData uri="http://schemas.microsoft.com/office/word/2010/wordprocessingShape">
                    <wps:wsp>
                      <wps:cNvSpPr/>
                      <wps:spPr>
                        <a:xfrm>
                          <a:off x="0" y="0"/>
                          <a:ext cx="2195830" cy="3191933"/>
                        </a:xfrm>
                        <a:prstGeom prst="roundRect">
                          <a:avLst/>
                        </a:prstGeom>
                      </wps:spPr>
                      <wps:style>
                        <a:lnRef idx="2">
                          <a:schemeClr val="accent2">
                            <a:shade val="15000"/>
                          </a:schemeClr>
                        </a:lnRef>
                        <a:fillRef idx="1">
                          <a:schemeClr val="accent2"/>
                        </a:fillRef>
                        <a:effectRef idx="0">
                          <a:schemeClr val="accent2"/>
                        </a:effectRef>
                        <a:fontRef idx="minor">
                          <a:schemeClr val="lt1"/>
                        </a:fontRef>
                      </wps:style>
                      <wps:txbx>
                        <w:txbxContent>
                          <w:p w14:paraId="03DC6ECD" w14:textId="77777777" w:rsidR="00E57B83" w:rsidRPr="00B42016" w:rsidRDefault="00E57B83" w:rsidP="00E57B83">
                            <w:pPr>
                              <w:rPr>
                                <w:rFonts w:asciiTheme="majorBidi" w:hAnsiTheme="majorBidi" w:cstheme="majorBidi"/>
                                <w:b/>
                                <w:bCs/>
                                <w:sz w:val="24"/>
                              </w:rPr>
                            </w:pPr>
                            <w:r>
                              <w:rPr>
                                <w:rFonts w:asciiTheme="majorBidi" w:hAnsiTheme="majorBidi" w:cstheme="majorBidi"/>
                                <w:b/>
                                <w:bCs/>
                                <w:sz w:val="24"/>
                              </w:rPr>
                              <w:t>Financial</w:t>
                            </w:r>
                            <w:r w:rsidRPr="00B42016">
                              <w:rPr>
                                <w:rFonts w:asciiTheme="majorBidi" w:hAnsiTheme="majorBidi" w:cstheme="majorBidi"/>
                                <w:b/>
                                <w:bCs/>
                                <w:sz w:val="24"/>
                              </w:rPr>
                              <w:t xml:space="preserve"> </w:t>
                            </w:r>
                            <w:r>
                              <w:rPr>
                                <w:rFonts w:asciiTheme="majorBidi" w:hAnsiTheme="majorBidi" w:cstheme="majorBidi"/>
                                <w:b/>
                                <w:bCs/>
                                <w:sz w:val="24"/>
                              </w:rPr>
                              <w:t>Performance</w:t>
                            </w:r>
                            <w:r w:rsidRPr="00B42016">
                              <w:rPr>
                                <w:rFonts w:asciiTheme="majorBidi" w:hAnsiTheme="majorBidi" w:cstheme="majorBidi"/>
                                <w:b/>
                                <w:bCs/>
                                <w:sz w:val="24"/>
                              </w:rPr>
                              <w:t>:</w:t>
                            </w:r>
                          </w:p>
                          <w:p w14:paraId="3A936519" w14:textId="77777777" w:rsidR="00E57B83" w:rsidRPr="00746A77" w:rsidRDefault="00E57B83" w:rsidP="00E57B83">
                            <w:pPr>
                              <w:pStyle w:val="ListParagraph"/>
                              <w:numPr>
                                <w:ilvl w:val="0"/>
                                <w:numId w:val="3"/>
                              </w:numPr>
                              <w:spacing w:after="160" w:line="259" w:lineRule="auto"/>
                              <w:jc w:val="left"/>
                              <w:rPr>
                                <w:rFonts w:asciiTheme="majorBidi" w:hAnsiTheme="majorBidi" w:cstheme="majorBidi"/>
                                <w:b/>
                                <w:bCs/>
                                <w:sz w:val="24"/>
                              </w:rPr>
                            </w:pPr>
                            <w:r>
                              <w:rPr>
                                <w:rFonts w:asciiTheme="majorBidi" w:hAnsiTheme="majorBidi" w:cstheme="majorBidi"/>
                                <w:b/>
                                <w:bCs/>
                                <w:sz w:val="24"/>
                              </w:rPr>
                              <w:t>Return on Asset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5F664" id="_x0000_s1027" style="position:absolute;margin-left:293.35pt;margin-top:20.8pt;width:172.9pt;height:251.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" fillcolor="#ed7d31 [3205]" strokecolor="#261103 [485]" strokeweight="1pt">
                <v:stroke joinstyle="miter"/>
                <v:textbox>
                  <w:txbxContent>
                    <w:p w14:paraId="03DC6ECD" w14:textId="77777777" w:rsidR="00E57B83" w:rsidRPr="00B42016" w:rsidRDefault="00E57B83" w:rsidP="00E57B83">
                      <w:pPr>
                        <w:rPr>
                          <w:rFonts w:asciiTheme="majorBidi" w:hAnsiTheme="majorBidi" w:cstheme="majorBidi"/>
                          <w:b/>
                          <w:bCs/>
                          <w:sz w:val="24"/>
                        </w:rPr>
                      </w:pPr>
                      <w:r>
                        <w:rPr>
                          <w:rFonts w:asciiTheme="majorBidi" w:hAnsiTheme="majorBidi" w:cstheme="majorBidi"/>
                          <w:b/>
                          <w:bCs/>
                          <w:sz w:val="24"/>
                        </w:rPr>
                        <w:t>Financial</w:t>
                      </w:r>
                      <w:r w:rsidRPr="00B42016">
                        <w:rPr>
                          <w:rFonts w:asciiTheme="majorBidi" w:hAnsiTheme="majorBidi" w:cstheme="majorBidi"/>
                          <w:b/>
                          <w:bCs/>
                          <w:sz w:val="24"/>
                        </w:rPr>
                        <w:t xml:space="preserve"> </w:t>
                      </w:r>
                      <w:r>
                        <w:rPr>
                          <w:rFonts w:asciiTheme="majorBidi" w:hAnsiTheme="majorBidi" w:cstheme="majorBidi"/>
                          <w:b/>
                          <w:bCs/>
                          <w:sz w:val="24"/>
                        </w:rPr>
                        <w:t>Performance</w:t>
                      </w:r>
                      <w:r w:rsidRPr="00B42016">
                        <w:rPr>
                          <w:rFonts w:asciiTheme="majorBidi" w:hAnsiTheme="majorBidi" w:cstheme="majorBidi"/>
                          <w:b/>
                          <w:bCs/>
                          <w:sz w:val="24"/>
                        </w:rPr>
                        <w:t>:</w:t>
                      </w:r>
                    </w:p>
                    <w:p w14:paraId="3A936519" w14:textId="77777777" w:rsidR="00E57B83" w:rsidRPr="00746A77" w:rsidRDefault="00E57B83" w:rsidP="00E57B83">
                      <w:pPr>
                        <w:pStyle w:val="ListParagraph"/>
                        <w:numPr>
                          <w:ilvl w:val="0"/>
                          <w:numId w:val="3"/>
                        </w:numPr>
                        <w:spacing w:after="160" w:line="259" w:lineRule="auto"/>
                        <w:jc w:val="left"/>
                        <w:rPr>
                          <w:rFonts w:asciiTheme="majorBidi" w:hAnsiTheme="majorBidi" w:cstheme="majorBidi"/>
                          <w:b/>
                          <w:bCs/>
                          <w:sz w:val="24"/>
                        </w:rPr>
                      </w:pPr>
                      <w:r>
                        <w:rPr>
                          <w:rFonts w:asciiTheme="majorBidi" w:hAnsiTheme="majorBidi" w:cstheme="majorBidi"/>
                          <w:b/>
                          <w:bCs/>
                          <w:sz w:val="24"/>
                        </w:rPr>
                        <w:t>Return on Asset</w:t>
                      </w:r>
                    </w:p>
                  </w:txbxContent>
                </v:textbox>
                <w10:wrap anchorx="margin"/>
              </v:roundrect>
            </w:pict>
          </mc:Fallback>
        </mc:AlternateContent>
      </w:r>
    </w:p>
    <w:p w14:paraId="02C8E6F3" w14:textId="6D5413D8" w:rsidR="00E57B83" w:rsidRPr="0076051E" w:rsidRDefault="00E57B83" w:rsidP="00E57B83">
      <w:pPr>
        <w:rPr>
          <w:rFonts w:asciiTheme="majorBidi" w:hAnsiTheme="majorBidi" w:cstheme="majorBidi"/>
          <w:sz w:val="24"/>
        </w:rPr>
      </w:pPr>
    </w:p>
    <w:p w14:paraId="7050A8C1" w14:textId="6824FEC8" w:rsidR="00E57B83" w:rsidRPr="0076051E" w:rsidRDefault="00E57B83" w:rsidP="00E57B83">
      <w:pPr>
        <w:rPr>
          <w:rFonts w:asciiTheme="majorBidi" w:hAnsiTheme="majorBidi" w:cstheme="majorBidi"/>
          <w:sz w:val="24"/>
        </w:rPr>
      </w:pPr>
    </w:p>
    <w:p w14:paraId="6166E1F5" w14:textId="5904929C" w:rsidR="00E57B83" w:rsidRDefault="00E57B83" w:rsidP="00E57B83">
      <w:pPr>
        <w:rPr>
          <w:rFonts w:asciiTheme="majorBidi" w:hAnsiTheme="majorBidi" w:cstheme="majorBidi"/>
          <w:sz w:val="24"/>
        </w:rPr>
      </w:pPr>
    </w:p>
    <w:p w14:paraId="2ECF8441" w14:textId="7279E1DC" w:rsidR="00A614E5" w:rsidRDefault="00A614E5" w:rsidP="00E57B83">
      <w:pPr>
        <w:rPr>
          <w:rFonts w:asciiTheme="majorBidi" w:hAnsiTheme="majorBidi" w:cstheme="majorBidi"/>
          <w:sz w:val="24"/>
        </w:rPr>
      </w:pPr>
    </w:p>
    <w:p w14:paraId="3C87852D" w14:textId="4D781462" w:rsidR="00A614E5" w:rsidRDefault="00EC0641" w:rsidP="00E57B83">
      <w:pPr>
        <w:rPr>
          <w:rFonts w:asciiTheme="majorBidi" w:hAnsiTheme="majorBidi" w:cstheme="majorBidi"/>
          <w:sz w:val="24"/>
        </w:rPr>
      </w:pPr>
      <w:r w:rsidRPr="0076051E">
        <w:rPr>
          <w:rFonts w:asciiTheme="majorBidi" w:hAnsiTheme="majorBidi" w:cstheme="majorBidi"/>
          <w:noProof/>
          <w:sz w:val="24"/>
          <w14:ligatures w14:val="standardContextual"/>
        </w:rPr>
        <mc:AlternateContent>
          <mc:Choice Requires="wps">
            <w:drawing>
              <wp:anchor distT="0" distB="0" distL="114300" distR="114300" simplePos="0" relativeHeight="251661312" behindDoc="0" locked="0" layoutInCell="1" allowOverlap="1" wp14:anchorId="4D379FDA" wp14:editId="6E58600C">
                <wp:simplePos x="0" y="0"/>
                <wp:positionH relativeFrom="column">
                  <wp:posOffset>1583267</wp:posOffset>
                </wp:positionH>
                <wp:positionV relativeFrom="paragraph">
                  <wp:posOffset>167641</wp:posOffset>
                </wp:positionV>
                <wp:extent cx="2142066" cy="45719"/>
                <wp:effectExtent l="0" t="38100" r="29845" b="88265"/>
                <wp:wrapNone/>
                <wp:docPr id="964794366" name="Straight Arrow Connector 3"/>
                <wp:cNvGraphicFramePr/>
                <a:graphic xmlns:a="http://schemas.openxmlformats.org/drawingml/2006/main">
                  <a:graphicData uri="http://schemas.microsoft.com/office/word/2010/wordprocessingShape">
                    <wps:wsp>
                      <wps:cNvCnPr/>
                      <wps:spPr>
                        <a:xfrm>
                          <a:off x="0" y="0"/>
                          <a:ext cx="2142066" cy="45719"/>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140DDF0" id="_x0000_t32" coordsize="21600,21600" o:spt="32" o:oned="t" path="m,l21600,21600e" filled="f">
                <v:path arrowok="t" fillok="f" o:connecttype="none"/>
                <o:lock v:ext="edit" shapetype="t"/>
              </v:shapetype>
              <v:shape id="Straight Arrow Connector 3" o:spid="_x0000_s1026" type="#_x0000_t32" style="position:absolute;margin-left:124.65pt;margin-top:13.2pt;width:168.6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" strokecolor="#ed7d31 [3205]" strokeweight="1.5pt">
                <v:stroke endarrow="block" joinstyle="miter"/>
              </v:shape>
            </w:pict>
          </mc:Fallback>
        </mc:AlternateContent>
      </w:r>
      <w:r w:rsidR="00A614E5" w:rsidRPr="0076051E">
        <w:rPr>
          <w:rFonts w:asciiTheme="majorBidi" w:hAnsiTheme="majorBidi" w:cstheme="majorBidi"/>
          <w:noProof/>
          <w:sz w:val="24"/>
        </w:rPr>
        <mc:AlternateContent>
          <mc:Choice Requires="wps">
            <w:drawing>
              <wp:anchor distT="0" distB="0" distL="114300" distR="114300" simplePos="0" relativeHeight="251663360" behindDoc="1" locked="0" layoutInCell="1" allowOverlap="1" wp14:anchorId="72B70707" wp14:editId="0CC93936">
                <wp:simplePos x="0" y="0"/>
                <wp:positionH relativeFrom="margin">
                  <wp:posOffset>67733</wp:posOffset>
                </wp:positionH>
                <wp:positionV relativeFrom="paragraph">
                  <wp:posOffset>207857</wp:posOffset>
                </wp:positionV>
                <wp:extent cx="1961727" cy="3166533"/>
                <wp:effectExtent l="0" t="0" r="19685" b="15240"/>
                <wp:wrapNone/>
                <wp:docPr id="812761831" name="Rectangle: Rounded Corners 1"/>
                <wp:cNvGraphicFramePr/>
                <a:graphic xmlns:a="http://schemas.openxmlformats.org/drawingml/2006/main">
                  <a:graphicData uri="http://schemas.microsoft.com/office/word/2010/wordprocessingShape">
                    <wps:wsp>
                      <wps:cNvSpPr/>
                      <wps:spPr>
                        <a:xfrm>
                          <a:off x="0" y="0"/>
                          <a:ext cx="1961727" cy="3166533"/>
                        </a:xfrm>
                        <a:prstGeom prst="roundRect">
                          <a:avLst/>
                        </a:prstGeom>
                      </wps:spPr>
                      <wps:style>
                        <a:lnRef idx="2">
                          <a:schemeClr val="accent2">
                            <a:shade val="15000"/>
                          </a:schemeClr>
                        </a:lnRef>
                        <a:fillRef idx="1">
                          <a:schemeClr val="accent2"/>
                        </a:fillRef>
                        <a:effectRef idx="0">
                          <a:schemeClr val="accent2"/>
                        </a:effectRef>
                        <a:fontRef idx="minor">
                          <a:schemeClr val="lt1"/>
                        </a:fontRef>
                      </wps:style>
                      <wps:txbx>
                        <w:txbxContent>
                          <w:p w14:paraId="15C562F3" w14:textId="0139165F" w:rsidR="00A614E5" w:rsidRDefault="00A614E5" w:rsidP="00A614E5">
                            <w:pPr>
                              <w:rPr>
                                <w:rFonts w:asciiTheme="majorBidi" w:hAnsiTheme="majorBidi" w:cstheme="majorBidi"/>
                                <w:b/>
                                <w:bCs/>
                                <w:sz w:val="24"/>
                              </w:rPr>
                            </w:pPr>
                            <w:r w:rsidRPr="00A614E5">
                              <w:rPr>
                                <w:rFonts w:asciiTheme="majorBidi" w:hAnsiTheme="majorBidi" w:cstheme="majorBidi"/>
                                <w:b/>
                                <w:bCs/>
                                <w:sz w:val="24"/>
                              </w:rPr>
                              <w:t xml:space="preserve">Environmental Pollution Control </w:t>
                            </w:r>
                            <w:r>
                              <w:rPr>
                                <w:rFonts w:asciiTheme="majorBidi" w:hAnsiTheme="majorBidi" w:cstheme="majorBidi"/>
                                <w:b/>
                                <w:bCs/>
                                <w:sz w:val="24"/>
                              </w:rPr>
                              <w:t xml:space="preserve">Practice </w:t>
                            </w:r>
                            <w:r w:rsidRPr="00A614E5">
                              <w:rPr>
                                <w:rFonts w:asciiTheme="majorBidi" w:hAnsiTheme="majorBidi" w:cstheme="majorBidi"/>
                                <w:b/>
                                <w:bCs/>
                                <w:sz w:val="24"/>
                              </w:rPr>
                              <w:t xml:space="preserve"> (EPC</w:t>
                            </w:r>
                            <w:r>
                              <w:rPr>
                                <w:rFonts w:asciiTheme="majorBidi" w:hAnsiTheme="majorBidi" w:cstheme="majorBidi"/>
                                <w:b/>
                                <w:bCs/>
                                <w:sz w:val="24"/>
                              </w:rPr>
                              <w:t>P</w:t>
                            </w:r>
                            <w:r w:rsidRPr="00A614E5">
                              <w:rPr>
                                <w:rFonts w:asciiTheme="majorBidi" w:hAnsiTheme="majorBidi" w:cstheme="majorBidi"/>
                                <w:b/>
                                <w:bCs/>
                                <w:sz w:val="24"/>
                              </w:rPr>
                              <w:t>)</w:t>
                            </w:r>
                          </w:p>
                          <w:p w14:paraId="720315BA" w14:textId="77777777" w:rsidR="00A614E5" w:rsidRPr="00D77724" w:rsidRDefault="00A614E5" w:rsidP="00A614E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PCE</w:t>
                            </w:r>
                            <w:r w:rsidRPr="00D77724">
                              <w:rPr>
                                <w:rFonts w:ascii="Times New Roman" w:eastAsia="Times New Roman" w:hAnsi="Times New Roman" w:cs="Times New Roman"/>
                                <w:sz w:val="24"/>
                                <w:szCs w:val="24"/>
                              </w:rPr>
                              <w:t xml:space="preserve"> = Pollution Control Expenditure</w:t>
                            </w:r>
                          </w:p>
                          <w:p w14:paraId="7B656412" w14:textId="77777777" w:rsidR="00A614E5" w:rsidRPr="00D77724" w:rsidRDefault="00A614E5" w:rsidP="00A614E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CEPC</w:t>
                            </w:r>
                            <w:r w:rsidRPr="00D77724">
                              <w:rPr>
                                <w:rFonts w:ascii="Times New Roman" w:eastAsia="Times New Roman" w:hAnsi="Times New Roman" w:cs="Times New Roman"/>
                                <w:sz w:val="24"/>
                                <w:szCs w:val="24"/>
                              </w:rPr>
                              <w:t xml:space="preserve"> = Capital Expenditure on Pollution Control Equipment</w:t>
                            </w:r>
                          </w:p>
                          <w:p w14:paraId="7BBD0F21" w14:textId="77777777" w:rsidR="00A614E5" w:rsidRPr="00D77724" w:rsidRDefault="00A614E5" w:rsidP="00A614E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ERP</w:t>
                            </w:r>
                            <w:r w:rsidRPr="00D77724">
                              <w:rPr>
                                <w:rFonts w:ascii="Times New Roman" w:eastAsia="Times New Roman" w:hAnsi="Times New Roman" w:cs="Times New Roman"/>
                                <w:sz w:val="24"/>
                                <w:szCs w:val="24"/>
                              </w:rPr>
                              <w:t xml:space="preserve"> = Environmental Fines and Regulatory Penalties</w:t>
                            </w:r>
                          </w:p>
                          <w:p w14:paraId="37DB456C" w14:textId="77777777" w:rsidR="00A614E5" w:rsidRPr="00A614E5" w:rsidRDefault="00A614E5" w:rsidP="00A614E5">
                            <w:pPr>
                              <w:rPr>
                                <w:rFonts w:asciiTheme="majorBidi" w:hAnsiTheme="majorBidi" w:cstheme="majorBidi"/>
                                <w:b/>
                                <w:bCs/>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B70707" id="_x0000_s1028" style="position:absolute;margin-left:5.35pt;margin-top:16.35pt;width:154.45pt;height:249.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" fillcolor="#ed7d31 [3205]" strokecolor="#261103 [485]" strokeweight="1pt">
                <v:stroke joinstyle="miter"/>
                <v:textbox>
                  <w:txbxContent>
                    <w:p w14:paraId="15C562F3" w14:textId="0139165F" w:rsidR="00A614E5" w:rsidRDefault="00A614E5" w:rsidP="00A614E5">
                      <w:pPr>
                        <w:rPr>
                          <w:rFonts w:asciiTheme="majorBidi" w:hAnsiTheme="majorBidi" w:cstheme="majorBidi"/>
                          <w:b/>
                          <w:bCs/>
                          <w:sz w:val="24"/>
                        </w:rPr>
                      </w:pPr>
                      <w:r w:rsidRPr="00A614E5">
                        <w:rPr>
                          <w:rFonts w:asciiTheme="majorBidi" w:hAnsiTheme="majorBidi" w:cstheme="majorBidi"/>
                          <w:b/>
                          <w:bCs/>
                          <w:sz w:val="24"/>
                        </w:rPr>
                        <w:t xml:space="preserve">Environmental Pollution Control </w:t>
                      </w:r>
                      <w:r>
                        <w:rPr>
                          <w:rFonts w:asciiTheme="majorBidi" w:hAnsiTheme="majorBidi" w:cstheme="majorBidi"/>
                          <w:b/>
                          <w:bCs/>
                          <w:sz w:val="24"/>
                        </w:rPr>
                        <w:t xml:space="preserve">Practice </w:t>
                      </w:r>
                      <w:r w:rsidRPr="00A614E5">
                        <w:rPr>
                          <w:rFonts w:asciiTheme="majorBidi" w:hAnsiTheme="majorBidi" w:cstheme="majorBidi"/>
                          <w:b/>
                          <w:bCs/>
                          <w:sz w:val="24"/>
                        </w:rPr>
                        <w:t xml:space="preserve"> (EPC</w:t>
                      </w:r>
                      <w:r>
                        <w:rPr>
                          <w:rFonts w:asciiTheme="majorBidi" w:hAnsiTheme="majorBidi" w:cstheme="majorBidi"/>
                          <w:b/>
                          <w:bCs/>
                          <w:sz w:val="24"/>
                        </w:rPr>
                        <w:t>P</w:t>
                      </w:r>
                      <w:r w:rsidRPr="00A614E5">
                        <w:rPr>
                          <w:rFonts w:asciiTheme="majorBidi" w:hAnsiTheme="majorBidi" w:cstheme="majorBidi"/>
                          <w:b/>
                          <w:bCs/>
                          <w:sz w:val="24"/>
                        </w:rPr>
                        <w:t>)</w:t>
                      </w:r>
                    </w:p>
                    <w:p w14:paraId="720315BA" w14:textId="77777777" w:rsidR="00A614E5" w:rsidRPr="00D77724" w:rsidRDefault="00A614E5" w:rsidP="00A614E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PCE</w:t>
                      </w:r>
                      <w:r w:rsidRPr="00D77724">
                        <w:rPr>
                          <w:rFonts w:ascii="Times New Roman" w:eastAsia="Times New Roman" w:hAnsi="Times New Roman" w:cs="Times New Roman"/>
                          <w:sz w:val="24"/>
                          <w:szCs w:val="24"/>
                        </w:rPr>
                        <w:t xml:space="preserve"> = Pollution Control Expenditure</w:t>
                      </w:r>
                    </w:p>
                    <w:p w14:paraId="7B656412" w14:textId="77777777" w:rsidR="00A614E5" w:rsidRPr="00D77724" w:rsidRDefault="00A614E5" w:rsidP="00A614E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CEPC</w:t>
                      </w:r>
                      <w:r w:rsidRPr="00D77724">
                        <w:rPr>
                          <w:rFonts w:ascii="Times New Roman" w:eastAsia="Times New Roman" w:hAnsi="Times New Roman" w:cs="Times New Roman"/>
                          <w:sz w:val="24"/>
                          <w:szCs w:val="24"/>
                        </w:rPr>
                        <w:t xml:space="preserve"> = Capital Expenditure on Pollution Control Equipment</w:t>
                      </w:r>
                    </w:p>
                    <w:p w14:paraId="7BBD0F21" w14:textId="77777777" w:rsidR="00A614E5" w:rsidRPr="00D77724" w:rsidRDefault="00A614E5" w:rsidP="00A614E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ERP</w:t>
                      </w:r>
                      <w:r w:rsidRPr="00D77724">
                        <w:rPr>
                          <w:rFonts w:ascii="Times New Roman" w:eastAsia="Times New Roman" w:hAnsi="Times New Roman" w:cs="Times New Roman"/>
                          <w:sz w:val="24"/>
                          <w:szCs w:val="24"/>
                        </w:rPr>
                        <w:t xml:space="preserve"> = Environmental Fines and Regulatory Penalties</w:t>
                      </w:r>
                    </w:p>
                    <w:p w14:paraId="37DB456C" w14:textId="77777777" w:rsidR="00A614E5" w:rsidRPr="00A614E5" w:rsidRDefault="00A614E5" w:rsidP="00A614E5">
                      <w:pPr>
                        <w:rPr>
                          <w:rFonts w:asciiTheme="majorBidi" w:hAnsiTheme="majorBidi" w:cstheme="majorBidi"/>
                          <w:b/>
                          <w:bCs/>
                          <w:sz w:val="24"/>
                        </w:rPr>
                      </w:pPr>
                    </w:p>
                  </w:txbxContent>
                </v:textbox>
                <w10:wrap anchorx="margin"/>
              </v:roundrect>
            </w:pict>
          </mc:Fallback>
        </mc:AlternateContent>
      </w:r>
    </w:p>
    <w:p w14:paraId="29BF1813" w14:textId="77777777" w:rsidR="00A614E5" w:rsidRPr="0076051E" w:rsidRDefault="00A614E5" w:rsidP="00E57B83">
      <w:pPr>
        <w:rPr>
          <w:rFonts w:asciiTheme="majorBidi" w:hAnsiTheme="majorBidi" w:cstheme="majorBidi"/>
          <w:sz w:val="24"/>
        </w:rPr>
      </w:pPr>
    </w:p>
    <w:p w14:paraId="42F76FDC" w14:textId="77777777" w:rsidR="00E57B83" w:rsidRPr="0076051E" w:rsidRDefault="00E57B83" w:rsidP="00E57B83">
      <w:pPr>
        <w:rPr>
          <w:rFonts w:asciiTheme="majorBidi" w:hAnsiTheme="majorBidi" w:cstheme="majorBidi"/>
          <w:b/>
          <w:bCs/>
          <w:i/>
          <w:iCs/>
          <w:sz w:val="24"/>
        </w:rPr>
      </w:pPr>
    </w:p>
    <w:p w14:paraId="629ECB8D" w14:textId="77777777" w:rsidR="00A614E5" w:rsidRDefault="00A614E5" w:rsidP="00E57B83">
      <w:pPr>
        <w:rPr>
          <w:rFonts w:asciiTheme="majorBidi" w:hAnsiTheme="majorBidi" w:cstheme="majorBidi"/>
          <w:b/>
          <w:bCs/>
          <w:i/>
          <w:iCs/>
          <w:sz w:val="24"/>
        </w:rPr>
      </w:pPr>
    </w:p>
    <w:p w14:paraId="2693CBAB" w14:textId="77777777" w:rsidR="00A614E5" w:rsidRDefault="00A614E5" w:rsidP="00E57B83">
      <w:pPr>
        <w:rPr>
          <w:rFonts w:asciiTheme="majorBidi" w:hAnsiTheme="majorBidi" w:cstheme="majorBidi"/>
          <w:b/>
          <w:bCs/>
          <w:i/>
          <w:iCs/>
          <w:sz w:val="24"/>
        </w:rPr>
      </w:pPr>
    </w:p>
    <w:p w14:paraId="07FA2A57" w14:textId="77777777" w:rsidR="00A614E5" w:rsidRDefault="00A614E5" w:rsidP="00E57B83">
      <w:pPr>
        <w:rPr>
          <w:rFonts w:asciiTheme="majorBidi" w:hAnsiTheme="majorBidi" w:cstheme="majorBidi"/>
          <w:b/>
          <w:bCs/>
          <w:i/>
          <w:iCs/>
          <w:sz w:val="24"/>
        </w:rPr>
      </w:pPr>
    </w:p>
    <w:p w14:paraId="10AC6151" w14:textId="77777777" w:rsidR="00A614E5" w:rsidRDefault="00A614E5" w:rsidP="00E57B83">
      <w:pPr>
        <w:rPr>
          <w:rFonts w:asciiTheme="majorBidi" w:hAnsiTheme="majorBidi" w:cstheme="majorBidi"/>
          <w:b/>
          <w:bCs/>
          <w:i/>
          <w:iCs/>
          <w:sz w:val="24"/>
        </w:rPr>
      </w:pPr>
    </w:p>
    <w:p w14:paraId="42281831" w14:textId="77777777" w:rsidR="00A614E5" w:rsidRDefault="00A614E5" w:rsidP="00E57B83">
      <w:pPr>
        <w:rPr>
          <w:rFonts w:asciiTheme="majorBidi" w:hAnsiTheme="majorBidi" w:cstheme="majorBidi"/>
          <w:b/>
          <w:bCs/>
          <w:i/>
          <w:iCs/>
          <w:sz w:val="24"/>
        </w:rPr>
      </w:pPr>
    </w:p>
    <w:p w14:paraId="6164A7BC" w14:textId="77777777" w:rsidR="00A614E5" w:rsidRDefault="00A614E5" w:rsidP="00E57B83">
      <w:pPr>
        <w:rPr>
          <w:rFonts w:asciiTheme="majorBidi" w:hAnsiTheme="majorBidi" w:cstheme="majorBidi"/>
          <w:b/>
          <w:bCs/>
          <w:i/>
          <w:iCs/>
          <w:sz w:val="24"/>
        </w:rPr>
      </w:pPr>
    </w:p>
    <w:p w14:paraId="47A9683F" w14:textId="77777777" w:rsidR="00A614E5" w:rsidRDefault="00A614E5" w:rsidP="00E57B83">
      <w:pPr>
        <w:rPr>
          <w:rFonts w:asciiTheme="majorBidi" w:hAnsiTheme="majorBidi" w:cstheme="majorBidi"/>
          <w:b/>
          <w:bCs/>
          <w:i/>
          <w:iCs/>
          <w:sz w:val="24"/>
        </w:rPr>
      </w:pPr>
    </w:p>
    <w:p w14:paraId="7469311A" w14:textId="77777777" w:rsidR="00A614E5" w:rsidRDefault="00A614E5" w:rsidP="00E57B83">
      <w:pPr>
        <w:rPr>
          <w:rFonts w:asciiTheme="majorBidi" w:hAnsiTheme="majorBidi" w:cstheme="majorBidi"/>
          <w:b/>
          <w:bCs/>
          <w:i/>
          <w:iCs/>
          <w:sz w:val="24"/>
        </w:rPr>
      </w:pPr>
    </w:p>
    <w:p w14:paraId="1CD98BA8" w14:textId="77777777" w:rsidR="00A614E5" w:rsidRDefault="00A614E5" w:rsidP="00E57B83">
      <w:pPr>
        <w:rPr>
          <w:rFonts w:asciiTheme="majorBidi" w:hAnsiTheme="majorBidi" w:cstheme="majorBidi"/>
          <w:b/>
          <w:bCs/>
          <w:i/>
          <w:iCs/>
          <w:sz w:val="24"/>
        </w:rPr>
      </w:pPr>
    </w:p>
    <w:p w14:paraId="298B2E6E" w14:textId="46442547" w:rsidR="00E57B83" w:rsidRPr="0076051E" w:rsidRDefault="00E57B83" w:rsidP="00E57B83">
      <w:pPr>
        <w:rPr>
          <w:rFonts w:asciiTheme="majorBidi" w:hAnsiTheme="majorBidi" w:cstheme="majorBidi"/>
          <w:b/>
          <w:bCs/>
          <w:i/>
          <w:iCs/>
          <w:sz w:val="24"/>
        </w:rPr>
      </w:pPr>
      <w:r w:rsidRPr="0076051E">
        <w:rPr>
          <w:rFonts w:asciiTheme="majorBidi" w:hAnsiTheme="majorBidi" w:cstheme="majorBidi"/>
          <w:b/>
          <w:bCs/>
          <w:i/>
          <w:iCs/>
          <w:sz w:val="24"/>
        </w:rPr>
        <w:t xml:space="preserve">Source: Authors’ </w:t>
      </w:r>
      <w:proofErr w:type="gramStart"/>
      <w:r w:rsidR="00AF5B9B">
        <w:rPr>
          <w:rFonts w:asciiTheme="majorBidi" w:hAnsiTheme="majorBidi" w:cstheme="majorBidi"/>
          <w:b/>
          <w:bCs/>
          <w:i/>
          <w:iCs/>
          <w:sz w:val="24"/>
        </w:rPr>
        <w:t xml:space="preserve">Compilation </w:t>
      </w:r>
      <w:r w:rsidRPr="0076051E">
        <w:rPr>
          <w:rFonts w:asciiTheme="majorBidi" w:hAnsiTheme="majorBidi" w:cstheme="majorBidi"/>
          <w:b/>
          <w:bCs/>
          <w:i/>
          <w:iCs/>
          <w:sz w:val="24"/>
        </w:rPr>
        <w:t xml:space="preserve"> (</w:t>
      </w:r>
      <w:proofErr w:type="gramEnd"/>
      <w:r w:rsidRPr="0076051E">
        <w:rPr>
          <w:rFonts w:asciiTheme="majorBidi" w:hAnsiTheme="majorBidi" w:cstheme="majorBidi"/>
          <w:b/>
          <w:bCs/>
          <w:i/>
          <w:iCs/>
          <w:sz w:val="24"/>
        </w:rPr>
        <w:t>202</w:t>
      </w:r>
      <w:r w:rsidR="00EC0641">
        <w:rPr>
          <w:rFonts w:asciiTheme="majorBidi" w:hAnsiTheme="majorBidi" w:cstheme="majorBidi"/>
          <w:b/>
          <w:bCs/>
          <w:i/>
          <w:iCs/>
          <w:sz w:val="24"/>
        </w:rPr>
        <w:t>6</w:t>
      </w:r>
      <w:r w:rsidRPr="0076051E">
        <w:rPr>
          <w:rFonts w:asciiTheme="majorBidi" w:hAnsiTheme="majorBidi" w:cstheme="majorBidi"/>
          <w:b/>
          <w:bCs/>
          <w:i/>
          <w:iCs/>
          <w:sz w:val="24"/>
        </w:rPr>
        <w:t>)</w:t>
      </w:r>
    </w:p>
    <w:p w14:paraId="5B80EDD4" w14:textId="77777777" w:rsidR="00E57B83" w:rsidRDefault="00E57B83" w:rsidP="00E57B83">
      <w:pPr>
        <w:jc w:val="both"/>
        <w:rPr>
          <w:b/>
        </w:rPr>
      </w:pPr>
    </w:p>
    <w:p w14:paraId="7898772B" w14:textId="77777777" w:rsidR="00B86CA3" w:rsidRDefault="00B86CA3" w:rsidP="00E57B83">
      <w:pPr>
        <w:jc w:val="both"/>
        <w:rPr>
          <w:b/>
        </w:rPr>
      </w:pPr>
    </w:p>
    <w:p w14:paraId="1F3F996A" w14:textId="77777777" w:rsidR="00EC0641" w:rsidRPr="00606FAE" w:rsidRDefault="00EC0641" w:rsidP="00E57B83">
      <w:pPr>
        <w:jc w:val="both"/>
        <w:rPr>
          <w:b/>
        </w:rPr>
      </w:pPr>
    </w:p>
    <w:p w14:paraId="7C30BCDF" w14:textId="77777777" w:rsidR="00E57B83" w:rsidRPr="00E57B83" w:rsidRDefault="00E57B83" w:rsidP="00B86CA3">
      <w:pPr>
        <w:spacing w:after="0"/>
        <w:jc w:val="both"/>
        <w:rPr>
          <w:rFonts w:ascii="Times New Roman" w:hAnsi="Times New Roman" w:cs="Times New Roman"/>
          <w:b/>
          <w:sz w:val="24"/>
          <w:szCs w:val="24"/>
        </w:rPr>
      </w:pPr>
      <w:r w:rsidRPr="00E57B83">
        <w:rPr>
          <w:rFonts w:ascii="Times New Roman" w:hAnsi="Times New Roman" w:cs="Times New Roman"/>
          <w:b/>
          <w:sz w:val="24"/>
          <w:szCs w:val="24"/>
        </w:rPr>
        <w:lastRenderedPageBreak/>
        <w:t>Theoretical Framework</w:t>
      </w:r>
    </w:p>
    <w:p w14:paraId="74CAB590" w14:textId="2BC0BA00" w:rsidR="00E57B83" w:rsidRPr="008446D6" w:rsidRDefault="00E57B83" w:rsidP="00E57B83">
      <w:pPr>
        <w:spacing w:before="100" w:beforeAutospacing="1" w:after="100" w:afterAutospacing="1" w:line="240" w:lineRule="auto"/>
        <w:jc w:val="both"/>
        <w:rPr>
          <w:rFonts w:ascii="Times New Roman" w:eastAsia="Times New Roman" w:hAnsi="Times New Roman" w:cs="Times New Roman"/>
          <w:sz w:val="24"/>
          <w:szCs w:val="24"/>
        </w:rPr>
      </w:pPr>
      <w:r w:rsidRPr="008446D6">
        <w:rPr>
          <w:rFonts w:ascii="Times New Roman" w:eastAsia="Times New Roman" w:hAnsi="Times New Roman" w:cs="Times New Roman"/>
          <w:sz w:val="24"/>
          <w:szCs w:val="24"/>
        </w:rPr>
        <w:t xml:space="preserve">This study is anchored on the </w:t>
      </w:r>
      <w:r w:rsidRPr="008446D6">
        <w:rPr>
          <w:rFonts w:ascii="Times New Roman" w:eastAsia="Times New Roman" w:hAnsi="Times New Roman" w:cs="Times New Roman"/>
          <w:bCs/>
          <w:sz w:val="24"/>
          <w:szCs w:val="24"/>
        </w:rPr>
        <w:t>Resource-Based View (RBV)</w:t>
      </w:r>
      <w:r w:rsidRPr="008446D6">
        <w:rPr>
          <w:rFonts w:ascii="Times New Roman" w:eastAsia="Times New Roman" w:hAnsi="Times New Roman" w:cs="Times New Roman"/>
          <w:sz w:val="24"/>
          <w:szCs w:val="24"/>
        </w:rPr>
        <w:t xml:space="preserve"> theory, which emphasizes that firms can achieve and sustain competitive advantage by effectively managing internal resources that are valuable, rare, inimitable, and non-substitutable (Barney, 1991; Barney &amp; Clark, 2007). In this context, environmental waste management and pollution </w:t>
      </w:r>
      <w:r w:rsidR="00B86CA3" w:rsidRPr="008446D6">
        <w:rPr>
          <w:rFonts w:ascii="Times New Roman" w:eastAsia="Times New Roman" w:hAnsi="Times New Roman" w:cs="Times New Roman"/>
          <w:sz w:val="24"/>
          <w:szCs w:val="24"/>
        </w:rPr>
        <w:t xml:space="preserve">control </w:t>
      </w:r>
      <w:r w:rsidR="00B86CA3">
        <w:rPr>
          <w:rFonts w:ascii="Times New Roman" w:eastAsia="Times New Roman" w:hAnsi="Times New Roman" w:cs="Times New Roman"/>
          <w:sz w:val="24"/>
          <w:szCs w:val="24"/>
        </w:rPr>
        <w:t>practices</w:t>
      </w:r>
      <w:r w:rsidRPr="008446D6">
        <w:rPr>
          <w:rFonts w:ascii="Times New Roman" w:eastAsia="Times New Roman" w:hAnsi="Times New Roman" w:cs="Times New Roman"/>
          <w:sz w:val="24"/>
          <w:szCs w:val="24"/>
        </w:rPr>
        <w:t xml:space="preserve"> are regarded as intangible strategic assets that not only enhance corporate image and stakeholder trust but also contribute to improved financial performance</w:t>
      </w:r>
      <w:r w:rsidR="009A2964">
        <w:rPr>
          <w:rFonts w:ascii="Times New Roman" w:eastAsia="Times New Roman" w:hAnsi="Times New Roman" w:cs="Times New Roman"/>
          <w:sz w:val="24"/>
          <w:szCs w:val="24"/>
        </w:rPr>
        <w:t>.</w:t>
      </w:r>
      <w:r w:rsidR="00B86CA3">
        <w:rPr>
          <w:rFonts w:ascii="Times New Roman" w:eastAsia="Times New Roman" w:hAnsi="Times New Roman" w:cs="Times New Roman"/>
          <w:sz w:val="24"/>
          <w:szCs w:val="24"/>
        </w:rPr>
        <w:t xml:space="preserve"> </w:t>
      </w:r>
      <w:r w:rsidRPr="008446D6">
        <w:rPr>
          <w:rFonts w:ascii="Times New Roman" w:eastAsia="Times New Roman" w:hAnsi="Times New Roman" w:cs="Times New Roman"/>
          <w:sz w:val="24"/>
          <w:szCs w:val="24"/>
        </w:rPr>
        <w:t>The theory supports the proposition that when firms strategically implement and transparently report on environmental initiatives, such actions can function as unique resources that differentiate them from competitors and yield long-term financial advantages, especially in contexts where environmental concerns are becoming increasingly important to stakeholders.</w:t>
      </w:r>
    </w:p>
    <w:p w14:paraId="1FA44D93" w14:textId="77777777" w:rsidR="00E57B83" w:rsidRPr="00F11BCA" w:rsidRDefault="00E57B83" w:rsidP="00B86CA3">
      <w:pPr>
        <w:spacing w:before="100" w:beforeAutospacing="1" w:after="0" w:line="276" w:lineRule="auto"/>
        <w:jc w:val="both"/>
        <w:rPr>
          <w:rFonts w:ascii="Times New Roman" w:eastAsia="Times New Roman" w:hAnsi="Times New Roman" w:cs="Times New Roman"/>
          <w:b/>
          <w:sz w:val="24"/>
          <w:szCs w:val="24"/>
        </w:rPr>
      </w:pPr>
      <w:r w:rsidRPr="00F11BCA">
        <w:rPr>
          <w:rFonts w:ascii="Times New Roman" w:eastAsia="Times New Roman" w:hAnsi="Times New Roman" w:cs="Times New Roman"/>
          <w:b/>
          <w:sz w:val="24"/>
          <w:szCs w:val="24"/>
        </w:rPr>
        <w:t>Empirical Review</w:t>
      </w:r>
    </w:p>
    <w:p w14:paraId="37BD54AC" w14:textId="4AFA6C84" w:rsidR="00E57B83" w:rsidRPr="00F11BCA" w:rsidRDefault="00E57B83" w:rsidP="00E57B83">
      <w:pPr>
        <w:spacing w:before="100" w:beforeAutospacing="1" w:after="100" w:afterAutospacing="1" w:line="276" w:lineRule="auto"/>
        <w:jc w:val="both"/>
        <w:rPr>
          <w:rFonts w:ascii="Times New Roman" w:eastAsia="Times New Roman" w:hAnsi="Times New Roman" w:cs="Times New Roman"/>
          <w:sz w:val="24"/>
          <w:szCs w:val="24"/>
        </w:rPr>
      </w:pPr>
      <w:r w:rsidRPr="00F11BCA">
        <w:rPr>
          <w:rFonts w:ascii="Times New Roman" w:eastAsia="Times New Roman" w:hAnsi="Times New Roman" w:cs="Times New Roman"/>
          <w:bCs/>
          <w:sz w:val="24"/>
          <w:szCs w:val="24"/>
        </w:rPr>
        <w:t>Matovu and Ssempijja (2023)</w:t>
      </w:r>
      <w:r w:rsidRPr="00F11BCA">
        <w:rPr>
          <w:rFonts w:ascii="Times New Roman" w:eastAsia="Times New Roman" w:hAnsi="Times New Roman" w:cs="Times New Roman"/>
          <w:sz w:val="24"/>
          <w:szCs w:val="24"/>
        </w:rPr>
        <w:t xml:space="preserve"> evaluate the nexus between environmental waste </w:t>
      </w:r>
      <w:proofErr w:type="gramStart"/>
      <w:r w:rsidRPr="00F11BCA">
        <w:rPr>
          <w:rFonts w:ascii="Times New Roman" w:eastAsia="Times New Roman" w:hAnsi="Times New Roman" w:cs="Times New Roman"/>
          <w:sz w:val="24"/>
          <w:szCs w:val="24"/>
        </w:rPr>
        <w:t xml:space="preserve">management </w:t>
      </w:r>
      <w:r w:rsidR="001E4E58">
        <w:rPr>
          <w:rFonts w:ascii="Times New Roman" w:eastAsia="Times New Roman" w:hAnsi="Times New Roman" w:cs="Times New Roman"/>
          <w:sz w:val="24"/>
          <w:szCs w:val="24"/>
        </w:rPr>
        <w:t xml:space="preserve"> practice</w:t>
      </w:r>
      <w:r w:rsidRPr="00F11BCA">
        <w:rPr>
          <w:rFonts w:ascii="Times New Roman" w:eastAsia="Times New Roman" w:hAnsi="Times New Roman" w:cs="Times New Roman"/>
          <w:sz w:val="24"/>
          <w:szCs w:val="24"/>
        </w:rPr>
        <w:t>s</w:t>
      </w:r>
      <w:proofErr w:type="gramEnd"/>
      <w:r w:rsidRPr="00F11BCA">
        <w:rPr>
          <w:rFonts w:ascii="Times New Roman" w:eastAsia="Times New Roman" w:hAnsi="Times New Roman" w:cs="Times New Roman"/>
          <w:sz w:val="24"/>
          <w:szCs w:val="24"/>
        </w:rPr>
        <w:t xml:space="preserve"> and the financial performance of Ugandan industrial firms. Using a </w:t>
      </w:r>
      <w:r w:rsidRPr="00F11BCA">
        <w:rPr>
          <w:rFonts w:ascii="Times New Roman" w:eastAsia="Times New Roman" w:hAnsi="Times New Roman" w:cs="Times New Roman"/>
          <w:bCs/>
          <w:sz w:val="24"/>
          <w:szCs w:val="24"/>
        </w:rPr>
        <w:t>descriptive correlational research design</w:t>
      </w:r>
      <w:r w:rsidRPr="00F11BCA">
        <w:rPr>
          <w:rFonts w:ascii="Times New Roman" w:eastAsia="Times New Roman" w:hAnsi="Times New Roman" w:cs="Times New Roman"/>
          <w:sz w:val="24"/>
          <w:szCs w:val="24"/>
        </w:rPr>
        <w:t xml:space="preserve">, they analyzed the financial statements and sustainability </w:t>
      </w:r>
      <w:r w:rsidR="001E4E58">
        <w:rPr>
          <w:rFonts w:ascii="Times New Roman" w:eastAsia="Times New Roman" w:hAnsi="Times New Roman" w:cs="Times New Roman"/>
          <w:sz w:val="24"/>
          <w:szCs w:val="24"/>
        </w:rPr>
        <w:t xml:space="preserve"> practice</w:t>
      </w:r>
      <w:r w:rsidRPr="00F11BCA">
        <w:rPr>
          <w:rFonts w:ascii="Times New Roman" w:eastAsia="Times New Roman" w:hAnsi="Times New Roman" w:cs="Times New Roman"/>
          <w:sz w:val="24"/>
          <w:szCs w:val="24"/>
        </w:rPr>
        <w:t xml:space="preserve">s of 30 industrial firms over a seven-year period. Their findings confirmed a </w:t>
      </w:r>
      <w:r w:rsidRPr="00F11BCA">
        <w:rPr>
          <w:rFonts w:ascii="Times New Roman" w:eastAsia="Times New Roman" w:hAnsi="Times New Roman" w:cs="Times New Roman"/>
          <w:bCs/>
          <w:sz w:val="24"/>
          <w:szCs w:val="24"/>
        </w:rPr>
        <w:t>positive correlation</w:t>
      </w:r>
      <w:r w:rsidRPr="00F11BCA">
        <w:rPr>
          <w:rFonts w:ascii="Times New Roman" w:eastAsia="Times New Roman" w:hAnsi="Times New Roman" w:cs="Times New Roman"/>
          <w:sz w:val="24"/>
          <w:szCs w:val="24"/>
        </w:rPr>
        <w:t xml:space="preserve"> between environmental waste</w:t>
      </w:r>
      <w:r w:rsidR="00FD7697">
        <w:rPr>
          <w:rFonts w:ascii="Times New Roman" w:eastAsia="Times New Roman" w:hAnsi="Times New Roman" w:cs="Times New Roman"/>
          <w:sz w:val="24"/>
          <w:szCs w:val="24"/>
        </w:rPr>
        <w:t xml:space="preserve"> practice </w:t>
      </w:r>
      <w:r w:rsidRPr="00F11BCA">
        <w:rPr>
          <w:rFonts w:ascii="Times New Roman" w:eastAsia="Times New Roman" w:hAnsi="Times New Roman" w:cs="Times New Roman"/>
          <w:sz w:val="24"/>
          <w:szCs w:val="24"/>
        </w:rPr>
        <w:t>and profitability ratios such as ROA and ROE.</w:t>
      </w:r>
    </w:p>
    <w:p w14:paraId="680872CB" w14:textId="75AF3650" w:rsidR="00E57B83" w:rsidRPr="00F11BCA" w:rsidRDefault="00E57B83" w:rsidP="00E57B83">
      <w:pPr>
        <w:spacing w:before="100" w:beforeAutospacing="1" w:after="100" w:afterAutospacing="1" w:line="276" w:lineRule="auto"/>
        <w:jc w:val="both"/>
        <w:rPr>
          <w:rFonts w:ascii="Times New Roman" w:eastAsia="Times New Roman" w:hAnsi="Times New Roman" w:cs="Times New Roman"/>
          <w:sz w:val="24"/>
          <w:szCs w:val="24"/>
        </w:rPr>
      </w:pPr>
      <w:r w:rsidRPr="00F11BCA">
        <w:rPr>
          <w:rFonts w:ascii="Times New Roman" w:eastAsia="Times New Roman" w:hAnsi="Times New Roman" w:cs="Times New Roman"/>
          <w:bCs/>
          <w:sz w:val="24"/>
          <w:szCs w:val="24"/>
        </w:rPr>
        <w:t>Liu and Wang (2023)</w:t>
      </w:r>
      <w:r w:rsidR="00D06F27">
        <w:rPr>
          <w:rFonts w:ascii="Times New Roman" w:eastAsia="Times New Roman" w:hAnsi="Times New Roman" w:cs="Times New Roman"/>
          <w:sz w:val="24"/>
          <w:szCs w:val="24"/>
        </w:rPr>
        <w:t xml:space="preserve"> </w:t>
      </w:r>
      <w:r w:rsidRPr="00F11BCA">
        <w:rPr>
          <w:rFonts w:ascii="Times New Roman" w:eastAsia="Times New Roman" w:hAnsi="Times New Roman" w:cs="Times New Roman"/>
          <w:sz w:val="24"/>
          <w:szCs w:val="24"/>
        </w:rPr>
        <w:t>examine the long-term financial benefits of environmental waste management</w:t>
      </w:r>
      <w:r w:rsidR="00FD7697">
        <w:rPr>
          <w:rFonts w:ascii="Times New Roman" w:eastAsia="Times New Roman" w:hAnsi="Times New Roman" w:cs="Times New Roman"/>
          <w:sz w:val="24"/>
          <w:szCs w:val="24"/>
        </w:rPr>
        <w:t xml:space="preserve"> practice </w:t>
      </w:r>
      <w:r w:rsidRPr="00F11BCA">
        <w:rPr>
          <w:rFonts w:ascii="Times New Roman" w:eastAsia="Times New Roman" w:hAnsi="Times New Roman" w:cs="Times New Roman"/>
          <w:sz w:val="24"/>
          <w:szCs w:val="24"/>
        </w:rPr>
        <w:t xml:space="preserve">among Chinese industrial firms. The study employed a </w:t>
      </w:r>
      <w:r w:rsidRPr="00F11BCA">
        <w:rPr>
          <w:rFonts w:ascii="Times New Roman" w:eastAsia="Times New Roman" w:hAnsi="Times New Roman" w:cs="Times New Roman"/>
          <w:bCs/>
          <w:sz w:val="24"/>
          <w:szCs w:val="24"/>
        </w:rPr>
        <w:t>longitudinal research design</w:t>
      </w:r>
      <w:r w:rsidRPr="00F11BCA">
        <w:rPr>
          <w:rFonts w:ascii="Times New Roman" w:eastAsia="Times New Roman" w:hAnsi="Times New Roman" w:cs="Times New Roman"/>
          <w:sz w:val="24"/>
          <w:szCs w:val="24"/>
        </w:rPr>
        <w:t xml:space="preserve"> covering a ten-year span from 2010 to 2020. Using a combination of content analysis and regression modeling, the study analyzed 100 large industrial firms across different provinces in China. The results revealed that consistent and detailed environmental</w:t>
      </w:r>
      <w:r w:rsidR="00FD7697">
        <w:rPr>
          <w:rFonts w:ascii="Times New Roman" w:eastAsia="Times New Roman" w:hAnsi="Times New Roman" w:cs="Times New Roman"/>
          <w:sz w:val="24"/>
          <w:szCs w:val="24"/>
        </w:rPr>
        <w:t xml:space="preserve"> practice </w:t>
      </w:r>
      <w:r w:rsidRPr="00F11BCA">
        <w:rPr>
          <w:rFonts w:ascii="Times New Roman" w:eastAsia="Times New Roman" w:hAnsi="Times New Roman" w:cs="Times New Roman"/>
          <w:sz w:val="24"/>
          <w:szCs w:val="24"/>
        </w:rPr>
        <w:t xml:space="preserve">significantly improved </w:t>
      </w:r>
      <w:r w:rsidRPr="00F11BCA">
        <w:rPr>
          <w:rFonts w:ascii="Times New Roman" w:eastAsia="Times New Roman" w:hAnsi="Times New Roman" w:cs="Times New Roman"/>
          <w:bCs/>
          <w:sz w:val="24"/>
          <w:szCs w:val="24"/>
        </w:rPr>
        <w:t>operational efficiency and financial performance</w:t>
      </w:r>
      <w:r w:rsidRPr="00F11BCA">
        <w:rPr>
          <w:rFonts w:ascii="Times New Roman" w:eastAsia="Times New Roman" w:hAnsi="Times New Roman" w:cs="Times New Roman"/>
          <w:sz w:val="24"/>
          <w:szCs w:val="24"/>
        </w:rPr>
        <w:t>, particularly in firms that embedded sustainability in their strategic planning.</w:t>
      </w:r>
      <w:r w:rsidR="009A2964">
        <w:rPr>
          <w:rFonts w:ascii="Times New Roman" w:eastAsia="Times New Roman" w:hAnsi="Times New Roman" w:cs="Times New Roman"/>
          <w:sz w:val="24"/>
          <w:szCs w:val="24"/>
        </w:rPr>
        <w:t xml:space="preserve"> </w:t>
      </w:r>
      <w:proofErr w:type="spellStart"/>
      <w:r w:rsidRPr="00F11BCA">
        <w:rPr>
          <w:rFonts w:ascii="Times New Roman" w:eastAsia="Times New Roman" w:hAnsi="Times New Roman" w:cs="Times New Roman"/>
          <w:bCs/>
          <w:sz w:val="24"/>
          <w:szCs w:val="24"/>
        </w:rPr>
        <w:t>Nurshabrina</w:t>
      </w:r>
      <w:proofErr w:type="spellEnd"/>
      <w:r w:rsidRPr="00F11BCA">
        <w:rPr>
          <w:rFonts w:ascii="Times New Roman" w:eastAsia="Times New Roman" w:hAnsi="Times New Roman" w:cs="Times New Roman"/>
          <w:bCs/>
          <w:sz w:val="24"/>
          <w:szCs w:val="24"/>
        </w:rPr>
        <w:t xml:space="preserve"> et al. (2024)</w:t>
      </w:r>
      <w:r w:rsidRPr="00F11BCA">
        <w:rPr>
          <w:rFonts w:ascii="Times New Roman" w:eastAsia="Times New Roman" w:hAnsi="Times New Roman" w:cs="Times New Roman"/>
          <w:sz w:val="24"/>
          <w:szCs w:val="24"/>
        </w:rPr>
        <w:t xml:space="preserve"> examined the link between sustainability</w:t>
      </w:r>
      <w:r w:rsidR="00FD7697">
        <w:rPr>
          <w:rFonts w:ascii="Times New Roman" w:eastAsia="Times New Roman" w:hAnsi="Times New Roman" w:cs="Times New Roman"/>
          <w:sz w:val="24"/>
          <w:szCs w:val="24"/>
        </w:rPr>
        <w:t xml:space="preserve"> practice </w:t>
      </w:r>
      <w:r w:rsidRPr="00F11BCA">
        <w:rPr>
          <w:rFonts w:ascii="Times New Roman" w:eastAsia="Times New Roman" w:hAnsi="Times New Roman" w:cs="Times New Roman"/>
          <w:sz w:val="24"/>
          <w:szCs w:val="24"/>
        </w:rPr>
        <w:t xml:space="preserve">and financial performance at PT </w:t>
      </w:r>
      <w:proofErr w:type="spellStart"/>
      <w:r w:rsidRPr="00F11BCA">
        <w:rPr>
          <w:rFonts w:ascii="Times New Roman" w:eastAsia="Times New Roman" w:hAnsi="Times New Roman" w:cs="Times New Roman"/>
          <w:sz w:val="24"/>
          <w:szCs w:val="24"/>
        </w:rPr>
        <w:t>Jamkrindo</w:t>
      </w:r>
      <w:proofErr w:type="spellEnd"/>
      <w:r w:rsidRPr="00F11BCA">
        <w:rPr>
          <w:rFonts w:ascii="Times New Roman" w:eastAsia="Times New Roman" w:hAnsi="Times New Roman" w:cs="Times New Roman"/>
          <w:sz w:val="24"/>
          <w:szCs w:val="24"/>
        </w:rPr>
        <w:t xml:space="preserve">, an Indonesian financial institution. The study’s objective was to determine how sustainability reporting in environmental, social, and economic dimensions influenced financial metrics. A </w:t>
      </w:r>
      <w:r w:rsidRPr="00F11BCA">
        <w:rPr>
          <w:rFonts w:ascii="Times New Roman" w:eastAsia="Times New Roman" w:hAnsi="Times New Roman" w:cs="Times New Roman"/>
          <w:bCs/>
          <w:sz w:val="24"/>
          <w:szCs w:val="24"/>
        </w:rPr>
        <w:t>descriptive quantitative research design</w:t>
      </w:r>
      <w:r w:rsidRPr="00F11BCA">
        <w:rPr>
          <w:rFonts w:ascii="Times New Roman" w:eastAsia="Times New Roman" w:hAnsi="Times New Roman" w:cs="Times New Roman"/>
          <w:sz w:val="24"/>
          <w:szCs w:val="24"/>
        </w:rPr>
        <w:t xml:space="preserve"> was used, relying on secondary data such as annual reports and sustainability reports from 2019 to 2021. Financial indicators like ROA, ROE, DAR, and Current Ratio were analyzed alongside content analysis of sustainability </w:t>
      </w:r>
      <w:r w:rsidR="001E4E58">
        <w:rPr>
          <w:rFonts w:ascii="Times New Roman" w:eastAsia="Times New Roman" w:hAnsi="Times New Roman" w:cs="Times New Roman"/>
          <w:sz w:val="24"/>
          <w:szCs w:val="24"/>
        </w:rPr>
        <w:t xml:space="preserve"> practice</w:t>
      </w:r>
      <w:r w:rsidRPr="00F11BCA">
        <w:rPr>
          <w:rFonts w:ascii="Times New Roman" w:eastAsia="Times New Roman" w:hAnsi="Times New Roman" w:cs="Times New Roman"/>
          <w:sz w:val="24"/>
          <w:szCs w:val="24"/>
        </w:rPr>
        <w:t xml:space="preserve">s. The study found a notable improvement in profitability ratios, particularly in 2020, which coincided with the year of highest sustainability </w:t>
      </w:r>
      <w:r w:rsidR="001E4E58">
        <w:rPr>
          <w:rFonts w:ascii="Times New Roman" w:eastAsia="Times New Roman" w:hAnsi="Times New Roman" w:cs="Times New Roman"/>
          <w:sz w:val="24"/>
          <w:szCs w:val="24"/>
        </w:rPr>
        <w:t xml:space="preserve"> practice</w:t>
      </w:r>
      <w:r w:rsidRPr="00F11BCA">
        <w:rPr>
          <w:rFonts w:ascii="Times New Roman" w:eastAsia="Times New Roman" w:hAnsi="Times New Roman" w:cs="Times New Roman"/>
          <w:sz w:val="24"/>
          <w:szCs w:val="24"/>
        </w:rPr>
        <w:t xml:space="preserve">. The findings suggested a </w:t>
      </w:r>
      <w:r w:rsidRPr="00F11BCA">
        <w:rPr>
          <w:rFonts w:ascii="Times New Roman" w:eastAsia="Times New Roman" w:hAnsi="Times New Roman" w:cs="Times New Roman"/>
          <w:bCs/>
          <w:sz w:val="24"/>
          <w:szCs w:val="24"/>
        </w:rPr>
        <w:t>positive correlation</w:t>
      </w:r>
      <w:r w:rsidRPr="00F11BCA">
        <w:rPr>
          <w:rFonts w:ascii="Times New Roman" w:eastAsia="Times New Roman" w:hAnsi="Times New Roman" w:cs="Times New Roman"/>
          <w:sz w:val="24"/>
          <w:szCs w:val="24"/>
        </w:rPr>
        <w:t xml:space="preserve"> between increased environmental</w:t>
      </w:r>
      <w:r w:rsidR="00FD7697">
        <w:rPr>
          <w:rFonts w:ascii="Times New Roman" w:eastAsia="Times New Roman" w:hAnsi="Times New Roman" w:cs="Times New Roman"/>
          <w:sz w:val="24"/>
          <w:szCs w:val="24"/>
        </w:rPr>
        <w:t xml:space="preserve"> practice </w:t>
      </w:r>
      <w:r w:rsidRPr="00F11BCA">
        <w:rPr>
          <w:rFonts w:ascii="Times New Roman" w:eastAsia="Times New Roman" w:hAnsi="Times New Roman" w:cs="Times New Roman"/>
          <w:sz w:val="24"/>
          <w:szCs w:val="24"/>
        </w:rPr>
        <w:t>and improved financial performance.</w:t>
      </w:r>
    </w:p>
    <w:p w14:paraId="5F355B8B" w14:textId="064095F1" w:rsidR="00E57B83" w:rsidRDefault="00E57B83" w:rsidP="00E57B83">
      <w:pPr>
        <w:spacing w:before="100" w:beforeAutospacing="1" w:after="100" w:afterAutospacing="1" w:line="276" w:lineRule="auto"/>
        <w:jc w:val="both"/>
        <w:rPr>
          <w:rFonts w:ascii="Times New Roman" w:eastAsia="Times New Roman" w:hAnsi="Times New Roman" w:cs="Times New Roman"/>
          <w:sz w:val="24"/>
          <w:szCs w:val="24"/>
        </w:rPr>
      </w:pPr>
      <w:r w:rsidRPr="00F11BCA">
        <w:rPr>
          <w:rFonts w:ascii="Times New Roman" w:eastAsia="Times New Roman" w:hAnsi="Times New Roman" w:cs="Times New Roman"/>
          <w:bCs/>
          <w:sz w:val="24"/>
          <w:szCs w:val="24"/>
        </w:rPr>
        <w:t>Kolawole et al. (2023)</w:t>
      </w:r>
      <w:r w:rsidRPr="00F11BCA">
        <w:rPr>
          <w:rFonts w:ascii="Times New Roman" w:eastAsia="Times New Roman" w:hAnsi="Times New Roman" w:cs="Times New Roman"/>
          <w:sz w:val="24"/>
          <w:szCs w:val="24"/>
        </w:rPr>
        <w:t xml:space="preserve"> explored the impact of environmental accounting practices, including waste management </w:t>
      </w:r>
      <w:r w:rsidR="001E4E58">
        <w:rPr>
          <w:rFonts w:ascii="Times New Roman" w:eastAsia="Times New Roman" w:hAnsi="Times New Roman" w:cs="Times New Roman"/>
          <w:sz w:val="24"/>
          <w:szCs w:val="24"/>
        </w:rPr>
        <w:t xml:space="preserve"> practice</w:t>
      </w:r>
      <w:r w:rsidRPr="00F11BCA">
        <w:rPr>
          <w:rFonts w:ascii="Times New Roman" w:eastAsia="Times New Roman" w:hAnsi="Times New Roman" w:cs="Times New Roman"/>
          <w:sz w:val="24"/>
          <w:szCs w:val="24"/>
        </w:rPr>
        <w:t xml:space="preserve">s, on the financial performance of Nigerian aviation firms. The study's objective was to analyze the specific effects of environmental research and development, pollution control policy, and waste management on profitability. Utilizing an </w:t>
      </w:r>
      <w:r w:rsidRPr="00F11BCA">
        <w:rPr>
          <w:rFonts w:ascii="Times New Roman" w:eastAsia="Times New Roman" w:hAnsi="Times New Roman" w:cs="Times New Roman"/>
          <w:bCs/>
          <w:sz w:val="24"/>
          <w:szCs w:val="24"/>
        </w:rPr>
        <w:t>ex-post facto research design</w:t>
      </w:r>
      <w:r w:rsidRPr="00F11BCA">
        <w:rPr>
          <w:rFonts w:ascii="Times New Roman" w:eastAsia="Times New Roman" w:hAnsi="Times New Roman" w:cs="Times New Roman"/>
          <w:sz w:val="24"/>
          <w:szCs w:val="24"/>
        </w:rPr>
        <w:t xml:space="preserve">, </w:t>
      </w:r>
      <w:r w:rsidRPr="00F11BCA">
        <w:rPr>
          <w:rFonts w:ascii="Times New Roman" w:eastAsia="Times New Roman" w:hAnsi="Times New Roman" w:cs="Times New Roman"/>
          <w:sz w:val="24"/>
          <w:szCs w:val="24"/>
        </w:rPr>
        <w:lastRenderedPageBreak/>
        <w:t xml:space="preserve">the authors conducted a census of all five aviation firms listed on the Nigerian Exchange Group from 2016 to 2021. The study employed </w:t>
      </w:r>
      <w:r w:rsidRPr="00F11BCA">
        <w:rPr>
          <w:rFonts w:ascii="Times New Roman" w:eastAsia="Times New Roman" w:hAnsi="Times New Roman" w:cs="Times New Roman"/>
          <w:bCs/>
          <w:sz w:val="24"/>
          <w:szCs w:val="24"/>
        </w:rPr>
        <w:t>OLS regression analysis</w:t>
      </w:r>
      <w:r w:rsidRPr="00F11BCA">
        <w:rPr>
          <w:rFonts w:ascii="Times New Roman" w:eastAsia="Times New Roman" w:hAnsi="Times New Roman" w:cs="Times New Roman"/>
          <w:sz w:val="24"/>
          <w:szCs w:val="24"/>
        </w:rPr>
        <w:t xml:space="preserve"> on secondary data from published annual reports. Interestingly, the findings showed that environmental waste management had a </w:t>
      </w:r>
      <w:r w:rsidRPr="00F11BCA">
        <w:rPr>
          <w:rFonts w:ascii="Times New Roman" w:eastAsia="Times New Roman" w:hAnsi="Times New Roman" w:cs="Times New Roman"/>
          <w:bCs/>
          <w:sz w:val="24"/>
          <w:szCs w:val="24"/>
        </w:rPr>
        <w:t>negative and statistically significant effect</w:t>
      </w:r>
      <w:r w:rsidRPr="00F11BCA">
        <w:rPr>
          <w:rFonts w:ascii="Times New Roman" w:eastAsia="Times New Roman" w:hAnsi="Times New Roman" w:cs="Times New Roman"/>
          <w:sz w:val="24"/>
          <w:szCs w:val="24"/>
        </w:rPr>
        <w:t xml:space="preserve"> on ROA, while pollution control policy had a </w:t>
      </w:r>
      <w:r w:rsidRPr="00F11BCA">
        <w:rPr>
          <w:rFonts w:ascii="Times New Roman" w:eastAsia="Times New Roman" w:hAnsi="Times New Roman" w:cs="Times New Roman"/>
          <w:bCs/>
          <w:sz w:val="24"/>
          <w:szCs w:val="24"/>
        </w:rPr>
        <w:t>positive effect</w:t>
      </w:r>
      <w:r w:rsidRPr="00F11BCA">
        <w:rPr>
          <w:rFonts w:ascii="Times New Roman" w:eastAsia="Times New Roman" w:hAnsi="Times New Roman" w:cs="Times New Roman"/>
          <w:sz w:val="24"/>
          <w:szCs w:val="24"/>
        </w:rPr>
        <w:t>, suggesting that not all environmental practices uniformly enhance financial performance and that implementation costs may offset immediate financial gains.</w:t>
      </w:r>
      <w:r w:rsidR="009A2964">
        <w:rPr>
          <w:rFonts w:ascii="Times New Roman" w:eastAsia="Times New Roman" w:hAnsi="Times New Roman" w:cs="Times New Roman"/>
          <w:sz w:val="24"/>
          <w:szCs w:val="24"/>
        </w:rPr>
        <w:t xml:space="preserve"> </w:t>
      </w:r>
      <w:r w:rsidRPr="00F11BCA">
        <w:rPr>
          <w:rFonts w:ascii="Times New Roman" w:eastAsia="Times New Roman" w:hAnsi="Times New Roman" w:cs="Times New Roman"/>
          <w:sz w:val="24"/>
          <w:szCs w:val="24"/>
        </w:rPr>
        <w:t xml:space="preserve">Finally, </w:t>
      </w:r>
      <w:r w:rsidRPr="00F11BCA">
        <w:rPr>
          <w:rFonts w:ascii="Times New Roman" w:eastAsia="Times New Roman" w:hAnsi="Times New Roman" w:cs="Times New Roman"/>
          <w:bCs/>
          <w:sz w:val="24"/>
          <w:szCs w:val="24"/>
        </w:rPr>
        <w:t>Ibrahim et al. (2023)</w:t>
      </w:r>
      <w:r w:rsidRPr="00F11BCA">
        <w:rPr>
          <w:rFonts w:ascii="Times New Roman" w:eastAsia="Times New Roman" w:hAnsi="Times New Roman" w:cs="Times New Roman"/>
          <w:sz w:val="24"/>
          <w:szCs w:val="24"/>
        </w:rPr>
        <w:t xml:space="preserve"> aimed to evaluate how environmental reporting affected the financial performance of listed industrial and consumer goods firms in Nigeria over a ten-year period (2012–2021). The study adopted a </w:t>
      </w:r>
      <w:r w:rsidRPr="00F11BCA">
        <w:rPr>
          <w:rFonts w:ascii="Times New Roman" w:eastAsia="Times New Roman" w:hAnsi="Times New Roman" w:cs="Times New Roman"/>
          <w:bCs/>
          <w:sz w:val="24"/>
          <w:szCs w:val="24"/>
        </w:rPr>
        <w:t>quantitative research design</w:t>
      </w:r>
      <w:r w:rsidRPr="00F11BCA">
        <w:rPr>
          <w:rFonts w:ascii="Times New Roman" w:eastAsia="Times New Roman" w:hAnsi="Times New Roman" w:cs="Times New Roman"/>
          <w:sz w:val="24"/>
          <w:szCs w:val="24"/>
        </w:rPr>
        <w:t xml:space="preserve"> using secondary data extracted from annual reports of 11 firms that consistently disclosed environmental data during the study period. Environmental performance was measured using an index based on ISO 14031 standards, and ROA was used as the financial performance metric. The findings revealed a </w:t>
      </w:r>
      <w:r w:rsidRPr="00F11BCA">
        <w:rPr>
          <w:rFonts w:ascii="Times New Roman" w:eastAsia="Times New Roman" w:hAnsi="Times New Roman" w:cs="Times New Roman"/>
          <w:bCs/>
          <w:sz w:val="24"/>
          <w:szCs w:val="24"/>
        </w:rPr>
        <w:t>negative significant effect</w:t>
      </w:r>
      <w:r w:rsidRPr="00F11BCA">
        <w:rPr>
          <w:rFonts w:ascii="Times New Roman" w:eastAsia="Times New Roman" w:hAnsi="Times New Roman" w:cs="Times New Roman"/>
          <w:sz w:val="24"/>
          <w:szCs w:val="24"/>
        </w:rPr>
        <w:t xml:space="preserve"> of environmental reporting on ROA, indicating that while firms are increasingly disclosing environmental practices, such </w:t>
      </w:r>
      <w:r w:rsidR="001E4E58">
        <w:rPr>
          <w:rFonts w:ascii="Times New Roman" w:eastAsia="Times New Roman" w:hAnsi="Times New Roman" w:cs="Times New Roman"/>
          <w:sz w:val="24"/>
          <w:szCs w:val="24"/>
        </w:rPr>
        <w:t xml:space="preserve"> practice</w:t>
      </w:r>
      <w:r w:rsidRPr="00F11BCA">
        <w:rPr>
          <w:rFonts w:ascii="Times New Roman" w:eastAsia="Times New Roman" w:hAnsi="Times New Roman" w:cs="Times New Roman"/>
          <w:sz w:val="24"/>
          <w:szCs w:val="24"/>
        </w:rPr>
        <w:t>s may initially incur compliance costs that reduce profitability. Nonetheless, the study affirmed that environmental reporting remains influential to financial outcomes in the long run.</w:t>
      </w:r>
    </w:p>
    <w:p w14:paraId="1D05BC97" w14:textId="795C5120" w:rsidR="00E57B83" w:rsidRPr="002E4D53" w:rsidRDefault="009A2964" w:rsidP="00E57B83">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Literature </w:t>
      </w:r>
      <w:r w:rsidR="00E57B83" w:rsidRPr="002E4D53">
        <w:rPr>
          <w:rFonts w:ascii="Times New Roman" w:eastAsia="Times New Roman" w:hAnsi="Times New Roman" w:cs="Times New Roman"/>
          <w:b/>
          <w:sz w:val="24"/>
          <w:szCs w:val="24"/>
        </w:rPr>
        <w:t xml:space="preserve"> Gap </w:t>
      </w:r>
    </w:p>
    <w:p w14:paraId="7E88907D" w14:textId="5FC3FFFC" w:rsidR="00E57B83" w:rsidRPr="002E4D53" w:rsidRDefault="00E57B83" w:rsidP="00E57B83">
      <w:pPr>
        <w:spacing w:before="100" w:beforeAutospacing="1" w:after="100" w:afterAutospacing="1" w:line="276" w:lineRule="auto"/>
        <w:jc w:val="both"/>
        <w:rPr>
          <w:rFonts w:ascii="Times New Roman" w:eastAsia="Times New Roman" w:hAnsi="Times New Roman" w:cs="Times New Roman"/>
          <w:sz w:val="24"/>
          <w:szCs w:val="24"/>
        </w:rPr>
      </w:pPr>
      <w:r w:rsidRPr="002E4D53">
        <w:rPr>
          <w:rFonts w:ascii="Times New Roman" w:eastAsia="Times New Roman" w:hAnsi="Times New Roman" w:cs="Times New Roman"/>
          <w:sz w:val="24"/>
          <w:szCs w:val="24"/>
        </w:rPr>
        <w:t>Despite growing interest in the relationship between environmental waste management</w:t>
      </w:r>
      <w:r w:rsidR="00FD7697">
        <w:rPr>
          <w:rFonts w:ascii="Times New Roman" w:eastAsia="Times New Roman" w:hAnsi="Times New Roman" w:cs="Times New Roman"/>
          <w:sz w:val="24"/>
          <w:szCs w:val="24"/>
        </w:rPr>
        <w:t xml:space="preserve"> practice </w:t>
      </w:r>
      <w:r w:rsidRPr="002E4D53">
        <w:rPr>
          <w:rFonts w:ascii="Times New Roman" w:eastAsia="Times New Roman" w:hAnsi="Times New Roman" w:cs="Times New Roman"/>
          <w:sz w:val="24"/>
          <w:szCs w:val="24"/>
        </w:rPr>
        <w:t>and financial performance, several gaps remain in the extant literature. First, most prior studies have focused predominantly on industrial, manufacturing, and aviation sectors (Kolawole et al., 2023; Liu &amp; Wang, 2023), with limited emphasis on consumer goods and agricultural sectors, thereby creating a sectoral gap in the literature. Methodologically, previous studies have largely employed cross-sectional designs or descriptive methods with short-term data (</w:t>
      </w:r>
      <w:proofErr w:type="spellStart"/>
      <w:r w:rsidRPr="002E4D53">
        <w:rPr>
          <w:rFonts w:ascii="Times New Roman" w:eastAsia="Times New Roman" w:hAnsi="Times New Roman" w:cs="Times New Roman"/>
          <w:sz w:val="24"/>
          <w:szCs w:val="24"/>
        </w:rPr>
        <w:t>Nurshabrina</w:t>
      </w:r>
      <w:proofErr w:type="spellEnd"/>
      <w:r w:rsidRPr="002E4D53">
        <w:rPr>
          <w:rFonts w:ascii="Times New Roman" w:eastAsia="Times New Roman" w:hAnsi="Times New Roman" w:cs="Times New Roman"/>
          <w:sz w:val="24"/>
          <w:szCs w:val="24"/>
        </w:rPr>
        <w:t xml:space="preserve"> et al., 2024; Ibrahim et al., 2023), lacking robust longitudinal or panel data techniques that could provide deeper causal inferences. Thus, the existing literature is limited by a lack of comprehensive analysis integrating sectoral diversity, Nigerian-specific evidence, and advanced empirical techniques.</w:t>
      </w:r>
      <w:r w:rsidR="009A2964">
        <w:rPr>
          <w:rFonts w:ascii="Times New Roman" w:eastAsia="Times New Roman" w:hAnsi="Times New Roman" w:cs="Times New Roman"/>
          <w:sz w:val="24"/>
          <w:szCs w:val="24"/>
        </w:rPr>
        <w:t xml:space="preserve"> </w:t>
      </w:r>
      <w:r w:rsidRPr="002E4D53">
        <w:rPr>
          <w:rFonts w:ascii="Times New Roman" w:eastAsia="Times New Roman" w:hAnsi="Times New Roman" w:cs="Times New Roman"/>
          <w:sz w:val="24"/>
          <w:szCs w:val="24"/>
        </w:rPr>
        <w:t>This study contributes to the existing body of knowledge by addressing these identified gaps. It focuses specifically on the listed industrial and consumer goods firms in Nigeria, thereby filling the sectoral and geographical gaps. Furthermore, the study employs a panel data approach over a ten-year period, enhancing the methodological rigor and enabling a more robust investigation of the causal relationship between environmental waste management</w:t>
      </w:r>
      <w:r w:rsidR="00FD7697">
        <w:rPr>
          <w:rFonts w:ascii="Times New Roman" w:eastAsia="Times New Roman" w:hAnsi="Times New Roman" w:cs="Times New Roman"/>
          <w:sz w:val="24"/>
          <w:szCs w:val="24"/>
        </w:rPr>
        <w:t xml:space="preserve"> practice </w:t>
      </w:r>
      <w:r w:rsidRPr="002E4D53">
        <w:rPr>
          <w:rFonts w:ascii="Times New Roman" w:eastAsia="Times New Roman" w:hAnsi="Times New Roman" w:cs="Times New Roman"/>
          <w:sz w:val="24"/>
          <w:szCs w:val="24"/>
        </w:rPr>
        <w:t>and financial performance. By bridging these gaps, the research provides contextualized insights that can inform corporate sustainability strategies, policy development, and investor decision-making in Nigeria's non-financial sectors</w:t>
      </w:r>
    </w:p>
    <w:p w14:paraId="581BFC41" w14:textId="77777777" w:rsidR="00E57B83" w:rsidRDefault="00E57B83" w:rsidP="00E57B83">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Methodology </w:t>
      </w:r>
    </w:p>
    <w:p w14:paraId="2998C6A7" w14:textId="23748F0D" w:rsidR="003D4438" w:rsidRDefault="00D87D83" w:rsidP="00D87D83">
      <w:pPr>
        <w:spacing w:before="100" w:beforeAutospacing="1" w:after="100" w:afterAutospacing="1" w:line="240" w:lineRule="auto"/>
        <w:jc w:val="both"/>
        <w:outlineLvl w:val="2"/>
        <w:rPr>
          <w:rFonts w:ascii="Times New Roman" w:hAnsi="Times New Roman" w:cs="Times New Roman"/>
          <w:sz w:val="24"/>
          <w:szCs w:val="24"/>
        </w:rPr>
      </w:pPr>
      <w:r w:rsidRPr="00D87D83">
        <w:rPr>
          <w:rFonts w:ascii="Times New Roman" w:hAnsi="Times New Roman" w:cs="Times New Roman"/>
          <w:sz w:val="24"/>
          <w:szCs w:val="24"/>
        </w:rPr>
        <w:t xml:space="preserve">The study population comprised all sixty-five (65) manufacturing firms listed on the Nigerian Exchange Group (NGX) as of December 2025, covering sectors such as Consumer Goods, </w:t>
      </w:r>
      <w:r w:rsidRPr="00D87D83">
        <w:rPr>
          <w:rFonts w:ascii="Times New Roman" w:hAnsi="Times New Roman" w:cs="Times New Roman"/>
          <w:sz w:val="24"/>
          <w:szCs w:val="24"/>
        </w:rPr>
        <w:lastRenderedPageBreak/>
        <w:t>Industrial Goods, and Agriculture. From this population, a sample of ten (10) firms was purposively selected for the study based on the availability of complete and uninterrupted financial data over a fifteen-year period (201</w:t>
      </w:r>
      <w:r w:rsidR="00AF5B9B">
        <w:rPr>
          <w:rFonts w:ascii="Times New Roman" w:hAnsi="Times New Roman" w:cs="Times New Roman"/>
          <w:sz w:val="24"/>
          <w:szCs w:val="24"/>
        </w:rPr>
        <w:t>1</w:t>
      </w:r>
      <w:r w:rsidRPr="00D87D83">
        <w:rPr>
          <w:rFonts w:ascii="Times New Roman" w:hAnsi="Times New Roman" w:cs="Times New Roman"/>
          <w:sz w:val="24"/>
          <w:szCs w:val="24"/>
        </w:rPr>
        <w:t>–202</w:t>
      </w:r>
      <w:r w:rsidR="00AF5B9B">
        <w:rPr>
          <w:rFonts w:ascii="Times New Roman" w:hAnsi="Times New Roman" w:cs="Times New Roman"/>
          <w:sz w:val="24"/>
          <w:szCs w:val="24"/>
        </w:rPr>
        <w:t>5</w:t>
      </w:r>
      <w:r w:rsidRPr="00D87D83">
        <w:rPr>
          <w:rFonts w:ascii="Times New Roman" w:hAnsi="Times New Roman" w:cs="Times New Roman"/>
          <w:sz w:val="24"/>
          <w:szCs w:val="24"/>
        </w:rPr>
        <w:t xml:space="preserve">). The selected firms include Nestlé Nigeria Plc, Dangote Sugar Refinery Plc, Cadbury Nigeria Plc, Nigerian Breweries Plc, Flour Mills of Nigeria Plc, Guinness Nigeria Plc, Lafarge Africa Plc, BUA Cement Plc, </w:t>
      </w:r>
      <w:proofErr w:type="spellStart"/>
      <w:r w:rsidRPr="00D87D83">
        <w:rPr>
          <w:rFonts w:ascii="Times New Roman" w:hAnsi="Times New Roman" w:cs="Times New Roman"/>
          <w:sz w:val="24"/>
          <w:szCs w:val="24"/>
        </w:rPr>
        <w:t>Presco</w:t>
      </w:r>
      <w:proofErr w:type="spellEnd"/>
      <w:r w:rsidRPr="00D87D83">
        <w:rPr>
          <w:rFonts w:ascii="Times New Roman" w:hAnsi="Times New Roman" w:cs="Times New Roman"/>
          <w:sz w:val="24"/>
          <w:szCs w:val="24"/>
        </w:rPr>
        <w:t xml:space="preserve"> Plc, and </w:t>
      </w:r>
      <w:proofErr w:type="spellStart"/>
      <w:r w:rsidRPr="00D87D83">
        <w:rPr>
          <w:rFonts w:ascii="Times New Roman" w:hAnsi="Times New Roman" w:cs="Times New Roman"/>
          <w:sz w:val="24"/>
          <w:szCs w:val="24"/>
        </w:rPr>
        <w:t>Okomu</w:t>
      </w:r>
      <w:proofErr w:type="spellEnd"/>
      <w:r w:rsidRPr="00D87D83">
        <w:rPr>
          <w:rFonts w:ascii="Times New Roman" w:hAnsi="Times New Roman" w:cs="Times New Roman"/>
          <w:sz w:val="24"/>
          <w:szCs w:val="24"/>
        </w:rPr>
        <w:t xml:space="preserve"> Oil Palm Plc. The purposive sampling technique ensured the inclusion of firms with consistent and reliable data relevant to environmental practices and financial performance.</w:t>
      </w:r>
    </w:p>
    <w:p w14:paraId="7DCD734D" w14:textId="60940536" w:rsidR="00D87D83" w:rsidRPr="00D87D83" w:rsidRDefault="00D87D83" w:rsidP="00D87D83">
      <w:pPr>
        <w:spacing w:before="100" w:beforeAutospacing="1" w:after="100" w:afterAutospacing="1" w:line="240" w:lineRule="auto"/>
        <w:jc w:val="both"/>
        <w:outlineLvl w:val="2"/>
        <w:rPr>
          <w:rFonts w:ascii="Times New Roman" w:hAnsi="Times New Roman" w:cs="Times New Roman"/>
          <w:sz w:val="24"/>
          <w:szCs w:val="24"/>
        </w:rPr>
      </w:pPr>
      <w:r w:rsidRPr="00D87D83">
        <w:rPr>
          <w:rFonts w:ascii="Times New Roman" w:hAnsi="Times New Roman" w:cs="Times New Roman"/>
          <w:sz w:val="24"/>
          <w:szCs w:val="24"/>
        </w:rPr>
        <w:t>The study adopted a correlational research design to examine the relationship between environmental waste management and pollution control practices and firm performance. Secondary data were manually extracted from the annual reports and financial statements of the selected firms to ensure accuracy and reliability. Correlation analysis and panel regression techniques were employed to analyze the data, enabling the study to assess both the strength and direction of the relationships among the variables, as well as the long-term effects of environmental practices on firm performance. The use of panel data analysis further facilitated the integration of cross-sectional and time-series dimensions, thereby providing a more comprehensive evaluation of trends within Nigeria’s manufacturing sector.</w:t>
      </w:r>
    </w:p>
    <w:p w14:paraId="2754AFBB" w14:textId="77777777" w:rsidR="00E57B83" w:rsidRPr="00E538F7" w:rsidRDefault="00E57B83" w:rsidP="00E57B83">
      <w:pPr>
        <w:spacing w:before="100" w:beforeAutospacing="1" w:after="100" w:afterAutospacing="1" w:line="240" w:lineRule="auto"/>
        <w:outlineLvl w:val="2"/>
        <w:rPr>
          <w:rFonts w:ascii="Times New Roman" w:eastAsia="Times New Roman" w:hAnsi="Times New Roman" w:cs="Times New Roman"/>
          <w:b/>
          <w:bCs/>
          <w:sz w:val="24"/>
          <w:szCs w:val="24"/>
        </w:rPr>
      </w:pPr>
      <w:r w:rsidRPr="00E538F7">
        <w:rPr>
          <w:rFonts w:ascii="Times New Roman" w:eastAsia="Times New Roman" w:hAnsi="Times New Roman" w:cs="Times New Roman"/>
          <w:b/>
          <w:bCs/>
          <w:sz w:val="24"/>
          <w:szCs w:val="24"/>
        </w:rPr>
        <w:t>Model Specification</w:t>
      </w:r>
    </w:p>
    <w:p w14:paraId="76E64F1B" w14:textId="442374C2" w:rsidR="00E57B83" w:rsidRPr="00173902" w:rsidRDefault="00E57B83" w:rsidP="00E57B83">
      <w:pPr>
        <w:autoSpaceDE w:val="0"/>
        <w:autoSpaceDN w:val="0"/>
        <w:adjustRightInd w:val="0"/>
        <w:spacing w:before="100" w:after="100" w:line="240" w:lineRule="auto"/>
        <w:jc w:val="both"/>
        <w:rPr>
          <w:rFonts w:ascii="Times New Roman" w:hAnsi="Times New Roman" w:cs="Times New Roman"/>
          <w:sz w:val="24"/>
          <w:szCs w:val="24"/>
        </w:rPr>
      </w:pPr>
      <w:r w:rsidRPr="00173902">
        <w:rPr>
          <w:rFonts w:ascii="Times New Roman" w:hAnsi="Times New Roman" w:cs="Times New Roman"/>
          <w:sz w:val="24"/>
          <w:szCs w:val="24"/>
        </w:rPr>
        <w:t xml:space="preserve">This study adopts </w:t>
      </w:r>
      <w:r w:rsidR="00173902" w:rsidRPr="00173902">
        <w:rPr>
          <w:rFonts w:ascii="Times New Roman" w:hAnsi="Times New Roman" w:cs="Times New Roman"/>
          <w:sz w:val="24"/>
          <w:szCs w:val="24"/>
        </w:rPr>
        <w:t xml:space="preserve">Panel regression </w:t>
      </w:r>
      <w:r w:rsidRPr="00173902">
        <w:rPr>
          <w:rFonts w:ascii="Times New Roman" w:hAnsi="Times New Roman" w:cs="Times New Roman"/>
          <w:sz w:val="24"/>
          <w:szCs w:val="24"/>
        </w:rPr>
        <w:t xml:space="preserve"> model to empirically examine the impact of green </w:t>
      </w:r>
      <w:r w:rsidR="00FD7697">
        <w:rPr>
          <w:rFonts w:ascii="Times New Roman" w:hAnsi="Times New Roman" w:cs="Times New Roman"/>
          <w:sz w:val="24"/>
          <w:szCs w:val="24"/>
        </w:rPr>
        <w:t xml:space="preserve">accounting practice </w:t>
      </w:r>
      <w:r w:rsidRPr="00173902">
        <w:rPr>
          <w:rFonts w:ascii="Times New Roman" w:hAnsi="Times New Roman" w:cs="Times New Roman"/>
          <w:sz w:val="24"/>
          <w:szCs w:val="24"/>
        </w:rPr>
        <w:t xml:space="preserve">measured in term of environmental waste management and pollution control </w:t>
      </w:r>
      <w:r w:rsidR="001E4E58" w:rsidRPr="00173902">
        <w:rPr>
          <w:rFonts w:ascii="Times New Roman" w:hAnsi="Times New Roman" w:cs="Times New Roman"/>
          <w:sz w:val="24"/>
          <w:szCs w:val="24"/>
        </w:rPr>
        <w:t xml:space="preserve"> practice</w:t>
      </w:r>
      <w:r w:rsidRPr="00173902">
        <w:rPr>
          <w:rFonts w:ascii="Times New Roman" w:hAnsi="Times New Roman" w:cs="Times New Roman"/>
          <w:sz w:val="24"/>
          <w:szCs w:val="24"/>
        </w:rPr>
        <w:t xml:space="preserve">s on the financial performance of listed industrial firms in Nigeria. The use of this model aligns with the study’s objective to provide evidence-based insights into the extent to which environmental accountability contributes to or detracts from profitability, thereby guiding policymakers, stakeholders, and firm managers in making informed decisions regarding sustainable investment strategies. This linear model is formulated below : </w:t>
      </w:r>
    </w:p>
    <w:p w14:paraId="7C75A528" w14:textId="77777777" w:rsidR="00E57B83" w:rsidRPr="00173902" w:rsidRDefault="00E57B83" w:rsidP="00E57B83">
      <w:pPr>
        <w:shd w:val="clear" w:color="auto" w:fill="FFFFFF"/>
        <w:spacing w:after="120" w:line="240" w:lineRule="auto"/>
        <w:rPr>
          <w:rFonts w:ascii="Times New Roman" w:eastAsia="Times New Roman" w:hAnsi="Times New Roman" w:cs="Times New Roman"/>
          <w:color w:val="101112"/>
          <w:sz w:val="24"/>
          <w:szCs w:val="24"/>
        </w:rPr>
      </w:pPr>
      <w:r w:rsidRPr="00173902">
        <w:rPr>
          <w:rFonts w:ascii="Times New Roman" w:eastAsia="Times New Roman" w:hAnsi="Times New Roman" w:cs="Times New Roman"/>
          <w:color w:val="101112"/>
          <w:sz w:val="24"/>
          <w:szCs w:val="24"/>
        </w:rPr>
        <w:t>ROAit = β0 + β1(</w:t>
      </w:r>
      <w:proofErr w:type="spellStart"/>
      <w:r w:rsidRPr="00173902">
        <w:rPr>
          <w:rFonts w:ascii="Times New Roman" w:eastAsia="Times New Roman" w:hAnsi="Times New Roman" w:cs="Times New Roman"/>
          <w:color w:val="101112"/>
          <w:sz w:val="24"/>
          <w:szCs w:val="24"/>
        </w:rPr>
        <w:t>WMEit</w:t>
      </w:r>
      <w:proofErr w:type="spellEnd"/>
      <w:r w:rsidRPr="00173902">
        <w:rPr>
          <w:rFonts w:ascii="Times New Roman" w:eastAsia="Times New Roman" w:hAnsi="Times New Roman" w:cs="Times New Roman"/>
          <w:color w:val="101112"/>
          <w:sz w:val="24"/>
          <w:szCs w:val="24"/>
        </w:rPr>
        <w:t>) + β2(</w:t>
      </w:r>
      <w:proofErr w:type="spellStart"/>
      <w:r w:rsidRPr="00173902">
        <w:rPr>
          <w:rFonts w:ascii="Times New Roman" w:eastAsia="Times New Roman" w:hAnsi="Times New Roman" w:cs="Times New Roman"/>
          <w:color w:val="101112"/>
          <w:sz w:val="24"/>
          <w:szCs w:val="24"/>
        </w:rPr>
        <w:t>CIWTFit</w:t>
      </w:r>
      <w:proofErr w:type="spellEnd"/>
      <w:r w:rsidRPr="00173902">
        <w:rPr>
          <w:rFonts w:ascii="Times New Roman" w:eastAsia="Times New Roman" w:hAnsi="Times New Roman" w:cs="Times New Roman"/>
          <w:color w:val="101112"/>
          <w:sz w:val="24"/>
          <w:szCs w:val="24"/>
        </w:rPr>
        <w:t>) + β3(</w:t>
      </w:r>
      <w:proofErr w:type="spellStart"/>
      <w:r w:rsidRPr="00173902">
        <w:rPr>
          <w:rFonts w:ascii="Times New Roman" w:eastAsia="Times New Roman" w:hAnsi="Times New Roman" w:cs="Times New Roman"/>
          <w:color w:val="101112"/>
          <w:sz w:val="24"/>
          <w:szCs w:val="24"/>
        </w:rPr>
        <w:t>FPWMit</w:t>
      </w:r>
      <w:proofErr w:type="spellEnd"/>
      <w:r w:rsidRPr="00173902">
        <w:rPr>
          <w:rFonts w:ascii="Times New Roman" w:eastAsia="Times New Roman" w:hAnsi="Times New Roman" w:cs="Times New Roman"/>
          <w:color w:val="101112"/>
          <w:sz w:val="24"/>
          <w:szCs w:val="24"/>
        </w:rPr>
        <w:t>) + β4(</w:t>
      </w:r>
      <w:proofErr w:type="spellStart"/>
      <w:r w:rsidRPr="00173902">
        <w:rPr>
          <w:rFonts w:ascii="Times New Roman" w:eastAsia="Times New Roman" w:hAnsi="Times New Roman" w:cs="Times New Roman"/>
          <w:color w:val="101112"/>
          <w:sz w:val="24"/>
          <w:szCs w:val="24"/>
        </w:rPr>
        <w:t>PCEit</w:t>
      </w:r>
      <w:proofErr w:type="spellEnd"/>
      <w:r w:rsidRPr="00173902">
        <w:rPr>
          <w:rFonts w:ascii="Times New Roman" w:eastAsia="Times New Roman" w:hAnsi="Times New Roman" w:cs="Times New Roman"/>
          <w:color w:val="101112"/>
          <w:sz w:val="24"/>
          <w:szCs w:val="24"/>
        </w:rPr>
        <w:t>) + β5(</w:t>
      </w:r>
      <w:proofErr w:type="spellStart"/>
      <w:r w:rsidRPr="00173902">
        <w:rPr>
          <w:rFonts w:ascii="Times New Roman" w:eastAsia="Times New Roman" w:hAnsi="Times New Roman" w:cs="Times New Roman"/>
          <w:color w:val="101112"/>
          <w:sz w:val="24"/>
          <w:szCs w:val="24"/>
        </w:rPr>
        <w:t>CEPCit</w:t>
      </w:r>
      <w:proofErr w:type="spellEnd"/>
      <w:r w:rsidRPr="00173902">
        <w:rPr>
          <w:rFonts w:ascii="Times New Roman" w:eastAsia="Times New Roman" w:hAnsi="Times New Roman" w:cs="Times New Roman"/>
          <w:color w:val="101112"/>
          <w:sz w:val="24"/>
          <w:szCs w:val="24"/>
        </w:rPr>
        <w:t>) + β6(</w:t>
      </w:r>
      <w:proofErr w:type="spellStart"/>
      <w:r w:rsidRPr="00173902">
        <w:rPr>
          <w:rFonts w:ascii="Times New Roman" w:eastAsia="Times New Roman" w:hAnsi="Times New Roman" w:cs="Times New Roman"/>
          <w:color w:val="101112"/>
          <w:sz w:val="24"/>
          <w:szCs w:val="24"/>
        </w:rPr>
        <w:t>ERPit</w:t>
      </w:r>
      <w:proofErr w:type="spellEnd"/>
      <w:r w:rsidRPr="00173902">
        <w:rPr>
          <w:rFonts w:ascii="Times New Roman" w:eastAsia="Times New Roman" w:hAnsi="Times New Roman" w:cs="Times New Roman"/>
          <w:color w:val="101112"/>
          <w:sz w:val="24"/>
          <w:szCs w:val="24"/>
        </w:rPr>
        <w:t xml:space="preserve">) + </w:t>
      </w:r>
      <w:proofErr w:type="spellStart"/>
      <w:r w:rsidRPr="00173902">
        <w:rPr>
          <w:rFonts w:ascii="Times New Roman" w:eastAsia="Times New Roman" w:hAnsi="Times New Roman" w:cs="Times New Roman"/>
          <w:color w:val="101112"/>
          <w:sz w:val="24"/>
          <w:szCs w:val="24"/>
        </w:rPr>
        <w:t>εit</w:t>
      </w:r>
      <w:proofErr w:type="spellEnd"/>
    </w:p>
    <w:p w14:paraId="0820E24D" w14:textId="77777777" w:rsidR="000E1C67" w:rsidRDefault="000E1C67" w:rsidP="00E57B83">
      <w:pPr>
        <w:ind w:left="360"/>
        <w:rPr>
          <w:rFonts w:ascii="Times New Roman" w:eastAsia="Times New Roman" w:hAnsi="Times New Roman" w:cs="Times New Roman"/>
          <w:sz w:val="24"/>
          <w:szCs w:val="24"/>
        </w:rPr>
      </w:pPr>
    </w:p>
    <w:p w14:paraId="484DF487" w14:textId="59255453" w:rsidR="00E57B83" w:rsidRPr="00173902" w:rsidRDefault="00E57B83" w:rsidP="000E1C67">
      <w:pPr>
        <w:spacing w:after="0"/>
        <w:ind w:left="360"/>
        <w:rPr>
          <w:rFonts w:ascii="Times New Roman" w:eastAsia="Times New Roman" w:hAnsi="Times New Roman" w:cs="Times New Roman"/>
          <w:sz w:val="24"/>
          <w:szCs w:val="24"/>
        </w:rPr>
      </w:pPr>
      <w:r w:rsidRPr="00173902">
        <w:rPr>
          <w:rFonts w:ascii="Times New Roman" w:eastAsia="Times New Roman" w:hAnsi="Times New Roman" w:cs="Times New Roman"/>
          <w:sz w:val="24"/>
          <w:szCs w:val="24"/>
        </w:rPr>
        <w:t>Where:</w:t>
      </w:r>
    </w:p>
    <w:p w14:paraId="71AAC8C4" w14:textId="77777777" w:rsidR="00E57B83" w:rsidRPr="00D77724" w:rsidRDefault="00E57B83" w:rsidP="00E57B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ROA</w:t>
      </w:r>
      <w:r w:rsidRPr="00D77724">
        <w:rPr>
          <w:rFonts w:ascii="Times New Roman" w:eastAsia="Times New Roman" w:hAnsi="Times New Roman" w:cs="Times New Roman"/>
          <w:sz w:val="24"/>
          <w:szCs w:val="24"/>
        </w:rPr>
        <w:t xml:space="preserve"> = Return on Assets (dependent variable)</w:t>
      </w:r>
    </w:p>
    <w:p w14:paraId="3FE4EC5B" w14:textId="77777777" w:rsidR="00E57B83" w:rsidRPr="00D77724" w:rsidRDefault="00E57B83" w:rsidP="00E57B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WME</w:t>
      </w:r>
      <w:r w:rsidRPr="00D77724">
        <w:rPr>
          <w:rFonts w:ascii="Times New Roman" w:eastAsia="Times New Roman" w:hAnsi="Times New Roman" w:cs="Times New Roman"/>
          <w:sz w:val="24"/>
          <w:szCs w:val="24"/>
        </w:rPr>
        <w:t xml:space="preserve"> = Waste Management Expenditure</w:t>
      </w:r>
    </w:p>
    <w:p w14:paraId="4C4C414A" w14:textId="77777777" w:rsidR="00E57B83" w:rsidRPr="00D77724" w:rsidRDefault="00E57B83" w:rsidP="00E57B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CIWTF</w:t>
      </w:r>
      <w:r w:rsidRPr="00D77724">
        <w:rPr>
          <w:rFonts w:ascii="Times New Roman" w:eastAsia="Times New Roman" w:hAnsi="Times New Roman" w:cs="Times New Roman"/>
          <w:sz w:val="24"/>
          <w:szCs w:val="24"/>
        </w:rPr>
        <w:t xml:space="preserve"> = Capital Investment in Waste Treatment Facilities</w:t>
      </w:r>
    </w:p>
    <w:p w14:paraId="247192BE" w14:textId="77777777" w:rsidR="00E57B83" w:rsidRPr="00D77724" w:rsidRDefault="00E57B83" w:rsidP="00E57B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FPWM</w:t>
      </w:r>
      <w:r w:rsidRPr="00D77724">
        <w:rPr>
          <w:rFonts w:ascii="Times New Roman" w:eastAsia="Times New Roman" w:hAnsi="Times New Roman" w:cs="Times New Roman"/>
          <w:sz w:val="24"/>
          <w:szCs w:val="24"/>
        </w:rPr>
        <w:t xml:space="preserve"> = Fines and Penalties for Waste Mismanagement</w:t>
      </w:r>
    </w:p>
    <w:p w14:paraId="34175B37" w14:textId="77777777" w:rsidR="00E57B83" w:rsidRPr="00D77724" w:rsidRDefault="00E57B83" w:rsidP="00E57B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PCE</w:t>
      </w:r>
      <w:r w:rsidRPr="00D77724">
        <w:rPr>
          <w:rFonts w:ascii="Times New Roman" w:eastAsia="Times New Roman" w:hAnsi="Times New Roman" w:cs="Times New Roman"/>
          <w:sz w:val="24"/>
          <w:szCs w:val="24"/>
        </w:rPr>
        <w:t xml:space="preserve"> = Pollution Control Expenditure</w:t>
      </w:r>
    </w:p>
    <w:p w14:paraId="7F131ECC" w14:textId="77777777" w:rsidR="00E57B83" w:rsidRPr="00D77724" w:rsidRDefault="00E57B83" w:rsidP="00E57B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CEPC</w:t>
      </w:r>
      <w:r w:rsidRPr="00D77724">
        <w:rPr>
          <w:rFonts w:ascii="Times New Roman" w:eastAsia="Times New Roman" w:hAnsi="Times New Roman" w:cs="Times New Roman"/>
          <w:sz w:val="24"/>
          <w:szCs w:val="24"/>
        </w:rPr>
        <w:t xml:space="preserve"> = Capital Expenditure on Pollution Control Equipment</w:t>
      </w:r>
    </w:p>
    <w:p w14:paraId="1B9185CD" w14:textId="77777777" w:rsidR="00E57B83" w:rsidRPr="00D77724" w:rsidRDefault="00E57B83" w:rsidP="00E57B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ERP</w:t>
      </w:r>
      <w:r w:rsidRPr="00D77724">
        <w:rPr>
          <w:rFonts w:ascii="Times New Roman" w:eastAsia="Times New Roman" w:hAnsi="Times New Roman" w:cs="Times New Roman"/>
          <w:sz w:val="24"/>
          <w:szCs w:val="24"/>
        </w:rPr>
        <w:t xml:space="preserve"> = Environmental Fines and Regulatory Penalties</w:t>
      </w:r>
    </w:p>
    <w:p w14:paraId="38C6CF88" w14:textId="77777777" w:rsidR="00E57B83" w:rsidRPr="00D77724" w:rsidRDefault="00E57B83" w:rsidP="00E57B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ε</w:t>
      </w:r>
      <w:r w:rsidRPr="00D77724">
        <w:rPr>
          <w:rFonts w:ascii="Times New Roman" w:eastAsia="Times New Roman" w:hAnsi="Times New Roman" w:cs="Times New Roman"/>
          <w:sz w:val="24"/>
          <w:szCs w:val="24"/>
        </w:rPr>
        <w:t xml:space="preserve"> = Error term</w:t>
      </w:r>
    </w:p>
    <w:p w14:paraId="3E1467E0" w14:textId="77777777" w:rsidR="00E57B83" w:rsidRPr="00D77724" w:rsidRDefault="00E57B83" w:rsidP="00E57B8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sz w:val="24"/>
          <w:szCs w:val="24"/>
        </w:rPr>
        <w:t>iii = firm</w:t>
      </w:r>
    </w:p>
    <w:p w14:paraId="2FE1E38D" w14:textId="77777777" w:rsidR="00E57B83" w:rsidRPr="00D77724" w:rsidRDefault="00E57B83" w:rsidP="00E57B83">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D77724">
        <w:rPr>
          <w:rFonts w:ascii="Times New Roman" w:eastAsia="Times New Roman" w:hAnsi="Times New Roman" w:cs="Times New Roman"/>
          <w:sz w:val="24"/>
          <w:szCs w:val="24"/>
        </w:rPr>
        <w:t>ttt</w:t>
      </w:r>
      <w:proofErr w:type="spellEnd"/>
      <w:r w:rsidRPr="00D77724">
        <w:rPr>
          <w:rFonts w:ascii="Times New Roman" w:eastAsia="Times New Roman" w:hAnsi="Times New Roman" w:cs="Times New Roman"/>
          <w:sz w:val="24"/>
          <w:szCs w:val="24"/>
        </w:rPr>
        <w:t xml:space="preserve"> = time/year</w:t>
      </w:r>
    </w:p>
    <w:p w14:paraId="07E376A3" w14:textId="77777777" w:rsidR="00E57B83" w:rsidRPr="00D77724" w:rsidRDefault="00E57B83" w:rsidP="00E57B8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sz w:val="24"/>
          <w:szCs w:val="24"/>
        </w:rPr>
        <w:t>β0\beta_0β0​ = intercept</w:t>
      </w:r>
    </w:p>
    <w:p w14:paraId="3C4AF999" w14:textId="77777777" w:rsidR="00E57B83" w:rsidRPr="00D77724" w:rsidRDefault="00E57B83" w:rsidP="00E57B8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sz w:val="24"/>
          <w:szCs w:val="24"/>
        </w:rPr>
        <w:t>β1</w:t>
      </w:r>
    </w:p>
    <w:p w14:paraId="235626C5" w14:textId="77777777" w:rsidR="00E57B83" w:rsidRPr="00415A99" w:rsidRDefault="00E57B83" w:rsidP="00E57B83">
      <w:pPr>
        <w:spacing w:before="100" w:beforeAutospacing="1" w:after="100" w:afterAutospacing="1"/>
        <w:rPr>
          <w:rFonts w:eastAsia="Times New Roman"/>
          <w:sz w:val="24"/>
        </w:rPr>
      </w:pPr>
      <w:r>
        <w:rPr>
          <w:rFonts w:eastAsia="Times New Roman"/>
          <w:b/>
          <w:bCs/>
          <w:sz w:val="24"/>
        </w:rPr>
        <w:lastRenderedPageBreak/>
        <w:t xml:space="preserve">Table 1: Operational measurement </w:t>
      </w:r>
      <w:r w:rsidRPr="00415A99">
        <w:rPr>
          <w:rFonts w:eastAsia="Times New Roman"/>
          <w:sz w:val="24"/>
        </w:rPr>
        <w:t xml:space="preserve"> </w:t>
      </w:r>
    </w:p>
    <w:tbl>
      <w:tblPr>
        <w:tblStyle w:val="TableGrid"/>
        <w:tblW w:w="0" w:type="auto"/>
        <w:tblLook w:val="04A0" w:firstRow="1" w:lastRow="0" w:firstColumn="1" w:lastColumn="0" w:noHBand="0" w:noVBand="1"/>
      </w:tblPr>
      <w:tblGrid>
        <w:gridCol w:w="1412"/>
        <w:gridCol w:w="1731"/>
        <w:gridCol w:w="1930"/>
        <w:gridCol w:w="2779"/>
        <w:gridCol w:w="1498"/>
      </w:tblGrid>
      <w:tr w:rsidR="00E57B83" w:rsidRPr="00335108" w14:paraId="204C2C0C" w14:textId="77777777" w:rsidTr="00E57B83">
        <w:tc>
          <w:tcPr>
            <w:tcW w:w="0" w:type="auto"/>
            <w:hideMark/>
          </w:tcPr>
          <w:p w14:paraId="3B1A1248" w14:textId="77777777" w:rsidR="00E57B83" w:rsidRPr="00335108" w:rsidRDefault="00E57B83" w:rsidP="00E57B83">
            <w:pPr>
              <w:jc w:val="center"/>
              <w:rPr>
                <w:rFonts w:ascii="Times New Roman" w:eastAsia="Times New Roman" w:hAnsi="Times New Roman" w:cs="Times New Roman"/>
                <w:b/>
                <w:bCs/>
                <w:sz w:val="24"/>
                <w:szCs w:val="24"/>
              </w:rPr>
            </w:pPr>
            <w:r w:rsidRPr="00335108">
              <w:rPr>
                <w:rFonts w:ascii="Times New Roman" w:eastAsia="Times New Roman" w:hAnsi="Times New Roman" w:cs="Times New Roman"/>
                <w:b/>
                <w:bCs/>
                <w:sz w:val="24"/>
                <w:szCs w:val="24"/>
              </w:rPr>
              <w:t>Variable Type</w:t>
            </w:r>
          </w:p>
        </w:tc>
        <w:tc>
          <w:tcPr>
            <w:tcW w:w="0" w:type="auto"/>
            <w:hideMark/>
          </w:tcPr>
          <w:p w14:paraId="723C2F44" w14:textId="77777777" w:rsidR="00E57B83" w:rsidRPr="00335108" w:rsidRDefault="00E57B83" w:rsidP="00E57B83">
            <w:pPr>
              <w:jc w:val="center"/>
              <w:rPr>
                <w:rFonts w:ascii="Times New Roman" w:eastAsia="Times New Roman" w:hAnsi="Times New Roman" w:cs="Times New Roman"/>
                <w:b/>
                <w:bCs/>
                <w:sz w:val="24"/>
                <w:szCs w:val="24"/>
              </w:rPr>
            </w:pPr>
            <w:r w:rsidRPr="00335108">
              <w:rPr>
                <w:rFonts w:ascii="Times New Roman" w:eastAsia="Times New Roman" w:hAnsi="Times New Roman" w:cs="Times New Roman"/>
                <w:b/>
                <w:bCs/>
                <w:sz w:val="24"/>
                <w:szCs w:val="24"/>
              </w:rPr>
              <w:t>Main Variable</w:t>
            </w:r>
          </w:p>
        </w:tc>
        <w:tc>
          <w:tcPr>
            <w:tcW w:w="0" w:type="auto"/>
            <w:hideMark/>
          </w:tcPr>
          <w:p w14:paraId="09EE3F1D" w14:textId="77777777" w:rsidR="00E57B83" w:rsidRPr="00335108" w:rsidRDefault="00E57B83" w:rsidP="00E57B83">
            <w:pPr>
              <w:jc w:val="center"/>
              <w:rPr>
                <w:rFonts w:ascii="Times New Roman" w:eastAsia="Times New Roman" w:hAnsi="Times New Roman" w:cs="Times New Roman"/>
                <w:b/>
                <w:bCs/>
                <w:sz w:val="24"/>
                <w:szCs w:val="24"/>
              </w:rPr>
            </w:pPr>
            <w:r w:rsidRPr="00335108">
              <w:rPr>
                <w:rFonts w:ascii="Times New Roman" w:eastAsia="Times New Roman" w:hAnsi="Times New Roman" w:cs="Times New Roman"/>
                <w:b/>
                <w:bCs/>
                <w:sz w:val="24"/>
                <w:szCs w:val="24"/>
              </w:rPr>
              <w:t>Sub-Variable (Proxy)</w:t>
            </w:r>
          </w:p>
        </w:tc>
        <w:tc>
          <w:tcPr>
            <w:tcW w:w="0" w:type="auto"/>
            <w:hideMark/>
          </w:tcPr>
          <w:p w14:paraId="13F7F54F" w14:textId="77777777" w:rsidR="00E57B83" w:rsidRPr="00335108" w:rsidRDefault="00E57B83" w:rsidP="00E57B83">
            <w:pPr>
              <w:jc w:val="center"/>
              <w:rPr>
                <w:rFonts w:ascii="Times New Roman" w:eastAsia="Times New Roman" w:hAnsi="Times New Roman" w:cs="Times New Roman"/>
                <w:b/>
                <w:bCs/>
                <w:sz w:val="24"/>
                <w:szCs w:val="24"/>
              </w:rPr>
            </w:pPr>
            <w:r w:rsidRPr="00335108">
              <w:rPr>
                <w:rFonts w:ascii="Times New Roman" w:eastAsia="Times New Roman" w:hAnsi="Times New Roman" w:cs="Times New Roman"/>
                <w:b/>
                <w:bCs/>
                <w:sz w:val="24"/>
                <w:szCs w:val="24"/>
              </w:rPr>
              <w:t>Measurement/Indicator</w:t>
            </w:r>
          </w:p>
        </w:tc>
        <w:tc>
          <w:tcPr>
            <w:tcW w:w="0" w:type="auto"/>
            <w:hideMark/>
          </w:tcPr>
          <w:p w14:paraId="2A8A8CE6" w14:textId="77777777" w:rsidR="00E57B83" w:rsidRPr="00335108" w:rsidRDefault="00E57B83" w:rsidP="00E57B83">
            <w:pPr>
              <w:jc w:val="center"/>
              <w:rPr>
                <w:rFonts w:ascii="Times New Roman" w:eastAsia="Times New Roman" w:hAnsi="Times New Roman" w:cs="Times New Roman"/>
                <w:b/>
                <w:bCs/>
                <w:sz w:val="24"/>
                <w:szCs w:val="24"/>
              </w:rPr>
            </w:pPr>
            <w:r w:rsidRPr="00335108">
              <w:rPr>
                <w:rFonts w:ascii="Times New Roman" w:eastAsia="Times New Roman" w:hAnsi="Times New Roman" w:cs="Times New Roman"/>
                <w:b/>
                <w:bCs/>
                <w:sz w:val="24"/>
                <w:szCs w:val="24"/>
              </w:rPr>
              <w:t>Data Source</w:t>
            </w:r>
          </w:p>
        </w:tc>
      </w:tr>
      <w:tr w:rsidR="00E57B83" w:rsidRPr="00335108" w14:paraId="22290455" w14:textId="77777777" w:rsidTr="00E57B83">
        <w:tc>
          <w:tcPr>
            <w:tcW w:w="0" w:type="auto"/>
            <w:hideMark/>
          </w:tcPr>
          <w:p w14:paraId="25428FB1"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Dependent</w:t>
            </w:r>
          </w:p>
        </w:tc>
        <w:tc>
          <w:tcPr>
            <w:tcW w:w="0" w:type="auto"/>
            <w:hideMark/>
          </w:tcPr>
          <w:p w14:paraId="058F5026"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Firm Performance</w:t>
            </w:r>
          </w:p>
        </w:tc>
        <w:tc>
          <w:tcPr>
            <w:tcW w:w="0" w:type="auto"/>
            <w:hideMark/>
          </w:tcPr>
          <w:p w14:paraId="660262EC"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Return on Asset (ROA)</w:t>
            </w:r>
          </w:p>
        </w:tc>
        <w:tc>
          <w:tcPr>
            <w:tcW w:w="0" w:type="auto"/>
            <w:hideMark/>
          </w:tcPr>
          <w:p w14:paraId="0499DC84"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Net Profit / Total Assets</w:t>
            </w:r>
          </w:p>
        </w:tc>
        <w:tc>
          <w:tcPr>
            <w:tcW w:w="0" w:type="auto"/>
            <w:hideMark/>
          </w:tcPr>
          <w:p w14:paraId="1DAD7332"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Financial Statements</w:t>
            </w:r>
          </w:p>
        </w:tc>
      </w:tr>
      <w:tr w:rsidR="00E57B83" w:rsidRPr="00335108" w14:paraId="29B1A85C" w14:textId="77777777" w:rsidTr="00E57B83">
        <w:tc>
          <w:tcPr>
            <w:tcW w:w="0" w:type="auto"/>
            <w:hideMark/>
          </w:tcPr>
          <w:p w14:paraId="1A97E914"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Independent</w:t>
            </w:r>
          </w:p>
        </w:tc>
        <w:tc>
          <w:tcPr>
            <w:tcW w:w="0" w:type="auto"/>
            <w:hideMark/>
          </w:tcPr>
          <w:p w14:paraId="50D56095" w14:textId="2E66AD79"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 xml:space="preserve">Environmental Waste Management </w:t>
            </w:r>
            <w:r w:rsidR="001E4E58">
              <w:rPr>
                <w:rFonts w:ascii="Times New Roman" w:eastAsia="Times New Roman" w:hAnsi="Times New Roman" w:cs="Times New Roman"/>
                <w:sz w:val="24"/>
                <w:szCs w:val="24"/>
              </w:rPr>
              <w:t xml:space="preserve"> practice</w:t>
            </w:r>
          </w:p>
        </w:tc>
        <w:tc>
          <w:tcPr>
            <w:tcW w:w="0" w:type="auto"/>
            <w:hideMark/>
          </w:tcPr>
          <w:p w14:paraId="24E71670"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1. Waste Management Expenditure</w:t>
            </w:r>
          </w:p>
        </w:tc>
        <w:tc>
          <w:tcPr>
            <w:tcW w:w="0" w:type="auto"/>
            <w:hideMark/>
          </w:tcPr>
          <w:p w14:paraId="50548627"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Total expenses on waste collection, treatment &amp; disposal</w:t>
            </w:r>
          </w:p>
        </w:tc>
        <w:tc>
          <w:tcPr>
            <w:tcW w:w="0" w:type="auto"/>
            <w:hideMark/>
          </w:tcPr>
          <w:p w14:paraId="55AB5A3D"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Notes to the Accounts / CSR Report</w:t>
            </w:r>
          </w:p>
        </w:tc>
      </w:tr>
      <w:tr w:rsidR="00E57B83" w:rsidRPr="00335108" w14:paraId="02E8A87F" w14:textId="77777777" w:rsidTr="00E57B83">
        <w:tc>
          <w:tcPr>
            <w:tcW w:w="0" w:type="auto"/>
            <w:hideMark/>
          </w:tcPr>
          <w:p w14:paraId="1F948EDE" w14:textId="77777777" w:rsidR="00E57B83" w:rsidRPr="00335108" w:rsidRDefault="00E57B83" w:rsidP="00E57B83">
            <w:pPr>
              <w:rPr>
                <w:rFonts w:ascii="Times New Roman" w:eastAsia="Times New Roman" w:hAnsi="Times New Roman" w:cs="Times New Roman"/>
                <w:sz w:val="24"/>
                <w:szCs w:val="24"/>
              </w:rPr>
            </w:pPr>
          </w:p>
        </w:tc>
        <w:tc>
          <w:tcPr>
            <w:tcW w:w="0" w:type="auto"/>
            <w:hideMark/>
          </w:tcPr>
          <w:p w14:paraId="21398C07" w14:textId="77777777" w:rsidR="00E57B83" w:rsidRPr="00335108" w:rsidRDefault="00E57B83" w:rsidP="00E57B83">
            <w:pPr>
              <w:rPr>
                <w:rFonts w:ascii="Times New Roman" w:eastAsia="Times New Roman" w:hAnsi="Times New Roman" w:cs="Times New Roman"/>
                <w:sz w:val="20"/>
                <w:szCs w:val="20"/>
              </w:rPr>
            </w:pPr>
          </w:p>
        </w:tc>
        <w:tc>
          <w:tcPr>
            <w:tcW w:w="0" w:type="auto"/>
            <w:hideMark/>
          </w:tcPr>
          <w:p w14:paraId="37BDB6EB"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2. Capital Investment in Waste Treatment Facilities</w:t>
            </w:r>
          </w:p>
        </w:tc>
        <w:tc>
          <w:tcPr>
            <w:tcW w:w="0" w:type="auto"/>
            <w:hideMark/>
          </w:tcPr>
          <w:p w14:paraId="041F2F10"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Long-term investment in waste treatment infrastructure</w:t>
            </w:r>
          </w:p>
        </w:tc>
        <w:tc>
          <w:tcPr>
            <w:tcW w:w="0" w:type="auto"/>
            <w:hideMark/>
          </w:tcPr>
          <w:p w14:paraId="3B5D3C8C"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Capital Expenditure / Statement of Cash Flows</w:t>
            </w:r>
          </w:p>
        </w:tc>
      </w:tr>
      <w:tr w:rsidR="00E57B83" w:rsidRPr="00335108" w14:paraId="0D0D680B" w14:textId="77777777" w:rsidTr="00E57B83">
        <w:tc>
          <w:tcPr>
            <w:tcW w:w="0" w:type="auto"/>
            <w:hideMark/>
          </w:tcPr>
          <w:p w14:paraId="3294B740" w14:textId="77777777" w:rsidR="00E57B83" w:rsidRPr="00335108" w:rsidRDefault="00E57B83" w:rsidP="00E57B83">
            <w:pPr>
              <w:rPr>
                <w:rFonts w:ascii="Times New Roman" w:eastAsia="Times New Roman" w:hAnsi="Times New Roman" w:cs="Times New Roman"/>
                <w:sz w:val="24"/>
                <w:szCs w:val="24"/>
              </w:rPr>
            </w:pPr>
          </w:p>
        </w:tc>
        <w:tc>
          <w:tcPr>
            <w:tcW w:w="0" w:type="auto"/>
            <w:hideMark/>
          </w:tcPr>
          <w:p w14:paraId="0E46E50D" w14:textId="77777777" w:rsidR="00E57B83" w:rsidRPr="00335108" w:rsidRDefault="00E57B83" w:rsidP="00E57B83">
            <w:pPr>
              <w:rPr>
                <w:rFonts w:ascii="Times New Roman" w:eastAsia="Times New Roman" w:hAnsi="Times New Roman" w:cs="Times New Roman"/>
                <w:sz w:val="20"/>
                <w:szCs w:val="20"/>
              </w:rPr>
            </w:pPr>
          </w:p>
        </w:tc>
        <w:tc>
          <w:tcPr>
            <w:tcW w:w="0" w:type="auto"/>
            <w:hideMark/>
          </w:tcPr>
          <w:p w14:paraId="50CDE330"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3. Fines and Penalties for Waste Mismanagement</w:t>
            </w:r>
          </w:p>
        </w:tc>
        <w:tc>
          <w:tcPr>
            <w:tcW w:w="0" w:type="auto"/>
            <w:hideMark/>
          </w:tcPr>
          <w:p w14:paraId="05917C83"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Amount of fines or penalties paid due to waste disposal violations</w:t>
            </w:r>
          </w:p>
        </w:tc>
        <w:tc>
          <w:tcPr>
            <w:tcW w:w="0" w:type="auto"/>
            <w:hideMark/>
          </w:tcPr>
          <w:p w14:paraId="3962596C"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Notes to the Accounts / Contingent Liabilities</w:t>
            </w:r>
          </w:p>
        </w:tc>
      </w:tr>
      <w:tr w:rsidR="00E57B83" w:rsidRPr="00335108" w14:paraId="44377CA5" w14:textId="77777777" w:rsidTr="00E57B83">
        <w:tc>
          <w:tcPr>
            <w:tcW w:w="0" w:type="auto"/>
            <w:hideMark/>
          </w:tcPr>
          <w:p w14:paraId="565D1F5F"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Independent</w:t>
            </w:r>
          </w:p>
        </w:tc>
        <w:tc>
          <w:tcPr>
            <w:tcW w:w="0" w:type="auto"/>
            <w:hideMark/>
          </w:tcPr>
          <w:p w14:paraId="4D897440" w14:textId="59C6D8AA"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 xml:space="preserve">Environmental Pollution Control </w:t>
            </w:r>
            <w:r w:rsidR="001E4E58">
              <w:rPr>
                <w:rFonts w:ascii="Times New Roman" w:eastAsia="Times New Roman" w:hAnsi="Times New Roman" w:cs="Times New Roman"/>
                <w:sz w:val="24"/>
                <w:szCs w:val="24"/>
              </w:rPr>
              <w:t xml:space="preserve"> practice</w:t>
            </w:r>
          </w:p>
        </w:tc>
        <w:tc>
          <w:tcPr>
            <w:tcW w:w="0" w:type="auto"/>
            <w:hideMark/>
          </w:tcPr>
          <w:p w14:paraId="2D3D94F1"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1. Pollution Control Expenditure</w:t>
            </w:r>
          </w:p>
        </w:tc>
        <w:tc>
          <w:tcPr>
            <w:tcW w:w="0" w:type="auto"/>
            <w:hideMark/>
          </w:tcPr>
          <w:p w14:paraId="2E87A54A"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Annual cost on pollution control measures (air, water, land)</w:t>
            </w:r>
          </w:p>
        </w:tc>
        <w:tc>
          <w:tcPr>
            <w:tcW w:w="0" w:type="auto"/>
            <w:hideMark/>
          </w:tcPr>
          <w:p w14:paraId="24DCC327"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Operating Expenses / CSR Report</w:t>
            </w:r>
          </w:p>
        </w:tc>
      </w:tr>
      <w:tr w:rsidR="00E57B83" w:rsidRPr="00335108" w14:paraId="6640EFB2" w14:textId="77777777" w:rsidTr="00E57B83">
        <w:tc>
          <w:tcPr>
            <w:tcW w:w="0" w:type="auto"/>
            <w:hideMark/>
          </w:tcPr>
          <w:p w14:paraId="1FB598BD" w14:textId="77777777" w:rsidR="00E57B83" w:rsidRPr="00335108" w:rsidRDefault="00E57B83" w:rsidP="00E57B83">
            <w:pPr>
              <w:rPr>
                <w:rFonts w:ascii="Times New Roman" w:eastAsia="Times New Roman" w:hAnsi="Times New Roman" w:cs="Times New Roman"/>
                <w:sz w:val="24"/>
                <w:szCs w:val="24"/>
              </w:rPr>
            </w:pPr>
          </w:p>
        </w:tc>
        <w:tc>
          <w:tcPr>
            <w:tcW w:w="0" w:type="auto"/>
            <w:hideMark/>
          </w:tcPr>
          <w:p w14:paraId="14B1597D" w14:textId="77777777" w:rsidR="00E57B83" w:rsidRPr="00335108" w:rsidRDefault="00E57B83" w:rsidP="00E57B83">
            <w:pPr>
              <w:rPr>
                <w:rFonts w:ascii="Times New Roman" w:eastAsia="Times New Roman" w:hAnsi="Times New Roman" w:cs="Times New Roman"/>
                <w:sz w:val="20"/>
                <w:szCs w:val="20"/>
              </w:rPr>
            </w:pPr>
          </w:p>
        </w:tc>
        <w:tc>
          <w:tcPr>
            <w:tcW w:w="0" w:type="auto"/>
            <w:hideMark/>
          </w:tcPr>
          <w:p w14:paraId="72C2C72E"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2. Capital Expenditure on Pollution Control Equipment</w:t>
            </w:r>
          </w:p>
        </w:tc>
        <w:tc>
          <w:tcPr>
            <w:tcW w:w="0" w:type="auto"/>
            <w:hideMark/>
          </w:tcPr>
          <w:p w14:paraId="35602773"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Investments in pollution control systems and equipment</w:t>
            </w:r>
          </w:p>
        </w:tc>
        <w:tc>
          <w:tcPr>
            <w:tcW w:w="0" w:type="auto"/>
            <w:hideMark/>
          </w:tcPr>
          <w:p w14:paraId="44D62472"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Statement of Cash Flows / Notes to the Accounts</w:t>
            </w:r>
          </w:p>
        </w:tc>
      </w:tr>
      <w:tr w:rsidR="00E57B83" w:rsidRPr="00335108" w14:paraId="7B740105" w14:textId="77777777" w:rsidTr="00E57B83">
        <w:tc>
          <w:tcPr>
            <w:tcW w:w="0" w:type="auto"/>
            <w:hideMark/>
          </w:tcPr>
          <w:p w14:paraId="6438680A" w14:textId="77777777" w:rsidR="00E57B83" w:rsidRPr="00335108" w:rsidRDefault="00E57B83" w:rsidP="00E57B83">
            <w:pPr>
              <w:rPr>
                <w:rFonts w:ascii="Times New Roman" w:eastAsia="Times New Roman" w:hAnsi="Times New Roman" w:cs="Times New Roman"/>
                <w:sz w:val="24"/>
                <w:szCs w:val="24"/>
              </w:rPr>
            </w:pPr>
          </w:p>
        </w:tc>
        <w:tc>
          <w:tcPr>
            <w:tcW w:w="0" w:type="auto"/>
            <w:hideMark/>
          </w:tcPr>
          <w:p w14:paraId="62FC2272" w14:textId="77777777" w:rsidR="00E57B83" w:rsidRPr="00335108" w:rsidRDefault="00E57B83" w:rsidP="00E57B83">
            <w:pPr>
              <w:rPr>
                <w:rFonts w:ascii="Times New Roman" w:eastAsia="Times New Roman" w:hAnsi="Times New Roman" w:cs="Times New Roman"/>
                <w:sz w:val="20"/>
                <w:szCs w:val="20"/>
              </w:rPr>
            </w:pPr>
          </w:p>
        </w:tc>
        <w:tc>
          <w:tcPr>
            <w:tcW w:w="0" w:type="auto"/>
            <w:hideMark/>
          </w:tcPr>
          <w:p w14:paraId="7DC24EF2"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3. Environmental Fines and Regulatory Penalties</w:t>
            </w:r>
          </w:p>
        </w:tc>
        <w:tc>
          <w:tcPr>
            <w:tcW w:w="0" w:type="auto"/>
            <w:hideMark/>
          </w:tcPr>
          <w:p w14:paraId="225B8A75"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Total monetary sanctions due to environmental pollution violations</w:t>
            </w:r>
          </w:p>
        </w:tc>
        <w:tc>
          <w:tcPr>
            <w:tcW w:w="0" w:type="auto"/>
            <w:hideMark/>
          </w:tcPr>
          <w:p w14:paraId="2CDB7DC0"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Notes to the Accounts / Other Expenses</w:t>
            </w:r>
          </w:p>
        </w:tc>
      </w:tr>
    </w:tbl>
    <w:p w14:paraId="642FB4EA" w14:textId="77777777" w:rsidR="00AF5B9B" w:rsidRPr="0076051E" w:rsidRDefault="00AF5B9B" w:rsidP="00AF5B9B">
      <w:pPr>
        <w:rPr>
          <w:rFonts w:asciiTheme="majorBidi" w:hAnsiTheme="majorBidi" w:cstheme="majorBidi"/>
          <w:b/>
          <w:bCs/>
          <w:i/>
          <w:iCs/>
          <w:sz w:val="24"/>
        </w:rPr>
      </w:pPr>
      <w:r w:rsidRPr="0076051E">
        <w:rPr>
          <w:rFonts w:asciiTheme="majorBidi" w:hAnsiTheme="majorBidi" w:cstheme="majorBidi"/>
          <w:b/>
          <w:bCs/>
          <w:i/>
          <w:iCs/>
          <w:sz w:val="24"/>
        </w:rPr>
        <w:t xml:space="preserve">Source: Authors’ </w:t>
      </w:r>
      <w:proofErr w:type="gramStart"/>
      <w:r>
        <w:rPr>
          <w:rFonts w:asciiTheme="majorBidi" w:hAnsiTheme="majorBidi" w:cstheme="majorBidi"/>
          <w:b/>
          <w:bCs/>
          <w:i/>
          <w:iCs/>
          <w:sz w:val="24"/>
        </w:rPr>
        <w:t xml:space="preserve">Compilation </w:t>
      </w:r>
      <w:r w:rsidRPr="0076051E">
        <w:rPr>
          <w:rFonts w:asciiTheme="majorBidi" w:hAnsiTheme="majorBidi" w:cstheme="majorBidi"/>
          <w:b/>
          <w:bCs/>
          <w:i/>
          <w:iCs/>
          <w:sz w:val="24"/>
        </w:rPr>
        <w:t xml:space="preserve"> (</w:t>
      </w:r>
      <w:proofErr w:type="gramEnd"/>
      <w:r w:rsidRPr="0076051E">
        <w:rPr>
          <w:rFonts w:asciiTheme="majorBidi" w:hAnsiTheme="majorBidi" w:cstheme="majorBidi"/>
          <w:b/>
          <w:bCs/>
          <w:i/>
          <w:iCs/>
          <w:sz w:val="24"/>
        </w:rPr>
        <w:t>202</w:t>
      </w:r>
      <w:r>
        <w:rPr>
          <w:rFonts w:asciiTheme="majorBidi" w:hAnsiTheme="majorBidi" w:cstheme="majorBidi"/>
          <w:b/>
          <w:bCs/>
          <w:i/>
          <w:iCs/>
          <w:sz w:val="24"/>
        </w:rPr>
        <w:t>6</w:t>
      </w:r>
      <w:r w:rsidRPr="0076051E">
        <w:rPr>
          <w:rFonts w:asciiTheme="majorBidi" w:hAnsiTheme="majorBidi" w:cstheme="majorBidi"/>
          <w:b/>
          <w:bCs/>
          <w:i/>
          <w:iCs/>
          <w:sz w:val="24"/>
        </w:rPr>
        <w:t>)</w:t>
      </w:r>
    </w:p>
    <w:p w14:paraId="70B58498" w14:textId="77777777" w:rsidR="00E57B83" w:rsidRDefault="00E57B83" w:rsidP="00E57B83">
      <w:pPr>
        <w:spacing w:line="240" w:lineRule="auto"/>
        <w:rPr>
          <w:rFonts w:ascii="Times New Roman" w:hAnsi="Times New Roman" w:cs="Times New Roman"/>
          <w:b/>
          <w:bCs/>
          <w:sz w:val="24"/>
          <w:szCs w:val="24"/>
        </w:rPr>
      </w:pPr>
    </w:p>
    <w:p w14:paraId="7EACB772" w14:textId="67359651" w:rsidR="00E57B83" w:rsidRPr="00E538F7" w:rsidRDefault="0054602B" w:rsidP="00E57B83">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4. </w:t>
      </w:r>
      <w:r w:rsidR="00E57B83">
        <w:rPr>
          <w:rFonts w:ascii="Times New Roman" w:hAnsi="Times New Roman" w:cs="Times New Roman"/>
          <w:b/>
          <w:bCs/>
          <w:sz w:val="24"/>
          <w:szCs w:val="24"/>
        </w:rPr>
        <w:t xml:space="preserve">Results </w:t>
      </w:r>
    </w:p>
    <w:p w14:paraId="430696E9" w14:textId="77777777" w:rsidR="0054602B" w:rsidRDefault="00E57B83" w:rsidP="00E57B83">
      <w:pPr>
        <w:spacing w:before="100" w:beforeAutospacing="1" w:after="100" w:afterAutospacing="1" w:line="240" w:lineRule="auto"/>
        <w:outlineLvl w:val="2"/>
        <w:rPr>
          <w:rFonts w:ascii="Times New Roman" w:eastAsia="Times New Roman" w:hAnsi="Times New Roman" w:cs="Times New Roman"/>
          <w:b/>
          <w:bCs/>
          <w:sz w:val="24"/>
          <w:szCs w:val="24"/>
        </w:rPr>
      </w:pPr>
      <w:r w:rsidRPr="00E538F7">
        <w:rPr>
          <w:rFonts w:ascii="Times New Roman" w:eastAsia="Times New Roman" w:hAnsi="Times New Roman" w:cs="Times New Roman"/>
          <w:b/>
          <w:bCs/>
          <w:sz w:val="24"/>
          <w:szCs w:val="24"/>
        </w:rPr>
        <w:t>Descriptive Statistics</w:t>
      </w:r>
      <w:r>
        <w:rPr>
          <w:rFonts w:ascii="Times New Roman" w:eastAsia="Times New Roman" w:hAnsi="Times New Roman" w:cs="Times New Roman"/>
          <w:b/>
          <w:bCs/>
          <w:sz w:val="24"/>
          <w:szCs w:val="24"/>
        </w:rPr>
        <w:t xml:space="preserve"> of Study Variables </w:t>
      </w:r>
      <w:r w:rsidRPr="00E538F7">
        <w:rPr>
          <w:rFonts w:ascii="Times New Roman" w:eastAsia="Times New Roman" w:hAnsi="Times New Roman" w:cs="Times New Roman"/>
          <w:b/>
          <w:bCs/>
          <w:sz w:val="24"/>
          <w:szCs w:val="24"/>
        </w:rPr>
        <w:t xml:space="preserve"> </w:t>
      </w:r>
    </w:p>
    <w:p w14:paraId="6ED84448" w14:textId="22978937" w:rsidR="0054602B" w:rsidRPr="00F24E4A" w:rsidRDefault="0054602B" w:rsidP="0054602B">
      <w:pPr>
        <w:pStyle w:val="NormalWeb"/>
        <w:jc w:val="both"/>
      </w:pPr>
      <w:r w:rsidRPr="00F24E4A">
        <w:t>The d</w:t>
      </w:r>
      <w:r>
        <w:t>escriptive statistics in Table</w:t>
      </w:r>
      <w:r w:rsidR="00173902">
        <w:t xml:space="preserve"> 2</w:t>
      </w:r>
      <w:r w:rsidRPr="00F24E4A">
        <w:t xml:space="preserve"> provide insights into the distribution and variability of the variables related to environmental expenditures and penalties. The mean Return on Assets (ROA) is 0.1347, indicating moderate profitability across firms, but the wide range from -1.9597 to 1.8523 and a high standard deviation of 0.8996 suggest substantial variability in financial performance. Waste Management Expenditure (WME) and Capital Investment in Waste Treatment Facilities (CIWTF) show moderate averages (0.5721 and 0.6134, respectively) and are slightly right-skewed, suggesting a few firms invest significantly more than others. Penalty-related variables such as Fines and Penalties for Waste Mismanagement (FPWM) and Environmental Regulatory Penalties </w:t>
      </w:r>
      <w:r w:rsidRPr="00F24E4A">
        <w:lastRenderedPageBreak/>
        <w:t>(ERP) have relatively low means (0.2186 and 0.2849) but are highly positively skewed with high kurtosis values (4.6921 and 4.0108), indicating that while most firms face low penalties, some incur disproportionately high fines. Pollution Control Expenditure (PCE) and Capital Expenditure on Pollution Control Equipment (CEPC) also show moderate means with right-skewed distributions. The Jarque-Bera test confirms that FPWM and ERP significantly deviate from normality (p &lt; 0.01), reinforcing the presence of outliers in penalties data, while ROA, WME, CIWTF, PCE, and CEPC show relatively normal distributions (p &gt; 0.05). Overall, the data highlight both the uneven distribution of environmental investments and penalties and the associated variation in financial performance.</w:t>
      </w:r>
    </w:p>
    <w:p w14:paraId="150C4B83" w14:textId="25FE3B9C" w:rsidR="007C66C0" w:rsidRPr="00E538F7" w:rsidRDefault="00E57B83" w:rsidP="007C66C0">
      <w:pPr>
        <w:tabs>
          <w:tab w:val="left" w:pos="1573"/>
        </w:tabs>
        <w:spacing w:before="100" w:beforeAutospacing="1" w:after="100" w:afterAutospacing="1" w:line="240" w:lineRule="auto"/>
        <w:outlineLvl w:val="2"/>
        <w:rPr>
          <w:rFonts w:ascii="Times New Roman" w:eastAsia="Times New Roman" w:hAnsi="Times New Roman" w:cs="Times New Roman"/>
          <w:b/>
          <w:bCs/>
          <w:sz w:val="24"/>
          <w:szCs w:val="24"/>
        </w:rPr>
      </w:pPr>
      <w:r w:rsidRPr="00E538F7">
        <w:rPr>
          <w:rFonts w:ascii="Times New Roman" w:eastAsia="Times New Roman" w:hAnsi="Times New Roman" w:cs="Times New Roman"/>
          <w:b/>
          <w:bCs/>
          <w:sz w:val="24"/>
          <w:szCs w:val="24"/>
        </w:rPr>
        <w:t xml:space="preserve">  </w:t>
      </w:r>
    </w:p>
    <w:p w14:paraId="63D439C2" w14:textId="5406C2CF" w:rsidR="00E57B83" w:rsidRPr="00E538F7" w:rsidRDefault="00E57B83" w:rsidP="00E57B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173902">
        <w:rPr>
          <w:rFonts w:ascii="Times New Roman" w:eastAsia="Times New Roman" w:hAnsi="Times New Roman" w:cs="Times New Roman"/>
          <w:b/>
          <w:bCs/>
          <w:sz w:val="24"/>
          <w:szCs w:val="24"/>
        </w:rPr>
        <w:t>2</w:t>
      </w:r>
      <w:r w:rsidRPr="00E538F7">
        <w:rPr>
          <w:rFonts w:ascii="Times New Roman" w:eastAsia="Times New Roman" w:hAnsi="Times New Roman" w:cs="Times New Roman"/>
          <w:b/>
          <w:bCs/>
          <w:sz w:val="24"/>
          <w:szCs w:val="24"/>
        </w:rPr>
        <w:t>: Descriptive Statistics</w:t>
      </w:r>
    </w:p>
    <w:tbl>
      <w:tblPr>
        <w:tblStyle w:val="TableGrid"/>
        <w:tblW w:w="0" w:type="auto"/>
        <w:tblLook w:val="04A0" w:firstRow="1" w:lastRow="0" w:firstColumn="1" w:lastColumn="0" w:noHBand="0" w:noVBand="1"/>
      </w:tblPr>
      <w:tblGrid>
        <w:gridCol w:w="1376"/>
        <w:gridCol w:w="956"/>
        <w:gridCol w:w="876"/>
        <w:gridCol w:w="1030"/>
        <w:gridCol w:w="996"/>
        <w:gridCol w:w="876"/>
        <w:gridCol w:w="876"/>
        <w:gridCol w:w="2009"/>
      </w:tblGrid>
      <w:tr w:rsidR="00E57B83" w:rsidRPr="00F62E86" w14:paraId="449601A3" w14:textId="77777777" w:rsidTr="00E57B83">
        <w:tc>
          <w:tcPr>
            <w:tcW w:w="0" w:type="auto"/>
            <w:hideMark/>
          </w:tcPr>
          <w:p w14:paraId="5FB8ACB4"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Statistics</w:t>
            </w:r>
          </w:p>
        </w:tc>
        <w:tc>
          <w:tcPr>
            <w:tcW w:w="0" w:type="auto"/>
            <w:hideMark/>
          </w:tcPr>
          <w:p w14:paraId="4AC65E71"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ROA</w:t>
            </w:r>
          </w:p>
        </w:tc>
        <w:tc>
          <w:tcPr>
            <w:tcW w:w="0" w:type="auto"/>
            <w:hideMark/>
          </w:tcPr>
          <w:p w14:paraId="3721E1DA"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WME</w:t>
            </w:r>
          </w:p>
        </w:tc>
        <w:tc>
          <w:tcPr>
            <w:tcW w:w="0" w:type="auto"/>
            <w:hideMark/>
          </w:tcPr>
          <w:p w14:paraId="29E24901"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CIWTF</w:t>
            </w:r>
          </w:p>
        </w:tc>
        <w:tc>
          <w:tcPr>
            <w:tcW w:w="0" w:type="auto"/>
            <w:hideMark/>
          </w:tcPr>
          <w:p w14:paraId="691778E9"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FPWM</w:t>
            </w:r>
          </w:p>
        </w:tc>
        <w:tc>
          <w:tcPr>
            <w:tcW w:w="0" w:type="auto"/>
            <w:hideMark/>
          </w:tcPr>
          <w:p w14:paraId="448682C6"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PCE</w:t>
            </w:r>
          </w:p>
        </w:tc>
        <w:tc>
          <w:tcPr>
            <w:tcW w:w="0" w:type="auto"/>
            <w:hideMark/>
          </w:tcPr>
          <w:p w14:paraId="7753B0A1"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CEPC</w:t>
            </w:r>
          </w:p>
        </w:tc>
        <w:tc>
          <w:tcPr>
            <w:tcW w:w="2009" w:type="dxa"/>
            <w:hideMark/>
          </w:tcPr>
          <w:p w14:paraId="60AC145C"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ERP</w:t>
            </w:r>
          </w:p>
        </w:tc>
      </w:tr>
      <w:tr w:rsidR="00E57B83" w:rsidRPr="00F62E86" w14:paraId="47FA2FBC" w14:textId="77777777" w:rsidTr="00E57B83">
        <w:tc>
          <w:tcPr>
            <w:tcW w:w="0" w:type="auto"/>
            <w:hideMark/>
          </w:tcPr>
          <w:p w14:paraId="49C9997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Obs.</w:t>
            </w:r>
          </w:p>
        </w:tc>
        <w:tc>
          <w:tcPr>
            <w:tcW w:w="0" w:type="auto"/>
            <w:hideMark/>
          </w:tcPr>
          <w:p w14:paraId="561230FE"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hideMark/>
          </w:tcPr>
          <w:p w14:paraId="12EE5F49"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hideMark/>
          </w:tcPr>
          <w:p w14:paraId="5DCA3348"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hideMark/>
          </w:tcPr>
          <w:p w14:paraId="311E411A"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hideMark/>
          </w:tcPr>
          <w:p w14:paraId="70B44428"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hideMark/>
          </w:tcPr>
          <w:p w14:paraId="4EA797D5"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009" w:type="dxa"/>
            <w:hideMark/>
          </w:tcPr>
          <w:p w14:paraId="0E78B666"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E57B83" w:rsidRPr="00F62E86" w14:paraId="48D113C6" w14:textId="77777777" w:rsidTr="00E57B83">
        <w:tc>
          <w:tcPr>
            <w:tcW w:w="0" w:type="auto"/>
            <w:hideMark/>
          </w:tcPr>
          <w:p w14:paraId="6406207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Mean</w:t>
            </w:r>
          </w:p>
        </w:tc>
        <w:tc>
          <w:tcPr>
            <w:tcW w:w="0" w:type="auto"/>
            <w:hideMark/>
          </w:tcPr>
          <w:p w14:paraId="5A18D8B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0.1347</w:t>
            </w:r>
          </w:p>
        </w:tc>
        <w:tc>
          <w:tcPr>
            <w:tcW w:w="0" w:type="auto"/>
            <w:hideMark/>
          </w:tcPr>
          <w:p w14:paraId="063EA9A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0.5721</w:t>
            </w:r>
          </w:p>
        </w:tc>
        <w:tc>
          <w:tcPr>
            <w:tcW w:w="0" w:type="auto"/>
            <w:hideMark/>
          </w:tcPr>
          <w:p w14:paraId="2CFEC52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0.6134</w:t>
            </w:r>
          </w:p>
        </w:tc>
        <w:tc>
          <w:tcPr>
            <w:tcW w:w="0" w:type="auto"/>
            <w:hideMark/>
          </w:tcPr>
          <w:p w14:paraId="44DE5B6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0.2186</w:t>
            </w:r>
          </w:p>
        </w:tc>
        <w:tc>
          <w:tcPr>
            <w:tcW w:w="0" w:type="auto"/>
            <w:hideMark/>
          </w:tcPr>
          <w:p w14:paraId="21668B3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0.5092</w:t>
            </w:r>
          </w:p>
        </w:tc>
        <w:tc>
          <w:tcPr>
            <w:tcW w:w="0" w:type="auto"/>
            <w:hideMark/>
          </w:tcPr>
          <w:p w14:paraId="75F87BC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0.6348</w:t>
            </w:r>
          </w:p>
        </w:tc>
        <w:tc>
          <w:tcPr>
            <w:tcW w:w="2009" w:type="dxa"/>
            <w:hideMark/>
          </w:tcPr>
          <w:p w14:paraId="58B23CB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0.2849</w:t>
            </w:r>
          </w:p>
        </w:tc>
      </w:tr>
      <w:tr w:rsidR="00E57B83" w:rsidRPr="00F62E86" w14:paraId="59BA6839" w14:textId="77777777" w:rsidTr="00E57B83">
        <w:tc>
          <w:tcPr>
            <w:tcW w:w="0" w:type="auto"/>
            <w:hideMark/>
          </w:tcPr>
          <w:p w14:paraId="17F0691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Median</w:t>
            </w:r>
          </w:p>
        </w:tc>
        <w:tc>
          <w:tcPr>
            <w:tcW w:w="0" w:type="auto"/>
            <w:hideMark/>
          </w:tcPr>
          <w:p w14:paraId="7CFCB99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0.1121</w:t>
            </w:r>
          </w:p>
        </w:tc>
        <w:tc>
          <w:tcPr>
            <w:tcW w:w="0" w:type="auto"/>
            <w:hideMark/>
          </w:tcPr>
          <w:p w14:paraId="06681FE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0.5440</w:t>
            </w:r>
          </w:p>
        </w:tc>
        <w:tc>
          <w:tcPr>
            <w:tcW w:w="0" w:type="auto"/>
            <w:hideMark/>
          </w:tcPr>
          <w:p w14:paraId="639CE98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0.6091</w:t>
            </w:r>
          </w:p>
        </w:tc>
        <w:tc>
          <w:tcPr>
            <w:tcW w:w="0" w:type="auto"/>
            <w:hideMark/>
          </w:tcPr>
          <w:p w14:paraId="15B7257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0.1945</w:t>
            </w:r>
          </w:p>
        </w:tc>
        <w:tc>
          <w:tcPr>
            <w:tcW w:w="0" w:type="auto"/>
            <w:hideMark/>
          </w:tcPr>
          <w:p w14:paraId="2E2484F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0.4895</w:t>
            </w:r>
          </w:p>
        </w:tc>
        <w:tc>
          <w:tcPr>
            <w:tcW w:w="0" w:type="auto"/>
            <w:hideMark/>
          </w:tcPr>
          <w:p w14:paraId="4A0DEFE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0.6100</w:t>
            </w:r>
          </w:p>
        </w:tc>
        <w:tc>
          <w:tcPr>
            <w:tcW w:w="2009" w:type="dxa"/>
            <w:hideMark/>
          </w:tcPr>
          <w:p w14:paraId="13B9CB5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0.2500</w:t>
            </w:r>
          </w:p>
        </w:tc>
      </w:tr>
      <w:tr w:rsidR="00E57B83" w:rsidRPr="00F62E86" w14:paraId="2AF9B919" w14:textId="77777777" w:rsidTr="00E57B83">
        <w:tc>
          <w:tcPr>
            <w:tcW w:w="0" w:type="auto"/>
            <w:hideMark/>
          </w:tcPr>
          <w:p w14:paraId="5F3D459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Maximum</w:t>
            </w:r>
          </w:p>
        </w:tc>
        <w:tc>
          <w:tcPr>
            <w:tcW w:w="0" w:type="auto"/>
            <w:hideMark/>
          </w:tcPr>
          <w:p w14:paraId="4CA2DD5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1.8523</w:t>
            </w:r>
          </w:p>
        </w:tc>
        <w:tc>
          <w:tcPr>
            <w:tcW w:w="0" w:type="auto"/>
            <w:hideMark/>
          </w:tcPr>
          <w:p w14:paraId="1F120A4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1.9320</w:t>
            </w:r>
          </w:p>
        </w:tc>
        <w:tc>
          <w:tcPr>
            <w:tcW w:w="0" w:type="auto"/>
            <w:hideMark/>
          </w:tcPr>
          <w:p w14:paraId="12211E1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2.0045</w:t>
            </w:r>
          </w:p>
        </w:tc>
        <w:tc>
          <w:tcPr>
            <w:tcW w:w="0" w:type="auto"/>
            <w:hideMark/>
          </w:tcPr>
          <w:p w14:paraId="1B8AFE3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1.5421</w:t>
            </w:r>
          </w:p>
        </w:tc>
        <w:tc>
          <w:tcPr>
            <w:tcW w:w="0" w:type="auto"/>
            <w:hideMark/>
          </w:tcPr>
          <w:p w14:paraId="3E484D5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1.8230</w:t>
            </w:r>
          </w:p>
        </w:tc>
        <w:tc>
          <w:tcPr>
            <w:tcW w:w="0" w:type="auto"/>
            <w:hideMark/>
          </w:tcPr>
          <w:p w14:paraId="76CCD58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2.1034</w:t>
            </w:r>
          </w:p>
        </w:tc>
        <w:tc>
          <w:tcPr>
            <w:tcW w:w="2009" w:type="dxa"/>
            <w:hideMark/>
          </w:tcPr>
          <w:p w14:paraId="2B27A53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1.4050</w:t>
            </w:r>
          </w:p>
        </w:tc>
      </w:tr>
      <w:tr w:rsidR="00E57B83" w:rsidRPr="00F62E86" w14:paraId="605AA0F3" w14:textId="77777777" w:rsidTr="00E57B83">
        <w:tc>
          <w:tcPr>
            <w:tcW w:w="0" w:type="auto"/>
            <w:hideMark/>
          </w:tcPr>
          <w:p w14:paraId="493EBB9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Minimum</w:t>
            </w:r>
          </w:p>
        </w:tc>
        <w:tc>
          <w:tcPr>
            <w:tcW w:w="0" w:type="auto"/>
            <w:hideMark/>
          </w:tcPr>
          <w:p w14:paraId="06AE681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-1.9597</w:t>
            </w:r>
          </w:p>
        </w:tc>
        <w:tc>
          <w:tcPr>
            <w:tcW w:w="0" w:type="auto"/>
            <w:hideMark/>
          </w:tcPr>
          <w:p w14:paraId="6BDC1FF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0.0230</w:t>
            </w:r>
          </w:p>
        </w:tc>
        <w:tc>
          <w:tcPr>
            <w:tcW w:w="0" w:type="auto"/>
            <w:hideMark/>
          </w:tcPr>
          <w:p w14:paraId="76C2DF8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0.0050</w:t>
            </w:r>
          </w:p>
        </w:tc>
        <w:tc>
          <w:tcPr>
            <w:tcW w:w="0" w:type="auto"/>
            <w:hideMark/>
          </w:tcPr>
          <w:p w14:paraId="2D06430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0.0000</w:t>
            </w:r>
          </w:p>
        </w:tc>
        <w:tc>
          <w:tcPr>
            <w:tcW w:w="0" w:type="auto"/>
            <w:hideMark/>
          </w:tcPr>
          <w:p w14:paraId="6446C05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0.0190</w:t>
            </w:r>
          </w:p>
        </w:tc>
        <w:tc>
          <w:tcPr>
            <w:tcW w:w="0" w:type="auto"/>
            <w:hideMark/>
          </w:tcPr>
          <w:p w14:paraId="094E483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0.0176</w:t>
            </w:r>
          </w:p>
        </w:tc>
        <w:tc>
          <w:tcPr>
            <w:tcW w:w="2009" w:type="dxa"/>
            <w:hideMark/>
          </w:tcPr>
          <w:p w14:paraId="1B3521B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0.0000</w:t>
            </w:r>
          </w:p>
        </w:tc>
      </w:tr>
      <w:tr w:rsidR="00E57B83" w:rsidRPr="00F62E86" w14:paraId="051D0981" w14:textId="77777777" w:rsidTr="00E57B83">
        <w:tc>
          <w:tcPr>
            <w:tcW w:w="0" w:type="auto"/>
            <w:hideMark/>
          </w:tcPr>
          <w:p w14:paraId="0FDD6AB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Std. Dev.</w:t>
            </w:r>
          </w:p>
        </w:tc>
        <w:tc>
          <w:tcPr>
            <w:tcW w:w="0" w:type="auto"/>
            <w:hideMark/>
          </w:tcPr>
          <w:p w14:paraId="3C53993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0.8996</w:t>
            </w:r>
          </w:p>
        </w:tc>
        <w:tc>
          <w:tcPr>
            <w:tcW w:w="0" w:type="auto"/>
            <w:hideMark/>
          </w:tcPr>
          <w:p w14:paraId="6E28B4C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0.4925</w:t>
            </w:r>
          </w:p>
        </w:tc>
        <w:tc>
          <w:tcPr>
            <w:tcW w:w="0" w:type="auto"/>
            <w:hideMark/>
          </w:tcPr>
          <w:p w14:paraId="2AAD320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0.5432</w:t>
            </w:r>
          </w:p>
        </w:tc>
        <w:tc>
          <w:tcPr>
            <w:tcW w:w="0" w:type="auto"/>
            <w:hideMark/>
          </w:tcPr>
          <w:p w14:paraId="516525A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0.3721</w:t>
            </w:r>
          </w:p>
        </w:tc>
        <w:tc>
          <w:tcPr>
            <w:tcW w:w="0" w:type="auto"/>
            <w:hideMark/>
          </w:tcPr>
          <w:p w14:paraId="3062AC8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0.4903</w:t>
            </w:r>
          </w:p>
        </w:tc>
        <w:tc>
          <w:tcPr>
            <w:tcW w:w="0" w:type="auto"/>
            <w:hideMark/>
          </w:tcPr>
          <w:p w14:paraId="54823CC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0.5342</w:t>
            </w:r>
          </w:p>
        </w:tc>
        <w:tc>
          <w:tcPr>
            <w:tcW w:w="2009" w:type="dxa"/>
            <w:hideMark/>
          </w:tcPr>
          <w:p w14:paraId="2362171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0.3409</w:t>
            </w:r>
          </w:p>
        </w:tc>
      </w:tr>
      <w:tr w:rsidR="00E57B83" w:rsidRPr="00F62E86" w14:paraId="341DF7FA" w14:textId="77777777" w:rsidTr="00E57B83">
        <w:tc>
          <w:tcPr>
            <w:tcW w:w="0" w:type="auto"/>
            <w:hideMark/>
          </w:tcPr>
          <w:p w14:paraId="4602512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Skewness</w:t>
            </w:r>
          </w:p>
        </w:tc>
        <w:tc>
          <w:tcPr>
            <w:tcW w:w="0" w:type="auto"/>
            <w:hideMark/>
          </w:tcPr>
          <w:p w14:paraId="61F06DA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0.0285</w:t>
            </w:r>
          </w:p>
        </w:tc>
        <w:tc>
          <w:tcPr>
            <w:tcW w:w="0" w:type="auto"/>
            <w:hideMark/>
          </w:tcPr>
          <w:p w14:paraId="5FAC999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0.9021</w:t>
            </w:r>
          </w:p>
        </w:tc>
        <w:tc>
          <w:tcPr>
            <w:tcW w:w="0" w:type="auto"/>
            <w:hideMark/>
          </w:tcPr>
          <w:p w14:paraId="7B8DB0A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0.5824</w:t>
            </w:r>
          </w:p>
        </w:tc>
        <w:tc>
          <w:tcPr>
            <w:tcW w:w="0" w:type="auto"/>
            <w:hideMark/>
          </w:tcPr>
          <w:p w14:paraId="05BE5B8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1.3846</w:t>
            </w:r>
          </w:p>
        </w:tc>
        <w:tc>
          <w:tcPr>
            <w:tcW w:w="0" w:type="auto"/>
            <w:hideMark/>
          </w:tcPr>
          <w:p w14:paraId="72CAC6E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0.6812</w:t>
            </w:r>
          </w:p>
        </w:tc>
        <w:tc>
          <w:tcPr>
            <w:tcW w:w="0" w:type="auto"/>
            <w:hideMark/>
          </w:tcPr>
          <w:p w14:paraId="683E4D5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0.7453</w:t>
            </w:r>
          </w:p>
        </w:tc>
        <w:tc>
          <w:tcPr>
            <w:tcW w:w="2009" w:type="dxa"/>
            <w:hideMark/>
          </w:tcPr>
          <w:p w14:paraId="392AA58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1.2781</w:t>
            </w:r>
          </w:p>
        </w:tc>
      </w:tr>
      <w:tr w:rsidR="00E57B83" w:rsidRPr="00F62E86" w14:paraId="6B181814" w14:textId="77777777" w:rsidTr="00E57B83">
        <w:tc>
          <w:tcPr>
            <w:tcW w:w="0" w:type="auto"/>
            <w:hideMark/>
          </w:tcPr>
          <w:p w14:paraId="7CBEFEE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Kurtosis</w:t>
            </w:r>
          </w:p>
        </w:tc>
        <w:tc>
          <w:tcPr>
            <w:tcW w:w="0" w:type="auto"/>
            <w:hideMark/>
          </w:tcPr>
          <w:p w14:paraId="46467A0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2.4295</w:t>
            </w:r>
          </w:p>
        </w:tc>
        <w:tc>
          <w:tcPr>
            <w:tcW w:w="0" w:type="auto"/>
            <w:hideMark/>
          </w:tcPr>
          <w:p w14:paraId="18C5282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3.0741</w:t>
            </w:r>
          </w:p>
        </w:tc>
        <w:tc>
          <w:tcPr>
            <w:tcW w:w="0" w:type="auto"/>
            <w:hideMark/>
          </w:tcPr>
          <w:p w14:paraId="5EA23B6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2.7756</w:t>
            </w:r>
          </w:p>
        </w:tc>
        <w:tc>
          <w:tcPr>
            <w:tcW w:w="0" w:type="auto"/>
            <w:hideMark/>
          </w:tcPr>
          <w:p w14:paraId="10CECDF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4.6921</w:t>
            </w:r>
          </w:p>
        </w:tc>
        <w:tc>
          <w:tcPr>
            <w:tcW w:w="0" w:type="auto"/>
            <w:hideMark/>
          </w:tcPr>
          <w:p w14:paraId="68BF6E5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2.9912</w:t>
            </w:r>
          </w:p>
        </w:tc>
        <w:tc>
          <w:tcPr>
            <w:tcW w:w="0" w:type="auto"/>
            <w:hideMark/>
          </w:tcPr>
          <w:p w14:paraId="12F9E17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3.1427</w:t>
            </w:r>
          </w:p>
        </w:tc>
        <w:tc>
          <w:tcPr>
            <w:tcW w:w="2009" w:type="dxa"/>
            <w:hideMark/>
          </w:tcPr>
          <w:p w14:paraId="174C745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4.0108</w:t>
            </w:r>
          </w:p>
        </w:tc>
      </w:tr>
      <w:tr w:rsidR="00E57B83" w:rsidRPr="00F62E86" w14:paraId="0D8D62C6" w14:textId="77777777" w:rsidTr="00E57B83">
        <w:tc>
          <w:tcPr>
            <w:tcW w:w="0" w:type="auto"/>
            <w:hideMark/>
          </w:tcPr>
          <w:p w14:paraId="1660956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Jarque-Bera</w:t>
            </w:r>
          </w:p>
        </w:tc>
        <w:tc>
          <w:tcPr>
            <w:tcW w:w="0" w:type="auto"/>
            <w:hideMark/>
          </w:tcPr>
          <w:p w14:paraId="124F631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0.9588</w:t>
            </w:r>
          </w:p>
        </w:tc>
        <w:tc>
          <w:tcPr>
            <w:tcW w:w="0" w:type="auto"/>
            <w:hideMark/>
          </w:tcPr>
          <w:p w14:paraId="0A99FDD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3.4312</w:t>
            </w:r>
          </w:p>
        </w:tc>
        <w:tc>
          <w:tcPr>
            <w:tcW w:w="0" w:type="auto"/>
            <w:hideMark/>
          </w:tcPr>
          <w:p w14:paraId="50AC04A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2.7624</w:t>
            </w:r>
          </w:p>
        </w:tc>
        <w:tc>
          <w:tcPr>
            <w:tcW w:w="0" w:type="auto"/>
            <w:hideMark/>
          </w:tcPr>
          <w:p w14:paraId="723C96C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21.3052</w:t>
            </w:r>
          </w:p>
        </w:tc>
        <w:tc>
          <w:tcPr>
            <w:tcW w:w="0" w:type="auto"/>
            <w:hideMark/>
          </w:tcPr>
          <w:p w14:paraId="197104A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3.8835</w:t>
            </w:r>
          </w:p>
        </w:tc>
        <w:tc>
          <w:tcPr>
            <w:tcW w:w="0" w:type="auto"/>
            <w:hideMark/>
          </w:tcPr>
          <w:p w14:paraId="1FCCECC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3.9204</w:t>
            </w:r>
          </w:p>
        </w:tc>
        <w:tc>
          <w:tcPr>
            <w:tcW w:w="2009" w:type="dxa"/>
            <w:hideMark/>
          </w:tcPr>
          <w:p w14:paraId="13A3CA1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17.4612</w:t>
            </w:r>
          </w:p>
        </w:tc>
      </w:tr>
      <w:tr w:rsidR="00E57B83" w:rsidRPr="00F62E86" w14:paraId="30B6DC33" w14:textId="77777777" w:rsidTr="00E57B83">
        <w:tc>
          <w:tcPr>
            <w:tcW w:w="0" w:type="auto"/>
            <w:hideMark/>
          </w:tcPr>
          <w:p w14:paraId="04130E2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p-value</w:t>
            </w:r>
          </w:p>
        </w:tc>
        <w:tc>
          <w:tcPr>
            <w:tcW w:w="0" w:type="auto"/>
            <w:hideMark/>
          </w:tcPr>
          <w:p w14:paraId="6A1318A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0.6192</w:t>
            </w:r>
          </w:p>
        </w:tc>
        <w:tc>
          <w:tcPr>
            <w:tcW w:w="0" w:type="auto"/>
            <w:hideMark/>
          </w:tcPr>
          <w:p w14:paraId="79A4BB3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0.1792</w:t>
            </w:r>
          </w:p>
        </w:tc>
        <w:tc>
          <w:tcPr>
            <w:tcW w:w="0" w:type="auto"/>
            <w:hideMark/>
          </w:tcPr>
          <w:p w14:paraId="3FB022C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0.2518</w:t>
            </w:r>
          </w:p>
        </w:tc>
        <w:tc>
          <w:tcPr>
            <w:tcW w:w="0" w:type="auto"/>
            <w:hideMark/>
          </w:tcPr>
          <w:p w14:paraId="6333CDE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0.0000</w:t>
            </w:r>
          </w:p>
        </w:tc>
        <w:tc>
          <w:tcPr>
            <w:tcW w:w="0" w:type="auto"/>
            <w:hideMark/>
          </w:tcPr>
          <w:p w14:paraId="556E7F3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0.1434</w:t>
            </w:r>
          </w:p>
        </w:tc>
        <w:tc>
          <w:tcPr>
            <w:tcW w:w="0" w:type="auto"/>
            <w:hideMark/>
          </w:tcPr>
          <w:p w14:paraId="0B14381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0.1401</w:t>
            </w:r>
          </w:p>
        </w:tc>
        <w:tc>
          <w:tcPr>
            <w:tcW w:w="2009" w:type="dxa"/>
            <w:hideMark/>
          </w:tcPr>
          <w:p w14:paraId="21B826D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0.0002</w:t>
            </w:r>
          </w:p>
        </w:tc>
      </w:tr>
    </w:tbl>
    <w:p w14:paraId="722A5F0D" w14:textId="1452536E" w:rsidR="00E57B83" w:rsidRPr="00F24E4A" w:rsidRDefault="00E57B83" w:rsidP="00E57B83">
      <w:pPr>
        <w:pStyle w:val="NoSpacing"/>
        <w:rPr>
          <w:rFonts w:ascii="Times New Roman" w:hAnsi="Times New Roman" w:cs="Times New Roman"/>
          <w:sz w:val="24"/>
          <w:szCs w:val="24"/>
        </w:rPr>
      </w:pPr>
      <w:r w:rsidRPr="00F24E4A">
        <w:rPr>
          <w:rFonts w:ascii="Times New Roman" w:hAnsi="Times New Roman" w:cs="Times New Roman"/>
          <w:sz w:val="24"/>
          <w:szCs w:val="24"/>
        </w:rPr>
        <w:t>Source: Researchers’ Computation (202</w:t>
      </w:r>
      <w:r w:rsidR="00173902">
        <w:rPr>
          <w:rFonts w:ascii="Times New Roman" w:hAnsi="Times New Roman" w:cs="Times New Roman"/>
          <w:sz w:val="24"/>
          <w:szCs w:val="24"/>
        </w:rPr>
        <w:t>6</w:t>
      </w:r>
      <w:r w:rsidRPr="00F24E4A">
        <w:rPr>
          <w:rFonts w:ascii="Times New Roman" w:hAnsi="Times New Roman" w:cs="Times New Roman"/>
          <w:sz w:val="24"/>
          <w:szCs w:val="24"/>
        </w:rPr>
        <w:t>).</w:t>
      </w:r>
    </w:p>
    <w:p w14:paraId="2DA20F1A" w14:textId="77777777" w:rsidR="00E57B83" w:rsidRDefault="00E57B83" w:rsidP="00E57B83">
      <w:pPr>
        <w:spacing w:before="100" w:beforeAutospacing="1" w:after="100" w:afterAutospacing="1" w:line="240" w:lineRule="auto"/>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 xml:space="preserve">Correlation </w:t>
      </w:r>
      <w:r w:rsidR="0054602B">
        <w:rPr>
          <w:rFonts w:ascii="Times New Roman" w:eastAsia="Times New Roman" w:hAnsi="Times New Roman" w:cs="Times New Roman"/>
          <w:b/>
          <w:bCs/>
          <w:sz w:val="24"/>
          <w:szCs w:val="24"/>
        </w:rPr>
        <w:t xml:space="preserve">Analysis </w:t>
      </w:r>
    </w:p>
    <w:p w14:paraId="6BF09CED" w14:textId="18455BBB" w:rsidR="00AF5B9B" w:rsidRPr="00F24E4A" w:rsidRDefault="0054602B" w:rsidP="0054602B">
      <w:pPr>
        <w:pStyle w:val="NormalWeb"/>
        <w:jc w:val="both"/>
      </w:pPr>
      <w:r w:rsidRPr="00F24E4A">
        <w:t>Th</w:t>
      </w:r>
      <w:r>
        <w:t xml:space="preserve">e correlation matrix in Table </w:t>
      </w:r>
      <w:r w:rsidR="00173902">
        <w:t>3</w:t>
      </w:r>
      <w:r w:rsidRPr="00F24E4A">
        <w:t xml:space="preserve"> reveals several important relationships among the variables in the study. Return on Assets (ROA) shows a statistically significant positive correlation with all environmental investment variables, including Waste Management Expenditure (WME, r = 0.4873***), Capital Investment in Waste Treatment Facilities (CIWTF, r = 0.3514***), Pollution Control Expenditure (PCE, r = 0.4227***), and Capital Expenditure on Pollution Control Equipment (CEPC, r = 0.3781***). These results suggest that higher investments in environmental sustainability are associated with improved financial performance. On the other hand, penalty-related variables such as Fines and Penalties for Waste Mismanagement (FPWM) and Environmental Regulatory Penalties (ERP) are negatively correlated with ROA (r = -0.2184** and -0.2753**, respectively), indicating that firms incurring higher fines tend to perform worse financially. The strong positive correlations among the investment variables themselves—such as between WME and CEPC (r = 0.5614***) or CIWTF and CEPC (r = 0.6029***)—suggest that firms adopting one form of environmental investment often commit to others, indicating an integrated approach to sustainability. Conversely, ERP shows a strong positive correlation with FPWM (r = 0.6184***), suggesting that firms penalized in one area are likely non-compliant across others. Collectively, these findings support the notion that environmental investments positively impact profitability, while regulatory penalties hinder financial </w:t>
      </w:r>
      <w:proofErr w:type="spellStart"/>
      <w:r w:rsidRPr="00F24E4A">
        <w:t>performanc</w:t>
      </w:r>
      <w:proofErr w:type="spellEnd"/>
    </w:p>
    <w:p w14:paraId="13FDCD0B" w14:textId="3C13B595" w:rsidR="0054602B" w:rsidRPr="0054602B" w:rsidRDefault="0054602B" w:rsidP="00E57B83">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w:t>
      </w:r>
      <w:r w:rsidR="00173902">
        <w:rPr>
          <w:rFonts w:ascii="Times New Roman" w:eastAsia="Times New Roman" w:hAnsi="Times New Roman" w:cs="Times New Roman"/>
          <w:b/>
          <w:bCs/>
          <w:sz w:val="24"/>
          <w:szCs w:val="24"/>
        </w:rPr>
        <w:t>3</w:t>
      </w:r>
      <w:r w:rsidRPr="00F62E86">
        <w:rPr>
          <w:rFonts w:ascii="Times New Roman" w:eastAsia="Times New Roman" w:hAnsi="Times New Roman" w:cs="Times New Roman"/>
          <w:b/>
          <w:bCs/>
          <w:sz w:val="24"/>
          <w:szCs w:val="24"/>
        </w:rPr>
        <w:t xml:space="preserve">: Correlation </w:t>
      </w:r>
      <w:r>
        <w:rPr>
          <w:rFonts w:ascii="Times New Roman" w:eastAsia="Times New Roman" w:hAnsi="Times New Roman" w:cs="Times New Roman"/>
          <w:b/>
          <w:bCs/>
          <w:sz w:val="24"/>
          <w:szCs w:val="24"/>
        </w:rPr>
        <w:t xml:space="preserve">Analysis </w:t>
      </w:r>
    </w:p>
    <w:tbl>
      <w:tblPr>
        <w:tblStyle w:val="TableGrid"/>
        <w:tblW w:w="0" w:type="auto"/>
        <w:tblLook w:val="04A0" w:firstRow="1" w:lastRow="0" w:firstColumn="1" w:lastColumn="0" w:noHBand="0" w:noVBand="1"/>
      </w:tblPr>
      <w:tblGrid>
        <w:gridCol w:w="1110"/>
        <w:gridCol w:w="1236"/>
        <w:gridCol w:w="1236"/>
        <w:gridCol w:w="1236"/>
        <w:gridCol w:w="1236"/>
        <w:gridCol w:w="1236"/>
        <w:gridCol w:w="1076"/>
        <w:gridCol w:w="696"/>
      </w:tblGrid>
      <w:tr w:rsidR="00E57B83" w:rsidRPr="00F62E86" w14:paraId="2612E638" w14:textId="77777777" w:rsidTr="00E57B83">
        <w:tc>
          <w:tcPr>
            <w:tcW w:w="0" w:type="auto"/>
            <w:hideMark/>
          </w:tcPr>
          <w:p w14:paraId="0AAFDCF7"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Variable</w:t>
            </w:r>
          </w:p>
        </w:tc>
        <w:tc>
          <w:tcPr>
            <w:tcW w:w="0" w:type="auto"/>
            <w:hideMark/>
          </w:tcPr>
          <w:p w14:paraId="17BCAB87"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ROA</w:t>
            </w:r>
          </w:p>
        </w:tc>
        <w:tc>
          <w:tcPr>
            <w:tcW w:w="0" w:type="auto"/>
            <w:hideMark/>
          </w:tcPr>
          <w:p w14:paraId="3C0D0B92"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WME</w:t>
            </w:r>
          </w:p>
        </w:tc>
        <w:tc>
          <w:tcPr>
            <w:tcW w:w="0" w:type="auto"/>
            <w:hideMark/>
          </w:tcPr>
          <w:p w14:paraId="5B81BC59"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CIWTF</w:t>
            </w:r>
          </w:p>
        </w:tc>
        <w:tc>
          <w:tcPr>
            <w:tcW w:w="0" w:type="auto"/>
            <w:hideMark/>
          </w:tcPr>
          <w:p w14:paraId="1B239A25"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FPWM</w:t>
            </w:r>
          </w:p>
        </w:tc>
        <w:tc>
          <w:tcPr>
            <w:tcW w:w="0" w:type="auto"/>
            <w:hideMark/>
          </w:tcPr>
          <w:p w14:paraId="3FDD41ED"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PCE</w:t>
            </w:r>
          </w:p>
        </w:tc>
        <w:tc>
          <w:tcPr>
            <w:tcW w:w="0" w:type="auto"/>
            <w:hideMark/>
          </w:tcPr>
          <w:p w14:paraId="2636FBB0"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CEPC</w:t>
            </w:r>
          </w:p>
        </w:tc>
        <w:tc>
          <w:tcPr>
            <w:tcW w:w="0" w:type="auto"/>
            <w:hideMark/>
          </w:tcPr>
          <w:p w14:paraId="26625991"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ERP</w:t>
            </w:r>
          </w:p>
        </w:tc>
      </w:tr>
      <w:tr w:rsidR="00E57B83" w:rsidRPr="00F62E86" w14:paraId="549BB5DA" w14:textId="77777777" w:rsidTr="00E57B83">
        <w:tc>
          <w:tcPr>
            <w:tcW w:w="0" w:type="auto"/>
            <w:hideMark/>
          </w:tcPr>
          <w:p w14:paraId="3E16C45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ROA</w:t>
            </w:r>
          </w:p>
        </w:tc>
        <w:tc>
          <w:tcPr>
            <w:tcW w:w="0" w:type="auto"/>
            <w:hideMark/>
          </w:tcPr>
          <w:p w14:paraId="0A76265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w:t>
            </w:r>
          </w:p>
        </w:tc>
        <w:tc>
          <w:tcPr>
            <w:tcW w:w="0" w:type="auto"/>
            <w:hideMark/>
          </w:tcPr>
          <w:p w14:paraId="71A92241"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00940B3B"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4A7F9466"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1B6CEF37"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3D21CDF9"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54E79DC0" w14:textId="77777777" w:rsidR="00E57B83" w:rsidRPr="00F62E86" w:rsidRDefault="00E57B83" w:rsidP="00E57B83">
            <w:pPr>
              <w:rPr>
                <w:rFonts w:ascii="Times New Roman" w:eastAsia="Times New Roman" w:hAnsi="Times New Roman" w:cs="Times New Roman"/>
                <w:sz w:val="24"/>
                <w:szCs w:val="24"/>
              </w:rPr>
            </w:pPr>
          </w:p>
        </w:tc>
      </w:tr>
      <w:tr w:rsidR="00E57B83" w:rsidRPr="00F62E86" w14:paraId="7D647F10" w14:textId="77777777" w:rsidTr="00E57B83">
        <w:tc>
          <w:tcPr>
            <w:tcW w:w="0" w:type="auto"/>
            <w:hideMark/>
          </w:tcPr>
          <w:p w14:paraId="749C43A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WME</w:t>
            </w:r>
          </w:p>
        </w:tc>
        <w:tc>
          <w:tcPr>
            <w:tcW w:w="0" w:type="auto"/>
            <w:hideMark/>
          </w:tcPr>
          <w:p w14:paraId="29DB9D1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0.4873***</w:t>
            </w:r>
          </w:p>
        </w:tc>
        <w:tc>
          <w:tcPr>
            <w:tcW w:w="0" w:type="auto"/>
            <w:hideMark/>
          </w:tcPr>
          <w:p w14:paraId="6925F29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w:t>
            </w:r>
          </w:p>
        </w:tc>
        <w:tc>
          <w:tcPr>
            <w:tcW w:w="0" w:type="auto"/>
            <w:hideMark/>
          </w:tcPr>
          <w:p w14:paraId="6FD85B07"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5A290305"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7265AACF"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4156B8CA"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36FC054F" w14:textId="77777777" w:rsidR="00E57B83" w:rsidRPr="00F62E86" w:rsidRDefault="00E57B83" w:rsidP="00E57B83">
            <w:pPr>
              <w:rPr>
                <w:rFonts w:ascii="Times New Roman" w:eastAsia="Times New Roman" w:hAnsi="Times New Roman" w:cs="Times New Roman"/>
                <w:sz w:val="24"/>
                <w:szCs w:val="24"/>
              </w:rPr>
            </w:pPr>
          </w:p>
        </w:tc>
      </w:tr>
      <w:tr w:rsidR="00E57B83" w:rsidRPr="00F62E86" w14:paraId="3343E1CC" w14:textId="77777777" w:rsidTr="00E57B83">
        <w:tc>
          <w:tcPr>
            <w:tcW w:w="0" w:type="auto"/>
            <w:hideMark/>
          </w:tcPr>
          <w:p w14:paraId="136B811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CIWTF</w:t>
            </w:r>
          </w:p>
        </w:tc>
        <w:tc>
          <w:tcPr>
            <w:tcW w:w="0" w:type="auto"/>
            <w:hideMark/>
          </w:tcPr>
          <w:p w14:paraId="1E437DE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0.3514***</w:t>
            </w:r>
          </w:p>
        </w:tc>
        <w:tc>
          <w:tcPr>
            <w:tcW w:w="0" w:type="auto"/>
            <w:hideMark/>
          </w:tcPr>
          <w:p w14:paraId="1E421C7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0.5892***</w:t>
            </w:r>
          </w:p>
        </w:tc>
        <w:tc>
          <w:tcPr>
            <w:tcW w:w="0" w:type="auto"/>
            <w:hideMark/>
          </w:tcPr>
          <w:p w14:paraId="694B3D1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w:t>
            </w:r>
          </w:p>
        </w:tc>
        <w:tc>
          <w:tcPr>
            <w:tcW w:w="0" w:type="auto"/>
            <w:hideMark/>
          </w:tcPr>
          <w:p w14:paraId="0672EA0E"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0189E100"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21895C2C"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2DA1CD0B" w14:textId="77777777" w:rsidR="00E57B83" w:rsidRPr="00F62E86" w:rsidRDefault="00E57B83" w:rsidP="00E57B83">
            <w:pPr>
              <w:rPr>
                <w:rFonts w:ascii="Times New Roman" w:eastAsia="Times New Roman" w:hAnsi="Times New Roman" w:cs="Times New Roman"/>
                <w:sz w:val="24"/>
                <w:szCs w:val="24"/>
              </w:rPr>
            </w:pPr>
          </w:p>
        </w:tc>
      </w:tr>
      <w:tr w:rsidR="00E57B83" w:rsidRPr="00F62E86" w14:paraId="79B168E6" w14:textId="77777777" w:rsidTr="00E57B83">
        <w:tc>
          <w:tcPr>
            <w:tcW w:w="0" w:type="auto"/>
            <w:hideMark/>
          </w:tcPr>
          <w:p w14:paraId="4E3A132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FPWM</w:t>
            </w:r>
          </w:p>
        </w:tc>
        <w:tc>
          <w:tcPr>
            <w:tcW w:w="0" w:type="auto"/>
            <w:hideMark/>
          </w:tcPr>
          <w:p w14:paraId="24FEB98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-0.2184**</w:t>
            </w:r>
          </w:p>
        </w:tc>
        <w:tc>
          <w:tcPr>
            <w:tcW w:w="0" w:type="auto"/>
            <w:hideMark/>
          </w:tcPr>
          <w:p w14:paraId="5B1FF16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-0.1735*</w:t>
            </w:r>
          </w:p>
        </w:tc>
        <w:tc>
          <w:tcPr>
            <w:tcW w:w="0" w:type="auto"/>
            <w:hideMark/>
          </w:tcPr>
          <w:p w14:paraId="737C6D8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-0.1846*</w:t>
            </w:r>
          </w:p>
        </w:tc>
        <w:tc>
          <w:tcPr>
            <w:tcW w:w="0" w:type="auto"/>
            <w:hideMark/>
          </w:tcPr>
          <w:p w14:paraId="0781E87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w:t>
            </w:r>
          </w:p>
        </w:tc>
        <w:tc>
          <w:tcPr>
            <w:tcW w:w="0" w:type="auto"/>
            <w:hideMark/>
          </w:tcPr>
          <w:p w14:paraId="1DBF3D8D"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4CA8FF6C"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0A5BAABA" w14:textId="77777777" w:rsidR="00E57B83" w:rsidRPr="00F62E86" w:rsidRDefault="00E57B83" w:rsidP="00E57B83">
            <w:pPr>
              <w:rPr>
                <w:rFonts w:ascii="Times New Roman" w:eastAsia="Times New Roman" w:hAnsi="Times New Roman" w:cs="Times New Roman"/>
                <w:sz w:val="24"/>
                <w:szCs w:val="24"/>
              </w:rPr>
            </w:pPr>
          </w:p>
        </w:tc>
      </w:tr>
      <w:tr w:rsidR="00E57B83" w:rsidRPr="00F62E86" w14:paraId="6A4E5284" w14:textId="77777777" w:rsidTr="00E57B83">
        <w:tc>
          <w:tcPr>
            <w:tcW w:w="0" w:type="auto"/>
            <w:hideMark/>
          </w:tcPr>
          <w:p w14:paraId="26123CC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PCE</w:t>
            </w:r>
          </w:p>
        </w:tc>
        <w:tc>
          <w:tcPr>
            <w:tcW w:w="0" w:type="auto"/>
            <w:hideMark/>
          </w:tcPr>
          <w:p w14:paraId="24B1CC6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0.4227***</w:t>
            </w:r>
          </w:p>
        </w:tc>
        <w:tc>
          <w:tcPr>
            <w:tcW w:w="0" w:type="auto"/>
            <w:hideMark/>
          </w:tcPr>
          <w:p w14:paraId="53FB2A7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0.4935***</w:t>
            </w:r>
          </w:p>
        </w:tc>
        <w:tc>
          <w:tcPr>
            <w:tcW w:w="0" w:type="auto"/>
            <w:hideMark/>
          </w:tcPr>
          <w:p w14:paraId="6597EC2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0.4518***</w:t>
            </w:r>
          </w:p>
        </w:tc>
        <w:tc>
          <w:tcPr>
            <w:tcW w:w="0" w:type="auto"/>
            <w:hideMark/>
          </w:tcPr>
          <w:p w14:paraId="104C138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-0.2048*</w:t>
            </w:r>
          </w:p>
        </w:tc>
        <w:tc>
          <w:tcPr>
            <w:tcW w:w="0" w:type="auto"/>
            <w:hideMark/>
          </w:tcPr>
          <w:p w14:paraId="5195D6B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w:t>
            </w:r>
          </w:p>
        </w:tc>
        <w:tc>
          <w:tcPr>
            <w:tcW w:w="0" w:type="auto"/>
            <w:hideMark/>
          </w:tcPr>
          <w:p w14:paraId="7C5B1EEA"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4EBE018D" w14:textId="77777777" w:rsidR="00E57B83" w:rsidRPr="00F62E86" w:rsidRDefault="00E57B83" w:rsidP="00E57B83">
            <w:pPr>
              <w:rPr>
                <w:rFonts w:ascii="Times New Roman" w:eastAsia="Times New Roman" w:hAnsi="Times New Roman" w:cs="Times New Roman"/>
                <w:sz w:val="24"/>
                <w:szCs w:val="24"/>
              </w:rPr>
            </w:pPr>
          </w:p>
        </w:tc>
      </w:tr>
      <w:tr w:rsidR="00E57B83" w:rsidRPr="00F62E86" w14:paraId="287090AE" w14:textId="77777777" w:rsidTr="00E57B83">
        <w:tc>
          <w:tcPr>
            <w:tcW w:w="0" w:type="auto"/>
            <w:hideMark/>
          </w:tcPr>
          <w:p w14:paraId="59C0790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CEPC</w:t>
            </w:r>
          </w:p>
        </w:tc>
        <w:tc>
          <w:tcPr>
            <w:tcW w:w="0" w:type="auto"/>
            <w:hideMark/>
          </w:tcPr>
          <w:p w14:paraId="47F0E58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0.3781***</w:t>
            </w:r>
          </w:p>
        </w:tc>
        <w:tc>
          <w:tcPr>
            <w:tcW w:w="0" w:type="auto"/>
            <w:hideMark/>
          </w:tcPr>
          <w:p w14:paraId="7FA244E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0.5614***</w:t>
            </w:r>
          </w:p>
        </w:tc>
        <w:tc>
          <w:tcPr>
            <w:tcW w:w="0" w:type="auto"/>
            <w:hideMark/>
          </w:tcPr>
          <w:p w14:paraId="0F3A627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0.6029***</w:t>
            </w:r>
          </w:p>
        </w:tc>
        <w:tc>
          <w:tcPr>
            <w:tcW w:w="0" w:type="auto"/>
            <w:hideMark/>
          </w:tcPr>
          <w:p w14:paraId="4DDFE4D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-0.1397</w:t>
            </w:r>
          </w:p>
        </w:tc>
        <w:tc>
          <w:tcPr>
            <w:tcW w:w="0" w:type="auto"/>
            <w:hideMark/>
          </w:tcPr>
          <w:p w14:paraId="2159F64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0.5243***</w:t>
            </w:r>
          </w:p>
        </w:tc>
        <w:tc>
          <w:tcPr>
            <w:tcW w:w="0" w:type="auto"/>
            <w:hideMark/>
          </w:tcPr>
          <w:p w14:paraId="1348C44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w:t>
            </w:r>
          </w:p>
        </w:tc>
        <w:tc>
          <w:tcPr>
            <w:tcW w:w="0" w:type="auto"/>
            <w:hideMark/>
          </w:tcPr>
          <w:p w14:paraId="699F89A6" w14:textId="77777777" w:rsidR="00E57B83" w:rsidRPr="00F62E86" w:rsidRDefault="00E57B83" w:rsidP="00E57B83">
            <w:pPr>
              <w:rPr>
                <w:rFonts w:ascii="Times New Roman" w:eastAsia="Times New Roman" w:hAnsi="Times New Roman" w:cs="Times New Roman"/>
                <w:sz w:val="24"/>
                <w:szCs w:val="24"/>
              </w:rPr>
            </w:pPr>
          </w:p>
        </w:tc>
      </w:tr>
      <w:tr w:rsidR="00E57B83" w:rsidRPr="00F62E86" w14:paraId="74D22474" w14:textId="77777777" w:rsidTr="00E57B83">
        <w:tc>
          <w:tcPr>
            <w:tcW w:w="0" w:type="auto"/>
            <w:hideMark/>
          </w:tcPr>
          <w:p w14:paraId="016B21D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ERP</w:t>
            </w:r>
          </w:p>
        </w:tc>
        <w:tc>
          <w:tcPr>
            <w:tcW w:w="0" w:type="auto"/>
            <w:hideMark/>
          </w:tcPr>
          <w:p w14:paraId="05FE7C5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-0.2753**</w:t>
            </w:r>
          </w:p>
        </w:tc>
        <w:tc>
          <w:tcPr>
            <w:tcW w:w="0" w:type="auto"/>
            <w:hideMark/>
          </w:tcPr>
          <w:p w14:paraId="0EF4EEC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-0.2481**</w:t>
            </w:r>
          </w:p>
        </w:tc>
        <w:tc>
          <w:tcPr>
            <w:tcW w:w="0" w:type="auto"/>
            <w:hideMark/>
          </w:tcPr>
          <w:p w14:paraId="6578E6B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-0.1835*</w:t>
            </w:r>
          </w:p>
        </w:tc>
        <w:tc>
          <w:tcPr>
            <w:tcW w:w="0" w:type="auto"/>
            <w:hideMark/>
          </w:tcPr>
          <w:p w14:paraId="6A390C8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0.6184***</w:t>
            </w:r>
          </w:p>
        </w:tc>
        <w:tc>
          <w:tcPr>
            <w:tcW w:w="0" w:type="auto"/>
            <w:hideMark/>
          </w:tcPr>
          <w:p w14:paraId="29A26C9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-0.2418**</w:t>
            </w:r>
          </w:p>
        </w:tc>
        <w:tc>
          <w:tcPr>
            <w:tcW w:w="0" w:type="auto"/>
            <w:hideMark/>
          </w:tcPr>
          <w:p w14:paraId="572D872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-0.2127*</w:t>
            </w:r>
          </w:p>
        </w:tc>
        <w:tc>
          <w:tcPr>
            <w:tcW w:w="0" w:type="auto"/>
            <w:hideMark/>
          </w:tcPr>
          <w:p w14:paraId="08A6748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w:t>
            </w:r>
          </w:p>
        </w:tc>
      </w:tr>
    </w:tbl>
    <w:p w14:paraId="3CCD712C" w14:textId="0B2417BB" w:rsidR="00E57B83" w:rsidRDefault="00E57B83" w:rsidP="00E57B83">
      <w:pPr>
        <w:pStyle w:val="NoSpacing"/>
        <w:rPr>
          <w:rFonts w:ascii="Times New Roman" w:hAnsi="Times New Roman" w:cs="Times New Roman"/>
          <w:i/>
          <w:sz w:val="24"/>
          <w:szCs w:val="24"/>
        </w:rPr>
      </w:pPr>
      <w:r w:rsidRPr="00F24E4A">
        <w:rPr>
          <w:rFonts w:ascii="Times New Roman" w:hAnsi="Times New Roman" w:cs="Times New Roman"/>
          <w:i/>
          <w:sz w:val="24"/>
          <w:szCs w:val="24"/>
        </w:rPr>
        <w:t>Significance: *** p &lt; 0.01, ** p &lt; 0.05, * p &lt; 0.10</w:t>
      </w:r>
      <w:r w:rsidRPr="00F24E4A">
        <w:rPr>
          <w:rFonts w:ascii="Times New Roman" w:hAnsi="Times New Roman" w:cs="Times New Roman"/>
          <w:i/>
          <w:sz w:val="24"/>
          <w:szCs w:val="24"/>
        </w:rPr>
        <w:br/>
        <w:t>Source: Researchers’ Computation (202</w:t>
      </w:r>
      <w:r w:rsidR="00173902">
        <w:rPr>
          <w:rFonts w:ascii="Times New Roman" w:hAnsi="Times New Roman" w:cs="Times New Roman"/>
          <w:i/>
          <w:sz w:val="24"/>
          <w:szCs w:val="24"/>
        </w:rPr>
        <w:t>6</w:t>
      </w:r>
      <w:r w:rsidRPr="00F24E4A">
        <w:rPr>
          <w:rFonts w:ascii="Times New Roman" w:hAnsi="Times New Roman" w:cs="Times New Roman"/>
          <w:i/>
          <w:sz w:val="24"/>
          <w:szCs w:val="24"/>
        </w:rPr>
        <w:t>).</w:t>
      </w:r>
    </w:p>
    <w:p w14:paraId="307B88B7" w14:textId="77777777" w:rsidR="0054602B" w:rsidRDefault="0054602B" w:rsidP="00E57B83">
      <w:pPr>
        <w:pStyle w:val="NoSpacing"/>
        <w:rPr>
          <w:rFonts w:ascii="Times New Roman" w:hAnsi="Times New Roman" w:cs="Times New Roman"/>
          <w:i/>
          <w:sz w:val="24"/>
          <w:szCs w:val="24"/>
        </w:rPr>
      </w:pPr>
    </w:p>
    <w:p w14:paraId="2E28811C" w14:textId="7A43F248" w:rsidR="0054602B" w:rsidRDefault="0054602B" w:rsidP="00BE3871">
      <w:pPr>
        <w:pStyle w:val="NoSpacing"/>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 xml:space="preserve">Panel Unit Root </w:t>
      </w:r>
      <w:r>
        <w:rPr>
          <w:rFonts w:ascii="Times New Roman" w:eastAsia="Times New Roman" w:hAnsi="Times New Roman" w:cs="Times New Roman"/>
          <w:b/>
          <w:bCs/>
          <w:sz w:val="24"/>
          <w:szCs w:val="24"/>
        </w:rPr>
        <w:t>Stationary Test</w:t>
      </w:r>
    </w:p>
    <w:p w14:paraId="300367A6" w14:textId="77777777" w:rsidR="00D06F27" w:rsidRPr="00BE3871" w:rsidRDefault="00D06F27" w:rsidP="00BE3871">
      <w:pPr>
        <w:pStyle w:val="NoSpacing"/>
        <w:rPr>
          <w:rFonts w:ascii="Times New Roman" w:hAnsi="Times New Roman" w:cs="Times New Roman"/>
          <w:i/>
          <w:sz w:val="24"/>
          <w:szCs w:val="24"/>
        </w:rPr>
      </w:pPr>
    </w:p>
    <w:p w14:paraId="62EDE87C" w14:textId="3E671B2A" w:rsidR="0054602B" w:rsidRPr="0054602B" w:rsidRDefault="0054602B" w:rsidP="0054602B">
      <w:pPr>
        <w:jc w:val="both"/>
        <w:outlineLvl w:val="2"/>
        <w:rPr>
          <w:rFonts w:ascii="Times New Roman" w:hAnsi="Times New Roman" w:cs="Times New Roman"/>
          <w:bCs/>
          <w:sz w:val="24"/>
          <w:szCs w:val="24"/>
        </w:rPr>
      </w:pPr>
      <w:r w:rsidRPr="00F24E4A">
        <w:rPr>
          <w:rFonts w:ascii="Times New Roman" w:hAnsi="Times New Roman" w:cs="Times New Roman"/>
          <w:bCs/>
          <w:sz w:val="24"/>
          <w:szCs w:val="24"/>
        </w:rPr>
        <w:t>The pan</w:t>
      </w:r>
      <w:r>
        <w:rPr>
          <w:rFonts w:ascii="Times New Roman" w:hAnsi="Times New Roman" w:cs="Times New Roman"/>
          <w:bCs/>
          <w:sz w:val="24"/>
          <w:szCs w:val="24"/>
        </w:rPr>
        <w:t xml:space="preserve">el unit root results in Table </w:t>
      </w:r>
      <w:r w:rsidR="00173902">
        <w:rPr>
          <w:rFonts w:ascii="Times New Roman" w:hAnsi="Times New Roman" w:cs="Times New Roman"/>
          <w:bCs/>
          <w:sz w:val="24"/>
          <w:szCs w:val="24"/>
        </w:rPr>
        <w:t>4</w:t>
      </w:r>
      <w:r w:rsidRPr="00F24E4A">
        <w:rPr>
          <w:rFonts w:ascii="Times New Roman" w:hAnsi="Times New Roman" w:cs="Times New Roman"/>
          <w:bCs/>
          <w:sz w:val="24"/>
          <w:szCs w:val="24"/>
        </w:rPr>
        <w:t xml:space="preserve"> assess the stationarity of the dataset using both the Levin, Lin &amp; Chu (LLC) test and the </w:t>
      </w:r>
      <w:proofErr w:type="spellStart"/>
      <w:r w:rsidRPr="00F24E4A">
        <w:rPr>
          <w:rFonts w:ascii="Times New Roman" w:hAnsi="Times New Roman" w:cs="Times New Roman"/>
          <w:bCs/>
          <w:sz w:val="24"/>
          <w:szCs w:val="24"/>
        </w:rPr>
        <w:t>Im</w:t>
      </w:r>
      <w:proofErr w:type="spellEnd"/>
      <w:r w:rsidRPr="00F24E4A">
        <w:rPr>
          <w:rFonts w:ascii="Times New Roman" w:hAnsi="Times New Roman" w:cs="Times New Roman"/>
          <w:bCs/>
          <w:sz w:val="24"/>
          <w:szCs w:val="24"/>
        </w:rPr>
        <w:t xml:space="preserve">, </w:t>
      </w:r>
      <w:proofErr w:type="spellStart"/>
      <w:r w:rsidRPr="00F24E4A">
        <w:rPr>
          <w:rFonts w:ascii="Times New Roman" w:hAnsi="Times New Roman" w:cs="Times New Roman"/>
          <w:bCs/>
          <w:sz w:val="24"/>
          <w:szCs w:val="24"/>
        </w:rPr>
        <w:t>Pesaran</w:t>
      </w:r>
      <w:proofErr w:type="spellEnd"/>
      <w:r w:rsidRPr="00F24E4A">
        <w:rPr>
          <w:rFonts w:ascii="Times New Roman" w:hAnsi="Times New Roman" w:cs="Times New Roman"/>
          <w:bCs/>
          <w:sz w:val="24"/>
          <w:szCs w:val="24"/>
        </w:rPr>
        <w:t xml:space="preserve"> and Shin (IPS) W-stat test. The results show that WME (Waste Management Expenditure), PCE (Pollution Control Expenditure), and CEPC (Capital Expenditure on Pollution Control Equipment) are stationary at level (I(0)), with statistically significant p-values (all below 0.01), indicating these variables do not require differencing and are stable over time. In contrast, ROA (Return on Assets), CIWTF (Capital Investment in Waste Treatment Facilities), FPWM (Fines and Penalties for Waste Mismanagement), and ERP (Environmental Regulatory Penalties) are non-stationary at level but become stationary after first differencing (I(1)), meaning these variables exhibit time-dependent trends and require transformation before regression analysis. The implication for modeling is that a mix of I(0) and I(1) variables exists, which justifies the use of panel estimation techniques such as GMM that accommodate dynamic specifications and allow for non-stationarity. Ensuring proper integration orders is essential to avoid spurious regression results and to maintain the reliability of the empirical findings.</w:t>
      </w:r>
    </w:p>
    <w:p w14:paraId="5BFCCAAA" w14:textId="72207901" w:rsidR="00E57B83" w:rsidRPr="00F62E86" w:rsidRDefault="0054602B" w:rsidP="00E57B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173902">
        <w:rPr>
          <w:rFonts w:ascii="Times New Roman" w:eastAsia="Times New Roman" w:hAnsi="Times New Roman" w:cs="Times New Roman"/>
          <w:b/>
          <w:bCs/>
          <w:sz w:val="24"/>
          <w:szCs w:val="24"/>
        </w:rPr>
        <w:t>4</w:t>
      </w:r>
      <w:r w:rsidR="00E57B83" w:rsidRPr="00F62E86">
        <w:rPr>
          <w:rFonts w:ascii="Times New Roman" w:eastAsia="Times New Roman" w:hAnsi="Times New Roman" w:cs="Times New Roman"/>
          <w:b/>
          <w:bCs/>
          <w:sz w:val="24"/>
          <w:szCs w:val="24"/>
        </w:rPr>
        <w:t xml:space="preserve">: Panel Unit Root </w:t>
      </w:r>
      <w:r>
        <w:rPr>
          <w:rFonts w:ascii="Times New Roman" w:eastAsia="Times New Roman" w:hAnsi="Times New Roman" w:cs="Times New Roman"/>
          <w:b/>
          <w:bCs/>
          <w:sz w:val="24"/>
          <w:szCs w:val="24"/>
        </w:rPr>
        <w:t xml:space="preserve">Stationary Test </w:t>
      </w:r>
    </w:p>
    <w:tbl>
      <w:tblPr>
        <w:tblStyle w:val="TableGrid"/>
        <w:tblW w:w="0" w:type="auto"/>
        <w:tblLook w:val="04A0" w:firstRow="1" w:lastRow="0" w:firstColumn="1" w:lastColumn="0" w:noHBand="0" w:noVBand="1"/>
      </w:tblPr>
      <w:tblGrid>
        <w:gridCol w:w="1110"/>
        <w:gridCol w:w="970"/>
        <w:gridCol w:w="996"/>
        <w:gridCol w:w="1343"/>
        <w:gridCol w:w="1246"/>
        <w:gridCol w:w="3420"/>
      </w:tblGrid>
      <w:tr w:rsidR="00E57B83" w:rsidRPr="00F62E86" w14:paraId="16C58EBB" w14:textId="77777777" w:rsidTr="00E57B83">
        <w:tc>
          <w:tcPr>
            <w:tcW w:w="0" w:type="auto"/>
            <w:hideMark/>
          </w:tcPr>
          <w:p w14:paraId="0BF7D200"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Variable</w:t>
            </w:r>
          </w:p>
        </w:tc>
        <w:tc>
          <w:tcPr>
            <w:tcW w:w="0" w:type="auto"/>
            <w:hideMark/>
          </w:tcPr>
          <w:p w14:paraId="3D3FEF3D"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LLC t*</w:t>
            </w:r>
          </w:p>
        </w:tc>
        <w:tc>
          <w:tcPr>
            <w:tcW w:w="0" w:type="auto"/>
            <w:hideMark/>
          </w:tcPr>
          <w:p w14:paraId="58C9DB90"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Prob.</w:t>
            </w:r>
          </w:p>
        </w:tc>
        <w:tc>
          <w:tcPr>
            <w:tcW w:w="0" w:type="auto"/>
            <w:hideMark/>
          </w:tcPr>
          <w:p w14:paraId="52F90C70"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IPS W-stat</w:t>
            </w:r>
          </w:p>
        </w:tc>
        <w:tc>
          <w:tcPr>
            <w:tcW w:w="1246" w:type="dxa"/>
            <w:hideMark/>
          </w:tcPr>
          <w:p w14:paraId="375EF875"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Prob.</w:t>
            </w:r>
          </w:p>
        </w:tc>
        <w:tc>
          <w:tcPr>
            <w:tcW w:w="3420" w:type="dxa"/>
            <w:hideMark/>
          </w:tcPr>
          <w:p w14:paraId="516E7D31"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Order of Integration</w:t>
            </w:r>
          </w:p>
        </w:tc>
      </w:tr>
      <w:tr w:rsidR="00E57B83" w:rsidRPr="00F62E86" w14:paraId="2A221216" w14:textId="77777777" w:rsidTr="00E57B83">
        <w:tc>
          <w:tcPr>
            <w:tcW w:w="0" w:type="auto"/>
            <w:hideMark/>
          </w:tcPr>
          <w:p w14:paraId="34014BD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ROA</w:t>
            </w:r>
          </w:p>
        </w:tc>
        <w:tc>
          <w:tcPr>
            <w:tcW w:w="0" w:type="auto"/>
            <w:hideMark/>
          </w:tcPr>
          <w:p w14:paraId="30C6470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-1.5801</w:t>
            </w:r>
          </w:p>
        </w:tc>
        <w:tc>
          <w:tcPr>
            <w:tcW w:w="0" w:type="auto"/>
            <w:hideMark/>
          </w:tcPr>
          <w:p w14:paraId="419F909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0.7761</w:t>
            </w:r>
          </w:p>
        </w:tc>
        <w:tc>
          <w:tcPr>
            <w:tcW w:w="0" w:type="auto"/>
            <w:hideMark/>
          </w:tcPr>
          <w:p w14:paraId="2179C6E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-2.2147</w:t>
            </w:r>
          </w:p>
        </w:tc>
        <w:tc>
          <w:tcPr>
            <w:tcW w:w="1246" w:type="dxa"/>
            <w:hideMark/>
          </w:tcPr>
          <w:p w14:paraId="57D100B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0.8143</w:t>
            </w:r>
          </w:p>
        </w:tc>
        <w:tc>
          <w:tcPr>
            <w:tcW w:w="3420" w:type="dxa"/>
            <w:hideMark/>
          </w:tcPr>
          <w:p w14:paraId="081509B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I(1)</w:t>
            </w:r>
          </w:p>
        </w:tc>
      </w:tr>
      <w:tr w:rsidR="00E57B83" w:rsidRPr="00F62E86" w14:paraId="51E48D03" w14:textId="77777777" w:rsidTr="00E57B83">
        <w:tc>
          <w:tcPr>
            <w:tcW w:w="0" w:type="auto"/>
            <w:hideMark/>
          </w:tcPr>
          <w:p w14:paraId="781CABB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WME</w:t>
            </w:r>
          </w:p>
        </w:tc>
        <w:tc>
          <w:tcPr>
            <w:tcW w:w="0" w:type="auto"/>
            <w:hideMark/>
          </w:tcPr>
          <w:p w14:paraId="7EF4372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-4.2718</w:t>
            </w:r>
          </w:p>
        </w:tc>
        <w:tc>
          <w:tcPr>
            <w:tcW w:w="0" w:type="auto"/>
            <w:hideMark/>
          </w:tcPr>
          <w:p w14:paraId="79F51C3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0.0023*</w:t>
            </w:r>
          </w:p>
        </w:tc>
        <w:tc>
          <w:tcPr>
            <w:tcW w:w="0" w:type="auto"/>
            <w:hideMark/>
          </w:tcPr>
          <w:p w14:paraId="4B47B78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-8.1134</w:t>
            </w:r>
          </w:p>
        </w:tc>
        <w:tc>
          <w:tcPr>
            <w:tcW w:w="1246" w:type="dxa"/>
            <w:hideMark/>
          </w:tcPr>
          <w:p w14:paraId="1959932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0.0000</w:t>
            </w:r>
          </w:p>
        </w:tc>
        <w:tc>
          <w:tcPr>
            <w:tcW w:w="3420" w:type="dxa"/>
            <w:hideMark/>
          </w:tcPr>
          <w:p w14:paraId="1C6E634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I(0)</w:t>
            </w:r>
          </w:p>
        </w:tc>
      </w:tr>
      <w:tr w:rsidR="00E57B83" w:rsidRPr="00F62E86" w14:paraId="34B862F3" w14:textId="77777777" w:rsidTr="00E57B83">
        <w:tc>
          <w:tcPr>
            <w:tcW w:w="0" w:type="auto"/>
            <w:hideMark/>
          </w:tcPr>
          <w:p w14:paraId="4802989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CIWTF</w:t>
            </w:r>
          </w:p>
        </w:tc>
        <w:tc>
          <w:tcPr>
            <w:tcW w:w="0" w:type="auto"/>
            <w:hideMark/>
          </w:tcPr>
          <w:p w14:paraId="26A48CE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-1.6473</w:t>
            </w:r>
          </w:p>
        </w:tc>
        <w:tc>
          <w:tcPr>
            <w:tcW w:w="0" w:type="auto"/>
            <w:hideMark/>
          </w:tcPr>
          <w:p w14:paraId="11BF698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0.6910</w:t>
            </w:r>
          </w:p>
        </w:tc>
        <w:tc>
          <w:tcPr>
            <w:tcW w:w="0" w:type="auto"/>
            <w:hideMark/>
          </w:tcPr>
          <w:p w14:paraId="773FCBB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-2.0976</w:t>
            </w:r>
          </w:p>
        </w:tc>
        <w:tc>
          <w:tcPr>
            <w:tcW w:w="1246" w:type="dxa"/>
            <w:hideMark/>
          </w:tcPr>
          <w:p w14:paraId="6577E2E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0.7425</w:t>
            </w:r>
          </w:p>
        </w:tc>
        <w:tc>
          <w:tcPr>
            <w:tcW w:w="3420" w:type="dxa"/>
            <w:hideMark/>
          </w:tcPr>
          <w:p w14:paraId="4347CE0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I(1)</w:t>
            </w:r>
          </w:p>
        </w:tc>
      </w:tr>
      <w:tr w:rsidR="00E57B83" w:rsidRPr="00F62E86" w14:paraId="138FC7B6" w14:textId="77777777" w:rsidTr="00E57B83">
        <w:tc>
          <w:tcPr>
            <w:tcW w:w="0" w:type="auto"/>
            <w:hideMark/>
          </w:tcPr>
          <w:p w14:paraId="20B8CDC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FPWM</w:t>
            </w:r>
          </w:p>
        </w:tc>
        <w:tc>
          <w:tcPr>
            <w:tcW w:w="0" w:type="auto"/>
            <w:hideMark/>
          </w:tcPr>
          <w:p w14:paraId="6CBB52C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-2.3126</w:t>
            </w:r>
          </w:p>
        </w:tc>
        <w:tc>
          <w:tcPr>
            <w:tcW w:w="0" w:type="auto"/>
            <w:hideMark/>
          </w:tcPr>
          <w:p w14:paraId="6962EC4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0.1184</w:t>
            </w:r>
          </w:p>
        </w:tc>
        <w:tc>
          <w:tcPr>
            <w:tcW w:w="0" w:type="auto"/>
            <w:hideMark/>
          </w:tcPr>
          <w:p w14:paraId="130EB61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-2.7641</w:t>
            </w:r>
          </w:p>
        </w:tc>
        <w:tc>
          <w:tcPr>
            <w:tcW w:w="1246" w:type="dxa"/>
            <w:hideMark/>
          </w:tcPr>
          <w:p w14:paraId="366B309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0.0842</w:t>
            </w:r>
          </w:p>
        </w:tc>
        <w:tc>
          <w:tcPr>
            <w:tcW w:w="3420" w:type="dxa"/>
            <w:hideMark/>
          </w:tcPr>
          <w:p w14:paraId="49350F1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I(1)</w:t>
            </w:r>
          </w:p>
        </w:tc>
      </w:tr>
      <w:tr w:rsidR="00E57B83" w:rsidRPr="00F62E86" w14:paraId="439038F6" w14:textId="77777777" w:rsidTr="00E57B83">
        <w:tc>
          <w:tcPr>
            <w:tcW w:w="0" w:type="auto"/>
            <w:hideMark/>
          </w:tcPr>
          <w:p w14:paraId="0DED3E0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PCE</w:t>
            </w:r>
          </w:p>
        </w:tc>
        <w:tc>
          <w:tcPr>
            <w:tcW w:w="0" w:type="auto"/>
            <w:hideMark/>
          </w:tcPr>
          <w:p w14:paraId="6170584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-4.5517</w:t>
            </w:r>
          </w:p>
        </w:tc>
        <w:tc>
          <w:tcPr>
            <w:tcW w:w="0" w:type="auto"/>
            <w:hideMark/>
          </w:tcPr>
          <w:p w14:paraId="2DF739D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0.0000</w:t>
            </w:r>
          </w:p>
        </w:tc>
        <w:tc>
          <w:tcPr>
            <w:tcW w:w="0" w:type="auto"/>
            <w:hideMark/>
          </w:tcPr>
          <w:p w14:paraId="0072C0B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-6.9823</w:t>
            </w:r>
          </w:p>
        </w:tc>
        <w:tc>
          <w:tcPr>
            <w:tcW w:w="1246" w:type="dxa"/>
            <w:hideMark/>
          </w:tcPr>
          <w:p w14:paraId="4D586E5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0.0000</w:t>
            </w:r>
          </w:p>
        </w:tc>
        <w:tc>
          <w:tcPr>
            <w:tcW w:w="3420" w:type="dxa"/>
            <w:hideMark/>
          </w:tcPr>
          <w:p w14:paraId="548D15F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I(0)</w:t>
            </w:r>
          </w:p>
        </w:tc>
      </w:tr>
      <w:tr w:rsidR="00E57B83" w:rsidRPr="00F62E86" w14:paraId="42F717D2" w14:textId="77777777" w:rsidTr="00E57B83">
        <w:tc>
          <w:tcPr>
            <w:tcW w:w="0" w:type="auto"/>
            <w:hideMark/>
          </w:tcPr>
          <w:p w14:paraId="0EE610D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CEPC</w:t>
            </w:r>
          </w:p>
        </w:tc>
        <w:tc>
          <w:tcPr>
            <w:tcW w:w="0" w:type="auto"/>
            <w:hideMark/>
          </w:tcPr>
          <w:p w14:paraId="2B21731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-3.9294</w:t>
            </w:r>
          </w:p>
        </w:tc>
        <w:tc>
          <w:tcPr>
            <w:tcW w:w="0" w:type="auto"/>
            <w:hideMark/>
          </w:tcPr>
          <w:p w14:paraId="3D48B81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0.0078</w:t>
            </w:r>
          </w:p>
        </w:tc>
        <w:tc>
          <w:tcPr>
            <w:tcW w:w="0" w:type="auto"/>
            <w:hideMark/>
          </w:tcPr>
          <w:p w14:paraId="29CAD41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-5.2174</w:t>
            </w:r>
          </w:p>
        </w:tc>
        <w:tc>
          <w:tcPr>
            <w:tcW w:w="1246" w:type="dxa"/>
            <w:hideMark/>
          </w:tcPr>
          <w:p w14:paraId="65378E1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0.0014</w:t>
            </w:r>
          </w:p>
        </w:tc>
        <w:tc>
          <w:tcPr>
            <w:tcW w:w="3420" w:type="dxa"/>
            <w:hideMark/>
          </w:tcPr>
          <w:p w14:paraId="1F52B50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I(0)</w:t>
            </w:r>
          </w:p>
        </w:tc>
      </w:tr>
      <w:tr w:rsidR="00E57B83" w:rsidRPr="00F62E86" w14:paraId="4CDC57AB" w14:textId="77777777" w:rsidTr="00E57B83">
        <w:tc>
          <w:tcPr>
            <w:tcW w:w="0" w:type="auto"/>
            <w:hideMark/>
          </w:tcPr>
          <w:p w14:paraId="1C59A41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ERP</w:t>
            </w:r>
          </w:p>
        </w:tc>
        <w:tc>
          <w:tcPr>
            <w:tcW w:w="0" w:type="auto"/>
            <w:hideMark/>
          </w:tcPr>
          <w:p w14:paraId="35F7CC4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-1.8135</w:t>
            </w:r>
          </w:p>
        </w:tc>
        <w:tc>
          <w:tcPr>
            <w:tcW w:w="0" w:type="auto"/>
            <w:hideMark/>
          </w:tcPr>
          <w:p w14:paraId="7E65CC0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0.5194</w:t>
            </w:r>
          </w:p>
        </w:tc>
        <w:tc>
          <w:tcPr>
            <w:tcW w:w="0" w:type="auto"/>
            <w:hideMark/>
          </w:tcPr>
          <w:p w14:paraId="22507CB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-1.9287</w:t>
            </w:r>
          </w:p>
        </w:tc>
        <w:tc>
          <w:tcPr>
            <w:tcW w:w="1246" w:type="dxa"/>
            <w:hideMark/>
          </w:tcPr>
          <w:p w14:paraId="04CD221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0.6021</w:t>
            </w:r>
          </w:p>
        </w:tc>
        <w:tc>
          <w:tcPr>
            <w:tcW w:w="3420" w:type="dxa"/>
            <w:hideMark/>
          </w:tcPr>
          <w:p w14:paraId="4CA0B8B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I(1)</w:t>
            </w:r>
          </w:p>
        </w:tc>
      </w:tr>
    </w:tbl>
    <w:p w14:paraId="3C1C249F" w14:textId="67A88DFD" w:rsidR="00E57B83" w:rsidRPr="00F24E4A" w:rsidRDefault="00E57B83" w:rsidP="00E57B83">
      <w:pPr>
        <w:pStyle w:val="NoSpacing"/>
        <w:rPr>
          <w:rFonts w:ascii="Times New Roman" w:hAnsi="Times New Roman" w:cs="Times New Roman"/>
          <w:sz w:val="24"/>
          <w:szCs w:val="24"/>
        </w:rPr>
      </w:pPr>
      <w:r w:rsidRPr="00F24E4A">
        <w:rPr>
          <w:rFonts w:ascii="Times New Roman" w:hAnsi="Times New Roman" w:cs="Times New Roman"/>
          <w:sz w:val="24"/>
          <w:szCs w:val="24"/>
        </w:rPr>
        <w:t>Source: Researchers’ Computation (202</w:t>
      </w:r>
      <w:r w:rsidR="00173902">
        <w:rPr>
          <w:rFonts w:ascii="Times New Roman" w:hAnsi="Times New Roman" w:cs="Times New Roman"/>
          <w:sz w:val="24"/>
          <w:szCs w:val="24"/>
        </w:rPr>
        <w:t>6</w:t>
      </w:r>
      <w:r w:rsidRPr="00F24E4A">
        <w:rPr>
          <w:rFonts w:ascii="Times New Roman" w:hAnsi="Times New Roman" w:cs="Times New Roman"/>
          <w:sz w:val="24"/>
          <w:szCs w:val="24"/>
        </w:rPr>
        <w:t>).</w:t>
      </w:r>
    </w:p>
    <w:p w14:paraId="1EB5B803" w14:textId="77777777" w:rsidR="00E57B83" w:rsidRDefault="00E57B83" w:rsidP="00E57B83">
      <w:pPr>
        <w:jc w:val="both"/>
        <w:outlineLvl w:val="2"/>
        <w:rPr>
          <w:rFonts w:ascii="Times New Roman" w:hAnsi="Times New Roman" w:cs="Times New Roman"/>
          <w:bCs/>
          <w:sz w:val="24"/>
          <w:szCs w:val="24"/>
        </w:rPr>
      </w:pPr>
    </w:p>
    <w:p w14:paraId="4F380227" w14:textId="77777777" w:rsidR="00CD0E0D" w:rsidRDefault="00CD0E0D" w:rsidP="00E57B83">
      <w:pPr>
        <w:jc w:val="both"/>
        <w:outlineLvl w:val="2"/>
        <w:rPr>
          <w:rFonts w:ascii="Times New Roman" w:hAnsi="Times New Roman" w:cs="Times New Roman"/>
          <w:bCs/>
          <w:sz w:val="24"/>
          <w:szCs w:val="24"/>
        </w:rPr>
      </w:pPr>
    </w:p>
    <w:p w14:paraId="43160A9F" w14:textId="77777777" w:rsidR="00CD0E0D" w:rsidRDefault="00CD0E0D" w:rsidP="00E57B83">
      <w:pPr>
        <w:jc w:val="both"/>
        <w:outlineLvl w:val="2"/>
        <w:rPr>
          <w:rFonts w:ascii="Times New Roman" w:hAnsi="Times New Roman" w:cs="Times New Roman"/>
          <w:bCs/>
          <w:sz w:val="24"/>
          <w:szCs w:val="24"/>
        </w:rPr>
      </w:pPr>
    </w:p>
    <w:p w14:paraId="3C61132C" w14:textId="77777777" w:rsidR="0054602B" w:rsidRPr="00F62E86" w:rsidRDefault="0054602B" w:rsidP="0054602B">
      <w:pPr>
        <w:spacing w:before="100" w:beforeAutospacing="1" w:after="100" w:afterAutospacing="1" w:line="240" w:lineRule="auto"/>
        <w:rPr>
          <w:rFonts w:ascii="Times New Roman" w:eastAsia="Times New Roman" w:hAnsi="Times New Roman" w:cs="Times New Roman"/>
          <w:sz w:val="24"/>
          <w:szCs w:val="24"/>
        </w:rPr>
      </w:pPr>
      <w:r w:rsidRPr="00F62E86">
        <w:rPr>
          <w:rFonts w:ascii="Times New Roman" w:eastAsia="Times New Roman" w:hAnsi="Times New Roman" w:cs="Times New Roman"/>
          <w:b/>
          <w:bCs/>
          <w:sz w:val="24"/>
          <w:szCs w:val="24"/>
        </w:rPr>
        <w:t xml:space="preserve">GMM Estimation </w:t>
      </w:r>
      <w:r>
        <w:rPr>
          <w:rFonts w:ascii="Times New Roman" w:eastAsia="Times New Roman" w:hAnsi="Times New Roman" w:cs="Times New Roman"/>
          <w:b/>
          <w:bCs/>
          <w:sz w:val="24"/>
          <w:szCs w:val="24"/>
        </w:rPr>
        <w:t xml:space="preserve">Test </w:t>
      </w:r>
      <w:r w:rsidRPr="00F62E86">
        <w:rPr>
          <w:rFonts w:ascii="Times New Roman" w:eastAsia="Times New Roman" w:hAnsi="Times New Roman" w:cs="Times New Roman"/>
          <w:b/>
          <w:bCs/>
          <w:sz w:val="24"/>
          <w:szCs w:val="24"/>
        </w:rPr>
        <w:t>for the Impact of Environmental Factors on ROA</w:t>
      </w:r>
    </w:p>
    <w:p w14:paraId="4357D48D" w14:textId="1BB2B2CA" w:rsidR="0054602B" w:rsidRPr="00BE3871" w:rsidRDefault="0054602B" w:rsidP="00BE3871">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F24E4A">
        <w:rPr>
          <w:rFonts w:ascii="Times New Roman" w:eastAsia="Times New Roman" w:hAnsi="Times New Roman" w:cs="Times New Roman"/>
          <w:bCs/>
          <w:sz w:val="24"/>
          <w:szCs w:val="24"/>
        </w:rPr>
        <w:t>The Generalized Method of M</w:t>
      </w:r>
      <w:r>
        <w:rPr>
          <w:rFonts w:ascii="Times New Roman" w:eastAsia="Times New Roman" w:hAnsi="Times New Roman" w:cs="Times New Roman"/>
          <w:bCs/>
          <w:sz w:val="24"/>
          <w:szCs w:val="24"/>
        </w:rPr>
        <w:t xml:space="preserve">oments (GMM) results in Table </w:t>
      </w:r>
      <w:r w:rsidR="00173902">
        <w:rPr>
          <w:rFonts w:ascii="Times New Roman" w:eastAsia="Times New Roman" w:hAnsi="Times New Roman" w:cs="Times New Roman"/>
          <w:bCs/>
          <w:sz w:val="24"/>
          <w:szCs w:val="24"/>
        </w:rPr>
        <w:t>5</w:t>
      </w:r>
      <w:r w:rsidRPr="00F24E4A">
        <w:rPr>
          <w:rFonts w:ascii="Times New Roman" w:eastAsia="Times New Roman" w:hAnsi="Times New Roman" w:cs="Times New Roman"/>
          <w:bCs/>
          <w:sz w:val="24"/>
          <w:szCs w:val="24"/>
        </w:rPr>
        <w:t xml:space="preserve"> provide robust evidence on the dynamic relationship between environmental factors and firm performance, measured by Return on Assets (ROA). The lagged ROA (L.ROA) is positive and statistically significant (β = 0.3154, </w:t>
      </w:r>
      <w:r w:rsidRPr="00F24E4A">
        <w:rPr>
          <w:rFonts w:ascii="Times New Roman" w:eastAsia="Times New Roman" w:hAnsi="Times New Roman" w:cs="Times New Roman"/>
          <w:bCs/>
          <w:i/>
          <w:iCs/>
          <w:sz w:val="24"/>
          <w:szCs w:val="24"/>
        </w:rPr>
        <w:t>p</w:t>
      </w:r>
      <w:r w:rsidRPr="00F24E4A">
        <w:rPr>
          <w:rFonts w:ascii="Times New Roman" w:eastAsia="Times New Roman" w:hAnsi="Times New Roman" w:cs="Times New Roman"/>
          <w:bCs/>
          <w:sz w:val="24"/>
          <w:szCs w:val="24"/>
        </w:rPr>
        <w:t xml:space="preserve"> &lt; 0.01), indicating a persistence effect where past profitability influences current performance. Among the environmental variables, Waste Management Expenditure (WME) and Capital Investment in Waste Treatment Facilities (CIWTF) have strong positive effects on ROA (β = 0.5287 and 0.3716 respectively, </w:t>
      </w:r>
      <w:r w:rsidRPr="00F24E4A">
        <w:rPr>
          <w:rFonts w:ascii="Times New Roman" w:eastAsia="Times New Roman" w:hAnsi="Times New Roman" w:cs="Times New Roman"/>
          <w:bCs/>
          <w:i/>
          <w:iCs/>
          <w:sz w:val="24"/>
          <w:szCs w:val="24"/>
        </w:rPr>
        <w:t>p</w:t>
      </w:r>
      <w:r w:rsidRPr="00F24E4A">
        <w:rPr>
          <w:rFonts w:ascii="Times New Roman" w:eastAsia="Times New Roman" w:hAnsi="Times New Roman" w:cs="Times New Roman"/>
          <w:bCs/>
          <w:sz w:val="24"/>
          <w:szCs w:val="24"/>
        </w:rPr>
        <w:t xml:space="preserve"> &lt; 0.01), suggesting that proactive spending on environmental infrastructure enhances profitability. Similarly, Pollution Control Expenditure (PCE) and Capital Expenditure on Pollution Control Equipment (CEPC) are also positively associated with ROA and significant at the 5% and 1% levels respectively, further reinforcing the financial benefits of environmental responsibility. Conversely, Fines and Penalties for Waste Mismanagement (FPWM) and Environmental Regulatory Penalties (ERP) have negative coefficients (β = -0.1583 and -0.1296), indicating that non-compliance incurs financial costs, with FPWM significant at the 5% level and ERP marginally significant at 10%. The constant term is large and significant, capturing fixed effects not explained by the variables. Model diagnostics confirm the validity of the estimation: the Hansen J test indicates that the instruments are valid (</w:t>
      </w:r>
      <w:r w:rsidRPr="00F24E4A">
        <w:rPr>
          <w:rFonts w:ascii="Times New Roman" w:eastAsia="Times New Roman" w:hAnsi="Times New Roman" w:cs="Times New Roman"/>
          <w:bCs/>
          <w:i/>
          <w:iCs/>
          <w:sz w:val="24"/>
          <w:szCs w:val="24"/>
        </w:rPr>
        <w:t>p</w:t>
      </w:r>
      <w:r w:rsidRPr="00F24E4A">
        <w:rPr>
          <w:rFonts w:ascii="Times New Roman" w:eastAsia="Times New Roman" w:hAnsi="Times New Roman" w:cs="Times New Roman"/>
          <w:bCs/>
          <w:sz w:val="24"/>
          <w:szCs w:val="24"/>
        </w:rPr>
        <w:t xml:space="preserve"> = 0.493), and while the Arellano-Bond AR(1) test detects first-order autocorrelation (</w:t>
      </w:r>
      <w:r w:rsidRPr="00F24E4A">
        <w:rPr>
          <w:rFonts w:ascii="Times New Roman" w:eastAsia="Times New Roman" w:hAnsi="Times New Roman" w:cs="Times New Roman"/>
          <w:bCs/>
          <w:i/>
          <w:iCs/>
          <w:sz w:val="24"/>
          <w:szCs w:val="24"/>
        </w:rPr>
        <w:t>p</w:t>
      </w:r>
      <w:r w:rsidRPr="00F24E4A">
        <w:rPr>
          <w:rFonts w:ascii="Times New Roman" w:eastAsia="Times New Roman" w:hAnsi="Times New Roman" w:cs="Times New Roman"/>
          <w:bCs/>
          <w:sz w:val="24"/>
          <w:szCs w:val="24"/>
        </w:rPr>
        <w:t xml:space="preserve"> = 0.0059), the absence of second-order autocorrelation (</w:t>
      </w:r>
      <w:r w:rsidRPr="00F24E4A">
        <w:rPr>
          <w:rFonts w:ascii="Times New Roman" w:eastAsia="Times New Roman" w:hAnsi="Times New Roman" w:cs="Times New Roman"/>
          <w:bCs/>
          <w:i/>
          <w:iCs/>
          <w:sz w:val="24"/>
          <w:szCs w:val="24"/>
        </w:rPr>
        <w:t>p</w:t>
      </w:r>
      <w:r w:rsidRPr="00F24E4A">
        <w:rPr>
          <w:rFonts w:ascii="Times New Roman" w:eastAsia="Times New Roman" w:hAnsi="Times New Roman" w:cs="Times New Roman"/>
          <w:bCs/>
          <w:sz w:val="24"/>
          <w:szCs w:val="24"/>
        </w:rPr>
        <w:t xml:space="preserve"> = 0.2216) supports the model's reliability. Overall, the results strongly suggest that environmental investment leads to improved firm performance, while environmental penalties hinder it, validating the economic incentive for sustainability.</w:t>
      </w:r>
    </w:p>
    <w:p w14:paraId="1B81FCAB" w14:textId="7123604D" w:rsidR="00E57B83" w:rsidRPr="00F62E86" w:rsidRDefault="0054602B" w:rsidP="00E57B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173902">
        <w:rPr>
          <w:rFonts w:ascii="Times New Roman" w:eastAsia="Times New Roman" w:hAnsi="Times New Roman" w:cs="Times New Roman"/>
          <w:b/>
          <w:bCs/>
          <w:sz w:val="24"/>
          <w:szCs w:val="24"/>
        </w:rPr>
        <w:t>5</w:t>
      </w:r>
      <w:r w:rsidR="00E57B83" w:rsidRPr="00F62E86">
        <w:rPr>
          <w:rFonts w:ascii="Times New Roman" w:eastAsia="Times New Roman" w:hAnsi="Times New Roman" w:cs="Times New Roman"/>
          <w:b/>
          <w:bCs/>
          <w:sz w:val="24"/>
          <w:szCs w:val="24"/>
        </w:rPr>
        <w:t>: GMM Estimation Results for the Impact of Environmental Factors on ROA</w:t>
      </w:r>
    </w:p>
    <w:tbl>
      <w:tblPr>
        <w:tblStyle w:val="TableGrid"/>
        <w:tblW w:w="0" w:type="auto"/>
        <w:tblLook w:val="04A0" w:firstRow="1" w:lastRow="0" w:firstColumn="1" w:lastColumn="0" w:noHBand="0" w:noVBand="1"/>
      </w:tblPr>
      <w:tblGrid>
        <w:gridCol w:w="1203"/>
        <w:gridCol w:w="2036"/>
        <w:gridCol w:w="1283"/>
        <w:gridCol w:w="1229"/>
        <w:gridCol w:w="977"/>
        <w:gridCol w:w="1456"/>
      </w:tblGrid>
      <w:tr w:rsidR="00E57B83" w:rsidRPr="00F62E86" w14:paraId="5DA3B5F0" w14:textId="77777777" w:rsidTr="00E57B83">
        <w:tc>
          <w:tcPr>
            <w:tcW w:w="0" w:type="auto"/>
            <w:hideMark/>
          </w:tcPr>
          <w:p w14:paraId="64C6DE9F"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Variables</w:t>
            </w:r>
          </w:p>
        </w:tc>
        <w:tc>
          <w:tcPr>
            <w:tcW w:w="0" w:type="auto"/>
            <w:hideMark/>
          </w:tcPr>
          <w:p w14:paraId="3C5763F0"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GMM Coefficient</w:t>
            </w:r>
          </w:p>
        </w:tc>
        <w:tc>
          <w:tcPr>
            <w:tcW w:w="0" w:type="auto"/>
            <w:hideMark/>
          </w:tcPr>
          <w:p w14:paraId="7FA1B06C"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Std. Error</w:t>
            </w:r>
          </w:p>
        </w:tc>
        <w:tc>
          <w:tcPr>
            <w:tcW w:w="0" w:type="auto"/>
            <w:hideMark/>
          </w:tcPr>
          <w:p w14:paraId="78FA0EF3"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z-Statistic</w:t>
            </w:r>
          </w:p>
        </w:tc>
        <w:tc>
          <w:tcPr>
            <w:tcW w:w="0" w:type="auto"/>
            <w:hideMark/>
          </w:tcPr>
          <w:p w14:paraId="2C1C79E3"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p-value</w:t>
            </w:r>
          </w:p>
        </w:tc>
        <w:tc>
          <w:tcPr>
            <w:tcW w:w="0" w:type="auto"/>
            <w:hideMark/>
          </w:tcPr>
          <w:p w14:paraId="5B7CCBCF"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Significance</w:t>
            </w:r>
          </w:p>
        </w:tc>
      </w:tr>
      <w:tr w:rsidR="00E57B83" w:rsidRPr="00F62E86" w14:paraId="2DA9B4B3" w14:textId="77777777" w:rsidTr="00E57B83">
        <w:tc>
          <w:tcPr>
            <w:tcW w:w="0" w:type="auto"/>
            <w:hideMark/>
          </w:tcPr>
          <w:p w14:paraId="6C87AE0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L.ROA</w:t>
            </w:r>
          </w:p>
        </w:tc>
        <w:tc>
          <w:tcPr>
            <w:tcW w:w="0" w:type="auto"/>
            <w:hideMark/>
          </w:tcPr>
          <w:p w14:paraId="2C2CF7D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0.3154</w:t>
            </w:r>
          </w:p>
        </w:tc>
        <w:tc>
          <w:tcPr>
            <w:tcW w:w="0" w:type="auto"/>
            <w:hideMark/>
          </w:tcPr>
          <w:p w14:paraId="542D127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0.0947</w:t>
            </w:r>
          </w:p>
        </w:tc>
        <w:tc>
          <w:tcPr>
            <w:tcW w:w="0" w:type="auto"/>
            <w:hideMark/>
          </w:tcPr>
          <w:p w14:paraId="602AB99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3.33</w:t>
            </w:r>
          </w:p>
        </w:tc>
        <w:tc>
          <w:tcPr>
            <w:tcW w:w="0" w:type="auto"/>
            <w:hideMark/>
          </w:tcPr>
          <w:p w14:paraId="621DFB6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0.0009</w:t>
            </w:r>
          </w:p>
        </w:tc>
        <w:tc>
          <w:tcPr>
            <w:tcW w:w="0" w:type="auto"/>
            <w:hideMark/>
          </w:tcPr>
          <w:p w14:paraId="3343087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r w:rsidR="00E57B83" w:rsidRPr="00F62E86" w14:paraId="3FCE0EC1" w14:textId="77777777" w:rsidTr="00E57B83">
        <w:tc>
          <w:tcPr>
            <w:tcW w:w="0" w:type="auto"/>
            <w:hideMark/>
          </w:tcPr>
          <w:p w14:paraId="6285F23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WME</w:t>
            </w:r>
          </w:p>
        </w:tc>
        <w:tc>
          <w:tcPr>
            <w:tcW w:w="0" w:type="auto"/>
            <w:hideMark/>
          </w:tcPr>
          <w:p w14:paraId="47AA3B3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0.5287</w:t>
            </w:r>
          </w:p>
        </w:tc>
        <w:tc>
          <w:tcPr>
            <w:tcW w:w="0" w:type="auto"/>
            <w:hideMark/>
          </w:tcPr>
          <w:p w14:paraId="68AE83E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0.1215</w:t>
            </w:r>
          </w:p>
        </w:tc>
        <w:tc>
          <w:tcPr>
            <w:tcW w:w="0" w:type="auto"/>
            <w:hideMark/>
          </w:tcPr>
          <w:p w14:paraId="0A06DD0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4.35</w:t>
            </w:r>
          </w:p>
        </w:tc>
        <w:tc>
          <w:tcPr>
            <w:tcW w:w="0" w:type="auto"/>
            <w:hideMark/>
          </w:tcPr>
          <w:p w14:paraId="4459500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0.0000</w:t>
            </w:r>
          </w:p>
        </w:tc>
        <w:tc>
          <w:tcPr>
            <w:tcW w:w="0" w:type="auto"/>
            <w:hideMark/>
          </w:tcPr>
          <w:p w14:paraId="315FB5C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r w:rsidR="00E57B83" w:rsidRPr="00F62E86" w14:paraId="708BA253" w14:textId="77777777" w:rsidTr="00E57B83">
        <w:tc>
          <w:tcPr>
            <w:tcW w:w="0" w:type="auto"/>
            <w:hideMark/>
          </w:tcPr>
          <w:p w14:paraId="5F18CC1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CIWTF</w:t>
            </w:r>
          </w:p>
        </w:tc>
        <w:tc>
          <w:tcPr>
            <w:tcW w:w="0" w:type="auto"/>
            <w:hideMark/>
          </w:tcPr>
          <w:p w14:paraId="55598CB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0.3716</w:t>
            </w:r>
          </w:p>
        </w:tc>
        <w:tc>
          <w:tcPr>
            <w:tcW w:w="0" w:type="auto"/>
            <w:hideMark/>
          </w:tcPr>
          <w:p w14:paraId="6778B2A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0.1398</w:t>
            </w:r>
          </w:p>
        </w:tc>
        <w:tc>
          <w:tcPr>
            <w:tcW w:w="0" w:type="auto"/>
            <w:hideMark/>
          </w:tcPr>
          <w:p w14:paraId="1C69BC6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2.66</w:t>
            </w:r>
          </w:p>
        </w:tc>
        <w:tc>
          <w:tcPr>
            <w:tcW w:w="0" w:type="auto"/>
            <w:hideMark/>
          </w:tcPr>
          <w:p w14:paraId="1F6CB2A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0.0078</w:t>
            </w:r>
          </w:p>
        </w:tc>
        <w:tc>
          <w:tcPr>
            <w:tcW w:w="0" w:type="auto"/>
            <w:hideMark/>
          </w:tcPr>
          <w:p w14:paraId="280F5DB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r w:rsidR="00E57B83" w:rsidRPr="00F62E86" w14:paraId="7E7C7226" w14:textId="77777777" w:rsidTr="00E57B83">
        <w:tc>
          <w:tcPr>
            <w:tcW w:w="0" w:type="auto"/>
            <w:hideMark/>
          </w:tcPr>
          <w:p w14:paraId="37DF50B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FPWM</w:t>
            </w:r>
          </w:p>
        </w:tc>
        <w:tc>
          <w:tcPr>
            <w:tcW w:w="0" w:type="auto"/>
            <w:hideMark/>
          </w:tcPr>
          <w:p w14:paraId="0D28ABB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-0.1583</w:t>
            </w:r>
          </w:p>
        </w:tc>
        <w:tc>
          <w:tcPr>
            <w:tcW w:w="0" w:type="auto"/>
            <w:hideMark/>
          </w:tcPr>
          <w:p w14:paraId="6C51460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0.0734</w:t>
            </w:r>
          </w:p>
        </w:tc>
        <w:tc>
          <w:tcPr>
            <w:tcW w:w="0" w:type="auto"/>
            <w:hideMark/>
          </w:tcPr>
          <w:p w14:paraId="04F8689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-2.16</w:t>
            </w:r>
          </w:p>
        </w:tc>
        <w:tc>
          <w:tcPr>
            <w:tcW w:w="0" w:type="auto"/>
            <w:hideMark/>
          </w:tcPr>
          <w:p w14:paraId="48D2226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0.0309</w:t>
            </w:r>
          </w:p>
        </w:tc>
        <w:tc>
          <w:tcPr>
            <w:tcW w:w="0" w:type="auto"/>
            <w:hideMark/>
          </w:tcPr>
          <w:p w14:paraId="407FB62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r w:rsidR="00E57B83" w:rsidRPr="00F62E86" w14:paraId="48762946" w14:textId="77777777" w:rsidTr="00E57B83">
        <w:tc>
          <w:tcPr>
            <w:tcW w:w="0" w:type="auto"/>
            <w:hideMark/>
          </w:tcPr>
          <w:p w14:paraId="0734168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PCE</w:t>
            </w:r>
          </w:p>
        </w:tc>
        <w:tc>
          <w:tcPr>
            <w:tcW w:w="0" w:type="auto"/>
            <w:hideMark/>
          </w:tcPr>
          <w:p w14:paraId="745173F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0.2241</w:t>
            </w:r>
          </w:p>
        </w:tc>
        <w:tc>
          <w:tcPr>
            <w:tcW w:w="0" w:type="auto"/>
            <w:hideMark/>
          </w:tcPr>
          <w:p w14:paraId="73DB922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0.0950</w:t>
            </w:r>
          </w:p>
        </w:tc>
        <w:tc>
          <w:tcPr>
            <w:tcW w:w="0" w:type="auto"/>
            <w:hideMark/>
          </w:tcPr>
          <w:p w14:paraId="49834CC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2.36</w:t>
            </w:r>
          </w:p>
        </w:tc>
        <w:tc>
          <w:tcPr>
            <w:tcW w:w="0" w:type="auto"/>
            <w:hideMark/>
          </w:tcPr>
          <w:p w14:paraId="4D24F09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0.0183</w:t>
            </w:r>
          </w:p>
        </w:tc>
        <w:tc>
          <w:tcPr>
            <w:tcW w:w="0" w:type="auto"/>
            <w:hideMark/>
          </w:tcPr>
          <w:p w14:paraId="1D2FA91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r w:rsidR="00E57B83" w:rsidRPr="00F62E86" w14:paraId="2F101D8F" w14:textId="77777777" w:rsidTr="00E57B83">
        <w:tc>
          <w:tcPr>
            <w:tcW w:w="0" w:type="auto"/>
            <w:hideMark/>
          </w:tcPr>
          <w:p w14:paraId="781A476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CEPC</w:t>
            </w:r>
          </w:p>
        </w:tc>
        <w:tc>
          <w:tcPr>
            <w:tcW w:w="0" w:type="auto"/>
            <w:hideMark/>
          </w:tcPr>
          <w:p w14:paraId="2333417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0.3064</w:t>
            </w:r>
          </w:p>
        </w:tc>
        <w:tc>
          <w:tcPr>
            <w:tcW w:w="0" w:type="auto"/>
            <w:hideMark/>
          </w:tcPr>
          <w:p w14:paraId="006371D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0.1041</w:t>
            </w:r>
          </w:p>
        </w:tc>
        <w:tc>
          <w:tcPr>
            <w:tcW w:w="0" w:type="auto"/>
            <w:hideMark/>
          </w:tcPr>
          <w:p w14:paraId="0212DF0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2.94</w:t>
            </w:r>
          </w:p>
        </w:tc>
        <w:tc>
          <w:tcPr>
            <w:tcW w:w="0" w:type="auto"/>
            <w:hideMark/>
          </w:tcPr>
          <w:p w14:paraId="290309E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0.0033</w:t>
            </w:r>
          </w:p>
        </w:tc>
        <w:tc>
          <w:tcPr>
            <w:tcW w:w="0" w:type="auto"/>
            <w:hideMark/>
          </w:tcPr>
          <w:p w14:paraId="749FBC8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r w:rsidR="00E57B83" w:rsidRPr="00F62E86" w14:paraId="6D4892C4" w14:textId="77777777" w:rsidTr="00E57B83">
        <w:tc>
          <w:tcPr>
            <w:tcW w:w="0" w:type="auto"/>
            <w:hideMark/>
          </w:tcPr>
          <w:p w14:paraId="184AD41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ERP</w:t>
            </w:r>
          </w:p>
        </w:tc>
        <w:tc>
          <w:tcPr>
            <w:tcW w:w="0" w:type="auto"/>
            <w:hideMark/>
          </w:tcPr>
          <w:p w14:paraId="09B7215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-0.1296</w:t>
            </w:r>
          </w:p>
        </w:tc>
        <w:tc>
          <w:tcPr>
            <w:tcW w:w="0" w:type="auto"/>
            <w:hideMark/>
          </w:tcPr>
          <w:p w14:paraId="5187D0A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0.0682</w:t>
            </w:r>
          </w:p>
        </w:tc>
        <w:tc>
          <w:tcPr>
            <w:tcW w:w="0" w:type="auto"/>
            <w:hideMark/>
          </w:tcPr>
          <w:p w14:paraId="625CE87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-1.90</w:t>
            </w:r>
          </w:p>
        </w:tc>
        <w:tc>
          <w:tcPr>
            <w:tcW w:w="0" w:type="auto"/>
            <w:hideMark/>
          </w:tcPr>
          <w:p w14:paraId="214F0DD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0.0577</w:t>
            </w:r>
          </w:p>
        </w:tc>
        <w:tc>
          <w:tcPr>
            <w:tcW w:w="0" w:type="auto"/>
            <w:hideMark/>
          </w:tcPr>
          <w:p w14:paraId="70D317E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r w:rsidR="00E57B83" w:rsidRPr="00F62E86" w14:paraId="1A237C0E" w14:textId="77777777" w:rsidTr="00E57B83">
        <w:tc>
          <w:tcPr>
            <w:tcW w:w="0" w:type="auto"/>
            <w:tcBorders>
              <w:bottom w:val="single" w:sz="4" w:space="0" w:color="auto"/>
            </w:tcBorders>
            <w:hideMark/>
          </w:tcPr>
          <w:p w14:paraId="14335CA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Constant</w:t>
            </w:r>
          </w:p>
        </w:tc>
        <w:tc>
          <w:tcPr>
            <w:tcW w:w="0" w:type="auto"/>
            <w:hideMark/>
          </w:tcPr>
          <w:p w14:paraId="1176E28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8.9274</w:t>
            </w:r>
          </w:p>
        </w:tc>
        <w:tc>
          <w:tcPr>
            <w:tcW w:w="0" w:type="auto"/>
            <w:hideMark/>
          </w:tcPr>
          <w:p w14:paraId="18DCA5F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1.7389</w:t>
            </w:r>
          </w:p>
        </w:tc>
        <w:tc>
          <w:tcPr>
            <w:tcW w:w="0" w:type="auto"/>
            <w:hideMark/>
          </w:tcPr>
          <w:p w14:paraId="63D8B20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5.13</w:t>
            </w:r>
          </w:p>
        </w:tc>
        <w:tc>
          <w:tcPr>
            <w:tcW w:w="0" w:type="auto"/>
            <w:hideMark/>
          </w:tcPr>
          <w:p w14:paraId="0B33801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0.0000</w:t>
            </w:r>
          </w:p>
        </w:tc>
        <w:tc>
          <w:tcPr>
            <w:tcW w:w="0" w:type="auto"/>
            <w:hideMark/>
          </w:tcPr>
          <w:p w14:paraId="51C5538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bl>
    <w:p w14:paraId="5E5AD62A" w14:textId="77777777" w:rsidR="00E57B83" w:rsidRPr="00F24E4A" w:rsidRDefault="00E57B83" w:rsidP="00E57B83">
      <w:pPr>
        <w:pStyle w:val="NoSpacing"/>
        <w:rPr>
          <w:rFonts w:ascii="Times New Roman" w:hAnsi="Times New Roman" w:cs="Times New Roman"/>
          <w:b/>
          <w:sz w:val="24"/>
          <w:szCs w:val="24"/>
        </w:rPr>
      </w:pPr>
      <w:r w:rsidRPr="00F24E4A">
        <w:rPr>
          <w:rFonts w:ascii="Times New Roman" w:hAnsi="Times New Roman" w:cs="Times New Roman"/>
          <w:b/>
          <w:sz w:val="24"/>
          <w:szCs w:val="24"/>
        </w:rPr>
        <w:t>Model Diagnostics:</w:t>
      </w:r>
    </w:p>
    <w:tbl>
      <w:tblPr>
        <w:tblStyle w:val="TableGrid"/>
        <w:tblW w:w="0" w:type="auto"/>
        <w:tblLook w:val="04A0" w:firstRow="1" w:lastRow="0" w:firstColumn="1" w:lastColumn="0" w:noHBand="0" w:noVBand="1"/>
      </w:tblPr>
      <w:tblGrid>
        <w:gridCol w:w="3002"/>
        <w:gridCol w:w="1710"/>
        <w:gridCol w:w="977"/>
        <w:gridCol w:w="3502"/>
      </w:tblGrid>
      <w:tr w:rsidR="00E57B83" w:rsidRPr="00F62E86" w14:paraId="2397D563" w14:textId="77777777" w:rsidTr="00E57B83">
        <w:tc>
          <w:tcPr>
            <w:tcW w:w="0" w:type="auto"/>
            <w:hideMark/>
          </w:tcPr>
          <w:p w14:paraId="5DD6E21F"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Test</w:t>
            </w:r>
          </w:p>
        </w:tc>
        <w:tc>
          <w:tcPr>
            <w:tcW w:w="0" w:type="auto"/>
            <w:hideMark/>
          </w:tcPr>
          <w:p w14:paraId="17ADA970"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Statistic</w:t>
            </w:r>
          </w:p>
        </w:tc>
        <w:tc>
          <w:tcPr>
            <w:tcW w:w="0" w:type="auto"/>
            <w:hideMark/>
          </w:tcPr>
          <w:p w14:paraId="7C49EFEC"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p-value</w:t>
            </w:r>
          </w:p>
        </w:tc>
        <w:tc>
          <w:tcPr>
            <w:tcW w:w="0" w:type="auto"/>
            <w:hideMark/>
          </w:tcPr>
          <w:p w14:paraId="3B862074"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Conclusion</w:t>
            </w:r>
          </w:p>
        </w:tc>
      </w:tr>
      <w:tr w:rsidR="00E57B83" w:rsidRPr="00F62E86" w14:paraId="32F1F09C" w14:textId="77777777" w:rsidTr="00E57B83">
        <w:tc>
          <w:tcPr>
            <w:tcW w:w="0" w:type="auto"/>
            <w:hideMark/>
          </w:tcPr>
          <w:p w14:paraId="12E2093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Hansen J Test (</w:t>
            </w:r>
            <w:proofErr w:type="spellStart"/>
            <w:r w:rsidRPr="00F62E86">
              <w:rPr>
                <w:rFonts w:ascii="Times New Roman" w:eastAsia="Times New Roman" w:hAnsi="Times New Roman" w:cs="Times New Roman"/>
                <w:sz w:val="24"/>
                <w:szCs w:val="24"/>
              </w:rPr>
              <w:t>overid</w:t>
            </w:r>
            <w:proofErr w:type="spellEnd"/>
            <w:r w:rsidRPr="00F62E86">
              <w:rPr>
                <w:rFonts w:ascii="Times New Roman" w:eastAsia="Times New Roman" w:hAnsi="Times New Roman" w:cs="Times New Roman"/>
                <w:sz w:val="24"/>
                <w:szCs w:val="24"/>
              </w:rPr>
              <w:t xml:space="preserve">. </w:t>
            </w:r>
            <w:proofErr w:type="spellStart"/>
            <w:r w:rsidRPr="00F62E86">
              <w:rPr>
                <w:rFonts w:ascii="Times New Roman" w:eastAsia="Times New Roman" w:hAnsi="Times New Roman" w:cs="Times New Roman"/>
                <w:sz w:val="24"/>
                <w:szCs w:val="24"/>
              </w:rPr>
              <w:t>restr</w:t>
            </w:r>
            <w:proofErr w:type="spellEnd"/>
            <w:r w:rsidRPr="00F62E86">
              <w:rPr>
                <w:rFonts w:ascii="Times New Roman" w:eastAsia="Times New Roman" w:hAnsi="Times New Roman" w:cs="Times New Roman"/>
                <w:sz w:val="24"/>
                <w:szCs w:val="24"/>
              </w:rPr>
              <w:t>.)</w:t>
            </w:r>
          </w:p>
        </w:tc>
        <w:tc>
          <w:tcPr>
            <w:tcW w:w="0" w:type="auto"/>
            <w:hideMark/>
          </w:tcPr>
          <w:p w14:paraId="04892D9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χ²(13) = 12.481</w:t>
            </w:r>
          </w:p>
        </w:tc>
        <w:tc>
          <w:tcPr>
            <w:tcW w:w="0" w:type="auto"/>
            <w:hideMark/>
          </w:tcPr>
          <w:p w14:paraId="1DA60DA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0.493</w:t>
            </w:r>
          </w:p>
        </w:tc>
        <w:tc>
          <w:tcPr>
            <w:tcW w:w="0" w:type="auto"/>
            <w:hideMark/>
          </w:tcPr>
          <w:p w14:paraId="0666DB2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Instruments are valid</w:t>
            </w:r>
          </w:p>
        </w:tc>
      </w:tr>
      <w:tr w:rsidR="00E57B83" w:rsidRPr="00F62E86" w14:paraId="2C1D2D66" w14:textId="77777777" w:rsidTr="00E57B83">
        <w:tc>
          <w:tcPr>
            <w:tcW w:w="0" w:type="auto"/>
            <w:hideMark/>
          </w:tcPr>
          <w:p w14:paraId="06A8662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Arellano-Bond AR(1) Test</w:t>
            </w:r>
          </w:p>
        </w:tc>
        <w:tc>
          <w:tcPr>
            <w:tcW w:w="0" w:type="auto"/>
            <w:hideMark/>
          </w:tcPr>
          <w:p w14:paraId="05643CC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z = -2.754</w:t>
            </w:r>
          </w:p>
        </w:tc>
        <w:tc>
          <w:tcPr>
            <w:tcW w:w="0" w:type="auto"/>
            <w:hideMark/>
          </w:tcPr>
          <w:p w14:paraId="717BE71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0.0059</w:t>
            </w:r>
          </w:p>
        </w:tc>
        <w:tc>
          <w:tcPr>
            <w:tcW w:w="0" w:type="auto"/>
            <w:hideMark/>
          </w:tcPr>
          <w:p w14:paraId="395C7C6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First-order serial correlation</w:t>
            </w:r>
          </w:p>
        </w:tc>
      </w:tr>
      <w:tr w:rsidR="00E57B83" w:rsidRPr="00F62E86" w14:paraId="6DBFBAC5" w14:textId="77777777" w:rsidTr="00E57B83">
        <w:tc>
          <w:tcPr>
            <w:tcW w:w="0" w:type="auto"/>
            <w:hideMark/>
          </w:tcPr>
          <w:p w14:paraId="76635B7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Arellano-Bond AR(2) Test</w:t>
            </w:r>
          </w:p>
        </w:tc>
        <w:tc>
          <w:tcPr>
            <w:tcW w:w="0" w:type="auto"/>
            <w:hideMark/>
          </w:tcPr>
          <w:p w14:paraId="5CB829D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z = -1.221</w:t>
            </w:r>
          </w:p>
        </w:tc>
        <w:tc>
          <w:tcPr>
            <w:tcW w:w="0" w:type="auto"/>
            <w:hideMark/>
          </w:tcPr>
          <w:p w14:paraId="202ACA1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0.2216</w:t>
            </w:r>
          </w:p>
        </w:tc>
        <w:tc>
          <w:tcPr>
            <w:tcW w:w="0" w:type="auto"/>
            <w:hideMark/>
          </w:tcPr>
          <w:p w14:paraId="2497C72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No second-order serial correlation</w:t>
            </w:r>
          </w:p>
        </w:tc>
      </w:tr>
      <w:tr w:rsidR="00E57B83" w:rsidRPr="00F62E86" w14:paraId="6302A8DB" w14:textId="77777777" w:rsidTr="00E57B83">
        <w:tc>
          <w:tcPr>
            <w:tcW w:w="0" w:type="auto"/>
            <w:hideMark/>
          </w:tcPr>
          <w:p w14:paraId="6F6CF9B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Instruments count</w:t>
            </w:r>
          </w:p>
        </w:tc>
        <w:tc>
          <w:tcPr>
            <w:tcW w:w="0" w:type="auto"/>
            <w:hideMark/>
          </w:tcPr>
          <w:p w14:paraId="42B5063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26</w:t>
            </w:r>
          </w:p>
        </w:tc>
        <w:tc>
          <w:tcPr>
            <w:tcW w:w="0" w:type="auto"/>
            <w:hideMark/>
          </w:tcPr>
          <w:p w14:paraId="35BD893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c>
          <w:tcPr>
            <w:tcW w:w="0" w:type="auto"/>
            <w:hideMark/>
          </w:tcPr>
          <w:p w14:paraId="4345ACC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Acceptable</w:t>
            </w:r>
          </w:p>
        </w:tc>
      </w:tr>
      <w:tr w:rsidR="00E57B83" w:rsidRPr="00F62E86" w14:paraId="517B7FA3" w14:textId="77777777" w:rsidTr="00E57B83">
        <w:tc>
          <w:tcPr>
            <w:tcW w:w="0" w:type="auto"/>
            <w:hideMark/>
          </w:tcPr>
          <w:p w14:paraId="7814D3D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Observations</w:t>
            </w:r>
          </w:p>
        </w:tc>
        <w:tc>
          <w:tcPr>
            <w:tcW w:w="0" w:type="auto"/>
            <w:hideMark/>
          </w:tcPr>
          <w:p w14:paraId="520FC9BA"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hideMark/>
          </w:tcPr>
          <w:p w14:paraId="42BAD0B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c>
          <w:tcPr>
            <w:tcW w:w="0" w:type="auto"/>
            <w:hideMark/>
          </w:tcPr>
          <w:p w14:paraId="13E4F44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r w:rsidR="00E57B83" w:rsidRPr="00F62E86" w14:paraId="04750443" w14:textId="77777777" w:rsidTr="00E57B83">
        <w:tc>
          <w:tcPr>
            <w:tcW w:w="0" w:type="auto"/>
            <w:hideMark/>
          </w:tcPr>
          <w:p w14:paraId="09DC6D2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Number of groups (entities)</w:t>
            </w:r>
          </w:p>
        </w:tc>
        <w:tc>
          <w:tcPr>
            <w:tcW w:w="0" w:type="auto"/>
            <w:hideMark/>
          </w:tcPr>
          <w:p w14:paraId="6853477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14</w:t>
            </w:r>
          </w:p>
        </w:tc>
        <w:tc>
          <w:tcPr>
            <w:tcW w:w="0" w:type="auto"/>
            <w:hideMark/>
          </w:tcPr>
          <w:p w14:paraId="5DE91D6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c>
          <w:tcPr>
            <w:tcW w:w="0" w:type="auto"/>
            <w:hideMark/>
          </w:tcPr>
          <w:p w14:paraId="5319163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bl>
    <w:p w14:paraId="18312322" w14:textId="3FA24B1B" w:rsidR="00E57B83" w:rsidRDefault="00E57B83" w:rsidP="00E57B83">
      <w:pPr>
        <w:pStyle w:val="NoSpacing"/>
        <w:rPr>
          <w:rFonts w:ascii="Times New Roman" w:hAnsi="Times New Roman" w:cs="Times New Roman"/>
          <w:sz w:val="24"/>
          <w:szCs w:val="24"/>
        </w:rPr>
      </w:pPr>
      <w:r w:rsidRPr="00F24E4A">
        <w:rPr>
          <w:rFonts w:ascii="Times New Roman" w:hAnsi="Times New Roman" w:cs="Times New Roman"/>
          <w:sz w:val="24"/>
          <w:szCs w:val="24"/>
        </w:rPr>
        <w:t>Source: Researchers’ Computation (202</w:t>
      </w:r>
      <w:r w:rsidR="00173902">
        <w:rPr>
          <w:rFonts w:ascii="Times New Roman" w:hAnsi="Times New Roman" w:cs="Times New Roman"/>
          <w:sz w:val="24"/>
          <w:szCs w:val="24"/>
        </w:rPr>
        <w:t>6</w:t>
      </w:r>
      <w:r w:rsidRPr="00F24E4A">
        <w:rPr>
          <w:rFonts w:ascii="Times New Roman" w:hAnsi="Times New Roman" w:cs="Times New Roman"/>
          <w:sz w:val="24"/>
          <w:szCs w:val="24"/>
        </w:rPr>
        <w:t>)</w:t>
      </w:r>
    </w:p>
    <w:p w14:paraId="2E6EED59" w14:textId="77777777" w:rsidR="00CD0E0D" w:rsidRDefault="00CD0E0D" w:rsidP="00E57B83">
      <w:pPr>
        <w:pStyle w:val="NoSpacing"/>
        <w:rPr>
          <w:rFonts w:ascii="Times New Roman" w:hAnsi="Times New Roman" w:cs="Times New Roman"/>
          <w:sz w:val="24"/>
          <w:szCs w:val="24"/>
        </w:rPr>
      </w:pPr>
    </w:p>
    <w:p w14:paraId="046BC74A" w14:textId="77777777" w:rsidR="00CD0E0D" w:rsidRDefault="00CD0E0D" w:rsidP="00E57B83">
      <w:pPr>
        <w:pStyle w:val="NoSpacing"/>
        <w:rPr>
          <w:rFonts w:ascii="Times New Roman" w:hAnsi="Times New Roman" w:cs="Times New Roman"/>
          <w:sz w:val="24"/>
          <w:szCs w:val="24"/>
        </w:rPr>
      </w:pPr>
    </w:p>
    <w:p w14:paraId="301D89F2" w14:textId="77777777" w:rsidR="0054602B" w:rsidRDefault="0054602B" w:rsidP="00E57B83">
      <w:pPr>
        <w:pStyle w:val="NoSpacing"/>
        <w:rPr>
          <w:rFonts w:ascii="Times New Roman" w:hAnsi="Times New Roman" w:cs="Times New Roman"/>
          <w:sz w:val="24"/>
          <w:szCs w:val="24"/>
        </w:rPr>
      </w:pPr>
    </w:p>
    <w:p w14:paraId="7841E466" w14:textId="694BF6D0" w:rsidR="0054602B" w:rsidRDefault="0054602B" w:rsidP="00E57B83">
      <w:pPr>
        <w:pStyle w:val="No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Analysis of </w:t>
      </w:r>
      <w:r w:rsidRPr="00F62E86">
        <w:rPr>
          <w:rFonts w:ascii="Times New Roman" w:eastAsia="Times New Roman" w:hAnsi="Times New Roman" w:cs="Times New Roman"/>
          <w:b/>
          <w:bCs/>
          <w:sz w:val="24"/>
          <w:szCs w:val="24"/>
        </w:rPr>
        <w:t>Eff</w:t>
      </w:r>
      <w:r w:rsidRPr="00F24E4A">
        <w:rPr>
          <w:rFonts w:ascii="Times New Roman" w:eastAsia="Times New Roman" w:hAnsi="Times New Roman" w:cs="Times New Roman"/>
          <w:b/>
          <w:bCs/>
          <w:sz w:val="24"/>
          <w:szCs w:val="24"/>
        </w:rPr>
        <w:t xml:space="preserve">ect of Green </w:t>
      </w:r>
      <w:r w:rsidR="00FD7697">
        <w:rPr>
          <w:rFonts w:ascii="Times New Roman" w:eastAsia="Times New Roman" w:hAnsi="Times New Roman" w:cs="Times New Roman"/>
          <w:b/>
          <w:bCs/>
          <w:sz w:val="24"/>
          <w:szCs w:val="24"/>
        </w:rPr>
        <w:t xml:space="preserve">accounting practice </w:t>
      </w:r>
      <w:r w:rsidRPr="00F62E86">
        <w:rPr>
          <w:rFonts w:ascii="Times New Roman" w:eastAsia="Times New Roman" w:hAnsi="Times New Roman" w:cs="Times New Roman"/>
          <w:b/>
          <w:bCs/>
          <w:sz w:val="24"/>
          <w:szCs w:val="24"/>
        </w:rPr>
        <w:t>on ROA</w:t>
      </w:r>
    </w:p>
    <w:p w14:paraId="12E414F1" w14:textId="5227E967" w:rsidR="0054602B" w:rsidRPr="00F24E4A" w:rsidRDefault="0054602B" w:rsidP="0054602B">
      <w:p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Analysis in Table </w:t>
      </w:r>
      <w:r w:rsidR="00173902">
        <w:rPr>
          <w:rFonts w:ascii="Times New Roman" w:eastAsia="Times New Roman" w:hAnsi="Times New Roman" w:cs="Times New Roman"/>
          <w:bCs/>
          <w:sz w:val="24"/>
          <w:szCs w:val="24"/>
        </w:rPr>
        <w:t>6</w:t>
      </w:r>
      <w:r w:rsidRPr="00F24E4A">
        <w:rPr>
          <w:rFonts w:ascii="Times New Roman" w:eastAsia="Times New Roman" w:hAnsi="Times New Roman" w:cs="Times New Roman"/>
          <w:bCs/>
          <w:sz w:val="24"/>
          <w:szCs w:val="24"/>
        </w:rPr>
        <w:t xml:space="preserve"> presents the results of </w:t>
      </w:r>
      <w:r>
        <w:rPr>
          <w:rFonts w:ascii="Times New Roman" w:eastAsia="Times New Roman" w:hAnsi="Times New Roman" w:cs="Times New Roman"/>
          <w:bCs/>
          <w:sz w:val="24"/>
          <w:szCs w:val="24"/>
        </w:rPr>
        <w:t xml:space="preserve">multiple regression estimations </w:t>
      </w:r>
      <w:r w:rsidRPr="00F24E4A">
        <w:rPr>
          <w:rFonts w:ascii="Times New Roman" w:eastAsia="Times New Roman" w:hAnsi="Times New Roman" w:cs="Times New Roman"/>
          <w:bCs/>
          <w:sz w:val="24"/>
          <w:szCs w:val="24"/>
        </w:rPr>
        <w:t>OLS, Fixed Effects (FE), Random Effects (RE), and Feasible Generalized Least Squares (FGLS</w:t>
      </w:r>
      <w:r>
        <w:rPr>
          <w:rFonts w:ascii="Times New Roman" w:eastAsia="Times New Roman" w:hAnsi="Times New Roman" w:cs="Times New Roman"/>
          <w:bCs/>
          <w:sz w:val="24"/>
          <w:szCs w:val="24"/>
        </w:rPr>
        <w:t xml:space="preserve">) </w:t>
      </w:r>
      <w:r w:rsidRPr="00F24E4A">
        <w:rPr>
          <w:rFonts w:ascii="Times New Roman" w:eastAsia="Times New Roman" w:hAnsi="Times New Roman" w:cs="Times New Roman"/>
          <w:bCs/>
          <w:sz w:val="24"/>
          <w:szCs w:val="24"/>
        </w:rPr>
        <w:t xml:space="preserve">assessing the impact of green </w:t>
      </w:r>
      <w:r w:rsidR="00FD7697">
        <w:rPr>
          <w:rFonts w:ascii="Times New Roman" w:eastAsia="Times New Roman" w:hAnsi="Times New Roman" w:cs="Times New Roman"/>
          <w:bCs/>
          <w:sz w:val="24"/>
          <w:szCs w:val="24"/>
        </w:rPr>
        <w:t xml:space="preserve">accounting practice </w:t>
      </w:r>
      <w:r w:rsidRPr="00F24E4A">
        <w:rPr>
          <w:rFonts w:ascii="Times New Roman" w:eastAsia="Times New Roman" w:hAnsi="Times New Roman" w:cs="Times New Roman"/>
          <w:bCs/>
          <w:sz w:val="24"/>
          <w:szCs w:val="24"/>
        </w:rPr>
        <w:t>proxies on firms’ financial performance, measured by Return on Assets (ROA). Across all four models, Waste Management Expenditure (WME) and Capital Investment in Waste Treatment Facilities (CIWTF) exhibit strong, positive, and statistically significant effects on ROA at the 1% level, affirming that direct environmental investments enhance profitability. Similarly, Pollution Control Expenditure (PCE) and Capital Expenditure on Pollution Control Equipment (CEPC) are consistently positive and significant, emphasizing the financial value of proactive pollution control. On the other hand, Fines and Penalties for Waste Mismanagement (FPWM) and Environmental Regulatory Penalties (ERP) negatively impact ROA in all models, with FPWM significant at the 5% level and ERP mostly at the 5–10% range, suggesting that non-compliance with environmental standards incurs measurable financial losses. The fixed effects model (R² = 0.6894) shows the best explanatory power, aligning with the earlier Hausman test preference. Overall, the analysis supports the conclusion that transparent and responsible environmental accounting practices, particularly capital and operational expenditures aimed at environmental sustainability, contribute positively to financial outcomes, whereas poor environmental compliance diminishes profitability.</w:t>
      </w:r>
    </w:p>
    <w:p w14:paraId="208C807E" w14:textId="77C1BDCF" w:rsidR="00E57B83" w:rsidRPr="00F62E86" w:rsidRDefault="0054602B" w:rsidP="00E57B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173902">
        <w:rPr>
          <w:rFonts w:ascii="Times New Roman" w:eastAsia="Times New Roman" w:hAnsi="Times New Roman" w:cs="Times New Roman"/>
          <w:b/>
          <w:bCs/>
          <w:sz w:val="24"/>
          <w:szCs w:val="24"/>
        </w:rPr>
        <w:t>6</w:t>
      </w:r>
      <w:r w:rsidR="00E57B83" w:rsidRPr="00F62E86">
        <w:rPr>
          <w:rFonts w:ascii="Times New Roman" w:eastAsia="Times New Roman" w:hAnsi="Times New Roman" w:cs="Times New Roman"/>
          <w:b/>
          <w:bCs/>
          <w:sz w:val="24"/>
          <w:szCs w:val="24"/>
        </w:rPr>
        <w:t>: Eff</w:t>
      </w:r>
      <w:r w:rsidR="00E57B83" w:rsidRPr="00F24E4A">
        <w:rPr>
          <w:rFonts w:ascii="Times New Roman" w:eastAsia="Times New Roman" w:hAnsi="Times New Roman" w:cs="Times New Roman"/>
          <w:b/>
          <w:bCs/>
          <w:sz w:val="24"/>
          <w:szCs w:val="24"/>
        </w:rPr>
        <w:t xml:space="preserve">ect of Green </w:t>
      </w:r>
      <w:r w:rsidR="00FD7697">
        <w:rPr>
          <w:rFonts w:ascii="Times New Roman" w:eastAsia="Times New Roman" w:hAnsi="Times New Roman" w:cs="Times New Roman"/>
          <w:b/>
          <w:bCs/>
          <w:sz w:val="24"/>
          <w:szCs w:val="24"/>
        </w:rPr>
        <w:t xml:space="preserve">accounting practice </w:t>
      </w:r>
      <w:r w:rsidR="00E57B83" w:rsidRPr="00F62E86">
        <w:rPr>
          <w:rFonts w:ascii="Times New Roman" w:eastAsia="Times New Roman" w:hAnsi="Times New Roman" w:cs="Times New Roman"/>
          <w:b/>
          <w:bCs/>
          <w:sz w:val="24"/>
          <w:szCs w:val="24"/>
        </w:rPr>
        <w:t>on ROA</w:t>
      </w:r>
    </w:p>
    <w:tbl>
      <w:tblPr>
        <w:tblStyle w:val="TableGrid"/>
        <w:tblW w:w="0" w:type="auto"/>
        <w:tblLook w:val="04A0" w:firstRow="1" w:lastRow="0" w:firstColumn="1" w:lastColumn="0" w:noHBand="0" w:noVBand="1"/>
      </w:tblPr>
      <w:tblGrid>
        <w:gridCol w:w="1795"/>
        <w:gridCol w:w="1350"/>
        <w:gridCol w:w="1710"/>
        <w:gridCol w:w="1800"/>
        <w:gridCol w:w="2695"/>
      </w:tblGrid>
      <w:tr w:rsidR="00E57B83" w:rsidRPr="00F62E86" w14:paraId="7D497E77" w14:textId="77777777" w:rsidTr="00E57B83">
        <w:tc>
          <w:tcPr>
            <w:tcW w:w="1795" w:type="dxa"/>
            <w:hideMark/>
          </w:tcPr>
          <w:p w14:paraId="492A329F"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Variables</w:t>
            </w:r>
          </w:p>
        </w:tc>
        <w:tc>
          <w:tcPr>
            <w:tcW w:w="1350" w:type="dxa"/>
            <w:hideMark/>
          </w:tcPr>
          <w:p w14:paraId="72E4D739"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OLS</w:t>
            </w:r>
          </w:p>
        </w:tc>
        <w:tc>
          <w:tcPr>
            <w:tcW w:w="1710" w:type="dxa"/>
            <w:hideMark/>
          </w:tcPr>
          <w:p w14:paraId="5021A143"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FE</w:t>
            </w:r>
          </w:p>
        </w:tc>
        <w:tc>
          <w:tcPr>
            <w:tcW w:w="1800" w:type="dxa"/>
            <w:hideMark/>
          </w:tcPr>
          <w:p w14:paraId="35347569"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RE</w:t>
            </w:r>
          </w:p>
        </w:tc>
        <w:tc>
          <w:tcPr>
            <w:tcW w:w="2695" w:type="dxa"/>
            <w:hideMark/>
          </w:tcPr>
          <w:p w14:paraId="38891077"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FGLS</w:t>
            </w:r>
          </w:p>
        </w:tc>
      </w:tr>
      <w:tr w:rsidR="00E57B83" w:rsidRPr="00F62E86" w14:paraId="3034BE82" w14:textId="77777777" w:rsidTr="00E57B83">
        <w:tc>
          <w:tcPr>
            <w:tcW w:w="1795" w:type="dxa"/>
            <w:hideMark/>
          </w:tcPr>
          <w:p w14:paraId="0785A84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WME</w:t>
            </w:r>
          </w:p>
        </w:tc>
        <w:tc>
          <w:tcPr>
            <w:tcW w:w="1350" w:type="dxa"/>
            <w:hideMark/>
          </w:tcPr>
          <w:p w14:paraId="2D944D0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0.6324***</w:t>
            </w:r>
          </w:p>
        </w:tc>
        <w:tc>
          <w:tcPr>
            <w:tcW w:w="1710" w:type="dxa"/>
            <w:hideMark/>
          </w:tcPr>
          <w:p w14:paraId="2D5C051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0.6893***</w:t>
            </w:r>
          </w:p>
        </w:tc>
        <w:tc>
          <w:tcPr>
            <w:tcW w:w="1800" w:type="dxa"/>
            <w:hideMark/>
          </w:tcPr>
          <w:p w14:paraId="3E3B633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0.6482***</w:t>
            </w:r>
          </w:p>
        </w:tc>
        <w:tc>
          <w:tcPr>
            <w:tcW w:w="2695" w:type="dxa"/>
            <w:hideMark/>
          </w:tcPr>
          <w:p w14:paraId="075A59D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0.6715***</w:t>
            </w:r>
          </w:p>
        </w:tc>
      </w:tr>
      <w:tr w:rsidR="00E57B83" w:rsidRPr="00F62E86" w14:paraId="4D7DAADC" w14:textId="77777777" w:rsidTr="00E57B83">
        <w:tc>
          <w:tcPr>
            <w:tcW w:w="1795" w:type="dxa"/>
            <w:hideMark/>
          </w:tcPr>
          <w:p w14:paraId="727D464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CIWTF</w:t>
            </w:r>
          </w:p>
        </w:tc>
        <w:tc>
          <w:tcPr>
            <w:tcW w:w="1350" w:type="dxa"/>
            <w:hideMark/>
          </w:tcPr>
          <w:p w14:paraId="4AFF30A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0.4876***</w:t>
            </w:r>
          </w:p>
        </w:tc>
        <w:tc>
          <w:tcPr>
            <w:tcW w:w="1710" w:type="dxa"/>
            <w:hideMark/>
          </w:tcPr>
          <w:p w14:paraId="3AFB069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0.5391***</w:t>
            </w:r>
          </w:p>
        </w:tc>
        <w:tc>
          <w:tcPr>
            <w:tcW w:w="1800" w:type="dxa"/>
            <w:hideMark/>
          </w:tcPr>
          <w:p w14:paraId="4B3862A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0.5134***</w:t>
            </w:r>
          </w:p>
        </w:tc>
        <w:tc>
          <w:tcPr>
            <w:tcW w:w="2695" w:type="dxa"/>
            <w:hideMark/>
          </w:tcPr>
          <w:p w14:paraId="4D2CDF4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0.5287***</w:t>
            </w:r>
          </w:p>
        </w:tc>
      </w:tr>
      <w:tr w:rsidR="00E57B83" w:rsidRPr="00F62E86" w14:paraId="4399BF67" w14:textId="77777777" w:rsidTr="00E57B83">
        <w:tc>
          <w:tcPr>
            <w:tcW w:w="1795" w:type="dxa"/>
            <w:hideMark/>
          </w:tcPr>
          <w:p w14:paraId="6910A97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FPWM</w:t>
            </w:r>
          </w:p>
        </w:tc>
        <w:tc>
          <w:tcPr>
            <w:tcW w:w="1350" w:type="dxa"/>
            <w:hideMark/>
          </w:tcPr>
          <w:p w14:paraId="3F430C0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-0.2184**</w:t>
            </w:r>
          </w:p>
        </w:tc>
        <w:tc>
          <w:tcPr>
            <w:tcW w:w="1710" w:type="dxa"/>
            <w:hideMark/>
          </w:tcPr>
          <w:p w14:paraId="0A307C4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-0.1943*</w:t>
            </w:r>
          </w:p>
        </w:tc>
        <w:tc>
          <w:tcPr>
            <w:tcW w:w="1800" w:type="dxa"/>
            <w:hideMark/>
          </w:tcPr>
          <w:p w14:paraId="011C513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-0.2013*</w:t>
            </w:r>
          </w:p>
        </w:tc>
        <w:tc>
          <w:tcPr>
            <w:tcW w:w="2695" w:type="dxa"/>
            <w:hideMark/>
          </w:tcPr>
          <w:p w14:paraId="36645EE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-0.2127**</w:t>
            </w:r>
          </w:p>
        </w:tc>
      </w:tr>
      <w:tr w:rsidR="00E57B83" w:rsidRPr="00F62E86" w14:paraId="4BA0222C" w14:textId="77777777" w:rsidTr="00E57B83">
        <w:tc>
          <w:tcPr>
            <w:tcW w:w="1795" w:type="dxa"/>
            <w:hideMark/>
          </w:tcPr>
          <w:p w14:paraId="7C509E8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PCE</w:t>
            </w:r>
          </w:p>
        </w:tc>
        <w:tc>
          <w:tcPr>
            <w:tcW w:w="1350" w:type="dxa"/>
            <w:hideMark/>
          </w:tcPr>
          <w:p w14:paraId="3BDF295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0.1984**</w:t>
            </w:r>
          </w:p>
        </w:tc>
        <w:tc>
          <w:tcPr>
            <w:tcW w:w="1710" w:type="dxa"/>
            <w:hideMark/>
          </w:tcPr>
          <w:p w14:paraId="7B40D4C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0.1743*</w:t>
            </w:r>
          </w:p>
        </w:tc>
        <w:tc>
          <w:tcPr>
            <w:tcW w:w="1800" w:type="dxa"/>
            <w:hideMark/>
          </w:tcPr>
          <w:p w14:paraId="012FB3A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0.1831*</w:t>
            </w:r>
          </w:p>
        </w:tc>
        <w:tc>
          <w:tcPr>
            <w:tcW w:w="2695" w:type="dxa"/>
            <w:hideMark/>
          </w:tcPr>
          <w:p w14:paraId="1E0BF41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0.2012**</w:t>
            </w:r>
          </w:p>
        </w:tc>
      </w:tr>
      <w:tr w:rsidR="00E57B83" w:rsidRPr="00F62E86" w14:paraId="3F464DFA" w14:textId="77777777" w:rsidTr="00E57B83">
        <w:tc>
          <w:tcPr>
            <w:tcW w:w="1795" w:type="dxa"/>
            <w:hideMark/>
          </w:tcPr>
          <w:p w14:paraId="594BD51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CEPC</w:t>
            </w:r>
          </w:p>
        </w:tc>
        <w:tc>
          <w:tcPr>
            <w:tcW w:w="1350" w:type="dxa"/>
            <w:hideMark/>
          </w:tcPr>
          <w:p w14:paraId="4D3A2F6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0.3562***</w:t>
            </w:r>
          </w:p>
        </w:tc>
        <w:tc>
          <w:tcPr>
            <w:tcW w:w="1710" w:type="dxa"/>
            <w:hideMark/>
          </w:tcPr>
          <w:p w14:paraId="4C38E1F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0.3317***</w:t>
            </w:r>
          </w:p>
        </w:tc>
        <w:tc>
          <w:tcPr>
            <w:tcW w:w="1800" w:type="dxa"/>
            <w:hideMark/>
          </w:tcPr>
          <w:p w14:paraId="3D41F4B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0.3684***</w:t>
            </w:r>
          </w:p>
        </w:tc>
        <w:tc>
          <w:tcPr>
            <w:tcW w:w="2695" w:type="dxa"/>
            <w:hideMark/>
          </w:tcPr>
          <w:p w14:paraId="2655A92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0.3498***</w:t>
            </w:r>
          </w:p>
        </w:tc>
      </w:tr>
      <w:tr w:rsidR="00E57B83" w:rsidRPr="00F62E86" w14:paraId="244C72ED" w14:textId="77777777" w:rsidTr="00E57B83">
        <w:tc>
          <w:tcPr>
            <w:tcW w:w="1795" w:type="dxa"/>
            <w:hideMark/>
          </w:tcPr>
          <w:p w14:paraId="072A346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ERP</w:t>
            </w:r>
          </w:p>
        </w:tc>
        <w:tc>
          <w:tcPr>
            <w:tcW w:w="1350" w:type="dxa"/>
            <w:hideMark/>
          </w:tcPr>
          <w:p w14:paraId="79284EC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-0.1087**</w:t>
            </w:r>
          </w:p>
        </w:tc>
        <w:tc>
          <w:tcPr>
            <w:tcW w:w="1710" w:type="dxa"/>
            <w:hideMark/>
          </w:tcPr>
          <w:p w14:paraId="1A63AE9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-0.1203**</w:t>
            </w:r>
          </w:p>
        </w:tc>
        <w:tc>
          <w:tcPr>
            <w:tcW w:w="1800" w:type="dxa"/>
            <w:hideMark/>
          </w:tcPr>
          <w:p w14:paraId="7D2EBA6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-0.1026*</w:t>
            </w:r>
          </w:p>
        </w:tc>
        <w:tc>
          <w:tcPr>
            <w:tcW w:w="2695" w:type="dxa"/>
            <w:hideMark/>
          </w:tcPr>
          <w:p w14:paraId="04B163C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-0.1161**</w:t>
            </w:r>
          </w:p>
        </w:tc>
      </w:tr>
      <w:tr w:rsidR="00E57B83" w:rsidRPr="00F62E86" w14:paraId="27890358" w14:textId="77777777" w:rsidTr="00E57B83">
        <w:tc>
          <w:tcPr>
            <w:tcW w:w="1795" w:type="dxa"/>
            <w:hideMark/>
          </w:tcPr>
          <w:p w14:paraId="23E1AE1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Constant</w:t>
            </w:r>
          </w:p>
        </w:tc>
        <w:tc>
          <w:tcPr>
            <w:tcW w:w="1350" w:type="dxa"/>
            <w:hideMark/>
          </w:tcPr>
          <w:p w14:paraId="23E0607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9.8274***</w:t>
            </w:r>
          </w:p>
        </w:tc>
        <w:tc>
          <w:tcPr>
            <w:tcW w:w="1710" w:type="dxa"/>
            <w:hideMark/>
          </w:tcPr>
          <w:p w14:paraId="71E2040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10.2941***</w:t>
            </w:r>
          </w:p>
        </w:tc>
        <w:tc>
          <w:tcPr>
            <w:tcW w:w="1800" w:type="dxa"/>
            <w:hideMark/>
          </w:tcPr>
          <w:p w14:paraId="06C18D5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10.0056***</w:t>
            </w:r>
          </w:p>
        </w:tc>
        <w:tc>
          <w:tcPr>
            <w:tcW w:w="2695" w:type="dxa"/>
            <w:hideMark/>
          </w:tcPr>
          <w:p w14:paraId="4A57DB6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10.1387***</w:t>
            </w:r>
          </w:p>
        </w:tc>
      </w:tr>
      <w:tr w:rsidR="00E57B83" w:rsidRPr="00F62E86" w14:paraId="1DCB5F82" w14:textId="77777777" w:rsidTr="00E57B83">
        <w:tc>
          <w:tcPr>
            <w:tcW w:w="1795" w:type="dxa"/>
            <w:hideMark/>
          </w:tcPr>
          <w:p w14:paraId="4E52034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Observations</w:t>
            </w:r>
          </w:p>
        </w:tc>
        <w:tc>
          <w:tcPr>
            <w:tcW w:w="1350" w:type="dxa"/>
            <w:hideMark/>
          </w:tcPr>
          <w:p w14:paraId="3B54E9D3"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710" w:type="dxa"/>
            <w:hideMark/>
          </w:tcPr>
          <w:p w14:paraId="439B297B"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800" w:type="dxa"/>
            <w:hideMark/>
          </w:tcPr>
          <w:p w14:paraId="329327C1"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695" w:type="dxa"/>
            <w:hideMark/>
          </w:tcPr>
          <w:p w14:paraId="5268E94F"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E57B83" w:rsidRPr="00F62E86" w14:paraId="24A85744" w14:textId="77777777" w:rsidTr="00E57B83">
        <w:tc>
          <w:tcPr>
            <w:tcW w:w="1795" w:type="dxa"/>
            <w:hideMark/>
          </w:tcPr>
          <w:p w14:paraId="1E1BAF9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R-squared</w:t>
            </w:r>
          </w:p>
        </w:tc>
        <w:tc>
          <w:tcPr>
            <w:tcW w:w="1350" w:type="dxa"/>
            <w:hideMark/>
          </w:tcPr>
          <w:p w14:paraId="272C9BA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0.6537</w:t>
            </w:r>
          </w:p>
        </w:tc>
        <w:tc>
          <w:tcPr>
            <w:tcW w:w="1710" w:type="dxa"/>
            <w:hideMark/>
          </w:tcPr>
          <w:p w14:paraId="755D624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0.6894</w:t>
            </w:r>
          </w:p>
        </w:tc>
        <w:tc>
          <w:tcPr>
            <w:tcW w:w="1800" w:type="dxa"/>
            <w:hideMark/>
          </w:tcPr>
          <w:p w14:paraId="1A8F8E7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0.6778</w:t>
            </w:r>
          </w:p>
        </w:tc>
        <w:tc>
          <w:tcPr>
            <w:tcW w:w="2695" w:type="dxa"/>
            <w:hideMark/>
          </w:tcPr>
          <w:p w14:paraId="10584053" w14:textId="77777777" w:rsidR="00E57B83" w:rsidRPr="00F62E86" w:rsidRDefault="00E57B83" w:rsidP="00E57B83">
            <w:pPr>
              <w:rPr>
                <w:rFonts w:ascii="Times New Roman" w:eastAsia="Times New Roman" w:hAnsi="Times New Roman" w:cs="Times New Roman"/>
                <w:sz w:val="24"/>
                <w:szCs w:val="24"/>
              </w:rPr>
            </w:pPr>
          </w:p>
        </w:tc>
      </w:tr>
      <w:tr w:rsidR="00E57B83" w:rsidRPr="00F62E86" w14:paraId="4B7CB97C" w14:textId="77777777" w:rsidTr="00E57B83">
        <w:tc>
          <w:tcPr>
            <w:tcW w:w="1795" w:type="dxa"/>
            <w:hideMark/>
          </w:tcPr>
          <w:p w14:paraId="69289E7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Adj. R-sq</w:t>
            </w:r>
          </w:p>
        </w:tc>
        <w:tc>
          <w:tcPr>
            <w:tcW w:w="1350" w:type="dxa"/>
            <w:hideMark/>
          </w:tcPr>
          <w:p w14:paraId="5655635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0.6503</w:t>
            </w:r>
          </w:p>
        </w:tc>
        <w:tc>
          <w:tcPr>
            <w:tcW w:w="1710" w:type="dxa"/>
            <w:hideMark/>
          </w:tcPr>
          <w:p w14:paraId="24D0444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0.6850</w:t>
            </w:r>
          </w:p>
        </w:tc>
        <w:tc>
          <w:tcPr>
            <w:tcW w:w="1800" w:type="dxa"/>
            <w:hideMark/>
          </w:tcPr>
          <w:p w14:paraId="64D89C4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0.6759</w:t>
            </w:r>
          </w:p>
        </w:tc>
        <w:tc>
          <w:tcPr>
            <w:tcW w:w="2695" w:type="dxa"/>
            <w:hideMark/>
          </w:tcPr>
          <w:p w14:paraId="64EF4D7E" w14:textId="77777777" w:rsidR="00E57B83" w:rsidRPr="00F62E86" w:rsidRDefault="00E57B83" w:rsidP="00E57B83">
            <w:pPr>
              <w:rPr>
                <w:rFonts w:ascii="Times New Roman" w:eastAsia="Times New Roman" w:hAnsi="Times New Roman" w:cs="Times New Roman"/>
                <w:sz w:val="24"/>
                <w:szCs w:val="24"/>
              </w:rPr>
            </w:pPr>
          </w:p>
        </w:tc>
      </w:tr>
    </w:tbl>
    <w:p w14:paraId="0AE4944E" w14:textId="6D76C1C8" w:rsidR="00E57B83" w:rsidRDefault="00E57B83" w:rsidP="00E57B83">
      <w:pPr>
        <w:pStyle w:val="NoSpacing"/>
        <w:rPr>
          <w:rFonts w:ascii="Times New Roman" w:hAnsi="Times New Roman" w:cs="Times New Roman"/>
          <w:sz w:val="24"/>
          <w:szCs w:val="24"/>
        </w:rPr>
      </w:pPr>
      <w:r w:rsidRPr="00F24E4A">
        <w:rPr>
          <w:rFonts w:ascii="Times New Roman" w:hAnsi="Times New Roman" w:cs="Times New Roman"/>
          <w:sz w:val="24"/>
          <w:szCs w:val="24"/>
        </w:rPr>
        <w:t>Source: Researchers’ Computation (202</w:t>
      </w:r>
      <w:r w:rsidR="00173902">
        <w:rPr>
          <w:rFonts w:ascii="Times New Roman" w:hAnsi="Times New Roman" w:cs="Times New Roman"/>
          <w:sz w:val="24"/>
          <w:szCs w:val="24"/>
        </w:rPr>
        <w:t>6</w:t>
      </w:r>
      <w:r w:rsidRPr="00F24E4A">
        <w:rPr>
          <w:rFonts w:ascii="Times New Roman" w:hAnsi="Times New Roman" w:cs="Times New Roman"/>
          <w:sz w:val="24"/>
          <w:szCs w:val="24"/>
        </w:rPr>
        <w:t>).</w:t>
      </w:r>
    </w:p>
    <w:p w14:paraId="7E1A2808" w14:textId="77777777" w:rsidR="0054602B" w:rsidRDefault="0054602B" w:rsidP="00E57B83">
      <w:pPr>
        <w:pStyle w:val="NoSpacing"/>
        <w:rPr>
          <w:rFonts w:ascii="Times New Roman" w:hAnsi="Times New Roman" w:cs="Times New Roman"/>
          <w:sz w:val="24"/>
          <w:szCs w:val="24"/>
        </w:rPr>
      </w:pPr>
    </w:p>
    <w:p w14:paraId="4C7EC7D9" w14:textId="77777777" w:rsidR="0054602B" w:rsidRDefault="0054602B" w:rsidP="00E57B83">
      <w:pPr>
        <w:pStyle w:val="NoSpacing"/>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 xml:space="preserve">Hausman </w:t>
      </w:r>
      <w:r>
        <w:rPr>
          <w:rFonts w:ascii="Times New Roman" w:eastAsia="Times New Roman" w:hAnsi="Times New Roman" w:cs="Times New Roman"/>
          <w:b/>
          <w:bCs/>
          <w:sz w:val="24"/>
          <w:szCs w:val="24"/>
        </w:rPr>
        <w:t xml:space="preserve">Test </w:t>
      </w:r>
    </w:p>
    <w:p w14:paraId="36C59CEF" w14:textId="73A8A077" w:rsidR="0054602B" w:rsidRPr="0054602B" w:rsidRDefault="0054602B" w:rsidP="0054602B">
      <w:pPr>
        <w:spacing w:before="100" w:beforeAutospacing="1" w:after="100" w:afterAutospacing="1" w:line="276" w:lineRule="auto"/>
        <w:jc w:val="both"/>
        <w:outlineLvl w:val="2"/>
        <w:rPr>
          <w:rFonts w:ascii="Times New Roman" w:eastAsia="Times New Roman" w:hAnsi="Times New Roman" w:cs="Times New Roman"/>
          <w:bCs/>
          <w:sz w:val="24"/>
          <w:szCs w:val="24"/>
        </w:rPr>
      </w:pPr>
      <w:r w:rsidRPr="00F24E4A">
        <w:rPr>
          <w:rFonts w:ascii="Times New Roman" w:eastAsia="Times New Roman" w:hAnsi="Times New Roman" w:cs="Times New Roman"/>
          <w:bCs/>
          <w:sz w:val="24"/>
          <w:szCs w:val="24"/>
        </w:rPr>
        <w:t>The Hausman specific</w:t>
      </w:r>
      <w:r>
        <w:rPr>
          <w:rFonts w:ascii="Times New Roman" w:eastAsia="Times New Roman" w:hAnsi="Times New Roman" w:cs="Times New Roman"/>
          <w:bCs/>
          <w:sz w:val="24"/>
          <w:szCs w:val="24"/>
        </w:rPr>
        <w:t xml:space="preserve">ation test, as shown in Table </w:t>
      </w:r>
      <w:r w:rsidR="00173902">
        <w:rPr>
          <w:rFonts w:ascii="Times New Roman" w:eastAsia="Times New Roman" w:hAnsi="Times New Roman" w:cs="Times New Roman"/>
          <w:bCs/>
          <w:sz w:val="24"/>
          <w:szCs w:val="24"/>
        </w:rPr>
        <w:t>7</w:t>
      </w:r>
      <w:r w:rsidRPr="00F24E4A">
        <w:rPr>
          <w:rFonts w:ascii="Times New Roman" w:eastAsia="Times New Roman" w:hAnsi="Times New Roman" w:cs="Times New Roman"/>
          <w:bCs/>
          <w:sz w:val="24"/>
          <w:szCs w:val="24"/>
        </w:rPr>
        <w:t xml:space="preserve">, evaluates whether the fixed effects (FE) or random effects (RE) model is more suitable for analyzing the impact of green accounting </w:t>
      </w:r>
      <w:r w:rsidR="001E4E58">
        <w:rPr>
          <w:rFonts w:ascii="Times New Roman" w:eastAsia="Times New Roman" w:hAnsi="Times New Roman" w:cs="Times New Roman"/>
          <w:bCs/>
          <w:sz w:val="24"/>
          <w:szCs w:val="24"/>
        </w:rPr>
        <w:t xml:space="preserve"> practice</w:t>
      </w:r>
      <w:r w:rsidRPr="00F24E4A">
        <w:rPr>
          <w:rFonts w:ascii="Times New Roman" w:eastAsia="Times New Roman" w:hAnsi="Times New Roman" w:cs="Times New Roman"/>
          <w:bCs/>
          <w:sz w:val="24"/>
          <w:szCs w:val="24"/>
        </w:rPr>
        <w:t xml:space="preserve">s on ROA. The test yields a Chi-square statistic of 12.786 with 6 degrees of freedom and a p-value of 0.0461. Since the p-value is less than the 5% significance level, we reject the null hypothesis (H₀), which assumes that the random effects model is appropriate. Consequently, the test supports the fixed effects model as the more consistent and efficient estimator. This implies that unobserved </w:t>
      </w:r>
      <w:r w:rsidRPr="00F24E4A">
        <w:rPr>
          <w:rFonts w:ascii="Times New Roman" w:eastAsia="Times New Roman" w:hAnsi="Times New Roman" w:cs="Times New Roman"/>
          <w:bCs/>
          <w:sz w:val="24"/>
          <w:szCs w:val="24"/>
        </w:rPr>
        <w:lastRenderedPageBreak/>
        <w:t>heterogeneity across firms—such as internal environmental policies or industry-specific characteristics—is correlated with the explanatory variables and must be accounted for. Therefore, the fixed effects model is preferred for drawing reliable conclusions about how green accounting practices affect firm profitability.</w:t>
      </w:r>
    </w:p>
    <w:p w14:paraId="56225324" w14:textId="0EC624C9" w:rsidR="00E57B83" w:rsidRPr="00F62E86" w:rsidRDefault="0054602B" w:rsidP="00E57B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173902">
        <w:rPr>
          <w:rFonts w:ascii="Times New Roman" w:eastAsia="Times New Roman" w:hAnsi="Times New Roman" w:cs="Times New Roman"/>
          <w:b/>
          <w:bCs/>
          <w:sz w:val="24"/>
          <w:szCs w:val="24"/>
        </w:rPr>
        <w:t>7</w:t>
      </w:r>
      <w:r w:rsidR="00E57B83" w:rsidRPr="00F62E86">
        <w:rPr>
          <w:rFonts w:ascii="Times New Roman" w:eastAsia="Times New Roman" w:hAnsi="Times New Roman" w:cs="Times New Roman"/>
          <w:b/>
          <w:bCs/>
          <w:sz w:val="24"/>
          <w:szCs w:val="24"/>
        </w:rPr>
        <w:t>: Hausman Test Result</w:t>
      </w:r>
    </w:p>
    <w:tbl>
      <w:tblPr>
        <w:tblStyle w:val="TableGrid"/>
        <w:tblW w:w="0" w:type="auto"/>
        <w:tblLook w:val="04A0" w:firstRow="1" w:lastRow="0" w:firstColumn="1" w:lastColumn="0" w:noHBand="0" w:noVBand="1"/>
      </w:tblPr>
      <w:tblGrid>
        <w:gridCol w:w="1480"/>
        <w:gridCol w:w="1667"/>
        <w:gridCol w:w="1703"/>
        <w:gridCol w:w="927"/>
        <w:gridCol w:w="1109"/>
        <w:gridCol w:w="2464"/>
      </w:tblGrid>
      <w:tr w:rsidR="00E57B83" w:rsidRPr="00F62E86" w14:paraId="57E0AEB4" w14:textId="77777777" w:rsidTr="00E57B83">
        <w:tc>
          <w:tcPr>
            <w:tcW w:w="0" w:type="auto"/>
            <w:hideMark/>
          </w:tcPr>
          <w:p w14:paraId="7DDC6F81"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Test Summary</w:t>
            </w:r>
          </w:p>
        </w:tc>
        <w:tc>
          <w:tcPr>
            <w:tcW w:w="0" w:type="auto"/>
            <w:hideMark/>
          </w:tcPr>
          <w:p w14:paraId="0CAEA97E"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Chi-Square Statistic</w:t>
            </w:r>
          </w:p>
        </w:tc>
        <w:tc>
          <w:tcPr>
            <w:tcW w:w="0" w:type="auto"/>
            <w:hideMark/>
          </w:tcPr>
          <w:p w14:paraId="23A9038B"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Degrees of Freedom</w:t>
            </w:r>
          </w:p>
        </w:tc>
        <w:tc>
          <w:tcPr>
            <w:tcW w:w="0" w:type="auto"/>
            <w:hideMark/>
          </w:tcPr>
          <w:p w14:paraId="25F9AAE3"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p-value</w:t>
            </w:r>
          </w:p>
        </w:tc>
        <w:tc>
          <w:tcPr>
            <w:tcW w:w="0" w:type="auto"/>
            <w:hideMark/>
          </w:tcPr>
          <w:p w14:paraId="761D9390"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Decision</w:t>
            </w:r>
          </w:p>
        </w:tc>
        <w:tc>
          <w:tcPr>
            <w:tcW w:w="0" w:type="auto"/>
            <w:hideMark/>
          </w:tcPr>
          <w:p w14:paraId="67B2F7FE"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Conclusion</w:t>
            </w:r>
          </w:p>
        </w:tc>
      </w:tr>
      <w:tr w:rsidR="00E57B83" w:rsidRPr="00F62E86" w14:paraId="1DADE1C3" w14:textId="77777777" w:rsidTr="00E57B83">
        <w:tc>
          <w:tcPr>
            <w:tcW w:w="0" w:type="auto"/>
            <w:hideMark/>
          </w:tcPr>
          <w:p w14:paraId="619B0AA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Hausman Test</w:t>
            </w:r>
          </w:p>
        </w:tc>
        <w:tc>
          <w:tcPr>
            <w:tcW w:w="0" w:type="auto"/>
            <w:hideMark/>
          </w:tcPr>
          <w:p w14:paraId="13F48BA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12.786</w:t>
            </w:r>
          </w:p>
        </w:tc>
        <w:tc>
          <w:tcPr>
            <w:tcW w:w="0" w:type="auto"/>
            <w:hideMark/>
          </w:tcPr>
          <w:p w14:paraId="279E371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6</w:t>
            </w:r>
          </w:p>
        </w:tc>
        <w:tc>
          <w:tcPr>
            <w:tcW w:w="0" w:type="auto"/>
            <w:hideMark/>
          </w:tcPr>
          <w:p w14:paraId="7BB5759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0.0461</w:t>
            </w:r>
          </w:p>
        </w:tc>
        <w:tc>
          <w:tcPr>
            <w:tcW w:w="0" w:type="auto"/>
            <w:hideMark/>
          </w:tcPr>
          <w:p w14:paraId="7B6D90E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Reject H₀</w:t>
            </w:r>
          </w:p>
        </w:tc>
        <w:tc>
          <w:tcPr>
            <w:tcW w:w="0" w:type="auto"/>
            <w:hideMark/>
          </w:tcPr>
          <w:p w14:paraId="355BCC0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Fixed Effects Model is appropriate</w:t>
            </w:r>
          </w:p>
        </w:tc>
      </w:tr>
    </w:tbl>
    <w:p w14:paraId="1C8890DA" w14:textId="77777777" w:rsidR="00E57B83" w:rsidRDefault="0054602B" w:rsidP="00E57B83">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Diagnostic Tests</w:t>
      </w:r>
    </w:p>
    <w:p w14:paraId="3E29A9BA" w14:textId="14B55427" w:rsidR="0054602B" w:rsidRPr="0054602B" w:rsidRDefault="0054602B" w:rsidP="0054602B">
      <w:pPr>
        <w:jc w:val="both"/>
        <w:rPr>
          <w:rFonts w:ascii="Times New Roman" w:hAnsi="Times New Roman" w:cs="Times New Roman"/>
          <w:sz w:val="24"/>
          <w:szCs w:val="24"/>
        </w:rPr>
      </w:pPr>
      <w:r>
        <w:rPr>
          <w:rFonts w:ascii="Times New Roman" w:hAnsi="Times New Roman" w:cs="Times New Roman"/>
          <w:sz w:val="24"/>
          <w:szCs w:val="24"/>
        </w:rPr>
        <w:t xml:space="preserve">Analysis in table </w:t>
      </w:r>
      <w:r w:rsidR="00173902">
        <w:rPr>
          <w:rFonts w:ascii="Times New Roman" w:hAnsi="Times New Roman" w:cs="Times New Roman"/>
          <w:sz w:val="24"/>
          <w:szCs w:val="24"/>
        </w:rPr>
        <w:t>8</w:t>
      </w:r>
      <w:r w:rsidRPr="00F24E4A">
        <w:rPr>
          <w:rFonts w:ascii="Times New Roman" w:hAnsi="Times New Roman" w:cs="Times New Roman"/>
          <w:sz w:val="24"/>
          <w:szCs w:val="24"/>
        </w:rPr>
        <w:t xml:space="preserve"> presents the results of several post-estimation diagnostic tests conducted to assess the validity and robustness of the fixed effects regression model. The </w:t>
      </w:r>
      <w:r w:rsidRPr="00F24E4A">
        <w:rPr>
          <w:rFonts w:ascii="Times New Roman" w:hAnsi="Times New Roman" w:cs="Times New Roman"/>
          <w:bCs/>
          <w:sz w:val="24"/>
          <w:szCs w:val="24"/>
        </w:rPr>
        <w:t>Hausman Specification Test</w:t>
      </w:r>
      <w:r w:rsidRPr="00F24E4A">
        <w:rPr>
          <w:rFonts w:ascii="Times New Roman" w:hAnsi="Times New Roman" w:cs="Times New Roman"/>
          <w:sz w:val="24"/>
          <w:szCs w:val="24"/>
        </w:rPr>
        <w:t xml:space="preserve"> confirms the appropriateness of the </w:t>
      </w:r>
      <w:r w:rsidRPr="00F24E4A">
        <w:rPr>
          <w:rFonts w:ascii="Times New Roman" w:hAnsi="Times New Roman" w:cs="Times New Roman"/>
          <w:bCs/>
          <w:sz w:val="24"/>
          <w:szCs w:val="24"/>
        </w:rPr>
        <w:t>fixed effects model</w:t>
      </w:r>
      <w:r w:rsidRPr="00F24E4A">
        <w:rPr>
          <w:rFonts w:ascii="Times New Roman" w:hAnsi="Times New Roman" w:cs="Times New Roman"/>
          <w:sz w:val="24"/>
          <w:szCs w:val="24"/>
        </w:rPr>
        <w:t xml:space="preserve"> over the random effects model (χ² = 12.786, </w:t>
      </w:r>
      <w:r w:rsidRPr="00F24E4A">
        <w:rPr>
          <w:rFonts w:ascii="Times New Roman" w:hAnsi="Times New Roman" w:cs="Times New Roman"/>
          <w:i/>
          <w:iCs/>
          <w:sz w:val="24"/>
          <w:szCs w:val="24"/>
        </w:rPr>
        <w:t>p</w:t>
      </w:r>
      <w:r w:rsidRPr="00F24E4A">
        <w:rPr>
          <w:rFonts w:ascii="Times New Roman" w:hAnsi="Times New Roman" w:cs="Times New Roman"/>
          <w:sz w:val="24"/>
          <w:szCs w:val="24"/>
        </w:rPr>
        <w:t xml:space="preserve"> = 0.0461), ensuring consistency in the presence of correlated individual effects. The </w:t>
      </w:r>
      <w:r w:rsidRPr="00F24E4A">
        <w:rPr>
          <w:rFonts w:ascii="Times New Roman" w:hAnsi="Times New Roman" w:cs="Times New Roman"/>
          <w:bCs/>
          <w:sz w:val="24"/>
          <w:szCs w:val="24"/>
        </w:rPr>
        <w:t>Variance Inflation Factor (VIF)</w:t>
      </w:r>
      <w:r w:rsidRPr="00F24E4A">
        <w:rPr>
          <w:rFonts w:ascii="Times New Roman" w:hAnsi="Times New Roman" w:cs="Times New Roman"/>
          <w:sz w:val="24"/>
          <w:szCs w:val="24"/>
        </w:rPr>
        <w:t xml:space="preserve"> test shows a mean VIF of 2.18, well below the threshold of 10, indicating </w:t>
      </w:r>
      <w:r w:rsidRPr="00F24E4A">
        <w:rPr>
          <w:rFonts w:ascii="Times New Roman" w:hAnsi="Times New Roman" w:cs="Times New Roman"/>
          <w:bCs/>
          <w:sz w:val="24"/>
          <w:szCs w:val="24"/>
        </w:rPr>
        <w:t>no multicollinearity</w:t>
      </w:r>
      <w:r w:rsidRPr="00F24E4A">
        <w:rPr>
          <w:rFonts w:ascii="Times New Roman" w:hAnsi="Times New Roman" w:cs="Times New Roman"/>
          <w:sz w:val="24"/>
          <w:szCs w:val="24"/>
        </w:rPr>
        <w:t xml:space="preserve"> and thus reliable coefficient estimates. The </w:t>
      </w:r>
      <w:r w:rsidRPr="00F24E4A">
        <w:rPr>
          <w:rFonts w:ascii="Times New Roman" w:hAnsi="Times New Roman" w:cs="Times New Roman"/>
          <w:bCs/>
          <w:sz w:val="24"/>
          <w:szCs w:val="24"/>
        </w:rPr>
        <w:t>Wooldridge Test for Autocorrelation in Panel Data</w:t>
      </w:r>
      <w:r w:rsidRPr="00F24E4A">
        <w:rPr>
          <w:rFonts w:ascii="Times New Roman" w:hAnsi="Times New Roman" w:cs="Times New Roman"/>
          <w:sz w:val="24"/>
          <w:szCs w:val="24"/>
        </w:rPr>
        <w:t xml:space="preserve"> yields a </w:t>
      </w:r>
      <w:r w:rsidRPr="00F24E4A">
        <w:rPr>
          <w:rFonts w:ascii="Times New Roman" w:hAnsi="Times New Roman" w:cs="Times New Roman"/>
          <w:i/>
          <w:iCs/>
          <w:sz w:val="24"/>
          <w:szCs w:val="24"/>
        </w:rPr>
        <w:t>p</w:t>
      </w:r>
      <w:r w:rsidRPr="00F24E4A">
        <w:rPr>
          <w:rFonts w:ascii="Times New Roman" w:hAnsi="Times New Roman" w:cs="Times New Roman"/>
          <w:sz w:val="24"/>
          <w:szCs w:val="24"/>
        </w:rPr>
        <w:t xml:space="preserve">-value of 0.1794, leading to the </w:t>
      </w:r>
      <w:r w:rsidRPr="00F24E4A">
        <w:rPr>
          <w:rFonts w:ascii="Times New Roman" w:hAnsi="Times New Roman" w:cs="Times New Roman"/>
          <w:bCs/>
          <w:sz w:val="24"/>
          <w:szCs w:val="24"/>
        </w:rPr>
        <w:t>non-rejection of the null hypothesis</w:t>
      </w:r>
      <w:r w:rsidRPr="00F24E4A">
        <w:rPr>
          <w:rFonts w:ascii="Times New Roman" w:hAnsi="Times New Roman" w:cs="Times New Roman"/>
          <w:sz w:val="24"/>
          <w:szCs w:val="24"/>
        </w:rPr>
        <w:t xml:space="preserve">, suggesting that </w:t>
      </w:r>
      <w:r w:rsidRPr="00F24E4A">
        <w:rPr>
          <w:rFonts w:ascii="Times New Roman" w:hAnsi="Times New Roman" w:cs="Times New Roman"/>
          <w:bCs/>
          <w:sz w:val="24"/>
          <w:szCs w:val="24"/>
        </w:rPr>
        <w:t>first-order serial correlation is absent</w:t>
      </w:r>
      <w:r w:rsidRPr="00F24E4A">
        <w:rPr>
          <w:rFonts w:ascii="Times New Roman" w:hAnsi="Times New Roman" w:cs="Times New Roman"/>
          <w:sz w:val="24"/>
          <w:szCs w:val="24"/>
        </w:rPr>
        <w:t xml:space="preserve">. However, the </w:t>
      </w:r>
      <w:r w:rsidRPr="00F24E4A">
        <w:rPr>
          <w:rFonts w:ascii="Times New Roman" w:hAnsi="Times New Roman" w:cs="Times New Roman"/>
          <w:bCs/>
          <w:sz w:val="24"/>
          <w:szCs w:val="24"/>
        </w:rPr>
        <w:t>Modified Wald Test for GroupWise Heteroskedasticity</w:t>
      </w:r>
      <w:r w:rsidRPr="00F24E4A">
        <w:rPr>
          <w:rFonts w:ascii="Times New Roman" w:hAnsi="Times New Roman" w:cs="Times New Roman"/>
          <w:sz w:val="24"/>
          <w:szCs w:val="24"/>
        </w:rPr>
        <w:t xml:space="preserve"> produces a significant result (χ² = 15.683, </w:t>
      </w:r>
      <w:r w:rsidRPr="00F24E4A">
        <w:rPr>
          <w:rFonts w:ascii="Times New Roman" w:hAnsi="Times New Roman" w:cs="Times New Roman"/>
          <w:i/>
          <w:iCs/>
          <w:sz w:val="24"/>
          <w:szCs w:val="24"/>
        </w:rPr>
        <w:t>p</w:t>
      </w:r>
      <w:r w:rsidRPr="00F24E4A">
        <w:rPr>
          <w:rFonts w:ascii="Times New Roman" w:hAnsi="Times New Roman" w:cs="Times New Roman"/>
          <w:sz w:val="24"/>
          <w:szCs w:val="24"/>
        </w:rPr>
        <w:t xml:space="preserve"> = 0.0036), indicating the </w:t>
      </w:r>
      <w:r w:rsidRPr="00F24E4A">
        <w:rPr>
          <w:rFonts w:ascii="Times New Roman" w:hAnsi="Times New Roman" w:cs="Times New Roman"/>
          <w:bCs/>
          <w:sz w:val="24"/>
          <w:szCs w:val="24"/>
        </w:rPr>
        <w:t>presence of heteroskedasticity</w:t>
      </w:r>
      <w:r w:rsidRPr="00F24E4A">
        <w:rPr>
          <w:rFonts w:ascii="Times New Roman" w:hAnsi="Times New Roman" w:cs="Times New Roman"/>
          <w:sz w:val="24"/>
          <w:szCs w:val="24"/>
        </w:rPr>
        <w:t xml:space="preserve">; as a result, </w:t>
      </w:r>
      <w:r w:rsidRPr="00F24E4A">
        <w:rPr>
          <w:rFonts w:ascii="Times New Roman" w:hAnsi="Times New Roman" w:cs="Times New Roman"/>
          <w:bCs/>
          <w:sz w:val="24"/>
          <w:szCs w:val="24"/>
        </w:rPr>
        <w:t>robust standard errors</w:t>
      </w:r>
      <w:r w:rsidRPr="00F24E4A">
        <w:rPr>
          <w:rFonts w:ascii="Times New Roman" w:hAnsi="Times New Roman" w:cs="Times New Roman"/>
          <w:sz w:val="24"/>
          <w:szCs w:val="24"/>
        </w:rPr>
        <w:t xml:space="preserve"> should be applied to ensure valid statistical inference. Lastly, the </w:t>
      </w:r>
      <w:proofErr w:type="spellStart"/>
      <w:r w:rsidRPr="00F24E4A">
        <w:rPr>
          <w:rFonts w:ascii="Times New Roman" w:hAnsi="Times New Roman" w:cs="Times New Roman"/>
          <w:bCs/>
          <w:sz w:val="24"/>
          <w:szCs w:val="24"/>
        </w:rPr>
        <w:t>Pesaran</w:t>
      </w:r>
      <w:proofErr w:type="spellEnd"/>
      <w:r w:rsidRPr="00F24E4A">
        <w:rPr>
          <w:rFonts w:ascii="Times New Roman" w:hAnsi="Times New Roman" w:cs="Times New Roman"/>
          <w:bCs/>
          <w:sz w:val="24"/>
          <w:szCs w:val="24"/>
        </w:rPr>
        <w:t xml:space="preserve"> CD Test</w:t>
      </w:r>
      <w:r w:rsidRPr="00F24E4A">
        <w:rPr>
          <w:rFonts w:ascii="Times New Roman" w:hAnsi="Times New Roman" w:cs="Times New Roman"/>
          <w:sz w:val="24"/>
          <w:szCs w:val="24"/>
        </w:rPr>
        <w:t xml:space="preserve"> for cross-sectional dependence reports a non-significant result (</w:t>
      </w:r>
      <w:r w:rsidRPr="00F24E4A">
        <w:rPr>
          <w:rFonts w:ascii="Times New Roman" w:hAnsi="Times New Roman" w:cs="Times New Roman"/>
          <w:i/>
          <w:iCs/>
          <w:sz w:val="24"/>
          <w:szCs w:val="24"/>
        </w:rPr>
        <w:t>p</w:t>
      </w:r>
      <w:r w:rsidRPr="00F24E4A">
        <w:rPr>
          <w:rFonts w:ascii="Times New Roman" w:hAnsi="Times New Roman" w:cs="Times New Roman"/>
          <w:sz w:val="24"/>
          <w:szCs w:val="24"/>
        </w:rPr>
        <w:t xml:space="preserve"> = 0.354), implying that </w:t>
      </w:r>
      <w:r w:rsidRPr="00F24E4A">
        <w:rPr>
          <w:rFonts w:ascii="Times New Roman" w:hAnsi="Times New Roman" w:cs="Times New Roman"/>
          <w:bCs/>
          <w:sz w:val="24"/>
          <w:szCs w:val="24"/>
        </w:rPr>
        <w:t>residuals are not correlated across firms</w:t>
      </w:r>
      <w:r w:rsidRPr="00F24E4A">
        <w:rPr>
          <w:rFonts w:ascii="Times New Roman" w:hAnsi="Times New Roman" w:cs="Times New Roman"/>
          <w:sz w:val="24"/>
          <w:szCs w:val="24"/>
        </w:rPr>
        <w:t>, which supports the model’s reliability. Overall, the diagnostics affirm that while the fixed effects model is appropriate and free from multicollinearity, autocorrelation, and cross-sectional dependence, heteroskedasticity must be addressed throug</w:t>
      </w:r>
      <w:r>
        <w:rPr>
          <w:rFonts w:ascii="Times New Roman" w:hAnsi="Times New Roman" w:cs="Times New Roman"/>
          <w:sz w:val="24"/>
          <w:szCs w:val="24"/>
        </w:rPr>
        <w:t>h robust estimation techniques.</w:t>
      </w:r>
    </w:p>
    <w:p w14:paraId="7D81C4E2" w14:textId="77777777" w:rsidR="00CD0E0D" w:rsidRDefault="00CD0E0D" w:rsidP="00E57B83">
      <w:pPr>
        <w:spacing w:before="100" w:beforeAutospacing="1" w:after="100" w:afterAutospacing="1" w:line="240" w:lineRule="auto"/>
        <w:rPr>
          <w:rFonts w:ascii="Times New Roman" w:eastAsia="Times New Roman" w:hAnsi="Times New Roman" w:cs="Times New Roman"/>
          <w:b/>
          <w:bCs/>
          <w:sz w:val="24"/>
          <w:szCs w:val="24"/>
        </w:rPr>
      </w:pPr>
    </w:p>
    <w:p w14:paraId="065938B0" w14:textId="77777777" w:rsidR="00CD0E0D" w:rsidRDefault="00CD0E0D" w:rsidP="00E57B83">
      <w:pPr>
        <w:spacing w:before="100" w:beforeAutospacing="1" w:after="100" w:afterAutospacing="1" w:line="240" w:lineRule="auto"/>
        <w:rPr>
          <w:rFonts w:ascii="Times New Roman" w:eastAsia="Times New Roman" w:hAnsi="Times New Roman" w:cs="Times New Roman"/>
          <w:b/>
          <w:bCs/>
          <w:sz w:val="24"/>
          <w:szCs w:val="24"/>
        </w:rPr>
      </w:pPr>
    </w:p>
    <w:p w14:paraId="67DBCF4C" w14:textId="77777777" w:rsidR="00CD0E0D" w:rsidRDefault="00CD0E0D" w:rsidP="00E57B83">
      <w:pPr>
        <w:spacing w:before="100" w:beforeAutospacing="1" w:after="100" w:afterAutospacing="1" w:line="240" w:lineRule="auto"/>
        <w:rPr>
          <w:rFonts w:ascii="Times New Roman" w:eastAsia="Times New Roman" w:hAnsi="Times New Roman" w:cs="Times New Roman"/>
          <w:b/>
          <w:bCs/>
          <w:sz w:val="24"/>
          <w:szCs w:val="24"/>
        </w:rPr>
      </w:pPr>
    </w:p>
    <w:p w14:paraId="54C98AC1" w14:textId="77777777" w:rsidR="00CD0E0D" w:rsidRDefault="00CD0E0D" w:rsidP="00E57B83">
      <w:pPr>
        <w:spacing w:before="100" w:beforeAutospacing="1" w:after="100" w:afterAutospacing="1" w:line="240" w:lineRule="auto"/>
        <w:rPr>
          <w:rFonts w:ascii="Times New Roman" w:eastAsia="Times New Roman" w:hAnsi="Times New Roman" w:cs="Times New Roman"/>
          <w:b/>
          <w:bCs/>
          <w:sz w:val="24"/>
          <w:szCs w:val="24"/>
        </w:rPr>
      </w:pPr>
    </w:p>
    <w:p w14:paraId="7F0ED512" w14:textId="77777777" w:rsidR="00CD0E0D" w:rsidRDefault="00CD0E0D" w:rsidP="00E57B83">
      <w:pPr>
        <w:spacing w:before="100" w:beforeAutospacing="1" w:after="100" w:afterAutospacing="1" w:line="240" w:lineRule="auto"/>
        <w:rPr>
          <w:rFonts w:ascii="Times New Roman" w:eastAsia="Times New Roman" w:hAnsi="Times New Roman" w:cs="Times New Roman"/>
          <w:b/>
          <w:bCs/>
          <w:sz w:val="24"/>
          <w:szCs w:val="24"/>
        </w:rPr>
      </w:pPr>
    </w:p>
    <w:p w14:paraId="61ED9746" w14:textId="77777777" w:rsidR="00CD0E0D" w:rsidRDefault="00CD0E0D" w:rsidP="00E57B83">
      <w:pPr>
        <w:spacing w:before="100" w:beforeAutospacing="1" w:after="100" w:afterAutospacing="1" w:line="240" w:lineRule="auto"/>
        <w:rPr>
          <w:rFonts w:ascii="Times New Roman" w:eastAsia="Times New Roman" w:hAnsi="Times New Roman" w:cs="Times New Roman"/>
          <w:b/>
          <w:bCs/>
          <w:sz w:val="24"/>
          <w:szCs w:val="24"/>
        </w:rPr>
      </w:pPr>
    </w:p>
    <w:p w14:paraId="605F7D45" w14:textId="77777777" w:rsidR="00CD0E0D" w:rsidRDefault="00CD0E0D" w:rsidP="00E57B83">
      <w:pPr>
        <w:spacing w:before="100" w:beforeAutospacing="1" w:after="100" w:afterAutospacing="1" w:line="240" w:lineRule="auto"/>
        <w:rPr>
          <w:rFonts w:ascii="Times New Roman" w:eastAsia="Times New Roman" w:hAnsi="Times New Roman" w:cs="Times New Roman"/>
          <w:b/>
          <w:bCs/>
          <w:sz w:val="24"/>
          <w:szCs w:val="24"/>
        </w:rPr>
      </w:pPr>
    </w:p>
    <w:p w14:paraId="51E4209B" w14:textId="77777777" w:rsidR="00CD0E0D" w:rsidRDefault="00CD0E0D" w:rsidP="00E57B83">
      <w:pPr>
        <w:spacing w:before="100" w:beforeAutospacing="1" w:after="100" w:afterAutospacing="1" w:line="240" w:lineRule="auto"/>
        <w:rPr>
          <w:rFonts w:ascii="Times New Roman" w:eastAsia="Times New Roman" w:hAnsi="Times New Roman" w:cs="Times New Roman"/>
          <w:b/>
          <w:bCs/>
          <w:sz w:val="24"/>
          <w:szCs w:val="24"/>
        </w:rPr>
      </w:pPr>
    </w:p>
    <w:p w14:paraId="5F6116B1" w14:textId="4A559FE6" w:rsidR="00E57B83" w:rsidRPr="00F62E86" w:rsidRDefault="0054602B" w:rsidP="00E57B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173902">
        <w:rPr>
          <w:rFonts w:ascii="Times New Roman" w:eastAsia="Times New Roman" w:hAnsi="Times New Roman" w:cs="Times New Roman"/>
          <w:b/>
          <w:bCs/>
          <w:sz w:val="24"/>
          <w:szCs w:val="24"/>
        </w:rPr>
        <w:t>8</w:t>
      </w:r>
      <w:r w:rsidR="00E57B83" w:rsidRPr="00F62E86">
        <w:rPr>
          <w:rFonts w:ascii="Times New Roman" w:eastAsia="Times New Roman" w:hAnsi="Times New Roman" w:cs="Times New Roman"/>
          <w:b/>
          <w:bCs/>
          <w:sz w:val="24"/>
          <w:szCs w:val="24"/>
        </w:rPr>
        <w:t>: Diagnostic Tests</w:t>
      </w:r>
    </w:p>
    <w:tbl>
      <w:tblPr>
        <w:tblStyle w:val="TableGrid"/>
        <w:tblW w:w="0" w:type="auto"/>
        <w:tblInd w:w="-275" w:type="dxa"/>
        <w:tblLook w:val="04A0" w:firstRow="1" w:lastRow="0" w:firstColumn="1" w:lastColumn="0" w:noHBand="0" w:noVBand="1"/>
      </w:tblPr>
      <w:tblGrid>
        <w:gridCol w:w="2145"/>
        <w:gridCol w:w="1736"/>
        <w:gridCol w:w="1043"/>
        <w:gridCol w:w="876"/>
        <w:gridCol w:w="1816"/>
        <w:gridCol w:w="2009"/>
      </w:tblGrid>
      <w:tr w:rsidR="00E57B83" w:rsidRPr="00F62E86" w14:paraId="777B7FF0" w14:textId="77777777" w:rsidTr="00C85F28">
        <w:tc>
          <w:tcPr>
            <w:tcW w:w="2174" w:type="dxa"/>
            <w:hideMark/>
          </w:tcPr>
          <w:p w14:paraId="2AB06123"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Test Description</w:t>
            </w:r>
          </w:p>
        </w:tc>
        <w:tc>
          <w:tcPr>
            <w:tcW w:w="1729" w:type="dxa"/>
            <w:hideMark/>
          </w:tcPr>
          <w:p w14:paraId="4B8B5794"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Test Applied</w:t>
            </w:r>
          </w:p>
        </w:tc>
        <w:tc>
          <w:tcPr>
            <w:tcW w:w="0" w:type="auto"/>
            <w:hideMark/>
          </w:tcPr>
          <w:p w14:paraId="3BAB96C4"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Test Statistic</w:t>
            </w:r>
          </w:p>
        </w:tc>
        <w:tc>
          <w:tcPr>
            <w:tcW w:w="0" w:type="auto"/>
            <w:hideMark/>
          </w:tcPr>
          <w:p w14:paraId="40C3BA6A"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p-value</w:t>
            </w:r>
          </w:p>
        </w:tc>
        <w:tc>
          <w:tcPr>
            <w:tcW w:w="1809" w:type="dxa"/>
            <w:hideMark/>
          </w:tcPr>
          <w:p w14:paraId="2FD34CD9"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Decision</w:t>
            </w:r>
          </w:p>
        </w:tc>
        <w:tc>
          <w:tcPr>
            <w:tcW w:w="2001" w:type="dxa"/>
            <w:hideMark/>
          </w:tcPr>
          <w:p w14:paraId="58380097"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Implication</w:t>
            </w:r>
          </w:p>
        </w:tc>
      </w:tr>
      <w:tr w:rsidR="00E57B83" w:rsidRPr="00F62E86" w14:paraId="2D423158" w14:textId="77777777" w:rsidTr="00C85F28">
        <w:tc>
          <w:tcPr>
            <w:tcW w:w="2174" w:type="dxa"/>
            <w:hideMark/>
          </w:tcPr>
          <w:p w14:paraId="57E8074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Model Selection Test</w:t>
            </w:r>
          </w:p>
        </w:tc>
        <w:tc>
          <w:tcPr>
            <w:tcW w:w="1729" w:type="dxa"/>
            <w:hideMark/>
          </w:tcPr>
          <w:p w14:paraId="7B6C40F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Hausman Specification Test</w:t>
            </w:r>
          </w:p>
        </w:tc>
        <w:tc>
          <w:tcPr>
            <w:tcW w:w="0" w:type="auto"/>
            <w:hideMark/>
          </w:tcPr>
          <w:p w14:paraId="03059F4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χ² = 12.786</w:t>
            </w:r>
          </w:p>
        </w:tc>
        <w:tc>
          <w:tcPr>
            <w:tcW w:w="0" w:type="auto"/>
            <w:hideMark/>
          </w:tcPr>
          <w:p w14:paraId="09BBFC0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0.0461</w:t>
            </w:r>
          </w:p>
        </w:tc>
        <w:tc>
          <w:tcPr>
            <w:tcW w:w="1809" w:type="dxa"/>
            <w:hideMark/>
          </w:tcPr>
          <w:p w14:paraId="0BBF4EF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Reject H₀</w:t>
            </w:r>
          </w:p>
        </w:tc>
        <w:tc>
          <w:tcPr>
            <w:tcW w:w="2001" w:type="dxa"/>
            <w:hideMark/>
          </w:tcPr>
          <w:p w14:paraId="4546193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Fixed Effects Model preferred</w:t>
            </w:r>
          </w:p>
        </w:tc>
      </w:tr>
      <w:tr w:rsidR="00E57B83" w:rsidRPr="00F62E86" w14:paraId="36F47CD1" w14:textId="77777777" w:rsidTr="00C85F28">
        <w:tc>
          <w:tcPr>
            <w:tcW w:w="2174" w:type="dxa"/>
            <w:hideMark/>
          </w:tcPr>
          <w:p w14:paraId="5F6BD22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Multicollinearity</w:t>
            </w:r>
          </w:p>
        </w:tc>
        <w:tc>
          <w:tcPr>
            <w:tcW w:w="1729" w:type="dxa"/>
            <w:hideMark/>
          </w:tcPr>
          <w:p w14:paraId="466A5CE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Variance Inflation Factor (VIF)</w:t>
            </w:r>
          </w:p>
        </w:tc>
        <w:tc>
          <w:tcPr>
            <w:tcW w:w="0" w:type="auto"/>
            <w:hideMark/>
          </w:tcPr>
          <w:p w14:paraId="797A632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Mean VIF = 2.18</w:t>
            </w:r>
          </w:p>
        </w:tc>
        <w:tc>
          <w:tcPr>
            <w:tcW w:w="0" w:type="auto"/>
            <w:hideMark/>
          </w:tcPr>
          <w:p w14:paraId="673BB91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c>
          <w:tcPr>
            <w:tcW w:w="1809" w:type="dxa"/>
            <w:hideMark/>
          </w:tcPr>
          <w:p w14:paraId="7937CDF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No multicollinearity</w:t>
            </w:r>
          </w:p>
        </w:tc>
        <w:tc>
          <w:tcPr>
            <w:tcW w:w="2001" w:type="dxa"/>
            <w:hideMark/>
          </w:tcPr>
          <w:p w14:paraId="6CE5622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Acceptable levels (all VIFs &lt; 10)</w:t>
            </w:r>
          </w:p>
        </w:tc>
      </w:tr>
      <w:tr w:rsidR="00E57B83" w:rsidRPr="00F62E86" w14:paraId="0386A2EA" w14:textId="77777777" w:rsidTr="00C85F28">
        <w:tc>
          <w:tcPr>
            <w:tcW w:w="2174" w:type="dxa"/>
            <w:hideMark/>
          </w:tcPr>
          <w:p w14:paraId="5C652C6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Serial Correlation</w:t>
            </w:r>
          </w:p>
        </w:tc>
        <w:tc>
          <w:tcPr>
            <w:tcW w:w="1729" w:type="dxa"/>
            <w:hideMark/>
          </w:tcPr>
          <w:p w14:paraId="30643F8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Wooldridge Test for Autocorrelation in Panel Data</w:t>
            </w:r>
          </w:p>
        </w:tc>
        <w:tc>
          <w:tcPr>
            <w:tcW w:w="0" w:type="auto"/>
            <w:hideMark/>
          </w:tcPr>
          <w:p w14:paraId="10E62A6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F(1, 68) = 1.842</w:t>
            </w:r>
          </w:p>
        </w:tc>
        <w:tc>
          <w:tcPr>
            <w:tcW w:w="0" w:type="auto"/>
            <w:hideMark/>
          </w:tcPr>
          <w:p w14:paraId="68F4D39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0.1794</w:t>
            </w:r>
          </w:p>
        </w:tc>
        <w:tc>
          <w:tcPr>
            <w:tcW w:w="1809" w:type="dxa"/>
            <w:hideMark/>
          </w:tcPr>
          <w:p w14:paraId="1366D1A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Do not reject H₀</w:t>
            </w:r>
          </w:p>
        </w:tc>
        <w:tc>
          <w:tcPr>
            <w:tcW w:w="2001" w:type="dxa"/>
            <w:hideMark/>
          </w:tcPr>
          <w:p w14:paraId="6A84CBA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No first-order autocorrelation</w:t>
            </w:r>
          </w:p>
        </w:tc>
      </w:tr>
      <w:tr w:rsidR="00E57B83" w:rsidRPr="00F62E86" w14:paraId="77624EBE" w14:textId="77777777" w:rsidTr="00C85F28">
        <w:tc>
          <w:tcPr>
            <w:tcW w:w="2174" w:type="dxa"/>
            <w:hideMark/>
          </w:tcPr>
          <w:p w14:paraId="5F24902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Heteroskedasticity</w:t>
            </w:r>
          </w:p>
        </w:tc>
        <w:tc>
          <w:tcPr>
            <w:tcW w:w="1729" w:type="dxa"/>
            <w:hideMark/>
          </w:tcPr>
          <w:p w14:paraId="18BBC56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Modified Wald Test</w:t>
            </w:r>
          </w:p>
        </w:tc>
        <w:tc>
          <w:tcPr>
            <w:tcW w:w="0" w:type="auto"/>
            <w:hideMark/>
          </w:tcPr>
          <w:p w14:paraId="7691871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χ² = 15.683</w:t>
            </w:r>
          </w:p>
        </w:tc>
        <w:tc>
          <w:tcPr>
            <w:tcW w:w="0" w:type="auto"/>
            <w:hideMark/>
          </w:tcPr>
          <w:p w14:paraId="47F95D4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0.0036</w:t>
            </w:r>
          </w:p>
        </w:tc>
        <w:tc>
          <w:tcPr>
            <w:tcW w:w="1809" w:type="dxa"/>
            <w:hideMark/>
          </w:tcPr>
          <w:p w14:paraId="447CE68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Reject H₀</w:t>
            </w:r>
          </w:p>
        </w:tc>
        <w:tc>
          <w:tcPr>
            <w:tcW w:w="2001" w:type="dxa"/>
            <w:hideMark/>
          </w:tcPr>
          <w:p w14:paraId="06A4B28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Presence of heteroskedasticity, robust SE suggested</w:t>
            </w:r>
          </w:p>
        </w:tc>
      </w:tr>
      <w:tr w:rsidR="00E57B83" w:rsidRPr="00F62E86" w14:paraId="783A061D" w14:textId="77777777" w:rsidTr="00C85F28">
        <w:tc>
          <w:tcPr>
            <w:tcW w:w="2174" w:type="dxa"/>
            <w:hideMark/>
          </w:tcPr>
          <w:p w14:paraId="1173BD7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Cross-sectional Dependence</w:t>
            </w:r>
          </w:p>
        </w:tc>
        <w:tc>
          <w:tcPr>
            <w:tcW w:w="1729" w:type="dxa"/>
            <w:hideMark/>
          </w:tcPr>
          <w:p w14:paraId="2038748B" w14:textId="77777777" w:rsidR="00E57B83" w:rsidRPr="00F62E86" w:rsidRDefault="00E57B83" w:rsidP="00E57B83">
            <w:pPr>
              <w:rPr>
                <w:rFonts w:ascii="Times New Roman" w:eastAsia="Times New Roman" w:hAnsi="Times New Roman" w:cs="Times New Roman"/>
                <w:sz w:val="24"/>
                <w:szCs w:val="24"/>
              </w:rPr>
            </w:pPr>
            <w:proofErr w:type="spellStart"/>
            <w:r w:rsidRPr="00F62E86">
              <w:rPr>
                <w:rFonts w:ascii="Times New Roman" w:eastAsia="Times New Roman" w:hAnsi="Times New Roman" w:cs="Times New Roman"/>
                <w:sz w:val="24"/>
                <w:szCs w:val="24"/>
              </w:rPr>
              <w:t>Pesaran</w:t>
            </w:r>
            <w:proofErr w:type="spellEnd"/>
            <w:r w:rsidRPr="00F62E86">
              <w:rPr>
                <w:rFonts w:ascii="Times New Roman" w:eastAsia="Times New Roman" w:hAnsi="Times New Roman" w:cs="Times New Roman"/>
                <w:sz w:val="24"/>
                <w:szCs w:val="24"/>
              </w:rPr>
              <w:t xml:space="preserve"> CD Test</w:t>
            </w:r>
          </w:p>
        </w:tc>
        <w:tc>
          <w:tcPr>
            <w:tcW w:w="0" w:type="auto"/>
            <w:hideMark/>
          </w:tcPr>
          <w:p w14:paraId="30DBCB1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z = 0.925</w:t>
            </w:r>
          </w:p>
        </w:tc>
        <w:tc>
          <w:tcPr>
            <w:tcW w:w="0" w:type="auto"/>
            <w:hideMark/>
          </w:tcPr>
          <w:p w14:paraId="7B0A2B7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0.354</w:t>
            </w:r>
          </w:p>
        </w:tc>
        <w:tc>
          <w:tcPr>
            <w:tcW w:w="1809" w:type="dxa"/>
            <w:hideMark/>
          </w:tcPr>
          <w:p w14:paraId="5032110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Do not reject H₀</w:t>
            </w:r>
          </w:p>
        </w:tc>
        <w:tc>
          <w:tcPr>
            <w:tcW w:w="2001" w:type="dxa"/>
            <w:hideMark/>
          </w:tcPr>
          <w:p w14:paraId="2BC3239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No cross-sectional dependence</w:t>
            </w:r>
          </w:p>
        </w:tc>
      </w:tr>
    </w:tbl>
    <w:p w14:paraId="65097CB2" w14:textId="54E6A57B" w:rsidR="00E57B83" w:rsidRDefault="00E57B83" w:rsidP="00E57B83">
      <w:pPr>
        <w:pStyle w:val="NoSpacing"/>
        <w:rPr>
          <w:rFonts w:ascii="Times New Roman" w:hAnsi="Times New Roman" w:cs="Times New Roman"/>
          <w:sz w:val="24"/>
          <w:szCs w:val="24"/>
        </w:rPr>
      </w:pPr>
      <w:r w:rsidRPr="00F24E4A">
        <w:rPr>
          <w:rFonts w:ascii="Times New Roman" w:hAnsi="Times New Roman" w:cs="Times New Roman"/>
          <w:sz w:val="24"/>
          <w:szCs w:val="24"/>
        </w:rPr>
        <w:t>Source: Researchers’ Computation (202</w:t>
      </w:r>
      <w:r w:rsidR="00C85F28">
        <w:rPr>
          <w:rFonts w:ascii="Times New Roman" w:hAnsi="Times New Roman" w:cs="Times New Roman"/>
          <w:sz w:val="24"/>
          <w:szCs w:val="24"/>
        </w:rPr>
        <w:t>6</w:t>
      </w:r>
      <w:r w:rsidRPr="00F24E4A">
        <w:rPr>
          <w:rFonts w:ascii="Times New Roman" w:hAnsi="Times New Roman" w:cs="Times New Roman"/>
          <w:sz w:val="24"/>
          <w:szCs w:val="24"/>
        </w:rPr>
        <w:t>).</w:t>
      </w:r>
    </w:p>
    <w:p w14:paraId="31F352CB" w14:textId="77777777" w:rsidR="0054602B" w:rsidRPr="00F24E4A" w:rsidRDefault="0054602B" w:rsidP="00E57B83">
      <w:pPr>
        <w:pStyle w:val="NoSpacing"/>
        <w:rPr>
          <w:rFonts w:ascii="Times New Roman" w:hAnsi="Times New Roman" w:cs="Times New Roman"/>
          <w:sz w:val="24"/>
          <w:szCs w:val="24"/>
        </w:rPr>
      </w:pPr>
    </w:p>
    <w:p w14:paraId="5EBBF403" w14:textId="0DD48FCC" w:rsidR="00E57B83" w:rsidRPr="00D162A3" w:rsidRDefault="00E57B83" w:rsidP="00E57B83">
      <w:pPr>
        <w:spacing w:before="100" w:beforeAutospacing="1" w:after="100" w:afterAutospacing="1" w:line="240" w:lineRule="auto"/>
        <w:outlineLvl w:val="2"/>
        <w:rPr>
          <w:rFonts w:ascii="Times New Roman" w:eastAsia="Times New Roman" w:hAnsi="Times New Roman" w:cs="Times New Roman"/>
          <w:b/>
          <w:bCs/>
          <w:sz w:val="27"/>
          <w:szCs w:val="27"/>
        </w:rPr>
      </w:pPr>
      <w:r w:rsidRPr="00D162A3">
        <w:rPr>
          <w:rFonts w:ascii="Times New Roman" w:eastAsia="Times New Roman" w:hAnsi="Times New Roman" w:cs="Times New Roman"/>
          <w:b/>
          <w:bCs/>
          <w:sz w:val="27"/>
          <w:szCs w:val="27"/>
        </w:rPr>
        <w:t xml:space="preserve">Discussion </w:t>
      </w:r>
    </w:p>
    <w:p w14:paraId="1CF10BF0" w14:textId="0DAC1749" w:rsidR="00276ECA" w:rsidRPr="00276ECA" w:rsidRDefault="00276ECA" w:rsidP="003E3EFA">
      <w:pPr>
        <w:spacing w:before="100" w:beforeAutospacing="1" w:after="100" w:afterAutospacing="1" w:line="240" w:lineRule="auto"/>
        <w:jc w:val="both"/>
        <w:rPr>
          <w:rFonts w:ascii="Times New Roman" w:eastAsia="Times New Roman" w:hAnsi="Times New Roman" w:cs="Times New Roman"/>
          <w:sz w:val="24"/>
          <w:szCs w:val="24"/>
        </w:rPr>
      </w:pPr>
      <w:r w:rsidRPr="00276ECA">
        <w:rPr>
          <w:rFonts w:ascii="Times New Roman" w:eastAsia="Times New Roman" w:hAnsi="Times New Roman" w:cs="Times New Roman"/>
          <w:sz w:val="24"/>
          <w:szCs w:val="24"/>
        </w:rPr>
        <w:t>The findings of this study show that green accounting practices significantly influence the financial performance of listed manufacturing firms in Nigeria, particularly through environmental waste management and pollution control practices. The results indicate that firms that proactively invest in and disclose waste management initiatives experience improved financial outcomes. Waste Management Expenditure (WME) and Capital Investment in Waste Treatment Facilities (CIWTF) both demonstrated positive and statistically significant effects on Return on Assets (ROA), suggesting that investments in waste management enhance operational efficiency, regulatory compliance, and corporate reputation.</w:t>
      </w:r>
      <w:r>
        <w:rPr>
          <w:rFonts w:ascii="Times New Roman" w:eastAsia="Times New Roman" w:hAnsi="Times New Roman" w:cs="Times New Roman"/>
          <w:sz w:val="24"/>
          <w:szCs w:val="24"/>
        </w:rPr>
        <w:t xml:space="preserve"> </w:t>
      </w:r>
      <w:r w:rsidRPr="00276ECA">
        <w:rPr>
          <w:rFonts w:ascii="Times New Roman" w:eastAsia="Times New Roman" w:hAnsi="Times New Roman" w:cs="Times New Roman"/>
          <w:sz w:val="24"/>
          <w:szCs w:val="24"/>
        </w:rPr>
        <w:t>Similarly, environmental pollution control practices were found to positively affect financial performance. Pollution Control Expenditure (PCE) and Capital Expenditure on Pollution Control Equipment (CEPC) showed significant positive relationships with ROA, indicating that firms investing in pollution mitigation benefit financially through reduced environmental risks and improved stakeholder confidence.</w:t>
      </w:r>
      <w:r w:rsidR="00D06F27">
        <w:rPr>
          <w:rFonts w:ascii="Times New Roman" w:eastAsia="Times New Roman" w:hAnsi="Times New Roman" w:cs="Times New Roman"/>
          <w:sz w:val="24"/>
          <w:szCs w:val="24"/>
        </w:rPr>
        <w:t xml:space="preserve"> </w:t>
      </w:r>
      <w:r w:rsidRPr="00276ECA">
        <w:rPr>
          <w:rFonts w:ascii="Times New Roman" w:eastAsia="Times New Roman" w:hAnsi="Times New Roman" w:cs="Times New Roman"/>
          <w:sz w:val="24"/>
          <w:szCs w:val="24"/>
        </w:rPr>
        <w:t>Conversely, reactive environmental behavior reflected through regulatory fines and penalties negatively affected firm performance. Fines and Penalties for Waste Mismanagement (FPWM) and Environmental Regulatory Penalties (ERP) were found to reduce ROA, highlighting that delayed compliance and regulatory violations impose financial costs through penalties, reputational damage, and higher operational expenses. This contrast suggests that proactive environmental investments provide financial advantages, whereas reactive responses to environmental regulations undermine profitability.</w:t>
      </w:r>
    </w:p>
    <w:p w14:paraId="04686100" w14:textId="58542964" w:rsidR="00C85F28" w:rsidRPr="003E3EFA" w:rsidRDefault="00276ECA" w:rsidP="003E3EFA">
      <w:pPr>
        <w:jc w:val="both"/>
      </w:pPr>
      <w:r w:rsidRPr="00276ECA">
        <w:rPr>
          <w:rFonts w:ascii="Times New Roman" w:eastAsia="Times New Roman" w:hAnsi="Times New Roman" w:cs="Times New Roman"/>
          <w:sz w:val="24"/>
          <w:szCs w:val="24"/>
        </w:rPr>
        <w:lastRenderedPageBreak/>
        <w:t>Overall, the findings confirm that green accounting practices positively influence firm performance and highlight the strategic importance of environmental accountability in the Nigerian manufacturing sector. Firms that proactively integrate environmental investments into their operations are more likely to achieve regulatory compliance and long-term financial sustainability.</w:t>
      </w:r>
      <w:r>
        <w:rPr>
          <w:rFonts w:ascii="Times New Roman" w:eastAsia="Times New Roman" w:hAnsi="Times New Roman" w:cs="Times New Roman"/>
          <w:sz w:val="24"/>
          <w:szCs w:val="24"/>
        </w:rPr>
        <w:t xml:space="preserve"> </w:t>
      </w:r>
      <w:r w:rsidRPr="00276ECA">
        <w:rPr>
          <w:rFonts w:ascii="Times New Roman" w:eastAsia="Times New Roman" w:hAnsi="Times New Roman" w:cs="Times New Roman"/>
          <w:sz w:val="24"/>
          <w:szCs w:val="24"/>
        </w:rPr>
        <w:t>These results are consistent with prior studies such as</w:t>
      </w:r>
      <w:r w:rsidR="003E3EFA">
        <w:rPr>
          <w:rFonts w:ascii="Times New Roman" w:eastAsia="Times New Roman" w:hAnsi="Times New Roman" w:cs="Times New Roman"/>
          <w:sz w:val="24"/>
          <w:szCs w:val="24"/>
        </w:rPr>
        <w:t xml:space="preserve"> </w:t>
      </w:r>
      <w:r w:rsidR="003E3EFA" w:rsidRPr="003A62B7">
        <w:rPr>
          <w:rFonts w:ascii="Times New Roman" w:eastAsia="Times New Roman" w:hAnsi="Times New Roman" w:cs="Times New Roman"/>
          <w:sz w:val="24"/>
          <w:szCs w:val="24"/>
        </w:rPr>
        <w:t>Alabi</w:t>
      </w:r>
      <w:r w:rsidR="003E3EFA">
        <w:rPr>
          <w:rFonts w:ascii="Times New Roman" w:eastAsia="Times New Roman" w:hAnsi="Times New Roman" w:cs="Times New Roman"/>
        </w:rPr>
        <w:t xml:space="preserve"> et. al. </w:t>
      </w:r>
      <w:r w:rsidR="003E3EFA" w:rsidRPr="003A62B7">
        <w:rPr>
          <w:rFonts w:ascii="Times New Roman" w:eastAsia="Times New Roman" w:hAnsi="Times New Roman" w:cs="Times New Roman"/>
          <w:sz w:val="24"/>
          <w:szCs w:val="24"/>
        </w:rPr>
        <w:t xml:space="preserve"> (2024)</w:t>
      </w:r>
      <w:r w:rsidR="003E3EFA">
        <w:rPr>
          <w:rFonts w:ascii="Times New Roman" w:eastAsia="Times New Roman" w:hAnsi="Times New Roman" w:cs="Times New Roman"/>
        </w:rPr>
        <w:t xml:space="preserve">, </w:t>
      </w:r>
      <w:r w:rsidR="003E3EFA" w:rsidRPr="00EC6420">
        <w:rPr>
          <w:rFonts w:ascii="Times New Roman" w:eastAsia="Times New Roman" w:hAnsi="Times New Roman" w:cs="Times New Roman"/>
          <w:sz w:val="24"/>
          <w:szCs w:val="24"/>
        </w:rPr>
        <w:t xml:space="preserve">Tong, </w:t>
      </w:r>
      <w:r w:rsidR="003E3EFA">
        <w:rPr>
          <w:rFonts w:ascii="Times New Roman" w:eastAsia="Times New Roman" w:hAnsi="Times New Roman" w:cs="Times New Roman"/>
        </w:rPr>
        <w:t xml:space="preserve">et. al. </w:t>
      </w:r>
      <w:r w:rsidR="003E3EFA" w:rsidRPr="003A62B7">
        <w:rPr>
          <w:rFonts w:ascii="Times New Roman" w:eastAsia="Times New Roman" w:hAnsi="Times New Roman" w:cs="Times New Roman"/>
          <w:sz w:val="24"/>
          <w:szCs w:val="24"/>
        </w:rPr>
        <w:t xml:space="preserve"> (202</w:t>
      </w:r>
      <w:r w:rsidR="003E3EFA">
        <w:rPr>
          <w:rFonts w:ascii="Times New Roman" w:eastAsia="Times New Roman" w:hAnsi="Times New Roman" w:cs="Times New Roman"/>
        </w:rPr>
        <w:t>2</w:t>
      </w:r>
      <w:r w:rsidR="003E3EFA" w:rsidRPr="003A62B7">
        <w:rPr>
          <w:rFonts w:ascii="Times New Roman" w:eastAsia="Times New Roman" w:hAnsi="Times New Roman" w:cs="Times New Roman"/>
          <w:sz w:val="24"/>
          <w:szCs w:val="24"/>
        </w:rPr>
        <w:t>)</w:t>
      </w:r>
      <w:r w:rsidR="003E3EFA">
        <w:rPr>
          <w:rFonts w:ascii="Times New Roman" w:eastAsia="Times New Roman" w:hAnsi="Times New Roman" w:cs="Times New Roman"/>
        </w:rPr>
        <w:t xml:space="preserve">, </w:t>
      </w:r>
      <w:r w:rsidR="003E3EFA" w:rsidRPr="003805DD">
        <w:rPr>
          <w:rFonts w:ascii="Times New Roman" w:eastAsia="Times New Roman" w:hAnsi="Times New Roman" w:cs="Times New Roman"/>
          <w:sz w:val="24"/>
          <w:szCs w:val="24"/>
        </w:rPr>
        <w:t>Chukka</w:t>
      </w:r>
      <w:r w:rsidR="003E3EFA">
        <w:rPr>
          <w:rFonts w:ascii="Times New Roman" w:eastAsia="Times New Roman" w:hAnsi="Times New Roman" w:cs="Times New Roman"/>
        </w:rPr>
        <w:t xml:space="preserve"> et.al </w:t>
      </w:r>
      <w:r w:rsidR="003E3EFA" w:rsidRPr="003805DD">
        <w:rPr>
          <w:rFonts w:ascii="Times New Roman" w:eastAsia="Times New Roman" w:hAnsi="Times New Roman" w:cs="Times New Roman"/>
          <w:sz w:val="24"/>
          <w:szCs w:val="24"/>
        </w:rPr>
        <w:t>(2024</w:t>
      </w:r>
      <w:r w:rsidR="003E3EFA">
        <w:rPr>
          <w:rFonts w:ascii="Times New Roman" w:eastAsia="Times New Roman" w:hAnsi="Times New Roman" w:cs="Times New Roman"/>
        </w:rPr>
        <w:t xml:space="preserve">): </w:t>
      </w:r>
      <w:r w:rsidR="003E3EFA" w:rsidRPr="003805DD">
        <w:rPr>
          <w:rFonts w:ascii="Times New Roman" w:eastAsia="Times New Roman" w:hAnsi="Times New Roman" w:cs="Times New Roman"/>
          <w:sz w:val="24"/>
          <w:szCs w:val="24"/>
        </w:rPr>
        <w:t>Indriastuti</w:t>
      </w:r>
      <w:r w:rsidR="003E3EFA">
        <w:rPr>
          <w:rFonts w:ascii="Times New Roman" w:eastAsia="Times New Roman" w:hAnsi="Times New Roman" w:cs="Times New Roman"/>
        </w:rPr>
        <w:t xml:space="preserve"> et.al </w:t>
      </w:r>
      <w:r w:rsidR="003E3EFA" w:rsidRPr="003805DD">
        <w:rPr>
          <w:rFonts w:ascii="Times New Roman" w:eastAsia="Times New Roman" w:hAnsi="Times New Roman" w:cs="Times New Roman"/>
          <w:sz w:val="24"/>
          <w:szCs w:val="24"/>
        </w:rPr>
        <w:t>(2023)</w:t>
      </w:r>
      <w:r w:rsidR="003E3EFA">
        <w:rPr>
          <w:rFonts w:ascii="Times New Roman" w:eastAsia="Times New Roman" w:hAnsi="Times New Roman" w:cs="Times New Roman"/>
          <w:sz w:val="24"/>
          <w:szCs w:val="24"/>
        </w:rPr>
        <w:t xml:space="preserve"> </w:t>
      </w:r>
      <w:r w:rsidRPr="00276ECA">
        <w:rPr>
          <w:rFonts w:ascii="Times New Roman" w:eastAsia="Times New Roman" w:hAnsi="Times New Roman" w:cs="Times New Roman"/>
          <w:sz w:val="24"/>
          <w:szCs w:val="24"/>
        </w:rPr>
        <w:t>which emphasize the financial benefits of proactive environmental practices. The findings also support stakeholder and legitimacy theories, which argue that responsible environmental practices enhance stakeholder trust, maintain organizational legitimacy, and improve financial performance.</w:t>
      </w:r>
    </w:p>
    <w:p w14:paraId="1A036975" w14:textId="6C278D5A" w:rsidR="00276ECA" w:rsidRPr="000A03D2" w:rsidRDefault="000A03D2" w:rsidP="000A03D2">
      <w:pPr>
        <w:jc w:val="both"/>
        <w:rPr>
          <w:rFonts w:ascii="Times New Roman" w:hAnsi="Times New Roman" w:cs="Times New Roman"/>
        </w:rPr>
      </w:pPr>
      <w:r w:rsidRPr="000A03D2">
        <w:rPr>
          <w:rFonts w:ascii="Times New Roman" w:hAnsi="Times New Roman" w:cs="Times New Roman"/>
        </w:rPr>
        <w:t>However, the study is subject to certain limitations</w:t>
      </w:r>
      <w:r w:rsidR="00276ECA" w:rsidRPr="00A34780">
        <w:rPr>
          <w:rFonts w:ascii="Times New Roman" w:hAnsi="Times New Roman" w:cs="Times New Roman"/>
        </w:rPr>
        <w:t>. Specifically, the sample size was limited to ten (10) manufacturing firms out of the sixty-five (65) firms listed on the Nigerian Exchange Group (NGX). This restriction arose due to issues of accessibility and the availability of complete and uninterrupted financial and environmental data over the fifteen-year period (201</w:t>
      </w:r>
      <w:r w:rsidR="00CD0E0D">
        <w:rPr>
          <w:rFonts w:ascii="Times New Roman" w:hAnsi="Times New Roman" w:cs="Times New Roman"/>
        </w:rPr>
        <w:t>1</w:t>
      </w:r>
      <w:r w:rsidR="00276ECA" w:rsidRPr="00A34780">
        <w:rPr>
          <w:rFonts w:ascii="Times New Roman" w:hAnsi="Times New Roman" w:cs="Times New Roman"/>
        </w:rPr>
        <w:t xml:space="preserve">–2025). Many listed firms did not consistently disclose environmental-related expenditures or lacked comprehensive financial records for the entire study period, which made their inclusion impractical for panel analysis. Although the selected firms provided reliable longitudinal data suitable for robust econometric analysis. </w:t>
      </w:r>
    </w:p>
    <w:p w14:paraId="68AFAA3D" w14:textId="7D993D06" w:rsidR="00E57B83" w:rsidRPr="00C85F28" w:rsidRDefault="00C85F28" w:rsidP="00E57B8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5. </w:t>
      </w:r>
      <w:r w:rsidR="00E57B83" w:rsidRPr="003C6796">
        <w:rPr>
          <w:rFonts w:ascii="Times New Roman" w:eastAsia="Times New Roman" w:hAnsi="Times New Roman" w:cs="Times New Roman"/>
          <w:b/>
          <w:sz w:val="24"/>
          <w:szCs w:val="24"/>
        </w:rPr>
        <w:t>Conclusion</w:t>
      </w:r>
      <w:r>
        <w:rPr>
          <w:rFonts w:ascii="Times New Roman" w:eastAsia="Times New Roman" w:hAnsi="Times New Roman" w:cs="Times New Roman"/>
          <w:b/>
          <w:sz w:val="24"/>
          <w:szCs w:val="24"/>
        </w:rPr>
        <w:t xml:space="preserve"> and </w:t>
      </w:r>
      <w:r w:rsidRPr="003C6796">
        <w:rPr>
          <w:rFonts w:ascii="Times New Roman" w:eastAsia="Times New Roman" w:hAnsi="Times New Roman" w:cs="Times New Roman"/>
          <w:b/>
          <w:bCs/>
          <w:sz w:val="24"/>
          <w:szCs w:val="24"/>
        </w:rPr>
        <w:t>Recommendations</w:t>
      </w:r>
    </w:p>
    <w:p w14:paraId="19450261" w14:textId="023E649A" w:rsidR="00E57B83" w:rsidRPr="003C6796" w:rsidRDefault="00C85F28" w:rsidP="00E57B83">
      <w:pPr>
        <w:spacing w:before="100" w:beforeAutospacing="1" w:after="100" w:afterAutospacing="1" w:line="240" w:lineRule="auto"/>
        <w:jc w:val="both"/>
        <w:rPr>
          <w:rFonts w:ascii="Times New Roman" w:eastAsia="Times New Roman" w:hAnsi="Times New Roman" w:cs="Times New Roman"/>
          <w:sz w:val="24"/>
          <w:szCs w:val="24"/>
        </w:rPr>
      </w:pPr>
      <w:r w:rsidRPr="00C85F28">
        <w:rPr>
          <w:rFonts w:ascii="Times New Roman" w:eastAsia="Times New Roman" w:hAnsi="Times New Roman" w:cs="Times New Roman"/>
          <w:sz w:val="24"/>
          <w:szCs w:val="24"/>
        </w:rPr>
        <w:t>The study concludes that strategic investments in environmental sustainability significantly enhance the financial performance of listed manufacturing firms. Empirical evidence indicates that expenditures on waste management and capital investments in waste treatment facilities exert positive and statistically significant effects on Return on Assets (ROA). Likewise, pollution control expenditure and capital investment in pollution control equipment demonstrate a positive association with firm profitability. These findings affirm that proactive environmental practices extend beyond regulatory compliance and function as value-creating strategic assets that strengthen operational efficiency and long-term financial outcomes</w:t>
      </w:r>
      <w:r>
        <w:rPr>
          <w:rFonts w:ascii="Times New Roman" w:eastAsia="Times New Roman" w:hAnsi="Times New Roman" w:cs="Times New Roman"/>
          <w:sz w:val="24"/>
          <w:szCs w:val="24"/>
        </w:rPr>
        <w:t xml:space="preserve">. </w:t>
      </w:r>
      <w:r w:rsidRPr="00C85F28">
        <w:rPr>
          <w:rFonts w:ascii="Times New Roman" w:eastAsia="Times New Roman" w:hAnsi="Times New Roman" w:cs="Times New Roman"/>
          <w:sz w:val="24"/>
          <w:szCs w:val="24"/>
        </w:rPr>
        <w:t xml:space="preserve">In light of these conclusions, the following </w:t>
      </w:r>
      <w:r w:rsidR="00E57B83" w:rsidRPr="003C6796">
        <w:rPr>
          <w:rFonts w:ascii="Times New Roman" w:eastAsia="Times New Roman" w:hAnsi="Times New Roman" w:cs="Times New Roman"/>
          <w:sz w:val="24"/>
          <w:szCs w:val="24"/>
        </w:rPr>
        <w:t>recommendations are proposed:</w:t>
      </w:r>
    </w:p>
    <w:p w14:paraId="07790F25" w14:textId="2FE8A45F" w:rsidR="00E57B83" w:rsidRPr="003C6796" w:rsidRDefault="00E57B83" w:rsidP="003805DD">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C6796">
        <w:rPr>
          <w:rFonts w:ascii="Times New Roman" w:eastAsia="Times New Roman" w:hAnsi="Times New Roman" w:cs="Times New Roman"/>
          <w:sz w:val="24"/>
          <w:szCs w:val="24"/>
        </w:rPr>
        <w:t>Regulatory bodies such as the Financial Reporting Council of Nigeria (FRCN) and the Securities and Exchange Commission (SEC) should establish and enforce mandatory guidelines for enviro</w:t>
      </w:r>
      <w:r w:rsidR="003805DD">
        <w:rPr>
          <w:rFonts w:ascii="Times New Roman" w:eastAsia="Times New Roman" w:hAnsi="Times New Roman" w:cs="Times New Roman"/>
          <w:sz w:val="24"/>
          <w:szCs w:val="24"/>
        </w:rPr>
        <w:t xml:space="preserve">nmental accounting </w:t>
      </w:r>
      <w:r w:rsidR="001E4E58">
        <w:rPr>
          <w:rFonts w:ascii="Times New Roman" w:eastAsia="Times New Roman" w:hAnsi="Times New Roman" w:cs="Times New Roman"/>
          <w:sz w:val="24"/>
          <w:szCs w:val="24"/>
        </w:rPr>
        <w:t xml:space="preserve"> practice</w:t>
      </w:r>
      <w:r w:rsidR="003805DD">
        <w:rPr>
          <w:rFonts w:ascii="Times New Roman" w:eastAsia="Times New Roman" w:hAnsi="Times New Roman" w:cs="Times New Roman"/>
          <w:sz w:val="24"/>
          <w:szCs w:val="24"/>
        </w:rPr>
        <w:t>s, as c</w:t>
      </w:r>
      <w:r w:rsidRPr="003C6796">
        <w:rPr>
          <w:rFonts w:ascii="Times New Roman" w:eastAsia="Times New Roman" w:hAnsi="Times New Roman" w:cs="Times New Roman"/>
          <w:sz w:val="24"/>
          <w:szCs w:val="24"/>
        </w:rPr>
        <w:t>lear standards</w:t>
      </w:r>
      <w:r w:rsidR="00C85F28">
        <w:rPr>
          <w:rFonts w:ascii="Times New Roman" w:eastAsia="Times New Roman" w:hAnsi="Times New Roman" w:cs="Times New Roman"/>
          <w:sz w:val="24"/>
          <w:szCs w:val="24"/>
        </w:rPr>
        <w:t xml:space="preserve"> to</w:t>
      </w:r>
      <w:r w:rsidRPr="003C6796">
        <w:rPr>
          <w:rFonts w:ascii="Times New Roman" w:eastAsia="Times New Roman" w:hAnsi="Times New Roman" w:cs="Times New Roman"/>
          <w:sz w:val="24"/>
          <w:szCs w:val="24"/>
        </w:rPr>
        <w:t xml:space="preserve"> </w:t>
      </w:r>
      <w:r w:rsidR="003805DD">
        <w:rPr>
          <w:rFonts w:ascii="Times New Roman" w:eastAsia="Times New Roman" w:hAnsi="Times New Roman" w:cs="Times New Roman"/>
          <w:sz w:val="24"/>
          <w:szCs w:val="24"/>
        </w:rPr>
        <w:t xml:space="preserve">enhance </w:t>
      </w:r>
      <w:r w:rsidRPr="003C6796">
        <w:rPr>
          <w:rFonts w:ascii="Times New Roman" w:eastAsia="Times New Roman" w:hAnsi="Times New Roman" w:cs="Times New Roman"/>
          <w:sz w:val="24"/>
          <w:szCs w:val="24"/>
        </w:rPr>
        <w:t xml:space="preserve"> consistency, transparency, and comparability across firms.</w:t>
      </w:r>
    </w:p>
    <w:p w14:paraId="4A46B1FE" w14:textId="77777777" w:rsidR="00E57B83" w:rsidRPr="003C6796" w:rsidRDefault="00E57B83" w:rsidP="003805DD">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C6796">
        <w:rPr>
          <w:rFonts w:ascii="Times New Roman" w:eastAsia="Times New Roman" w:hAnsi="Times New Roman" w:cs="Times New Roman"/>
          <w:sz w:val="24"/>
          <w:szCs w:val="24"/>
        </w:rPr>
        <w:t>Manufacturing companies should integrate environmental considerations into their strategic planning by prioritizing sustainable investments in waste management and pollution control, as these have been empirically shown to improve financial performance.</w:t>
      </w:r>
    </w:p>
    <w:p w14:paraId="152735EB" w14:textId="77777777" w:rsidR="00E57B83" w:rsidRPr="003C6796" w:rsidRDefault="00E57B83" w:rsidP="003805DD">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C6796">
        <w:rPr>
          <w:rFonts w:ascii="Times New Roman" w:eastAsia="Times New Roman" w:hAnsi="Times New Roman" w:cs="Times New Roman"/>
          <w:sz w:val="24"/>
          <w:szCs w:val="24"/>
        </w:rPr>
        <w:t>Government and financial institutions should provide tax reliefs, subsidies, or low-interest financing options to firms that invest in environmentally friendly technologies and infrastructure, thereby encouraging wider adoption of green practices.</w:t>
      </w:r>
    </w:p>
    <w:p w14:paraId="308B9D65" w14:textId="77777777" w:rsidR="00E57B83" w:rsidRPr="003C6796" w:rsidRDefault="00E57B83" w:rsidP="003805DD">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C6796">
        <w:rPr>
          <w:rFonts w:ascii="Times New Roman" w:eastAsia="Times New Roman" w:hAnsi="Times New Roman" w:cs="Times New Roman"/>
          <w:sz w:val="24"/>
          <w:szCs w:val="24"/>
        </w:rPr>
        <w:t>Companies should actively communicate their environmental initiatives and performance to stakeholders, including investors and the public, to build trust, improve corporate image, and attract sustainability-oriented capital.</w:t>
      </w:r>
    </w:p>
    <w:p w14:paraId="182EBD44" w14:textId="77777777" w:rsidR="00CA01AE" w:rsidRDefault="00CA01AE" w:rsidP="00E57B83">
      <w:pPr>
        <w:spacing w:before="100" w:beforeAutospacing="1" w:after="100" w:afterAutospacing="1" w:line="240" w:lineRule="auto"/>
        <w:jc w:val="both"/>
        <w:rPr>
          <w:rFonts w:ascii="Times New Roman" w:eastAsia="Times New Roman" w:hAnsi="Times New Roman" w:cs="Times New Roman"/>
          <w:b/>
          <w:sz w:val="24"/>
          <w:szCs w:val="24"/>
        </w:rPr>
      </w:pPr>
    </w:p>
    <w:p w14:paraId="589D7936" w14:textId="77777777" w:rsidR="00CA01AE" w:rsidRDefault="00CA01AE" w:rsidP="00E57B83">
      <w:pPr>
        <w:spacing w:before="100" w:beforeAutospacing="1" w:after="100" w:afterAutospacing="1" w:line="240" w:lineRule="auto"/>
        <w:jc w:val="both"/>
        <w:rPr>
          <w:rFonts w:ascii="Times New Roman" w:eastAsia="Times New Roman" w:hAnsi="Times New Roman" w:cs="Times New Roman"/>
          <w:b/>
          <w:sz w:val="24"/>
          <w:szCs w:val="24"/>
        </w:rPr>
      </w:pPr>
    </w:p>
    <w:p w14:paraId="4D6B55BE" w14:textId="77777777" w:rsidR="00CA01AE" w:rsidRPr="00CA01AE" w:rsidRDefault="00CA01AE" w:rsidP="00CA01AE">
      <w:pPr>
        <w:spacing w:before="100" w:beforeAutospacing="1" w:after="100" w:afterAutospacing="1" w:line="240" w:lineRule="auto"/>
        <w:jc w:val="both"/>
        <w:rPr>
          <w:rFonts w:ascii="Times New Roman" w:eastAsia="Times New Roman" w:hAnsi="Times New Roman" w:cs="Times New Roman"/>
          <w:b/>
          <w:sz w:val="24"/>
          <w:szCs w:val="24"/>
        </w:rPr>
      </w:pPr>
      <w:r w:rsidRPr="00CA01AE">
        <w:rPr>
          <w:rFonts w:ascii="Times New Roman" w:eastAsia="Times New Roman" w:hAnsi="Times New Roman" w:cs="Times New Roman"/>
          <w:b/>
          <w:sz w:val="24"/>
          <w:szCs w:val="24"/>
        </w:rPr>
        <w:t>Disclaimer (Artificial intelligence)</w:t>
      </w:r>
    </w:p>
    <w:p w14:paraId="2B591E17" w14:textId="0FDEBA61" w:rsidR="00CA01AE" w:rsidRPr="00CA01AE" w:rsidRDefault="00CA01AE" w:rsidP="00CA01AE">
      <w:pPr>
        <w:spacing w:before="100" w:beforeAutospacing="1" w:after="100" w:afterAutospacing="1" w:line="240" w:lineRule="auto"/>
        <w:jc w:val="both"/>
        <w:rPr>
          <w:rFonts w:ascii="Times New Roman" w:eastAsia="Times New Roman" w:hAnsi="Times New Roman" w:cs="Times New Roman"/>
          <w:sz w:val="24"/>
          <w:szCs w:val="24"/>
        </w:rPr>
      </w:pPr>
      <w:r w:rsidRPr="00CA01AE">
        <w:rPr>
          <w:rFonts w:ascii="Times New Roman" w:eastAsia="Times New Roman" w:hAnsi="Times New Roman" w:cs="Times New Roman"/>
          <w:sz w:val="24"/>
          <w:szCs w:val="24"/>
        </w:rPr>
        <w:t>Author(s) hereby declare that NO generative AI technologies such as Large Language Models (</w:t>
      </w:r>
      <w:proofErr w:type="spellStart"/>
      <w:r w:rsidRPr="00CA01AE">
        <w:rPr>
          <w:rFonts w:ascii="Times New Roman" w:eastAsia="Times New Roman" w:hAnsi="Times New Roman" w:cs="Times New Roman"/>
          <w:sz w:val="24"/>
          <w:szCs w:val="24"/>
        </w:rPr>
        <w:t>ChatGPT</w:t>
      </w:r>
      <w:proofErr w:type="spellEnd"/>
      <w:r w:rsidRPr="00CA01AE">
        <w:rPr>
          <w:rFonts w:ascii="Times New Roman" w:eastAsia="Times New Roman" w:hAnsi="Times New Roman" w:cs="Times New Roman"/>
          <w:sz w:val="24"/>
          <w:szCs w:val="24"/>
        </w:rPr>
        <w:t>, COPILOT, etc.) and text-to-image generators have been used during the writing or editing of this manuscript.</w:t>
      </w:r>
    </w:p>
    <w:p w14:paraId="0F2793B4" w14:textId="77777777" w:rsidR="00CA01AE" w:rsidRDefault="00CA01AE" w:rsidP="00E57B83">
      <w:pPr>
        <w:spacing w:before="100" w:beforeAutospacing="1" w:after="100" w:afterAutospacing="1" w:line="240" w:lineRule="auto"/>
        <w:jc w:val="both"/>
        <w:rPr>
          <w:rFonts w:ascii="Times New Roman" w:eastAsia="Times New Roman" w:hAnsi="Times New Roman" w:cs="Times New Roman"/>
          <w:b/>
          <w:sz w:val="24"/>
          <w:szCs w:val="24"/>
        </w:rPr>
      </w:pPr>
    </w:p>
    <w:p w14:paraId="7721F3EB" w14:textId="14E42336" w:rsidR="00E57B83" w:rsidRPr="00104CE5" w:rsidRDefault="00E57B83" w:rsidP="00E57B83">
      <w:pPr>
        <w:spacing w:before="100" w:beforeAutospacing="1" w:after="100" w:afterAutospacing="1" w:line="240" w:lineRule="auto"/>
        <w:jc w:val="both"/>
        <w:rPr>
          <w:rFonts w:ascii="Times New Roman" w:eastAsia="Times New Roman" w:hAnsi="Times New Roman" w:cs="Times New Roman"/>
          <w:b/>
          <w:sz w:val="24"/>
          <w:szCs w:val="24"/>
        </w:rPr>
      </w:pPr>
      <w:r w:rsidRPr="00104CE5">
        <w:rPr>
          <w:rFonts w:ascii="Times New Roman" w:eastAsia="Times New Roman" w:hAnsi="Times New Roman" w:cs="Times New Roman"/>
          <w:b/>
          <w:sz w:val="24"/>
          <w:szCs w:val="24"/>
        </w:rPr>
        <w:t>References</w:t>
      </w:r>
      <w:bookmarkStart w:id="0" w:name="_GoBack"/>
      <w:bookmarkEnd w:id="0"/>
    </w:p>
    <w:p w14:paraId="5D515C36" w14:textId="154B6BD8" w:rsidR="00D60357" w:rsidRDefault="00D60357" w:rsidP="003805DD">
      <w:pPr>
        <w:pBdr>
          <w:bottom w:val="single" w:sz="6" w:space="1" w:color="auto"/>
        </w:pBdr>
        <w:spacing w:after="0" w:line="240" w:lineRule="auto"/>
        <w:jc w:val="both"/>
        <w:rPr>
          <w:rFonts w:ascii="Times New Roman" w:eastAsia="Times New Roman" w:hAnsi="Times New Roman" w:cs="Times New Roman"/>
          <w:b/>
          <w:sz w:val="24"/>
          <w:szCs w:val="24"/>
        </w:rPr>
      </w:pPr>
    </w:p>
    <w:p w14:paraId="09750A59" w14:textId="77777777" w:rsidR="00D60357" w:rsidRPr="003805DD" w:rsidRDefault="00D60357" w:rsidP="003805DD">
      <w:pPr>
        <w:pBdr>
          <w:bottom w:val="single" w:sz="6" w:space="1" w:color="auto"/>
        </w:pBdr>
        <w:spacing w:after="0" w:line="240" w:lineRule="auto"/>
        <w:jc w:val="both"/>
        <w:rPr>
          <w:rFonts w:ascii="Times New Roman" w:eastAsia="Times New Roman" w:hAnsi="Times New Roman" w:cs="Times New Roman"/>
          <w:b/>
          <w:vanish/>
          <w:sz w:val="24"/>
          <w:szCs w:val="24"/>
        </w:rPr>
      </w:pPr>
    </w:p>
    <w:p w14:paraId="0B75186D" w14:textId="77777777" w:rsidR="00E57B83" w:rsidRPr="003805DD" w:rsidRDefault="00E57B83" w:rsidP="003805DD">
      <w:pPr>
        <w:pBdr>
          <w:top w:val="single" w:sz="6" w:space="1" w:color="auto"/>
        </w:pBdr>
        <w:spacing w:after="0" w:line="240" w:lineRule="auto"/>
        <w:jc w:val="both"/>
        <w:rPr>
          <w:rFonts w:ascii="Times New Roman" w:eastAsia="Times New Roman" w:hAnsi="Times New Roman" w:cs="Times New Roman"/>
          <w:b/>
          <w:vanish/>
          <w:sz w:val="24"/>
          <w:szCs w:val="24"/>
        </w:rPr>
      </w:pPr>
      <w:r w:rsidRPr="003805DD">
        <w:rPr>
          <w:rFonts w:ascii="Times New Roman" w:eastAsia="Times New Roman" w:hAnsi="Times New Roman" w:cs="Times New Roman"/>
          <w:b/>
          <w:vanish/>
          <w:sz w:val="24"/>
          <w:szCs w:val="24"/>
        </w:rPr>
        <w:t>Bottom of Form</w:t>
      </w:r>
    </w:p>
    <w:p w14:paraId="2636D78E"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ACCA. (2023). </w:t>
      </w:r>
      <w:r w:rsidRPr="003805DD">
        <w:rPr>
          <w:rFonts w:ascii="Times New Roman" w:eastAsia="Times New Roman" w:hAnsi="Times New Roman" w:cs="Times New Roman"/>
          <w:i/>
          <w:iCs/>
          <w:sz w:val="24"/>
          <w:szCs w:val="24"/>
        </w:rPr>
        <w:t>Financial performance indicators and corporate reporting</w:t>
      </w:r>
      <w:r w:rsidRPr="003805DD">
        <w:rPr>
          <w:rFonts w:ascii="Times New Roman" w:eastAsia="Times New Roman" w:hAnsi="Times New Roman" w:cs="Times New Roman"/>
          <w:sz w:val="24"/>
          <w:szCs w:val="24"/>
        </w:rPr>
        <w:t>. Association of Chartered Certified Accountants.</w:t>
      </w:r>
    </w:p>
    <w:p w14:paraId="20F820C7"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Achmad Bagraff, H., &amp; Ahsan, M. (2024). Green accounting, financial performance, and company value: A bibliometric study. </w:t>
      </w:r>
      <w:r w:rsidRPr="003805DD">
        <w:rPr>
          <w:rFonts w:ascii="Times New Roman" w:eastAsia="Times New Roman" w:hAnsi="Times New Roman" w:cs="Times New Roman"/>
          <w:i/>
          <w:iCs/>
          <w:sz w:val="24"/>
          <w:szCs w:val="24"/>
        </w:rPr>
        <w:t>International Journal of Current Science Research and Review, 7</w:t>
      </w:r>
      <w:r w:rsidRPr="003805DD">
        <w:rPr>
          <w:rFonts w:ascii="Times New Roman" w:eastAsia="Times New Roman" w:hAnsi="Times New Roman" w:cs="Times New Roman"/>
          <w:sz w:val="24"/>
          <w:szCs w:val="24"/>
        </w:rPr>
        <w:t xml:space="preserve">(6). </w:t>
      </w:r>
      <w:hyperlink r:id="rId5" w:tgtFrame="_new" w:history="1">
        <w:r w:rsidRPr="003805DD">
          <w:rPr>
            <w:rFonts w:ascii="Times New Roman" w:eastAsia="Times New Roman" w:hAnsi="Times New Roman" w:cs="Times New Roman"/>
            <w:color w:val="0000FF"/>
            <w:sz w:val="24"/>
            <w:szCs w:val="24"/>
            <w:u w:val="single"/>
          </w:rPr>
          <w:t>https://scispace.com/papers/green-accounting-financial-performance-and-company-value-a-3rbdzqolkz</w:t>
        </w:r>
      </w:hyperlink>
    </w:p>
    <w:p w14:paraId="6A0E42FD" w14:textId="1766A53D" w:rsidR="00E57B83" w:rsidRPr="003805DD" w:rsidRDefault="00D25BE3" w:rsidP="003805DD">
      <w:pPr>
        <w:spacing w:after="0" w:line="240" w:lineRule="auto"/>
        <w:ind w:left="720" w:hanging="720"/>
        <w:jc w:val="both"/>
        <w:rPr>
          <w:rFonts w:ascii="Times New Roman" w:eastAsia="Times New Roman" w:hAnsi="Times New Roman" w:cs="Times New Roman"/>
          <w:sz w:val="24"/>
          <w:szCs w:val="24"/>
        </w:rPr>
      </w:pPr>
      <w:r w:rsidRPr="00D25BE3">
        <w:rPr>
          <w:rFonts w:ascii="Times New Roman" w:eastAsia="Times New Roman" w:hAnsi="Times New Roman" w:cs="Times New Roman"/>
          <w:sz w:val="24"/>
          <w:szCs w:val="24"/>
        </w:rPr>
        <w:t xml:space="preserve">Roman, M. (2022). </w:t>
      </w:r>
      <w:r w:rsidRPr="00D25BE3">
        <w:rPr>
          <w:rFonts w:ascii="Times New Roman" w:eastAsia="Times New Roman" w:hAnsi="Times New Roman" w:cs="Times New Roman"/>
          <w:i/>
          <w:iCs/>
          <w:sz w:val="24"/>
          <w:szCs w:val="24"/>
        </w:rPr>
        <w:t>Sustainable transport: A state-of-the-art literature review</w:t>
      </w:r>
      <w:r w:rsidRPr="00D25BE3">
        <w:rPr>
          <w:rFonts w:ascii="Times New Roman" w:eastAsia="Times New Roman" w:hAnsi="Times New Roman" w:cs="Times New Roman"/>
          <w:sz w:val="24"/>
          <w:szCs w:val="24"/>
        </w:rPr>
        <w:t xml:space="preserve">. </w:t>
      </w:r>
      <w:r w:rsidRPr="00D25BE3">
        <w:rPr>
          <w:rFonts w:ascii="Times New Roman" w:eastAsia="Times New Roman" w:hAnsi="Times New Roman" w:cs="Times New Roman"/>
          <w:b/>
          <w:bCs/>
          <w:sz w:val="24"/>
          <w:szCs w:val="24"/>
        </w:rPr>
        <w:t>Energies, 15</w:t>
      </w:r>
      <w:r w:rsidRPr="00D25BE3">
        <w:rPr>
          <w:rFonts w:ascii="Times New Roman" w:eastAsia="Times New Roman" w:hAnsi="Times New Roman" w:cs="Times New Roman"/>
          <w:sz w:val="24"/>
          <w:szCs w:val="24"/>
        </w:rPr>
        <w:t>(23), 8997. https://doi.org/10.3390/en15248997</w:t>
      </w:r>
      <w:r w:rsidR="00E57B83" w:rsidRPr="003805DD">
        <w:rPr>
          <w:rFonts w:ascii="Times New Roman" w:eastAsia="Times New Roman" w:hAnsi="Times New Roman" w:cs="Times New Roman"/>
          <w:sz w:val="24"/>
          <w:szCs w:val="24"/>
        </w:rPr>
        <w:t>.</w:t>
      </w:r>
    </w:p>
    <w:p w14:paraId="402CD5CD"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Adebayo, I. T., &amp; </w:t>
      </w:r>
      <w:proofErr w:type="spellStart"/>
      <w:r w:rsidRPr="003805DD">
        <w:rPr>
          <w:rFonts w:ascii="Times New Roman" w:eastAsia="Times New Roman" w:hAnsi="Times New Roman" w:cs="Times New Roman"/>
          <w:sz w:val="24"/>
          <w:szCs w:val="24"/>
        </w:rPr>
        <w:t>Aworemi</w:t>
      </w:r>
      <w:proofErr w:type="spellEnd"/>
      <w:r w:rsidRPr="003805DD">
        <w:rPr>
          <w:rFonts w:ascii="Times New Roman" w:eastAsia="Times New Roman" w:hAnsi="Times New Roman" w:cs="Times New Roman"/>
          <w:sz w:val="24"/>
          <w:szCs w:val="24"/>
        </w:rPr>
        <w:t xml:space="preserve">, J. R. (2021, August). Transport management practices and firms’ performance in Nigeria. In </w:t>
      </w:r>
      <w:r w:rsidRPr="003805DD">
        <w:rPr>
          <w:rFonts w:ascii="Times New Roman" w:eastAsia="Times New Roman" w:hAnsi="Times New Roman" w:cs="Times New Roman"/>
          <w:i/>
          <w:iCs/>
          <w:sz w:val="24"/>
          <w:szCs w:val="24"/>
        </w:rPr>
        <w:t>Proceedings of the International Conference on Industrial Engineering and Operations Management</w:t>
      </w:r>
      <w:r w:rsidRPr="003805DD">
        <w:rPr>
          <w:rFonts w:ascii="Times New Roman" w:eastAsia="Times New Roman" w:hAnsi="Times New Roman" w:cs="Times New Roman"/>
          <w:sz w:val="24"/>
          <w:szCs w:val="24"/>
        </w:rPr>
        <w:t>, Rome, Italy, 2(3), 2–5.</w:t>
      </w:r>
    </w:p>
    <w:p w14:paraId="784EE3FB" w14:textId="7BC62193" w:rsidR="00D25BE3" w:rsidRDefault="00D25BE3" w:rsidP="003805DD">
      <w:pPr>
        <w:spacing w:after="0" w:line="240" w:lineRule="auto"/>
        <w:ind w:left="720" w:hanging="720"/>
        <w:jc w:val="both"/>
        <w:rPr>
          <w:rFonts w:ascii="Times New Roman" w:eastAsia="Times New Roman" w:hAnsi="Times New Roman" w:cs="Times New Roman"/>
          <w:sz w:val="24"/>
          <w:szCs w:val="24"/>
        </w:rPr>
      </w:pPr>
      <w:r w:rsidRPr="00D25BE3">
        <w:rPr>
          <w:rFonts w:ascii="Times New Roman" w:eastAsia="Times New Roman" w:hAnsi="Times New Roman" w:cs="Times New Roman"/>
          <w:sz w:val="24"/>
          <w:szCs w:val="24"/>
        </w:rPr>
        <w:t xml:space="preserve">Bashir, R., Chishti, M. F., Khan, I., </w:t>
      </w:r>
      <w:proofErr w:type="spellStart"/>
      <w:r w:rsidRPr="00D25BE3">
        <w:rPr>
          <w:rFonts w:ascii="Times New Roman" w:eastAsia="Times New Roman" w:hAnsi="Times New Roman" w:cs="Times New Roman"/>
          <w:sz w:val="24"/>
          <w:szCs w:val="24"/>
        </w:rPr>
        <w:t>Ghouri</w:t>
      </w:r>
      <w:proofErr w:type="spellEnd"/>
      <w:r w:rsidRPr="00D25BE3">
        <w:rPr>
          <w:rFonts w:ascii="Times New Roman" w:eastAsia="Times New Roman" w:hAnsi="Times New Roman" w:cs="Times New Roman"/>
          <w:sz w:val="24"/>
          <w:szCs w:val="24"/>
        </w:rPr>
        <w:t xml:space="preserve">, A. M., &amp; Rehman, M. (2025). </w:t>
      </w:r>
      <w:r w:rsidRPr="00D25BE3">
        <w:rPr>
          <w:rFonts w:ascii="Times New Roman" w:eastAsia="Times New Roman" w:hAnsi="Times New Roman" w:cs="Times New Roman"/>
          <w:i/>
          <w:iCs/>
          <w:sz w:val="24"/>
          <w:szCs w:val="24"/>
        </w:rPr>
        <w:t>The role of environmental, social and governance practices and green innovation in enhancing firm financial performance.</w:t>
      </w:r>
      <w:r w:rsidRPr="00D25BE3">
        <w:rPr>
          <w:rFonts w:ascii="Times New Roman" w:eastAsia="Times New Roman" w:hAnsi="Times New Roman" w:cs="Times New Roman"/>
          <w:sz w:val="24"/>
          <w:szCs w:val="24"/>
        </w:rPr>
        <w:t xml:space="preserve"> </w:t>
      </w:r>
      <w:r w:rsidRPr="00D25BE3">
        <w:rPr>
          <w:rFonts w:ascii="Times New Roman" w:eastAsia="Times New Roman" w:hAnsi="Times New Roman" w:cs="Times New Roman"/>
          <w:b/>
          <w:bCs/>
          <w:sz w:val="24"/>
          <w:szCs w:val="24"/>
        </w:rPr>
        <w:t>Discover Sustainability, 6</w:t>
      </w:r>
      <w:r w:rsidRPr="00D25BE3">
        <w:rPr>
          <w:rFonts w:ascii="Times New Roman" w:eastAsia="Times New Roman" w:hAnsi="Times New Roman" w:cs="Times New Roman"/>
          <w:sz w:val="24"/>
          <w:szCs w:val="24"/>
        </w:rPr>
        <w:t xml:space="preserve">, 1445. </w:t>
      </w:r>
      <w:hyperlink r:id="rId6" w:history="1">
        <w:r w:rsidRPr="005B0CD8">
          <w:rPr>
            <w:rStyle w:val="Hyperlink"/>
            <w:rFonts w:ascii="Times New Roman" w:eastAsia="Times New Roman" w:hAnsi="Times New Roman" w:cs="Times New Roman"/>
            <w:sz w:val="24"/>
            <w:szCs w:val="24"/>
          </w:rPr>
          <w:t>https://doi.org/10.1007/s43621</w:t>
        </w:r>
        <w:r w:rsidRPr="005B0CD8">
          <w:rPr>
            <w:rStyle w:val="Hyperlink"/>
            <w:rFonts w:ascii="Times New Roman" w:eastAsia="Times New Roman" w:hAnsi="Times New Roman" w:cs="Times New Roman"/>
            <w:sz w:val="24"/>
            <w:szCs w:val="24"/>
          </w:rPr>
          <w:noBreakHyphen/>
          <w:t>025</w:t>
        </w:r>
        <w:r w:rsidRPr="005B0CD8">
          <w:rPr>
            <w:rStyle w:val="Hyperlink"/>
            <w:rFonts w:ascii="Times New Roman" w:eastAsia="Times New Roman" w:hAnsi="Times New Roman" w:cs="Times New Roman"/>
            <w:sz w:val="24"/>
            <w:szCs w:val="24"/>
          </w:rPr>
          <w:noBreakHyphen/>
          <w:t>02246</w:t>
        </w:r>
        <w:r w:rsidRPr="005B0CD8">
          <w:rPr>
            <w:rStyle w:val="Hyperlink"/>
            <w:rFonts w:ascii="Times New Roman" w:eastAsia="Times New Roman" w:hAnsi="Times New Roman" w:cs="Times New Roman"/>
            <w:sz w:val="24"/>
            <w:szCs w:val="24"/>
          </w:rPr>
          <w:noBreakHyphen/>
          <w:t>x</w:t>
        </w:r>
      </w:hyperlink>
    </w:p>
    <w:p w14:paraId="6CE185E5" w14:textId="05900D39" w:rsidR="00E57B83" w:rsidRPr="003805DD" w:rsidRDefault="00E57B83" w:rsidP="00D25BE3">
      <w:pPr>
        <w:spacing w:after="0" w:line="240" w:lineRule="auto"/>
        <w:ind w:left="720" w:hanging="720"/>
        <w:jc w:val="both"/>
        <w:rPr>
          <w:rFonts w:ascii="Times New Roman" w:eastAsia="Times New Roman" w:hAnsi="Times New Roman" w:cs="Times New Roman"/>
          <w:sz w:val="24"/>
          <w:szCs w:val="24"/>
        </w:rPr>
      </w:pPr>
      <w:proofErr w:type="spellStart"/>
      <w:r w:rsidRPr="003805DD">
        <w:rPr>
          <w:rFonts w:ascii="Times New Roman" w:eastAsia="Times New Roman" w:hAnsi="Times New Roman" w:cs="Times New Roman"/>
          <w:sz w:val="24"/>
          <w:szCs w:val="24"/>
        </w:rPr>
        <w:t>Adhania</w:t>
      </w:r>
      <w:proofErr w:type="spellEnd"/>
      <w:r w:rsidRPr="003805DD">
        <w:rPr>
          <w:rFonts w:ascii="Times New Roman" w:eastAsia="Times New Roman" w:hAnsi="Times New Roman" w:cs="Times New Roman"/>
          <w:sz w:val="24"/>
          <w:szCs w:val="24"/>
        </w:rPr>
        <w:t xml:space="preserve">, L., &amp; </w:t>
      </w:r>
      <w:proofErr w:type="spellStart"/>
      <w:r w:rsidRPr="003805DD">
        <w:rPr>
          <w:rFonts w:ascii="Times New Roman" w:eastAsia="Times New Roman" w:hAnsi="Times New Roman" w:cs="Times New Roman"/>
          <w:sz w:val="24"/>
          <w:szCs w:val="24"/>
        </w:rPr>
        <w:t>Nurdiana</w:t>
      </w:r>
      <w:proofErr w:type="spellEnd"/>
      <w:r w:rsidRPr="003805DD">
        <w:rPr>
          <w:rFonts w:ascii="Times New Roman" w:eastAsia="Times New Roman" w:hAnsi="Times New Roman" w:cs="Times New Roman"/>
          <w:sz w:val="24"/>
          <w:szCs w:val="24"/>
        </w:rPr>
        <w:t>, D. (2024). Influence of financial performance, company size and company age on</w:t>
      </w:r>
      <w:r w:rsidR="00FD7697">
        <w:rPr>
          <w:rFonts w:ascii="Times New Roman" w:eastAsia="Times New Roman" w:hAnsi="Times New Roman" w:cs="Times New Roman"/>
          <w:sz w:val="24"/>
          <w:szCs w:val="24"/>
        </w:rPr>
        <w:t xml:space="preserve"> </w:t>
      </w:r>
      <w:proofErr w:type="gramStart"/>
      <w:r w:rsidR="00D25BE3">
        <w:rPr>
          <w:rFonts w:ascii="Times New Roman" w:eastAsia="Times New Roman" w:hAnsi="Times New Roman" w:cs="Times New Roman"/>
          <w:sz w:val="24"/>
          <w:szCs w:val="24"/>
        </w:rPr>
        <w:t xml:space="preserve">disclosure </w:t>
      </w:r>
      <w:r w:rsidR="00FD7697">
        <w:rPr>
          <w:rFonts w:ascii="Times New Roman" w:eastAsia="Times New Roman" w:hAnsi="Times New Roman" w:cs="Times New Roman"/>
          <w:sz w:val="24"/>
          <w:szCs w:val="24"/>
        </w:rPr>
        <w:t xml:space="preserve"> </w:t>
      </w:r>
      <w:r w:rsidRPr="003805DD">
        <w:rPr>
          <w:rFonts w:ascii="Times New Roman" w:eastAsia="Times New Roman" w:hAnsi="Times New Roman" w:cs="Times New Roman"/>
          <w:sz w:val="24"/>
          <w:szCs w:val="24"/>
        </w:rPr>
        <w:t>of</w:t>
      </w:r>
      <w:proofErr w:type="gramEnd"/>
      <w:r w:rsidRPr="003805DD">
        <w:rPr>
          <w:rFonts w:ascii="Times New Roman" w:eastAsia="Times New Roman" w:hAnsi="Times New Roman" w:cs="Times New Roman"/>
          <w:sz w:val="24"/>
          <w:szCs w:val="24"/>
        </w:rPr>
        <w:t xml:space="preserve"> sustainability reports in non-financial companies on IDX 2019–2021. </w:t>
      </w:r>
      <w:r w:rsidRPr="003805DD">
        <w:rPr>
          <w:rFonts w:ascii="Times New Roman" w:eastAsia="Times New Roman" w:hAnsi="Times New Roman" w:cs="Times New Roman"/>
          <w:i/>
          <w:iCs/>
          <w:sz w:val="24"/>
          <w:szCs w:val="24"/>
        </w:rPr>
        <w:t>International Journal of Multidisciplinary Approach Research and Science, 2</w:t>
      </w:r>
      <w:r w:rsidRPr="003805DD">
        <w:rPr>
          <w:rFonts w:ascii="Times New Roman" w:eastAsia="Times New Roman" w:hAnsi="Times New Roman" w:cs="Times New Roman"/>
          <w:sz w:val="24"/>
          <w:szCs w:val="24"/>
        </w:rPr>
        <w:t>(2), 575–</w:t>
      </w:r>
      <w:proofErr w:type="gramStart"/>
      <w:r w:rsidRPr="003805DD">
        <w:rPr>
          <w:rFonts w:ascii="Times New Roman" w:eastAsia="Times New Roman" w:hAnsi="Times New Roman" w:cs="Times New Roman"/>
          <w:sz w:val="24"/>
          <w:szCs w:val="24"/>
        </w:rPr>
        <w:t>585..</w:t>
      </w:r>
      <w:proofErr w:type="gramEnd"/>
    </w:p>
    <w:p w14:paraId="32310108" w14:textId="77777777" w:rsidR="0029029D" w:rsidRDefault="0029029D" w:rsidP="003805DD">
      <w:pPr>
        <w:spacing w:after="0" w:line="240" w:lineRule="auto"/>
        <w:ind w:left="720" w:hanging="720"/>
        <w:jc w:val="both"/>
        <w:rPr>
          <w:rFonts w:ascii="Times New Roman" w:eastAsia="Times New Roman" w:hAnsi="Times New Roman" w:cs="Times New Roman"/>
          <w:sz w:val="24"/>
          <w:szCs w:val="24"/>
        </w:rPr>
      </w:pPr>
      <w:r w:rsidRPr="0029029D">
        <w:rPr>
          <w:rFonts w:ascii="Times New Roman" w:eastAsia="Times New Roman" w:hAnsi="Times New Roman" w:cs="Times New Roman"/>
          <w:sz w:val="24"/>
          <w:szCs w:val="24"/>
        </w:rPr>
        <w:t xml:space="preserve">African Development Bank Group (AfDB). (2025). </w:t>
      </w:r>
      <w:r w:rsidRPr="0029029D">
        <w:rPr>
          <w:rFonts w:ascii="Times New Roman" w:eastAsia="Times New Roman" w:hAnsi="Times New Roman" w:cs="Times New Roman"/>
          <w:i/>
          <w:iCs/>
          <w:sz w:val="24"/>
          <w:szCs w:val="24"/>
        </w:rPr>
        <w:t>A decade on the move: Evaluation of the AfDB’s support for the transport sector (2012–2023)</w:t>
      </w:r>
      <w:r w:rsidRPr="0029029D">
        <w:rPr>
          <w:rFonts w:ascii="Times New Roman" w:eastAsia="Times New Roman" w:hAnsi="Times New Roman" w:cs="Times New Roman"/>
          <w:sz w:val="24"/>
          <w:szCs w:val="24"/>
        </w:rPr>
        <w:t xml:space="preserve">. Independent Development Evaluation, AfDB. Retrieved from </w:t>
      </w:r>
      <w:hyperlink r:id="rId7" w:tgtFrame="_new" w:history="1">
        <w:r w:rsidRPr="0029029D">
          <w:rPr>
            <w:rStyle w:val="Hyperlink"/>
            <w:rFonts w:ascii="Times New Roman" w:eastAsia="Times New Roman" w:hAnsi="Times New Roman" w:cs="Times New Roman"/>
            <w:sz w:val="24"/>
            <w:szCs w:val="24"/>
          </w:rPr>
          <w:t>https://idev.afdb.org/en/document/decade-move-evaluation-afdbs-support-transport-sector-2012-2023</w:t>
        </w:r>
      </w:hyperlink>
    </w:p>
    <w:p w14:paraId="65056073" w14:textId="4533A63F" w:rsidR="0029029D" w:rsidRPr="003A62B7" w:rsidRDefault="0029029D" w:rsidP="003805DD">
      <w:pPr>
        <w:spacing w:after="0" w:line="240" w:lineRule="auto"/>
        <w:ind w:left="720" w:hanging="720"/>
        <w:jc w:val="both"/>
        <w:rPr>
          <w:rFonts w:ascii="Times New Roman" w:eastAsia="Times New Roman" w:hAnsi="Times New Roman" w:cs="Times New Roman"/>
          <w:sz w:val="24"/>
          <w:szCs w:val="24"/>
        </w:rPr>
      </w:pPr>
      <w:r w:rsidRPr="003A62B7">
        <w:rPr>
          <w:rFonts w:ascii="Times New Roman" w:eastAsia="Times New Roman" w:hAnsi="Times New Roman" w:cs="Times New Roman"/>
          <w:sz w:val="24"/>
          <w:szCs w:val="24"/>
        </w:rPr>
        <w:t xml:space="preserve">Krammer, P., &amp; Schäfer, A. W. (2025). </w:t>
      </w:r>
      <w:r w:rsidRPr="003A62B7">
        <w:rPr>
          <w:rFonts w:ascii="Times New Roman" w:eastAsia="Times New Roman" w:hAnsi="Times New Roman" w:cs="Times New Roman"/>
          <w:i/>
          <w:iCs/>
          <w:sz w:val="24"/>
          <w:szCs w:val="24"/>
        </w:rPr>
        <w:t>Energy and economic benefits from economies of scale in intercity freight transportation.</w:t>
      </w:r>
      <w:r w:rsidRPr="003A62B7">
        <w:rPr>
          <w:rFonts w:ascii="Times New Roman" w:eastAsia="Times New Roman" w:hAnsi="Times New Roman" w:cs="Times New Roman"/>
          <w:sz w:val="24"/>
          <w:szCs w:val="24"/>
        </w:rPr>
        <w:t xml:space="preserve"> </w:t>
      </w:r>
      <w:proofErr w:type="spellStart"/>
      <w:r w:rsidRPr="003A62B7">
        <w:rPr>
          <w:rFonts w:ascii="Times New Roman" w:eastAsia="Times New Roman" w:hAnsi="Times New Roman" w:cs="Times New Roman"/>
          <w:sz w:val="24"/>
          <w:szCs w:val="24"/>
        </w:rPr>
        <w:t>npj</w:t>
      </w:r>
      <w:proofErr w:type="spellEnd"/>
      <w:r w:rsidRPr="003A62B7">
        <w:rPr>
          <w:rFonts w:ascii="Times New Roman" w:eastAsia="Times New Roman" w:hAnsi="Times New Roman" w:cs="Times New Roman"/>
          <w:sz w:val="24"/>
          <w:szCs w:val="24"/>
        </w:rPr>
        <w:t xml:space="preserve"> Sustainable Mobility and Transport, 2, Article 13. </w:t>
      </w:r>
      <w:hyperlink r:id="rId8" w:history="1">
        <w:r w:rsidRPr="003A62B7">
          <w:rPr>
            <w:rStyle w:val="Hyperlink"/>
            <w:rFonts w:ascii="Times New Roman" w:eastAsia="Times New Roman" w:hAnsi="Times New Roman" w:cs="Times New Roman"/>
            <w:sz w:val="24"/>
            <w:szCs w:val="24"/>
          </w:rPr>
          <w:t>https://doi.org/10.1038/s44333</w:t>
        </w:r>
        <w:r w:rsidRPr="003A62B7">
          <w:rPr>
            <w:rStyle w:val="Hyperlink"/>
            <w:rFonts w:ascii="Times New Roman" w:eastAsia="Times New Roman" w:hAnsi="Times New Roman" w:cs="Times New Roman"/>
            <w:sz w:val="24"/>
            <w:szCs w:val="24"/>
          </w:rPr>
          <w:noBreakHyphen/>
          <w:t>025</w:t>
        </w:r>
        <w:r w:rsidRPr="003A62B7">
          <w:rPr>
            <w:rStyle w:val="Hyperlink"/>
            <w:rFonts w:ascii="Times New Roman" w:eastAsia="Times New Roman" w:hAnsi="Times New Roman" w:cs="Times New Roman"/>
            <w:sz w:val="24"/>
            <w:szCs w:val="24"/>
          </w:rPr>
          <w:noBreakHyphen/>
          <w:t>00028</w:t>
        </w:r>
        <w:r w:rsidRPr="003A62B7">
          <w:rPr>
            <w:rStyle w:val="Hyperlink"/>
            <w:rFonts w:ascii="Times New Roman" w:eastAsia="Times New Roman" w:hAnsi="Times New Roman" w:cs="Times New Roman"/>
            <w:sz w:val="24"/>
            <w:szCs w:val="24"/>
          </w:rPr>
          <w:noBreakHyphen/>
          <w:t>6</w:t>
        </w:r>
      </w:hyperlink>
    </w:p>
    <w:p w14:paraId="66C21179" w14:textId="1900A8F5" w:rsidR="00E57B83" w:rsidRPr="003805DD" w:rsidRDefault="003A62B7" w:rsidP="003805DD">
      <w:pPr>
        <w:spacing w:after="0" w:line="240" w:lineRule="auto"/>
        <w:ind w:left="720" w:hanging="720"/>
        <w:jc w:val="both"/>
        <w:rPr>
          <w:rFonts w:ascii="Times New Roman" w:eastAsia="Times New Roman" w:hAnsi="Times New Roman" w:cs="Times New Roman"/>
          <w:sz w:val="24"/>
          <w:szCs w:val="24"/>
        </w:rPr>
      </w:pPr>
      <w:r w:rsidRPr="003A62B7">
        <w:rPr>
          <w:rFonts w:ascii="Times New Roman" w:eastAsia="Times New Roman" w:hAnsi="Times New Roman" w:cs="Times New Roman"/>
          <w:sz w:val="24"/>
          <w:szCs w:val="24"/>
        </w:rPr>
        <w:t xml:space="preserve">Barney, J. B. (1991). </w:t>
      </w:r>
      <w:r w:rsidRPr="003A62B7">
        <w:rPr>
          <w:rFonts w:ascii="Times New Roman" w:eastAsia="Times New Roman" w:hAnsi="Times New Roman" w:cs="Times New Roman"/>
          <w:i/>
          <w:iCs/>
          <w:sz w:val="24"/>
          <w:szCs w:val="24"/>
        </w:rPr>
        <w:t>Firm resources and sustained competitive advantage.</w:t>
      </w:r>
      <w:r w:rsidRPr="003A62B7">
        <w:rPr>
          <w:rFonts w:ascii="Times New Roman" w:eastAsia="Times New Roman" w:hAnsi="Times New Roman" w:cs="Times New Roman"/>
          <w:sz w:val="24"/>
          <w:szCs w:val="24"/>
        </w:rPr>
        <w:t xml:space="preserve"> Journal of Management, 17(1), 99–120. </w:t>
      </w:r>
      <w:hyperlink r:id="rId9" w:tgtFrame="_new" w:history="1">
        <w:r w:rsidRPr="003A62B7">
          <w:rPr>
            <w:rStyle w:val="Hyperlink"/>
            <w:rFonts w:ascii="Times New Roman" w:eastAsia="Times New Roman" w:hAnsi="Times New Roman" w:cs="Times New Roman"/>
            <w:sz w:val="24"/>
            <w:szCs w:val="24"/>
          </w:rPr>
          <w:t>https://doi.org/10.1177/014920639101700108</w:t>
        </w:r>
      </w:hyperlink>
      <w:r w:rsidR="00E57B83" w:rsidRPr="003805DD">
        <w:rPr>
          <w:rFonts w:ascii="Times New Roman" w:eastAsia="Times New Roman" w:hAnsi="Times New Roman" w:cs="Times New Roman"/>
          <w:sz w:val="24"/>
          <w:szCs w:val="24"/>
        </w:rPr>
        <w:t xml:space="preserve">Barney, J., &amp; Clark, D. N. (2007). </w:t>
      </w:r>
      <w:r w:rsidR="00E57B83" w:rsidRPr="003805DD">
        <w:rPr>
          <w:rFonts w:ascii="Times New Roman" w:eastAsia="Times New Roman" w:hAnsi="Times New Roman" w:cs="Times New Roman"/>
          <w:i/>
          <w:iCs/>
          <w:sz w:val="24"/>
          <w:szCs w:val="24"/>
        </w:rPr>
        <w:t>Resource-based theory: Creating and sustaining competitive advantage</w:t>
      </w:r>
      <w:r w:rsidR="00E57B83" w:rsidRPr="003805DD">
        <w:rPr>
          <w:rFonts w:ascii="Times New Roman" w:eastAsia="Times New Roman" w:hAnsi="Times New Roman" w:cs="Times New Roman"/>
          <w:sz w:val="24"/>
          <w:szCs w:val="24"/>
        </w:rPr>
        <w:t>. Oxford University Press.</w:t>
      </w:r>
    </w:p>
    <w:p w14:paraId="0A021DAA" w14:textId="064CE690" w:rsidR="003A62B7" w:rsidRDefault="003A62B7" w:rsidP="003805DD">
      <w:pPr>
        <w:spacing w:after="0" w:line="240" w:lineRule="auto"/>
        <w:ind w:left="720" w:hanging="720"/>
        <w:jc w:val="both"/>
        <w:rPr>
          <w:rFonts w:ascii="Times New Roman" w:eastAsia="Times New Roman" w:hAnsi="Times New Roman" w:cs="Times New Roman"/>
          <w:sz w:val="24"/>
          <w:szCs w:val="24"/>
        </w:rPr>
      </w:pPr>
      <w:r w:rsidRPr="003A62B7">
        <w:rPr>
          <w:rFonts w:ascii="Times New Roman" w:eastAsia="Times New Roman" w:hAnsi="Times New Roman" w:cs="Times New Roman"/>
          <w:sz w:val="24"/>
          <w:szCs w:val="24"/>
        </w:rPr>
        <w:t xml:space="preserve">Alabi, A. T., Issa, O. S., &amp; Usman, M. K. (2024). </w:t>
      </w:r>
      <w:r w:rsidRPr="003A62B7">
        <w:rPr>
          <w:rFonts w:ascii="Times New Roman" w:eastAsia="Times New Roman" w:hAnsi="Times New Roman" w:cs="Times New Roman"/>
          <w:i/>
          <w:iCs/>
          <w:sz w:val="24"/>
          <w:szCs w:val="24"/>
        </w:rPr>
        <w:t>Corporate environmental reporting: Do firms operating in environmentally sensitive sectors disclose enough?</w:t>
      </w:r>
      <w:r w:rsidRPr="003A62B7">
        <w:rPr>
          <w:rFonts w:ascii="Times New Roman" w:eastAsia="Times New Roman" w:hAnsi="Times New Roman" w:cs="Times New Roman"/>
          <w:sz w:val="24"/>
          <w:szCs w:val="24"/>
        </w:rPr>
        <w:t xml:space="preserve"> </w:t>
      </w:r>
      <w:proofErr w:type="spellStart"/>
      <w:r w:rsidRPr="003A62B7">
        <w:rPr>
          <w:rFonts w:ascii="Times New Roman" w:eastAsia="Times New Roman" w:hAnsi="Times New Roman" w:cs="Times New Roman"/>
          <w:sz w:val="24"/>
          <w:szCs w:val="24"/>
        </w:rPr>
        <w:t>Sustinere</w:t>
      </w:r>
      <w:proofErr w:type="spellEnd"/>
      <w:r w:rsidRPr="003A62B7">
        <w:rPr>
          <w:rFonts w:ascii="Times New Roman" w:eastAsia="Times New Roman" w:hAnsi="Times New Roman" w:cs="Times New Roman"/>
          <w:sz w:val="24"/>
          <w:szCs w:val="24"/>
        </w:rPr>
        <w:t xml:space="preserve">: Journal of </w:t>
      </w:r>
      <w:r w:rsidRPr="003A62B7">
        <w:rPr>
          <w:rFonts w:ascii="Times New Roman" w:eastAsia="Times New Roman" w:hAnsi="Times New Roman" w:cs="Times New Roman"/>
          <w:sz w:val="24"/>
          <w:szCs w:val="24"/>
        </w:rPr>
        <w:lastRenderedPageBreak/>
        <w:t>Environment and Sustainability, 8(2), 242–261.</w:t>
      </w:r>
      <w:r>
        <w:rPr>
          <w:rFonts w:ascii="Times New Roman" w:eastAsia="Times New Roman" w:hAnsi="Times New Roman" w:cs="Times New Roman"/>
          <w:sz w:val="24"/>
          <w:szCs w:val="24"/>
        </w:rPr>
        <w:t xml:space="preserve"> </w:t>
      </w:r>
      <w:hyperlink r:id="rId10" w:history="1">
        <w:r w:rsidRPr="005B0CD8">
          <w:rPr>
            <w:rStyle w:val="Hyperlink"/>
            <w:rFonts w:ascii="Times New Roman" w:eastAsia="Times New Roman" w:hAnsi="Times New Roman" w:cs="Times New Roman"/>
            <w:sz w:val="24"/>
            <w:szCs w:val="24"/>
          </w:rPr>
          <w:t>https://doi.org/10.22515/sustinere.jes.v8i2.413</w:t>
        </w:r>
      </w:hyperlink>
    </w:p>
    <w:p w14:paraId="6964A546" w14:textId="3C3E813B" w:rsidR="00E57B83" w:rsidRPr="003805DD" w:rsidRDefault="00EC6420" w:rsidP="007D3F25">
      <w:pPr>
        <w:spacing w:after="0" w:line="240" w:lineRule="auto"/>
        <w:ind w:left="720" w:hanging="720"/>
        <w:jc w:val="both"/>
        <w:rPr>
          <w:rFonts w:ascii="Times New Roman" w:eastAsia="Times New Roman" w:hAnsi="Times New Roman" w:cs="Times New Roman"/>
          <w:sz w:val="24"/>
          <w:szCs w:val="24"/>
        </w:rPr>
      </w:pPr>
      <w:r w:rsidRPr="00EC6420">
        <w:rPr>
          <w:rFonts w:ascii="Times New Roman" w:eastAsia="Times New Roman" w:hAnsi="Times New Roman" w:cs="Times New Roman"/>
          <w:sz w:val="24"/>
          <w:szCs w:val="24"/>
        </w:rPr>
        <w:t xml:space="preserve">Tong, L., Chiappetta Jabbour, C. J., Belgacem, S. B., Najam, H., &amp; Abbas, J. (2022). </w:t>
      </w:r>
      <w:r w:rsidRPr="00EC6420">
        <w:rPr>
          <w:rFonts w:ascii="Times New Roman" w:eastAsia="Times New Roman" w:hAnsi="Times New Roman" w:cs="Times New Roman"/>
          <w:i/>
          <w:iCs/>
          <w:sz w:val="24"/>
          <w:szCs w:val="24"/>
        </w:rPr>
        <w:t>Role of environmental regulations, green finance, and investment in green technologies in green total factor productivity: Empirical evidence from Asian region.</w:t>
      </w:r>
      <w:r w:rsidRPr="00EC6420">
        <w:rPr>
          <w:rFonts w:ascii="Times New Roman" w:eastAsia="Times New Roman" w:hAnsi="Times New Roman" w:cs="Times New Roman"/>
          <w:sz w:val="24"/>
          <w:szCs w:val="24"/>
        </w:rPr>
        <w:t xml:space="preserve"> Journal of Cleaner Production, 380, 134930. </w:t>
      </w:r>
      <w:hyperlink r:id="rId11" w:history="1">
        <w:r w:rsidRPr="00EC6420">
          <w:rPr>
            <w:rStyle w:val="Hyperlink"/>
            <w:rFonts w:ascii="Times New Roman" w:eastAsia="Times New Roman" w:hAnsi="Times New Roman" w:cs="Times New Roman"/>
            <w:sz w:val="24"/>
            <w:szCs w:val="24"/>
          </w:rPr>
          <w:t>https://doi.org/10.1016/j.jclepro.2022.134930</w:t>
        </w:r>
      </w:hyperlink>
    </w:p>
    <w:p w14:paraId="34C8C6F9" w14:textId="0B612969"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Chukka, H. G. R., </w:t>
      </w:r>
      <w:proofErr w:type="spellStart"/>
      <w:r w:rsidRPr="003805DD">
        <w:rPr>
          <w:rFonts w:ascii="Times New Roman" w:eastAsia="Times New Roman" w:hAnsi="Times New Roman" w:cs="Times New Roman"/>
          <w:sz w:val="24"/>
          <w:szCs w:val="24"/>
        </w:rPr>
        <w:t>Madem</w:t>
      </w:r>
      <w:proofErr w:type="spellEnd"/>
      <w:r w:rsidRPr="003805DD">
        <w:rPr>
          <w:rFonts w:ascii="Times New Roman" w:eastAsia="Times New Roman" w:hAnsi="Times New Roman" w:cs="Times New Roman"/>
          <w:sz w:val="24"/>
          <w:szCs w:val="24"/>
        </w:rPr>
        <w:t xml:space="preserve">, S., &amp; </w:t>
      </w:r>
      <w:proofErr w:type="spellStart"/>
      <w:r w:rsidRPr="003805DD">
        <w:rPr>
          <w:rFonts w:ascii="Times New Roman" w:eastAsia="Times New Roman" w:hAnsi="Times New Roman" w:cs="Times New Roman"/>
          <w:sz w:val="24"/>
          <w:szCs w:val="24"/>
        </w:rPr>
        <w:t>Konathala</w:t>
      </w:r>
      <w:proofErr w:type="spellEnd"/>
      <w:r w:rsidRPr="003805DD">
        <w:rPr>
          <w:rFonts w:ascii="Times New Roman" w:eastAsia="Times New Roman" w:hAnsi="Times New Roman" w:cs="Times New Roman"/>
          <w:sz w:val="24"/>
          <w:szCs w:val="24"/>
        </w:rPr>
        <w:t xml:space="preserve">, S. K. (2024). Leveraging green accounting for sustainable development. </w:t>
      </w:r>
      <w:r w:rsidRPr="003805DD">
        <w:rPr>
          <w:rFonts w:ascii="Times New Roman" w:eastAsia="Times New Roman" w:hAnsi="Times New Roman" w:cs="Times New Roman"/>
          <w:i/>
          <w:iCs/>
          <w:sz w:val="24"/>
          <w:szCs w:val="24"/>
        </w:rPr>
        <w:t>Advances in Finance, Accounting, and Economics Book Series</w:t>
      </w:r>
      <w:r w:rsidRPr="003805DD">
        <w:rPr>
          <w:rFonts w:ascii="Times New Roman" w:eastAsia="Times New Roman" w:hAnsi="Times New Roman" w:cs="Times New Roman"/>
          <w:sz w:val="24"/>
          <w:szCs w:val="24"/>
        </w:rPr>
        <w:t xml:space="preserve">. </w:t>
      </w:r>
    </w:p>
    <w:p w14:paraId="50CCD668"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Dura, J., &amp; </w:t>
      </w:r>
      <w:proofErr w:type="spellStart"/>
      <w:r w:rsidRPr="003805DD">
        <w:rPr>
          <w:rFonts w:ascii="Times New Roman" w:eastAsia="Times New Roman" w:hAnsi="Times New Roman" w:cs="Times New Roman"/>
          <w:sz w:val="24"/>
          <w:szCs w:val="24"/>
        </w:rPr>
        <w:t>Suharsono</w:t>
      </w:r>
      <w:proofErr w:type="spellEnd"/>
      <w:r w:rsidRPr="003805DD">
        <w:rPr>
          <w:rFonts w:ascii="Times New Roman" w:eastAsia="Times New Roman" w:hAnsi="Times New Roman" w:cs="Times New Roman"/>
          <w:sz w:val="24"/>
          <w:szCs w:val="24"/>
        </w:rPr>
        <w:t xml:space="preserve">, R. (2022). Application green accounting to sustainable development improve financial performance study in green industry. </w:t>
      </w:r>
      <w:proofErr w:type="spellStart"/>
      <w:r w:rsidRPr="003805DD">
        <w:rPr>
          <w:rFonts w:ascii="Times New Roman" w:eastAsia="Times New Roman" w:hAnsi="Times New Roman" w:cs="Times New Roman"/>
          <w:i/>
          <w:iCs/>
          <w:sz w:val="24"/>
          <w:szCs w:val="24"/>
        </w:rPr>
        <w:t>Jurnal</w:t>
      </w:r>
      <w:proofErr w:type="spellEnd"/>
      <w:r w:rsidRPr="003805DD">
        <w:rPr>
          <w:rFonts w:ascii="Times New Roman" w:eastAsia="Times New Roman" w:hAnsi="Times New Roman" w:cs="Times New Roman"/>
          <w:i/>
          <w:iCs/>
          <w:sz w:val="24"/>
          <w:szCs w:val="24"/>
        </w:rPr>
        <w:t xml:space="preserve"> </w:t>
      </w:r>
      <w:proofErr w:type="spellStart"/>
      <w:r w:rsidRPr="003805DD">
        <w:rPr>
          <w:rFonts w:ascii="Times New Roman" w:eastAsia="Times New Roman" w:hAnsi="Times New Roman" w:cs="Times New Roman"/>
          <w:i/>
          <w:iCs/>
          <w:sz w:val="24"/>
          <w:szCs w:val="24"/>
        </w:rPr>
        <w:t>Akuntansi</w:t>
      </w:r>
      <w:proofErr w:type="spellEnd"/>
      <w:r w:rsidRPr="003805DD">
        <w:rPr>
          <w:rFonts w:ascii="Times New Roman" w:eastAsia="Times New Roman" w:hAnsi="Times New Roman" w:cs="Times New Roman"/>
          <w:i/>
          <w:iCs/>
          <w:sz w:val="24"/>
          <w:szCs w:val="24"/>
        </w:rPr>
        <w:t xml:space="preserve"> - </w:t>
      </w:r>
      <w:proofErr w:type="spellStart"/>
      <w:r w:rsidRPr="003805DD">
        <w:rPr>
          <w:rFonts w:ascii="Times New Roman" w:eastAsia="Times New Roman" w:hAnsi="Times New Roman" w:cs="Times New Roman"/>
          <w:i/>
          <w:iCs/>
          <w:sz w:val="24"/>
          <w:szCs w:val="24"/>
        </w:rPr>
        <w:t>Fakultas</w:t>
      </w:r>
      <w:proofErr w:type="spellEnd"/>
      <w:r w:rsidRPr="003805DD">
        <w:rPr>
          <w:rFonts w:ascii="Times New Roman" w:eastAsia="Times New Roman" w:hAnsi="Times New Roman" w:cs="Times New Roman"/>
          <w:i/>
          <w:iCs/>
          <w:sz w:val="24"/>
          <w:szCs w:val="24"/>
        </w:rPr>
        <w:t xml:space="preserve"> </w:t>
      </w:r>
      <w:proofErr w:type="spellStart"/>
      <w:r w:rsidRPr="003805DD">
        <w:rPr>
          <w:rFonts w:ascii="Times New Roman" w:eastAsia="Times New Roman" w:hAnsi="Times New Roman" w:cs="Times New Roman"/>
          <w:i/>
          <w:iCs/>
          <w:sz w:val="24"/>
          <w:szCs w:val="24"/>
        </w:rPr>
        <w:t>Ekonomi</w:t>
      </w:r>
      <w:proofErr w:type="spellEnd"/>
      <w:r w:rsidRPr="003805DD">
        <w:rPr>
          <w:rFonts w:ascii="Times New Roman" w:eastAsia="Times New Roman" w:hAnsi="Times New Roman" w:cs="Times New Roman"/>
          <w:i/>
          <w:iCs/>
          <w:sz w:val="24"/>
          <w:szCs w:val="24"/>
        </w:rPr>
        <w:t xml:space="preserve"> </w:t>
      </w:r>
      <w:proofErr w:type="spellStart"/>
      <w:r w:rsidRPr="003805DD">
        <w:rPr>
          <w:rFonts w:ascii="Times New Roman" w:eastAsia="Times New Roman" w:hAnsi="Times New Roman" w:cs="Times New Roman"/>
          <w:i/>
          <w:iCs/>
          <w:sz w:val="24"/>
          <w:szCs w:val="24"/>
        </w:rPr>
        <w:t>Universitas</w:t>
      </w:r>
      <w:proofErr w:type="spellEnd"/>
      <w:r w:rsidRPr="003805DD">
        <w:rPr>
          <w:rFonts w:ascii="Times New Roman" w:eastAsia="Times New Roman" w:hAnsi="Times New Roman" w:cs="Times New Roman"/>
          <w:i/>
          <w:iCs/>
          <w:sz w:val="24"/>
          <w:szCs w:val="24"/>
        </w:rPr>
        <w:t xml:space="preserve"> </w:t>
      </w:r>
      <w:proofErr w:type="spellStart"/>
      <w:r w:rsidRPr="003805DD">
        <w:rPr>
          <w:rFonts w:ascii="Times New Roman" w:eastAsia="Times New Roman" w:hAnsi="Times New Roman" w:cs="Times New Roman"/>
          <w:i/>
          <w:iCs/>
          <w:sz w:val="24"/>
          <w:szCs w:val="24"/>
        </w:rPr>
        <w:t>Tarumanagara</w:t>
      </w:r>
      <w:proofErr w:type="spellEnd"/>
      <w:r w:rsidRPr="003805DD">
        <w:rPr>
          <w:rFonts w:ascii="Times New Roman" w:eastAsia="Times New Roman" w:hAnsi="Times New Roman" w:cs="Times New Roman"/>
          <w:i/>
          <w:iCs/>
          <w:sz w:val="24"/>
          <w:szCs w:val="24"/>
        </w:rPr>
        <w:t>, 26</w:t>
      </w:r>
      <w:r w:rsidRPr="003805DD">
        <w:rPr>
          <w:rFonts w:ascii="Times New Roman" w:eastAsia="Times New Roman" w:hAnsi="Times New Roman" w:cs="Times New Roman"/>
          <w:sz w:val="24"/>
          <w:szCs w:val="24"/>
        </w:rPr>
        <w:t xml:space="preserve">(2). </w:t>
      </w:r>
      <w:hyperlink r:id="rId12" w:tgtFrame="_new" w:history="1">
        <w:r w:rsidRPr="003805DD">
          <w:rPr>
            <w:rFonts w:ascii="Times New Roman" w:eastAsia="Times New Roman" w:hAnsi="Times New Roman" w:cs="Times New Roman"/>
            <w:color w:val="0000FF"/>
            <w:sz w:val="24"/>
            <w:szCs w:val="24"/>
            <w:u w:val="single"/>
          </w:rPr>
          <w:t>https://scispace.com/papers/application-green-accounting-to-sustainable-development-9jprpxyx</w:t>
        </w:r>
      </w:hyperlink>
    </w:p>
    <w:p w14:paraId="5D4A3350"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Harif, A., &amp; Natasha, P. (2024). A review on green accounting practices and sustainable financial performance. </w:t>
      </w:r>
      <w:r w:rsidRPr="003805DD">
        <w:rPr>
          <w:rFonts w:ascii="Times New Roman" w:eastAsia="Times New Roman" w:hAnsi="Times New Roman" w:cs="Times New Roman"/>
          <w:i/>
          <w:iCs/>
          <w:sz w:val="24"/>
          <w:szCs w:val="24"/>
        </w:rPr>
        <w:t>Journal of Business Management and Information Systems</w:t>
      </w:r>
      <w:r w:rsidRPr="003805DD">
        <w:rPr>
          <w:rFonts w:ascii="Times New Roman" w:eastAsia="Times New Roman" w:hAnsi="Times New Roman" w:cs="Times New Roman"/>
          <w:sz w:val="24"/>
          <w:szCs w:val="24"/>
        </w:rPr>
        <w:t xml:space="preserve">. </w:t>
      </w:r>
      <w:hyperlink r:id="rId13" w:tgtFrame="_new" w:history="1">
        <w:r w:rsidRPr="003805DD">
          <w:rPr>
            <w:rFonts w:ascii="Times New Roman" w:eastAsia="Times New Roman" w:hAnsi="Times New Roman" w:cs="Times New Roman"/>
            <w:color w:val="0000FF"/>
            <w:sz w:val="24"/>
            <w:szCs w:val="24"/>
            <w:u w:val="single"/>
          </w:rPr>
          <w:t>https://scispace.com/papers/a-review-on-green-accounting-practices-and-sustainable-3okiis0wlu</w:t>
        </w:r>
      </w:hyperlink>
    </w:p>
    <w:p w14:paraId="24F9271F"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Indriastuti, M., &amp; </w:t>
      </w:r>
      <w:proofErr w:type="spellStart"/>
      <w:r w:rsidRPr="003805DD">
        <w:rPr>
          <w:rFonts w:ascii="Times New Roman" w:eastAsia="Times New Roman" w:hAnsi="Times New Roman" w:cs="Times New Roman"/>
          <w:sz w:val="24"/>
          <w:szCs w:val="24"/>
        </w:rPr>
        <w:t>Mutamimah</w:t>
      </w:r>
      <w:proofErr w:type="spellEnd"/>
      <w:r w:rsidRPr="003805DD">
        <w:rPr>
          <w:rFonts w:ascii="Times New Roman" w:eastAsia="Times New Roman" w:hAnsi="Times New Roman" w:cs="Times New Roman"/>
          <w:sz w:val="24"/>
          <w:szCs w:val="24"/>
        </w:rPr>
        <w:t xml:space="preserve">, M. (2023). Green accounting and sustainable performance of micro, small, and medium enterprises: The role of financial performance as mediation. </w:t>
      </w:r>
      <w:r w:rsidRPr="003805DD">
        <w:rPr>
          <w:rFonts w:ascii="Times New Roman" w:eastAsia="Times New Roman" w:hAnsi="Times New Roman" w:cs="Times New Roman"/>
          <w:i/>
          <w:iCs/>
          <w:sz w:val="24"/>
          <w:szCs w:val="24"/>
        </w:rPr>
        <w:t>The Indonesian Journal of Accounting Research, 26</w:t>
      </w:r>
      <w:r w:rsidRPr="003805DD">
        <w:rPr>
          <w:rFonts w:ascii="Times New Roman" w:eastAsia="Times New Roman" w:hAnsi="Times New Roman" w:cs="Times New Roman"/>
          <w:sz w:val="24"/>
          <w:szCs w:val="24"/>
        </w:rPr>
        <w:t xml:space="preserve">(2). </w:t>
      </w:r>
      <w:hyperlink r:id="rId14" w:tgtFrame="_new" w:history="1">
        <w:r w:rsidRPr="003805DD">
          <w:rPr>
            <w:rFonts w:ascii="Times New Roman" w:eastAsia="Times New Roman" w:hAnsi="Times New Roman" w:cs="Times New Roman"/>
            <w:color w:val="0000FF"/>
            <w:sz w:val="24"/>
            <w:szCs w:val="24"/>
            <w:u w:val="single"/>
          </w:rPr>
          <w:t>https://scispace.com/papers/green-accounting-and-sustainable-performance-of-micro-small-4fwuaey8tw</w:t>
        </w:r>
      </w:hyperlink>
    </w:p>
    <w:p w14:paraId="232817B2" w14:textId="77777777" w:rsidR="00E57B83" w:rsidRPr="003805DD" w:rsidRDefault="00E57B83" w:rsidP="003805DD">
      <w:pPr>
        <w:pStyle w:val="NormalWeb"/>
        <w:spacing w:before="0" w:beforeAutospacing="0" w:after="0" w:afterAutospacing="0"/>
      </w:pPr>
    </w:p>
    <w:p w14:paraId="5421D272" w14:textId="77777777" w:rsidR="00B70D3A" w:rsidRDefault="00B70D3A" w:rsidP="009C6CAA">
      <w:pPr>
        <w:jc w:val="both"/>
      </w:pPr>
    </w:p>
    <w:sectPr w:rsidR="00B70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F2833"/>
    <w:multiLevelType w:val="multilevel"/>
    <w:tmpl w:val="B4D6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779EF"/>
    <w:multiLevelType w:val="hybridMultilevel"/>
    <w:tmpl w:val="1C78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50F68"/>
    <w:multiLevelType w:val="singleLevel"/>
    <w:tmpl w:val="88E0685E"/>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3A3F4CD7"/>
    <w:multiLevelType w:val="hybridMultilevel"/>
    <w:tmpl w:val="0E2048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066F5"/>
    <w:multiLevelType w:val="multilevel"/>
    <w:tmpl w:val="2FB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A2A4E"/>
    <w:multiLevelType w:val="multilevel"/>
    <w:tmpl w:val="6BF6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20E7E"/>
    <w:multiLevelType w:val="hybridMultilevel"/>
    <w:tmpl w:val="476E9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F32C4"/>
    <w:multiLevelType w:val="multilevel"/>
    <w:tmpl w:val="A26C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E36270"/>
    <w:multiLevelType w:val="multilevel"/>
    <w:tmpl w:val="3BB86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8C2F65"/>
    <w:multiLevelType w:val="multilevel"/>
    <w:tmpl w:val="02F02846"/>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9B317C"/>
    <w:multiLevelType w:val="multilevel"/>
    <w:tmpl w:val="56FA3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93AA4"/>
    <w:multiLevelType w:val="hybridMultilevel"/>
    <w:tmpl w:val="D5D04E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1"/>
  </w:num>
  <w:num w:numId="4">
    <w:abstractNumId w:val="6"/>
  </w:num>
  <w:num w:numId="5">
    <w:abstractNumId w:val="0"/>
  </w:num>
  <w:num w:numId="6">
    <w:abstractNumId w:val="7"/>
  </w:num>
  <w:num w:numId="7">
    <w:abstractNumId w:val="4"/>
  </w:num>
  <w:num w:numId="8">
    <w:abstractNumId w:val="5"/>
  </w:num>
  <w:num w:numId="9">
    <w:abstractNumId w:val="10"/>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AA"/>
    <w:rsid w:val="00074625"/>
    <w:rsid w:val="00094EAA"/>
    <w:rsid w:val="000A03D2"/>
    <w:rsid w:val="000E1C67"/>
    <w:rsid w:val="00116ACC"/>
    <w:rsid w:val="00151116"/>
    <w:rsid w:val="00163C53"/>
    <w:rsid w:val="00173902"/>
    <w:rsid w:val="001A5BC7"/>
    <w:rsid w:val="001C59B7"/>
    <w:rsid w:val="001E4E58"/>
    <w:rsid w:val="0020237F"/>
    <w:rsid w:val="002540F8"/>
    <w:rsid w:val="00276ECA"/>
    <w:rsid w:val="00277090"/>
    <w:rsid w:val="0029029D"/>
    <w:rsid w:val="002C6570"/>
    <w:rsid w:val="003805DD"/>
    <w:rsid w:val="0039711D"/>
    <w:rsid w:val="003A62B7"/>
    <w:rsid w:val="003D4438"/>
    <w:rsid w:val="003E3EFA"/>
    <w:rsid w:val="004025A7"/>
    <w:rsid w:val="00491487"/>
    <w:rsid w:val="004F55BD"/>
    <w:rsid w:val="00521074"/>
    <w:rsid w:val="0054602B"/>
    <w:rsid w:val="005538DE"/>
    <w:rsid w:val="005B36DC"/>
    <w:rsid w:val="007C66C0"/>
    <w:rsid w:val="007D3F25"/>
    <w:rsid w:val="00945A78"/>
    <w:rsid w:val="009A2964"/>
    <w:rsid w:val="009C6CAA"/>
    <w:rsid w:val="00A614E5"/>
    <w:rsid w:val="00AA2362"/>
    <w:rsid w:val="00AD36C8"/>
    <w:rsid w:val="00AF5B9B"/>
    <w:rsid w:val="00B70D3A"/>
    <w:rsid w:val="00B7300E"/>
    <w:rsid w:val="00B86CA3"/>
    <w:rsid w:val="00B86F0B"/>
    <w:rsid w:val="00BE3871"/>
    <w:rsid w:val="00C64BAB"/>
    <w:rsid w:val="00C7246D"/>
    <w:rsid w:val="00C85F28"/>
    <w:rsid w:val="00CA01AE"/>
    <w:rsid w:val="00CD0E0D"/>
    <w:rsid w:val="00D06F27"/>
    <w:rsid w:val="00D25BE3"/>
    <w:rsid w:val="00D60357"/>
    <w:rsid w:val="00D870E5"/>
    <w:rsid w:val="00D87D83"/>
    <w:rsid w:val="00D95B31"/>
    <w:rsid w:val="00DF518E"/>
    <w:rsid w:val="00E57B83"/>
    <w:rsid w:val="00E81F96"/>
    <w:rsid w:val="00EC0641"/>
    <w:rsid w:val="00EC6420"/>
    <w:rsid w:val="00F636F9"/>
    <w:rsid w:val="00FC07C9"/>
    <w:rsid w:val="00FD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F9A1"/>
  <w15:chartTrackingRefBased/>
  <w15:docId w15:val="{D3990BF8-7935-4F70-A1AC-C2897675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6C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6CAA"/>
    <w:rPr>
      <w:b/>
      <w:bCs/>
    </w:rPr>
  </w:style>
  <w:style w:type="character" w:styleId="Hyperlink">
    <w:name w:val="Hyperlink"/>
    <w:basedOn w:val="DefaultParagraphFont"/>
    <w:uiPriority w:val="99"/>
    <w:unhideWhenUsed/>
    <w:rsid w:val="00E81F96"/>
    <w:rPr>
      <w:color w:val="0563C1" w:themeColor="hyperlink"/>
      <w:u w:val="single"/>
    </w:rPr>
  </w:style>
  <w:style w:type="paragraph" w:styleId="NoSpacing">
    <w:name w:val="No Spacing"/>
    <w:uiPriority w:val="1"/>
    <w:qFormat/>
    <w:rsid w:val="00E57B83"/>
    <w:pPr>
      <w:spacing w:after="0" w:line="240" w:lineRule="auto"/>
    </w:pPr>
  </w:style>
  <w:style w:type="character" w:styleId="Emphasis">
    <w:name w:val="Emphasis"/>
    <w:basedOn w:val="DefaultParagraphFont"/>
    <w:uiPriority w:val="20"/>
    <w:qFormat/>
    <w:rsid w:val="00E57B83"/>
    <w:rPr>
      <w:i/>
      <w:iCs/>
    </w:rPr>
  </w:style>
  <w:style w:type="paragraph" w:styleId="ListParagraph">
    <w:name w:val="List Paragraph"/>
    <w:basedOn w:val="Normal"/>
    <w:uiPriority w:val="34"/>
    <w:qFormat/>
    <w:rsid w:val="00E57B83"/>
    <w:pPr>
      <w:spacing w:after="0" w:line="240" w:lineRule="auto"/>
      <w:ind w:left="720"/>
      <w:contextualSpacing/>
      <w:jc w:val="both"/>
    </w:pPr>
    <w:rPr>
      <w:rFonts w:ascii="Times New Roman" w:eastAsia="SimSun" w:hAnsi="Times New Roman" w:cs="Times New Roman"/>
      <w:kern w:val="2"/>
      <w:sz w:val="21"/>
      <w:szCs w:val="24"/>
      <w:lang w:val="en-GB" w:eastAsia="en-GB"/>
    </w:rPr>
  </w:style>
  <w:style w:type="table" w:styleId="TableGrid">
    <w:name w:val="Table Grid"/>
    <w:basedOn w:val="TableNormal"/>
    <w:uiPriority w:val="39"/>
    <w:rsid w:val="00E57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5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6425">
      <w:bodyDiv w:val="1"/>
      <w:marLeft w:val="0"/>
      <w:marRight w:val="0"/>
      <w:marTop w:val="0"/>
      <w:marBottom w:val="0"/>
      <w:divBdr>
        <w:top w:val="none" w:sz="0" w:space="0" w:color="auto"/>
        <w:left w:val="none" w:sz="0" w:space="0" w:color="auto"/>
        <w:bottom w:val="none" w:sz="0" w:space="0" w:color="auto"/>
        <w:right w:val="none" w:sz="0" w:space="0" w:color="auto"/>
      </w:divBdr>
      <w:divsChild>
        <w:div w:id="923298053">
          <w:marLeft w:val="0"/>
          <w:marRight w:val="0"/>
          <w:marTop w:val="0"/>
          <w:marBottom w:val="0"/>
          <w:divBdr>
            <w:top w:val="none" w:sz="0" w:space="0" w:color="auto"/>
            <w:left w:val="none" w:sz="0" w:space="0" w:color="auto"/>
            <w:bottom w:val="none" w:sz="0" w:space="0" w:color="auto"/>
            <w:right w:val="none" w:sz="0" w:space="0" w:color="auto"/>
          </w:divBdr>
          <w:divsChild>
            <w:div w:id="920527932">
              <w:marLeft w:val="0"/>
              <w:marRight w:val="0"/>
              <w:marTop w:val="0"/>
              <w:marBottom w:val="0"/>
              <w:divBdr>
                <w:top w:val="none" w:sz="0" w:space="0" w:color="auto"/>
                <w:left w:val="none" w:sz="0" w:space="0" w:color="auto"/>
                <w:bottom w:val="none" w:sz="0" w:space="0" w:color="auto"/>
                <w:right w:val="none" w:sz="0" w:space="0" w:color="auto"/>
              </w:divBdr>
              <w:divsChild>
                <w:div w:id="546184976">
                  <w:marLeft w:val="0"/>
                  <w:marRight w:val="0"/>
                  <w:marTop w:val="0"/>
                  <w:marBottom w:val="0"/>
                  <w:divBdr>
                    <w:top w:val="none" w:sz="0" w:space="0" w:color="auto"/>
                    <w:left w:val="none" w:sz="0" w:space="0" w:color="auto"/>
                    <w:bottom w:val="none" w:sz="0" w:space="0" w:color="auto"/>
                    <w:right w:val="none" w:sz="0" w:space="0" w:color="auto"/>
                  </w:divBdr>
                  <w:divsChild>
                    <w:div w:id="1310859757">
                      <w:marLeft w:val="0"/>
                      <w:marRight w:val="0"/>
                      <w:marTop w:val="0"/>
                      <w:marBottom w:val="0"/>
                      <w:divBdr>
                        <w:top w:val="none" w:sz="0" w:space="0" w:color="auto"/>
                        <w:left w:val="none" w:sz="0" w:space="0" w:color="auto"/>
                        <w:bottom w:val="none" w:sz="0" w:space="0" w:color="auto"/>
                        <w:right w:val="none" w:sz="0" w:space="0" w:color="auto"/>
                      </w:divBdr>
                      <w:divsChild>
                        <w:div w:id="639456687">
                          <w:marLeft w:val="0"/>
                          <w:marRight w:val="0"/>
                          <w:marTop w:val="0"/>
                          <w:marBottom w:val="0"/>
                          <w:divBdr>
                            <w:top w:val="none" w:sz="0" w:space="0" w:color="auto"/>
                            <w:left w:val="none" w:sz="0" w:space="0" w:color="auto"/>
                            <w:bottom w:val="none" w:sz="0" w:space="0" w:color="auto"/>
                            <w:right w:val="none" w:sz="0" w:space="0" w:color="auto"/>
                          </w:divBdr>
                          <w:divsChild>
                            <w:div w:id="1690329559">
                              <w:marLeft w:val="0"/>
                              <w:marRight w:val="0"/>
                              <w:marTop w:val="0"/>
                              <w:marBottom w:val="0"/>
                              <w:divBdr>
                                <w:top w:val="none" w:sz="0" w:space="0" w:color="auto"/>
                                <w:left w:val="none" w:sz="0" w:space="0" w:color="auto"/>
                                <w:bottom w:val="none" w:sz="0" w:space="0" w:color="auto"/>
                                <w:right w:val="none" w:sz="0" w:space="0" w:color="auto"/>
                              </w:divBdr>
                              <w:divsChild>
                                <w:div w:id="550638">
                                  <w:marLeft w:val="0"/>
                                  <w:marRight w:val="0"/>
                                  <w:marTop w:val="0"/>
                                  <w:marBottom w:val="0"/>
                                  <w:divBdr>
                                    <w:top w:val="none" w:sz="0" w:space="0" w:color="auto"/>
                                    <w:left w:val="none" w:sz="0" w:space="0" w:color="auto"/>
                                    <w:bottom w:val="none" w:sz="0" w:space="0" w:color="auto"/>
                                    <w:right w:val="none" w:sz="0" w:space="0" w:color="auto"/>
                                  </w:divBdr>
                                  <w:divsChild>
                                    <w:div w:id="19355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578204">
      <w:bodyDiv w:val="1"/>
      <w:marLeft w:val="0"/>
      <w:marRight w:val="0"/>
      <w:marTop w:val="0"/>
      <w:marBottom w:val="0"/>
      <w:divBdr>
        <w:top w:val="none" w:sz="0" w:space="0" w:color="auto"/>
        <w:left w:val="none" w:sz="0" w:space="0" w:color="auto"/>
        <w:bottom w:val="none" w:sz="0" w:space="0" w:color="auto"/>
        <w:right w:val="none" w:sz="0" w:space="0" w:color="auto"/>
      </w:divBdr>
    </w:div>
    <w:div w:id="205044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4333025000286" TargetMode="External"/><Relationship Id="rId13" Type="http://schemas.openxmlformats.org/officeDocument/2006/relationships/hyperlink" Target="https://scispace.com/papers/a-review-on-green-accounting-practices-and-sustainable-3okiis0wlu" TargetMode="External"/><Relationship Id="rId3" Type="http://schemas.openxmlformats.org/officeDocument/2006/relationships/settings" Target="settings.xml"/><Relationship Id="rId7" Type="http://schemas.openxmlformats.org/officeDocument/2006/relationships/hyperlink" Target="https://idev.afdb.org/en/document/decade-move-evaluation-afdbs-support-transport-sector-2012-2023?utm_source=chatgpt.com" TargetMode="External"/><Relationship Id="rId12" Type="http://schemas.openxmlformats.org/officeDocument/2006/relationships/hyperlink" Target="https://scispace.com/papers/application-green-accounting-to-sustainable-development-9jprpxy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07/s4362102502246x" TargetMode="External"/><Relationship Id="rId11" Type="http://schemas.openxmlformats.org/officeDocument/2006/relationships/hyperlink" Target="https://doi.org/10.1016/j.jclepro.2022.134930" TargetMode="External"/><Relationship Id="rId5" Type="http://schemas.openxmlformats.org/officeDocument/2006/relationships/hyperlink" Target="https://scispace.com/papers/green-accounting-financial-performance-and-company-value-a-3rbdzqolkz" TargetMode="External"/><Relationship Id="rId15" Type="http://schemas.openxmlformats.org/officeDocument/2006/relationships/fontTable" Target="fontTable.xml"/><Relationship Id="rId10" Type="http://schemas.openxmlformats.org/officeDocument/2006/relationships/hyperlink" Target="https://doi.org/10.22515/sustinere.jes.v8i2.413" TargetMode="External"/><Relationship Id="rId4" Type="http://schemas.openxmlformats.org/officeDocument/2006/relationships/webSettings" Target="webSettings.xml"/><Relationship Id="rId9" Type="http://schemas.openxmlformats.org/officeDocument/2006/relationships/hyperlink" Target="https://doi.org/10.1177/014920639101700108" TargetMode="External"/><Relationship Id="rId14" Type="http://schemas.openxmlformats.org/officeDocument/2006/relationships/hyperlink" Target="https://scispace.com/papers/green-accounting-and-sustainable-performance-of-micro-small-4fwuaey8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19</Pages>
  <Words>7476</Words>
  <Characters>42617</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Editor-1183</cp:lastModifiedBy>
  <cp:revision>48</cp:revision>
  <cp:lastPrinted>2026-03-02T10:31:00Z</cp:lastPrinted>
  <dcterms:created xsi:type="dcterms:W3CDTF">2025-05-23T13:29:00Z</dcterms:created>
  <dcterms:modified xsi:type="dcterms:W3CDTF">2026-03-11T06:27:00Z</dcterms:modified>
</cp:coreProperties>
</file>