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6E664E" w:rsidRDefault="006E664E" w:rsidP="0032134B">
      <w:pPr>
        <w:pStyle w:val="Author"/>
        <w:rPr>
          <w:rFonts w:ascii="Arial" w:hAnsi="Arial" w:cs="Arial"/>
          <w:bCs/>
          <w:iCs/>
          <w:kern w:val="28"/>
          <w:sz w:val="20"/>
          <w:lang w:val="id"/>
        </w:rPr>
      </w:pPr>
      <w:r w:rsidRPr="00FB0D9B">
        <w:rPr>
          <w:i/>
          <w:iCs/>
          <w:highlight w:val="yellow"/>
          <w:lang w:val="en-IN" w:eastAsia="en-IN"/>
        </w:rPr>
        <w:t>Determinants of Investment Intention: Evidence from Investors in Surabaya Capital Market Using a TPB Framework</w:t>
      </w:r>
      <w:r w:rsidRPr="00A0781F" w:rsidDel="006E664E">
        <w:rPr>
          <w:rFonts w:ascii="Arial" w:hAnsi="Arial" w:cs="Arial"/>
          <w:bCs/>
          <w:iCs/>
          <w:kern w:val="28"/>
          <w:sz w:val="20"/>
          <w:lang w:val="id"/>
        </w:rPr>
        <w:t xml:space="preserve"> </w:t>
      </w:r>
    </w:p>
    <w:p w:rsidR="006E664E" w:rsidRDefault="006E664E" w:rsidP="0032134B">
      <w:pPr>
        <w:pStyle w:val="Author"/>
        <w:rPr>
          <w:rFonts w:ascii="Arial" w:hAnsi="Arial" w:cs="Arial"/>
          <w:bCs/>
          <w:iCs/>
          <w:kern w:val="28"/>
          <w:sz w:val="20"/>
          <w:lang w:val="id"/>
        </w:rPr>
      </w:pPr>
    </w:p>
    <w:p w:rsidR="00A258C3" w:rsidRPr="00790ADA" w:rsidRDefault="00A258C3" w:rsidP="00441B6F">
      <w:pPr>
        <w:pStyle w:val="Author"/>
        <w:spacing w:line="240" w:lineRule="auto"/>
        <w:jc w:val="both"/>
        <w:rPr>
          <w:rFonts w:ascii="Arial" w:hAnsi="Arial" w:cs="Arial"/>
          <w:sz w:val="36"/>
        </w:rPr>
      </w:pPr>
    </w:p>
    <w:p w:rsidR="00790ADA" w:rsidRDefault="00790ADA" w:rsidP="00441B6F">
      <w:pPr>
        <w:pStyle w:val="Author"/>
        <w:spacing w:line="240" w:lineRule="auto"/>
        <w:rPr>
          <w:rFonts w:ascii="Arial" w:hAnsi="Arial" w:cs="Arial"/>
        </w:rPr>
      </w:pPr>
    </w:p>
    <w:p w:rsidR="00B01FCD" w:rsidRPr="0032134B" w:rsidRDefault="00B01FCD" w:rsidP="00441B6F">
      <w:pPr>
        <w:pStyle w:val="Affiliation"/>
        <w:spacing w:after="0" w:line="240" w:lineRule="auto"/>
        <w:rPr>
          <w:rFonts w:ascii="Arial" w:hAnsi="Arial" w:cs="Arial"/>
          <w:i/>
        </w:rPr>
      </w:pPr>
    </w:p>
    <w:p w:rsidR="002C57D2" w:rsidRDefault="007D2C8C" w:rsidP="007D2C8C">
      <w:pPr>
        <w:pStyle w:val="Affiliation"/>
        <w:tabs>
          <w:tab w:val="left" w:pos="3235"/>
        </w:tabs>
        <w:spacing w:after="0" w:line="240" w:lineRule="auto"/>
        <w:jc w:val="both"/>
        <w:rPr>
          <w:rFonts w:ascii="Arial" w:hAnsi="Arial" w:cs="Arial"/>
        </w:rPr>
      </w:pPr>
      <w:r>
        <w:rPr>
          <w:rFonts w:ascii="Arial" w:hAnsi="Arial" w:cs="Arial"/>
        </w:rPr>
        <w:tab/>
      </w:r>
    </w:p>
    <w:p w:rsidR="005E0752" w:rsidRPr="00FB3A86" w:rsidRDefault="005E0752" w:rsidP="00441B6F">
      <w:pPr>
        <w:pStyle w:val="Affiliation"/>
        <w:spacing w:after="0" w:line="240" w:lineRule="auto"/>
        <w:jc w:val="both"/>
        <w:rPr>
          <w:rFonts w:ascii="Arial" w:hAnsi="Arial" w:cs="Arial"/>
        </w:rPr>
      </w:pPr>
    </w:p>
    <w:p w:rsidR="00B01FCD" w:rsidRPr="00FB3A86" w:rsidRDefault="006E664E" w:rsidP="00441B6F">
      <w:pPr>
        <w:pStyle w:val="Copyright"/>
        <w:spacing w:after="0" w:line="240" w:lineRule="auto"/>
        <w:jc w:val="both"/>
        <w:rPr>
          <w:rFonts w:ascii="Arial" w:hAnsi="Arial" w:cs="Arial"/>
        </w:rPr>
        <w:sectPr w:rsidR="00B01FCD" w:rsidRPr="00FB3A86" w:rsidSect="007468A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bookmarkStart w:id="0" w:name="_GoBack"/>
      <w:bookmarkEnd w:id="0"/>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E3114E" w:rsidRPr="00FB0D9B" w:rsidRDefault="00CB00BD" w:rsidP="00FB0D9B">
            <w:pPr>
              <w:pStyle w:val="Body"/>
              <w:rPr>
                <w:rFonts w:ascii="Arial" w:hAnsi="Arial" w:cs="Arial"/>
              </w:rPr>
            </w:pPr>
            <w:r w:rsidRPr="00FB0D9B">
              <w:rPr>
                <w:rFonts w:ascii="Arial" w:eastAsia="Calibri" w:hAnsi="Arial" w:cs="Arial"/>
                <w:b/>
                <w:szCs w:val="22"/>
                <w:highlight w:val="yellow"/>
              </w:rPr>
              <w:t xml:space="preserve">Background: </w:t>
            </w:r>
            <w:r w:rsidRPr="00FB0D9B">
              <w:rPr>
                <w:rFonts w:ascii="Arial" w:hAnsi="Arial" w:cs="Arial"/>
                <w:highlight w:val="yellow"/>
              </w:rPr>
              <w:t>Investment intentions are often influenced by personality traits or a person's way of acting when deciding something. Personality traits are a person's way of acting which is shown or applied in an attitude, character, belief, and so on.</w:t>
            </w:r>
            <w:r w:rsidRPr="00FB0D9B">
              <w:rPr>
                <w:rFonts w:ascii="Arial" w:hAnsi="Arial" w:cs="Arial"/>
                <w:highlight w:val="yellow"/>
              </w:rPr>
              <w:t xml:space="preserve"> The small ratio of the number of investors to the population in Indonesia raises the question of what motivates the entry of new investors in the Indonesian capital market.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2134B" w:rsidRPr="0032134B">
              <w:rPr>
                <w:rFonts w:ascii="Arial" w:eastAsia="Calibri" w:hAnsi="Arial" w:cs="Arial"/>
                <w:szCs w:val="22"/>
              </w:rPr>
              <w:t>This research is conducted by testing and analyzing the variables of financial attitude, subjective norms, financial self-efficacy, and financial knowledge on investment intention.</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32134B" w:rsidRPr="0032134B">
              <w:rPr>
                <w:rFonts w:ascii="Arial" w:eastAsia="Calibri" w:hAnsi="Arial" w:cs="Arial"/>
                <w:szCs w:val="22"/>
              </w:rPr>
              <w:t>This research type is comparative causal research. The population was all investors in Surabaya City.</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2134B" w:rsidRPr="0032134B">
              <w:rPr>
                <w:rFonts w:ascii="Arial" w:eastAsia="Calibri" w:hAnsi="Arial" w:cs="Arial"/>
                <w:szCs w:val="22"/>
              </w:rPr>
              <w:t xml:space="preserve">The sampling technique </w:t>
            </w:r>
            <w:r w:rsidR="0032134B" w:rsidRPr="00FB0D9B">
              <w:rPr>
                <w:rFonts w:ascii="Arial" w:eastAsia="Calibri" w:hAnsi="Arial" w:cs="Arial"/>
                <w:szCs w:val="22"/>
                <w:highlight w:val="yellow"/>
              </w:rPr>
              <w:t xml:space="preserve">used </w:t>
            </w:r>
            <w:r w:rsidR="00701105" w:rsidRPr="00FB0D9B">
              <w:rPr>
                <w:rFonts w:ascii="Arial" w:eastAsia="Calibri" w:hAnsi="Arial" w:cs="Arial"/>
                <w:szCs w:val="22"/>
                <w:highlight w:val="yellow"/>
              </w:rPr>
              <w:t xml:space="preserve">was </w:t>
            </w:r>
            <w:r w:rsidR="0032134B" w:rsidRPr="00FB0D9B">
              <w:rPr>
                <w:rFonts w:ascii="Arial" w:eastAsia="Calibri" w:hAnsi="Arial" w:cs="Arial"/>
                <w:szCs w:val="22"/>
                <w:highlight w:val="yellow"/>
              </w:rPr>
              <w:t>accid</w:t>
            </w:r>
            <w:r w:rsidR="0032134B" w:rsidRPr="0032134B">
              <w:rPr>
                <w:rFonts w:ascii="Arial" w:eastAsia="Calibri" w:hAnsi="Arial" w:cs="Arial"/>
                <w:szCs w:val="22"/>
              </w:rPr>
              <w:t>ental sampling. The analysis technique used is structural equation modeling (SEM) with Amos 24 software.</w:t>
            </w:r>
          </w:p>
          <w:p w:rsidR="0032134B" w:rsidRPr="00FB0D9B" w:rsidRDefault="00BA1B01" w:rsidP="00FB0D9B">
            <w:pPr>
              <w:pStyle w:val="Body"/>
              <w:rPr>
                <w:rFonts w:ascii="Arial" w:hAnsi="Arial" w:cs="Arial"/>
              </w:rPr>
            </w:pPr>
            <w:r w:rsidRPr="00BA1B01">
              <w:rPr>
                <w:rFonts w:ascii="Arial" w:eastAsia="Calibri" w:hAnsi="Arial" w:cs="Arial"/>
                <w:b/>
                <w:bCs/>
                <w:szCs w:val="22"/>
              </w:rPr>
              <w:t>Methodology:</w:t>
            </w:r>
            <w:r w:rsidRPr="00BA1B01">
              <w:rPr>
                <w:rFonts w:ascii="Arial" w:eastAsia="Calibri" w:hAnsi="Arial" w:cs="Arial"/>
                <w:szCs w:val="22"/>
              </w:rPr>
              <w:t xml:space="preserve"> </w:t>
            </w:r>
            <w:r w:rsidR="0032134B" w:rsidRPr="0032134B">
              <w:rPr>
                <w:rFonts w:ascii="Arial" w:eastAsia="Calibri" w:hAnsi="Arial" w:cs="Arial"/>
                <w:szCs w:val="22"/>
              </w:rPr>
              <w:t>These tests and analyzes are carried out directly and indirectly or through mediated relationships through financial attitude and financial self-efficacy.</w:t>
            </w:r>
            <w:r w:rsidR="006E664E">
              <w:rPr>
                <w:rFonts w:ascii="Arial" w:eastAsia="Calibri" w:hAnsi="Arial" w:cs="Arial"/>
                <w:szCs w:val="22"/>
              </w:rPr>
              <w:t xml:space="preserve"> </w:t>
            </w:r>
            <w:r w:rsidR="006E664E" w:rsidRPr="00FB0D9B">
              <w:rPr>
                <w:rFonts w:ascii="Arial" w:hAnsi="Arial" w:cs="Arial"/>
                <w:highlight w:val="yellow"/>
              </w:rPr>
              <w:t>The sample size for analysis using Structural equation modeling (SEM) which uses the Maximum Likelihood Estimation (MLE) model is 100 – 200 samples. The researcher's sample size was determined as 135 respondents and has entered the size range that can be used in SEM analysis.</w:t>
            </w:r>
            <w:r w:rsidR="00A12A73" w:rsidRPr="00FB0D9B">
              <w:rPr>
                <w:rFonts w:ascii="Arial" w:hAnsi="Arial" w:cs="Arial"/>
                <w:highlight w:val="yellow"/>
              </w:rPr>
              <w:t xml:space="preserve"> SEM evaluation is used to test model fit which can be assessed based on testing various fit indices obtained from AMOS based on evaluating the fulfillment of SEM assumptions, namely normality assumptions, outlier assumptions, and multicollinearity and singularity assumptions.</w:t>
            </w:r>
          </w:p>
          <w:p w:rsidR="0032134B"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2134B" w:rsidRPr="0032134B">
              <w:rPr>
                <w:rFonts w:ascii="Arial" w:eastAsia="Calibri" w:hAnsi="Arial" w:cs="Arial"/>
                <w:szCs w:val="22"/>
              </w:rPr>
              <w:t>The conclusion is that financial attitude has a positive and significant effect on investment intentions. Subjective norms have a positive and insignificant effect on investment intentions in the capital market. Financial self-efficacy has a positive and insignificant effect on investment intentions in the capital market. Financial knowledge has a positive and significant effect on investment intentions in the capital market. Financial knowledge has a positive and significant effect on financial attitude in the capital market. Personality traits have a positive and insignificant effect on investment intentions in the capital market. Personality traits have a positive and significant effect on financial self-efficacy. Financial knowledge on investment intention mediated by financial attitude has a significant relationship. Personality traits on investment intention mediated by financial self-efficacy are not significant.</w:t>
            </w:r>
          </w:p>
          <w:p w:rsidR="00505F06" w:rsidRPr="00BA1B01" w:rsidRDefault="00BA1B01" w:rsidP="0032134B">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2134B" w:rsidRPr="0032134B">
              <w:rPr>
                <w:rFonts w:ascii="Arial" w:eastAsia="Calibri" w:hAnsi="Arial" w:cs="Arial"/>
                <w:szCs w:val="22"/>
              </w:rPr>
              <w:t>The contributions of this research are expected to facilitate further understanding of the factors that influence investment intentions, especially in Surabaya, and enrich the financial behavior literature with adjustments and additional variables in the Theory of Planned Behavior (TPB) framework.</w:t>
            </w:r>
          </w:p>
        </w:tc>
      </w:tr>
    </w:tbl>
    <w:p w:rsidR="00636EB2" w:rsidRDefault="00636EB2" w:rsidP="00441B6F">
      <w:pPr>
        <w:pStyle w:val="Body"/>
        <w:spacing w:after="0"/>
        <w:rPr>
          <w:rFonts w:ascii="Arial" w:hAnsi="Arial" w:cs="Arial"/>
          <w:i/>
        </w:rPr>
      </w:pPr>
    </w:p>
    <w:p w:rsidR="00790ADA" w:rsidRPr="0032134B" w:rsidRDefault="00A24E7E" w:rsidP="0032134B">
      <w:pPr>
        <w:pStyle w:val="Body"/>
        <w:rPr>
          <w:rFonts w:ascii="Arial" w:hAnsi="Arial" w:cs="Arial"/>
          <w:i/>
          <w:iCs/>
          <w:lang w:val="id-ID"/>
        </w:rPr>
      </w:pPr>
      <w:r>
        <w:rPr>
          <w:rFonts w:ascii="Arial" w:hAnsi="Arial" w:cs="Arial"/>
          <w:i/>
        </w:rPr>
        <w:t xml:space="preserve">Keywords: </w:t>
      </w:r>
      <w:r w:rsidR="0032134B" w:rsidRPr="0032134B">
        <w:rPr>
          <w:rFonts w:ascii="Arial" w:hAnsi="Arial" w:cs="Arial"/>
          <w:i/>
          <w:iCs/>
          <w:lang w:val="id-ID"/>
        </w:rPr>
        <w:t xml:space="preserve">Financial </w:t>
      </w:r>
      <w:proofErr w:type="gramStart"/>
      <w:r w:rsidR="0032134B" w:rsidRPr="0032134B">
        <w:rPr>
          <w:rFonts w:ascii="Arial" w:hAnsi="Arial" w:cs="Arial"/>
          <w:i/>
          <w:iCs/>
          <w:lang w:val="id-ID"/>
        </w:rPr>
        <w:t>Attitude;</w:t>
      </w:r>
      <w:r w:rsidR="0032134B">
        <w:rPr>
          <w:rFonts w:ascii="Arial" w:hAnsi="Arial" w:cs="Arial"/>
          <w:i/>
          <w:iCs/>
        </w:rPr>
        <w:t>,</w:t>
      </w:r>
      <w:proofErr w:type="gramEnd"/>
      <w:r w:rsidR="0032134B" w:rsidRPr="0032134B">
        <w:rPr>
          <w:rFonts w:ascii="Arial" w:hAnsi="Arial" w:cs="Arial"/>
          <w:i/>
          <w:iCs/>
          <w:lang w:val="id-ID"/>
        </w:rPr>
        <w:t>Financial Self-efficacy;Financial Knowledge;Investment Intentions;Personality Traits.</w:t>
      </w: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1844F8" w:rsidRDefault="00790ADA" w:rsidP="00441B6F">
      <w:pPr>
        <w:pStyle w:val="AbstHead"/>
        <w:spacing w:after="0"/>
        <w:jc w:val="both"/>
        <w:rPr>
          <w:rFonts w:ascii="Arial" w:hAnsi="Arial" w:cs="Arial"/>
          <w:b w:val="0"/>
          <w:bCs/>
        </w:rPr>
      </w:pPr>
    </w:p>
    <w:p w:rsidR="00207B8C" w:rsidRPr="00FB0D9B" w:rsidRDefault="00207B8C" w:rsidP="00FB0D9B">
      <w:pPr>
        <w:spacing w:before="100" w:beforeAutospacing="1" w:after="100" w:afterAutospacing="1"/>
        <w:jc w:val="both"/>
        <w:rPr>
          <w:rFonts w:ascii="Times New Roman" w:hAnsi="Times New Roman"/>
          <w:sz w:val="22"/>
          <w:szCs w:val="24"/>
        </w:rPr>
      </w:pPr>
      <w:r w:rsidRPr="00FB0D9B">
        <w:rPr>
          <w:rFonts w:ascii="Times New Roman" w:hAnsi="Times New Roman"/>
          <w:sz w:val="22"/>
          <w:szCs w:val="24"/>
          <w:highlight w:val="yellow"/>
        </w:rPr>
        <w:t xml:space="preserve">The development of well-functioning and robust stock markets is a critical component for strengthening the financial systems of developing countries. Efficient stock markets facilitate capital </w:t>
      </w:r>
      <w:proofErr w:type="spellStart"/>
      <w:r w:rsidRPr="00FB0D9B">
        <w:rPr>
          <w:rFonts w:ascii="Times New Roman" w:hAnsi="Times New Roman"/>
          <w:sz w:val="22"/>
          <w:szCs w:val="24"/>
          <w:highlight w:val="yellow"/>
        </w:rPr>
        <w:t>mobilisation</w:t>
      </w:r>
      <w:proofErr w:type="spellEnd"/>
      <w:r w:rsidRPr="00FB0D9B">
        <w:rPr>
          <w:rFonts w:ascii="Times New Roman" w:hAnsi="Times New Roman"/>
          <w:sz w:val="22"/>
          <w:szCs w:val="24"/>
          <w:highlight w:val="yellow"/>
        </w:rPr>
        <w:t xml:space="preserve"> by enabling firms to access long-term funding, improve the allocation of financial resources, and provide diverse investment opportunities for both domestic and international investors. Beyond their role in capital formation, developed stock markets contribute to financial deepening, enhance market transparency, and support the efficient pricing of risk. Empirical evidence from a range of economies consistently demonstrates a positive association between stock market development and economic growth. By promoting investment, encouraging entrepreneurship, and improving the efficiency of resource allocation, well-developed equity markets can act as catalysts for broader economic expansion, industrial development, and sustainable wealth creation in developing nations</w:t>
      </w:r>
      <w:r>
        <w:rPr>
          <w:rFonts w:ascii="Times New Roman" w:hAnsi="Times New Roman"/>
          <w:sz w:val="22"/>
          <w:szCs w:val="24"/>
          <w:highlight w:val="yellow"/>
        </w:rPr>
        <w:t xml:space="preserve"> (</w:t>
      </w:r>
      <w:proofErr w:type="spellStart"/>
      <w:r w:rsidRPr="00C87730">
        <w:rPr>
          <w:rFonts w:ascii="inherit" w:hAnsi="inherit" w:cs="Helvetica"/>
          <w:color w:val="222222"/>
          <w:sz w:val="18"/>
          <w:szCs w:val="18"/>
          <w:highlight w:val="yellow"/>
        </w:rPr>
        <w:t>Eshpulatov</w:t>
      </w:r>
      <w:proofErr w:type="spellEnd"/>
      <w:r>
        <w:rPr>
          <w:rFonts w:ascii="inherit" w:hAnsi="inherit" w:cs="Helvetica"/>
          <w:color w:val="222222"/>
          <w:sz w:val="18"/>
          <w:szCs w:val="18"/>
          <w:highlight w:val="yellow"/>
        </w:rPr>
        <w:t xml:space="preserve"> et al., 2025</w:t>
      </w:r>
      <w:r>
        <w:rPr>
          <w:rFonts w:ascii="Times New Roman" w:hAnsi="Times New Roman"/>
          <w:sz w:val="22"/>
          <w:szCs w:val="24"/>
          <w:highlight w:val="yellow"/>
        </w:rPr>
        <w:t>)</w:t>
      </w:r>
      <w:r w:rsidRPr="00FB0D9B">
        <w:rPr>
          <w:rFonts w:ascii="Times New Roman" w:hAnsi="Times New Roman"/>
          <w:sz w:val="22"/>
          <w:szCs w:val="24"/>
          <w:highlight w:val="yellow"/>
        </w:rPr>
        <w:t>.</w:t>
      </w:r>
    </w:p>
    <w:p w:rsidR="00E61638" w:rsidRPr="00E61638" w:rsidRDefault="00E61638" w:rsidP="00E61638">
      <w:pPr>
        <w:autoSpaceDE w:val="0"/>
        <w:autoSpaceDN w:val="0"/>
        <w:adjustRightInd w:val="0"/>
        <w:rPr>
          <w:rFonts w:ascii="Century Schoolbook" w:hAnsi="Century Schoolbook" w:cs="Century Schoolbook"/>
          <w:color w:val="000000"/>
          <w:sz w:val="24"/>
          <w:szCs w:val="24"/>
        </w:rPr>
      </w:pPr>
    </w:p>
    <w:p w:rsidR="001844F8" w:rsidRPr="001844F8" w:rsidRDefault="00E61638" w:rsidP="00E61638">
      <w:pPr>
        <w:pStyle w:val="Body"/>
        <w:rPr>
          <w:rFonts w:ascii="Arial" w:hAnsi="Arial" w:cs="Arial"/>
        </w:rPr>
      </w:pPr>
      <w:r w:rsidRPr="00E61638">
        <w:rPr>
          <w:rFonts w:ascii="Century Schoolbook" w:hAnsi="Century Schoolbook" w:cs="Century Schoolbook"/>
          <w:color w:val="000000"/>
          <w:sz w:val="24"/>
          <w:szCs w:val="24"/>
        </w:rPr>
        <w:t xml:space="preserve"> </w:t>
      </w:r>
      <w:r w:rsidRPr="00FB0D9B">
        <w:rPr>
          <w:rFonts w:ascii="Century Schoolbook" w:hAnsi="Century Schoolbook" w:cs="Century Schoolbook"/>
          <w:color w:val="000000"/>
          <w:sz w:val="18"/>
          <w:szCs w:val="18"/>
          <w:highlight w:val="yellow"/>
        </w:rPr>
        <w:t xml:space="preserve">Stock investments have gained considerable popularity in the capital market due to their potential to generate substantial long-term gains. </w:t>
      </w:r>
      <w:r w:rsidRPr="00FB0D9B">
        <w:rPr>
          <w:sz w:val="18"/>
          <w:szCs w:val="18"/>
          <w:highlight w:val="yellow"/>
        </w:rPr>
        <w:t>A deeper understanding of the factors influencing stock investment intentions can provide better insights for investors, financial institutions, and capital market regulators. In this way, stakeholders within a company can develop more effective strategies to increase public participation in the capital market and provide information that can support investors in making wiser investment decisions (</w:t>
      </w:r>
      <w:r w:rsidRPr="00FB0D9B">
        <w:rPr>
          <w:rFonts w:ascii="Arial" w:hAnsi="Arial" w:cs="Arial"/>
          <w:color w:val="222222"/>
          <w:highlight w:val="yellow"/>
          <w:shd w:val="clear" w:color="auto" w:fill="FFFFFF"/>
        </w:rPr>
        <w:t>Putri et al., 2025)</w:t>
      </w:r>
      <w:r w:rsidRPr="00FB0D9B">
        <w:rPr>
          <w:sz w:val="18"/>
          <w:szCs w:val="18"/>
          <w:highlight w:val="yellow"/>
        </w:rPr>
        <w:t>.</w:t>
      </w:r>
      <w:r>
        <w:rPr>
          <w:sz w:val="18"/>
          <w:szCs w:val="18"/>
        </w:rPr>
        <w:t xml:space="preserve"> </w:t>
      </w:r>
      <w:r w:rsidR="001844F8" w:rsidRPr="001844F8">
        <w:rPr>
          <w:rFonts w:ascii="Arial" w:hAnsi="Arial" w:cs="Arial"/>
        </w:rPr>
        <w:t xml:space="preserve">Indonesian capital market investors grew 89.58% to 7.3 million SID. This number is the consolidated number of SIDs consisting of investors in shares, debt securities, mutual funds, government securities (SBN) and other types of securities registered at KSEI, with a composition of 3.4 million </w:t>
      </w:r>
      <w:r w:rsidR="001844F8" w:rsidRPr="00FB0D9B">
        <w:rPr>
          <w:rFonts w:ascii="Arial" w:hAnsi="Arial" w:cs="Arial"/>
          <w:highlight w:val="yellow"/>
        </w:rPr>
        <w:t xml:space="preserve">SIDs </w:t>
      </w:r>
      <w:r w:rsidR="00701105" w:rsidRPr="00FB0D9B">
        <w:rPr>
          <w:rFonts w:ascii="Arial" w:hAnsi="Arial" w:cs="Arial"/>
          <w:highlight w:val="yellow"/>
        </w:rPr>
        <w:t>that</w:t>
      </w:r>
      <w:r w:rsidR="00701105" w:rsidRPr="00FB0D9B">
        <w:rPr>
          <w:rFonts w:ascii="Arial" w:hAnsi="Arial" w:cs="Arial"/>
          <w:highlight w:val="yellow"/>
        </w:rPr>
        <w:t xml:space="preserve"> </w:t>
      </w:r>
      <w:r w:rsidR="001844F8" w:rsidRPr="00FB0D9B">
        <w:rPr>
          <w:rFonts w:ascii="Arial" w:hAnsi="Arial" w:cs="Arial"/>
          <w:highlight w:val="yellow"/>
        </w:rPr>
        <w:t>have</w:t>
      </w:r>
      <w:r w:rsidR="001844F8" w:rsidRPr="001844F8">
        <w:rPr>
          <w:rFonts w:ascii="Arial" w:hAnsi="Arial" w:cs="Arial"/>
        </w:rPr>
        <w:t xml:space="preserve"> stock assets, 6.7 million SIDs have mutual fund assets and 607 thousand SIDs have SBN assets. The demographic data for investors in Indonesia is currently dominated by 62.55% men, 59.84% under 30 years old, 32.88% private employees, 58.33% undergraduate graduates, 36.25% earning 10-100 million/month and 69.84% live on the island of Java </w:t>
      </w:r>
      <w:r w:rsidR="001844F8" w:rsidRPr="001844F8">
        <w:rPr>
          <w:rFonts w:ascii="Arial" w:hAnsi="Arial" w:cs="Arial"/>
        </w:rPr>
        <w:fldChar w:fldCharType="begin" w:fldLock="1"/>
      </w:r>
      <w:r w:rsidR="001844F8" w:rsidRPr="001844F8">
        <w:rPr>
          <w:rFonts w:ascii="Arial" w:hAnsi="Arial" w:cs="Arial"/>
        </w:rPr>
        <w:instrText>ADDIN CSL_CITATION {"citationItems":[{"id":"ITEM-1","itemData":{"author":[{"dropping-particle":"","family":"KSEI","given":"","non-dropping-particle":"","parse-names":false,"suffix":""}],"id":"ITEM-1","issued":{"date-parts":[["2021"]]},"number-of-pages":"4-7","title":"Bertepatan Dengan Usia 24 Tahun , KSEI Raih Gelar Kustodian Sentral Terbaik dan Sub Registry Terbaik","type":"report"},"uris":["http://www.mendeley.com/documents/?uuid=2b96aadc-9853-43c1-a410-5088d7a39dfe"]}],"mendeley":{"formattedCitation":"(KSEI, 2021)","plainTextFormattedCitation":"(KSEI, 2021)","previouslyFormattedCitation":"(KSEI, 2021)"},"properties":{"noteIndex":0},"schema":"https://github.com/citation-style-language/schema/raw/master/csl-citation.json"}</w:instrText>
      </w:r>
      <w:r w:rsidR="001844F8" w:rsidRPr="001844F8">
        <w:rPr>
          <w:rFonts w:ascii="Arial" w:hAnsi="Arial" w:cs="Arial"/>
        </w:rPr>
        <w:fldChar w:fldCharType="separate"/>
      </w:r>
      <w:r w:rsidR="001844F8" w:rsidRPr="001844F8">
        <w:rPr>
          <w:rFonts w:ascii="Arial" w:hAnsi="Arial" w:cs="Arial"/>
        </w:rPr>
        <w:t>(KSEI, 2021)</w:t>
      </w:r>
      <w:r w:rsidR="001844F8" w:rsidRPr="001844F8">
        <w:rPr>
          <w:rFonts w:ascii="Arial" w:hAnsi="Arial" w:cs="Arial"/>
        </w:rPr>
        <w:fldChar w:fldCharType="end"/>
      </w:r>
      <w:r w:rsidR="001844F8" w:rsidRPr="001844F8">
        <w:rPr>
          <w:rFonts w:ascii="Arial" w:hAnsi="Arial" w:cs="Arial"/>
        </w:rPr>
        <w:t>.</w:t>
      </w:r>
    </w:p>
    <w:p w:rsidR="001844F8" w:rsidRPr="001844F8" w:rsidRDefault="001844F8" w:rsidP="001844F8">
      <w:pPr>
        <w:pStyle w:val="Body"/>
        <w:jc w:val="center"/>
        <w:rPr>
          <w:rFonts w:ascii="Arial" w:hAnsi="Arial" w:cs="Arial"/>
        </w:rPr>
      </w:pPr>
      <w:r w:rsidRPr="001844F8">
        <w:rPr>
          <w:rFonts w:ascii="Arial" w:hAnsi="Arial" w:cs="Arial"/>
          <w:b/>
          <w:bCs/>
        </w:rPr>
        <w:t xml:space="preserve">Graph </w:t>
      </w:r>
      <w:proofErr w:type="gramStart"/>
      <w:r w:rsidRPr="001844F8">
        <w:rPr>
          <w:rFonts w:ascii="Arial" w:hAnsi="Arial" w:cs="Arial"/>
          <w:b/>
          <w:bCs/>
        </w:rPr>
        <w:t>1.</w:t>
      </w:r>
      <w:r w:rsidRPr="001844F8">
        <w:rPr>
          <w:rFonts w:ascii="Arial" w:hAnsi="Arial" w:cs="Arial"/>
        </w:rPr>
        <w:t>The</w:t>
      </w:r>
      <w:proofErr w:type="gramEnd"/>
      <w:r w:rsidRPr="001844F8">
        <w:rPr>
          <w:rFonts w:ascii="Arial" w:hAnsi="Arial" w:cs="Arial"/>
        </w:rPr>
        <w:t xml:space="preserve"> Number of Capital Market Investors in Indonesia</w:t>
      </w:r>
    </w:p>
    <w:p w:rsidR="001844F8" w:rsidRPr="001844F8" w:rsidRDefault="001844F8" w:rsidP="001844F8">
      <w:pPr>
        <w:pStyle w:val="Body"/>
        <w:jc w:val="center"/>
        <w:rPr>
          <w:rFonts w:ascii="Arial" w:hAnsi="Arial" w:cs="Arial"/>
        </w:rPr>
      </w:pPr>
      <w:r w:rsidRPr="001844F8">
        <w:rPr>
          <w:rFonts w:ascii="Arial" w:hAnsi="Arial" w:cs="Arial"/>
          <w:noProof/>
        </w:rPr>
        <w:drawing>
          <wp:inline distT="0" distB="0" distL="0" distR="0" wp14:anchorId="785B7AAB" wp14:editId="687DE091">
            <wp:extent cx="2464435" cy="140460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t="13574"/>
                    <a:stretch/>
                  </pic:blipFill>
                  <pic:spPr bwMode="auto">
                    <a:xfrm>
                      <a:off x="0" y="0"/>
                      <a:ext cx="2555313" cy="1456401"/>
                    </a:xfrm>
                    <a:prstGeom prst="rect">
                      <a:avLst/>
                    </a:prstGeom>
                    <a:noFill/>
                    <a:ln>
                      <a:noFill/>
                    </a:ln>
                    <a:extLst>
                      <a:ext uri="{53640926-AAD7-44D8-BBD7-CCE9431645EC}">
                        <a14:shadowObscured xmlns:a14="http://schemas.microsoft.com/office/drawing/2010/main"/>
                      </a:ext>
                    </a:extLst>
                  </pic:spPr>
                </pic:pic>
              </a:graphicData>
            </a:graphic>
          </wp:inline>
        </w:drawing>
      </w:r>
    </w:p>
    <w:p w:rsidR="001844F8" w:rsidRPr="001844F8" w:rsidRDefault="001844F8" w:rsidP="001844F8">
      <w:pPr>
        <w:pStyle w:val="Body"/>
        <w:rPr>
          <w:rFonts w:ascii="Arial" w:hAnsi="Arial" w:cs="Arial"/>
        </w:rPr>
      </w:pPr>
      <w:r w:rsidRPr="001844F8">
        <w:rPr>
          <w:rFonts w:ascii="Arial" w:hAnsi="Arial" w:cs="Arial"/>
        </w:rPr>
        <w:t xml:space="preserve">Source: </w:t>
      </w:r>
      <w:r w:rsidRPr="001844F8">
        <w:rPr>
          <w:rFonts w:ascii="Arial" w:hAnsi="Arial" w:cs="Arial"/>
        </w:rPr>
        <w:fldChar w:fldCharType="begin" w:fldLock="1"/>
      </w:r>
      <w:r w:rsidRPr="001844F8">
        <w:rPr>
          <w:rFonts w:ascii="Arial" w:hAnsi="Arial" w:cs="Arial"/>
        </w:rPr>
        <w:instrText>ADDIN CSL_CITATION {"citationItems":[{"id":"ITEM-1","itemData":{"author":[{"dropping-particle":"","family":"KSEI","given":"","non-dropping-particle":"","parse-names":false,"suffix":""}],"id":"ITEM-1","issued":{"date-parts":[["2021"]]},"number-of-pages":"4-7","title":"Bertepatan Dengan Usia 24 Tahun , KSEI Raih Gelar Kustodian Sentral Terbaik dan Sub Registry Terbaik","type":"report"},"uris":["http://www.mendeley.com/documents/?uuid=2b96aadc-9853-43c1-a410-5088d7a39dfe"]}],"mendeley":{"formattedCitation":"(KSEI, 2021)","plainTextFormattedCitation":"(KSEI, 2021)","previouslyFormattedCitation":"(KSEI, 2021)"},"properties":{"noteIndex":0},"schema":"https://github.com/citation-style-language/schema/raw/master/csl-citation.json"}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(KSEI, 2021)</w:t>
      </w:r>
      <w:r w:rsidRPr="001844F8">
        <w:rPr>
          <w:rFonts w:ascii="Arial" w:hAnsi="Arial" w:cs="Arial"/>
        </w:rPr>
        <w:fldChar w:fldCharType="end"/>
      </w:r>
    </w:p>
    <w:p w:rsidR="001844F8" w:rsidRPr="001844F8" w:rsidRDefault="001844F8" w:rsidP="001844F8">
      <w:pPr>
        <w:pStyle w:val="Body"/>
        <w:rPr>
          <w:rFonts w:ascii="Arial" w:hAnsi="Arial" w:cs="Arial"/>
        </w:rPr>
      </w:pPr>
      <w:r w:rsidRPr="001844F8">
        <w:rPr>
          <w:rFonts w:ascii="Arial" w:hAnsi="Arial" w:cs="Arial"/>
        </w:rPr>
        <w:lastRenderedPageBreak/>
        <w:t xml:space="preserve">There are many reasons for the increase in the number of capital market investors in Indonesia. Firstly, the capital market offers the possibility of "additional income" and getting a return on invested capital. Second, the flexibility of capital market instruments means that one can quickly liquidate the funds they have invested. Lastly is diversity, which means that investors can find assets that suit their investment goals, among the various financial assets available. In addition, there is an increasing trend towards managing one's own pension funds </w:t>
      </w:r>
      <w:r w:rsidRPr="001844F8">
        <w:rPr>
          <w:rFonts w:ascii="Arial" w:hAnsi="Arial" w:cs="Arial"/>
        </w:rPr>
        <w:fldChar w:fldCharType="begin" w:fldLock="1"/>
      </w:r>
      <w:r w:rsidRPr="001844F8">
        <w:rPr>
          <w:rFonts w:ascii="Arial" w:hAnsi="Arial" w:cs="Arial"/>
        </w:rPr>
        <w:instrText>ADDIN CSL_CITATION {"citationItems":[{"id":"ITEM-1","itemData":{"DOI":"10.1016/S0167-4870(03)00056-4","ISSN":"01674870","abstract":"More than 50% of Australians own shares either directly or through managed funds. As the 'baby boomers' age, government policy is encouraging individuals to take responsibility for their own retirement income, suggesting this figure is likely to rise. Despite the importance of individuals' investment decisions, however, we know little about the factors that influence them. The present study uses a conjoint analysis approach, which has previously been used in non-financial product choice research, to investigate the attributes that influence individual investors when they make a decision to buy shares. The results obtained suggest that the majority of individual investors have little interest in speculation and are, by nature, long-term investors. In deciding to buy a particular stock, financial measures, such as dividend and price-earnings ratio are relevant. However, they are less important than the company's management or recent movements in the share's price. © 2003 Elsevier B.V. All rights reserved.","author":[{"dropping-particle":"","family":"Clark-Murphy","given":"Marilyn","non-dropping-particle":"","parse-names":false,"suffix":""},{"dropping-particle":"","family":"Soutar","given":"Geoffrey N.","non-dropping-particle":"","parse-names":false,"suffix":""}],"container-title":"Journal of Economic Psychology","id":"ITEM-1","issue":"4","issued":{"date-parts":[["2004"]]},"page":"539-555","title":"What individual investors value: Some Australian evidence","type":"article-journal","volume":"25"},"uris":["http://www.mendeley.com/documents/?uuid=25cc8067-b4e6-41f7-8326-f9ee193960fa"]}],"mendeley":{"formattedCitation":"(Clark-Murphy &amp; Soutar, 2004)","plainTextFormattedCitation":"(Clark-Murphy &amp; Soutar, 2004)","previouslyFormattedCitation":"(Clark-Murphy &amp; Soutar, 2004)"},"properties":{"noteIndex":0},"schema":"https://github.com/citation-style-language/schema/raw/master/csl-citation.json"}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(Clark-Murphy &amp; Soutar, 2004)</w:t>
      </w:r>
      <w:r w:rsidRPr="001844F8">
        <w:rPr>
          <w:rFonts w:ascii="Arial" w:hAnsi="Arial" w:cs="Arial"/>
        </w:rPr>
        <w:fldChar w:fldCharType="end"/>
      </w:r>
      <w:r w:rsidRPr="001844F8">
        <w:rPr>
          <w:rFonts w:ascii="Arial" w:hAnsi="Arial" w:cs="Arial"/>
        </w:rPr>
        <w:t xml:space="preserve">. However, this increase is still far from the total population of </w:t>
      </w:r>
      <w:r w:rsidRPr="00FB0D9B">
        <w:rPr>
          <w:rFonts w:ascii="Arial" w:hAnsi="Arial" w:cs="Arial"/>
          <w:highlight w:val="yellow"/>
        </w:rPr>
        <w:t>Indonesia</w:t>
      </w:r>
      <w:r w:rsidR="00701105" w:rsidRPr="00FB0D9B">
        <w:rPr>
          <w:rFonts w:ascii="Arial" w:hAnsi="Arial" w:cs="Arial"/>
          <w:highlight w:val="yellow"/>
        </w:rPr>
        <w:t>;</w:t>
      </w:r>
      <w:r w:rsidR="00701105" w:rsidRPr="00FB0D9B">
        <w:rPr>
          <w:rFonts w:ascii="Arial" w:hAnsi="Arial" w:cs="Arial"/>
          <w:highlight w:val="yellow"/>
        </w:rPr>
        <w:t xml:space="preserve"> </w:t>
      </w:r>
      <w:r w:rsidRPr="00FB0D9B">
        <w:rPr>
          <w:rFonts w:ascii="Arial" w:hAnsi="Arial" w:cs="Arial"/>
          <w:highlight w:val="yellow"/>
        </w:rPr>
        <w:t>the total population in Indonesia, the latest data recorded by the Central Statistics Agency (BPS) in 2021 amounted to 272,682.5 thousand people. So, if we calculate the percentage ratio between</w:t>
      </w:r>
      <w:r w:rsidRPr="001844F8">
        <w:rPr>
          <w:rFonts w:ascii="Arial" w:hAnsi="Arial" w:cs="Arial"/>
        </w:rPr>
        <w:t xml:space="preserve"> the number of investors and the population in Indonesia, we only get 2.70%. The small ratio of the number of investors to the population in Indonesia raises the question of what motivates the entry of new investors in the Indonesian capital market.</w:t>
      </w:r>
    </w:p>
    <w:p w:rsidR="001844F8" w:rsidRPr="001844F8" w:rsidRDefault="0069569D" w:rsidP="001844F8">
      <w:pPr>
        <w:pStyle w:val="Body"/>
        <w:rPr>
          <w:rFonts w:ascii="Arial" w:hAnsi="Arial" w:cs="Arial"/>
        </w:rPr>
      </w:pPr>
      <w:r w:rsidRPr="00FB0D9B">
        <w:rPr>
          <w:highlight w:val="yellow"/>
        </w:rPr>
        <w:t xml:space="preserve">Investment intentions, which underpin subsequent decision-making in capital markets, have long been </w:t>
      </w:r>
      <w:proofErr w:type="spellStart"/>
      <w:r w:rsidRPr="00FB0D9B">
        <w:rPr>
          <w:highlight w:val="yellow"/>
        </w:rPr>
        <w:t>recognised</w:t>
      </w:r>
      <w:proofErr w:type="spellEnd"/>
      <w:r w:rsidRPr="00FB0D9B">
        <w:rPr>
          <w:highlight w:val="yellow"/>
        </w:rPr>
        <w:t xml:space="preserve"> as a complex and challenging area of study. Formulating sound investment decisions requires careful deliberation, analytical reasoning, and a rational appraisal of both market conditions and individual objectives (</w:t>
      </w:r>
      <w:proofErr w:type="spellStart"/>
      <w:r w:rsidRPr="00FB0D9B">
        <w:rPr>
          <w:highlight w:val="yellow"/>
        </w:rPr>
        <w:t>Rubaltelli</w:t>
      </w:r>
      <w:proofErr w:type="spellEnd"/>
      <w:r w:rsidRPr="00FB0D9B">
        <w:rPr>
          <w:highlight w:val="yellow"/>
        </w:rPr>
        <w:t xml:space="preserve"> et al., 2010). Investors must weigh expected returns against associated risks, consider </w:t>
      </w:r>
      <w:proofErr w:type="spellStart"/>
      <w:r w:rsidRPr="00FB0D9B">
        <w:rPr>
          <w:highlight w:val="yellow"/>
        </w:rPr>
        <w:t>behavioural</w:t>
      </w:r>
      <w:proofErr w:type="spellEnd"/>
      <w:r w:rsidRPr="00FB0D9B">
        <w:rPr>
          <w:highlight w:val="yellow"/>
        </w:rPr>
        <w:t xml:space="preserve"> and cognitive biases, and integrate available financial information to arrive at informed choices. Consequently, understanding the determinants of investment intentions is critical for explaining investor </w:t>
      </w:r>
      <w:proofErr w:type="spellStart"/>
      <w:r w:rsidRPr="00FB0D9B">
        <w:rPr>
          <w:highlight w:val="yellow"/>
        </w:rPr>
        <w:t>behaviour</w:t>
      </w:r>
      <w:proofErr w:type="spellEnd"/>
      <w:r w:rsidRPr="00FB0D9B">
        <w:rPr>
          <w:highlight w:val="yellow"/>
        </w:rPr>
        <w:t xml:space="preserve"> and predicting capital market outcomes.</w:t>
      </w:r>
      <w:r>
        <w:t xml:space="preserve"> </w:t>
      </w:r>
      <w:r w:rsidR="001844F8" w:rsidRPr="001844F8">
        <w:rPr>
          <w:rFonts w:ascii="Arial" w:hAnsi="Arial" w:cs="Arial"/>
        </w:rPr>
        <w:t xml:space="preserve">According to the Global Survey of Individual Investors (NATIXIS, 2016) survey, it is stated that around 32 percent of investors generally fail to understand their investment goals and around 30 percent of investors are entangled between their views and the advice of their financial advisor. Additionally, individual investors are misinformed, confused and conflicted between what they want and what they can actually get. Previous studies have shown that individual investors fail to align expected returns with risk tolerance </w:t>
      </w:r>
      <w:r w:rsidR="001844F8" w:rsidRPr="001844F8">
        <w:rPr>
          <w:rFonts w:ascii="Arial" w:hAnsi="Arial" w:cs="Arial"/>
        </w:rPr>
        <w:fldChar w:fldCharType="begin" w:fldLock="1"/>
      </w:r>
      <w:r w:rsidR="001844F8" w:rsidRPr="001844F8">
        <w:rPr>
          <w:rFonts w:ascii="Arial" w:hAnsi="Arial" w:cs="Arial"/>
        </w:rPr>
        <w:instrText>ADDIN CSL_CITATION {"citationItems":[{"id":"ITEM-1","itemData":{"DOI":"10.1111/acfi.12169","ISSN":"1467629X","abstract":"Combining brokerage records and matching monthly survey measurements of a sample of individual investors from the Netherlands for the period April 2008 through March 2009, we examine how individual investors update their beliefs (return expectations and risk perceptions) and preferences (risk tolerance) as a result of their personal return and risk experiences. We find that investors' past returns positively impact return expectations and risk tolerance, and negatively impact risk perceptions. Realised risk, however, has no effect. That is, even in a highly volatile stock market period in which risk appears very salient, investors do not take it into account when updating their beliefs and preferences.","author":[{"dropping-particle":"","family":"Hoffmann","given":"Arvid O.I.","non-dropping-particle":"","parse-names":false,"suffix":""},{"dropping-particle":"","family":"Post","given":"Thomas","non-dropping-particle":"","parse-names":false,"suffix":""}],"container-title":"Accounting and Finance","id":"ITEM-1","issue":"3","issued":{"date-parts":[["2017"]]},"page":"759-788","title":"How return and risk experiences shape investor beliefs and preferences","type":"article-journal","volume":"57"},"uris":["http://www.mendeley.com/documents/?uuid=6ba04b13-3863-4b8c-b533-9d6b9b0cb9e0"]}],"mendeley":{"formattedCitation":"(Hoffmann &amp; Post, 2017)","plainTextFormattedCitation":"(Hoffmann &amp; Post, 2017)","previouslyFormattedCitation":"(Hoffmann &amp; Post, 2017)"},"properties":{"noteIndex":0},"schema":"https://github.com/citation-style-language/schema/raw/master/csl-citation.json"}</w:instrText>
      </w:r>
      <w:r w:rsidR="001844F8" w:rsidRPr="001844F8">
        <w:rPr>
          <w:rFonts w:ascii="Arial" w:hAnsi="Arial" w:cs="Arial"/>
        </w:rPr>
        <w:fldChar w:fldCharType="separate"/>
      </w:r>
      <w:r w:rsidR="001844F8" w:rsidRPr="001844F8">
        <w:rPr>
          <w:rFonts w:ascii="Arial" w:hAnsi="Arial" w:cs="Arial"/>
        </w:rPr>
        <w:t>(Hoffmann &amp; Post, 2017)</w:t>
      </w:r>
      <w:r w:rsidR="001844F8" w:rsidRPr="001844F8">
        <w:rPr>
          <w:rFonts w:ascii="Arial" w:hAnsi="Arial" w:cs="Arial"/>
        </w:rPr>
        <w:fldChar w:fldCharType="end"/>
      </w:r>
      <w:r w:rsidR="001844F8" w:rsidRPr="001844F8">
        <w:rPr>
          <w:rFonts w:ascii="Arial" w:hAnsi="Arial" w:cs="Arial"/>
        </w:rPr>
        <w:t xml:space="preserve"> and approximately 30 percent of investors believe they can make the right decisions but fail to achieve their investment goals (NATIXIS, 2016). Therefore, investment intentions require special analytical knowledge, </w:t>
      </w:r>
      <w:r w:rsidR="001844F8" w:rsidRPr="00FB0D9B">
        <w:rPr>
          <w:rFonts w:ascii="Arial" w:hAnsi="Arial" w:cs="Arial"/>
          <w:highlight w:val="yellow"/>
        </w:rPr>
        <w:t>in this case</w:t>
      </w:r>
      <w:r w:rsidR="00701105" w:rsidRPr="00FB0D9B">
        <w:rPr>
          <w:rFonts w:ascii="Arial" w:hAnsi="Arial" w:cs="Arial"/>
          <w:highlight w:val="yellow"/>
        </w:rPr>
        <w:t>,</w:t>
      </w:r>
      <w:r w:rsidR="001844F8" w:rsidRPr="00FB0D9B">
        <w:rPr>
          <w:rFonts w:ascii="Arial" w:hAnsi="Arial" w:cs="Arial"/>
          <w:highlight w:val="yellow"/>
        </w:rPr>
        <w:t xml:space="preserve"> financial</w:t>
      </w:r>
      <w:r w:rsidR="001844F8" w:rsidRPr="001844F8">
        <w:rPr>
          <w:rFonts w:ascii="Arial" w:hAnsi="Arial" w:cs="Arial"/>
        </w:rPr>
        <w:t xml:space="preserve"> knowledge, to be confident about the performance of the shares that will be selected in overall stock investment </w:t>
      </w:r>
      <w:r w:rsidR="001844F8" w:rsidRPr="001844F8">
        <w:rPr>
          <w:rFonts w:ascii="Arial" w:hAnsi="Arial" w:cs="Arial"/>
        </w:rPr>
        <w:fldChar w:fldCharType="begin" w:fldLock="1"/>
      </w:r>
      <w:r w:rsidR="001844F8" w:rsidRPr="001844F8">
        <w:rPr>
          <w:rFonts w:ascii="Arial" w:hAnsi="Arial" w:cs="Arial"/>
        </w:rPr>
        <w:instrText>ADDIN CSL_CITATION {"citationItems":[{"id":"ITEM-1","itemData":{"DOI":"10.1108/978-1-78973-559-820201010","author":[{"dropping-particle":"","family":"Baker","given":"H. Kent","non-dropping-particle":"","parse-names":false,"suffix":""},{"dropping-particle":"","family":"Nofsinger","given":"John R.","non-dropping-particle":"","parse-names":false,"suffix":""},{"dropping-particle":"","family":"Puttonen","given":"Vesa","non-dropping-particle":"","parse-names":false,"suffix":""}],"container-title":"The Savvy Investor's Guide to Avoiding Pitfalls, Frauds, and Scams","id":"ITEM-1","issued":{"date-parts":[["2020"]]},"page":"149-177","title":"Other Frauds and Scams that Lure Unsuspecting Investors","type":"article-journal"},"uris":["http://www.mendeley.com/documents/?uuid=9b2af09d-933a-41f1-8e0e-2f26ad36d97b"]}],"mendeley":{"formattedCitation":"(Baker et al., 2020)","plainTextFormattedCitation":"(Baker et al., 2020)","previouslyFormattedCitation":"(Baker et al., 2020)"},"properties":{"noteIndex":0},"schema":"https://github.com/citation-style-language/schema/raw/master/csl-citation.json"}</w:instrText>
      </w:r>
      <w:r w:rsidR="001844F8" w:rsidRPr="001844F8">
        <w:rPr>
          <w:rFonts w:ascii="Arial" w:hAnsi="Arial" w:cs="Arial"/>
        </w:rPr>
        <w:fldChar w:fldCharType="separate"/>
      </w:r>
      <w:r w:rsidR="001844F8" w:rsidRPr="001844F8">
        <w:rPr>
          <w:rFonts w:ascii="Arial" w:hAnsi="Arial" w:cs="Arial"/>
        </w:rPr>
        <w:t>(Baker et al., 2020)</w:t>
      </w:r>
      <w:r w:rsidR="001844F8" w:rsidRPr="001844F8">
        <w:rPr>
          <w:rFonts w:ascii="Arial" w:hAnsi="Arial" w:cs="Arial"/>
        </w:rPr>
        <w:fldChar w:fldCharType="end"/>
      </w:r>
      <w:r w:rsidR="001844F8" w:rsidRPr="001844F8">
        <w:rPr>
          <w:rFonts w:ascii="Arial" w:hAnsi="Arial" w:cs="Arial"/>
        </w:rPr>
        <w:t>.</w:t>
      </w:r>
    </w:p>
    <w:p w:rsidR="001844F8" w:rsidRPr="001844F8" w:rsidRDefault="00001A9E" w:rsidP="001844F8">
      <w:pPr>
        <w:pStyle w:val="Body"/>
        <w:rPr>
          <w:rFonts w:ascii="Arial" w:hAnsi="Arial" w:cs="Arial"/>
        </w:rPr>
      </w:pPr>
      <w:r w:rsidRPr="00FB0D9B">
        <w:rPr>
          <w:highlight w:val="yellow"/>
        </w:rPr>
        <w:t xml:space="preserve">Investment intentions are frequently shaped by individual personality traits, which influence the ways in which a person approaches decision-making in financial contexts. Personality traits reflect consistent patterns of thought, </w:t>
      </w:r>
      <w:proofErr w:type="spellStart"/>
      <w:r w:rsidRPr="00FB0D9B">
        <w:rPr>
          <w:highlight w:val="yellow"/>
        </w:rPr>
        <w:t>behaviour</w:t>
      </w:r>
      <w:proofErr w:type="spellEnd"/>
      <w:r w:rsidRPr="00FB0D9B">
        <w:rPr>
          <w:highlight w:val="yellow"/>
        </w:rPr>
        <w:t>, and emotional response, and are expressed through attitudes, character, beliefs, and habitual actions (</w:t>
      </w:r>
      <w:proofErr w:type="spellStart"/>
      <w:r w:rsidRPr="00FB0D9B">
        <w:rPr>
          <w:highlight w:val="yellow"/>
        </w:rPr>
        <w:t>Subiaktono</w:t>
      </w:r>
      <w:proofErr w:type="spellEnd"/>
      <w:r w:rsidRPr="00FB0D9B">
        <w:rPr>
          <w:highlight w:val="yellow"/>
        </w:rPr>
        <w:t xml:space="preserve">, 2013). In the context of investment, these traits can affect risk tolerance, information processing, and decision-making style, thereby playing a pivotal role in shaping both the formation and execution of investment intentions. Understanding the interplay between personality and investment </w:t>
      </w:r>
      <w:proofErr w:type="spellStart"/>
      <w:r w:rsidRPr="00FB0D9B">
        <w:rPr>
          <w:highlight w:val="yellow"/>
        </w:rPr>
        <w:t>behaviour</w:t>
      </w:r>
      <w:proofErr w:type="spellEnd"/>
      <w:r w:rsidRPr="00FB0D9B">
        <w:rPr>
          <w:highlight w:val="yellow"/>
        </w:rPr>
        <w:t xml:space="preserve"> is therefore essential for explaining variations in investor choices and market participation.</w:t>
      </w:r>
      <w:r>
        <w:t xml:space="preserve"> </w:t>
      </w:r>
      <w:r w:rsidR="001844F8" w:rsidRPr="001844F8">
        <w:rPr>
          <w:rFonts w:ascii="Arial" w:hAnsi="Arial" w:cs="Arial"/>
        </w:rPr>
        <w:t xml:space="preserve">A person will be better at carrying out financial planning the better the personality traits </w:t>
      </w:r>
      <w:r w:rsidR="00701105" w:rsidRPr="00FB0D9B">
        <w:rPr>
          <w:rFonts w:ascii="Arial" w:hAnsi="Arial" w:cs="Arial"/>
          <w:highlight w:val="yellow"/>
        </w:rPr>
        <w:t>they have</w:t>
      </w:r>
      <w:r w:rsidR="001844F8" w:rsidRPr="00FB0D9B">
        <w:rPr>
          <w:rFonts w:ascii="Arial" w:hAnsi="Arial" w:cs="Arial"/>
          <w:highlight w:val="yellow"/>
        </w:rPr>
        <w:t xml:space="preserve"> </w:t>
      </w:r>
      <w:r w:rsidR="001844F8" w:rsidRPr="00FB0D9B">
        <w:rPr>
          <w:rFonts w:ascii="Arial" w:hAnsi="Arial" w:cs="Arial"/>
          <w:highlight w:val="yellow"/>
        </w:rPr>
        <w:fldChar w:fldCharType="begin" w:fldLock="1"/>
      </w:r>
      <w:r w:rsidR="001844F8" w:rsidRPr="00FB0D9B">
        <w:rPr>
          <w:rFonts w:ascii="Arial" w:hAnsi="Arial" w:cs="Arial"/>
          <w:highlight w:val="yellow"/>
        </w:rPr>
        <w:instrText>ADDIN CSL_CITATION {"citationItems":[{"id":"ITEM-1","itemData":{"author":[{"dropping-particle":"","family":"Triyonowati","given":"","non-dropping-particle":"","parse-names":false,"suffix":""}],"editor":[{"dropping-particle":"","family":"Kurniawadi","given":"Wahyu","non-dropping-particle":"","parse-names":false,"suffix":""}],"id":"ITEM-1","issued":{"date-parts":[["2022"]]},"number-of-pages":"87","publisher":"Wawasan Ilmu","publisher-place":"Jawa Tengah","title":"Manajemen Keuangan 2 (Lanjutan)","type":"book"},"uris":["http://www.mendeley.com/documents/?uuid=37995a65-542e-46d3-ab5b-2ea548d89111"]}],"mendeley":{"formattedCitation":"(Triyonowati, 2022)","plainTextFormattedCitation":"(Triyonowati, 2022)","previouslyFormattedCitation":"(Triyonowati, 2022)"},"properties":{"noteIndex":0},"schema":"https://github.com/citation-style-language/schema/raw/master/csl-citation.json"}</w:instrText>
      </w:r>
      <w:r w:rsidR="001844F8" w:rsidRPr="00FB0D9B">
        <w:rPr>
          <w:rFonts w:ascii="Arial" w:hAnsi="Arial" w:cs="Arial"/>
          <w:highlight w:val="yellow"/>
        </w:rPr>
        <w:fldChar w:fldCharType="separate"/>
      </w:r>
      <w:r w:rsidR="001844F8" w:rsidRPr="00FB0D9B">
        <w:rPr>
          <w:rFonts w:ascii="Arial" w:hAnsi="Arial" w:cs="Arial"/>
          <w:highlight w:val="yellow"/>
        </w:rPr>
        <w:t>(</w:t>
      </w:r>
      <w:proofErr w:type="spellStart"/>
      <w:r w:rsidR="001844F8" w:rsidRPr="00FB0D9B">
        <w:rPr>
          <w:rFonts w:ascii="Arial" w:hAnsi="Arial" w:cs="Arial"/>
          <w:highlight w:val="yellow"/>
        </w:rPr>
        <w:t>Triyonowati</w:t>
      </w:r>
      <w:proofErr w:type="spellEnd"/>
      <w:r w:rsidR="001844F8" w:rsidRPr="00FB0D9B">
        <w:rPr>
          <w:rFonts w:ascii="Arial" w:hAnsi="Arial" w:cs="Arial"/>
          <w:highlight w:val="yellow"/>
        </w:rPr>
        <w:t>, 2022)</w:t>
      </w:r>
      <w:r w:rsidR="001844F8" w:rsidRPr="00FB0D9B">
        <w:rPr>
          <w:rFonts w:ascii="Arial" w:hAnsi="Arial" w:cs="Arial"/>
          <w:highlight w:val="yellow"/>
        </w:rPr>
        <w:fldChar w:fldCharType="end"/>
      </w:r>
      <w:r w:rsidR="001844F8" w:rsidRPr="001844F8">
        <w:rPr>
          <w:rFonts w:ascii="Arial" w:hAnsi="Arial" w:cs="Arial"/>
        </w:rPr>
        <w:t xml:space="preserve">. So, personality traits are one of the factors originating from a person's personality that can influence the way they plan their finances. Personality </w:t>
      </w:r>
      <w:r w:rsidR="001844F8" w:rsidRPr="00FB0D9B">
        <w:rPr>
          <w:rFonts w:ascii="Arial" w:hAnsi="Arial" w:cs="Arial"/>
          <w:highlight w:val="yellow"/>
        </w:rPr>
        <w:t>traits are needed by an</w:t>
      </w:r>
      <w:r w:rsidR="001844F8" w:rsidRPr="001844F8">
        <w:rPr>
          <w:rFonts w:ascii="Arial" w:hAnsi="Arial" w:cs="Arial"/>
        </w:rPr>
        <w:t xml:space="preserve"> individual in determining the need to organize good management methods. The personality traits possessed are Preference for Innovation (PI) and risk-taking propensity to enable individuals to have positive confidence in their ability to manage their finances.</w:t>
      </w:r>
    </w:p>
    <w:p w:rsidR="001844F8" w:rsidRPr="001844F8" w:rsidRDefault="001844F8" w:rsidP="001844F8">
      <w:pPr>
        <w:pStyle w:val="Body"/>
        <w:rPr>
          <w:rFonts w:ascii="Arial" w:hAnsi="Arial" w:cs="Arial"/>
        </w:rPr>
      </w:pPr>
      <w:r w:rsidRPr="001844F8">
        <w:rPr>
          <w:rFonts w:ascii="Arial" w:hAnsi="Arial" w:cs="Arial"/>
        </w:rPr>
        <w:t xml:space="preserve">Investment intentions also sometimes come from invitations from friends or family. This invitation is also known as Subjective Norms. Subjective norms are social encouragement from individuals/society to carry out certain actions </w:t>
      </w:r>
      <w:r w:rsidRPr="001844F8">
        <w:rPr>
          <w:rFonts w:ascii="Arial" w:hAnsi="Arial" w:cs="Arial"/>
        </w:rPr>
        <w:fldChar w:fldCharType="begin" w:fldLock="1"/>
      </w:r>
      <w:r w:rsidRPr="001844F8">
        <w:rPr>
          <w:rFonts w:ascii="Arial" w:hAnsi="Arial" w:cs="Arial"/>
        </w:rPr>
        <w:instrText>ADDIN CSL_CITATION {"citationItems":[{"id":"ITEM-1","itemData":{"DOI":"10.3109/01421599109089905","ISSN":"0142159X","PMID":"1805100","abstract":"The College of Medicine and Medical Sciences of the Arabian Gulf University (CMMS-AGU) in Bahrain is, in its innovativeness, unique in the region in that a problem-based strategy is used in the planning and implementation of the curriculum. The first batch of graduates have completed their internship programme in the different countries of the region. This paper presents an evaluative study of the outcome of the programme in relation to the institutional goals. Assessment of the intern's performance in clinical competence, interpersonal relations, self-directed learning, and their relative standing vis-àvis graduates from other schools was done by supervisors. The findings of the study confirm the relative merits of the problem-based curricular strategy in medical education. © 1991 Informa UK Ltd All rights reserved: reproduction in whole or part not permitted.","author":[{"dropping-particle":"","family":"Ajzen","given":"Icek","non-dropping-particle":"","parse-names":false,"suffix":""}],"container-title":"Open University Press","id":"ITEM-1","issue":"4","issued":{"date-parts":[["1991"]]},"number-of-pages":"273-279","title":"ATTITUDES, PERSONALITY AND BEHAIOR","type":"book","volume":"13"},"uris":["http://www.mendeley.com/documents/?uuid=a45d63f5-89fd-4834-bff3-58bdd34a6a26"]}],"mendeley":{"formattedCitation":"(Ajzen, 1991)","plainTextFormattedCitation":"(Ajzen, 1991)","previouslyFormattedCitation":"(Ajzen, 1991)"},"properties":{"noteIndex":0},"schema":"https://github.com/citation-style-language/schema/raw/master/csl-citation.json"}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(Ajzen, 1991)</w:t>
      </w:r>
      <w:r w:rsidRPr="001844F8">
        <w:rPr>
          <w:rFonts w:ascii="Arial" w:hAnsi="Arial" w:cs="Arial"/>
        </w:rPr>
        <w:fldChar w:fldCharType="end"/>
      </w:r>
      <w:r w:rsidRPr="001844F8">
        <w:rPr>
          <w:rFonts w:ascii="Arial" w:hAnsi="Arial" w:cs="Arial"/>
        </w:rPr>
        <w:t xml:space="preserve">. An individual who has an </w:t>
      </w:r>
      <w:r w:rsidRPr="001844F8">
        <w:rPr>
          <w:rFonts w:ascii="Arial" w:hAnsi="Arial" w:cs="Arial"/>
        </w:rPr>
        <w:lastRenderedPageBreak/>
        <w:t xml:space="preserve">understanding in the financial sector who has invested in shares, then tells his friends about the profits he has obtained, this will also encourage the investment intentions of these friends </w:t>
      </w:r>
      <w:r w:rsidRPr="001844F8">
        <w:rPr>
          <w:rFonts w:ascii="Arial" w:hAnsi="Arial" w:cs="Arial"/>
        </w:rPr>
        <w:fldChar w:fldCharType="begin" w:fldLock="1"/>
      </w:r>
      <w:r w:rsidRPr="001844F8">
        <w:rPr>
          <w:rFonts w:ascii="Arial" w:hAnsi="Arial" w:cs="Arial"/>
        </w:rPr>
        <w:instrText>ADDIN CSL_CITATION {"citationItems":[{"id":"ITEM-1","itemData":{"abstract":"Employing the theory of planned behavior, this study aims to explore factors influencing investment behavior made by individual investors in the Vietnamese stock market. A qualitative approach is thoroughly applied through in-depth interviewing individual investors who have experienced the Vietnamese stock market. The analysis and generalization of data collected from interviews with 20 informants show a supporting evidence for the existence of four psychological factors-overconfidence; excessive optimism; psychology of risk and herd behavior. The study, based on the theory of planned behavior, proposes a suitable conceptual framework to be applied in further research to explain investors' behavior in the Vietnamese stock market. Keywords: Theory of planned behavior, overconfidence, excessive optimism, psychology of risk, herd behavior, individual investor.","author":[{"dropping-particle":"","family":"Phan","given":"Khoa Cuong","non-dropping-particle":"","parse-names":false,"suffix":""},{"dropping-particle":"","family":"Zhou","given":"Jian","non-dropping-particle":"","parse-names":false,"suffix":""}],"container-title":"Research Journal of Social Science &amp; Management","id":"ITEM-1","issue":"12","issued":{"date-parts":[["2014"]]},"page":"46-54","title":"Vietnamese Individual Investors' Behavior in the Stock Market: An Exploratory Study","type":"article-journal","volume":"03"},"uris":["http://www.mendeley.com/documents/?uuid=f55cab8e-476c-49e8-8d06-d1f04a8e1359"]}],"mendeley":{"formattedCitation":"(Phan &amp; Zhou, 2014)","plainTextFormattedCitation":"(Phan &amp; Zhou, 2014)","previouslyFormattedCitation":"(Phan &amp; Zhou, 2014)"},"properties":{"noteIndex":0},"schema":"https://github.com/citation-style-language/schema/raw/master/csl-citation.json"}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(Phan &amp; Zhou, 2014)</w:t>
      </w:r>
      <w:r w:rsidRPr="001844F8">
        <w:rPr>
          <w:rFonts w:ascii="Arial" w:hAnsi="Arial" w:cs="Arial"/>
        </w:rPr>
        <w:fldChar w:fldCharType="end"/>
      </w:r>
      <w:r w:rsidRPr="001844F8">
        <w:rPr>
          <w:rFonts w:ascii="Arial" w:hAnsi="Arial" w:cs="Arial"/>
        </w:rPr>
        <w:t xml:space="preserve">. The logical thinking is that an individual or investor will have high investment intentions when he or she has social encouragement or subjective norms to carry out investment activities. This encouragement can come from friends, family, or lecturers who teach courses on investing. This social encouragement is obtained when someone tells about their success in investing, making profits and reducing risks, then that individual will be encouraged to invest in the capital market. The state of mind of friends who are influenced by opinions and assessments about finances in depth by one individual is the definition of financial attitude </w:t>
      </w:r>
      <w:r w:rsidRPr="001844F8">
        <w:rPr>
          <w:rFonts w:ascii="Arial" w:hAnsi="Arial" w:cs="Arial"/>
        </w:rPr>
        <w:fldChar w:fldCharType="begin" w:fldLock="1"/>
      </w:r>
      <w:r w:rsidRPr="001844F8">
        <w:rPr>
          <w:rFonts w:ascii="Arial" w:hAnsi="Arial" w:cs="Arial"/>
        </w:rPr>
        <w:instrText>ADDIN CSL_CITATION {"citationItems":[{"id":"ITEM-1","itemData":{"DOI":"10.4148/jft.v2i1.451","abstract":"Financial matters have been identified in the literature as a significant source of stress for individuals and families. However, little is known about the psychological issues related to money that may be contributing to individual and family problems. Using a sample of 422 individuals who identified their level of agreement on 72 money-related beliefs, this study identified four distinct money belief patterns. Three of these belief systems were significantly correlated with income and net worth. Demographic features associated with the four money belief scales are provided. The results of this study may be useful for practitioners interested in quickly and accurately identifying money beliefs in their clients that can have a negative impact on financial health.        References           American Psychological Association (2009). Stress in America 2009. Retrieved October 10, 2010 from  http://www.apa.org/news/press/releases/stress-exec-summary.pdf   Bandura, A. (1977). Social Learning Theory. New York: General Learning Press.  Brickman, P., Coates, D., &amp;amp; Janoff-Bulman, R. (1978). Lottery winners and accident victims: Is happiness relative? Journal of Personality &amp;amp; Social Psychology, 36(8), 917-927.  http://dx.doi.org/10.1037/0022-3514.36.8.917  PMid:690806  Csikszentmihalyi, M. (1999). If we are so rich, why aren’t we happy? American Psychologist, 54(10), 821-827.  http://dx.doi.org/10.1037/0003-066X.54.10.821   Diener, E., &amp;amp; Seligman, M. E. P. (2004). Beyond money. Psychological Science in the Public Interest, 5(1), 1-31.  http://dx.doi.org/10.1111/j.0963-7214.2004.00501001.x   Dillman, D. A. (1999). Mail and Internet Surveys: The Tailored Design Method (2 ed.). New York, NY: Wiley.  Dortch, S. (1994). Money and marital discord. American Demographics, 16, 11-14.  Engelberg, E., &amp;amp; Sjöberg, L. (2006). Money attitudes and emotional intelligence. Journal of Applied Social Psychology, 36(8), 2027-2047.  http://dx.doi.org/10.1111/j.0021-9029.2006.00092.x   Engelberg, E., &amp;amp; Sjöberg, L. (2007). Money obsession, social adjustment, and economic risk perception. Journal of Socio-Economics, 36(5), 686-697.  http://dx.doi.org/10.1016/j.socec.2007.01.005   Furnham, A. (1984). Money sides of the coin: The psychology of money usage. Personality and Individual Difference, 5(5), 501-509.  http://dx.doi.org/10.1016/0191-8869(84)90025-4   Furnham, A. (1996). Attitudinal correlates and demographic predictors of monetary beliefs and behaviours. Journa…","author":[{"dropping-particle":"","family":"Klontz","given":"Bradley","non-dropping-particle":"","parse-names":false,"suffix":""},{"dropping-particle":"","family":"Britt","given":"Sonya L","non-dropping-particle":"","parse-names":false,"suffix":""},{"dropping-particle":"","family":"Mentzer","given":"Jennifer","non-dropping-particle":"","parse-names":false,"suffix":""},{"dropping-particle":"","family":"Klontz","given":"Ted","non-dropping-particle":"","parse-names":false,"suffix":""}],"container-title":"Journal of Financial Therapy","id":"ITEM-1","issue":"1","issued":{"date-parts":[["2011"]]},"title":"Money Beliefs and Financial Behaviors: Development of the Klontz Money Script Inventory","type":"article-journal","volume":"2"},"uris":["http://www.mendeley.com/documents/?uuid=38a610b8-99ce-4b52-a4b2-9bf751398e62"]}],"mendeley":{"formattedCitation":"(Klontz et al., 2011)","plainTextFormattedCitation":"(Klontz et al., 2011)","previouslyFormattedCitation":"(Klontz et al., 2011)"},"properties":{"noteIndex":0},"schema":"https://github.com/citation-style-language/schema/raw/master/csl-citation.json"}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(Klontz et al., 2011)</w:t>
      </w:r>
      <w:r w:rsidRPr="001844F8">
        <w:rPr>
          <w:rFonts w:ascii="Arial" w:hAnsi="Arial" w:cs="Arial"/>
        </w:rPr>
        <w:fldChar w:fldCharType="end"/>
      </w:r>
      <w:r w:rsidRPr="001844F8">
        <w:rPr>
          <w:rFonts w:ascii="Arial" w:hAnsi="Arial" w:cs="Arial"/>
        </w:rPr>
        <w:t>.</w:t>
      </w:r>
    </w:p>
    <w:p w:rsidR="001844F8" w:rsidRPr="001844F8" w:rsidRDefault="001844F8" w:rsidP="001844F8">
      <w:pPr>
        <w:pStyle w:val="Body"/>
        <w:rPr>
          <w:rFonts w:ascii="Arial" w:hAnsi="Arial" w:cs="Arial"/>
        </w:rPr>
      </w:pPr>
      <w:r w:rsidRPr="001844F8">
        <w:rPr>
          <w:rFonts w:ascii="Arial" w:hAnsi="Arial" w:cs="Arial"/>
        </w:rPr>
        <w:t xml:space="preserve">Apart from that, individuals with high levels of financial attitude and financial knowledge will tend to have a positive financial attitude towards planning in managing finances </w:t>
      </w:r>
      <w:r w:rsidRPr="001844F8">
        <w:rPr>
          <w:rFonts w:ascii="Arial" w:hAnsi="Arial" w:cs="Arial"/>
        </w:rPr>
        <w:fldChar w:fldCharType="begin" w:fldLock="1"/>
      </w:r>
      <w:r w:rsidRPr="001844F8">
        <w:rPr>
          <w:rFonts w:ascii="Arial" w:hAnsi="Arial" w:cs="Arial"/>
        </w:rPr>
        <w:instrText>ADDIN CSL_CITATION {"citationItems":[{"id":"ITEM-1","itemData":{"DOI":"10.1108/EDI-05-2016-0040","ISSN":"17587093","abstract":"Purpose - The purpose of this paper is to examine the mediating effect of financial self-efficacy (FSE) on the relationship between financial attitude, financial literacy and financial inclusion (FI) among individuals in Uganda. Design/methodology/approach - Using a quantitative approach and cross-sectional research design, a sample of 400 individuals from urban Central and rural Northern Uganda was drawn. Using SPSS and AMOS™21, structural equation models and bootstrapping methods were used to establish the hypothesized relationships and mediation effects between financial attitude, financial literacy and FI. Findings - The results suggested FSE as a mediator of the relationship between financial attitude, financial literacy and FI. Further, there was a significant and insignificant relationship between financial literacy, financial attitude and FI, respectively. Research limitations/implications - The study was assessed using both potential and actual consumers of financial services collectively. However if separately assessed, possibly there would be a variation in perceptions or behavioural responses towards FI. Practical implications - There is a need to develop and sustain high levels of financial confidence among individuals to enable them use formal financial services. Social implications - Possession of financial knowledge, skills, an evaluative judgement with high levels of financial confidence enable individuals make financial decisions that improve their integration into the formal financial system and improved welfare. Originality/value - The results contribute towards the limited empirical and theoretical evidence regarding the mediating role of FSE in explaining the financial behaviour.","author":[{"dropping-particle":"","family":"Mindra","given":"Rachel","non-dropping-particle":"","parse-names":false,"suffix":""},{"dropping-particle":"","family":"Moya","given":"Musa","non-dropping-particle":"","parse-names":false,"suffix":""}],"container-title":"Equality, Diversity and Inclusion","id":"ITEM-1","issue":"2","issued":{"date-parts":[["2017"]]},"page":"128-149","title":"Financial self-efficacy: A mediator in advancing financial inclusion","type":"article-journal","volume":"36"},"uris":["http://www.mendeley.com/documents/?uuid=037c008f-919d-46d1-9790-d74cebe01e2f"]}],"mendeley":{"formattedCitation":"(Mindra &amp; Moya, 2017)","plainTextFormattedCitation":"(Mindra &amp; Moya, 2017)","previouslyFormattedCitation":"(Mindra &amp; Moya, 2017)"},"properties":{"noteIndex":0},"schema":"https://github.com/citation-style-language/schema/raw/master/csl-citation.json"}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(Mindra &amp; Moya, 2017)</w:t>
      </w:r>
      <w:r w:rsidRPr="001844F8">
        <w:rPr>
          <w:rFonts w:ascii="Arial" w:hAnsi="Arial" w:cs="Arial"/>
        </w:rPr>
        <w:fldChar w:fldCharType="end"/>
      </w:r>
      <w:r w:rsidRPr="001844F8">
        <w:rPr>
          <w:rFonts w:ascii="Arial" w:hAnsi="Arial" w:cs="Arial"/>
        </w:rPr>
        <w:t xml:space="preserve">. These financial attitudes include saving, borrowing, using insurance products, influencing financial inclusion, and investing. Therefore, if someone has a favorable attitude towards investment intentions, there is a possibility that they will develop a positive financial attitude towards carrying out these investment intentions. The majority of research has illustrated that financial attitude has a positive and significant impact on investment intentions </w:t>
      </w:r>
      <w:r w:rsidRPr="001844F8">
        <w:rPr>
          <w:rFonts w:ascii="Arial" w:hAnsi="Arial" w:cs="Arial"/>
        </w:rPr>
        <w:fldChar w:fldCharType="begin" w:fldLock="1"/>
      </w:r>
      <w:r w:rsidRPr="001844F8">
        <w:rPr>
          <w:rFonts w:ascii="Arial" w:hAnsi="Arial" w:cs="Arial"/>
        </w:rPr>
        <w:instrText>ADDIN CSL_CITATION {"citationItems":[{"id":"ITEM-1","itemData":{"DOI":"10.1108/17468800710824509","ISSN":"17468817","abstract":"The purpose of this paper is to identify factors that influence the intention to use internet stock trading among investors in Malaysia. A structured questionnaire was used to collect data from investors who are aware of internet stock trading in Malayisa. Out of 300 questionnaire only 144 were usable. Findings show that attitude, subjective norm and perceived behavioral control has a direct positive relationship towards behavioral intention to use internet stock trading. The theory of planned behavior can be used to explain variation in behavioral intention and actual usage. More variations of results could be gained through a wider coverage of respondents. Other factors such as descriptive norm and perceived usefulness should be used to increase the explanatory power of the dependent variable. A comparison of the same study of explanatory power between other intention-based model could give another valuable contribution. This study will provide information on factors that influence and affect investor's intention to use online stock trading. In addition, the result of the study could serve as a guideline by online stock broking organizations in understanding the factors and program that need to be instilled to increase online stock trading among current retail investors and future investors. Not much has been written on understanding intention to use internet stock trading in a developing country. © 2007, Emerald Group Publishing Limited","author":[{"dropping-particle":"","family":"Gopi","given":"M.","non-dropping-particle":"","parse-names":false,"suffix":""},{"dropping-particle":"","family":"Ramayah","given":"T.","non-dropping-particle":"","parse-names":false,"suffix":""}],"container-title":"International Journal of Emerging Markets","id":"ITEM-1","issue":"4","issued":{"date-parts":[["2007"]]},"page":"348-360","title":"Applicability of theory of planned behavior in predicting intention to trade online: Some evidence from a developing country","type":"article-journal","volume":"2"},"uris":["http://www.mendeley.com/documents/?uuid=bac42d23-35c3-4af2-bb42-333831341657"]},{"id":"ITEM-2","itemData":{"abstract":"Employing the theory of planned behavior, this study aims to explore factors influencing investment behavior made by individual investors in the Vietnamese stock market. A qualitative approach is thoroughly applied through in-depth interviewing individual investors who have experienced the Vietnamese stock market. The analysis and generalization of data collected from interviews with 20 informants show a supporting evidence for the existence of four psychological factors-overconfidence; excessive optimism; psychology of risk and herd behavior. The study, based on the theory of planned behavior, proposes a suitable conceptual framework to be applied in further research to explain investors' behavior in the Vietnamese stock market. Keywords: Theory of planned behavior, overconfidence, excessive optimism, psychology of risk, herd behavior, individual investor.","author":[{"dropping-particle":"","family":"Phan","given":"Khoa Cuong","non-dropping-particle":"","parse-names":false,"suffix":""},{"dropping-particle":"","family":"Zhou","given":"Jian","non-dropping-particle":"","parse-names":false,"suffix":""}],"container-title":"Research Journal of Social Science &amp; Management","id":"ITEM-2","issue":"12","issued":{"date-parts":[["2014"]]},"page":"46-54","title":"Vietnamese Individual Investors' Behavior in the Stock Market: An Exploratory Study","type":"article-journal","volume":"03"},"uris":["http://www.mendeley.com/documents/?uuid=f55cab8e-476c-49e8-8d06-d1f04a8e1359"]}],"mendeley":{"formattedCitation":"(Gopi &amp; Ramayah, 2007; Phan &amp; Zhou, 2014)","plainTextFormattedCitation":"(Gopi &amp; Ramayah, 2007; Phan &amp; Zhou, 2014)","previouslyFormattedCitation":"(Gopi &amp; Ramayah, 2007; Phan &amp; Zhou, 2014)"},"properties":{"noteIndex":0},"schema":"https://github.com/citation-style-language/schema/raw/master/csl-citation.json"}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(Gopi &amp; Ramayah, 2007; Phan &amp; Zhou, 2014)</w:t>
      </w:r>
      <w:r w:rsidRPr="001844F8">
        <w:rPr>
          <w:rFonts w:ascii="Arial" w:hAnsi="Arial" w:cs="Arial"/>
        </w:rPr>
        <w:fldChar w:fldCharType="end"/>
      </w:r>
      <w:r w:rsidRPr="001844F8">
        <w:rPr>
          <w:rFonts w:ascii="Arial" w:hAnsi="Arial" w:cs="Arial"/>
        </w:rPr>
        <w:t xml:space="preserve">. An individual's financial attitude also plays an important role in developing the intention to invest, in achieving the desired level of financial stability </w:t>
      </w:r>
      <w:r w:rsidRPr="001844F8">
        <w:rPr>
          <w:rFonts w:ascii="Arial" w:hAnsi="Arial" w:cs="Arial"/>
        </w:rPr>
        <w:fldChar w:fldCharType="begin" w:fldLock="1"/>
      </w:r>
      <w:r w:rsidRPr="001844F8">
        <w:rPr>
          <w:rFonts w:ascii="Arial" w:hAnsi="Arial" w:cs="Arial"/>
        </w:rPr>
        <w:instrText>ADDIN CSL_CITATION {"citationItems":[{"id":"ITEM-1","itemData":{"ISSN":"2010376X","abstract":"The survival of publicly listed companies largely depends on their stocks being liquidly traded. This goal can be achieved when new investors are attracted to invest on companies' stocks. Among different groups of investors, individual investors are generally less able to objectively evaluate companies' risks and returns, and tend to be emotionally biased in their investing decisions. Therefore their decisions may be formed as a result of perceived risks and returns, and influenced by companies' images. This study finds that perceived risk, perceived returns and trust directly affect individual investors' trading decisions while attitude towards brand partially mediates the relationships. This finding suggests that, in courting individual investors, companies still need to perform financially while building a good image can result in their stocks being accepted quicker than the stocks of good performing companies with hidden images.","author":[{"dropping-particle":"","family":"Ali","given":"Azwadi","non-dropping-particle":"","parse-names":false,"suffix":""}],"container-title":"World Academy of Science, Engineering and Technology","id":"ITEM-1","issue":"February","issued":{"date-parts":[["2011"]]},"page":"994-1001","title":"Predicting individual investors' intention to invest: An experimental analysis of attitude as a mediator","type":"article-journal","volume":"50"},"uris":["http://www.mendeley.com/documents/?uuid=5192281d-ca91-4220-a6fb-1ce7cf7d62b8"]}],"mendeley":{"formattedCitation":"(Ali, 2011)","plainTextFormattedCitation":"(Ali, 2011)","previouslyFormattedCitation":"(Ali, 2011)"},"properties":{"noteIndex":0},"schema":"https://github.com/citation-style-language/schema/raw/master/csl-citation.json"}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(Ali, 2011)</w:t>
      </w:r>
      <w:r w:rsidRPr="001844F8">
        <w:rPr>
          <w:rFonts w:ascii="Arial" w:hAnsi="Arial" w:cs="Arial"/>
        </w:rPr>
        <w:fldChar w:fldCharType="end"/>
      </w:r>
      <w:r w:rsidRPr="001844F8">
        <w:rPr>
          <w:rFonts w:ascii="Arial" w:hAnsi="Arial" w:cs="Arial"/>
        </w:rPr>
        <w:t>.</w:t>
      </w:r>
    </w:p>
    <w:p w:rsidR="001844F8" w:rsidRPr="001844F8" w:rsidRDefault="001844F8" w:rsidP="001844F8">
      <w:pPr>
        <w:pStyle w:val="Body"/>
        <w:rPr>
          <w:rFonts w:ascii="Arial" w:hAnsi="Arial" w:cs="Arial"/>
        </w:rPr>
      </w:pPr>
      <w:r w:rsidRPr="001844F8">
        <w:rPr>
          <w:rFonts w:ascii="Arial" w:hAnsi="Arial" w:cs="Arial"/>
        </w:rPr>
        <w:t xml:space="preserve">Beliefs about financial management also have a strong impact on goals and achievements by influencing our personal choices, motivations and emotional reactions to investment intentions. For example, if we tend to avoid risk, then our ability is limited to investment choices that have low risk and vice versa. The level of effort and persistence shown by a person in determining their investment intentions is called financial self-efficacy. Previous research shows that financial self-efficacy can improve the way finances are managed, so that financial satisfaction can be felt </w:t>
      </w:r>
      <w:r w:rsidRPr="001844F8">
        <w:rPr>
          <w:rFonts w:ascii="Arial" w:hAnsi="Arial" w:cs="Arial"/>
        </w:rPr>
        <w:fldChar w:fldCharType="begin" w:fldLock="1"/>
      </w:r>
      <w:r w:rsidRPr="001844F8">
        <w:rPr>
          <w:rFonts w:ascii="Arial" w:hAnsi="Arial" w:cs="Arial"/>
        </w:rPr>
        <w:instrText>ADDIN CSL_CITATION {"citationItems":[{"id":"ITEM-1","itemData":{"abstract":"The purpose of this research was to examine the gender difference in financial efficacy and financial satisfaction, and influence of financial efficacy to financial satisfaction. Based on the result is found that three hypothesis are accepted. These means, there are difference between woman and man in financial efficacy and financial satisfaction. Other result that financial efficacy gave significant impact to financial satisfaction.","author":[{"dropping-particle":"","family":"Sina","given":"Peter Garlans","non-dropping-particle":"","parse-names":false,"suffix":""}],"container-title":"Jurnal Manajemen Maranatha","id":"ITEM-1","issue":"2","issued":{"date-parts":[["2013"]]},"page":"173-184","title":"Financial Efficacy and Financial Satisfaction : Ditinjau dari Perbedaan Gender","type":"article-journal","volume":"12"},"uris":["http://www.mendeley.com/documents/?uuid=54d85fdd-71a8-449f-b5b9-dbe9eb115788"]}],"mendeley":{"formattedCitation":"(Sina, 2013)","plainTextFormattedCitation":"(Sina, 2013)","previouslyFormattedCitation":"(Sina, 2013)"},"properties":{"noteIndex":0},"schema":"https://github.com/citation-style-language/schema/raw/master/csl-citation.json"}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(Sina, 2013)</w:t>
      </w:r>
      <w:r w:rsidRPr="001844F8">
        <w:rPr>
          <w:rFonts w:ascii="Arial" w:hAnsi="Arial" w:cs="Arial"/>
        </w:rPr>
        <w:fldChar w:fldCharType="end"/>
      </w:r>
      <w:r w:rsidRPr="001844F8">
        <w:rPr>
          <w:rFonts w:ascii="Arial" w:hAnsi="Arial" w:cs="Arial"/>
        </w:rPr>
        <w:t xml:space="preserve">. In fact, financial self-efficacy also has an influence on decisions taken in managing teenagers' finances </w:t>
      </w:r>
      <w:r w:rsidRPr="001844F8">
        <w:rPr>
          <w:rFonts w:ascii="Arial" w:hAnsi="Arial" w:cs="Arial"/>
        </w:rPr>
        <w:fldChar w:fldCharType="begin" w:fldLock="1"/>
      </w:r>
      <w:r w:rsidRPr="001844F8">
        <w:rPr>
          <w:rFonts w:ascii="Arial" w:hAnsi="Arial" w:cs="Arial"/>
        </w:rPr>
        <w:instrText>ADDIN CSL_CITATION {"citationItems":[{"id":"ITEM-1","itemData":{"ISSN":"19477910","abstract":"A social constructionist perspective was taken in the current investigation of 5,329 male and female high school students. Gender differences were investigated in financial knowledge, self-efficacy, and behavior after studying a financial planning curriculum. Females gained more knowledge on credit, auto insurance, and investments, although males had more knowledge entering the course. Females believed that managing money affected their future more than males, but males felt more confident making money decisions. After studying the curriculum content, males reported achieving financial goals more than females, whereas females reported using budgets, comparing prices, and discussing money with family more than males. In sum, male teens reinforced their existing knowledge, whereas female teens learned significantly more about finances in areas in which they were unfamiliar with prior to the curriculum. © 2007 Association for Financial Counseling and Planning Education®. All rights of reproduction in any form reserved.","author":[{"dropping-particle":"","family":"Danes","given":"Sharon M.","non-dropping-particle":"","parse-names":false,"suffix":""},{"dropping-particle":"","family":"Haberman","given":"Heather R.","non-dropping-particle":"","parse-names":false,"suffix":""}],"container-title":"Journal of Financial Counseling and Planning","id":"ITEM-1","issue":"2","issued":{"date-parts":[["2007"]]},"page":"48-60","title":"Teen financial knowledge, self-efficacy, and behavior: A gendered view","type":"article-journal","volume":"18"},"uris":["http://www.mendeley.com/documents/?uuid=8b511746-a790-4285-a44c-5e6e5822e13d"]}],"mendeley":{"formattedCitation":"(Danes &amp; Haberman, 2007)","plainTextFormattedCitation":"(Danes &amp; Haberman, 2007)","previouslyFormattedCitation":"(Danes &amp; Haberman, 2007)"},"properties":{"noteIndex":0},"schema":"https://github.com/citation-style-language/schema/raw/master/csl-citation.json"}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(Danes &amp; Haberman, 2007)</w:t>
      </w:r>
      <w:r w:rsidRPr="001844F8">
        <w:rPr>
          <w:rFonts w:ascii="Arial" w:hAnsi="Arial" w:cs="Arial"/>
        </w:rPr>
        <w:fldChar w:fldCharType="end"/>
      </w:r>
      <w:r w:rsidRPr="001844F8">
        <w:rPr>
          <w:rFonts w:ascii="Arial" w:hAnsi="Arial" w:cs="Arial"/>
        </w:rPr>
        <w:t>.</w:t>
      </w:r>
    </w:p>
    <w:p w:rsidR="001844F8" w:rsidRPr="001844F8" w:rsidRDefault="001844F8" w:rsidP="001844F8">
      <w:pPr>
        <w:pStyle w:val="Body"/>
        <w:rPr>
          <w:rFonts w:ascii="Arial" w:hAnsi="Arial" w:cs="Arial"/>
        </w:rPr>
      </w:pPr>
      <w:r w:rsidRPr="001844F8">
        <w:rPr>
          <w:rFonts w:ascii="Arial" w:hAnsi="Arial" w:cs="Arial"/>
        </w:rPr>
        <w:t xml:space="preserve">On the other hand, financial knowledge also has a relationship with finances in everyday life. Financial knowledge is not only able to make someone use money wisely, but can also provide benefits to the economy. A person with a high level of financial knowledge will be better able to make good decisions for their family, and thus be in a position to increase their economic security and well-being. In addition, someone who has a high level of financial knowledge can also make informed choices that are very important for their financial goals. Someone with a high level of financial knowledge will also understand financial matters better and be wiser in terms of their financial behavior </w:t>
      </w:r>
      <w:r w:rsidRPr="001844F8">
        <w:rPr>
          <w:rFonts w:ascii="Arial" w:hAnsi="Arial" w:cs="Arial"/>
        </w:rPr>
        <w:fldChar w:fldCharType="begin" w:fldLock="1"/>
      </w:r>
      <w:r w:rsidRPr="001844F8">
        <w:rPr>
          <w:rFonts w:ascii="Arial" w:hAnsi="Arial" w:cs="Arial"/>
        </w:rPr>
        <w:instrText>ADDIN CSL_CITATION {"citationItems":[{"id":"ITEM-1","itemData":{"DOI":"10.13106/jafeb.2021.vol8.no1.247","ISSN":"22884645","abstract":"The study aims to determine the influence of intellectual capital and education on public financial services in increasing financial inclusion. This study applied a survey technique by selecting respondents according to the purposive sampling method. The number of respondents in this study was 500 people and came from various regions in Indonesia. Data analysis was performed using Structural Equation Modeling (SEM) techniques. The results indicate that intellectual capital has a positive effect on financial inclusion. Conversely, education about public financial services has no influence in increasing financial inclusion. The results of this study indicate that the success of financial inclusion programs in Indonesia is caused more by the role of public intellectual capital. Studies show that the public does not have the courage to be involved in banking institutions because the image of this institution tends to be inflexible in its operations. The results of this study are expected to make a real contribution, especially for the government and banks, that in order to achieve the success of the financial inclusion program in Indonesia; the related parties should educate the public directly to citizens who have not been reached by banking services continuously and with a more down to earth approach.","author":[{"dropping-particle":"","family":"Ilahiyah","given":"Mar’a Elthaf","non-dropping-particle":"","parse-names":false,"suffix":""},{"dropping-particle":"","family":"Soewarno","given":"Noorlailie","non-dropping-particle":"","parse-names":false,"suffix":""},{"dropping-particle":"","family":"Jaya","given":"I. Made Laut Mertha","non-dropping-particle":"","parse-names":false,"suffix":""}],"container-title":"Journal of Asian Finance, Economics and Business","id":"ITEM-1","issue":"1","issued":{"date-parts":[["2021"]]},"page":"247-255","title":"The Effect of Intellectual Capital and Financial Services Knowledge on Financial Inclusion","type":"article-journal","volume":"8"},"uris":["http://www.mendeley.com/documents/?uuid=286c0154-127e-488a-ad02-17076e8b9e63"]}],"mendeley":{"formattedCitation":"(Ilahiyah et al., 2021)","plainTextFormattedCitation":"(Ilahiyah et al., 2021)","previouslyFormattedCitation":"(Ilahiyah et al., 2021)"},"properties":{"noteIndex":0},"schema":"https://github.com/citation-style-language/schema/raw/master/csl-citation.json"}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(Ilahiyah et al., 2021)</w:t>
      </w:r>
      <w:r w:rsidRPr="001844F8">
        <w:rPr>
          <w:rFonts w:ascii="Arial" w:hAnsi="Arial" w:cs="Arial"/>
        </w:rPr>
        <w:fldChar w:fldCharType="end"/>
      </w:r>
      <w:r w:rsidRPr="001844F8">
        <w:rPr>
          <w:rFonts w:ascii="Arial" w:hAnsi="Arial" w:cs="Arial"/>
        </w:rPr>
        <w:t xml:space="preserve">. So, the better the knowledge about finance, the more it triggers someone to make investment intentions. Financial knowledge can be </w:t>
      </w:r>
      <w:r w:rsidR="00701105" w:rsidRPr="00FB0D9B">
        <w:rPr>
          <w:rFonts w:ascii="Arial" w:hAnsi="Arial" w:cs="Arial"/>
          <w:highlight w:val="yellow"/>
        </w:rPr>
        <w:t>acquir</w:t>
      </w:r>
      <w:r w:rsidR="00701105" w:rsidRPr="00FB0D9B">
        <w:rPr>
          <w:rFonts w:ascii="Arial" w:hAnsi="Arial" w:cs="Arial"/>
          <w:highlight w:val="yellow"/>
        </w:rPr>
        <w:t xml:space="preserve">ed </w:t>
      </w:r>
      <w:r w:rsidRPr="00FB0D9B">
        <w:rPr>
          <w:rFonts w:ascii="Arial" w:hAnsi="Arial" w:cs="Arial"/>
          <w:highlight w:val="yellow"/>
        </w:rPr>
        <w:t>if someone</w:t>
      </w:r>
      <w:r w:rsidRPr="001844F8">
        <w:rPr>
          <w:rFonts w:ascii="Arial" w:hAnsi="Arial" w:cs="Arial"/>
        </w:rPr>
        <w:t xml:space="preserve"> applies financial skills and starts using financial tools. Financial skills are a technique for making decisions regarding financial management, for example preparing a financial budget, weighing and choosing investments, establishing insurance plans, and using credit. Meanwhile, financial tools are tools used when making financial management decisions, for </w:t>
      </w:r>
      <w:r w:rsidRPr="00FB0D9B">
        <w:rPr>
          <w:rFonts w:ascii="Arial" w:hAnsi="Arial" w:cs="Arial"/>
          <w:highlight w:val="yellow"/>
        </w:rPr>
        <w:t>example</w:t>
      </w:r>
      <w:r w:rsidR="00701105" w:rsidRPr="00FB0D9B">
        <w:rPr>
          <w:rFonts w:ascii="Arial" w:hAnsi="Arial" w:cs="Arial"/>
          <w:highlight w:val="yellow"/>
        </w:rPr>
        <w:t>,</w:t>
      </w:r>
      <w:r w:rsidRPr="00FB0D9B">
        <w:rPr>
          <w:rFonts w:ascii="Arial" w:hAnsi="Arial" w:cs="Arial"/>
          <w:highlight w:val="yellow"/>
        </w:rPr>
        <w:t xml:space="preserve"> credit cards</w:t>
      </w:r>
      <w:r w:rsidRPr="001844F8">
        <w:rPr>
          <w:rFonts w:ascii="Arial" w:hAnsi="Arial" w:cs="Arial"/>
        </w:rPr>
        <w:t xml:space="preserve">, checks, e-money, etc. </w:t>
      </w:r>
      <w:r w:rsidRPr="001844F8">
        <w:rPr>
          <w:rFonts w:ascii="Arial" w:hAnsi="Arial" w:cs="Arial"/>
        </w:rPr>
        <w:fldChar w:fldCharType="begin" w:fldLock="1"/>
      </w:r>
      <w:r w:rsidRPr="001844F8">
        <w:rPr>
          <w:rFonts w:ascii="Arial" w:hAnsi="Arial" w:cs="Arial"/>
        </w:rPr>
        <w:instrText>ADDIN CSL_CITATION {"citationItems":[{"id":"ITEM-1","itemData":{"abstract":"Abstrak: The aim of this study is to test impact locus of control, financial knowledge and income to financial management behavior. Total respondents are 130 respondents. Using regression analysis, the result shows financial knowledge impact financial management behavior but locus of control and personal income don't impact financial management behavior. Because the sample of this research is student and almost of them have income from their parents.","author":[{"dropping-particle":"","family":"Dwinta","given":"Ida dan Cinthia Yohana","non-dropping-particle":"","parse-names":false,"suffix":""}],"container-title":"Jurnal Bisnis Dan Akuntansi","id":"ITEM-1","issue":"3","issued":{"date-parts":[["2010"]]},"page":"131-144","title":"Pengaruh Locus Of Control, Financial Knowledge, Income Terhadap Financial Management Behavior","type":"article-journal","volume":"12"},"uris":["http://www.mendeley.com/documents/?uuid=66ad75e6-09ff-496c-9044-91a652048d2c"]}],"mendeley":{"formattedCitation":"(Dwinta, 2010)","plainTextFormattedCitation":"(Dwinta, 2010)","previouslyFormattedCitation":"(Dwinta, 2010)"},"properties":{"noteIndex":0},"schema":"https://github.com/citation-style-language/schema/raw/master/csl-citation.json"}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(Dwinta, 2010)</w:t>
      </w:r>
      <w:r w:rsidRPr="001844F8">
        <w:rPr>
          <w:rFonts w:ascii="Arial" w:hAnsi="Arial" w:cs="Arial"/>
        </w:rPr>
        <w:fldChar w:fldCharType="end"/>
      </w:r>
      <w:r w:rsidRPr="001844F8">
        <w:rPr>
          <w:rFonts w:ascii="Arial" w:hAnsi="Arial" w:cs="Arial"/>
        </w:rPr>
        <w:t>.</w:t>
      </w:r>
    </w:p>
    <w:p w:rsidR="001844F8" w:rsidRPr="001844F8" w:rsidRDefault="001844F8" w:rsidP="001844F8">
      <w:pPr>
        <w:pStyle w:val="Body"/>
        <w:rPr>
          <w:rFonts w:ascii="Arial" w:hAnsi="Arial" w:cs="Arial"/>
        </w:rPr>
      </w:pPr>
      <w:r w:rsidRPr="001844F8">
        <w:rPr>
          <w:rFonts w:ascii="Arial" w:hAnsi="Arial" w:cs="Arial"/>
        </w:rPr>
        <w:t xml:space="preserve">An individual who wants to avoid financial problems must be willing to increase their level of financial knowledge. </w:t>
      </w:r>
      <w:r w:rsidR="00701105" w:rsidRPr="00FB0D9B">
        <w:rPr>
          <w:rFonts w:ascii="Arial" w:hAnsi="Arial" w:cs="Arial"/>
          <w:highlight w:val="yellow"/>
        </w:rPr>
        <w:t>F</w:t>
      </w:r>
      <w:r w:rsidRPr="00FB0D9B">
        <w:rPr>
          <w:rFonts w:ascii="Arial" w:hAnsi="Arial" w:cs="Arial"/>
          <w:highlight w:val="yellow"/>
        </w:rPr>
        <w:t>inancial ignorance</w:t>
      </w:r>
      <w:r w:rsidRPr="001844F8">
        <w:rPr>
          <w:rFonts w:ascii="Arial" w:hAnsi="Arial" w:cs="Arial"/>
        </w:rPr>
        <w:t xml:space="preserve"> can have fatal consequences, such as having larger debts and higher loan interest rates than one's financial capabilities </w:t>
      </w:r>
      <w:r w:rsidRPr="001844F8">
        <w:rPr>
          <w:rFonts w:ascii="Arial" w:hAnsi="Arial" w:cs="Arial"/>
        </w:rPr>
        <w:fldChar w:fldCharType="begin" w:fldLock="1"/>
      </w:r>
      <w:r w:rsidRPr="001844F8">
        <w:rPr>
          <w:rFonts w:ascii="Arial" w:hAnsi="Arial" w:cs="Arial"/>
        </w:rPr>
        <w:instrText>ADDIN CSL_CITATION {"citationItems":[{"id":"ITEM-1","itemData":{"abstract":"In this paper, we examine high-cost methods of borrowing in the United States, such as payday loans, pawn shops, auto title loans, refund anticipation loans, and rent-to-own shops, and offer a portrait of borrowers who use these methods. Considering a representative sample of more than 26,000 respondents, we find that about one in four Americans has used one of these methods in the past five years. Moreover, many young adults engage in high-cost borrowing: 34 percent of young respondents (aged 18–34) and 43 percent of young respondents with a high school degree have used one of these methods. Using well-tested questions to measure financial literacy, we document that most high-cost borrowers display very low levels of financial literacy, i.e., they lack numeracy and do not possess knowledge of basic financial concepts. Most importantly, we find that those who are more financially literate are much less likely to have engaged in high-cost borrowing. Our empirical work shows that it is not only the shocks inflicted by the financial crisis or the structure of the financial system but that the level of financial literacy also plays a role in explaining why so many individuals have made use of high-cost borrowing methods.","author":[{"dropping-particle":"","family":"Lusardi","given":"Annamaria","non-dropping-particle":"","parse-names":false,"suffix":""},{"dropping-particle":"","family":"Scheresberg","given":"Carlo de Bassa","non-dropping-particle":"","parse-names":false,"suffix":""}],"container-title":"National Bureau of Economic Research","id":"ITEM-1","issued":{"date-parts":[["2013"]]},"page":"1-41","title":"Financial lteracy and high-cost borrowing in the united states","type":"article-journal"},"uris":["http://www.mendeley.com/documents/?uuid=f937b849-72cc-41b4-bd5c-6d406cf9333f"]},{"id":"ITEM-2","itemData":{"DOI":"10.1017/S1474747215000232","ISBN":"1474747215000","ISSN":"14753022","abstract":"We analyze a national sample of Americans with respect to their debt literacy, financial experiences, and their judgments about the extent of their indebtedness. Debt literacy is a component of broader financial understanding that measures knowledge about debt and self-assessed financial knowledge. Financial experiences are the participants' reported experiences with traditional borrowing, alternative borrowing, and investing. Overindebtedness is a self-reported measure. Debt literacy is low, with only about one-third of the population grasping the basics of interest compounding. Even after controlling for demographics, we find a relationship between debt literacy and both financial experiences and debt loads. Individuals with lower levels of debt literacy tend to transact in high-cost manners, incurring higher fees and using high-cost borrowing. We provide a rough estimate of the national implications of debt ignorance on credit card costs by consumers. Less knowledgeable individuals also report that their debt loads are excessive or that they are unable to judge their debt position.","author":[{"dropping-particle":"","family":"Lusardi","given":"Annamaria","non-dropping-particle":"","parse-names":false,"suffix":""},{"dropping-particle":"","family":"Tufano","given":"Peter","non-dropping-particle":"","parse-names":false,"suffix":""}],"container-title":"Journal of Pension Economics and Finance","id":"ITEM-2","issue":"4","issued":{"date-parts":[["2015"]]},"number-of-pages":"332-368","title":"Debt literacy, financial experiences, and overindebtedness","type":"book","volume":"14"},"uris":["http://www.mendeley.com/documents/?uuid=af24282b-0025-4729-921c-22da49925684"]}],"mendeley":{"formattedCitation":"(Lusardi &amp; Scheresberg, 2013; Lusardi &amp; Tufano, 2015)","plainTextFormattedCitation":"(Lusardi &amp; Scheresberg, 2013; Lusardi &amp; Tufano, 2015)","previouslyFormattedCitation":"(Lusardi &amp; Scheresberg, 2013; Lusardi &amp; Tufano, 2015)"},"properties":{"noteIndex":0},"schema":"https://github.com/citation-style-language/schema/raw/master/csl-citation.json"}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(Lusardi &amp; Scheresberg, 2013; Lusardi &amp; Tufano, 2015)</w:t>
      </w:r>
      <w:r w:rsidRPr="001844F8">
        <w:rPr>
          <w:rFonts w:ascii="Arial" w:hAnsi="Arial" w:cs="Arial"/>
        </w:rPr>
        <w:fldChar w:fldCharType="end"/>
      </w:r>
      <w:r w:rsidRPr="001844F8">
        <w:rPr>
          <w:rFonts w:ascii="Arial" w:hAnsi="Arial" w:cs="Arial"/>
        </w:rPr>
        <w:t xml:space="preserve">. Increasing </w:t>
      </w:r>
      <w:r w:rsidRPr="00FB0D9B">
        <w:rPr>
          <w:rFonts w:ascii="Arial" w:hAnsi="Arial" w:cs="Arial"/>
          <w:highlight w:val="yellow"/>
        </w:rPr>
        <w:t xml:space="preserve">financial knowledge can also help achieve a quality standard of living and avoid financial problems, provided that it </w:t>
      </w:r>
      <w:r w:rsidR="00701105" w:rsidRPr="00FB0D9B">
        <w:rPr>
          <w:rFonts w:ascii="Arial" w:hAnsi="Arial" w:cs="Arial"/>
          <w:highlight w:val="yellow"/>
        </w:rPr>
        <w:t>is</w:t>
      </w:r>
      <w:r w:rsidRPr="00FB0D9B">
        <w:rPr>
          <w:rFonts w:ascii="Arial" w:hAnsi="Arial" w:cs="Arial"/>
          <w:highlight w:val="yellow"/>
        </w:rPr>
        <w:t xml:space="preserve"> based on good financial knowledge in every </w:t>
      </w:r>
      <w:r w:rsidR="00701105" w:rsidRPr="00FB0D9B">
        <w:rPr>
          <w:rFonts w:ascii="Arial" w:hAnsi="Arial" w:cs="Arial"/>
          <w:highlight w:val="yellow"/>
        </w:rPr>
        <w:t>decision</w:t>
      </w:r>
      <w:r w:rsidR="00701105" w:rsidRPr="00FB0D9B">
        <w:rPr>
          <w:rFonts w:ascii="Arial" w:hAnsi="Arial" w:cs="Arial"/>
          <w:highlight w:val="yellow"/>
        </w:rPr>
        <w:t>-</w:t>
      </w:r>
      <w:r w:rsidRPr="00FB0D9B">
        <w:rPr>
          <w:rFonts w:ascii="Arial" w:hAnsi="Arial" w:cs="Arial"/>
          <w:highlight w:val="yellow"/>
        </w:rPr>
        <w:t>making</w:t>
      </w:r>
      <w:r w:rsidRPr="001844F8">
        <w:rPr>
          <w:rFonts w:ascii="Arial" w:hAnsi="Arial" w:cs="Arial"/>
        </w:rPr>
        <w:t xml:space="preserve"> such as increasing financial literacy </w:t>
      </w:r>
      <w:r w:rsidRPr="001844F8">
        <w:rPr>
          <w:rFonts w:ascii="Arial" w:hAnsi="Arial" w:cs="Arial"/>
        </w:rPr>
        <w:lastRenderedPageBreak/>
        <w:fldChar w:fldCharType="begin" w:fldLock="1"/>
      </w:r>
      <w:r w:rsidRPr="001844F8">
        <w:rPr>
          <w:rFonts w:ascii="Arial" w:hAnsi="Arial" w:cs="Arial"/>
        </w:rPr>
        <w:instrText>ADDIN CSL_CITATION {"citationItems":[{"id":"ITEM-1","itemData":{"DOI":"10.1108/EDI-05-2016-0040","ISSN":"17587093","abstract":"Purpose - The purpose of this paper is to examine the mediating effect of financial self-efficacy (FSE) on the relationship between financial attitude, financial literacy and financial inclusion (FI) among individuals in Uganda. Design/methodology/approach - Using a quantitative approach and cross-sectional research design, a sample of 400 individuals from urban Central and rural Northern Uganda was drawn. Using SPSS and AMOS™21, structural equation models and bootstrapping methods were used to establish the hypothesized relationships and mediation effects between financial attitude, financial literacy and FI. Findings - The results suggested FSE as a mediator of the relationship between financial attitude, financial literacy and FI. Further, there was a significant and insignificant relationship between financial literacy, financial attitude and FI, respectively. Research limitations/implications - The study was assessed using both potential and actual consumers of financial services collectively. However if separately assessed, possibly there would be a variation in perceptions or behavioural responses towards FI. Practical implications - There is a need to develop and sustain high levels of financial confidence among individuals to enable them use formal financial services. Social implications - Possession of financial knowledge, skills, an evaluative judgement with high levels of financial confidence enable individuals make financial decisions that improve their integration into the formal financial system and improved welfare. Originality/value - The results contribute towards the limited empirical and theoretical evidence regarding the mediating role of FSE in explaining the financial behaviour.","author":[{"dropping-particle":"","family":"Mindra","given":"Rachel","non-dropping-particle":"","parse-names":false,"suffix":""},{"dropping-particle":"","family":"Moya","given":"Musa","non-dropping-particle":"","parse-names":false,"suffix":""}],"container-title":"Equality, Diversity and Inclusion","id":"ITEM-1","issue":"2","issued":{"date-parts":[["2017"]]},"page":"128-149","title":"Financial self-efficacy: A mediator in advancing financial inclusion","type":"article-journal","volume":"36"},"uris":["http://www.mendeley.com/documents/?uuid=037c008f-919d-46d1-9790-d74cebe01e2f"]}],"mendeley":{"formattedCitation":"(Mindra &amp; Moya, 2017)","plainTextFormattedCitation":"(Mindra &amp; Moya, 2017)","previouslyFormattedCitation":"(Mindra &amp; Moya, 2017)"},"properties":{"noteIndex":0},"schema":"https://github.com/citation-style-language/schema/raw/master/csl-citation.json"}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(Mindra &amp; Moya, 2017)</w:t>
      </w:r>
      <w:r w:rsidRPr="001844F8">
        <w:rPr>
          <w:rFonts w:ascii="Arial" w:hAnsi="Arial" w:cs="Arial"/>
        </w:rPr>
        <w:fldChar w:fldCharType="end"/>
      </w:r>
      <w:r w:rsidRPr="001844F8">
        <w:rPr>
          <w:rFonts w:ascii="Arial" w:hAnsi="Arial" w:cs="Arial"/>
        </w:rPr>
        <w:t xml:space="preserve">. So, by having financial knowledge an individual can have a good financial attitude. According to </w:t>
      </w:r>
      <w:r w:rsidRPr="001844F8">
        <w:rPr>
          <w:rFonts w:ascii="Arial" w:hAnsi="Arial" w:cs="Arial"/>
        </w:rPr>
        <w:fldChar w:fldCharType="begin" w:fldLock="1"/>
      </w:r>
      <w:r w:rsidRPr="001844F8">
        <w:rPr>
          <w:rFonts w:ascii="Arial" w:hAnsi="Arial" w:cs="Arial"/>
        </w:rPr>
        <w:instrText>ADDIN CSL_CITATION {"citationItems":[{"id":"ITEM-1","itemData":{"DOI":"10.1017/S1474747211000448","ISSN":"14753022","abstract":"In an increasingly risky and globalized marketplace, people must be able to make well-informed financial decisions. New international research demonstrates that financial illiteracy is widespread in both well-developed and rapidly changing markets. Women are less financially literate than men, the young and the old are less financially literate than the middle-aged, and more educated people are more financially knowledgeable. Most importantly, the financially literate are more likely to plan for retirement. Instrumental variables estimates show that the effects of financial literacy on retirement planning tend to be underestimated. In sum, around the world, financial literacy is critical to retirement security. © 2011, Cambridge University Press. All rights reserved.","author":[{"dropping-particle":"","family":"Klapper","given":"Leora","non-dropping-particle":"","parse-names":false,"suffix":""},{"dropping-particle":"","family":"Lusardi","given":"Annamaria","non-dropping-particle":"","parse-names":false,"suffix":""},{"dropping-particle":"van","family":"Oudheusden","given":"Peter","non-dropping-particle":"","parse-names":false,"suffix":""}],"container-title":"Journal of Pension Economics and Finance","id":"ITEM-1","issue":"4","issued":{"date-parts":[["2011"]]},"page":"497-508","title":"Financial literacy around the world: An overview","type":"article-journal","volume":"10"},"uris":["http://www.mendeley.com/documents/?uuid=1d3f3c47-aa72-48d8-849c-95367017e19e"]}],"mendeley":{"formattedCitation":"(Klapper et al., 2011)","plainTextFormattedCitation":"(Klapper et al., 2011)","previouslyFormattedCitation":"(Klapper et al., 2011)"},"properties":{"noteIndex":0},"schema":"https://github.com/citation-style-language/schema/raw/master/csl-citation.json"}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(Klapper et al., 2011)</w:t>
      </w:r>
      <w:r w:rsidRPr="001844F8">
        <w:rPr>
          <w:rFonts w:ascii="Arial" w:hAnsi="Arial" w:cs="Arial"/>
        </w:rPr>
        <w:fldChar w:fldCharType="end"/>
      </w:r>
      <w:r w:rsidRPr="001844F8">
        <w:rPr>
          <w:rFonts w:ascii="Arial" w:hAnsi="Arial" w:cs="Arial"/>
        </w:rPr>
        <w:t>, individuals with knowledge of four basic financial concepts, namely, numeracy, risk diversification, inflation and compound interest, are said to be financially literate.</w:t>
      </w:r>
    </w:p>
    <w:p w:rsidR="001844F8" w:rsidRPr="001844F8" w:rsidRDefault="001844F8" w:rsidP="001844F8">
      <w:pPr>
        <w:pStyle w:val="Body"/>
        <w:rPr>
          <w:rFonts w:ascii="Arial" w:hAnsi="Arial" w:cs="Arial"/>
        </w:rPr>
      </w:pPr>
      <w:r w:rsidRPr="001844F8">
        <w:rPr>
          <w:rFonts w:ascii="Arial" w:hAnsi="Arial" w:cs="Arial"/>
        </w:rPr>
        <w:t xml:space="preserve">The majority of the Indonesian </w:t>
      </w:r>
      <w:r w:rsidRPr="00FB0D9B">
        <w:rPr>
          <w:rFonts w:ascii="Arial" w:hAnsi="Arial" w:cs="Arial"/>
          <w:highlight w:val="yellow"/>
        </w:rPr>
        <w:t xml:space="preserve">population or around 68% want a better old age (retirement), </w:t>
      </w:r>
      <w:r w:rsidR="00701105" w:rsidRPr="00FB0D9B">
        <w:rPr>
          <w:rFonts w:ascii="Arial" w:hAnsi="Arial" w:cs="Arial"/>
          <w:highlight w:val="yellow"/>
        </w:rPr>
        <w:t>which</w:t>
      </w:r>
      <w:r w:rsidR="00701105" w:rsidRPr="00FB0D9B">
        <w:rPr>
          <w:rFonts w:ascii="Arial" w:hAnsi="Arial" w:cs="Arial"/>
          <w:highlight w:val="yellow"/>
        </w:rPr>
        <w:t xml:space="preserve"> </w:t>
      </w:r>
      <w:r w:rsidRPr="00FB0D9B">
        <w:rPr>
          <w:rFonts w:ascii="Arial" w:hAnsi="Arial" w:cs="Arial"/>
          <w:highlight w:val="yellow"/>
        </w:rPr>
        <w:t>is in accordance with the results of the survey</w:t>
      </w:r>
      <w:r w:rsidR="00701105" w:rsidRPr="00FB0D9B">
        <w:rPr>
          <w:rFonts w:ascii="Arial" w:hAnsi="Arial" w:cs="Arial"/>
          <w:highlight w:val="yellow"/>
        </w:rPr>
        <w:t>,</w:t>
      </w:r>
      <w:r w:rsidRPr="00FB0D9B">
        <w:rPr>
          <w:rFonts w:ascii="Arial" w:hAnsi="Arial" w:cs="Arial"/>
          <w:highlight w:val="yellow"/>
        </w:rPr>
        <w:t xml:space="preserve"> The Future of Retirement: Bridging the Gap </w:t>
      </w:r>
      <w:r w:rsidRPr="00FB0D9B">
        <w:rPr>
          <w:rFonts w:ascii="Arial" w:hAnsi="Arial" w:cs="Arial"/>
          <w:highlight w:val="yellow"/>
        </w:rPr>
        <w:fldChar w:fldCharType="begin" w:fldLock="1"/>
      </w:r>
      <w:r w:rsidRPr="00FB0D9B">
        <w:rPr>
          <w:rFonts w:ascii="Arial" w:hAnsi="Arial" w:cs="Arial"/>
          <w:highlight w:val="yellow"/>
        </w:rPr>
        <w:instrText>ADDIN CSL_CITATION {"citationItems":[{"id":"ITEM-1","itemData":{"author":[{"dropping-particle":"","family":"HSBC","given":"","non-dropping-particle":"","parse-names":false,"suffix":""}],"id":"ITEM-1","issued":{"date-parts":[["2019"]]},"number-of-pages":"1-2","title":"Sebanyak 9 dari 10 orang Indonesia Belum Siap Menjadi Crazy Rich Retiree","type":"report"},"uris":["http://www.mendeley.com/documents/?uuid=19c9acac-a257-4281-8bee-12d568a2760b"]}],"mendeley":{"formattedCitation":"(HSBC, 2019)","plainTextFormattedCitation":"(HSBC, 2019)","previouslyFormattedCitation":"(HSBC, 2019)"},"properties":{"noteIndex":0},"schema":"https://github.com/citation-style-language/schema/raw/master/csl-citation.json"}</w:instrText>
      </w:r>
      <w:r w:rsidRPr="00FB0D9B">
        <w:rPr>
          <w:rFonts w:ascii="Arial" w:hAnsi="Arial" w:cs="Arial"/>
          <w:highlight w:val="yellow"/>
        </w:rPr>
        <w:fldChar w:fldCharType="separate"/>
      </w:r>
      <w:r w:rsidRPr="00FB0D9B">
        <w:rPr>
          <w:rFonts w:ascii="Arial" w:hAnsi="Arial" w:cs="Arial"/>
          <w:highlight w:val="yellow"/>
        </w:rPr>
        <w:t>(HSBC, 2019)</w:t>
      </w:r>
      <w:r w:rsidRPr="00FB0D9B">
        <w:rPr>
          <w:rFonts w:ascii="Arial" w:hAnsi="Arial" w:cs="Arial"/>
          <w:highlight w:val="yellow"/>
        </w:rPr>
        <w:fldChar w:fldCharType="end"/>
      </w:r>
      <w:r w:rsidRPr="00FB0D9B">
        <w:rPr>
          <w:rFonts w:ascii="Arial" w:hAnsi="Arial" w:cs="Arial"/>
          <w:highlight w:val="yellow"/>
        </w:rPr>
        <w:t>.</w:t>
      </w:r>
      <w:r w:rsidR="00701105" w:rsidRPr="00FB0D9B">
        <w:rPr>
          <w:rFonts w:ascii="Arial" w:hAnsi="Arial" w:cs="Arial"/>
          <w:highlight w:val="yellow"/>
        </w:rPr>
        <w:t xml:space="preserve"> </w:t>
      </w:r>
      <w:r w:rsidRPr="00FB0D9B">
        <w:rPr>
          <w:rFonts w:ascii="Arial" w:hAnsi="Arial" w:cs="Arial"/>
          <w:highlight w:val="yellow"/>
        </w:rPr>
        <w:t>However, this must be planned</w:t>
      </w:r>
      <w:r w:rsidRPr="001844F8">
        <w:rPr>
          <w:rFonts w:ascii="Arial" w:hAnsi="Arial" w:cs="Arial"/>
        </w:rPr>
        <w:t xml:space="preserve"> carefully from early on. Unfortunately, this awareness usually arises when someone is approaching retirement. Even, in fact, only a small portion of the Indonesian population invests, where the average investor in Indonesia has not yet reached 1 percent of the total population, so it is necessary to conduct further studies regarding investment intentions in Indonesia. Therefore, this research was carried out by testing and analyzing the variables financial attitude, subjective norms, financial self-efficacy, and financial knowledge on investment intentions. This test and analysis </w:t>
      </w:r>
      <w:proofErr w:type="gramStart"/>
      <w:r w:rsidRPr="001844F8">
        <w:rPr>
          <w:rFonts w:ascii="Arial" w:hAnsi="Arial" w:cs="Arial"/>
        </w:rPr>
        <w:t>is</w:t>
      </w:r>
      <w:proofErr w:type="gramEnd"/>
      <w:r w:rsidRPr="001844F8">
        <w:rPr>
          <w:rFonts w:ascii="Arial" w:hAnsi="Arial" w:cs="Arial"/>
        </w:rPr>
        <w:t xml:space="preserve"> carried out directly and indirectly or through a mediated relationship through financial attitude and financial self-efficacy. This research focuses on </w:t>
      </w:r>
      <w:proofErr w:type="spellStart"/>
      <w:r w:rsidR="00701105" w:rsidRPr="00FB0D9B">
        <w:rPr>
          <w:rFonts w:ascii="Arial" w:hAnsi="Arial" w:cs="Arial"/>
          <w:highlight w:val="yellow"/>
        </w:rPr>
        <w:t>analy</w:t>
      </w:r>
      <w:r w:rsidR="00701105" w:rsidRPr="00FB0D9B">
        <w:rPr>
          <w:rFonts w:ascii="Arial" w:hAnsi="Arial" w:cs="Arial"/>
          <w:highlight w:val="yellow"/>
        </w:rPr>
        <w:t>s</w:t>
      </w:r>
      <w:r w:rsidR="00701105" w:rsidRPr="00FB0D9B">
        <w:rPr>
          <w:rFonts w:ascii="Arial" w:hAnsi="Arial" w:cs="Arial"/>
          <w:highlight w:val="yellow"/>
        </w:rPr>
        <w:t>ing</w:t>
      </w:r>
      <w:proofErr w:type="spellEnd"/>
      <w:r w:rsidR="00701105" w:rsidRPr="001844F8">
        <w:rPr>
          <w:rFonts w:ascii="Arial" w:hAnsi="Arial" w:cs="Arial"/>
        </w:rPr>
        <w:t xml:space="preserve"> </w:t>
      </w:r>
      <w:r w:rsidRPr="001844F8">
        <w:rPr>
          <w:rFonts w:ascii="Arial" w:hAnsi="Arial" w:cs="Arial"/>
        </w:rPr>
        <w:t xml:space="preserve">investment intentions within the framework of the Theory of Planned Behavior (TPB). So, we will also explore how variables such as financial attitude, financial self-efficacy, subjective norms, financial knowledge, and personality traits influence investment intentions. It is hoped that the contribution of this research will facilitate further understanding of the factors that influence investment intentions, especially in Surabaya, as well as enrich the financial </w:t>
      </w:r>
      <w:proofErr w:type="spellStart"/>
      <w:r w:rsidRPr="001844F8">
        <w:rPr>
          <w:rFonts w:ascii="Arial" w:hAnsi="Arial" w:cs="Arial"/>
        </w:rPr>
        <w:t>behavio</w:t>
      </w:r>
      <w:r w:rsidR="00701105">
        <w:rPr>
          <w:rFonts w:ascii="Arial" w:hAnsi="Arial" w:cs="Arial"/>
        </w:rPr>
        <w:t>u</w:t>
      </w:r>
      <w:r w:rsidRPr="001844F8">
        <w:rPr>
          <w:rFonts w:ascii="Arial" w:hAnsi="Arial" w:cs="Arial"/>
        </w:rPr>
        <w:t>r</w:t>
      </w:r>
      <w:proofErr w:type="spellEnd"/>
      <w:r w:rsidRPr="001844F8">
        <w:rPr>
          <w:rFonts w:ascii="Arial" w:hAnsi="Arial" w:cs="Arial"/>
        </w:rPr>
        <w:t xml:space="preserve"> literature by adjusting and adding variables within the TPB framework. Apart from that, it is also hoped that it can provide a clear view of the parameters and limitations applied in research regarding investment intentions. Therefore, a hypothesis is formulated as follows:</w:t>
      </w:r>
    </w:p>
    <w:p w:rsidR="001844F8" w:rsidRPr="001844F8" w:rsidRDefault="001844F8" w:rsidP="001844F8">
      <w:pPr>
        <w:pStyle w:val="Body"/>
        <w:rPr>
          <w:rFonts w:ascii="Arial" w:hAnsi="Arial" w:cs="Arial"/>
          <w:i/>
          <w:iCs/>
        </w:rPr>
      </w:pPr>
      <w:r w:rsidRPr="001844F8">
        <w:rPr>
          <w:rFonts w:ascii="Arial" w:hAnsi="Arial" w:cs="Arial"/>
          <w:i/>
          <w:iCs/>
        </w:rPr>
        <w:t>H1: Financial Attitude has a significant influence on Investment Intentions</w:t>
      </w:r>
    </w:p>
    <w:p w:rsidR="001844F8" w:rsidRPr="001844F8" w:rsidRDefault="001844F8" w:rsidP="001844F8">
      <w:pPr>
        <w:pStyle w:val="Body"/>
        <w:rPr>
          <w:rFonts w:ascii="Arial" w:hAnsi="Arial" w:cs="Arial"/>
          <w:i/>
          <w:iCs/>
        </w:rPr>
      </w:pPr>
      <w:r w:rsidRPr="001844F8">
        <w:rPr>
          <w:rFonts w:ascii="Arial" w:hAnsi="Arial" w:cs="Arial"/>
          <w:i/>
          <w:iCs/>
        </w:rPr>
        <w:t>H2: Subjective Norms have a significant influence on Investment Intentions</w:t>
      </w:r>
    </w:p>
    <w:p w:rsidR="001844F8" w:rsidRPr="001844F8" w:rsidRDefault="001844F8" w:rsidP="001844F8">
      <w:pPr>
        <w:pStyle w:val="Body"/>
        <w:rPr>
          <w:rFonts w:ascii="Arial" w:hAnsi="Arial" w:cs="Arial"/>
          <w:i/>
          <w:iCs/>
        </w:rPr>
      </w:pPr>
      <w:r w:rsidRPr="001844F8">
        <w:rPr>
          <w:rFonts w:ascii="Arial" w:hAnsi="Arial" w:cs="Arial"/>
          <w:i/>
          <w:iCs/>
        </w:rPr>
        <w:t>H3: Financial self-efficacy has a significant influence on investment intentions</w:t>
      </w:r>
    </w:p>
    <w:p w:rsidR="001844F8" w:rsidRPr="001844F8" w:rsidRDefault="001844F8" w:rsidP="001844F8">
      <w:pPr>
        <w:pStyle w:val="Body"/>
        <w:rPr>
          <w:rFonts w:ascii="Arial" w:hAnsi="Arial" w:cs="Arial"/>
          <w:i/>
          <w:iCs/>
        </w:rPr>
      </w:pPr>
      <w:r w:rsidRPr="001844F8">
        <w:rPr>
          <w:rFonts w:ascii="Arial" w:hAnsi="Arial" w:cs="Arial"/>
          <w:i/>
          <w:iCs/>
        </w:rPr>
        <w:t>H4: Financial Knowledge has a significant influence on Investment Intentions</w:t>
      </w:r>
    </w:p>
    <w:p w:rsidR="001844F8" w:rsidRPr="001844F8" w:rsidRDefault="001844F8" w:rsidP="001844F8">
      <w:pPr>
        <w:pStyle w:val="Body"/>
        <w:rPr>
          <w:rFonts w:ascii="Arial" w:hAnsi="Arial" w:cs="Arial"/>
          <w:i/>
          <w:iCs/>
        </w:rPr>
      </w:pPr>
      <w:r w:rsidRPr="001844F8">
        <w:rPr>
          <w:rFonts w:ascii="Arial" w:hAnsi="Arial" w:cs="Arial"/>
          <w:i/>
          <w:iCs/>
        </w:rPr>
        <w:t>H5: Financial Knowledge has a significant influence on Financial Attitude</w:t>
      </w:r>
    </w:p>
    <w:p w:rsidR="001844F8" w:rsidRPr="001844F8" w:rsidRDefault="001844F8" w:rsidP="001844F8">
      <w:pPr>
        <w:pStyle w:val="Body"/>
        <w:rPr>
          <w:rFonts w:ascii="Arial" w:hAnsi="Arial" w:cs="Arial"/>
          <w:i/>
          <w:iCs/>
        </w:rPr>
      </w:pPr>
      <w:r w:rsidRPr="001844F8">
        <w:rPr>
          <w:rFonts w:ascii="Arial" w:hAnsi="Arial" w:cs="Arial"/>
          <w:i/>
          <w:iCs/>
        </w:rPr>
        <w:t>H6: Personality Traits Have a Significant Influence on Investment Intentions</w:t>
      </w:r>
    </w:p>
    <w:p w:rsidR="001844F8" w:rsidRPr="001844F8" w:rsidRDefault="001844F8" w:rsidP="001844F8">
      <w:pPr>
        <w:pStyle w:val="Body"/>
        <w:rPr>
          <w:rFonts w:ascii="Arial" w:hAnsi="Arial" w:cs="Arial"/>
          <w:i/>
          <w:iCs/>
        </w:rPr>
      </w:pPr>
      <w:r w:rsidRPr="001844F8">
        <w:rPr>
          <w:rFonts w:ascii="Arial" w:hAnsi="Arial" w:cs="Arial"/>
          <w:i/>
          <w:iCs/>
        </w:rPr>
        <w:t>H7: Personality Traits have a significant influence on financial self-efficacy</w:t>
      </w:r>
    </w:p>
    <w:p w:rsidR="001844F8" w:rsidRPr="001844F8" w:rsidRDefault="001844F8" w:rsidP="001844F8">
      <w:pPr>
        <w:pStyle w:val="Body"/>
        <w:rPr>
          <w:rFonts w:ascii="Arial" w:hAnsi="Arial" w:cs="Arial"/>
          <w:i/>
          <w:iCs/>
        </w:rPr>
      </w:pPr>
      <w:r w:rsidRPr="001844F8">
        <w:rPr>
          <w:rFonts w:ascii="Arial" w:hAnsi="Arial" w:cs="Arial"/>
          <w:i/>
          <w:iCs/>
        </w:rPr>
        <w:t>H8: Financial Knowledge has a significant influence on Investment Intentions which is mediated by Financial Attitude</w:t>
      </w:r>
    </w:p>
    <w:p w:rsidR="001844F8" w:rsidRPr="001844F8" w:rsidRDefault="001844F8" w:rsidP="001844F8">
      <w:pPr>
        <w:pStyle w:val="Body"/>
        <w:rPr>
          <w:rFonts w:ascii="Arial" w:hAnsi="Arial" w:cs="Arial"/>
          <w:i/>
          <w:iCs/>
        </w:rPr>
      </w:pPr>
      <w:r w:rsidRPr="001844F8">
        <w:rPr>
          <w:rFonts w:ascii="Arial" w:hAnsi="Arial" w:cs="Arial"/>
          <w:i/>
          <w:iCs/>
        </w:rPr>
        <w:t>H9: Personality Traits have a significant influence on investment intentions which are mediated by financial self-efficacy</w:t>
      </w:r>
    </w:p>
    <w:p w:rsidR="001844F8" w:rsidRPr="001844F8" w:rsidRDefault="001844F8" w:rsidP="001844F8">
      <w:pPr>
        <w:pStyle w:val="Body"/>
        <w:rPr>
          <w:rFonts w:ascii="Arial" w:hAnsi="Arial" w:cs="Arial"/>
        </w:rPr>
      </w:pPr>
      <w:r w:rsidRPr="001844F8">
        <w:rPr>
          <w:rFonts w:ascii="Arial" w:hAnsi="Arial" w:cs="Arial"/>
        </w:rPr>
        <w:t xml:space="preserve"> </w:t>
      </w:r>
    </w:p>
    <w:p w:rsidR="001844F8" w:rsidRPr="001844F8" w:rsidRDefault="001844F8" w:rsidP="001844F8">
      <w:pPr>
        <w:pStyle w:val="Body"/>
        <w:rPr>
          <w:rFonts w:ascii="Arial" w:hAnsi="Arial" w:cs="Arial"/>
        </w:rPr>
      </w:pPr>
      <w:r w:rsidRPr="001844F8">
        <w:rPr>
          <w:rFonts w:ascii="Arial" w:hAnsi="Arial" w:cs="Arial"/>
          <w:noProof/>
        </w:rPr>
        <w:lastRenderedPageBreak/>
        <w:drawing>
          <wp:inline distT="0" distB="0" distL="0" distR="0" wp14:anchorId="401D0167" wp14:editId="33CBA762">
            <wp:extent cx="1657350" cy="1432515"/>
            <wp:effectExtent l="0" t="0" r="0" b="0"/>
            <wp:docPr id="622805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81134" cy="1453072"/>
                    </a:xfrm>
                    <a:prstGeom prst="rect">
                      <a:avLst/>
                    </a:prstGeom>
                    <a:noFill/>
                    <a:ln>
                      <a:noFill/>
                    </a:ln>
                  </pic:spPr>
                </pic:pic>
              </a:graphicData>
            </a:graphic>
          </wp:inline>
        </w:drawing>
      </w:r>
    </w:p>
    <w:p w:rsidR="001844F8" w:rsidRPr="001844F8" w:rsidRDefault="001844F8" w:rsidP="001844F8">
      <w:pPr>
        <w:pStyle w:val="Body"/>
        <w:rPr>
          <w:rFonts w:ascii="Arial" w:hAnsi="Arial" w:cs="Arial"/>
        </w:rPr>
      </w:pPr>
      <w:r w:rsidRPr="001844F8">
        <w:rPr>
          <w:rFonts w:ascii="Arial" w:hAnsi="Arial" w:cs="Arial"/>
          <w:b/>
          <w:bCs/>
        </w:rPr>
        <w:t xml:space="preserve">Figure 1 </w:t>
      </w:r>
      <w:r w:rsidRPr="001844F8">
        <w:rPr>
          <w:rFonts w:ascii="Arial" w:hAnsi="Arial" w:cs="Arial"/>
        </w:rPr>
        <w:t>Conceptual Framework of Research</w:t>
      </w:r>
    </w:p>
    <w:p w:rsidR="001844F8" w:rsidRPr="001844F8" w:rsidRDefault="001844F8" w:rsidP="001844F8">
      <w:pPr>
        <w:pStyle w:val="Body"/>
        <w:spacing w:after="0"/>
        <w:rPr>
          <w:rFonts w:ascii="Arial" w:hAnsi="Arial" w:cs="Arial"/>
          <w:b/>
        </w:rPr>
      </w:pPr>
      <w:r>
        <w:rPr>
          <w:rFonts w:ascii="Arial" w:hAnsi="Arial" w:cs="Arial"/>
          <w:b/>
        </w:rPr>
        <w:t>2.</w:t>
      </w:r>
      <w:r w:rsidRPr="001844F8">
        <w:rPr>
          <w:rFonts w:ascii="Arial" w:hAnsi="Arial" w:cs="Arial"/>
          <w:b/>
        </w:rPr>
        <w:t>METHODS</w:t>
      </w:r>
    </w:p>
    <w:p w:rsidR="001844F8" w:rsidRPr="001844F8" w:rsidRDefault="001844F8" w:rsidP="001844F8">
      <w:pPr>
        <w:pStyle w:val="Body"/>
        <w:rPr>
          <w:rFonts w:ascii="Arial" w:hAnsi="Arial" w:cs="Arial"/>
        </w:rPr>
      </w:pPr>
      <w:r w:rsidRPr="001844F8">
        <w:rPr>
          <w:rFonts w:ascii="Arial" w:hAnsi="Arial" w:cs="Arial"/>
        </w:rPr>
        <w:t>The type of research used in this research is comparative causal research in the form of a cause-and-effect relationship between two or more variables</w:t>
      </w:r>
      <w:r w:rsidRPr="00FB0D9B">
        <w:rPr>
          <w:rFonts w:ascii="Arial" w:hAnsi="Arial" w:cs="Arial"/>
          <w:highlight w:val="yellow"/>
          <w:lang w:val="en-AU"/>
        </w:rPr>
        <w:t>.</w:t>
      </w:r>
      <w:r w:rsidR="00701105" w:rsidRPr="00FB0D9B">
        <w:rPr>
          <w:rFonts w:ascii="Arial" w:hAnsi="Arial" w:cs="Arial"/>
          <w:highlight w:val="yellow"/>
          <w:lang w:val="en-AU"/>
        </w:rPr>
        <w:t xml:space="preserve"> </w:t>
      </w:r>
      <w:proofErr w:type="gramStart"/>
      <w:r w:rsidRPr="00FB0D9B">
        <w:rPr>
          <w:rFonts w:ascii="Arial" w:hAnsi="Arial" w:cs="Arial"/>
          <w:highlight w:val="yellow"/>
        </w:rPr>
        <w:t>The</w:t>
      </w:r>
      <w:proofErr w:type="gramEnd"/>
      <w:r w:rsidRPr="00FB0D9B">
        <w:rPr>
          <w:rFonts w:ascii="Arial" w:hAnsi="Arial" w:cs="Arial"/>
          <w:highlight w:val="yellow"/>
        </w:rPr>
        <w:t xml:space="preserve"> population</w:t>
      </w:r>
      <w:r w:rsidRPr="001844F8">
        <w:rPr>
          <w:rFonts w:ascii="Arial" w:hAnsi="Arial" w:cs="Arial"/>
        </w:rPr>
        <w:t xml:space="preserve"> in this research is all investors in the city of Surabaya, whose number is unlimited. The selection of investors as a population is because they understand the concept of investment and have invested in the Indonesian capital market, so that the data collected will not cause bias in the results of this research data test. Meanwhile, the sampling technique used in this research is Accidental Sampling. Accidental Sampling is a technique for determining samples that coincidentally meet researchers and can be used as samples, if it is deemed that the person they meet by chance is suitable as a data source </w:t>
      </w:r>
      <w:r w:rsidRPr="001844F8">
        <w:rPr>
          <w:rFonts w:ascii="Arial" w:hAnsi="Arial" w:cs="Arial"/>
        </w:rPr>
        <w:fldChar w:fldCharType="begin" w:fldLock="1"/>
      </w:r>
      <w:r w:rsidRPr="001844F8">
        <w:rPr>
          <w:rFonts w:ascii="Arial" w:hAnsi="Arial" w:cs="Arial"/>
        </w:rPr>
        <w:instrText>ADDIN CSL_CITATION {"citationItems":[{"id":"ITEM-1","itemData":{"author":[{"dropping-particle":"","family":"Sugiyono","given":"","non-dropping-particle":"","parse-names":false,"suffix":""}],"id":"ITEM-1","issued":{"date-parts":[["2018"]]},"publisher":"Alfabeta","publisher-place":"Bandung","title":"Metode Penelitian Kuantitatif, Kualitatif, dan R&amp;D","type":"book"},"uris":["http://www.mendeley.com/documents/?uuid=0da7d4e4-1331-4a63-b35f-5f598bc4a562"]}],"mendeley":{"formattedCitation":"(Sugiyono, 2018)","plainTextFormattedCitation":"(Sugiyono, 2018)","previouslyFormattedCitation":"(Sugiyono, 2018)"},"properties":{"noteIndex":0},"schema":"https://github.com/citation-style-language/schema/raw/master/csl-citation.json"}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(Sugiyono, 2018)</w:t>
      </w:r>
      <w:r w:rsidRPr="001844F8">
        <w:rPr>
          <w:rFonts w:ascii="Arial" w:hAnsi="Arial" w:cs="Arial"/>
        </w:rPr>
        <w:fldChar w:fldCharType="end"/>
      </w:r>
      <w:r w:rsidRPr="001844F8">
        <w:rPr>
          <w:rFonts w:ascii="Arial" w:hAnsi="Arial" w:cs="Arial"/>
        </w:rPr>
        <w:t xml:space="preserve">. Sampling was carried out by visiting investors' gathering places during investor forum activities at the IDX East Java representative office or at the Stock Exchange Investment Gallery in the Surabaya City area and then by chance meeting investors at the </w:t>
      </w:r>
      <w:r w:rsidRPr="00FB0D9B">
        <w:rPr>
          <w:rFonts w:ascii="Arial" w:hAnsi="Arial" w:cs="Arial"/>
          <w:highlight w:val="yellow"/>
        </w:rPr>
        <w:t>forum</w:t>
      </w:r>
      <w:r w:rsidR="00701105" w:rsidRPr="00FB0D9B">
        <w:rPr>
          <w:rFonts w:ascii="Arial" w:hAnsi="Arial" w:cs="Arial"/>
          <w:highlight w:val="yellow"/>
        </w:rPr>
        <w:t>,</w:t>
      </w:r>
      <w:r w:rsidRPr="00FB0D9B">
        <w:rPr>
          <w:rFonts w:ascii="Arial" w:hAnsi="Arial" w:cs="Arial"/>
          <w:highlight w:val="yellow"/>
        </w:rPr>
        <w:t xml:space="preserve"> with the</w:t>
      </w:r>
      <w:r w:rsidRPr="001844F8">
        <w:rPr>
          <w:rFonts w:ascii="Arial" w:hAnsi="Arial" w:cs="Arial"/>
        </w:rPr>
        <w:t xml:space="preserve"> following respondent criteria:</w:t>
      </w:r>
    </w:p>
    <w:p w:rsidR="001844F8" w:rsidRPr="001844F8" w:rsidRDefault="001844F8" w:rsidP="007418CF">
      <w:pPr>
        <w:pStyle w:val="Body"/>
        <w:numPr>
          <w:ilvl w:val="1"/>
          <w:numId w:val="2"/>
        </w:numPr>
        <w:rPr>
          <w:rFonts w:ascii="Arial" w:hAnsi="Arial" w:cs="Arial"/>
        </w:rPr>
      </w:pPr>
      <w:r w:rsidRPr="001844F8">
        <w:rPr>
          <w:rFonts w:ascii="Arial" w:hAnsi="Arial" w:cs="Arial"/>
        </w:rPr>
        <w:t>Respondents who already have a Single Investor Identification (SID) because they have invested in the Indonesian capital market</w:t>
      </w:r>
    </w:p>
    <w:p w:rsidR="001844F8" w:rsidRPr="001844F8" w:rsidRDefault="001844F8" w:rsidP="007418CF">
      <w:pPr>
        <w:pStyle w:val="Body"/>
        <w:numPr>
          <w:ilvl w:val="1"/>
          <w:numId w:val="2"/>
        </w:numPr>
        <w:rPr>
          <w:rFonts w:ascii="Arial" w:hAnsi="Arial" w:cs="Arial"/>
        </w:rPr>
      </w:pPr>
      <w:r w:rsidRPr="001844F8">
        <w:rPr>
          <w:rFonts w:ascii="Arial" w:hAnsi="Arial" w:cs="Arial"/>
        </w:rPr>
        <w:t>Respondents who have attended the Capital Market Seminar &gt; 1 time</w:t>
      </w:r>
    </w:p>
    <w:p w:rsidR="001844F8" w:rsidRPr="001844F8" w:rsidRDefault="001844F8" w:rsidP="001844F8">
      <w:pPr>
        <w:pStyle w:val="Body"/>
        <w:rPr>
          <w:rFonts w:ascii="Arial" w:hAnsi="Arial" w:cs="Arial"/>
        </w:rPr>
      </w:pPr>
      <w:r w:rsidRPr="001844F8">
        <w:rPr>
          <w:rFonts w:ascii="Arial" w:hAnsi="Arial" w:cs="Arial"/>
        </w:rPr>
        <w:t xml:space="preserve">Researchers chose a minimum sample size for time efficiency in research. Choosing the minimum amount is permissible because it complies with </w:t>
      </w:r>
      <w:r w:rsidRPr="001844F8">
        <w:rPr>
          <w:rFonts w:ascii="Arial" w:hAnsi="Arial" w:cs="Arial"/>
        </w:rPr>
        <w:fldChar w:fldCharType="begin" w:fldLock="1"/>
      </w:r>
      <w:r w:rsidRPr="001844F8">
        <w:rPr>
          <w:rFonts w:ascii="Arial" w:hAnsi="Arial" w:cs="Arial"/>
        </w:rPr>
        <w:instrText>ADDIN CSL_CITATION {"citationItems":[{"id":"ITEM-1","itemData":{"author":[{"dropping-particle":"","family":"Hair","given":"J.F.","non-dropping-particle":"","parse-names":false,"suffix":""},{"dropping-particle":"","family":"Black","given":"W.C.","non-dropping-particle":"","parse-names":false,"suffix":""},{"dropping-particle":"","family":"Babin","given":"B.J.","non-dropping-particle":"","parse-names":false,"suffix":""},{"dropping-particle":"","family":"Anderson","given":"R.E.","non-dropping-particle":"","parse-names":false,"suffix":""},{"dropping-particle":"","family":"Tatham","given":"R.L.","non-dropping-particle":"","parse-names":false,"suffix":""}],"container-title":"Prentice Hall, Upper Saddle River.","id":"ITEM-1","issue":"3","issued":{"date-parts":[["1998"]]},"page":"207-219","title":"Multivariate Data Analysis","type":"article-journal","volume":"5"},"uris":["http://www.mendeley.com/documents/?uuid=a973d2fc-cd86-4603-8ec5-fc8dbb2cd531"]}],"mendeley":{"formattedCitation":"(Hair et al., 1998)","plainTextFormattedCitation":"(Hair et al., 1998)","previouslyFormattedCitation":"(Hair et al., 1998)"},"properties":{"noteIndex":0},"schema":"https://github.com/citation-style-language/schema/raw/master/csl-citation.json"}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(Hair et al., 1998)</w:t>
      </w:r>
      <w:r w:rsidRPr="001844F8">
        <w:rPr>
          <w:rFonts w:ascii="Arial" w:hAnsi="Arial" w:cs="Arial"/>
        </w:rPr>
        <w:fldChar w:fldCharType="end"/>
      </w:r>
      <w:r w:rsidRPr="001844F8">
        <w:rPr>
          <w:rFonts w:ascii="Arial" w:hAnsi="Arial" w:cs="Arial"/>
        </w:rPr>
        <w:t xml:space="preserve">. The sample size for analysis using Structural equation modeling (SEM) which uses the Maximum Likelihood Estimation (MLE) model is 100 – 200 samples </w:t>
      </w:r>
      <w:r w:rsidRPr="00FB0D9B">
        <w:rPr>
          <w:rFonts w:ascii="Arial" w:hAnsi="Arial" w:cs="Arial"/>
          <w:highlight w:val="yellow"/>
        </w:rPr>
        <w:fldChar w:fldCharType="begin" w:fldLock="1"/>
      </w:r>
      <w:r w:rsidRPr="00FB0D9B">
        <w:rPr>
          <w:rFonts w:ascii="Arial" w:hAnsi="Arial" w:cs="Arial"/>
          <w:highlight w:val="yellow"/>
        </w:rPr>
        <w:instrText>ADDIN CSL_CITATION {"citationItems":[{"id":"ITEM-1","itemData":{"author":[{"dropping-particle":"","family":"Hair","given":"J.F.","non-dropping-particle":"","parse-names":false,"suffix":""},{"dropping-particle":"","family":"Black","given":"W.C.","non-dropping-particle":"","parse-names":false,"suffix":""},{"dropping-particle":"","family":"Babin","given":"B.J.","non-dropping-particle":"","parse-names":false,"suffix":""},{"dropping-particle":"","family":"Anderson","given":"R.E.","non-dropping-particle":"","parse-names":false,"suffix":""},{"dropping-particle":"","family":"Tatham","given":"R.L.","non-dropping-particle":"","parse-names":false,"suffix":""}],"container-title":"Prentice Hall, Upper Saddle River.","id":"ITEM-1","issue":"3","issued":{"date-parts":[["1998"]]},"page":"207-219","title":"Multivariate Data Analysis","type":"article-journal","volume":"5"},"uris":["http://www.mendeley.com/documents/?uuid=a973d2fc-cd86-4603-8ec5-fc8dbb2cd531"]}],"mendeley":{"formattedCitation":"(Hair et al., 1998)","plainTextFormattedCitation":"(Hair et al., 1998)","previouslyFormattedCitation":"(Hair et al., 1998)"},"properties":{"noteIndex":0},"schema":"https://github.com/citation-style-language/schema/raw/master/csl-citation.json"}</w:instrText>
      </w:r>
      <w:r w:rsidRPr="00FB0D9B">
        <w:rPr>
          <w:rFonts w:ascii="Arial" w:hAnsi="Arial" w:cs="Arial"/>
          <w:highlight w:val="yellow"/>
        </w:rPr>
        <w:fldChar w:fldCharType="separate"/>
      </w:r>
      <w:r w:rsidRPr="00FB0D9B">
        <w:rPr>
          <w:rFonts w:ascii="Arial" w:hAnsi="Arial" w:cs="Arial"/>
          <w:highlight w:val="yellow"/>
        </w:rPr>
        <w:t>(Hair et al., 1998)</w:t>
      </w:r>
      <w:r w:rsidRPr="00FB0D9B">
        <w:rPr>
          <w:rFonts w:ascii="Arial" w:hAnsi="Arial" w:cs="Arial"/>
          <w:highlight w:val="yellow"/>
        </w:rPr>
        <w:fldChar w:fldCharType="end"/>
      </w:r>
      <w:r w:rsidRPr="00FB0D9B">
        <w:rPr>
          <w:rFonts w:ascii="Arial" w:hAnsi="Arial" w:cs="Arial"/>
          <w:highlight w:val="yellow"/>
        </w:rPr>
        <w:t xml:space="preserve">. The researcher's sample size was determined as 135 respondents and </w:t>
      </w:r>
      <w:r w:rsidR="00701105" w:rsidRPr="00FB0D9B">
        <w:rPr>
          <w:rFonts w:ascii="Arial" w:hAnsi="Arial" w:cs="Arial"/>
          <w:highlight w:val="yellow"/>
        </w:rPr>
        <w:t>this size falls within th</w:t>
      </w:r>
      <w:r w:rsidRPr="00FB0D9B">
        <w:rPr>
          <w:rFonts w:ascii="Arial" w:hAnsi="Arial" w:cs="Arial"/>
          <w:highlight w:val="yellow"/>
        </w:rPr>
        <w:t>e range that can be used in SEM analysis.</w:t>
      </w:r>
    </w:p>
    <w:p w:rsidR="001844F8" w:rsidRPr="001844F8" w:rsidRDefault="001844F8" w:rsidP="001844F8">
      <w:pPr>
        <w:pStyle w:val="Body"/>
        <w:rPr>
          <w:rFonts w:ascii="Arial" w:hAnsi="Arial" w:cs="Arial"/>
        </w:rPr>
      </w:pPr>
      <w:r w:rsidRPr="001844F8">
        <w:rPr>
          <w:rFonts w:ascii="Arial" w:hAnsi="Arial" w:cs="Arial"/>
        </w:rPr>
        <w:t>The data collected in this research is primary data. The research instrument used in this research was a questionnaire. The questionnaire requires a measurement scale. In this research, the scale used to measure the research variables is the Likert scale. The questionnaire design in this research is as follows.</w:t>
      </w:r>
    </w:p>
    <w:p w:rsidR="001844F8" w:rsidRPr="001844F8" w:rsidRDefault="001844F8" w:rsidP="001844F8">
      <w:pPr>
        <w:pStyle w:val="Body"/>
        <w:rPr>
          <w:rFonts w:ascii="Arial" w:hAnsi="Arial" w:cs="Arial"/>
          <w:lang w:val="de-DE"/>
        </w:rPr>
      </w:pPr>
      <w:r w:rsidRPr="001844F8">
        <w:rPr>
          <w:rFonts w:ascii="Arial" w:hAnsi="Arial" w:cs="Arial"/>
          <w:b/>
          <w:bCs/>
        </w:rPr>
        <w:t>Table 1</w:t>
      </w:r>
      <w:r w:rsidRPr="001844F8">
        <w:rPr>
          <w:rFonts w:ascii="Arial" w:hAnsi="Arial" w:cs="Arial"/>
        </w:rPr>
        <w:t xml:space="preserve">. </w:t>
      </w:r>
      <w:r w:rsidRPr="001844F8">
        <w:rPr>
          <w:rFonts w:ascii="Arial" w:hAnsi="Arial" w:cs="Arial"/>
          <w:lang w:val="de-DE"/>
        </w:rPr>
        <w:t>Research questionnaire design</w:t>
      </w:r>
    </w:p>
    <w:tbl>
      <w:tblPr>
        <w:tblStyle w:val="TableGrid"/>
        <w:tblW w:w="5000" w:type="pct"/>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06"/>
        <w:gridCol w:w="2561"/>
        <w:gridCol w:w="1505"/>
        <w:gridCol w:w="2952"/>
      </w:tblGrid>
      <w:tr w:rsidR="001844F8" w:rsidRPr="001844F8" w:rsidTr="006E664E">
        <w:trPr>
          <w:trHeight w:val="340"/>
          <w:tblHeader/>
        </w:trPr>
        <w:tc>
          <w:tcPr>
            <w:tcW w:w="835" w:type="pct"/>
            <w:tcBorders>
              <w:top w:val="single" w:sz="12" w:space="0" w:color="auto"/>
              <w:bottom w:val="single" w:sz="12" w:space="0" w:color="auto"/>
            </w:tcBorders>
            <w:vAlign w:val="center"/>
          </w:tcPr>
          <w:p w:rsidR="001844F8" w:rsidRPr="001844F8" w:rsidRDefault="001844F8" w:rsidP="001844F8">
            <w:pPr>
              <w:pStyle w:val="Body"/>
              <w:rPr>
                <w:rFonts w:ascii="Arial" w:hAnsi="Arial" w:cs="Arial"/>
                <w:b/>
                <w:bCs/>
                <w:lang w:val="id-ID"/>
              </w:rPr>
            </w:pPr>
            <w:r w:rsidRPr="001844F8">
              <w:rPr>
                <w:rFonts w:ascii="Arial" w:hAnsi="Arial" w:cs="Arial"/>
                <w:b/>
                <w:bCs/>
                <w:lang w:val="id-ID"/>
              </w:rPr>
              <w:t>Variable</w:t>
            </w:r>
          </w:p>
        </w:tc>
        <w:tc>
          <w:tcPr>
            <w:tcW w:w="1520" w:type="pct"/>
            <w:tcBorders>
              <w:top w:val="single" w:sz="12" w:space="0" w:color="auto"/>
              <w:bottom w:val="single" w:sz="12" w:space="0" w:color="auto"/>
            </w:tcBorders>
            <w:vAlign w:val="center"/>
          </w:tcPr>
          <w:p w:rsidR="001844F8" w:rsidRPr="001844F8" w:rsidRDefault="001844F8" w:rsidP="001844F8">
            <w:pPr>
              <w:pStyle w:val="Body"/>
              <w:rPr>
                <w:rFonts w:ascii="Arial" w:hAnsi="Arial" w:cs="Arial"/>
                <w:b/>
                <w:bCs/>
                <w:lang w:val="id-ID"/>
              </w:rPr>
            </w:pPr>
            <w:r w:rsidRPr="001844F8">
              <w:rPr>
                <w:rFonts w:ascii="Arial" w:hAnsi="Arial" w:cs="Arial"/>
                <w:b/>
                <w:bCs/>
                <w:lang w:val="id-ID"/>
              </w:rPr>
              <w:t>Indicator</w:t>
            </w:r>
          </w:p>
        </w:tc>
        <w:tc>
          <w:tcPr>
            <w:tcW w:w="893" w:type="pct"/>
            <w:tcBorders>
              <w:top w:val="single" w:sz="12" w:space="0" w:color="auto"/>
              <w:bottom w:val="single" w:sz="12" w:space="0" w:color="auto"/>
            </w:tcBorders>
          </w:tcPr>
          <w:p w:rsidR="001844F8" w:rsidRPr="001844F8" w:rsidRDefault="001844F8" w:rsidP="001844F8">
            <w:pPr>
              <w:pStyle w:val="Body"/>
              <w:rPr>
                <w:rFonts w:ascii="Arial" w:hAnsi="Arial" w:cs="Arial"/>
                <w:b/>
                <w:bCs/>
                <w:lang w:val="id-ID"/>
              </w:rPr>
            </w:pPr>
            <w:r w:rsidRPr="001844F8">
              <w:rPr>
                <w:rFonts w:ascii="Arial" w:hAnsi="Arial" w:cs="Arial"/>
                <w:b/>
                <w:bCs/>
                <w:lang w:val="id-ID"/>
              </w:rPr>
              <w:t>Source</w:t>
            </w:r>
          </w:p>
        </w:tc>
        <w:tc>
          <w:tcPr>
            <w:tcW w:w="1752" w:type="pct"/>
            <w:tcBorders>
              <w:top w:val="single" w:sz="12" w:space="0" w:color="auto"/>
              <w:bottom w:val="single" w:sz="12" w:space="0" w:color="auto"/>
            </w:tcBorders>
            <w:vAlign w:val="center"/>
          </w:tcPr>
          <w:p w:rsidR="001844F8" w:rsidRPr="001844F8" w:rsidRDefault="001844F8" w:rsidP="001844F8">
            <w:pPr>
              <w:pStyle w:val="Body"/>
              <w:rPr>
                <w:rFonts w:ascii="Arial" w:hAnsi="Arial" w:cs="Arial"/>
                <w:b/>
                <w:bCs/>
                <w:lang w:val="id-ID"/>
              </w:rPr>
            </w:pPr>
            <w:r w:rsidRPr="001844F8">
              <w:rPr>
                <w:rFonts w:ascii="Arial" w:hAnsi="Arial" w:cs="Arial"/>
                <w:b/>
                <w:bCs/>
                <w:lang w:val="id-ID"/>
              </w:rPr>
              <w:t>Keywords</w:t>
            </w:r>
          </w:p>
        </w:tc>
      </w:tr>
      <w:tr w:rsidR="001844F8" w:rsidRPr="001844F8" w:rsidTr="006E664E">
        <w:trPr>
          <w:trHeight w:val="111"/>
        </w:trPr>
        <w:tc>
          <w:tcPr>
            <w:tcW w:w="835" w:type="pct"/>
            <w:vMerge w:val="restart"/>
            <w:tcBorders>
              <w:top w:val="single" w:sz="1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i/>
                <w:iCs/>
                <w:lang w:val="id-ID"/>
              </w:rPr>
              <w:t xml:space="preserve">Personality </w:t>
            </w:r>
            <w:r w:rsidRPr="001844F8">
              <w:rPr>
                <w:rFonts w:ascii="Arial" w:hAnsi="Arial" w:cs="Arial"/>
                <w:i/>
                <w:iCs/>
                <w:lang w:val="id-ID"/>
              </w:rPr>
              <w:lastRenderedPageBreak/>
              <w:t>Traits</w:t>
            </w:r>
          </w:p>
        </w:tc>
        <w:tc>
          <w:tcPr>
            <w:tcW w:w="1520" w:type="pct"/>
            <w:tcBorders>
              <w:top w:val="single" w:sz="1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lastRenderedPageBreak/>
              <w:t>Creative</w:t>
            </w:r>
          </w:p>
        </w:tc>
        <w:tc>
          <w:tcPr>
            <w:tcW w:w="893" w:type="pct"/>
            <w:vMerge w:val="restart"/>
            <w:tcBorders>
              <w:top w:val="single" w:sz="1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fldChar w:fldCharType="begin" w:fldLock="1"/>
            </w:r>
            <w:r w:rsidRPr="001844F8">
              <w:rPr>
                <w:rFonts w:ascii="Arial" w:hAnsi="Arial" w:cs="Arial"/>
                <w:lang w:val="id-ID"/>
              </w:rPr>
              <w:instrText>ADDIN CSL_CITATION {"citationItems":[{"id":"ITEM-1","itemData":{"DOI":"10.1108/IJBM-08-2017-0167","ISSN":"02652323","abstract":"Purpose: The purpose of this paper is to understand investment intention of prospective individual investors in a developing country (i.e. India) by using the “Theory of Planned Behaviour” (TPB) (where perceived behavioural control has been replaced with financial self-efficacy, FSE) and two additional constructs, i.e. financial knowledge and personality traits (i.e. risk-taking propensity and preference for innovation) have been introduced. Design/methodology/approach: The study uses quantitative and cross-sectional approach wherein questionnaire based survey was done to collect responses from prospective individual investors (920 usable responses). AMOS and SPSS have been used to establish the hypothesised relationship between the constructs. Findings: The results of the study suggested that attitude was responsible for partial mediation between the relationship of financial knowledge and investment intention, whereas financial self-efficacy was exerting a dual role on the relationship between personality traits and investment intention. Subjective norms, on the other hand, exerted a weak positive effect on investment intention. Research limitations/implications: This study is limited to measure the investment intention in financial markets in case of prospective individual investors; it does not incorporate the actual investment behaviour, the study also fails to include demographic factors which play a vital role in investment decision making. Furthermore, the study has only considered objective dimension of financial knowledge. Practical implications: The findings will be useful for financial service providers who need to enhance the FSE and financial knowledge and design a “behavioural portfolio” according the personality traits of their clients. Social implications: The up-liftment of financial confidence among individuals in order to motivate them to participate in financial markets and enjoy “short-cuts” towards financial success. Originality/value: This study is one of the initial attempts in the context of the Indian Stock Market to introduce FSE as a dual (both mediating and moderating) construct between personality traits and investment intention using TPB, moreover, this study also provides the necessary impetus to analyse the relationship between financial knowledge and investment intention with attitude as the mediating variable.","author":[{"dropping-particle":"","family":"Akhtar","given":"Fatima","non-dropping-particle":"","parse-names":false,"suffix":""},{"dropping-particle":"","family":"Das","given":"Niladri","non-dropping-particle":"","parse-names":false,"suffix":""}],"container-title":"International Journal of Bank Marketing","id":"ITEM-1","issue":"1","issued":{"date-parts":[["2019"]]},"page":"97-119","title":"Predictors of investment intention in Indian stock markets: Extending the theory of planned behaviour","type":"article-journal","volume":"37"},"uris":["http://www.mendeley.com/documents/?uuid=1a236fdb-18fd-4a12-b3cd-9143bd5ea03b"]}],"mendeley":{"formattedCitation":"(Akhtar &amp; Das, 2019)","plainTextFormattedCitation":"(Akhtar &amp; Das, 2019)","previouslyFormattedCitation":"(Akhtar &amp; Das, 2019)"},"properties":{"noteIndex":0},"schema":"https://github.com/citation-style-language/schema/raw/master/csl-citation.json"}</w:instrText>
            </w:r>
            <w:r w:rsidRPr="001844F8">
              <w:rPr>
                <w:rFonts w:ascii="Arial" w:hAnsi="Arial" w:cs="Arial"/>
                <w:lang w:val="id-ID"/>
              </w:rPr>
              <w:fldChar w:fldCharType="separate"/>
            </w:r>
            <w:r w:rsidRPr="001844F8">
              <w:rPr>
                <w:rFonts w:ascii="Arial" w:hAnsi="Arial" w:cs="Arial"/>
                <w:lang w:val="id-ID"/>
              </w:rPr>
              <w:t xml:space="preserve">(Akhtar &amp; </w:t>
            </w:r>
            <w:r w:rsidRPr="001844F8">
              <w:rPr>
                <w:rFonts w:ascii="Arial" w:hAnsi="Arial" w:cs="Arial"/>
                <w:lang w:val="id-ID"/>
              </w:rPr>
              <w:lastRenderedPageBreak/>
              <w:t>Das, 2019)</w:t>
            </w:r>
            <w:r w:rsidRPr="001844F8">
              <w:rPr>
                <w:rFonts w:ascii="Arial" w:hAnsi="Arial" w:cs="Arial"/>
              </w:rPr>
              <w:fldChar w:fldCharType="end"/>
            </w:r>
          </w:p>
        </w:tc>
        <w:tc>
          <w:tcPr>
            <w:tcW w:w="1752" w:type="pct"/>
            <w:tcBorders>
              <w:top w:val="single" w:sz="1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lastRenderedPageBreak/>
              <w:t>Creative activity</w:t>
            </w:r>
          </w:p>
        </w:tc>
      </w:tr>
      <w:tr w:rsidR="001844F8" w:rsidRPr="001844F8" w:rsidTr="006E664E">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Intelligent</w:t>
            </w:r>
          </w:p>
        </w:tc>
        <w:tc>
          <w:tcPr>
            <w:tcW w:w="893" w:type="pct"/>
            <w:vMerge/>
          </w:tcPr>
          <w:p w:rsidR="001844F8" w:rsidRPr="001844F8" w:rsidRDefault="001844F8" w:rsidP="001844F8">
            <w:pPr>
              <w:pStyle w:val="Body"/>
              <w:rPr>
                <w:rFonts w:ascii="Arial" w:hAnsi="Arial" w:cs="Arial"/>
                <w:lang w:val="id-ID"/>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Avoid plagiarism</w:t>
            </w:r>
          </w:p>
        </w:tc>
      </w:tr>
      <w:tr w:rsidR="001844F8" w:rsidRPr="001844F8" w:rsidTr="006E664E">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Productive</w:t>
            </w:r>
          </w:p>
        </w:tc>
        <w:tc>
          <w:tcPr>
            <w:tcW w:w="893" w:type="pct"/>
            <w:vMerge/>
          </w:tcPr>
          <w:p w:rsidR="001844F8" w:rsidRPr="001844F8" w:rsidRDefault="001844F8" w:rsidP="001844F8">
            <w:pPr>
              <w:pStyle w:val="Body"/>
              <w:rPr>
                <w:rFonts w:ascii="Arial" w:hAnsi="Arial" w:cs="Arial"/>
                <w:lang w:val="id-ID"/>
              </w:rPr>
            </w:pPr>
          </w:p>
        </w:tc>
        <w:tc>
          <w:tcPr>
            <w:tcW w:w="1752" w:type="pct"/>
            <w:vAlign w:val="center"/>
          </w:tcPr>
          <w:p w:rsidR="001844F8" w:rsidRPr="001844F8" w:rsidRDefault="001844F8" w:rsidP="001844F8">
            <w:pPr>
              <w:pStyle w:val="Body"/>
              <w:rPr>
                <w:rFonts w:ascii="Arial" w:hAnsi="Arial" w:cs="Arial"/>
              </w:rPr>
            </w:pPr>
            <w:r w:rsidRPr="001844F8">
              <w:rPr>
                <w:rFonts w:ascii="Arial" w:hAnsi="Arial" w:cs="Arial"/>
              </w:rPr>
              <w:t>Try and find new activities</w:t>
            </w:r>
          </w:p>
        </w:tc>
      </w:tr>
      <w:tr w:rsidR="001844F8" w:rsidRPr="001844F8" w:rsidTr="006E664E">
        <w:trPr>
          <w:trHeight w:val="340"/>
        </w:trPr>
        <w:tc>
          <w:tcPr>
            <w:tcW w:w="835" w:type="pct"/>
            <w:vMerge/>
            <w:vAlign w:val="center"/>
          </w:tcPr>
          <w:p w:rsidR="001844F8" w:rsidRPr="001844F8" w:rsidRDefault="001844F8" w:rsidP="001844F8">
            <w:pPr>
              <w:pStyle w:val="Body"/>
              <w:rPr>
                <w:rFonts w:ascii="Arial" w:hAnsi="Arial" w:cs="Arial"/>
              </w:rPr>
            </w:pPr>
          </w:p>
        </w:tc>
        <w:tc>
          <w:tcPr>
            <w:tcW w:w="1520"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Be alert and careful</w:t>
            </w:r>
          </w:p>
        </w:tc>
        <w:tc>
          <w:tcPr>
            <w:tcW w:w="893" w:type="pct"/>
            <w:vMerge/>
          </w:tcPr>
          <w:p w:rsidR="001844F8" w:rsidRPr="001844F8" w:rsidRDefault="001844F8" w:rsidP="001844F8">
            <w:pPr>
              <w:pStyle w:val="Body"/>
              <w:rPr>
                <w:rFonts w:ascii="Arial" w:hAnsi="Arial" w:cs="Arial"/>
                <w:lang w:val="id-ID"/>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Stick to company fundamentals</w:t>
            </w:r>
          </w:p>
        </w:tc>
      </w:tr>
      <w:tr w:rsidR="001844F8" w:rsidRPr="001844F8" w:rsidTr="006E664E">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rPr>
            </w:pPr>
            <w:r w:rsidRPr="001844F8">
              <w:rPr>
                <w:rFonts w:ascii="Arial" w:hAnsi="Arial" w:cs="Arial"/>
              </w:rPr>
              <w:t>Brave and not careful</w:t>
            </w:r>
          </w:p>
        </w:tc>
        <w:tc>
          <w:tcPr>
            <w:tcW w:w="893" w:type="pct"/>
            <w:vMerge/>
          </w:tcPr>
          <w:p w:rsidR="001844F8" w:rsidRPr="001844F8" w:rsidRDefault="001844F8" w:rsidP="001844F8">
            <w:pPr>
              <w:pStyle w:val="Body"/>
              <w:rPr>
                <w:rFonts w:ascii="Arial" w:hAnsi="Arial" w:cs="Arial"/>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Speculative</w:t>
            </w:r>
          </w:p>
        </w:tc>
      </w:tr>
      <w:tr w:rsidR="001844F8" w:rsidRPr="001844F8" w:rsidTr="006E664E">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Conservative</w:t>
            </w:r>
          </w:p>
        </w:tc>
        <w:tc>
          <w:tcPr>
            <w:tcW w:w="893" w:type="pct"/>
            <w:vMerge/>
          </w:tcPr>
          <w:p w:rsidR="001844F8" w:rsidRPr="001844F8" w:rsidRDefault="001844F8" w:rsidP="001844F8">
            <w:pPr>
              <w:pStyle w:val="Body"/>
              <w:rPr>
                <w:rFonts w:ascii="Arial" w:hAnsi="Arial" w:cs="Arial"/>
                <w:lang w:val="id-ID"/>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Investment activities have meaning for me</w:t>
            </w:r>
          </w:p>
        </w:tc>
      </w:tr>
      <w:tr w:rsidR="001844F8" w:rsidRPr="001844F8" w:rsidTr="006E664E">
        <w:trPr>
          <w:trHeight w:val="340"/>
        </w:trPr>
        <w:tc>
          <w:tcPr>
            <w:tcW w:w="835" w:type="pct"/>
            <w:vMerge w:val="restart"/>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i/>
                <w:iCs/>
                <w:lang w:val="id-ID"/>
              </w:rPr>
              <w:t>Financial Knowledge</w:t>
            </w:r>
          </w:p>
        </w:tc>
        <w:tc>
          <w:tcPr>
            <w:tcW w:w="1520" w:type="pct"/>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Risk diversification</w:t>
            </w:r>
          </w:p>
        </w:tc>
        <w:tc>
          <w:tcPr>
            <w:tcW w:w="893" w:type="pct"/>
            <w:vMerge w:val="restart"/>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fldChar w:fldCharType="begin" w:fldLock="1"/>
            </w:r>
            <w:r w:rsidRPr="001844F8">
              <w:rPr>
                <w:rFonts w:ascii="Arial" w:hAnsi="Arial" w:cs="Arial"/>
                <w:lang w:val="id-ID"/>
              </w:rPr>
              <w:instrText>ADDIN CSL_CITATION {"citationItems":[{"id":"ITEM-1","itemData":{"ISBN":"9780226473093","author":[{"dropping-particle":"","family":"Klapper","given":"Leora","non-dropping-particle":"","parse-names":false,"suffix":""},{"dropping-particle":"","family":"Amit","given":"Raphael","non-dropping-particle":"","parse-names":false,"suffix":""},{"dropping-particle":"","family":"Guillen","given":"Mauro F.","non-dropping-particle":"","parse-names":false,"suffix":""}],"container-title":"National Bureau of Economic Research","id":"ITEM-1","issue":"May","issued":{"date-parts":[["2010"]]},"number-of-pages":"129-158","title":"International Differences in Entreprenuership: Enterpreneurship and firm formation across countries.","type":"book"},"uris":["http://www.mendeley.com/documents/?uuid=f891b5fa-50cb-4b98-b35b-47d64241500b"]}],"mendeley":{"formattedCitation":"(Klapper et al., 2010)","plainTextFormattedCitation":"(Klapper et al., 2010)","previouslyFormattedCitation":"(Klapper et al., 2010)"},"properties":{"noteIndex":0},"schema":"https://github.com/citation-style-language/schema/raw/master/csl-citation.json"}</w:instrText>
            </w:r>
            <w:r w:rsidRPr="001844F8">
              <w:rPr>
                <w:rFonts w:ascii="Arial" w:hAnsi="Arial" w:cs="Arial"/>
                <w:lang w:val="id-ID"/>
              </w:rPr>
              <w:fldChar w:fldCharType="separate"/>
            </w:r>
            <w:r w:rsidRPr="001844F8">
              <w:rPr>
                <w:rFonts w:ascii="Arial" w:hAnsi="Arial" w:cs="Arial"/>
                <w:lang w:val="id-ID"/>
              </w:rPr>
              <w:t>(Klapper et al., 2010)</w:t>
            </w:r>
            <w:r w:rsidRPr="001844F8">
              <w:rPr>
                <w:rFonts w:ascii="Arial" w:hAnsi="Arial" w:cs="Arial"/>
              </w:rPr>
              <w:fldChar w:fldCharType="end"/>
            </w:r>
          </w:p>
        </w:tc>
        <w:tc>
          <w:tcPr>
            <w:tcW w:w="1752" w:type="pct"/>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Has several investment products</w:t>
            </w:r>
          </w:p>
        </w:tc>
      </w:tr>
      <w:tr w:rsidR="001844F8" w:rsidRPr="001844F8" w:rsidTr="006E664E">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Inflation</w:t>
            </w:r>
          </w:p>
        </w:tc>
        <w:tc>
          <w:tcPr>
            <w:tcW w:w="893" w:type="pct"/>
            <w:vMerge/>
          </w:tcPr>
          <w:p w:rsidR="001844F8" w:rsidRPr="001844F8" w:rsidRDefault="001844F8" w:rsidP="001844F8">
            <w:pPr>
              <w:pStyle w:val="Body"/>
              <w:rPr>
                <w:rFonts w:ascii="Arial" w:hAnsi="Arial" w:cs="Arial"/>
                <w:lang w:val="id-ID"/>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Understand the concept of Inflation</w:t>
            </w:r>
          </w:p>
        </w:tc>
      </w:tr>
      <w:tr w:rsidR="001844F8" w:rsidRPr="001844F8" w:rsidTr="006E664E">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Flower</w:t>
            </w:r>
          </w:p>
        </w:tc>
        <w:tc>
          <w:tcPr>
            <w:tcW w:w="893" w:type="pct"/>
            <w:vMerge/>
          </w:tcPr>
          <w:p w:rsidR="001844F8" w:rsidRPr="001844F8" w:rsidRDefault="001844F8" w:rsidP="001844F8">
            <w:pPr>
              <w:pStyle w:val="Body"/>
              <w:rPr>
                <w:rFonts w:ascii="Arial" w:hAnsi="Arial" w:cs="Arial"/>
                <w:lang w:val="id-ID"/>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Understand the concept of interest</w:t>
            </w:r>
          </w:p>
        </w:tc>
      </w:tr>
      <w:tr w:rsidR="001844F8" w:rsidRPr="001844F8" w:rsidTr="006E664E">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tcBorders>
              <w:bottom w:val="single" w:sz="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Compound Interest</w:t>
            </w:r>
          </w:p>
        </w:tc>
        <w:tc>
          <w:tcPr>
            <w:tcW w:w="893" w:type="pct"/>
            <w:vMerge/>
            <w:tcBorders>
              <w:bottom w:val="single" w:sz="2" w:space="0" w:color="auto"/>
            </w:tcBorders>
          </w:tcPr>
          <w:p w:rsidR="001844F8" w:rsidRPr="001844F8" w:rsidRDefault="001844F8" w:rsidP="001844F8">
            <w:pPr>
              <w:pStyle w:val="Body"/>
              <w:rPr>
                <w:rFonts w:ascii="Arial" w:hAnsi="Arial" w:cs="Arial"/>
                <w:lang w:val="id-ID"/>
              </w:rPr>
            </w:pPr>
          </w:p>
        </w:tc>
        <w:tc>
          <w:tcPr>
            <w:tcW w:w="1752" w:type="pct"/>
            <w:vAlign w:val="center"/>
          </w:tcPr>
          <w:p w:rsidR="001844F8" w:rsidRPr="001844F8" w:rsidRDefault="001844F8" w:rsidP="001844F8">
            <w:pPr>
              <w:pStyle w:val="Body"/>
              <w:rPr>
                <w:rFonts w:ascii="Arial" w:hAnsi="Arial" w:cs="Arial"/>
              </w:rPr>
            </w:pPr>
            <w:r w:rsidRPr="001844F8">
              <w:rPr>
                <w:rFonts w:ascii="Arial" w:hAnsi="Arial" w:cs="Arial"/>
              </w:rPr>
              <w:t>Understand the concept of Compound Interest</w:t>
            </w:r>
          </w:p>
        </w:tc>
      </w:tr>
      <w:tr w:rsidR="001844F8" w:rsidRPr="001844F8" w:rsidTr="006E664E">
        <w:trPr>
          <w:trHeight w:val="340"/>
        </w:trPr>
        <w:tc>
          <w:tcPr>
            <w:tcW w:w="835" w:type="pct"/>
            <w:vMerge w:val="restar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Attitude</w:t>
            </w:r>
          </w:p>
        </w:tc>
        <w:tc>
          <w:tcPr>
            <w:tcW w:w="1520" w:type="pct"/>
            <w:tcBorders>
              <w:top w:val="single" w:sz="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Practical wealth development</w:t>
            </w:r>
          </w:p>
        </w:tc>
        <w:tc>
          <w:tcPr>
            <w:tcW w:w="893" w:type="pct"/>
            <w:vMerge w:val="restart"/>
            <w:tcBorders>
              <w:top w:val="single" w:sz="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fldChar w:fldCharType="begin" w:fldLock="1"/>
            </w:r>
            <w:r w:rsidRPr="001844F8">
              <w:rPr>
                <w:rFonts w:ascii="Arial" w:hAnsi="Arial" w:cs="Arial"/>
                <w:lang w:val="id-ID"/>
              </w:rPr>
              <w:instrText>ADDIN CSL_CITATION {"citationItems":[{"id":"ITEM-1","itemData":{"DOI":"10.33087/ekonomis.v7i1.818","abstract":"This study aims to determine the effect of investment motivation, financial literacy, and family environment on millennial children's investment interest. The research method uses quantitative. The population in this study were millennial children aged 20-40 years. The sample used in this study were 100 employees. The sampling technique is based on 25 times the number of variables used, namely 3 independent variables and 1 dependent variable. The tests used in this research are validity, reliability, normality, heteroscedasticity, multicollinearity, multiple linear regression analysis, partial test, simultaneous test, and coefficient of determination test. The results showed that the investment motivation variable partially had a positive and significant effect on millennial children's investment interest, but the financial literacy and family environment variables partially had no significant effect on investment interest. Simultaneously, the variables of investment motivation, financial literacy, and family environment have a positive and significant effect on millennial children's investment interest","author":[{"dropping-particle":"","family":"Seni","given":"Ni Nyoman Anggar","non-dropping-particle":"","parse-names":false,"suffix":""},{"dropping-particle":"","family":"Ratnadi","given":"Ni Made Dwi","non-dropping-particle":"","parse-names":false,"suffix":""}],"container-title":"Ekonomis: Journal of Economics and Business","id":"ITEM-1","issue":"1","issued":{"date-parts":[["2023"]]},"page":"226","title":"THEORY OF PLANNED BEHAVIOR UNTUK MEMPREDIKSI NIAT BERINVESTASI","type":"article-journal","volume":"7"},"uris":["http://www.mendeley.com/documents/?uuid=a2c33078-82b8-4132-bc0d-c9f69b3c6c91"]}],"mendeley":{"formattedCitation":"(Seni &amp; Ratnadi, 2023)","plainTextFormattedCitation":"(Seni &amp; Ratnadi, 2023)","previouslyFormattedCitation":"(Seni &amp; Ratnadi, 2023)"},"properties":{"noteIndex":0},"schema":"https://github.com/citation-style-language/schema/raw/master/csl-citation.json"}</w:instrText>
            </w:r>
            <w:r w:rsidRPr="001844F8">
              <w:rPr>
                <w:rFonts w:ascii="Arial" w:hAnsi="Arial" w:cs="Arial"/>
                <w:lang w:val="id-ID"/>
              </w:rPr>
              <w:fldChar w:fldCharType="separate"/>
            </w:r>
            <w:r w:rsidRPr="001844F8">
              <w:rPr>
                <w:rFonts w:ascii="Arial" w:hAnsi="Arial" w:cs="Arial"/>
                <w:lang w:val="id-ID"/>
              </w:rPr>
              <w:t>(Seni &amp; Ratnadi, 2023)</w:t>
            </w:r>
            <w:r w:rsidRPr="001844F8">
              <w:rPr>
                <w:rFonts w:ascii="Arial" w:hAnsi="Arial" w:cs="Arial"/>
              </w:rPr>
              <w:fldChar w:fldCharType="end"/>
            </w:r>
          </w:p>
        </w:tc>
        <w:tc>
          <w:tcPr>
            <w:tcW w:w="1752" w:type="pct"/>
            <w:vAlign w:val="center"/>
          </w:tcPr>
          <w:p w:rsidR="001844F8" w:rsidRPr="001844F8" w:rsidRDefault="001844F8" w:rsidP="001844F8">
            <w:pPr>
              <w:pStyle w:val="Body"/>
              <w:rPr>
                <w:rFonts w:ascii="Arial" w:hAnsi="Arial" w:cs="Arial"/>
              </w:rPr>
            </w:pPr>
            <w:r w:rsidRPr="001844F8">
              <w:rPr>
                <w:rFonts w:ascii="Arial" w:hAnsi="Arial" w:cs="Arial"/>
              </w:rPr>
              <w:t>Investing is the same as getting rich</w:t>
            </w:r>
          </w:p>
        </w:tc>
      </w:tr>
      <w:tr w:rsidR="001844F8" w:rsidRPr="001844F8" w:rsidTr="006E664E">
        <w:trPr>
          <w:trHeight w:val="340"/>
        </w:trPr>
        <w:tc>
          <w:tcPr>
            <w:tcW w:w="835" w:type="pct"/>
            <w:vMerge/>
            <w:vAlign w:val="center"/>
          </w:tcPr>
          <w:p w:rsidR="001844F8" w:rsidRPr="001844F8" w:rsidRDefault="001844F8" w:rsidP="001844F8">
            <w:pPr>
              <w:pStyle w:val="Body"/>
              <w:rPr>
                <w:rFonts w:ascii="Arial" w:hAnsi="Arial" w:cs="Arial"/>
              </w:rPr>
            </w:pPr>
          </w:p>
        </w:tc>
        <w:tc>
          <w:tcPr>
            <w:tcW w:w="1520" w:type="pct"/>
            <w:vAlign w:val="center"/>
          </w:tcPr>
          <w:p w:rsidR="001844F8" w:rsidRPr="001844F8" w:rsidRDefault="001844F8" w:rsidP="001844F8">
            <w:pPr>
              <w:pStyle w:val="Body"/>
              <w:rPr>
                <w:rFonts w:ascii="Arial" w:hAnsi="Arial" w:cs="Arial"/>
              </w:rPr>
            </w:pPr>
            <w:r w:rsidRPr="001844F8">
              <w:rPr>
                <w:rFonts w:ascii="Arial" w:hAnsi="Arial" w:cs="Arial"/>
              </w:rPr>
              <w:t>Advantages over other instruments</w:t>
            </w:r>
          </w:p>
        </w:tc>
        <w:tc>
          <w:tcPr>
            <w:tcW w:w="893" w:type="pct"/>
            <w:vMerge/>
          </w:tcPr>
          <w:p w:rsidR="001844F8" w:rsidRPr="001844F8" w:rsidRDefault="001844F8" w:rsidP="001844F8">
            <w:pPr>
              <w:pStyle w:val="Body"/>
              <w:rPr>
                <w:rFonts w:ascii="Arial" w:hAnsi="Arial" w:cs="Arial"/>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Comparing investment returns with other instruments</w:t>
            </w:r>
          </w:p>
        </w:tc>
      </w:tr>
      <w:tr w:rsidR="001844F8" w:rsidRPr="001844F8" w:rsidTr="006E664E">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Pension</w:t>
            </w:r>
          </w:p>
        </w:tc>
        <w:tc>
          <w:tcPr>
            <w:tcW w:w="893" w:type="pct"/>
            <w:vMerge/>
          </w:tcPr>
          <w:p w:rsidR="001844F8" w:rsidRPr="001844F8" w:rsidRDefault="001844F8" w:rsidP="001844F8">
            <w:pPr>
              <w:pStyle w:val="Body"/>
              <w:rPr>
                <w:rFonts w:ascii="Arial" w:hAnsi="Arial" w:cs="Arial"/>
                <w:lang w:val="id-ID"/>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Old age insurance</w:t>
            </w:r>
          </w:p>
        </w:tc>
      </w:tr>
      <w:tr w:rsidR="001844F8" w:rsidRPr="001844F8" w:rsidTr="006E664E">
        <w:trPr>
          <w:trHeight w:val="340"/>
        </w:trPr>
        <w:tc>
          <w:tcPr>
            <w:tcW w:w="835" w:type="pct"/>
            <w:vMerge/>
            <w:tcBorders>
              <w:bottom w:val="single" w:sz="2" w:space="0" w:color="auto"/>
            </w:tcBorders>
            <w:vAlign w:val="center"/>
          </w:tcPr>
          <w:p w:rsidR="001844F8" w:rsidRPr="001844F8" w:rsidRDefault="001844F8" w:rsidP="001844F8">
            <w:pPr>
              <w:pStyle w:val="Body"/>
              <w:rPr>
                <w:rFonts w:ascii="Arial" w:hAnsi="Arial" w:cs="Arial"/>
                <w:lang w:val="id-ID"/>
              </w:rPr>
            </w:pPr>
          </w:p>
        </w:tc>
        <w:tc>
          <w:tcPr>
            <w:tcW w:w="1520" w:type="pct"/>
            <w:tcBorders>
              <w:bottom w:val="single" w:sz="2" w:space="0" w:color="auto"/>
            </w:tcBorders>
            <w:vAlign w:val="center"/>
          </w:tcPr>
          <w:p w:rsidR="001844F8" w:rsidRPr="001844F8" w:rsidRDefault="001844F8" w:rsidP="001844F8">
            <w:pPr>
              <w:pStyle w:val="Body"/>
              <w:rPr>
                <w:rFonts w:ascii="Arial" w:hAnsi="Arial" w:cs="Arial"/>
              </w:rPr>
            </w:pPr>
            <w:r w:rsidRPr="001844F8">
              <w:rPr>
                <w:rFonts w:ascii="Arial" w:hAnsi="Arial" w:cs="Arial"/>
              </w:rPr>
              <w:t>Unpredictable and difficult to understand</w:t>
            </w:r>
          </w:p>
        </w:tc>
        <w:tc>
          <w:tcPr>
            <w:tcW w:w="893" w:type="pct"/>
            <w:vMerge/>
            <w:tcBorders>
              <w:bottom w:val="single" w:sz="2" w:space="0" w:color="auto"/>
            </w:tcBorders>
          </w:tcPr>
          <w:p w:rsidR="001844F8" w:rsidRPr="001844F8" w:rsidRDefault="001844F8" w:rsidP="001844F8">
            <w:pPr>
              <w:pStyle w:val="Body"/>
              <w:rPr>
                <w:rFonts w:ascii="Arial" w:hAnsi="Arial" w:cs="Arial"/>
              </w:rPr>
            </w:pPr>
          </w:p>
        </w:tc>
        <w:tc>
          <w:tcPr>
            <w:tcW w:w="1752" w:type="pct"/>
            <w:tcBorders>
              <w:bottom w:val="single" w:sz="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Investment risk</w:t>
            </w:r>
          </w:p>
        </w:tc>
      </w:tr>
      <w:tr w:rsidR="001844F8" w:rsidRPr="001844F8" w:rsidTr="006E664E">
        <w:trPr>
          <w:trHeight w:val="340"/>
        </w:trPr>
        <w:tc>
          <w:tcPr>
            <w:tcW w:w="835" w:type="pct"/>
            <w:vMerge w:val="restart"/>
            <w:tcBorders>
              <w:top w:val="single" w:sz="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Subjective norms</w:t>
            </w:r>
          </w:p>
        </w:tc>
        <w:tc>
          <w:tcPr>
            <w:tcW w:w="1520" w:type="pct"/>
            <w:tcBorders>
              <w:top w:val="single" w:sz="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Friend</w:t>
            </w:r>
          </w:p>
        </w:tc>
        <w:tc>
          <w:tcPr>
            <w:tcW w:w="893" w:type="pct"/>
            <w:vMerge w:val="restart"/>
            <w:tcBorders>
              <w:top w:val="single" w:sz="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fldChar w:fldCharType="begin" w:fldLock="1"/>
            </w:r>
            <w:r w:rsidRPr="001844F8">
              <w:rPr>
                <w:rFonts w:ascii="Arial" w:hAnsi="Arial" w:cs="Arial"/>
                <w:lang w:val="id-ID"/>
              </w:rPr>
              <w:instrText>ADDIN CSL_CITATION {"citationItems":[{"id":"ITEM-1","itemData":{"DOI":"10.33087/ekonomis.v7i1.818","abstract":"This study aims to determine the effect of investment motivation, financial literacy, and family environment on millennial children's investment interest. The research method uses quantitative. The population in this study were millennial children aged 20-40 years. The sample used in this study were 100 employees. The sampling technique is based on 25 times the number of variables used, namely 3 independent variables and 1 dependent variable. The tests used in this research are validity, reliability, normality, heteroscedasticity, multicollinearity, multiple linear regression analysis, partial test, simultaneous test, and coefficient of determination test. The results showed that the investment motivation variable partially had a positive and significant effect on millennial children's investment interest, but the financial literacy and family environment variables partially had no significant effect on investment interest. Simultaneously, the variables of investment motivation, financial literacy, and family environment have a positive and significant effect on millennial children's investment interest","author":[{"dropping-particle":"","family":"Seni","given":"Ni Nyoman Anggar","non-dropping-particle":"","parse-names":false,"suffix":""},{"dropping-particle":"","family":"Ratnadi","given":"Ni Made Dwi","non-dropping-particle":"","parse-names":false,"suffix":""}],"container-title":"Ekonomis: Journal of Economics and Business","id":"ITEM-1","issue":"1","issued":{"date-parts":[["2023"]]},"page":"226","title":"THEORY OF PLANNED BEHAVIOR UNTUK MEMPREDIKSI NIAT BERINVESTASI","type":"article-journal","volume":"7"},"uris":["http://www.mendeley.com/documents/?uuid=a2c33078-82b8-4132-bc0d-c9f69b3c6c91"]}],"mendeley":{"formattedCitation":"(Seni &amp; Ratnadi, 2023)","plainTextFormattedCitation":"(Seni &amp; Ratnadi, 2023)","previouslyFormattedCitation":"(Seni &amp; Ratnadi, 2023)"},"properties":{"noteIndex":0},"schema":"https://github.com/citation-style-language/schema/raw/master/csl-citation.json"}</w:instrText>
            </w:r>
            <w:r w:rsidRPr="001844F8">
              <w:rPr>
                <w:rFonts w:ascii="Arial" w:hAnsi="Arial" w:cs="Arial"/>
                <w:lang w:val="id-ID"/>
              </w:rPr>
              <w:fldChar w:fldCharType="separate"/>
            </w:r>
            <w:r w:rsidRPr="001844F8">
              <w:rPr>
                <w:rFonts w:ascii="Arial" w:hAnsi="Arial" w:cs="Arial"/>
                <w:lang w:val="id-ID"/>
              </w:rPr>
              <w:t>(Seni &amp; Ratnadi, 2023)</w:t>
            </w:r>
            <w:r w:rsidRPr="001844F8">
              <w:rPr>
                <w:rFonts w:ascii="Arial" w:hAnsi="Arial" w:cs="Arial"/>
              </w:rPr>
              <w:fldChar w:fldCharType="end"/>
            </w:r>
          </w:p>
        </w:tc>
        <w:tc>
          <w:tcPr>
            <w:tcW w:w="1752" w:type="pct"/>
            <w:tcBorders>
              <w:top w:val="single" w:sz="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Invite a friend</w:t>
            </w:r>
          </w:p>
        </w:tc>
      </w:tr>
      <w:tr w:rsidR="001844F8" w:rsidRPr="001844F8" w:rsidTr="006E664E">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Parent</w:t>
            </w:r>
          </w:p>
        </w:tc>
        <w:tc>
          <w:tcPr>
            <w:tcW w:w="893" w:type="pct"/>
            <w:vMerge/>
          </w:tcPr>
          <w:p w:rsidR="001844F8" w:rsidRPr="001844F8" w:rsidRDefault="001844F8" w:rsidP="001844F8">
            <w:pPr>
              <w:pStyle w:val="Body"/>
              <w:rPr>
                <w:rFonts w:ascii="Arial" w:hAnsi="Arial" w:cs="Arial"/>
                <w:lang w:val="id-ID"/>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Invite parents</w:t>
            </w:r>
          </w:p>
        </w:tc>
      </w:tr>
      <w:tr w:rsidR="001844F8" w:rsidRPr="001844F8" w:rsidTr="006E664E">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You</w:t>
            </w:r>
          </w:p>
        </w:tc>
        <w:tc>
          <w:tcPr>
            <w:tcW w:w="893" w:type="pct"/>
            <w:vMerge/>
          </w:tcPr>
          <w:p w:rsidR="001844F8" w:rsidRPr="001844F8" w:rsidRDefault="001844F8" w:rsidP="001844F8">
            <w:pPr>
              <w:pStyle w:val="Body"/>
              <w:rPr>
                <w:rFonts w:ascii="Arial" w:hAnsi="Arial" w:cs="Arial"/>
                <w:lang w:val="id-ID"/>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Invite me</w:t>
            </w:r>
          </w:p>
        </w:tc>
      </w:tr>
      <w:tr w:rsidR="001844F8" w:rsidRPr="001844F8" w:rsidTr="006E664E">
        <w:trPr>
          <w:trHeight w:val="340"/>
        </w:trPr>
        <w:tc>
          <w:tcPr>
            <w:tcW w:w="835" w:type="pct"/>
            <w:vMerge/>
            <w:tcBorders>
              <w:bottom w:val="single" w:sz="2" w:space="0" w:color="auto"/>
            </w:tcBorders>
            <w:vAlign w:val="center"/>
          </w:tcPr>
          <w:p w:rsidR="001844F8" w:rsidRPr="001844F8" w:rsidRDefault="001844F8" w:rsidP="001844F8">
            <w:pPr>
              <w:pStyle w:val="Body"/>
              <w:rPr>
                <w:rFonts w:ascii="Arial" w:hAnsi="Arial" w:cs="Arial"/>
                <w:lang w:val="id-ID"/>
              </w:rPr>
            </w:pPr>
          </w:p>
        </w:tc>
        <w:tc>
          <w:tcPr>
            <w:tcW w:w="1520" w:type="pct"/>
            <w:tcBorders>
              <w:bottom w:val="single" w:sz="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i/>
                <w:iCs/>
                <w:lang w:val="id-ID"/>
              </w:rPr>
              <w:t>Influencers</w:t>
            </w:r>
            <w:r w:rsidRPr="001844F8">
              <w:rPr>
                <w:rFonts w:ascii="Arial" w:hAnsi="Arial" w:cs="Arial"/>
                <w:lang w:val="id-ID"/>
              </w:rPr>
              <w:t>Share</w:t>
            </w:r>
          </w:p>
        </w:tc>
        <w:tc>
          <w:tcPr>
            <w:tcW w:w="893" w:type="pct"/>
            <w:vMerge/>
            <w:tcBorders>
              <w:bottom w:val="single" w:sz="2" w:space="0" w:color="auto"/>
            </w:tcBorders>
          </w:tcPr>
          <w:p w:rsidR="001844F8" w:rsidRPr="001844F8" w:rsidRDefault="001844F8" w:rsidP="001844F8">
            <w:pPr>
              <w:pStyle w:val="Body"/>
              <w:rPr>
                <w:rFonts w:ascii="Arial" w:hAnsi="Arial" w:cs="Arial"/>
                <w:lang w:val="id-ID"/>
              </w:rPr>
            </w:pPr>
          </w:p>
        </w:tc>
        <w:tc>
          <w:tcPr>
            <w:tcW w:w="1752" w:type="pct"/>
            <w:tcBorders>
              <w:bottom w:val="single" w:sz="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Invite Influencers to Share Shares on Social Media</w:t>
            </w:r>
          </w:p>
        </w:tc>
      </w:tr>
      <w:tr w:rsidR="001844F8" w:rsidRPr="001844F8" w:rsidTr="006E664E">
        <w:trPr>
          <w:trHeight w:val="340"/>
        </w:trPr>
        <w:tc>
          <w:tcPr>
            <w:tcW w:w="835" w:type="pct"/>
            <w:vMerge w:val="restart"/>
            <w:tcBorders>
              <w:top w:val="single" w:sz="2" w:space="0" w:color="auto"/>
              <w:bottom w:val="single" w:sz="1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lastRenderedPageBreak/>
              <w:t>FSE</w:t>
            </w:r>
          </w:p>
        </w:tc>
        <w:tc>
          <w:tcPr>
            <w:tcW w:w="1520" w:type="pct"/>
            <w:tcBorders>
              <w:top w:val="single" w:sz="2" w:space="0" w:color="auto"/>
              <w:bottom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Stick to a spending plan</w:t>
            </w:r>
          </w:p>
        </w:tc>
        <w:tc>
          <w:tcPr>
            <w:tcW w:w="893" w:type="pct"/>
            <w:vMerge w:val="restart"/>
            <w:tcBorders>
              <w:top w:val="single" w:sz="2" w:space="0" w:color="auto"/>
              <w:bottom w:val="single" w:sz="1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fldChar w:fldCharType="begin" w:fldLock="1"/>
            </w:r>
            <w:r w:rsidRPr="001844F8">
              <w:rPr>
                <w:rFonts w:ascii="Arial" w:hAnsi="Arial" w:cs="Arial"/>
                <w:lang w:val="id-ID"/>
              </w:rPr>
              <w:instrText>ADDIN CSL_CITATION {"citationItems":[{"id":"ITEM-1","itemData":{"ISSN":"19477910","abstract":"This study developed a 6-item Financial Self-Efficacy Scale for use by researchers, educators, counselors, and advisors. Bandura's concept of self-efficacy and Prochaska's Transtheoretical Model of Behavior Change provided the theoretical framework. Scale items were adapted from Schwarzer and Jerusalem's (1995) General Self-Efficacy Scale. Psychometrics were measured using a sample of 726 university employees. Alpha reliability was.76. One-way ANOVA compared self-efficacy scores to respondents' assessment of their investment sophistication. Factor analysis resulted in a coherent factor with loadings ranging from.574 to.759. In addition to providing researchers with a means to measure behavioral aspects of financial management, a financial self-efficacy scale can help educators and counselors better understand, guide, and motivate their students and clients. © 2011 Association for Financial Counseling and Planning Education®. All rights of reproduction in any form reserved.","author":[{"dropping-particle":"","family":"Lown","given":"Jean M.","non-dropping-particle":"","parse-names":false,"suffix":""}],"container-title":"Journal of Financial Counseling and Planning","id":"ITEM-1","issue":"2","issued":{"date-parts":[["2011"]]},"page":"54-63","title":"Conference paper: Development and validation of a Financial Self-Efficacy Scale","type":"paper-conference","volume":"22"},"uris":["http://www.mendeley.com/documents/?uuid=bf0d3e4c-50cd-45d9-8060-b6ef19c5fbe1"]}],"mendeley":{"formattedCitation":"(Lown, 2011)","plainTextFormattedCitation":"(Lown, 2011)","previouslyFormattedCitation":"(Lown, 2011)"},"properties":{"noteIndex":0},"schema":"https://github.com/citation-style-language/schema/raw/master/csl-citation.json"}</w:instrText>
            </w:r>
            <w:r w:rsidRPr="001844F8">
              <w:rPr>
                <w:rFonts w:ascii="Arial" w:hAnsi="Arial" w:cs="Arial"/>
                <w:lang w:val="id-ID"/>
              </w:rPr>
              <w:fldChar w:fldCharType="separate"/>
            </w:r>
            <w:r w:rsidRPr="001844F8">
              <w:rPr>
                <w:rFonts w:ascii="Arial" w:hAnsi="Arial" w:cs="Arial"/>
                <w:lang w:val="id-ID"/>
              </w:rPr>
              <w:t>(Lown, 2011)</w:t>
            </w:r>
            <w:r w:rsidRPr="001844F8">
              <w:rPr>
                <w:rFonts w:ascii="Arial" w:hAnsi="Arial" w:cs="Arial"/>
              </w:rPr>
              <w:fldChar w:fldCharType="end"/>
            </w:r>
          </w:p>
        </w:tc>
        <w:tc>
          <w:tcPr>
            <w:tcW w:w="1752" w:type="pct"/>
            <w:tcBorders>
              <w:top w:val="single" w:sz="2" w:space="0" w:color="auto"/>
              <w:bottom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Consistent</w:t>
            </w:r>
          </w:p>
        </w:tc>
      </w:tr>
      <w:tr w:rsidR="001844F8" w:rsidRPr="001844F8" w:rsidTr="006E664E">
        <w:trPr>
          <w:trHeight w:val="340"/>
        </w:trPr>
        <w:tc>
          <w:tcPr>
            <w:tcW w:w="835" w:type="pct"/>
            <w:vMerge/>
            <w:tcBorders>
              <w:top w:val="single" w:sz="12" w:space="0" w:color="auto"/>
            </w:tcBorders>
            <w:vAlign w:val="center"/>
          </w:tcPr>
          <w:p w:rsidR="001844F8" w:rsidRPr="001844F8" w:rsidRDefault="001844F8" w:rsidP="001844F8">
            <w:pPr>
              <w:pStyle w:val="Body"/>
              <w:rPr>
                <w:rFonts w:ascii="Arial" w:hAnsi="Arial" w:cs="Arial"/>
                <w:lang w:val="id-ID"/>
              </w:rPr>
            </w:pPr>
          </w:p>
        </w:tc>
        <w:tc>
          <w:tcPr>
            <w:tcW w:w="1520" w:type="pct"/>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Progress towards goals</w:t>
            </w:r>
          </w:p>
        </w:tc>
        <w:tc>
          <w:tcPr>
            <w:tcW w:w="893" w:type="pct"/>
            <w:vMerge/>
            <w:tcBorders>
              <w:top w:val="single" w:sz="12" w:space="0" w:color="auto"/>
            </w:tcBorders>
          </w:tcPr>
          <w:p w:rsidR="001844F8" w:rsidRPr="001844F8" w:rsidRDefault="001844F8" w:rsidP="001844F8">
            <w:pPr>
              <w:pStyle w:val="Body"/>
              <w:rPr>
                <w:rFonts w:ascii="Arial" w:hAnsi="Arial" w:cs="Arial"/>
                <w:lang w:val="id-ID"/>
              </w:rPr>
            </w:pPr>
          </w:p>
        </w:tc>
        <w:tc>
          <w:tcPr>
            <w:tcW w:w="1752" w:type="pct"/>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Focus on objectives</w:t>
            </w:r>
          </w:p>
        </w:tc>
      </w:tr>
      <w:tr w:rsidR="001844F8" w:rsidRPr="001844F8" w:rsidTr="006E664E">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rPr>
            </w:pPr>
            <w:r w:rsidRPr="001844F8">
              <w:rPr>
                <w:rFonts w:ascii="Arial" w:hAnsi="Arial" w:cs="Arial"/>
              </w:rPr>
              <w:t>Use credit for unexpected expenses</w:t>
            </w:r>
          </w:p>
        </w:tc>
        <w:tc>
          <w:tcPr>
            <w:tcW w:w="893" w:type="pct"/>
            <w:vMerge/>
          </w:tcPr>
          <w:p w:rsidR="001844F8" w:rsidRPr="001844F8" w:rsidRDefault="001844F8" w:rsidP="001844F8">
            <w:pPr>
              <w:pStyle w:val="Body"/>
              <w:rPr>
                <w:rFonts w:ascii="Arial" w:hAnsi="Arial" w:cs="Arial"/>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Credit for emergency funds</w:t>
            </w:r>
          </w:p>
        </w:tc>
      </w:tr>
      <w:tr w:rsidR="001844F8" w:rsidRPr="001844F8" w:rsidTr="006E664E">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rPr>
            </w:pPr>
            <w:r w:rsidRPr="001844F8">
              <w:rPr>
                <w:rFonts w:ascii="Arial" w:hAnsi="Arial" w:cs="Arial"/>
              </w:rPr>
              <w:t>Dealing with unexpected financial events</w:t>
            </w:r>
          </w:p>
        </w:tc>
        <w:tc>
          <w:tcPr>
            <w:tcW w:w="893" w:type="pct"/>
            <w:vMerge/>
          </w:tcPr>
          <w:p w:rsidR="001844F8" w:rsidRPr="001844F8" w:rsidRDefault="001844F8" w:rsidP="001844F8">
            <w:pPr>
              <w:pStyle w:val="Body"/>
              <w:rPr>
                <w:rFonts w:ascii="Arial" w:hAnsi="Arial" w:cs="Arial"/>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Ability to face financial difficulties</w:t>
            </w:r>
          </w:p>
        </w:tc>
      </w:tr>
      <w:tr w:rsidR="001844F8" w:rsidRPr="001844F8" w:rsidTr="006E664E">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rPr>
            </w:pPr>
            <w:r w:rsidRPr="001844F8">
              <w:rPr>
                <w:rFonts w:ascii="Arial" w:hAnsi="Arial" w:cs="Arial"/>
              </w:rPr>
              <w:t>Lack of confidence in managing finances</w:t>
            </w:r>
          </w:p>
        </w:tc>
        <w:tc>
          <w:tcPr>
            <w:tcW w:w="893" w:type="pct"/>
            <w:vMerge/>
          </w:tcPr>
          <w:p w:rsidR="001844F8" w:rsidRPr="001844F8" w:rsidRDefault="001844F8" w:rsidP="001844F8">
            <w:pPr>
              <w:pStyle w:val="Body"/>
              <w:rPr>
                <w:rFonts w:ascii="Arial" w:hAnsi="Arial" w:cs="Arial"/>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Believe in yourself</w:t>
            </w:r>
          </w:p>
        </w:tc>
      </w:tr>
      <w:tr w:rsidR="001844F8" w:rsidRPr="001844F8" w:rsidTr="006E664E">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Worried about retirement money</w:t>
            </w:r>
          </w:p>
        </w:tc>
        <w:tc>
          <w:tcPr>
            <w:tcW w:w="893" w:type="pct"/>
            <w:vMerge/>
          </w:tcPr>
          <w:p w:rsidR="001844F8" w:rsidRPr="001844F8" w:rsidRDefault="001844F8" w:rsidP="001844F8">
            <w:pPr>
              <w:pStyle w:val="Body"/>
              <w:rPr>
                <w:rFonts w:ascii="Arial" w:hAnsi="Arial" w:cs="Arial"/>
                <w:lang w:val="id-ID"/>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Pension funds</w:t>
            </w:r>
          </w:p>
        </w:tc>
      </w:tr>
      <w:tr w:rsidR="001844F8" w:rsidRPr="001844F8" w:rsidTr="006E664E">
        <w:trPr>
          <w:trHeight w:val="340"/>
        </w:trPr>
        <w:tc>
          <w:tcPr>
            <w:tcW w:w="835" w:type="pct"/>
            <w:vMerge w:val="restart"/>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Investment Intentions</w:t>
            </w:r>
          </w:p>
        </w:tc>
        <w:tc>
          <w:tcPr>
            <w:tcW w:w="1520" w:type="pct"/>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Interest</w:t>
            </w:r>
          </w:p>
        </w:tc>
        <w:tc>
          <w:tcPr>
            <w:tcW w:w="893" w:type="pct"/>
            <w:vMerge w:val="restart"/>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fldChar w:fldCharType="begin" w:fldLock="1"/>
            </w:r>
            <w:r w:rsidRPr="001844F8">
              <w:rPr>
                <w:rFonts w:ascii="Arial" w:hAnsi="Arial" w:cs="Arial"/>
                <w:lang w:val="id-ID"/>
              </w:rPr>
              <w:instrText>ADDIN CSL_CITATION {"citationItems":[{"id":"ITEM-1","itemData":{"DOI":"10.32534/jv.v15i2.1175","ISSN":"1979-0643","abstract":"Tujuan penelitian ini adalah untuk mengetahui minat berinvestasi pada mahasiswa Universitas Swadaya Gunung Jati Cirebon yang dalam perkembangannya kini terdapat Galeri Investasi yang diperuntukkan dalam memperkenalkan Pasar Modal kepada kalangan akademisi termasuk mahasiswa. Metode yang digunakan dalam penelitian ini adalah metode survey dengan pendekatan kuantitatif. Sampel penelitian ini 75 responden dari mahasiswa akuntansi angkatan 2018 Universitas Swadaya Gunung Jati Cirebon. Hasil penelitian ini menunjukkan bahwa pengetahuan investasi berpengaruh signifikan terhadap minat berinvestasi, dengan nilai signifikansi 0,008&lt;0,1. Motivasi investasi berpengaruh signifikan terhadap minat berinvestasi, dengan nilai signifikansi 0,002 &lt;0,1. Pengetahuan investasi dan Motivasi investasi berpengaruh signifikan secara bersama-sama terhadap minat berinvestasi, dengan nilai signifikansi 0,000&lt;0,1.\r Kata Kunci : Pengetahuan Investasi; Motivasi Investasi; Minat Investasi.","author":[{"dropping-particle":"","family":"Bakhri","given":"Syaeful","non-dropping-particle":"","parse-names":false,"suffix":""},{"dropping-particle":"","family":"Aziz","given":"Abdul","non-dropping-particle":"","parse-names":false,"suffix":""},{"dropping-particle":"","family":"Sarinah","given":"Ririn","non-dropping-particle":"","parse-names":false,"suffix":""}],"container-title":"Value : Jurnal Manajemen dan Akuntansi","id":"ITEM-1","issue":"2","issued":{"date-parts":[["2020"]]},"page":"60-73","title":"Pengetahuan dan Motivasi untuk Menumbuhkan Minat Berinvestasi pada Mahasiswa","type":"article-journal","volume":"15"},"uris":["http://www.mendeley.com/documents/?uuid=b34ea804-a211-43fb-a89c-bf6be9bb1d65"]}],"mendeley":{"formattedCitation":"(Bakhri et al., 2020)","plainTextFormattedCitation":"(Bakhri et al., 2020)","previouslyFormattedCitation":"(Bakhri et al., 2020)"},"properties":{"noteIndex":0},"schema":"https://github.com/citation-style-language/schema/raw/master/csl-citation.json"}</w:instrText>
            </w:r>
            <w:r w:rsidRPr="001844F8">
              <w:rPr>
                <w:rFonts w:ascii="Arial" w:hAnsi="Arial" w:cs="Arial"/>
                <w:lang w:val="id-ID"/>
              </w:rPr>
              <w:fldChar w:fldCharType="separate"/>
            </w:r>
            <w:r w:rsidRPr="001844F8">
              <w:rPr>
                <w:rFonts w:ascii="Arial" w:hAnsi="Arial" w:cs="Arial"/>
                <w:lang w:val="id-ID"/>
              </w:rPr>
              <w:t>(Bakhri et al., 2020)</w:t>
            </w:r>
            <w:r w:rsidRPr="001844F8">
              <w:rPr>
                <w:rFonts w:ascii="Arial" w:hAnsi="Arial" w:cs="Arial"/>
              </w:rPr>
              <w:fldChar w:fldCharType="end"/>
            </w:r>
          </w:p>
        </w:tc>
        <w:tc>
          <w:tcPr>
            <w:tcW w:w="1752" w:type="pct"/>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Enjoy studying capital markets</w:t>
            </w:r>
          </w:p>
        </w:tc>
      </w:tr>
      <w:tr w:rsidR="001844F8" w:rsidRPr="001844F8" w:rsidTr="006E664E">
        <w:trPr>
          <w:trHeight w:val="340"/>
        </w:trPr>
        <w:tc>
          <w:tcPr>
            <w:tcW w:w="835" w:type="pct"/>
            <w:vMerge/>
            <w:vAlign w:val="center"/>
          </w:tcPr>
          <w:p w:rsidR="001844F8" w:rsidRPr="001844F8" w:rsidRDefault="001844F8" w:rsidP="001844F8">
            <w:pPr>
              <w:pStyle w:val="Body"/>
              <w:rPr>
                <w:rFonts w:ascii="Arial" w:hAnsi="Arial" w:cs="Arial"/>
                <w:lang w:val="id-ID"/>
              </w:rPr>
            </w:pPr>
          </w:p>
        </w:tc>
        <w:tc>
          <w:tcPr>
            <w:tcW w:w="1520"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Desire</w:t>
            </w:r>
          </w:p>
        </w:tc>
        <w:tc>
          <w:tcPr>
            <w:tcW w:w="893" w:type="pct"/>
            <w:vMerge/>
          </w:tcPr>
          <w:p w:rsidR="001844F8" w:rsidRPr="001844F8" w:rsidRDefault="001844F8" w:rsidP="001844F8">
            <w:pPr>
              <w:pStyle w:val="Body"/>
              <w:rPr>
                <w:rFonts w:ascii="Arial" w:hAnsi="Arial" w:cs="Arial"/>
                <w:lang w:val="id-ID"/>
              </w:rPr>
            </w:pPr>
          </w:p>
        </w:tc>
        <w:tc>
          <w:tcPr>
            <w:tcW w:w="1752" w:type="pct"/>
            <w:vAlign w:val="center"/>
          </w:tcPr>
          <w:p w:rsidR="001844F8" w:rsidRPr="001844F8" w:rsidRDefault="001844F8" w:rsidP="001844F8">
            <w:pPr>
              <w:pStyle w:val="Body"/>
              <w:rPr>
                <w:rFonts w:ascii="Arial" w:hAnsi="Arial" w:cs="Arial"/>
                <w:lang w:val="id-ID"/>
              </w:rPr>
            </w:pPr>
            <w:r w:rsidRPr="001844F8">
              <w:rPr>
                <w:rFonts w:ascii="Arial" w:hAnsi="Arial" w:cs="Arial"/>
                <w:lang w:val="id-ID"/>
              </w:rPr>
              <w:t>Want to invest in the capital market</w:t>
            </w:r>
          </w:p>
        </w:tc>
      </w:tr>
      <w:tr w:rsidR="001844F8" w:rsidRPr="001844F8" w:rsidTr="006E664E">
        <w:trPr>
          <w:trHeight w:val="340"/>
        </w:trPr>
        <w:tc>
          <w:tcPr>
            <w:tcW w:w="835" w:type="pct"/>
            <w:vMerge/>
            <w:tcBorders>
              <w:bottom w:val="single" w:sz="12" w:space="0" w:color="auto"/>
            </w:tcBorders>
            <w:vAlign w:val="center"/>
          </w:tcPr>
          <w:p w:rsidR="001844F8" w:rsidRPr="001844F8" w:rsidRDefault="001844F8" w:rsidP="001844F8">
            <w:pPr>
              <w:pStyle w:val="Body"/>
              <w:rPr>
                <w:rFonts w:ascii="Arial" w:hAnsi="Arial" w:cs="Arial"/>
                <w:lang w:val="id-ID"/>
              </w:rPr>
            </w:pPr>
          </w:p>
        </w:tc>
        <w:tc>
          <w:tcPr>
            <w:tcW w:w="1520" w:type="pct"/>
            <w:tcBorders>
              <w:bottom w:val="single" w:sz="12"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Confidence</w:t>
            </w:r>
          </w:p>
        </w:tc>
        <w:tc>
          <w:tcPr>
            <w:tcW w:w="893" w:type="pct"/>
            <w:vMerge/>
            <w:tcBorders>
              <w:bottom w:val="single" w:sz="12" w:space="0" w:color="auto"/>
            </w:tcBorders>
          </w:tcPr>
          <w:p w:rsidR="001844F8" w:rsidRPr="001844F8" w:rsidRDefault="001844F8" w:rsidP="001844F8">
            <w:pPr>
              <w:pStyle w:val="Body"/>
              <w:rPr>
                <w:rFonts w:ascii="Arial" w:hAnsi="Arial" w:cs="Arial"/>
                <w:lang w:val="id-ID"/>
              </w:rPr>
            </w:pPr>
          </w:p>
        </w:tc>
        <w:tc>
          <w:tcPr>
            <w:tcW w:w="1752" w:type="pct"/>
            <w:tcBorders>
              <w:bottom w:val="single" w:sz="12" w:space="0" w:color="auto"/>
            </w:tcBorders>
            <w:vAlign w:val="center"/>
          </w:tcPr>
          <w:p w:rsidR="001844F8" w:rsidRPr="001844F8" w:rsidRDefault="001844F8" w:rsidP="001844F8">
            <w:pPr>
              <w:pStyle w:val="Body"/>
              <w:rPr>
                <w:rFonts w:ascii="Arial" w:hAnsi="Arial" w:cs="Arial"/>
              </w:rPr>
            </w:pPr>
            <w:r w:rsidRPr="001844F8">
              <w:rPr>
                <w:rFonts w:ascii="Arial" w:hAnsi="Arial" w:cs="Arial"/>
              </w:rPr>
              <w:t>Convinced that investing in the capital market provides benefits</w:t>
            </w:r>
          </w:p>
        </w:tc>
      </w:tr>
    </w:tbl>
    <w:p w:rsidR="001844F8" w:rsidRPr="001844F8" w:rsidRDefault="001844F8" w:rsidP="001844F8">
      <w:pPr>
        <w:pStyle w:val="Body"/>
        <w:rPr>
          <w:rFonts w:ascii="Arial" w:hAnsi="Arial" w:cs="Arial"/>
          <w:lang w:val="de-DE"/>
        </w:rPr>
      </w:pPr>
      <w:r w:rsidRPr="001844F8">
        <w:rPr>
          <w:rFonts w:ascii="Arial" w:hAnsi="Arial" w:cs="Arial"/>
        </w:rPr>
        <w:t xml:space="preserve">The analysis technique used in this research is structural equation modeling (SEM) using the Amos 24 software program. </w:t>
      </w:r>
      <w:r w:rsidRPr="001844F8">
        <w:rPr>
          <w:rFonts w:ascii="Arial" w:hAnsi="Arial" w:cs="Arial"/>
          <w:lang w:val="de-DE"/>
        </w:rPr>
        <w:t>The steps used in SEM modeling are as follows:</w:t>
      </w:r>
    </w:p>
    <w:p w:rsidR="001844F8" w:rsidRPr="001844F8" w:rsidRDefault="001844F8" w:rsidP="007418CF">
      <w:pPr>
        <w:pStyle w:val="Body"/>
        <w:numPr>
          <w:ilvl w:val="0"/>
          <w:numId w:val="3"/>
        </w:numPr>
        <w:rPr>
          <w:rFonts w:ascii="Arial" w:hAnsi="Arial" w:cs="Arial"/>
        </w:rPr>
      </w:pPr>
      <w:r w:rsidRPr="001844F8">
        <w:rPr>
          <w:rFonts w:ascii="Arial" w:hAnsi="Arial" w:cs="Arial"/>
        </w:rPr>
        <w:t>Step 1 = Path Diagram Construction and Mathematical Conversion</w:t>
      </w:r>
    </w:p>
    <w:p w:rsidR="001844F8" w:rsidRPr="001844F8" w:rsidRDefault="001844F8" w:rsidP="001844F8">
      <w:pPr>
        <w:pStyle w:val="Body"/>
        <w:rPr>
          <w:rFonts w:ascii="Arial" w:hAnsi="Arial" w:cs="Arial"/>
        </w:rPr>
      </w:pPr>
      <w:r w:rsidRPr="001844F8">
        <w:rPr>
          <w:rFonts w:ascii="Arial" w:hAnsi="Arial" w:cs="Arial"/>
        </w:rPr>
        <w:t xml:space="preserve">Researchers identify or develop a model that is supported by strong theoretical justification. Then the theoretical model that the researcher has built is described </w:t>
      </w:r>
      <w:proofErr w:type="spellStart"/>
      <w:r w:rsidRPr="001844F8">
        <w:rPr>
          <w:rFonts w:ascii="Arial" w:hAnsi="Arial" w:cs="Arial"/>
        </w:rPr>
        <w:t>ina</w:t>
      </w:r>
      <w:proofErr w:type="spellEnd"/>
      <w:r w:rsidRPr="001844F8">
        <w:rPr>
          <w:rFonts w:ascii="Arial" w:hAnsi="Arial" w:cs="Arial"/>
        </w:rPr>
        <w:t xml:space="preserve"> path diagram (path diagram) to make it easier to see causal relationships between exogenous variables and endogenous variables.</w:t>
      </w:r>
    </w:p>
    <w:p w:rsidR="001844F8" w:rsidRPr="001844F8" w:rsidRDefault="001844F8" w:rsidP="007418CF">
      <w:pPr>
        <w:pStyle w:val="Body"/>
        <w:numPr>
          <w:ilvl w:val="0"/>
          <w:numId w:val="3"/>
        </w:numPr>
        <w:rPr>
          <w:rFonts w:ascii="Arial" w:hAnsi="Arial" w:cs="Arial"/>
        </w:rPr>
      </w:pPr>
      <w:r w:rsidRPr="001844F8">
        <w:rPr>
          <w:rFonts w:ascii="Arial" w:hAnsi="Arial" w:cs="Arial"/>
        </w:rPr>
        <w:t>Step 2 = Confirmatory Factor Analysis (CFA)</w:t>
      </w:r>
    </w:p>
    <w:p w:rsidR="001844F8" w:rsidRPr="001844F8" w:rsidRDefault="001844F8" w:rsidP="001844F8">
      <w:pPr>
        <w:pStyle w:val="Body"/>
        <w:rPr>
          <w:rFonts w:ascii="Arial" w:hAnsi="Arial" w:cs="Arial"/>
        </w:rPr>
      </w:pPr>
      <w:r w:rsidRPr="001844F8">
        <w:rPr>
          <w:rFonts w:ascii="Arial" w:hAnsi="Arial" w:cs="Arial"/>
        </w:rPr>
        <w:t xml:space="preserve">One of the main benefits of CFA is the ability to assess the construct validity of the proposed measurement theory. Construct validity measures the extent to which the indicator size is able to reflect its theoretical latent construct. </w:t>
      </w:r>
      <w:proofErr w:type="gramStart"/>
      <w:r w:rsidRPr="001844F8">
        <w:rPr>
          <w:rFonts w:ascii="Arial" w:hAnsi="Arial" w:cs="Arial"/>
        </w:rPr>
        <w:t>So</w:t>
      </w:r>
      <w:proofErr w:type="gramEnd"/>
      <w:r w:rsidRPr="001844F8">
        <w:rPr>
          <w:rFonts w:ascii="Arial" w:hAnsi="Arial" w:cs="Arial"/>
        </w:rPr>
        <w:t xml:space="preserve"> construct validity provides confidence that the </w:t>
      </w:r>
      <w:r w:rsidRPr="00FB0D9B">
        <w:rPr>
          <w:rFonts w:ascii="Arial" w:hAnsi="Arial" w:cs="Arial"/>
          <w:highlight w:val="yellow"/>
        </w:rPr>
        <w:t>indicators taken from the</w:t>
      </w:r>
      <w:r w:rsidRPr="001844F8">
        <w:rPr>
          <w:rFonts w:ascii="Arial" w:hAnsi="Arial" w:cs="Arial"/>
        </w:rPr>
        <w:t xml:space="preserve"> sample describe the actual scores in the population (</w:t>
      </w:r>
      <w:proofErr w:type="spellStart"/>
      <w:r w:rsidRPr="001844F8">
        <w:rPr>
          <w:rFonts w:ascii="Arial" w:hAnsi="Arial" w:cs="Arial"/>
        </w:rPr>
        <w:t>Ghozali</w:t>
      </w:r>
      <w:proofErr w:type="spellEnd"/>
      <w:r w:rsidRPr="001844F8">
        <w:rPr>
          <w:rFonts w:ascii="Arial" w:hAnsi="Arial" w:cs="Arial"/>
        </w:rPr>
        <w:t xml:space="preserve">, 2008). There are two measures of construct validity, namely: Convergent Validity and Construct Reliability. Convergent Validity to measure construct validity can be seen from the factor loading value. The criteria used to demonstrate high construct validity or Convergent Validity are that the factor loading must be significant and the standardized loading estimate value ≥ 0.50. Meanwhile, Reliability is an indicator of Convergent Validity. Many use </w:t>
      </w:r>
      <w:proofErr w:type="spellStart"/>
      <w:r w:rsidRPr="001844F8">
        <w:rPr>
          <w:rFonts w:ascii="Arial" w:hAnsi="Arial" w:cs="Arial"/>
        </w:rPr>
        <w:t>Cronch</w:t>
      </w:r>
      <w:proofErr w:type="spellEnd"/>
      <w:r w:rsidRPr="001844F8">
        <w:rPr>
          <w:rFonts w:ascii="Arial" w:hAnsi="Arial" w:cs="Arial"/>
        </w:rPr>
        <w:t xml:space="preserve"> </w:t>
      </w:r>
      <w:r w:rsidRPr="001844F8">
        <w:rPr>
          <w:rFonts w:ascii="Arial" w:hAnsi="Arial" w:cs="Arial"/>
        </w:rPr>
        <w:lastRenderedPageBreak/>
        <w:t>Alpha (CA) as a measure of reliability, but in reality</w:t>
      </w:r>
      <w:r w:rsidR="00701105">
        <w:rPr>
          <w:rFonts w:ascii="Arial" w:hAnsi="Arial" w:cs="Arial"/>
        </w:rPr>
        <w:t>,</w:t>
      </w:r>
      <w:r w:rsidRPr="001844F8">
        <w:rPr>
          <w:rFonts w:ascii="Arial" w:hAnsi="Arial" w:cs="Arial"/>
        </w:rPr>
        <w:t xml:space="preserve"> CA provides lower reliability (under </w:t>
      </w:r>
      <w:r w:rsidRPr="00FB0D9B">
        <w:rPr>
          <w:rFonts w:ascii="Arial" w:hAnsi="Arial" w:cs="Arial"/>
          <w:highlight w:val="yellow"/>
        </w:rPr>
        <w:t xml:space="preserve">estimate) compared to construct reliability. The amount of good construct reliability is above 0.70, while </w:t>
      </w:r>
      <w:r w:rsidR="00701105" w:rsidRPr="00FB0D9B">
        <w:rPr>
          <w:rFonts w:ascii="Arial" w:hAnsi="Arial" w:cs="Arial"/>
          <w:highlight w:val="yellow"/>
        </w:rPr>
        <w:t xml:space="preserve">the </w:t>
      </w:r>
      <w:r w:rsidRPr="00FB0D9B">
        <w:rPr>
          <w:rFonts w:ascii="Arial" w:hAnsi="Arial" w:cs="Arial"/>
          <w:highlight w:val="yellow"/>
        </w:rPr>
        <w:t>reliability of 0.60 – 0.70 is still acceptable</w:t>
      </w:r>
      <w:r w:rsidR="00701105" w:rsidRPr="00FB0D9B">
        <w:rPr>
          <w:rFonts w:ascii="Arial" w:hAnsi="Arial" w:cs="Arial"/>
          <w:highlight w:val="yellow"/>
        </w:rPr>
        <w:t>,</w:t>
      </w:r>
      <w:r w:rsidRPr="00FB0D9B">
        <w:rPr>
          <w:rFonts w:ascii="Arial" w:hAnsi="Arial" w:cs="Arial"/>
          <w:highlight w:val="yellow"/>
        </w:rPr>
        <w:t xml:space="preserve"> provided that</w:t>
      </w:r>
      <w:r w:rsidRPr="001844F8">
        <w:rPr>
          <w:rFonts w:ascii="Arial" w:hAnsi="Arial" w:cs="Arial"/>
        </w:rPr>
        <w:t xml:space="preserve"> the validity of the indicators in the model is good </w:t>
      </w:r>
      <w:r w:rsidRPr="001844F8">
        <w:rPr>
          <w:rFonts w:ascii="Arial" w:hAnsi="Arial" w:cs="Arial"/>
        </w:rPr>
        <w:fldChar w:fldCharType="begin" w:fldLock="1"/>
      </w:r>
      <w:r w:rsidRPr="001844F8">
        <w:rPr>
          <w:rFonts w:ascii="Arial" w:hAnsi="Arial" w:cs="Arial"/>
        </w:rPr>
        <w:instrText>ADDIN CSL_CITATION {"citationItems":[{"id":"ITEM-1","itemData":{"author":[{"dropping-particle":"","family":"Ghozali","given":"Imam","non-dropping-particle":"","parse-names":false,"suffix":""}],"edition":"II","id":"ITEM-1","issued":{"date-parts":[["2008"]]},"publisher":"Universitas Diponegoro Semarang","publisher-place":"Semarang","title":"Structural Equation Modelling","type":"book"},"uris":["http://www.mendeley.com/documents/?uuid=99abf3e3-99f1-4baa-883e-8ac5e3d423a9"]}],"mendeley":{"formattedCitation":"(Ghozali, 2008)","plainTextFormattedCitation":"(Ghozali, 2008)","previouslyFormattedCitation":"(Ghozali, 2008)"},"properties":{"noteIndex":0},"schema":"https://github.com/citation-style-language/schema/raw/master/csl-citation.json"}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(Ghozali, 2008)</w:t>
      </w:r>
      <w:r w:rsidRPr="001844F8">
        <w:rPr>
          <w:rFonts w:ascii="Arial" w:hAnsi="Arial" w:cs="Arial"/>
        </w:rPr>
        <w:fldChar w:fldCharType="end"/>
      </w:r>
      <w:r w:rsidRPr="001844F8">
        <w:rPr>
          <w:rFonts w:ascii="Arial" w:hAnsi="Arial" w:cs="Arial"/>
        </w:rPr>
        <w:t>.</w:t>
      </w:r>
    </w:p>
    <w:p w:rsidR="001844F8" w:rsidRPr="001844F8" w:rsidRDefault="001844F8" w:rsidP="007418CF">
      <w:pPr>
        <w:pStyle w:val="Body"/>
        <w:numPr>
          <w:ilvl w:val="0"/>
          <w:numId w:val="3"/>
        </w:numPr>
        <w:rPr>
          <w:rFonts w:ascii="Arial" w:hAnsi="Arial" w:cs="Arial"/>
        </w:rPr>
      </w:pPr>
      <w:r w:rsidRPr="001844F8">
        <w:rPr>
          <w:rFonts w:ascii="Arial" w:hAnsi="Arial" w:cs="Arial"/>
        </w:rPr>
        <w:t>Step 3 = SEM Evaluation</w:t>
      </w:r>
    </w:p>
    <w:p w:rsidR="001844F8" w:rsidRPr="001844F8" w:rsidRDefault="001844F8" w:rsidP="001844F8">
      <w:pPr>
        <w:pStyle w:val="Body"/>
        <w:rPr>
          <w:rFonts w:ascii="Arial" w:hAnsi="Arial" w:cs="Arial"/>
        </w:rPr>
      </w:pPr>
      <w:r w:rsidRPr="001844F8">
        <w:rPr>
          <w:rFonts w:ascii="Arial" w:hAnsi="Arial" w:cs="Arial"/>
        </w:rPr>
        <w:t xml:space="preserve">SEM evaluation is used to test </w:t>
      </w:r>
      <w:r w:rsidRPr="00FB0D9B">
        <w:rPr>
          <w:rFonts w:ascii="Arial" w:hAnsi="Arial" w:cs="Arial"/>
          <w:highlight w:val="yellow"/>
        </w:rPr>
        <w:t>model fit</w:t>
      </w:r>
      <w:r w:rsidR="00701105" w:rsidRPr="00FB0D9B">
        <w:rPr>
          <w:rFonts w:ascii="Arial" w:hAnsi="Arial" w:cs="Arial"/>
          <w:highlight w:val="yellow"/>
        </w:rPr>
        <w:t>,</w:t>
      </w:r>
      <w:r w:rsidRPr="00FB0D9B">
        <w:rPr>
          <w:rFonts w:ascii="Arial" w:hAnsi="Arial" w:cs="Arial"/>
          <w:highlight w:val="yellow"/>
        </w:rPr>
        <w:t xml:space="preserve"> which can be assessed based on testing various fit indices obtained from AMOS b</w:t>
      </w:r>
      <w:r w:rsidR="00701105" w:rsidRPr="00FB0D9B">
        <w:rPr>
          <w:rFonts w:ascii="Arial" w:hAnsi="Arial" w:cs="Arial"/>
          <w:highlight w:val="yellow"/>
        </w:rPr>
        <w:t>y</w:t>
      </w:r>
      <w:r w:rsidRPr="00FB0D9B">
        <w:rPr>
          <w:rFonts w:ascii="Arial" w:hAnsi="Arial" w:cs="Arial"/>
          <w:highlight w:val="yellow"/>
        </w:rPr>
        <w:t xml:space="preserve"> evaluating the fulfilment of SEM assumptions, namely normality assumptions, outlier assumptions</w:t>
      </w:r>
      <w:r w:rsidRPr="001844F8">
        <w:rPr>
          <w:rFonts w:ascii="Arial" w:hAnsi="Arial" w:cs="Arial"/>
        </w:rPr>
        <w:t>, and multicollinearity and singularity assumptions.</w:t>
      </w:r>
    </w:p>
    <w:p w:rsidR="001844F8" w:rsidRPr="001844F8" w:rsidRDefault="001844F8" w:rsidP="007418CF">
      <w:pPr>
        <w:pStyle w:val="Body"/>
        <w:numPr>
          <w:ilvl w:val="0"/>
          <w:numId w:val="3"/>
        </w:numPr>
        <w:rPr>
          <w:rFonts w:ascii="Arial" w:hAnsi="Arial" w:cs="Arial"/>
        </w:rPr>
      </w:pPr>
      <w:r w:rsidRPr="001844F8">
        <w:rPr>
          <w:rFonts w:ascii="Arial" w:hAnsi="Arial" w:cs="Arial"/>
        </w:rPr>
        <w:t>Step 4 = Evaluate the Feasibility of the Goodness of Fit Model</w:t>
      </w:r>
    </w:p>
    <w:p w:rsidR="001844F8" w:rsidRPr="001844F8" w:rsidRDefault="001844F8" w:rsidP="001844F8">
      <w:pPr>
        <w:pStyle w:val="Body"/>
        <w:rPr>
          <w:rFonts w:ascii="Arial" w:hAnsi="Arial" w:cs="Arial"/>
          <w:b/>
          <w:bCs/>
          <w:i/>
        </w:rPr>
      </w:pPr>
      <w:bookmarkStart w:id="1" w:name="_Hlk86241856"/>
      <w:r w:rsidRPr="001844F8">
        <w:rPr>
          <w:rFonts w:ascii="Arial" w:hAnsi="Arial" w:cs="Arial"/>
          <w:b/>
          <w:bCs/>
          <w:iCs/>
        </w:rPr>
        <w:t xml:space="preserve">Table </w:t>
      </w:r>
      <w:proofErr w:type="gramStart"/>
      <w:r w:rsidRPr="001844F8">
        <w:rPr>
          <w:rFonts w:ascii="Arial" w:hAnsi="Arial" w:cs="Arial"/>
          <w:b/>
          <w:bCs/>
          <w:iCs/>
        </w:rPr>
        <w:t>2.</w:t>
      </w:r>
      <w:r w:rsidRPr="001844F8">
        <w:rPr>
          <w:rFonts w:ascii="Arial" w:hAnsi="Arial" w:cs="Arial"/>
          <w:b/>
          <w:bCs/>
          <w:i/>
        </w:rPr>
        <w:t>Goodness</w:t>
      </w:r>
      <w:proofErr w:type="gramEnd"/>
      <w:r w:rsidRPr="001844F8">
        <w:rPr>
          <w:rFonts w:ascii="Arial" w:hAnsi="Arial" w:cs="Arial"/>
          <w:b/>
          <w:bCs/>
          <w:i/>
        </w:rPr>
        <w:t xml:space="preserve"> of Fit Statistics</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4552"/>
        <w:gridCol w:w="2073"/>
      </w:tblGrid>
      <w:tr w:rsidR="001844F8" w:rsidRPr="001844F8" w:rsidTr="006E664E">
        <w:trPr>
          <w:trHeight w:val="46"/>
          <w:tblHeader/>
          <w:jc w:val="center"/>
        </w:trPr>
        <w:tc>
          <w:tcPr>
            <w:tcW w:w="0" w:type="auto"/>
            <w:tcBorders>
              <w:top w:val="single" w:sz="12" w:space="0" w:color="auto"/>
              <w:bottom w:val="single" w:sz="12" w:space="0" w:color="auto"/>
            </w:tcBorders>
          </w:tcPr>
          <w:bookmarkEnd w:id="1"/>
          <w:p w:rsidR="001844F8" w:rsidRPr="001844F8" w:rsidRDefault="001844F8" w:rsidP="001844F8">
            <w:pPr>
              <w:pStyle w:val="Body"/>
              <w:rPr>
                <w:rFonts w:ascii="Arial" w:hAnsi="Arial" w:cs="Arial"/>
                <w:b/>
              </w:rPr>
            </w:pPr>
            <w:r w:rsidRPr="001844F8">
              <w:rPr>
                <w:rFonts w:ascii="Arial" w:hAnsi="Arial" w:cs="Arial"/>
                <w:b/>
              </w:rPr>
              <w:t>Statistics</w:t>
            </w:r>
          </w:p>
        </w:tc>
        <w:tc>
          <w:tcPr>
            <w:tcW w:w="0" w:type="auto"/>
            <w:tcBorders>
              <w:top w:val="single" w:sz="12" w:space="0" w:color="auto"/>
              <w:bottom w:val="single" w:sz="12" w:space="0" w:color="auto"/>
            </w:tcBorders>
          </w:tcPr>
          <w:p w:rsidR="001844F8" w:rsidRPr="001844F8" w:rsidRDefault="001844F8" w:rsidP="001844F8">
            <w:pPr>
              <w:pStyle w:val="Body"/>
              <w:rPr>
                <w:rFonts w:ascii="Arial" w:hAnsi="Arial" w:cs="Arial"/>
                <w:b/>
              </w:rPr>
            </w:pPr>
            <w:r w:rsidRPr="001844F8">
              <w:rPr>
                <w:rFonts w:ascii="Arial" w:hAnsi="Arial" w:cs="Arial"/>
                <w:b/>
              </w:rPr>
              <w:t>Fit Criteria</w:t>
            </w:r>
          </w:p>
        </w:tc>
      </w:tr>
      <w:tr w:rsidR="001844F8" w:rsidRPr="001844F8" w:rsidTr="006E664E">
        <w:trPr>
          <w:trHeight w:val="46"/>
          <w:jc w:val="center"/>
        </w:trPr>
        <w:tc>
          <w:tcPr>
            <w:tcW w:w="0" w:type="auto"/>
            <w:tcBorders>
              <w:top w:val="single" w:sz="12" w:space="0" w:color="auto"/>
            </w:tcBorders>
          </w:tcPr>
          <w:p w:rsidR="001844F8" w:rsidRPr="001844F8" w:rsidRDefault="001844F8" w:rsidP="001844F8">
            <w:pPr>
              <w:pStyle w:val="Body"/>
              <w:rPr>
                <w:rFonts w:ascii="Arial" w:hAnsi="Arial" w:cs="Arial"/>
                <w:i/>
                <w:vertAlign w:val="superscript"/>
              </w:rPr>
            </w:pPr>
            <w:r w:rsidRPr="001844F8">
              <w:rPr>
                <w:rFonts w:ascii="Arial" w:hAnsi="Arial" w:cs="Arial"/>
                <w:i/>
              </w:rPr>
              <w:t>X2 Chi Square</w:t>
            </w:r>
          </w:p>
        </w:tc>
        <w:tc>
          <w:tcPr>
            <w:tcW w:w="0" w:type="auto"/>
            <w:tcBorders>
              <w:top w:val="single" w:sz="12" w:space="0" w:color="auto"/>
            </w:tcBorders>
          </w:tcPr>
          <w:p w:rsidR="001844F8" w:rsidRPr="001844F8" w:rsidRDefault="001844F8" w:rsidP="001844F8">
            <w:pPr>
              <w:pStyle w:val="Body"/>
              <w:rPr>
                <w:rFonts w:ascii="Arial" w:hAnsi="Arial" w:cs="Arial"/>
              </w:rPr>
            </w:pPr>
            <w:r w:rsidRPr="001844F8">
              <w:rPr>
                <w:rFonts w:ascii="Arial" w:hAnsi="Arial" w:cs="Arial"/>
              </w:rPr>
              <w:t>Expected to be small</w:t>
            </w:r>
          </w:p>
        </w:tc>
      </w:tr>
      <w:tr w:rsidR="001844F8" w:rsidRPr="001844F8" w:rsidTr="006E664E">
        <w:trPr>
          <w:trHeight w:val="46"/>
          <w:jc w:val="center"/>
        </w:trPr>
        <w:tc>
          <w:tcPr>
            <w:tcW w:w="0" w:type="auto"/>
          </w:tcPr>
          <w:p w:rsidR="001844F8" w:rsidRPr="001844F8" w:rsidRDefault="001844F8" w:rsidP="001844F8">
            <w:pPr>
              <w:pStyle w:val="Body"/>
              <w:rPr>
                <w:rFonts w:ascii="Arial" w:hAnsi="Arial" w:cs="Arial"/>
                <w:i/>
              </w:rPr>
            </w:pPr>
            <w:r w:rsidRPr="001844F8">
              <w:rPr>
                <w:rFonts w:ascii="Arial" w:hAnsi="Arial" w:cs="Arial"/>
                <w:i/>
              </w:rPr>
              <w:t>Significant probability</w:t>
            </w:r>
          </w:p>
        </w:tc>
        <w:tc>
          <w:tcPr>
            <w:tcW w:w="0" w:type="auto"/>
          </w:tcPr>
          <w:p w:rsidR="001844F8" w:rsidRPr="001844F8" w:rsidRDefault="001844F8" w:rsidP="001844F8">
            <w:pPr>
              <w:pStyle w:val="Body"/>
              <w:rPr>
                <w:rFonts w:ascii="Arial" w:hAnsi="Arial" w:cs="Arial"/>
              </w:rPr>
            </w:pPr>
            <w:r w:rsidRPr="001844F8">
              <w:rPr>
                <w:rFonts w:ascii="Arial" w:hAnsi="Arial" w:cs="Arial"/>
              </w:rPr>
              <w:t>≥ 0.05</w:t>
            </w:r>
          </w:p>
        </w:tc>
      </w:tr>
      <w:tr w:rsidR="001844F8" w:rsidRPr="001844F8" w:rsidTr="006E664E">
        <w:trPr>
          <w:trHeight w:val="46"/>
          <w:jc w:val="center"/>
        </w:trPr>
        <w:tc>
          <w:tcPr>
            <w:tcW w:w="0" w:type="auto"/>
          </w:tcPr>
          <w:p w:rsidR="001844F8" w:rsidRPr="001844F8" w:rsidRDefault="001844F8" w:rsidP="001844F8">
            <w:pPr>
              <w:pStyle w:val="Body"/>
              <w:rPr>
                <w:rFonts w:ascii="Arial" w:hAnsi="Arial" w:cs="Arial"/>
                <w:i/>
              </w:rPr>
            </w:pPr>
            <w:r w:rsidRPr="001844F8">
              <w:rPr>
                <w:rFonts w:ascii="Arial" w:hAnsi="Arial" w:cs="Arial"/>
                <w:i/>
              </w:rPr>
              <w:t>Root mean square error approximation (</w:t>
            </w:r>
            <w:r w:rsidRPr="001844F8">
              <w:rPr>
                <w:rFonts w:ascii="Arial" w:hAnsi="Arial" w:cs="Arial"/>
              </w:rPr>
              <w:t>RMSEA)</w:t>
            </w:r>
          </w:p>
        </w:tc>
        <w:tc>
          <w:tcPr>
            <w:tcW w:w="0" w:type="auto"/>
          </w:tcPr>
          <w:p w:rsidR="001844F8" w:rsidRPr="001844F8" w:rsidRDefault="001844F8" w:rsidP="001844F8">
            <w:pPr>
              <w:pStyle w:val="Body"/>
              <w:rPr>
                <w:rFonts w:ascii="Arial" w:hAnsi="Arial" w:cs="Arial"/>
              </w:rPr>
            </w:pPr>
            <w:r w:rsidRPr="001844F8">
              <w:rPr>
                <w:rFonts w:ascii="Arial" w:hAnsi="Arial" w:cs="Arial"/>
              </w:rPr>
              <w:t>≤ 0.08</w:t>
            </w:r>
          </w:p>
        </w:tc>
      </w:tr>
      <w:tr w:rsidR="001844F8" w:rsidRPr="001844F8" w:rsidTr="006E664E">
        <w:trPr>
          <w:trHeight w:val="46"/>
          <w:jc w:val="center"/>
        </w:trPr>
        <w:tc>
          <w:tcPr>
            <w:tcW w:w="0" w:type="auto"/>
          </w:tcPr>
          <w:p w:rsidR="001844F8" w:rsidRPr="001844F8" w:rsidRDefault="001844F8" w:rsidP="001844F8">
            <w:pPr>
              <w:pStyle w:val="Body"/>
              <w:rPr>
                <w:rFonts w:ascii="Arial" w:hAnsi="Arial" w:cs="Arial"/>
                <w:i/>
              </w:rPr>
            </w:pPr>
            <w:r w:rsidRPr="001844F8">
              <w:rPr>
                <w:rFonts w:ascii="Arial" w:hAnsi="Arial" w:cs="Arial"/>
                <w:i/>
              </w:rPr>
              <w:t>Goodness of fit index (</w:t>
            </w:r>
            <w:r w:rsidRPr="001844F8">
              <w:rPr>
                <w:rFonts w:ascii="Arial" w:hAnsi="Arial" w:cs="Arial"/>
              </w:rPr>
              <w:t>GFI)</w:t>
            </w:r>
          </w:p>
        </w:tc>
        <w:tc>
          <w:tcPr>
            <w:tcW w:w="0" w:type="auto"/>
          </w:tcPr>
          <w:p w:rsidR="001844F8" w:rsidRPr="001844F8" w:rsidRDefault="001844F8" w:rsidP="001844F8">
            <w:pPr>
              <w:pStyle w:val="Body"/>
              <w:rPr>
                <w:rFonts w:ascii="Arial" w:hAnsi="Arial" w:cs="Arial"/>
              </w:rPr>
            </w:pPr>
            <w:r w:rsidRPr="001844F8">
              <w:rPr>
                <w:rFonts w:ascii="Arial" w:hAnsi="Arial" w:cs="Arial"/>
              </w:rPr>
              <w:t>≥ 0.90</w:t>
            </w:r>
          </w:p>
        </w:tc>
      </w:tr>
      <w:tr w:rsidR="001844F8" w:rsidRPr="001844F8" w:rsidTr="006E664E">
        <w:trPr>
          <w:trHeight w:val="46"/>
          <w:jc w:val="center"/>
        </w:trPr>
        <w:tc>
          <w:tcPr>
            <w:tcW w:w="0" w:type="auto"/>
          </w:tcPr>
          <w:p w:rsidR="001844F8" w:rsidRPr="001844F8" w:rsidRDefault="001844F8" w:rsidP="001844F8">
            <w:pPr>
              <w:pStyle w:val="Body"/>
              <w:rPr>
                <w:rFonts w:ascii="Arial" w:hAnsi="Arial" w:cs="Arial"/>
                <w:i/>
              </w:rPr>
            </w:pPr>
            <w:r w:rsidRPr="001844F8">
              <w:rPr>
                <w:rFonts w:ascii="Arial" w:hAnsi="Arial" w:cs="Arial"/>
                <w:i/>
              </w:rPr>
              <w:t xml:space="preserve">Adjusted goodness of fit </w:t>
            </w:r>
            <w:proofErr w:type="gramStart"/>
            <w:r w:rsidRPr="001844F8">
              <w:rPr>
                <w:rFonts w:ascii="Arial" w:hAnsi="Arial" w:cs="Arial"/>
                <w:i/>
              </w:rPr>
              <w:t>index</w:t>
            </w:r>
            <w:r w:rsidRPr="001844F8">
              <w:rPr>
                <w:rFonts w:ascii="Arial" w:hAnsi="Arial" w:cs="Arial"/>
              </w:rPr>
              <w:t>(</w:t>
            </w:r>
            <w:proofErr w:type="gramEnd"/>
            <w:r w:rsidRPr="001844F8">
              <w:rPr>
                <w:rFonts w:ascii="Arial" w:hAnsi="Arial" w:cs="Arial"/>
              </w:rPr>
              <w:t>AGFI)</w:t>
            </w:r>
          </w:p>
        </w:tc>
        <w:tc>
          <w:tcPr>
            <w:tcW w:w="0" w:type="auto"/>
          </w:tcPr>
          <w:p w:rsidR="001844F8" w:rsidRPr="001844F8" w:rsidRDefault="001844F8" w:rsidP="001844F8">
            <w:pPr>
              <w:pStyle w:val="Body"/>
              <w:rPr>
                <w:rFonts w:ascii="Arial" w:hAnsi="Arial" w:cs="Arial"/>
              </w:rPr>
            </w:pPr>
            <w:r w:rsidRPr="001844F8">
              <w:rPr>
                <w:rFonts w:ascii="Arial" w:hAnsi="Arial" w:cs="Arial"/>
              </w:rPr>
              <w:t>≥ 0.90</w:t>
            </w:r>
          </w:p>
        </w:tc>
      </w:tr>
      <w:tr w:rsidR="001844F8" w:rsidRPr="001844F8" w:rsidTr="006E664E">
        <w:trPr>
          <w:trHeight w:val="46"/>
          <w:jc w:val="center"/>
        </w:trPr>
        <w:tc>
          <w:tcPr>
            <w:tcW w:w="0" w:type="auto"/>
            <w:tcBorders>
              <w:bottom w:val="single" w:sz="12" w:space="0" w:color="auto"/>
            </w:tcBorders>
          </w:tcPr>
          <w:p w:rsidR="001844F8" w:rsidRPr="001844F8" w:rsidRDefault="001844F8" w:rsidP="001844F8">
            <w:pPr>
              <w:pStyle w:val="Body"/>
              <w:rPr>
                <w:rFonts w:ascii="Arial" w:hAnsi="Arial" w:cs="Arial"/>
                <w:i/>
              </w:rPr>
            </w:pPr>
            <w:r w:rsidRPr="001844F8">
              <w:rPr>
                <w:rFonts w:ascii="Arial" w:hAnsi="Arial" w:cs="Arial"/>
                <w:i/>
              </w:rPr>
              <w:t>Tucker Lewis Index (TLI)</w:t>
            </w:r>
          </w:p>
        </w:tc>
        <w:tc>
          <w:tcPr>
            <w:tcW w:w="0" w:type="auto"/>
            <w:tcBorders>
              <w:bottom w:val="single" w:sz="12" w:space="0" w:color="auto"/>
            </w:tcBorders>
          </w:tcPr>
          <w:p w:rsidR="001844F8" w:rsidRPr="001844F8" w:rsidRDefault="001844F8" w:rsidP="001844F8">
            <w:pPr>
              <w:pStyle w:val="Body"/>
              <w:rPr>
                <w:rFonts w:ascii="Arial" w:hAnsi="Arial" w:cs="Arial"/>
              </w:rPr>
            </w:pPr>
            <w:r w:rsidRPr="001844F8">
              <w:rPr>
                <w:rFonts w:ascii="Arial" w:hAnsi="Arial" w:cs="Arial"/>
              </w:rPr>
              <w:t>≥ 0.90</w:t>
            </w:r>
          </w:p>
        </w:tc>
      </w:tr>
    </w:tbl>
    <w:p w:rsidR="001844F8" w:rsidRPr="001844F8" w:rsidRDefault="001844F8" w:rsidP="001844F8">
      <w:pPr>
        <w:pStyle w:val="Body"/>
        <w:rPr>
          <w:rFonts w:ascii="Arial" w:hAnsi="Arial" w:cs="Arial"/>
        </w:rPr>
      </w:pPr>
      <w:r w:rsidRPr="001844F8">
        <w:rPr>
          <w:rFonts w:ascii="Arial" w:hAnsi="Arial" w:cs="Arial"/>
        </w:rPr>
        <w:t xml:space="preserve">Source: </w:t>
      </w:r>
      <w:r w:rsidRPr="001844F8">
        <w:rPr>
          <w:rFonts w:ascii="Arial" w:hAnsi="Arial" w:cs="Arial"/>
        </w:rPr>
        <w:fldChar w:fldCharType="begin" w:fldLock="1"/>
      </w:r>
      <w:r w:rsidRPr="001844F8">
        <w:rPr>
          <w:rFonts w:ascii="Arial" w:hAnsi="Arial" w:cs="Arial"/>
        </w:rPr>
        <w:instrText>ADDIN CSL_CITATION {"citationItems":[{"id":"ITEM-1","itemData":{"author":[{"dropping-particle":"","family":"Ghozali","given":"Imam","non-dropping-particle":"","parse-names":false,"suffix":""}],"edition":"II","id":"ITEM-1","issued":{"date-parts":[["2008"]]},"publisher":"Universitas Diponegoro Semarang","publisher-place":"Semarang","title":"Structural Equation Modelling","type":"book"},"uris":["http://www.mendeley.com/documents/?uuid=99abf3e3-99f1-4baa-883e-8ac5e3d423a9"]}],"mendeley":{"formattedCitation":"(Ghozali, 2008)","plainTextFormattedCitation":"(Ghozali, 2008)","previouslyFormattedCitation":"(Ghozali, 2008)"},"properties":{"noteIndex":0},"schema":"https://github.com/citation-style-language/schema/raw/master/csl-citation.json"}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(Ghozali, 2008)</w:t>
      </w:r>
      <w:r w:rsidRPr="001844F8">
        <w:rPr>
          <w:rFonts w:ascii="Arial" w:hAnsi="Arial" w:cs="Arial"/>
        </w:rPr>
        <w:fldChar w:fldCharType="end"/>
      </w:r>
      <w:r w:rsidRPr="001844F8">
        <w:rPr>
          <w:rFonts w:ascii="Arial" w:hAnsi="Arial" w:cs="Arial"/>
        </w:rPr>
        <w:t>.</w:t>
      </w:r>
    </w:p>
    <w:p w:rsidR="001844F8" w:rsidRPr="001844F8" w:rsidRDefault="001844F8" w:rsidP="007418CF">
      <w:pPr>
        <w:pStyle w:val="Body"/>
        <w:numPr>
          <w:ilvl w:val="0"/>
          <w:numId w:val="3"/>
        </w:numPr>
        <w:rPr>
          <w:rFonts w:ascii="Arial" w:hAnsi="Arial" w:cs="Arial"/>
        </w:rPr>
      </w:pPr>
      <w:r w:rsidRPr="001844F8">
        <w:rPr>
          <w:rFonts w:ascii="Arial" w:hAnsi="Arial" w:cs="Arial"/>
        </w:rPr>
        <w:t>Step 5 = Hypothesis Test</w:t>
      </w:r>
    </w:p>
    <w:p w:rsidR="001844F8" w:rsidRPr="001844F8" w:rsidRDefault="001844F8" w:rsidP="001844F8">
      <w:pPr>
        <w:pStyle w:val="Body"/>
        <w:rPr>
          <w:rFonts w:ascii="Arial" w:hAnsi="Arial" w:cs="Arial"/>
        </w:rPr>
      </w:pPr>
      <w:r w:rsidRPr="001844F8">
        <w:rPr>
          <w:rFonts w:ascii="Arial" w:hAnsi="Arial" w:cs="Arial"/>
        </w:rPr>
        <w:t xml:space="preserve">To test hypotheses 1 (one) to 7 (seven) use the </w:t>
      </w:r>
      <w:proofErr w:type="spellStart"/>
      <w:r w:rsidRPr="001844F8">
        <w:rPr>
          <w:rFonts w:ascii="Arial" w:hAnsi="Arial" w:cs="Arial"/>
        </w:rPr>
        <w:t>Casuallity</w:t>
      </w:r>
      <w:proofErr w:type="spellEnd"/>
      <w:r w:rsidRPr="001844F8">
        <w:rPr>
          <w:rFonts w:ascii="Arial" w:hAnsi="Arial" w:cs="Arial"/>
        </w:rPr>
        <w:t xml:space="preserve"> Test which aims to see the relationship between variables which can be seen in the Standardize Reg column. Weight (λ) which provides the regression coefficient value (β), as well as the basis for decision making by looking at the P value (Probability of significance) </w:t>
      </w:r>
      <w:r w:rsidRPr="001844F8">
        <w:rPr>
          <w:rFonts w:ascii="Arial" w:hAnsi="Arial" w:cs="Arial"/>
        </w:rPr>
        <w:fldChar w:fldCharType="begin" w:fldLock="1"/>
      </w:r>
      <w:r w:rsidRPr="001844F8">
        <w:rPr>
          <w:rFonts w:ascii="Arial" w:hAnsi="Arial" w:cs="Arial"/>
        </w:rPr>
        <w:instrText>ADDIN CSL_CITATION {"citationItems":[{"id":"ITEM-1","itemData":{"author":[{"dropping-particle":"","family":"Ghozali","given":"Imam","non-dropping-particle":"","parse-names":false,"suffix":""}],"edition":"II","id":"ITEM-1","issued":{"date-parts":[["2008"]]},"publisher":"Universitas Diponegoro Semarang","publisher-place":"Semarang","title":"Structural Equation Modelling","type":"book"},"uris":["http://www.mendeley.com/documents/?uuid=99abf3e3-99f1-4baa-883e-8ac5e3d423a9"]}],"mendeley":{"formattedCitation":"(Ghozali, 2008)","plainTextFormattedCitation":"(Ghozali, 2008)","previouslyFormattedCitation":"(Ghozali, 2008)"},"properties":{"noteIndex":0},"schema":"https://github.com/citation-style-language/schema/raw/master/csl-citation.json"}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(Ghozali, 2008)</w:t>
      </w:r>
      <w:r w:rsidRPr="001844F8">
        <w:rPr>
          <w:rFonts w:ascii="Arial" w:hAnsi="Arial" w:cs="Arial"/>
        </w:rPr>
        <w:fldChar w:fldCharType="end"/>
      </w:r>
      <w:r w:rsidRPr="001844F8">
        <w:rPr>
          <w:rFonts w:ascii="Arial" w:hAnsi="Arial" w:cs="Arial"/>
        </w:rPr>
        <w:t xml:space="preserve"> on the AMOS 24 output as follows:</w:t>
      </w:r>
    </w:p>
    <w:p w:rsidR="001844F8" w:rsidRPr="001844F8" w:rsidRDefault="001844F8" w:rsidP="007418CF">
      <w:pPr>
        <w:pStyle w:val="Body"/>
        <w:numPr>
          <w:ilvl w:val="1"/>
          <w:numId w:val="4"/>
        </w:numPr>
        <w:rPr>
          <w:rFonts w:ascii="Arial" w:hAnsi="Arial" w:cs="Arial"/>
        </w:rPr>
      </w:pPr>
      <w:r w:rsidRPr="001844F8">
        <w:rPr>
          <w:rFonts w:ascii="Arial" w:hAnsi="Arial" w:cs="Arial"/>
        </w:rPr>
        <w:t>If the P value ≤ 0.05, then the hypothesis is accepted.</w:t>
      </w:r>
    </w:p>
    <w:p w:rsidR="001844F8" w:rsidRPr="001844F8" w:rsidRDefault="001844F8" w:rsidP="007418CF">
      <w:pPr>
        <w:pStyle w:val="Body"/>
        <w:numPr>
          <w:ilvl w:val="1"/>
          <w:numId w:val="4"/>
        </w:numPr>
        <w:rPr>
          <w:rFonts w:ascii="Arial" w:hAnsi="Arial" w:cs="Arial"/>
        </w:rPr>
      </w:pPr>
      <w:r w:rsidRPr="001844F8">
        <w:rPr>
          <w:rFonts w:ascii="Arial" w:hAnsi="Arial" w:cs="Arial"/>
        </w:rPr>
        <w:t>If the P value &gt; 0.05, then the hypothesis is rejected.</w:t>
      </w:r>
    </w:p>
    <w:p w:rsidR="001844F8" w:rsidRPr="001844F8" w:rsidRDefault="001844F8" w:rsidP="001844F8">
      <w:pPr>
        <w:pStyle w:val="Body"/>
        <w:rPr>
          <w:rFonts w:ascii="Arial" w:hAnsi="Arial" w:cs="Arial"/>
        </w:rPr>
      </w:pPr>
      <w:r w:rsidRPr="001844F8">
        <w:rPr>
          <w:rFonts w:ascii="Arial" w:hAnsi="Arial" w:cs="Arial"/>
        </w:rPr>
        <w:t>Meanwhile, testing hypotheses 8 (eight) and 9 (nine) uses the Sobel Test which aims to test intervening relationships. The test method is the Sobel Test which uses the direct path coefficient that has been obtained in the structural equation modeling analysis technique used in this research. The formula for testing intervening relationships is as follows:</w:t>
      </w:r>
    </w:p>
    <w:p w:rsidR="001844F8" w:rsidRPr="001844F8" w:rsidRDefault="001844F8" w:rsidP="001844F8">
      <w:pPr>
        <w:pStyle w:val="Body"/>
        <w:rPr>
          <w:rFonts w:ascii="Arial" w:hAnsi="Arial" w:cs="Arial"/>
        </w:rPr>
      </w:pPr>
      <w:r w:rsidRPr="001844F8">
        <w:rPr>
          <w:rFonts w:ascii="Arial" w:hAnsi="Arial" w:cs="Arial"/>
        </w:rPr>
        <w:t xml:space="preserve"> </w:t>
      </w:r>
      <m:oMath>
        <m:r>
          <w:rPr>
            <w:rFonts w:ascii="Cambria Math" w:hAnsi="Cambria Math" w:cs="Arial"/>
          </w:rPr>
          <m:t xml:space="preserve">z-value= </m:t>
        </m:r>
        <m:f>
          <m:fPr>
            <m:ctrlPr>
              <w:rPr>
                <w:rFonts w:ascii="Cambria Math" w:hAnsi="Cambria Math" w:cs="Arial"/>
                <w:i/>
              </w:rPr>
            </m:ctrlPr>
          </m:fPr>
          <m:num>
            <m:r>
              <w:rPr>
                <w:rFonts w:ascii="Cambria Math" w:hAnsi="Cambria Math" w:cs="Arial"/>
              </w:rPr>
              <m:t>ab</m:t>
            </m:r>
          </m:num>
          <m:den>
            <m:rad>
              <m:radPr>
                <m:degHide m:val="1"/>
                <m:ctrlPr>
                  <w:rPr>
                    <w:rFonts w:ascii="Cambria Math" w:hAnsi="Cambria Math" w:cs="Arial"/>
                    <w:i/>
                  </w:rPr>
                </m:ctrlPr>
              </m:radPr>
              <m:deg/>
              <m:e>
                <m:sSup>
                  <m:sSupPr>
                    <m:ctrlPr>
                      <w:rPr>
                        <w:rFonts w:ascii="Cambria Math" w:hAnsi="Cambria Math" w:cs="Arial"/>
                        <w:i/>
                      </w:rPr>
                    </m:ctrlPr>
                  </m:sSupPr>
                  <m:e>
                    <m:r>
                      <w:rPr>
                        <w:rFonts w:ascii="Cambria Math" w:hAnsi="Cambria Math" w:cs="Arial"/>
                      </w:rPr>
                      <m:t>b</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Sa</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a</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Sb</m:t>
                    </m:r>
                  </m:e>
                  <m:sup>
                    <m:r>
                      <w:rPr>
                        <w:rFonts w:ascii="Cambria Math" w:hAnsi="Cambria Math" w:cs="Arial"/>
                      </w:rPr>
                      <m:t>2</m:t>
                    </m:r>
                  </m:sup>
                </m:sSup>
                <m:r>
                  <w:rPr>
                    <w:rFonts w:ascii="Cambria Math" w:hAnsi="Cambria Math" w:cs="Arial"/>
                  </w:rPr>
                  <m:t>+</m:t>
                </m:r>
                <m:sSup>
                  <m:sSupPr>
                    <m:ctrlPr>
                      <w:rPr>
                        <w:rFonts w:ascii="Cambria Math" w:hAnsi="Cambria Math" w:cs="Arial"/>
                        <w:i/>
                      </w:rPr>
                    </m:ctrlPr>
                  </m:sSupPr>
                  <m:e>
                    <m:r>
                      <w:rPr>
                        <w:rFonts w:ascii="Cambria Math" w:hAnsi="Cambria Math" w:cs="Arial"/>
                      </w:rPr>
                      <m:t>Sa</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Sb</m:t>
                    </m:r>
                  </m:e>
                  <m:sup>
                    <m:r>
                      <w:rPr>
                        <w:rFonts w:ascii="Cambria Math" w:hAnsi="Cambria Math" w:cs="Arial"/>
                      </w:rPr>
                      <m:t>2</m:t>
                    </m:r>
                  </m:sup>
                </m:sSup>
              </m:e>
            </m:rad>
          </m:den>
        </m:f>
      </m:oMath>
    </w:p>
    <w:p w:rsidR="001844F8" w:rsidRPr="001844F8" w:rsidRDefault="001844F8" w:rsidP="001844F8">
      <w:pPr>
        <w:pStyle w:val="Body"/>
        <w:rPr>
          <w:rFonts w:ascii="Arial" w:hAnsi="Arial" w:cs="Arial"/>
        </w:rPr>
      </w:pPr>
      <w:r w:rsidRPr="001844F8">
        <w:rPr>
          <w:rFonts w:ascii="Arial" w:hAnsi="Arial" w:cs="Arial"/>
        </w:rPr>
        <w:lastRenderedPageBreak/>
        <w:t>Information:</w:t>
      </w:r>
    </w:p>
    <w:p w:rsidR="001844F8" w:rsidRPr="001844F8" w:rsidRDefault="001844F8" w:rsidP="007418CF">
      <w:pPr>
        <w:pStyle w:val="Body"/>
        <w:numPr>
          <w:ilvl w:val="0"/>
          <w:numId w:val="6"/>
        </w:numPr>
        <w:rPr>
          <w:rFonts w:ascii="Arial" w:hAnsi="Arial" w:cs="Arial"/>
        </w:rPr>
      </w:pPr>
      <w:r w:rsidRPr="001844F8">
        <w:rPr>
          <w:rFonts w:ascii="Arial" w:hAnsi="Arial" w:cs="Arial"/>
        </w:rPr>
        <w:t>Z-Value is the significance of the indirect influence of the independent variable on the dependent variable through the intervening variable</w:t>
      </w:r>
    </w:p>
    <w:p w:rsidR="001844F8" w:rsidRPr="001844F8" w:rsidRDefault="001844F8" w:rsidP="007418CF">
      <w:pPr>
        <w:pStyle w:val="Body"/>
        <w:numPr>
          <w:ilvl w:val="0"/>
          <w:numId w:val="6"/>
        </w:numPr>
        <w:rPr>
          <w:rFonts w:ascii="Arial" w:hAnsi="Arial" w:cs="Arial"/>
        </w:rPr>
      </w:pPr>
      <w:r w:rsidRPr="001844F8">
        <w:rPr>
          <w:rFonts w:ascii="Arial" w:hAnsi="Arial" w:cs="Arial"/>
        </w:rPr>
        <w:t>a is the coefficient of the relationship between the independent variable and the dependent variable</w:t>
      </w:r>
    </w:p>
    <w:p w:rsidR="001844F8" w:rsidRPr="001844F8" w:rsidRDefault="001844F8" w:rsidP="007418CF">
      <w:pPr>
        <w:pStyle w:val="Body"/>
        <w:numPr>
          <w:ilvl w:val="0"/>
          <w:numId w:val="6"/>
        </w:numPr>
        <w:rPr>
          <w:rFonts w:ascii="Arial" w:hAnsi="Arial" w:cs="Arial"/>
        </w:rPr>
      </w:pPr>
      <w:r w:rsidRPr="001844F8">
        <w:rPr>
          <w:rFonts w:ascii="Arial" w:hAnsi="Arial" w:cs="Arial"/>
        </w:rPr>
        <w:t>b is the coefficient of the relationship between the intervening variable and the dependent variable</w:t>
      </w:r>
    </w:p>
    <w:p w:rsidR="001844F8" w:rsidRPr="001844F8" w:rsidRDefault="001844F8" w:rsidP="007418CF">
      <w:pPr>
        <w:pStyle w:val="Body"/>
        <w:numPr>
          <w:ilvl w:val="0"/>
          <w:numId w:val="6"/>
        </w:numPr>
        <w:rPr>
          <w:rFonts w:ascii="Arial" w:hAnsi="Arial" w:cs="Arial"/>
        </w:rPr>
      </w:pPr>
      <w:r w:rsidRPr="001844F8">
        <w:rPr>
          <w:rFonts w:ascii="Arial" w:hAnsi="Arial" w:cs="Arial"/>
        </w:rPr>
        <w:t>Sa is the standard error of path a</w:t>
      </w:r>
    </w:p>
    <w:p w:rsidR="001844F8" w:rsidRPr="001844F8" w:rsidRDefault="001844F8" w:rsidP="007418CF">
      <w:pPr>
        <w:pStyle w:val="Body"/>
        <w:numPr>
          <w:ilvl w:val="0"/>
          <w:numId w:val="6"/>
        </w:numPr>
        <w:rPr>
          <w:rFonts w:ascii="Arial" w:hAnsi="Arial" w:cs="Arial"/>
        </w:rPr>
      </w:pPr>
      <w:r w:rsidRPr="001844F8">
        <w:rPr>
          <w:rFonts w:ascii="Arial" w:hAnsi="Arial" w:cs="Arial"/>
        </w:rPr>
        <w:t>Sb is the standard error of path b</w:t>
      </w:r>
    </w:p>
    <w:p w:rsidR="001844F8" w:rsidRPr="001844F8" w:rsidRDefault="001844F8" w:rsidP="001844F8">
      <w:pPr>
        <w:pStyle w:val="Body"/>
        <w:rPr>
          <w:rFonts w:ascii="Arial" w:hAnsi="Arial" w:cs="Arial"/>
        </w:rPr>
      </w:pPr>
      <w:r w:rsidRPr="001844F8">
        <w:rPr>
          <w:rFonts w:ascii="Arial" w:hAnsi="Arial" w:cs="Arial"/>
        </w:rPr>
        <w:t>The results of calculations using the Sobel Test formula will produce a Z count value. The Z count value is used as a basis for seeing the significance level of the intervening relationship being tested. In this research, researchers used an online calculator so that to test the Sobel Test, it was enough to look at the P value (Probability of Significance) with the following criteria:</w:t>
      </w:r>
    </w:p>
    <w:p w:rsidR="001844F8" w:rsidRPr="001844F8" w:rsidRDefault="001844F8" w:rsidP="007418CF">
      <w:pPr>
        <w:pStyle w:val="Body"/>
        <w:numPr>
          <w:ilvl w:val="0"/>
          <w:numId w:val="5"/>
        </w:numPr>
        <w:rPr>
          <w:rFonts w:ascii="Arial" w:hAnsi="Arial" w:cs="Arial"/>
        </w:rPr>
      </w:pPr>
      <w:r w:rsidRPr="001844F8">
        <w:rPr>
          <w:rFonts w:ascii="Arial" w:hAnsi="Arial" w:cs="Arial"/>
        </w:rPr>
        <w:t>If the P value ≤ 0.05, then the hypothesis is accepted.</w:t>
      </w:r>
    </w:p>
    <w:p w:rsidR="001844F8" w:rsidRPr="001844F8" w:rsidRDefault="001844F8" w:rsidP="007418CF">
      <w:pPr>
        <w:pStyle w:val="Body"/>
        <w:numPr>
          <w:ilvl w:val="0"/>
          <w:numId w:val="5"/>
        </w:numPr>
        <w:rPr>
          <w:rFonts w:ascii="Arial" w:hAnsi="Arial" w:cs="Arial"/>
        </w:rPr>
      </w:pPr>
      <w:r w:rsidRPr="001844F8">
        <w:rPr>
          <w:rFonts w:ascii="Arial" w:hAnsi="Arial" w:cs="Arial"/>
        </w:rPr>
        <w:t>If the P value &gt; 0.05, then the hypothesis is rejected.</w:t>
      </w:r>
    </w:p>
    <w:p w:rsidR="001844F8" w:rsidRPr="001844F8" w:rsidRDefault="001844F8" w:rsidP="001844F8">
      <w:pPr>
        <w:pStyle w:val="Body"/>
        <w:rPr>
          <w:rFonts w:ascii="Arial" w:hAnsi="Arial" w:cs="Arial"/>
        </w:rPr>
      </w:pPr>
    </w:p>
    <w:p w:rsidR="001844F8" w:rsidRPr="001844F8" w:rsidRDefault="001844F8" w:rsidP="001844F8">
      <w:pPr>
        <w:pStyle w:val="Body"/>
        <w:spacing w:after="0"/>
        <w:rPr>
          <w:rFonts w:ascii="Arial" w:hAnsi="Arial" w:cs="Arial"/>
          <w:b/>
        </w:rPr>
      </w:pPr>
      <w:r>
        <w:rPr>
          <w:rFonts w:ascii="Arial" w:hAnsi="Arial" w:cs="Arial"/>
          <w:b/>
        </w:rPr>
        <w:t>3.</w:t>
      </w:r>
      <w:r w:rsidRPr="001844F8">
        <w:rPr>
          <w:rFonts w:ascii="Arial" w:hAnsi="Arial" w:cs="Arial"/>
          <w:b/>
        </w:rPr>
        <w:t>RESULTS AND DISCUSSIONS</w:t>
      </w:r>
    </w:p>
    <w:p w:rsidR="001844F8" w:rsidRPr="001844F8" w:rsidRDefault="001844F8" w:rsidP="001844F8">
      <w:pPr>
        <w:pStyle w:val="Body"/>
        <w:rPr>
          <w:rFonts w:ascii="Arial" w:hAnsi="Arial" w:cs="Arial"/>
          <w:b/>
          <w:lang w:val="id-ID"/>
        </w:rPr>
      </w:pPr>
      <w:r w:rsidRPr="001844F8">
        <w:rPr>
          <w:rFonts w:ascii="Arial" w:hAnsi="Arial" w:cs="Arial"/>
          <w:b/>
          <w:lang w:val="id-ID"/>
        </w:rPr>
        <w:t>Results</w:t>
      </w:r>
    </w:p>
    <w:p w:rsidR="001844F8" w:rsidRPr="001844F8" w:rsidRDefault="001844F8" w:rsidP="001844F8">
      <w:pPr>
        <w:pStyle w:val="Body"/>
        <w:rPr>
          <w:rFonts w:ascii="Arial" w:hAnsi="Arial" w:cs="Arial"/>
        </w:rPr>
      </w:pPr>
      <w:r w:rsidRPr="001844F8">
        <w:rPr>
          <w:rFonts w:ascii="Arial" w:hAnsi="Arial" w:cs="Arial"/>
        </w:rPr>
        <w:t>The following are the results of the analysis of the characteristics of investor respondents in Surabaya based on gender as follows:</w:t>
      </w:r>
    </w:p>
    <w:p w:rsidR="001844F8" w:rsidRPr="001844F8" w:rsidRDefault="001844F8" w:rsidP="001844F8">
      <w:pPr>
        <w:pStyle w:val="Body"/>
        <w:rPr>
          <w:rFonts w:ascii="Arial" w:hAnsi="Arial" w:cs="Arial"/>
          <w:b/>
          <w:bCs/>
          <w:iCs/>
          <w:lang w:val="de-DE"/>
        </w:rPr>
      </w:pPr>
      <w:bookmarkStart w:id="2" w:name="_Toc86238595"/>
      <w:bookmarkStart w:id="3" w:name="_Toc86238757"/>
      <w:bookmarkStart w:id="4" w:name="_Toc86240578"/>
      <w:bookmarkStart w:id="5" w:name="_Toc86240816"/>
      <w:bookmarkStart w:id="6" w:name="_Toc86354653"/>
      <w:bookmarkStart w:id="7" w:name="_Toc86767420"/>
      <w:bookmarkStart w:id="8" w:name="_Toc89343796"/>
      <w:bookmarkStart w:id="9" w:name="_Toc89344228"/>
      <w:bookmarkStart w:id="10" w:name="_Toc147172590"/>
      <w:bookmarkStart w:id="11" w:name="_Toc147173049"/>
      <w:bookmarkStart w:id="12" w:name="_Toc147173217"/>
      <w:bookmarkStart w:id="13" w:name="_Toc147830019"/>
      <w:bookmarkStart w:id="14" w:name="_Toc147830241"/>
      <w:bookmarkStart w:id="15" w:name="_Toc153835410"/>
      <w:bookmarkStart w:id="16" w:name="_Toc153853375"/>
      <w:bookmarkStart w:id="17" w:name="_Toc153854649"/>
      <w:bookmarkStart w:id="18" w:name="_Toc154131991"/>
      <w:bookmarkStart w:id="19" w:name="_Toc154134751"/>
      <w:bookmarkStart w:id="20" w:name="_Toc154135192"/>
      <w:bookmarkStart w:id="21" w:name="_Toc154135443"/>
      <w:bookmarkStart w:id="22" w:name="_Toc159492652"/>
      <w:r w:rsidRPr="001844F8">
        <w:rPr>
          <w:rFonts w:ascii="Arial" w:hAnsi="Arial" w:cs="Arial"/>
          <w:b/>
          <w:bCs/>
          <w:lang w:val="de-DE"/>
        </w:rPr>
        <w:t>Table 3.</w:t>
      </w:r>
      <w:bookmarkStart w:id="23" w:name="_Hlk8623906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1844F8">
        <w:rPr>
          <w:rFonts w:ascii="Arial" w:hAnsi="Arial" w:cs="Arial"/>
          <w:iCs/>
          <w:lang w:val="de-DE"/>
        </w:rPr>
        <w:t>Characteristics Based on Gender</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2372"/>
        <w:gridCol w:w="2379"/>
      </w:tblGrid>
      <w:tr w:rsidR="001844F8" w:rsidRPr="001844F8" w:rsidTr="006E664E">
        <w:tc>
          <w:tcPr>
            <w:tcW w:w="2794" w:type="dxa"/>
            <w:tcBorders>
              <w:top w:val="single" w:sz="4" w:space="0" w:color="auto"/>
              <w:bottom w:val="single" w:sz="4" w:space="0" w:color="auto"/>
            </w:tcBorders>
            <w:vAlign w:val="center"/>
          </w:tcPr>
          <w:bookmarkEnd w:id="23"/>
          <w:p w:rsidR="001844F8" w:rsidRPr="001844F8" w:rsidRDefault="001844F8" w:rsidP="001844F8">
            <w:pPr>
              <w:pStyle w:val="Body"/>
              <w:rPr>
                <w:rFonts w:ascii="Arial" w:hAnsi="Arial" w:cs="Arial"/>
                <w:b/>
                <w:lang w:val="id-ID"/>
              </w:rPr>
            </w:pPr>
            <w:r w:rsidRPr="001844F8">
              <w:rPr>
                <w:rFonts w:ascii="Arial" w:hAnsi="Arial" w:cs="Arial"/>
                <w:b/>
                <w:lang w:val="id-ID"/>
              </w:rPr>
              <w:t>Gender</w:t>
            </w:r>
          </w:p>
        </w:tc>
        <w:tc>
          <w:tcPr>
            <w:tcW w:w="2372" w:type="dxa"/>
            <w:tcBorders>
              <w:top w:val="single" w:sz="4" w:space="0" w:color="auto"/>
              <w:bottom w:val="single" w:sz="4" w:space="0" w:color="auto"/>
            </w:tcBorders>
            <w:vAlign w:val="center"/>
          </w:tcPr>
          <w:p w:rsidR="001844F8" w:rsidRPr="001844F8" w:rsidRDefault="001844F8" w:rsidP="001844F8">
            <w:pPr>
              <w:pStyle w:val="Body"/>
              <w:rPr>
                <w:rFonts w:ascii="Arial" w:hAnsi="Arial" w:cs="Arial"/>
                <w:b/>
                <w:lang w:val="id-ID"/>
              </w:rPr>
            </w:pPr>
            <w:r w:rsidRPr="001844F8">
              <w:rPr>
                <w:rFonts w:ascii="Arial" w:hAnsi="Arial" w:cs="Arial"/>
                <w:b/>
                <w:lang w:val="id-ID"/>
              </w:rPr>
              <w:t>Amount</w:t>
            </w:r>
          </w:p>
        </w:tc>
        <w:tc>
          <w:tcPr>
            <w:tcW w:w="2379" w:type="dxa"/>
            <w:tcBorders>
              <w:top w:val="single" w:sz="4" w:space="0" w:color="auto"/>
              <w:bottom w:val="single" w:sz="4" w:space="0" w:color="auto"/>
            </w:tcBorders>
            <w:vAlign w:val="center"/>
          </w:tcPr>
          <w:p w:rsidR="001844F8" w:rsidRPr="001844F8" w:rsidRDefault="001844F8" w:rsidP="001844F8">
            <w:pPr>
              <w:pStyle w:val="Body"/>
              <w:rPr>
                <w:rFonts w:ascii="Arial" w:hAnsi="Arial" w:cs="Arial"/>
                <w:b/>
                <w:lang w:val="id-ID"/>
              </w:rPr>
            </w:pPr>
            <w:r w:rsidRPr="001844F8">
              <w:rPr>
                <w:rFonts w:ascii="Arial" w:hAnsi="Arial" w:cs="Arial"/>
                <w:b/>
                <w:lang w:val="id-ID"/>
              </w:rPr>
              <w:t>Percentage</w:t>
            </w:r>
          </w:p>
        </w:tc>
      </w:tr>
      <w:tr w:rsidR="001844F8" w:rsidRPr="001844F8" w:rsidTr="006E664E">
        <w:tc>
          <w:tcPr>
            <w:tcW w:w="2794" w:type="dxa"/>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Man</w:t>
            </w:r>
          </w:p>
        </w:tc>
        <w:tc>
          <w:tcPr>
            <w:tcW w:w="2372" w:type="dxa"/>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70 people</w:t>
            </w:r>
          </w:p>
        </w:tc>
        <w:tc>
          <w:tcPr>
            <w:tcW w:w="2379" w:type="dxa"/>
            <w:tcBorders>
              <w:top w:val="single" w:sz="4" w:space="0" w:color="auto"/>
            </w:tcBorders>
            <w:vAlign w:val="bottom"/>
          </w:tcPr>
          <w:p w:rsidR="001844F8" w:rsidRPr="001844F8" w:rsidRDefault="001844F8" w:rsidP="001844F8">
            <w:pPr>
              <w:pStyle w:val="Body"/>
              <w:rPr>
                <w:rFonts w:ascii="Arial" w:hAnsi="Arial" w:cs="Arial"/>
                <w:lang w:val="id-ID"/>
              </w:rPr>
            </w:pPr>
            <w:r w:rsidRPr="001844F8">
              <w:rPr>
                <w:rFonts w:ascii="Arial" w:hAnsi="Arial" w:cs="Arial"/>
                <w:lang w:val="id-ID"/>
              </w:rPr>
              <w:t>51.85%</w:t>
            </w:r>
          </w:p>
        </w:tc>
      </w:tr>
      <w:tr w:rsidR="001844F8" w:rsidRPr="001844F8" w:rsidTr="006E664E">
        <w:tc>
          <w:tcPr>
            <w:tcW w:w="2794" w:type="dxa"/>
            <w:tcBorders>
              <w:bottom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Woman</w:t>
            </w:r>
          </w:p>
        </w:tc>
        <w:tc>
          <w:tcPr>
            <w:tcW w:w="2372" w:type="dxa"/>
            <w:tcBorders>
              <w:bottom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65 people</w:t>
            </w:r>
          </w:p>
        </w:tc>
        <w:tc>
          <w:tcPr>
            <w:tcW w:w="2379" w:type="dxa"/>
            <w:tcBorders>
              <w:bottom w:val="single" w:sz="4" w:space="0" w:color="auto"/>
            </w:tcBorders>
            <w:vAlign w:val="bottom"/>
          </w:tcPr>
          <w:p w:rsidR="001844F8" w:rsidRPr="001844F8" w:rsidRDefault="001844F8" w:rsidP="001844F8">
            <w:pPr>
              <w:pStyle w:val="Body"/>
              <w:rPr>
                <w:rFonts w:ascii="Arial" w:hAnsi="Arial" w:cs="Arial"/>
                <w:lang w:val="id-ID"/>
              </w:rPr>
            </w:pPr>
            <w:r w:rsidRPr="001844F8">
              <w:rPr>
                <w:rFonts w:ascii="Arial" w:hAnsi="Arial" w:cs="Arial"/>
                <w:lang w:val="id-ID"/>
              </w:rPr>
              <w:t>48.15%</w:t>
            </w:r>
          </w:p>
        </w:tc>
      </w:tr>
      <w:tr w:rsidR="001844F8" w:rsidRPr="001844F8" w:rsidTr="006E664E">
        <w:tc>
          <w:tcPr>
            <w:tcW w:w="2794" w:type="dxa"/>
            <w:tcBorders>
              <w:top w:val="single" w:sz="4" w:space="0" w:color="auto"/>
              <w:bottom w:val="single" w:sz="4" w:space="0" w:color="auto"/>
            </w:tcBorders>
            <w:vAlign w:val="center"/>
          </w:tcPr>
          <w:p w:rsidR="001844F8" w:rsidRPr="001844F8" w:rsidRDefault="001844F8" w:rsidP="001844F8">
            <w:pPr>
              <w:pStyle w:val="Body"/>
              <w:rPr>
                <w:rFonts w:ascii="Arial" w:hAnsi="Arial" w:cs="Arial"/>
                <w:b/>
                <w:lang w:val="id-ID"/>
              </w:rPr>
            </w:pPr>
            <w:r w:rsidRPr="001844F8">
              <w:rPr>
                <w:rFonts w:ascii="Arial" w:hAnsi="Arial" w:cs="Arial"/>
                <w:b/>
                <w:lang w:val="id-ID"/>
              </w:rPr>
              <w:t>Total</w:t>
            </w:r>
          </w:p>
        </w:tc>
        <w:tc>
          <w:tcPr>
            <w:tcW w:w="2372" w:type="dxa"/>
            <w:tcBorders>
              <w:top w:val="single" w:sz="4" w:space="0" w:color="auto"/>
              <w:bottom w:val="single" w:sz="4" w:space="0" w:color="auto"/>
            </w:tcBorders>
            <w:vAlign w:val="center"/>
          </w:tcPr>
          <w:p w:rsidR="001844F8" w:rsidRPr="001844F8" w:rsidRDefault="001844F8" w:rsidP="001844F8">
            <w:pPr>
              <w:pStyle w:val="Body"/>
              <w:rPr>
                <w:rFonts w:ascii="Arial" w:hAnsi="Arial" w:cs="Arial"/>
                <w:b/>
                <w:lang w:val="id-ID"/>
              </w:rPr>
            </w:pPr>
            <w:r w:rsidRPr="001844F8">
              <w:rPr>
                <w:rFonts w:ascii="Arial" w:hAnsi="Arial" w:cs="Arial"/>
                <w:b/>
                <w:lang w:val="id-ID"/>
              </w:rPr>
              <w:t>135</w:t>
            </w:r>
          </w:p>
        </w:tc>
        <w:tc>
          <w:tcPr>
            <w:tcW w:w="2379" w:type="dxa"/>
            <w:tcBorders>
              <w:top w:val="single" w:sz="4" w:space="0" w:color="auto"/>
              <w:bottom w:val="single" w:sz="4" w:space="0" w:color="auto"/>
            </w:tcBorders>
            <w:vAlign w:val="center"/>
          </w:tcPr>
          <w:p w:rsidR="001844F8" w:rsidRPr="001844F8" w:rsidRDefault="001844F8" w:rsidP="001844F8">
            <w:pPr>
              <w:pStyle w:val="Body"/>
              <w:rPr>
                <w:rFonts w:ascii="Arial" w:hAnsi="Arial" w:cs="Arial"/>
                <w:b/>
                <w:lang w:val="id-ID"/>
              </w:rPr>
            </w:pPr>
            <w:r w:rsidRPr="001844F8">
              <w:rPr>
                <w:rFonts w:ascii="Arial" w:hAnsi="Arial" w:cs="Arial"/>
                <w:b/>
                <w:lang w:val="id-ID"/>
              </w:rPr>
              <w:t>100%</w:t>
            </w:r>
          </w:p>
        </w:tc>
      </w:tr>
    </w:tbl>
    <w:p w:rsidR="001844F8" w:rsidRPr="001844F8" w:rsidRDefault="001844F8" w:rsidP="001844F8">
      <w:pPr>
        <w:pStyle w:val="Body"/>
        <w:rPr>
          <w:rFonts w:ascii="Arial" w:hAnsi="Arial" w:cs="Arial"/>
          <w:b/>
          <w:bCs/>
          <w:lang w:val="sv-SE"/>
        </w:rPr>
      </w:pPr>
    </w:p>
    <w:p w:rsidR="001844F8" w:rsidRPr="001844F8" w:rsidRDefault="001844F8" w:rsidP="001844F8">
      <w:pPr>
        <w:pStyle w:val="Body"/>
        <w:rPr>
          <w:rFonts w:ascii="Arial" w:hAnsi="Arial" w:cs="Arial"/>
          <w:lang w:val="en-ID"/>
        </w:rPr>
      </w:pPr>
      <w:bookmarkStart w:id="24" w:name="_Toc86238597"/>
      <w:bookmarkStart w:id="25" w:name="_Toc86238759"/>
      <w:bookmarkStart w:id="26" w:name="_Toc86240580"/>
      <w:bookmarkStart w:id="27" w:name="_Toc86240818"/>
      <w:bookmarkStart w:id="28" w:name="_Toc86354655"/>
      <w:bookmarkStart w:id="29" w:name="_Toc86767422"/>
      <w:bookmarkStart w:id="30" w:name="_Toc89343798"/>
      <w:bookmarkStart w:id="31" w:name="_Toc89344230"/>
      <w:bookmarkStart w:id="32" w:name="_Toc147172592"/>
      <w:bookmarkStart w:id="33" w:name="_Toc147173051"/>
      <w:bookmarkStart w:id="34" w:name="_Toc147173219"/>
      <w:bookmarkStart w:id="35" w:name="_Toc147830021"/>
      <w:bookmarkStart w:id="36" w:name="_Toc147830243"/>
      <w:bookmarkStart w:id="37" w:name="_Toc153835412"/>
      <w:bookmarkStart w:id="38" w:name="_Toc153853377"/>
      <w:bookmarkStart w:id="39" w:name="_Toc153854651"/>
      <w:bookmarkStart w:id="40" w:name="_Toc154131993"/>
      <w:bookmarkStart w:id="41" w:name="_Toc154134753"/>
      <w:bookmarkStart w:id="42" w:name="_Toc154135194"/>
      <w:bookmarkStart w:id="43" w:name="_Toc154135445"/>
      <w:bookmarkStart w:id="44" w:name="_Toc159492654"/>
      <w:r w:rsidRPr="001844F8">
        <w:rPr>
          <w:rFonts w:ascii="Arial" w:hAnsi="Arial" w:cs="Arial"/>
          <w:b/>
          <w:bCs/>
          <w:lang w:val="en-ID"/>
        </w:rPr>
        <w:t>Table 4.</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1844F8">
        <w:rPr>
          <w:rFonts w:ascii="Arial" w:hAnsi="Arial" w:cs="Arial"/>
          <w:b/>
          <w:bCs/>
          <w:lang w:val="en-ID"/>
        </w:rPr>
        <w:t xml:space="preserve"> </w:t>
      </w:r>
      <w:r w:rsidRPr="001844F8">
        <w:rPr>
          <w:rFonts w:ascii="Arial" w:hAnsi="Arial" w:cs="Arial"/>
          <w:iCs/>
          <w:lang w:val="en-ID"/>
        </w:rPr>
        <w:t>Characteristics Based on Age</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4"/>
        <w:gridCol w:w="2372"/>
        <w:gridCol w:w="2379"/>
      </w:tblGrid>
      <w:tr w:rsidR="001844F8" w:rsidRPr="001844F8" w:rsidTr="006E664E">
        <w:tc>
          <w:tcPr>
            <w:tcW w:w="2794" w:type="dxa"/>
            <w:tcBorders>
              <w:top w:val="single" w:sz="4" w:space="0" w:color="auto"/>
              <w:bottom w:val="single" w:sz="4" w:space="0" w:color="auto"/>
            </w:tcBorders>
            <w:vAlign w:val="center"/>
          </w:tcPr>
          <w:p w:rsidR="001844F8" w:rsidRPr="001844F8" w:rsidRDefault="001844F8" w:rsidP="001844F8">
            <w:pPr>
              <w:pStyle w:val="Body"/>
              <w:rPr>
                <w:rFonts w:ascii="Arial" w:hAnsi="Arial" w:cs="Arial"/>
                <w:b/>
                <w:lang w:val="id-ID"/>
              </w:rPr>
            </w:pPr>
            <w:r w:rsidRPr="001844F8">
              <w:rPr>
                <w:rFonts w:ascii="Arial" w:hAnsi="Arial" w:cs="Arial"/>
                <w:b/>
                <w:lang w:val="id-ID"/>
              </w:rPr>
              <w:t>Age</w:t>
            </w:r>
          </w:p>
        </w:tc>
        <w:tc>
          <w:tcPr>
            <w:tcW w:w="2372" w:type="dxa"/>
            <w:tcBorders>
              <w:top w:val="single" w:sz="4" w:space="0" w:color="auto"/>
              <w:bottom w:val="single" w:sz="4" w:space="0" w:color="auto"/>
            </w:tcBorders>
            <w:vAlign w:val="center"/>
          </w:tcPr>
          <w:p w:rsidR="001844F8" w:rsidRPr="001844F8" w:rsidRDefault="001844F8" w:rsidP="001844F8">
            <w:pPr>
              <w:pStyle w:val="Body"/>
              <w:rPr>
                <w:rFonts w:ascii="Arial" w:hAnsi="Arial" w:cs="Arial"/>
                <w:b/>
                <w:lang w:val="id-ID"/>
              </w:rPr>
            </w:pPr>
            <w:r w:rsidRPr="001844F8">
              <w:rPr>
                <w:rFonts w:ascii="Arial" w:hAnsi="Arial" w:cs="Arial"/>
                <w:b/>
                <w:lang w:val="id-ID"/>
              </w:rPr>
              <w:t>Amount</w:t>
            </w:r>
          </w:p>
        </w:tc>
        <w:tc>
          <w:tcPr>
            <w:tcW w:w="2379" w:type="dxa"/>
            <w:tcBorders>
              <w:top w:val="single" w:sz="4" w:space="0" w:color="auto"/>
              <w:bottom w:val="single" w:sz="4" w:space="0" w:color="auto"/>
            </w:tcBorders>
            <w:vAlign w:val="center"/>
          </w:tcPr>
          <w:p w:rsidR="001844F8" w:rsidRPr="001844F8" w:rsidRDefault="001844F8" w:rsidP="001844F8">
            <w:pPr>
              <w:pStyle w:val="Body"/>
              <w:rPr>
                <w:rFonts w:ascii="Arial" w:hAnsi="Arial" w:cs="Arial"/>
                <w:b/>
                <w:lang w:val="id-ID"/>
              </w:rPr>
            </w:pPr>
            <w:r w:rsidRPr="001844F8">
              <w:rPr>
                <w:rFonts w:ascii="Arial" w:hAnsi="Arial" w:cs="Arial"/>
                <w:b/>
                <w:lang w:val="id-ID"/>
              </w:rPr>
              <w:t>Percentage</w:t>
            </w:r>
          </w:p>
        </w:tc>
      </w:tr>
      <w:tr w:rsidR="001844F8" w:rsidRPr="001844F8" w:rsidTr="006E664E">
        <w:tc>
          <w:tcPr>
            <w:tcW w:w="2794" w:type="dxa"/>
            <w:tcBorders>
              <w:top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17 – 25 Years</w:t>
            </w:r>
          </w:p>
        </w:tc>
        <w:tc>
          <w:tcPr>
            <w:tcW w:w="2372" w:type="dxa"/>
            <w:tcBorders>
              <w:top w:val="single" w:sz="4" w:space="0" w:color="auto"/>
            </w:tcBorders>
            <w:vAlign w:val="bottom"/>
          </w:tcPr>
          <w:p w:rsidR="001844F8" w:rsidRPr="001844F8" w:rsidRDefault="001844F8" w:rsidP="001844F8">
            <w:pPr>
              <w:pStyle w:val="Body"/>
              <w:rPr>
                <w:rFonts w:ascii="Arial" w:hAnsi="Arial" w:cs="Arial"/>
                <w:lang w:val="id-ID"/>
              </w:rPr>
            </w:pPr>
            <w:r w:rsidRPr="001844F8">
              <w:rPr>
                <w:rFonts w:ascii="Arial" w:hAnsi="Arial" w:cs="Arial"/>
                <w:lang w:val="id-ID"/>
              </w:rPr>
              <w:t>49</w:t>
            </w:r>
          </w:p>
        </w:tc>
        <w:tc>
          <w:tcPr>
            <w:tcW w:w="2379" w:type="dxa"/>
            <w:tcBorders>
              <w:top w:val="single" w:sz="4" w:space="0" w:color="auto"/>
            </w:tcBorders>
            <w:vAlign w:val="bottom"/>
          </w:tcPr>
          <w:p w:rsidR="001844F8" w:rsidRPr="001844F8" w:rsidRDefault="001844F8" w:rsidP="001844F8">
            <w:pPr>
              <w:pStyle w:val="Body"/>
              <w:rPr>
                <w:rFonts w:ascii="Arial" w:hAnsi="Arial" w:cs="Arial"/>
                <w:lang w:val="id-ID"/>
              </w:rPr>
            </w:pPr>
            <w:r w:rsidRPr="001844F8">
              <w:rPr>
                <w:rFonts w:ascii="Arial" w:hAnsi="Arial" w:cs="Arial"/>
                <w:lang w:val="id-ID"/>
              </w:rPr>
              <w:t>36.3%</w:t>
            </w:r>
          </w:p>
        </w:tc>
      </w:tr>
      <w:tr w:rsidR="001844F8" w:rsidRPr="001844F8" w:rsidTr="006E664E">
        <w:tc>
          <w:tcPr>
            <w:tcW w:w="2794" w:type="dxa"/>
            <w:vAlign w:val="center"/>
          </w:tcPr>
          <w:p w:rsidR="001844F8" w:rsidRPr="001844F8" w:rsidRDefault="001844F8" w:rsidP="001844F8">
            <w:pPr>
              <w:pStyle w:val="Body"/>
              <w:rPr>
                <w:rFonts w:ascii="Arial" w:hAnsi="Arial" w:cs="Arial"/>
                <w:lang w:val="id-ID"/>
              </w:rPr>
            </w:pPr>
            <w:r w:rsidRPr="001844F8">
              <w:rPr>
                <w:rFonts w:ascii="Arial" w:hAnsi="Arial" w:cs="Arial"/>
                <w:lang w:val="id-ID"/>
              </w:rPr>
              <w:lastRenderedPageBreak/>
              <w:t>26 – 30 Years</w:t>
            </w:r>
          </w:p>
        </w:tc>
        <w:tc>
          <w:tcPr>
            <w:tcW w:w="2372" w:type="dxa"/>
            <w:vAlign w:val="bottom"/>
          </w:tcPr>
          <w:p w:rsidR="001844F8" w:rsidRPr="001844F8" w:rsidRDefault="001844F8" w:rsidP="001844F8">
            <w:pPr>
              <w:pStyle w:val="Body"/>
              <w:rPr>
                <w:rFonts w:ascii="Arial" w:hAnsi="Arial" w:cs="Arial"/>
                <w:lang w:val="id-ID"/>
              </w:rPr>
            </w:pPr>
            <w:r w:rsidRPr="001844F8">
              <w:rPr>
                <w:rFonts w:ascii="Arial" w:hAnsi="Arial" w:cs="Arial"/>
                <w:lang w:val="id-ID"/>
              </w:rPr>
              <w:t>32</w:t>
            </w:r>
          </w:p>
        </w:tc>
        <w:tc>
          <w:tcPr>
            <w:tcW w:w="2379" w:type="dxa"/>
            <w:vAlign w:val="bottom"/>
          </w:tcPr>
          <w:p w:rsidR="001844F8" w:rsidRPr="001844F8" w:rsidRDefault="001844F8" w:rsidP="001844F8">
            <w:pPr>
              <w:pStyle w:val="Body"/>
              <w:rPr>
                <w:rFonts w:ascii="Arial" w:hAnsi="Arial" w:cs="Arial"/>
                <w:lang w:val="id-ID"/>
              </w:rPr>
            </w:pPr>
            <w:r w:rsidRPr="001844F8">
              <w:rPr>
                <w:rFonts w:ascii="Arial" w:hAnsi="Arial" w:cs="Arial"/>
                <w:lang w:val="id-ID"/>
              </w:rPr>
              <w:t>23.7%</w:t>
            </w:r>
          </w:p>
        </w:tc>
      </w:tr>
      <w:tr w:rsidR="001844F8" w:rsidRPr="001844F8" w:rsidTr="006E664E">
        <w:tc>
          <w:tcPr>
            <w:tcW w:w="2794" w:type="dxa"/>
            <w:vAlign w:val="center"/>
          </w:tcPr>
          <w:p w:rsidR="001844F8" w:rsidRPr="001844F8" w:rsidRDefault="001844F8" w:rsidP="001844F8">
            <w:pPr>
              <w:pStyle w:val="Body"/>
              <w:rPr>
                <w:rFonts w:ascii="Arial" w:hAnsi="Arial" w:cs="Arial"/>
                <w:lang w:val="id-ID"/>
              </w:rPr>
            </w:pPr>
            <w:r w:rsidRPr="001844F8">
              <w:rPr>
                <w:rFonts w:ascii="Arial" w:hAnsi="Arial" w:cs="Arial"/>
                <w:lang w:val="id-ID"/>
              </w:rPr>
              <w:t>31- 35 Years</w:t>
            </w:r>
          </w:p>
        </w:tc>
        <w:tc>
          <w:tcPr>
            <w:tcW w:w="2372" w:type="dxa"/>
            <w:vAlign w:val="bottom"/>
          </w:tcPr>
          <w:p w:rsidR="001844F8" w:rsidRPr="001844F8" w:rsidRDefault="001844F8" w:rsidP="001844F8">
            <w:pPr>
              <w:pStyle w:val="Body"/>
              <w:rPr>
                <w:rFonts w:ascii="Arial" w:hAnsi="Arial" w:cs="Arial"/>
                <w:lang w:val="id-ID"/>
              </w:rPr>
            </w:pPr>
            <w:r w:rsidRPr="001844F8">
              <w:rPr>
                <w:rFonts w:ascii="Arial" w:hAnsi="Arial" w:cs="Arial"/>
                <w:lang w:val="id-ID"/>
              </w:rPr>
              <w:t>30</w:t>
            </w:r>
          </w:p>
        </w:tc>
        <w:tc>
          <w:tcPr>
            <w:tcW w:w="2379" w:type="dxa"/>
            <w:vAlign w:val="bottom"/>
          </w:tcPr>
          <w:p w:rsidR="001844F8" w:rsidRPr="001844F8" w:rsidRDefault="001844F8" w:rsidP="001844F8">
            <w:pPr>
              <w:pStyle w:val="Body"/>
              <w:rPr>
                <w:rFonts w:ascii="Arial" w:hAnsi="Arial" w:cs="Arial"/>
                <w:lang w:val="id-ID"/>
              </w:rPr>
            </w:pPr>
            <w:r w:rsidRPr="001844F8">
              <w:rPr>
                <w:rFonts w:ascii="Arial" w:hAnsi="Arial" w:cs="Arial"/>
                <w:lang w:val="id-ID"/>
              </w:rPr>
              <w:t>22.2%</w:t>
            </w:r>
          </w:p>
        </w:tc>
      </w:tr>
      <w:tr w:rsidR="001844F8" w:rsidRPr="001844F8" w:rsidTr="006E664E">
        <w:tc>
          <w:tcPr>
            <w:tcW w:w="2794" w:type="dxa"/>
            <w:tcBorders>
              <w:bottom w:val="single" w:sz="4" w:space="0" w:color="auto"/>
            </w:tcBorders>
            <w:vAlign w:val="center"/>
          </w:tcPr>
          <w:p w:rsidR="001844F8" w:rsidRPr="001844F8" w:rsidRDefault="001844F8" w:rsidP="001844F8">
            <w:pPr>
              <w:pStyle w:val="Body"/>
              <w:rPr>
                <w:rFonts w:ascii="Arial" w:hAnsi="Arial" w:cs="Arial"/>
                <w:lang w:val="id-ID"/>
              </w:rPr>
            </w:pPr>
            <w:r w:rsidRPr="001844F8">
              <w:rPr>
                <w:rFonts w:ascii="Arial" w:hAnsi="Arial" w:cs="Arial"/>
                <w:lang w:val="id-ID"/>
              </w:rPr>
              <w:t>&gt; 36 Years</w:t>
            </w:r>
          </w:p>
        </w:tc>
        <w:tc>
          <w:tcPr>
            <w:tcW w:w="2372" w:type="dxa"/>
            <w:tcBorders>
              <w:bottom w:val="single" w:sz="4" w:space="0" w:color="auto"/>
            </w:tcBorders>
            <w:vAlign w:val="bottom"/>
          </w:tcPr>
          <w:p w:rsidR="001844F8" w:rsidRPr="001844F8" w:rsidRDefault="001844F8" w:rsidP="001844F8">
            <w:pPr>
              <w:pStyle w:val="Body"/>
              <w:rPr>
                <w:rFonts w:ascii="Arial" w:hAnsi="Arial" w:cs="Arial"/>
                <w:lang w:val="id-ID"/>
              </w:rPr>
            </w:pPr>
            <w:r w:rsidRPr="001844F8">
              <w:rPr>
                <w:rFonts w:ascii="Arial" w:hAnsi="Arial" w:cs="Arial"/>
                <w:lang w:val="id-ID"/>
              </w:rPr>
              <w:t>24</w:t>
            </w:r>
          </w:p>
        </w:tc>
        <w:tc>
          <w:tcPr>
            <w:tcW w:w="2379" w:type="dxa"/>
            <w:tcBorders>
              <w:bottom w:val="single" w:sz="4" w:space="0" w:color="auto"/>
            </w:tcBorders>
            <w:vAlign w:val="bottom"/>
          </w:tcPr>
          <w:p w:rsidR="001844F8" w:rsidRPr="001844F8" w:rsidRDefault="001844F8" w:rsidP="001844F8">
            <w:pPr>
              <w:pStyle w:val="Body"/>
              <w:rPr>
                <w:rFonts w:ascii="Arial" w:hAnsi="Arial" w:cs="Arial"/>
                <w:lang w:val="id-ID"/>
              </w:rPr>
            </w:pPr>
            <w:r w:rsidRPr="001844F8">
              <w:rPr>
                <w:rFonts w:ascii="Arial" w:hAnsi="Arial" w:cs="Arial"/>
                <w:lang w:val="id-ID"/>
              </w:rPr>
              <w:t>17.8%</w:t>
            </w:r>
          </w:p>
        </w:tc>
      </w:tr>
      <w:tr w:rsidR="001844F8" w:rsidRPr="001844F8" w:rsidTr="006E664E">
        <w:tc>
          <w:tcPr>
            <w:tcW w:w="2794" w:type="dxa"/>
            <w:tcBorders>
              <w:top w:val="single" w:sz="4" w:space="0" w:color="auto"/>
              <w:bottom w:val="single" w:sz="4" w:space="0" w:color="auto"/>
            </w:tcBorders>
            <w:vAlign w:val="center"/>
          </w:tcPr>
          <w:p w:rsidR="001844F8" w:rsidRPr="001844F8" w:rsidRDefault="001844F8" w:rsidP="001844F8">
            <w:pPr>
              <w:pStyle w:val="Body"/>
              <w:rPr>
                <w:rFonts w:ascii="Arial" w:hAnsi="Arial" w:cs="Arial"/>
                <w:b/>
                <w:lang w:val="id-ID"/>
              </w:rPr>
            </w:pPr>
            <w:r w:rsidRPr="001844F8">
              <w:rPr>
                <w:rFonts w:ascii="Arial" w:hAnsi="Arial" w:cs="Arial"/>
                <w:b/>
                <w:lang w:val="id-ID"/>
              </w:rPr>
              <w:t>Total</w:t>
            </w:r>
          </w:p>
        </w:tc>
        <w:tc>
          <w:tcPr>
            <w:tcW w:w="2372" w:type="dxa"/>
            <w:tcBorders>
              <w:top w:val="single" w:sz="4" w:space="0" w:color="auto"/>
              <w:bottom w:val="single" w:sz="4" w:space="0" w:color="auto"/>
            </w:tcBorders>
            <w:vAlign w:val="center"/>
          </w:tcPr>
          <w:p w:rsidR="001844F8" w:rsidRPr="001844F8" w:rsidRDefault="001844F8" w:rsidP="001844F8">
            <w:pPr>
              <w:pStyle w:val="Body"/>
              <w:rPr>
                <w:rFonts w:ascii="Arial" w:hAnsi="Arial" w:cs="Arial"/>
                <w:b/>
                <w:lang w:val="id-ID"/>
              </w:rPr>
            </w:pPr>
            <w:r w:rsidRPr="001844F8">
              <w:rPr>
                <w:rFonts w:ascii="Arial" w:hAnsi="Arial" w:cs="Arial"/>
                <w:b/>
                <w:lang w:val="id-ID"/>
              </w:rPr>
              <w:t>135</w:t>
            </w:r>
          </w:p>
        </w:tc>
        <w:tc>
          <w:tcPr>
            <w:tcW w:w="2379" w:type="dxa"/>
            <w:tcBorders>
              <w:top w:val="single" w:sz="4" w:space="0" w:color="auto"/>
              <w:bottom w:val="single" w:sz="4" w:space="0" w:color="auto"/>
            </w:tcBorders>
            <w:vAlign w:val="center"/>
          </w:tcPr>
          <w:p w:rsidR="001844F8" w:rsidRPr="001844F8" w:rsidRDefault="001844F8" w:rsidP="001844F8">
            <w:pPr>
              <w:pStyle w:val="Body"/>
              <w:rPr>
                <w:rFonts w:ascii="Arial" w:hAnsi="Arial" w:cs="Arial"/>
                <w:b/>
                <w:lang w:val="id-ID"/>
              </w:rPr>
            </w:pPr>
            <w:r w:rsidRPr="001844F8">
              <w:rPr>
                <w:rFonts w:ascii="Arial" w:hAnsi="Arial" w:cs="Arial"/>
                <w:b/>
                <w:lang w:val="id-ID"/>
              </w:rPr>
              <w:t>100%</w:t>
            </w:r>
          </w:p>
        </w:tc>
      </w:tr>
    </w:tbl>
    <w:p w:rsidR="001844F8" w:rsidRPr="001844F8" w:rsidRDefault="001844F8" w:rsidP="001844F8">
      <w:pPr>
        <w:pStyle w:val="Body"/>
        <w:rPr>
          <w:rFonts w:ascii="Arial" w:hAnsi="Arial" w:cs="Arial"/>
          <w:b/>
          <w:bCs/>
          <w:lang w:val="sv-SE"/>
        </w:rPr>
      </w:pPr>
      <w:r w:rsidRPr="001844F8">
        <w:rPr>
          <w:rFonts w:ascii="Arial" w:hAnsi="Arial" w:cs="Arial"/>
          <w:b/>
          <w:bCs/>
          <w:lang w:val="sv-SE"/>
        </w:rPr>
        <w:t>Source: Test Data, 2024.</w:t>
      </w:r>
    </w:p>
    <w:p w:rsidR="001844F8" w:rsidRPr="001844F8" w:rsidRDefault="001844F8" w:rsidP="001844F8">
      <w:pPr>
        <w:pStyle w:val="Body"/>
        <w:rPr>
          <w:rFonts w:ascii="Arial" w:hAnsi="Arial" w:cs="Arial"/>
          <w:b/>
          <w:bCs/>
          <w:lang w:val="sv-SE"/>
        </w:rPr>
      </w:pPr>
      <w:r w:rsidRPr="001844F8">
        <w:rPr>
          <w:rFonts w:ascii="Arial" w:hAnsi="Arial" w:cs="Arial"/>
          <w:lang w:val="sv-SE"/>
        </w:rPr>
        <w:t>From tables 3 and 4, data was obtained for 135 respondents with composition based on gender, namely 70 respondents or 51.85% were male and 65 respondents or 48.15% were female. Respondents were also divided into four age categories, namely 17-25 years old, 26-30 years old, 31-35 years old, and over 36 years old. Of the 135 respondents obtained, the composition of respondents based on age was explained as follows: 49 respondents or 36.3% were aged 17-25 years, 32 respondents or23.7%aged 26-30 years, 30 respondents or22.2%aged 31-35 years and aged over 36 years there were 24 respondents or 17.8%.</w:t>
      </w:r>
    </w:p>
    <w:p w:rsidR="001844F8" w:rsidRPr="001844F8" w:rsidRDefault="001844F8" w:rsidP="007418CF">
      <w:pPr>
        <w:pStyle w:val="Body"/>
        <w:numPr>
          <w:ilvl w:val="0"/>
          <w:numId w:val="10"/>
        </w:numPr>
        <w:rPr>
          <w:rFonts w:ascii="Arial" w:hAnsi="Arial" w:cs="Arial"/>
          <w:b/>
          <w:bCs/>
        </w:rPr>
      </w:pPr>
      <w:bookmarkStart w:id="45" w:name="_Toc147830037"/>
      <w:bookmarkStart w:id="46" w:name="_Toc147830259"/>
      <w:bookmarkStart w:id="47" w:name="_Toc154134769"/>
      <w:bookmarkStart w:id="48" w:name="_Toc154135210"/>
      <w:bookmarkStart w:id="49" w:name="_Toc154135461"/>
      <w:bookmarkStart w:id="50" w:name="_Toc159492670"/>
      <w:r w:rsidRPr="001844F8">
        <w:rPr>
          <w:rFonts w:ascii="Arial" w:hAnsi="Arial" w:cs="Arial"/>
          <w:b/>
          <w:bCs/>
        </w:rPr>
        <w:t>Path Diagram Construction Results and Mathematical Conversion</w:t>
      </w:r>
      <w:bookmarkEnd w:id="45"/>
      <w:bookmarkEnd w:id="46"/>
      <w:bookmarkEnd w:id="47"/>
      <w:bookmarkEnd w:id="48"/>
      <w:bookmarkEnd w:id="49"/>
      <w:bookmarkEnd w:id="50"/>
    </w:p>
    <w:p w:rsidR="001844F8" w:rsidRPr="001844F8" w:rsidRDefault="001844F8" w:rsidP="001844F8">
      <w:pPr>
        <w:pStyle w:val="Body"/>
        <w:rPr>
          <w:rFonts w:ascii="Arial" w:hAnsi="Arial" w:cs="Arial"/>
        </w:rPr>
      </w:pPr>
      <w:r w:rsidRPr="001844F8">
        <w:rPr>
          <w:rFonts w:ascii="Arial" w:hAnsi="Arial" w:cs="Arial"/>
        </w:rPr>
        <w:t>The results of the Path Diagram Construction and Mathematical Conversion of research variables consisting of Exogenous variables and Endogenous variables are conceptualized into the research model, as follows.</w:t>
      </w:r>
    </w:p>
    <w:p w:rsidR="001844F8" w:rsidRPr="001844F8" w:rsidRDefault="001844F8" w:rsidP="001844F8">
      <w:pPr>
        <w:pStyle w:val="Body"/>
        <w:rPr>
          <w:rFonts w:ascii="Arial" w:hAnsi="Arial" w:cs="Arial"/>
          <w:lang w:val="de-DE"/>
        </w:rPr>
      </w:pPr>
      <w:r w:rsidRPr="001844F8">
        <w:rPr>
          <w:rFonts w:ascii="Arial" w:hAnsi="Arial" w:cs="Arial"/>
          <w:noProof/>
        </w:rPr>
        <w:drawing>
          <wp:inline distT="0" distB="0" distL="0" distR="0" wp14:anchorId="26E121B6" wp14:editId="25D7050E">
            <wp:extent cx="3601566" cy="2674062"/>
            <wp:effectExtent l="0" t="0" r="0" b="0"/>
            <wp:docPr id="438480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480902" name=""/>
                    <pic:cNvPicPr/>
                  </pic:nvPicPr>
                  <pic:blipFill>
                    <a:blip r:embed="rId16"/>
                    <a:stretch>
                      <a:fillRect/>
                    </a:stretch>
                  </pic:blipFill>
                  <pic:spPr>
                    <a:xfrm>
                      <a:off x="0" y="0"/>
                      <a:ext cx="3614205" cy="2683446"/>
                    </a:xfrm>
                    <a:prstGeom prst="rect">
                      <a:avLst/>
                    </a:prstGeom>
                  </pic:spPr>
                </pic:pic>
              </a:graphicData>
            </a:graphic>
          </wp:inline>
        </w:drawing>
      </w:r>
    </w:p>
    <w:p w:rsidR="001844F8" w:rsidRPr="001844F8" w:rsidRDefault="001844F8" w:rsidP="001844F8">
      <w:pPr>
        <w:pStyle w:val="Body"/>
        <w:rPr>
          <w:rFonts w:ascii="Arial" w:hAnsi="Arial" w:cs="Arial"/>
        </w:rPr>
      </w:pPr>
      <w:r w:rsidRPr="001844F8">
        <w:rPr>
          <w:rFonts w:ascii="Arial" w:hAnsi="Arial" w:cs="Arial"/>
          <w:b/>
          <w:bCs/>
        </w:rPr>
        <w:t xml:space="preserve">Figure 2. </w:t>
      </w:r>
      <w:r w:rsidRPr="001844F8">
        <w:rPr>
          <w:rFonts w:ascii="Arial" w:hAnsi="Arial" w:cs="Arial"/>
        </w:rPr>
        <w:t>Research Structural Model</w:t>
      </w:r>
    </w:p>
    <w:p w:rsidR="001844F8" w:rsidRPr="001844F8" w:rsidRDefault="001844F8" w:rsidP="001844F8">
      <w:pPr>
        <w:pStyle w:val="Body"/>
        <w:rPr>
          <w:rFonts w:ascii="Arial" w:hAnsi="Arial" w:cs="Arial"/>
        </w:rPr>
      </w:pPr>
      <w:r w:rsidRPr="001844F8">
        <w:rPr>
          <w:rFonts w:ascii="Arial" w:hAnsi="Arial" w:cs="Arial"/>
        </w:rPr>
        <w:t>This model describes the relationship between exogenous variables, namely personality traits, financial knowledge, and subjective norms, and endogenous variables, namely financial self-efficacy, financial attitude, and investment intentions. Based on the path diagram construct above</w:t>
      </w:r>
      <w:r w:rsidRPr="00FB0D9B">
        <w:rPr>
          <w:rFonts w:ascii="Arial" w:hAnsi="Arial" w:cs="Arial"/>
          <w:highlight w:val="yellow"/>
        </w:rPr>
        <w:t>, chan</w:t>
      </w:r>
      <w:r w:rsidRPr="001844F8">
        <w:rPr>
          <w:rFonts w:ascii="Arial" w:hAnsi="Arial" w:cs="Arial"/>
        </w:rPr>
        <w:t>ge the path diagram into a structural equation and measurement model. The structural equations of this path diagram model are expressed in 3 groups as follows:</w:t>
      </w:r>
    </w:p>
    <w:p w:rsidR="001844F8" w:rsidRPr="001844F8" w:rsidRDefault="001844F8" w:rsidP="007418CF">
      <w:pPr>
        <w:pStyle w:val="Body"/>
        <w:numPr>
          <w:ilvl w:val="0"/>
          <w:numId w:val="8"/>
        </w:numPr>
        <w:rPr>
          <w:rFonts w:ascii="Arial" w:hAnsi="Arial" w:cs="Arial"/>
        </w:rPr>
      </w:pPr>
      <w:r w:rsidRPr="001844F8">
        <w:rPr>
          <w:rFonts w:ascii="Arial" w:hAnsi="Arial" w:cs="Arial"/>
        </w:rPr>
        <w:lastRenderedPageBreak/>
        <w:t>Group 1 describes the Variables</w:t>
      </w:r>
    </w:p>
    <w:p w:rsidR="001844F8" w:rsidRPr="001844F8" w:rsidRDefault="001844F8" w:rsidP="001844F8">
      <w:pPr>
        <w:pStyle w:val="Body"/>
        <w:rPr>
          <w:rFonts w:ascii="Arial" w:hAnsi="Arial" w:cs="Arial"/>
          <w:vertAlign w:val="subscript"/>
        </w:rPr>
      </w:pPr>
      <w:r w:rsidRPr="001844F8">
        <w:rPr>
          <w:rFonts w:ascii="Arial" w:hAnsi="Arial" w:cs="Arial"/>
        </w:rPr>
        <w:t>FSE = β1 PT + z1</w:t>
      </w:r>
    </w:p>
    <w:p w:rsidR="001844F8" w:rsidRPr="001844F8" w:rsidRDefault="001844F8" w:rsidP="007418CF">
      <w:pPr>
        <w:pStyle w:val="Body"/>
        <w:numPr>
          <w:ilvl w:val="0"/>
          <w:numId w:val="8"/>
        </w:numPr>
        <w:rPr>
          <w:rFonts w:ascii="Arial" w:hAnsi="Arial" w:cs="Arial"/>
        </w:rPr>
      </w:pPr>
      <w:r w:rsidRPr="001844F8">
        <w:rPr>
          <w:rFonts w:ascii="Arial" w:hAnsi="Arial" w:cs="Arial"/>
        </w:rPr>
        <w:t>Group 2 describes the Variables</w:t>
      </w:r>
    </w:p>
    <w:p w:rsidR="001844F8" w:rsidRPr="001844F8" w:rsidRDefault="001844F8" w:rsidP="001844F8">
      <w:pPr>
        <w:pStyle w:val="Body"/>
        <w:rPr>
          <w:rFonts w:ascii="Arial" w:hAnsi="Arial" w:cs="Arial"/>
          <w:vertAlign w:val="subscript"/>
        </w:rPr>
      </w:pPr>
      <w:r w:rsidRPr="001844F8">
        <w:rPr>
          <w:rFonts w:ascii="Arial" w:hAnsi="Arial" w:cs="Arial"/>
        </w:rPr>
        <w:t>NI = β1 PT + β1 FSE + β1 NS + β1 FK + β1 FA + z2</w:t>
      </w:r>
    </w:p>
    <w:p w:rsidR="001844F8" w:rsidRPr="001844F8" w:rsidRDefault="001844F8" w:rsidP="007418CF">
      <w:pPr>
        <w:pStyle w:val="Body"/>
        <w:numPr>
          <w:ilvl w:val="0"/>
          <w:numId w:val="8"/>
        </w:numPr>
        <w:rPr>
          <w:rFonts w:ascii="Arial" w:hAnsi="Arial" w:cs="Arial"/>
        </w:rPr>
      </w:pPr>
      <w:r w:rsidRPr="001844F8">
        <w:rPr>
          <w:rFonts w:ascii="Arial" w:hAnsi="Arial" w:cs="Arial"/>
        </w:rPr>
        <w:t>Group 3 describes the Variables</w:t>
      </w:r>
    </w:p>
    <w:p w:rsidR="001844F8" w:rsidRPr="001844F8" w:rsidRDefault="001844F8" w:rsidP="001844F8">
      <w:pPr>
        <w:pStyle w:val="Body"/>
        <w:rPr>
          <w:rFonts w:ascii="Arial" w:hAnsi="Arial" w:cs="Arial"/>
          <w:vertAlign w:val="subscript"/>
        </w:rPr>
      </w:pPr>
      <w:r w:rsidRPr="001844F8">
        <w:rPr>
          <w:rFonts w:ascii="Arial" w:hAnsi="Arial" w:cs="Arial"/>
        </w:rPr>
        <w:t>FA = β1 FK + z3</w:t>
      </w:r>
    </w:p>
    <w:p w:rsidR="001844F8" w:rsidRPr="001844F8" w:rsidRDefault="001844F8" w:rsidP="001844F8">
      <w:pPr>
        <w:pStyle w:val="Body"/>
        <w:rPr>
          <w:rFonts w:ascii="Arial" w:hAnsi="Arial" w:cs="Arial"/>
        </w:rPr>
      </w:pPr>
      <w:r w:rsidRPr="001844F8">
        <w:rPr>
          <w:rFonts w:ascii="Arial" w:hAnsi="Arial" w:cs="Arial"/>
        </w:rPr>
        <w:t>Information:</w:t>
      </w:r>
    </w:p>
    <w:p w:rsidR="001844F8" w:rsidRPr="001844F8" w:rsidRDefault="001844F8" w:rsidP="007418CF">
      <w:pPr>
        <w:pStyle w:val="Body"/>
        <w:numPr>
          <w:ilvl w:val="0"/>
          <w:numId w:val="7"/>
        </w:numPr>
        <w:rPr>
          <w:rFonts w:ascii="Arial" w:hAnsi="Arial" w:cs="Arial"/>
        </w:rPr>
      </w:pPr>
      <w:r w:rsidRPr="001844F8">
        <w:rPr>
          <w:rFonts w:ascii="Arial" w:hAnsi="Arial" w:cs="Arial"/>
        </w:rPr>
        <w:t>NI</w:t>
      </w:r>
      <w:r w:rsidRPr="001844F8">
        <w:rPr>
          <w:rFonts w:ascii="Arial" w:hAnsi="Arial" w:cs="Arial"/>
        </w:rPr>
        <w:tab/>
        <w:t>= Investment Intention</w:t>
      </w:r>
    </w:p>
    <w:p w:rsidR="001844F8" w:rsidRPr="001844F8" w:rsidRDefault="001844F8" w:rsidP="007418CF">
      <w:pPr>
        <w:pStyle w:val="Body"/>
        <w:numPr>
          <w:ilvl w:val="0"/>
          <w:numId w:val="7"/>
        </w:numPr>
        <w:rPr>
          <w:rFonts w:ascii="Arial" w:hAnsi="Arial" w:cs="Arial"/>
        </w:rPr>
      </w:pPr>
      <w:r w:rsidRPr="001844F8">
        <w:rPr>
          <w:rFonts w:ascii="Arial" w:hAnsi="Arial" w:cs="Arial"/>
        </w:rPr>
        <w:t>PT</w:t>
      </w:r>
      <w:r w:rsidRPr="001844F8">
        <w:rPr>
          <w:rFonts w:ascii="Arial" w:hAnsi="Arial" w:cs="Arial"/>
        </w:rPr>
        <w:tab/>
        <w:t>=</w:t>
      </w:r>
      <w:r w:rsidRPr="001844F8">
        <w:rPr>
          <w:rFonts w:ascii="Arial" w:hAnsi="Arial" w:cs="Arial"/>
          <w:i/>
          <w:iCs/>
        </w:rPr>
        <w:t>Personality Traits</w:t>
      </w:r>
    </w:p>
    <w:p w:rsidR="001844F8" w:rsidRPr="001844F8" w:rsidRDefault="001844F8" w:rsidP="007418CF">
      <w:pPr>
        <w:pStyle w:val="Body"/>
        <w:numPr>
          <w:ilvl w:val="0"/>
          <w:numId w:val="7"/>
        </w:numPr>
        <w:rPr>
          <w:rFonts w:ascii="Arial" w:hAnsi="Arial" w:cs="Arial"/>
        </w:rPr>
      </w:pPr>
      <w:r w:rsidRPr="001844F8">
        <w:rPr>
          <w:rFonts w:ascii="Arial" w:hAnsi="Arial" w:cs="Arial"/>
        </w:rPr>
        <w:t>FSE</w:t>
      </w:r>
      <w:r w:rsidRPr="001844F8">
        <w:rPr>
          <w:rFonts w:ascii="Arial" w:hAnsi="Arial" w:cs="Arial"/>
        </w:rPr>
        <w:tab/>
        <w:t>=</w:t>
      </w:r>
      <w:r w:rsidRPr="001844F8">
        <w:rPr>
          <w:rFonts w:ascii="Arial" w:hAnsi="Arial" w:cs="Arial"/>
          <w:i/>
          <w:iCs/>
        </w:rPr>
        <w:t>Financial self-efficacy</w:t>
      </w:r>
    </w:p>
    <w:p w:rsidR="001844F8" w:rsidRPr="001844F8" w:rsidRDefault="001844F8" w:rsidP="007418CF">
      <w:pPr>
        <w:pStyle w:val="Body"/>
        <w:numPr>
          <w:ilvl w:val="0"/>
          <w:numId w:val="7"/>
        </w:numPr>
        <w:rPr>
          <w:rFonts w:ascii="Arial" w:hAnsi="Arial" w:cs="Arial"/>
        </w:rPr>
      </w:pPr>
      <w:r w:rsidRPr="001844F8">
        <w:rPr>
          <w:rFonts w:ascii="Arial" w:hAnsi="Arial" w:cs="Arial"/>
        </w:rPr>
        <w:t>NS</w:t>
      </w:r>
      <w:r w:rsidRPr="001844F8">
        <w:rPr>
          <w:rFonts w:ascii="Arial" w:hAnsi="Arial" w:cs="Arial"/>
        </w:rPr>
        <w:tab/>
        <w:t>= Norm Subjective</w:t>
      </w:r>
    </w:p>
    <w:p w:rsidR="001844F8" w:rsidRPr="001844F8" w:rsidRDefault="001844F8" w:rsidP="007418CF">
      <w:pPr>
        <w:pStyle w:val="Body"/>
        <w:numPr>
          <w:ilvl w:val="0"/>
          <w:numId w:val="7"/>
        </w:numPr>
        <w:rPr>
          <w:rFonts w:ascii="Arial" w:hAnsi="Arial" w:cs="Arial"/>
        </w:rPr>
      </w:pPr>
      <w:r w:rsidRPr="001844F8">
        <w:rPr>
          <w:rFonts w:ascii="Arial" w:hAnsi="Arial" w:cs="Arial"/>
        </w:rPr>
        <w:t>FK</w:t>
      </w:r>
      <w:r w:rsidRPr="001844F8">
        <w:rPr>
          <w:rFonts w:ascii="Arial" w:hAnsi="Arial" w:cs="Arial"/>
        </w:rPr>
        <w:tab/>
        <w:t>=</w:t>
      </w:r>
      <w:r w:rsidRPr="001844F8">
        <w:rPr>
          <w:rFonts w:ascii="Arial" w:hAnsi="Arial" w:cs="Arial"/>
          <w:i/>
          <w:iCs/>
        </w:rPr>
        <w:t>Financial Knowledge</w:t>
      </w:r>
    </w:p>
    <w:p w:rsidR="001844F8" w:rsidRPr="001844F8" w:rsidRDefault="001844F8" w:rsidP="007418CF">
      <w:pPr>
        <w:pStyle w:val="Body"/>
        <w:numPr>
          <w:ilvl w:val="0"/>
          <w:numId w:val="7"/>
        </w:numPr>
        <w:rPr>
          <w:rFonts w:ascii="Arial" w:hAnsi="Arial" w:cs="Arial"/>
        </w:rPr>
      </w:pPr>
      <w:proofErr w:type="gramStart"/>
      <w:r w:rsidRPr="001844F8">
        <w:rPr>
          <w:rFonts w:ascii="Arial" w:hAnsi="Arial" w:cs="Arial"/>
        </w:rPr>
        <w:t>F.A</w:t>
      </w:r>
      <w:proofErr w:type="gramEnd"/>
      <w:r w:rsidRPr="001844F8">
        <w:rPr>
          <w:rFonts w:ascii="Arial" w:hAnsi="Arial" w:cs="Arial"/>
        </w:rPr>
        <w:tab/>
        <w:t>=</w:t>
      </w:r>
      <w:r w:rsidRPr="001844F8">
        <w:rPr>
          <w:rFonts w:ascii="Arial" w:hAnsi="Arial" w:cs="Arial"/>
          <w:i/>
          <w:iCs/>
        </w:rPr>
        <w:t>Financial Attitude</w:t>
      </w:r>
    </w:p>
    <w:p w:rsidR="001844F8" w:rsidRPr="001844F8" w:rsidRDefault="001844F8" w:rsidP="007418CF">
      <w:pPr>
        <w:pStyle w:val="Body"/>
        <w:numPr>
          <w:ilvl w:val="0"/>
          <w:numId w:val="7"/>
        </w:numPr>
        <w:rPr>
          <w:rFonts w:ascii="Arial" w:hAnsi="Arial" w:cs="Arial"/>
        </w:rPr>
      </w:pPr>
      <w:r w:rsidRPr="001844F8">
        <w:rPr>
          <w:rFonts w:ascii="Arial" w:hAnsi="Arial" w:cs="Arial"/>
        </w:rPr>
        <w:t>z1,2,3</w:t>
      </w:r>
      <w:r w:rsidRPr="001844F8">
        <w:rPr>
          <w:rFonts w:ascii="Arial" w:hAnsi="Arial" w:cs="Arial"/>
        </w:rPr>
        <w:tab/>
        <w:t>=</w:t>
      </w:r>
      <w:r w:rsidRPr="001844F8">
        <w:rPr>
          <w:rFonts w:ascii="Arial" w:hAnsi="Arial" w:cs="Arial"/>
          <w:i/>
          <w:iCs/>
        </w:rPr>
        <w:t>Error</w:t>
      </w:r>
    </w:p>
    <w:p w:rsidR="001844F8" w:rsidRPr="001844F8" w:rsidRDefault="001844F8" w:rsidP="001844F8">
      <w:pPr>
        <w:pStyle w:val="Body"/>
        <w:rPr>
          <w:rFonts w:ascii="Arial" w:hAnsi="Arial" w:cs="Arial"/>
        </w:rPr>
      </w:pPr>
      <w:r w:rsidRPr="001844F8">
        <w:rPr>
          <w:rFonts w:ascii="Arial" w:hAnsi="Arial" w:cs="Arial"/>
        </w:rPr>
        <w:t>Meanwhile, the specifications for the measurement model are as follows:</w:t>
      </w:r>
    </w:p>
    <w:p w:rsidR="001844F8" w:rsidRPr="001844F8" w:rsidRDefault="001844F8" w:rsidP="007418CF">
      <w:pPr>
        <w:pStyle w:val="Body"/>
        <w:numPr>
          <w:ilvl w:val="0"/>
          <w:numId w:val="9"/>
        </w:numPr>
        <w:rPr>
          <w:rFonts w:ascii="Arial" w:hAnsi="Arial" w:cs="Arial"/>
        </w:rPr>
      </w:pPr>
      <w:r w:rsidRPr="001844F8">
        <w:rPr>
          <w:rFonts w:ascii="Arial" w:hAnsi="Arial" w:cs="Arial"/>
        </w:rPr>
        <w:t>The Exogenous Construct of Personality Traits</w:t>
      </w:r>
    </w:p>
    <w:p w:rsidR="001844F8" w:rsidRPr="001844F8" w:rsidRDefault="001844F8" w:rsidP="001844F8">
      <w:pPr>
        <w:pStyle w:val="Body"/>
        <w:rPr>
          <w:rFonts w:ascii="Arial" w:hAnsi="Arial" w:cs="Arial"/>
          <w:lang w:val="de-DE"/>
        </w:rPr>
      </w:pPr>
      <w:r w:rsidRPr="001844F8">
        <w:rPr>
          <w:rFonts w:ascii="Arial" w:hAnsi="Arial" w:cs="Arial"/>
          <w:lang w:val="de-DE"/>
        </w:rPr>
        <w:t xml:space="preserve">PT1 = </w:t>
      </w:r>
      <w:r w:rsidRPr="001844F8">
        <w:rPr>
          <w:rFonts w:ascii="Arial" w:hAnsi="Arial" w:cs="Arial"/>
        </w:rPr>
        <w:t>λ</w:t>
      </w:r>
      <w:r w:rsidRPr="001844F8">
        <w:rPr>
          <w:rFonts w:ascii="Arial" w:hAnsi="Arial" w:cs="Arial"/>
          <w:lang w:val="de-DE"/>
        </w:rPr>
        <w:t>1PT + e1</w:t>
      </w:r>
    </w:p>
    <w:p w:rsidR="001844F8" w:rsidRPr="001844F8" w:rsidRDefault="001844F8" w:rsidP="001844F8">
      <w:pPr>
        <w:pStyle w:val="Body"/>
        <w:rPr>
          <w:rFonts w:ascii="Arial" w:hAnsi="Arial" w:cs="Arial"/>
          <w:lang w:val="de-DE"/>
        </w:rPr>
      </w:pPr>
      <w:r w:rsidRPr="001844F8">
        <w:rPr>
          <w:rFonts w:ascii="Arial" w:hAnsi="Arial" w:cs="Arial"/>
          <w:lang w:val="de-DE"/>
        </w:rPr>
        <w:t>PT2 = λ2PT + e2</w:t>
      </w:r>
    </w:p>
    <w:p w:rsidR="001844F8" w:rsidRPr="001844F8" w:rsidRDefault="001844F8" w:rsidP="001844F8">
      <w:pPr>
        <w:pStyle w:val="Body"/>
        <w:rPr>
          <w:rFonts w:ascii="Arial" w:hAnsi="Arial" w:cs="Arial"/>
          <w:lang w:val="de-DE"/>
        </w:rPr>
      </w:pPr>
      <w:r w:rsidRPr="001844F8">
        <w:rPr>
          <w:rFonts w:ascii="Arial" w:hAnsi="Arial" w:cs="Arial"/>
          <w:lang w:val="de-DE"/>
        </w:rPr>
        <w:t>PT3 = λ3PT + e3</w:t>
      </w:r>
    </w:p>
    <w:p w:rsidR="001844F8" w:rsidRPr="001844F8" w:rsidRDefault="001844F8" w:rsidP="001844F8">
      <w:pPr>
        <w:pStyle w:val="Body"/>
        <w:rPr>
          <w:rFonts w:ascii="Arial" w:hAnsi="Arial" w:cs="Arial"/>
          <w:lang w:val="de-DE"/>
        </w:rPr>
      </w:pPr>
      <w:r w:rsidRPr="001844F8">
        <w:rPr>
          <w:rFonts w:ascii="Arial" w:hAnsi="Arial" w:cs="Arial"/>
          <w:lang w:val="de-DE"/>
        </w:rPr>
        <w:t>PT4 = λ4PT + e4</w:t>
      </w:r>
    </w:p>
    <w:p w:rsidR="001844F8" w:rsidRPr="001844F8" w:rsidRDefault="001844F8" w:rsidP="001844F8">
      <w:pPr>
        <w:pStyle w:val="Body"/>
        <w:rPr>
          <w:rFonts w:ascii="Arial" w:hAnsi="Arial" w:cs="Arial"/>
          <w:lang w:val="de-DE"/>
        </w:rPr>
      </w:pPr>
      <w:r w:rsidRPr="001844F8">
        <w:rPr>
          <w:rFonts w:ascii="Arial" w:hAnsi="Arial" w:cs="Arial"/>
          <w:lang w:val="de-DE"/>
        </w:rPr>
        <w:t>PT5 = λ5PT + e5</w:t>
      </w:r>
    </w:p>
    <w:p w:rsidR="001844F8" w:rsidRPr="001844F8" w:rsidRDefault="001844F8" w:rsidP="001844F8">
      <w:pPr>
        <w:pStyle w:val="Body"/>
        <w:rPr>
          <w:rFonts w:ascii="Arial" w:hAnsi="Arial" w:cs="Arial"/>
          <w:lang w:val="de-DE"/>
        </w:rPr>
      </w:pPr>
      <w:r w:rsidRPr="001844F8">
        <w:rPr>
          <w:rFonts w:ascii="Arial" w:hAnsi="Arial" w:cs="Arial"/>
          <w:lang w:val="de-DE"/>
        </w:rPr>
        <w:t>PT6 = λ6PT + e6</w:t>
      </w:r>
    </w:p>
    <w:p w:rsidR="001844F8" w:rsidRPr="001844F8" w:rsidRDefault="001844F8" w:rsidP="007418CF">
      <w:pPr>
        <w:pStyle w:val="Body"/>
        <w:numPr>
          <w:ilvl w:val="0"/>
          <w:numId w:val="9"/>
        </w:numPr>
        <w:rPr>
          <w:rFonts w:ascii="Arial" w:hAnsi="Arial" w:cs="Arial"/>
        </w:rPr>
      </w:pPr>
      <w:r w:rsidRPr="001844F8">
        <w:rPr>
          <w:rFonts w:ascii="Arial" w:hAnsi="Arial" w:cs="Arial"/>
        </w:rPr>
        <w:t>The Exogenous Construct of Subjective Norms</w:t>
      </w:r>
    </w:p>
    <w:p w:rsidR="001844F8" w:rsidRPr="001844F8" w:rsidRDefault="001844F8" w:rsidP="001844F8">
      <w:pPr>
        <w:pStyle w:val="Body"/>
        <w:rPr>
          <w:rFonts w:ascii="Arial" w:hAnsi="Arial" w:cs="Arial"/>
          <w:lang w:val="de-DE"/>
        </w:rPr>
      </w:pPr>
      <w:r w:rsidRPr="001844F8">
        <w:rPr>
          <w:rFonts w:ascii="Arial" w:hAnsi="Arial" w:cs="Arial"/>
          <w:lang w:val="de-DE"/>
        </w:rPr>
        <w:t>NS1 = λ1NS + e7</w:t>
      </w:r>
    </w:p>
    <w:p w:rsidR="001844F8" w:rsidRPr="001844F8" w:rsidRDefault="001844F8" w:rsidP="001844F8">
      <w:pPr>
        <w:pStyle w:val="Body"/>
        <w:rPr>
          <w:rFonts w:ascii="Arial" w:hAnsi="Arial" w:cs="Arial"/>
          <w:lang w:val="de-DE"/>
        </w:rPr>
      </w:pPr>
      <w:r w:rsidRPr="001844F8">
        <w:rPr>
          <w:rFonts w:ascii="Arial" w:hAnsi="Arial" w:cs="Arial"/>
          <w:lang w:val="de-DE"/>
        </w:rPr>
        <w:t>NS2 = λ2NS + e8</w:t>
      </w:r>
    </w:p>
    <w:p w:rsidR="001844F8" w:rsidRPr="001844F8" w:rsidRDefault="001844F8" w:rsidP="001844F8">
      <w:pPr>
        <w:pStyle w:val="Body"/>
        <w:rPr>
          <w:rFonts w:ascii="Arial" w:hAnsi="Arial" w:cs="Arial"/>
          <w:lang w:val="de-DE"/>
        </w:rPr>
      </w:pPr>
      <w:r w:rsidRPr="001844F8">
        <w:rPr>
          <w:rFonts w:ascii="Arial" w:hAnsi="Arial" w:cs="Arial"/>
          <w:lang w:val="de-DE"/>
        </w:rPr>
        <w:t>NS3 = λ3NS + e9</w:t>
      </w:r>
    </w:p>
    <w:p w:rsidR="001844F8" w:rsidRPr="001844F8" w:rsidRDefault="001844F8" w:rsidP="001844F8">
      <w:pPr>
        <w:pStyle w:val="Body"/>
        <w:rPr>
          <w:rFonts w:ascii="Arial" w:hAnsi="Arial" w:cs="Arial"/>
          <w:lang w:val="de-DE"/>
        </w:rPr>
      </w:pPr>
      <w:r w:rsidRPr="001844F8">
        <w:rPr>
          <w:rFonts w:ascii="Arial" w:hAnsi="Arial" w:cs="Arial"/>
          <w:lang w:val="de-DE"/>
        </w:rPr>
        <w:lastRenderedPageBreak/>
        <w:t>NS4 = λ4NS + e10</w:t>
      </w:r>
    </w:p>
    <w:p w:rsidR="001844F8" w:rsidRPr="001844F8" w:rsidRDefault="001844F8" w:rsidP="007418CF">
      <w:pPr>
        <w:pStyle w:val="Body"/>
        <w:numPr>
          <w:ilvl w:val="0"/>
          <w:numId w:val="9"/>
        </w:numPr>
        <w:rPr>
          <w:rFonts w:ascii="Arial" w:hAnsi="Arial" w:cs="Arial"/>
          <w:lang w:val="de-DE"/>
        </w:rPr>
      </w:pPr>
      <w:r w:rsidRPr="001844F8">
        <w:rPr>
          <w:rFonts w:ascii="Arial" w:hAnsi="Arial" w:cs="Arial"/>
          <w:lang w:val="de-DE"/>
        </w:rPr>
        <w:t>Exogenous Construct of Financial Knowledge</w:t>
      </w:r>
    </w:p>
    <w:p w:rsidR="001844F8" w:rsidRPr="001844F8" w:rsidRDefault="001844F8" w:rsidP="001844F8">
      <w:pPr>
        <w:pStyle w:val="Body"/>
        <w:rPr>
          <w:rFonts w:ascii="Arial" w:hAnsi="Arial" w:cs="Arial"/>
          <w:lang w:val="de-DE"/>
        </w:rPr>
      </w:pPr>
      <w:r w:rsidRPr="001844F8">
        <w:rPr>
          <w:rFonts w:ascii="Arial" w:hAnsi="Arial" w:cs="Arial"/>
          <w:lang w:val="de-DE"/>
        </w:rPr>
        <w:t>FK1 = λ1FK + e11</w:t>
      </w:r>
    </w:p>
    <w:p w:rsidR="001844F8" w:rsidRPr="001844F8" w:rsidRDefault="001844F8" w:rsidP="001844F8">
      <w:pPr>
        <w:pStyle w:val="Body"/>
        <w:rPr>
          <w:rFonts w:ascii="Arial" w:hAnsi="Arial" w:cs="Arial"/>
          <w:lang w:val="de-DE"/>
        </w:rPr>
      </w:pPr>
      <w:r w:rsidRPr="001844F8">
        <w:rPr>
          <w:rFonts w:ascii="Arial" w:hAnsi="Arial" w:cs="Arial"/>
          <w:lang w:val="de-DE"/>
        </w:rPr>
        <w:t>FK2 = λ2FK + e12</w:t>
      </w:r>
    </w:p>
    <w:p w:rsidR="001844F8" w:rsidRPr="001844F8" w:rsidRDefault="001844F8" w:rsidP="001844F8">
      <w:pPr>
        <w:pStyle w:val="Body"/>
        <w:rPr>
          <w:rFonts w:ascii="Arial" w:hAnsi="Arial" w:cs="Arial"/>
          <w:lang w:val="de-DE"/>
        </w:rPr>
      </w:pPr>
      <w:r w:rsidRPr="001844F8">
        <w:rPr>
          <w:rFonts w:ascii="Arial" w:hAnsi="Arial" w:cs="Arial"/>
          <w:lang w:val="de-DE"/>
        </w:rPr>
        <w:t>FK3 = λ3FK + e13</w:t>
      </w:r>
    </w:p>
    <w:p w:rsidR="001844F8" w:rsidRPr="001844F8" w:rsidRDefault="001844F8" w:rsidP="001844F8">
      <w:pPr>
        <w:pStyle w:val="Body"/>
        <w:rPr>
          <w:rFonts w:ascii="Arial" w:hAnsi="Arial" w:cs="Arial"/>
          <w:lang w:val="de-DE"/>
        </w:rPr>
      </w:pPr>
      <w:r w:rsidRPr="001844F8">
        <w:rPr>
          <w:rFonts w:ascii="Arial" w:hAnsi="Arial" w:cs="Arial"/>
          <w:lang w:val="de-DE"/>
        </w:rPr>
        <w:t>FK4 = λ4FK + e14</w:t>
      </w:r>
    </w:p>
    <w:p w:rsidR="001844F8" w:rsidRPr="001844F8" w:rsidRDefault="001844F8" w:rsidP="007418CF">
      <w:pPr>
        <w:pStyle w:val="Body"/>
        <w:numPr>
          <w:ilvl w:val="0"/>
          <w:numId w:val="9"/>
        </w:numPr>
        <w:rPr>
          <w:rFonts w:ascii="Arial" w:hAnsi="Arial" w:cs="Arial"/>
          <w:lang w:val="de-DE"/>
        </w:rPr>
      </w:pPr>
      <w:r w:rsidRPr="001844F8">
        <w:rPr>
          <w:rFonts w:ascii="Arial" w:hAnsi="Arial" w:cs="Arial"/>
          <w:lang w:val="de-DE"/>
        </w:rPr>
        <w:t>Endogenous Construct of Financial Attitude</w:t>
      </w:r>
    </w:p>
    <w:p w:rsidR="001844F8" w:rsidRPr="001844F8" w:rsidRDefault="001844F8" w:rsidP="001844F8">
      <w:pPr>
        <w:pStyle w:val="Body"/>
        <w:rPr>
          <w:rFonts w:ascii="Arial" w:hAnsi="Arial" w:cs="Arial"/>
          <w:lang w:val="de-DE"/>
        </w:rPr>
      </w:pPr>
      <w:r w:rsidRPr="001844F8">
        <w:rPr>
          <w:rFonts w:ascii="Arial" w:hAnsi="Arial" w:cs="Arial"/>
          <w:lang w:val="de-DE"/>
        </w:rPr>
        <w:t>FA1 = λ1FA + e15</w:t>
      </w:r>
    </w:p>
    <w:p w:rsidR="001844F8" w:rsidRPr="001844F8" w:rsidRDefault="001844F8" w:rsidP="001844F8">
      <w:pPr>
        <w:pStyle w:val="Body"/>
        <w:rPr>
          <w:rFonts w:ascii="Arial" w:hAnsi="Arial" w:cs="Arial"/>
          <w:lang w:val="de-DE"/>
        </w:rPr>
      </w:pPr>
      <w:r w:rsidRPr="001844F8">
        <w:rPr>
          <w:rFonts w:ascii="Arial" w:hAnsi="Arial" w:cs="Arial"/>
          <w:lang w:val="de-DE"/>
        </w:rPr>
        <w:t>FA2 = λ2FA + e16</w:t>
      </w:r>
    </w:p>
    <w:p w:rsidR="001844F8" w:rsidRPr="001844F8" w:rsidRDefault="001844F8" w:rsidP="001844F8">
      <w:pPr>
        <w:pStyle w:val="Body"/>
        <w:rPr>
          <w:rFonts w:ascii="Arial" w:hAnsi="Arial" w:cs="Arial"/>
          <w:lang w:val="de-DE"/>
        </w:rPr>
      </w:pPr>
      <w:r w:rsidRPr="001844F8">
        <w:rPr>
          <w:rFonts w:ascii="Arial" w:hAnsi="Arial" w:cs="Arial"/>
          <w:lang w:val="de-DE"/>
        </w:rPr>
        <w:t>FA3 = λ3FA + e17</w:t>
      </w:r>
    </w:p>
    <w:p w:rsidR="001844F8" w:rsidRPr="001844F8" w:rsidRDefault="001844F8" w:rsidP="001844F8">
      <w:pPr>
        <w:pStyle w:val="Body"/>
        <w:rPr>
          <w:rFonts w:ascii="Arial" w:hAnsi="Arial" w:cs="Arial"/>
          <w:lang w:val="de-DE"/>
        </w:rPr>
      </w:pPr>
      <w:r w:rsidRPr="001844F8">
        <w:rPr>
          <w:rFonts w:ascii="Arial" w:hAnsi="Arial" w:cs="Arial"/>
          <w:lang w:val="de-DE"/>
        </w:rPr>
        <w:t>FA4 = λ4FA + e18</w:t>
      </w:r>
    </w:p>
    <w:p w:rsidR="001844F8" w:rsidRPr="001844F8" w:rsidRDefault="001844F8" w:rsidP="007418CF">
      <w:pPr>
        <w:pStyle w:val="Body"/>
        <w:numPr>
          <w:ilvl w:val="0"/>
          <w:numId w:val="9"/>
        </w:numPr>
        <w:rPr>
          <w:rFonts w:ascii="Arial" w:hAnsi="Arial" w:cs="Arial"/>
          <w:i/>
          <w:iCs/>
        </w:rPr>
      </w:pPr>
      <w:r w:rsidRPr="001844F8">
        <w:rPr>
          <w:rFonts w:ascii="Arial" w:hAnsi="Arial" w:cs="Arial"/>
        </w:rPr>
        <w:t>The Endogenous Construct of Financial Self-Efficacy</w:t>
      </w:r>
    </w:p>
    <w:p w:rsidR="001844F8" w:rsidRPr="001844F8" w:rsidRDefault="001844F8" w:rsidP="001844F8">
      <w:pPr>
        <w:pStyle w:val="Body"/>
        <w:rPr>
          <w:rFonts w:ascii="Arial" w:hAnsi="Arial" w:cs="Arial"/>
          <w:lang w:val="de-DE"/>
        </w:rPr>
      </w:pPr>
      <w:r w:rsidRPr="001844F8">
        <w:rPr>
          <w:rFonts w:ascii="Arial" w:hAnsi="Arial" w:cs="Arial"/>
          <w:lang w:val="de-DE"/>
        </w:rPr>
        <w:t>FSE1 = λ1FSE + e19</w:t>
      </w:r>
    </w:p>
    <w:p w:rsidR="001844F8" w:rsidRPr="001844F8" w:rsidRDefault="001844F8" w:rsidP="001844F8">
      <w:pPr>
        <w:pStyle w:val="Body"/>
        <w:rPr>
          <w:rFonts w:ascii="Arial" w:hAnsi="Arial" w:cs="Arial"/>
          <w:lang w:val="de-DE"/>
        </w:rPr>
      </w:pPr>
      <w:r w:rsidRPr="001844F8">
        <w:rPr>
          <w:rFonts w:ascii="Arial" w:hAnsi="Arial" w:cs="Arial"/>
          <w:lang w:val="de-DE"/>
        </w:rPr>
        <w:t>FSE2 = λ2FSE + e20</w:t>
      </w:r>
    </w:p>
    <w:p w:rsidR="001844F8" w:rsidRPr="001844F8" w:rsidRDefault="001844F8" w:rsidP="001844F8">
      <w:pPr>
        <w:pStyle w:val="Body"/>
        <w:rPr>
          <w:rFonts w:ascii="Arial" w:hAnsi="Arial" w:cs="Arial"/>
          <w:lang w:val="de-DE"/>
        </w:rPr>
      </w:pPr>
      <w:r w:rsidRPr="001844F8">
        <w:rPr>
          <w:rFonts w:ascii="Arial" w:hAnsi="Arial" w:cs="Arial"/>
          <w:lang w:val="de-DE"/>
        </w:rPr>
        <w:t>FSE3 = λ3FSE + e21</w:t>
      </w:r>
    </w:p>
    <w:p w:rsidR="001844F8" w:rsidRPr="001844F8" w:rsidRDefault="001844F8" w:rsidP="001844F8">
      <w:pPr>
        <w:pStyle w:val="Body"/>
        <w:rPr>
          <w:rFonts w:ascii="Arial" w:hAnsi="Arial" w:cs="Arial"/>
          <w:lang w:val="de-DE"/>
        </w:rPr>
      </w:pPr>
      <w:r w:rsidRPr="001844F8">
        <w:rPr>
          <w:rFonts w:ascii="Arial" w:hAnsi="Arial" w:cs="Arial"/>
          <w:lang w:val="de-DE"/>
        </w:rPr>
        <w:t>FES4 = λ4FSE + e22</w:t>
      </w:r>
    </w:p>
    <w:p w:rsidR="001844F8" w:rsidRPr="001844F8" w:rsidRDefault="001844F8" w:rsidP="001844F8">
      <w:pPr>
        <w:pStyle w:val="Body"/>
        <w:rPr>
          <w:rFonts w:ascii="Arial" w:hAnsi="Arial" w:cs="Arial"/>
          <w:lang w:val="de-DE"/>
        </w:rPr>
      </w:pPr>
      <w:r w:rsidRPr="001844F8">
        <w:rPr>
          <w:rFonts w:ascii="Arial" w:hAnsi="Arial" w:cs="Arial"/>
          <w:lang w:val="de-DE"/>
        </w:rPr>
        <w:t>FSE5 = λ5FSE + e23</w:t>
      </w:r>
    </w:p>
    <w:p w:rsidR="001844F8" w:rsidRPr="001844F8" w:rsidRDefault="001844F8" w:rsidP="001844F8">
      <w:pPr>
        <w:pStyle w:val="Body"/>
        <w:rPr>
          <w:rFonts w:ascii="Arial" w:hAnsi="Arial" w:cs="Arial"/>
          <w:lang w:val="de-DE"/>
        </w:rPr>
      </w:pPr>
      <w:r w:rsidRPr="001844F8">
        <w:rPr>
          <w:rFonts w:ascii="Arial" w:hAnsi="Arial" w:cs="Arial"/>
          <w:lang w:val="de-DE"/>
        </w:rPr>
        <w:t>FSE6 = λ6FSE + e24</w:t>
      </w:r>
    </w:p>
    <w:p w:rsidR="001844F8" w:rsidRPr="001844F8" w:rsidRDefault="001844F8" w:rsidP="007418CF">
      <w:pPr>
        <w:pStyle w:val="Body"/>
        <w:numPr>
          <w:ilvl w:val="0"/>
          <w:numId w:val="9"/>
        </w:numPr>
        <w:rPr>
          <w:rFonts w:ascii="Arial" w:hAnsi="Arial" w:cs="Arial"/>
        </w:rPr>
      </w:pPr>
      <w:r w:rsidRPr="001844F8">
        <w:rPr>
          <w:rFonts w:ascii="Arial" w:hAnsi="Arial" w:cs="Arial"/>
        </w:rPr>
        <w:t>The Endogenous Construct of Investment Intentions</w:t>
      </w:r>
    </w:p>
    <w:p w:rsidR="001844F8" w:rsidRPr="001844F8" w:rsidRDefault="001844F8" w:rsidP="001844F8">
      <w:pPr>
        <w:pStyle w:val="Body"/>
        <w:rPr>
          <w:rFonts w:ascii="Arial" w:hAnsi="Arial" w:cs="Arial"/>
          <w:lang w:val="de-DE"/>
        </w:rPr>
      </w:pPr>
      <w:r w:rsidRPr="001844F8">
        <w:rPr>
          <w:rFonts w:ascii="Arial" w:hAnsi="Arial" w:cs="Arial"/>
          <w:lang w:val="de-DE"/>
        </w:rPr>
        <w:t>NI1 = λ1NI + e25</w:t>
      </w:r>
    </w:p>
    <w:p w:rsidR="001844F8" w:rsidRPr="001844F8" w:rsidRDefault="001844F8" w:rsidP="001844F8">
      <w:pPr>
        <w:pStyle w:val="Body"/>
        <w:rPr>
          <w:rFonts w:ascii="Arial" w:hAnsi="Arial" w:cs="Arial"/>
          <w:lang w:val="de-DE"/>
        </w:rPr>
      </w:pPr>
      <w:r w:rsidRPr="001844F8">
        <w:rPr>
          <w:rFonts w:ascii="Arial" w:hAnsi="Arial" w:cs="Arial"/>
          <w:lang w:val="de-DE"/>
        </w:rPr>
        <w:t>NI2 = λ2NI + e26</w:t>
      </w:r>
    </w:p>
    <w:p w:rsidR="001844F8" w:rsidRPr="001844F8" w:rsidRDefault="001844F8" w:rsidP="001844F8">
      <w:pPr>
        <w:pStyle w:val="Body"/>
        <w:rPr>
          <w:rFonts w:ascii="Arial" w:hAnsi="Arial" w:cs="Arial"/>
          <w:lang w:val="de-DE"/>
        </w:rPr>
      </w:pPr>
      <w:r w:rsidRPr="001844F8">
        <w:rPr>
          <w:rFonts w:ascii="Arial" w:hAnsi="Arial" w:cs="Arial"/>
          <w:lang w:val="de-DE"/>
        </w:rPr>
        <w:t>NI3 = λ3NI + e27</w:t>
      </w:r>
    </w:p>
    <w:p w:rsidR="001844F8" w:rsidRPr="001844F8" w:rsidRDefault="001844F8" w:rsidP="001844F8">
      <w:pPr>
        <w:pStyle w:val="Body"/>
        <w:rPr>
          <w:rFonts w:ascii="Arial" w:hAnsi="Arial" w:cs="Arial"/>
          <w:b/>
          <w:bCs/>
          <w:lang w:val="sv-SE"/>
        </w:rPr>
      </w:pPr>
    </w:p>
    <w:p w:rsidR="001844F8" w:rsidRPr="001844F8" w:rsidRDefault="001844F8" w:rsidP="007418CF">
      <w:pPr>
        <w:pStyle w:val="Body"/>
        <w:numPr>
          <w:ilvl w:val="0"/>
          <w:numId w:val="10"/>
        </w:numPr>
        <w:rPr>
          <w:rFonts w:ascii="Arial" w:hAnsi="Arial" w:cs="Arial"/>
          <w:b/>
          <w:bCs/>
          <w:lang w:val="en-ID"/>
        </w:rPr>
      </w:pPr>
      <w:bookmarkStart w:id="51" w:name="_Toc147830038"/>
      <w:bookmarkStart w:id="52" w:name="_Toc147830260"/>
      <w:bookmarkStart w:id="53" w:name="_Toc154134771"/>
      <w:bookmarkStart w:id="54" w:name="_Toc154135212"/>
      <w:bookmarkStart w:id="55" w:name="_Toc154135463"/>
      <w:bookmarkStart w:id="56" w:name="_Toc159492672"/>
      <w:proofErr w:type="spellStart"/>
      <w:r w:rsidRPr="001844F8">
        <w:rPr>
          <w:rFonts w:ascii="Arial" w:hAnsi="Arial" w:cs="Arial"/>
          <w:b/>
          <w:bCs/>
          <w:lang w:val="en-ID"/>
        </w:rPr>
        <w:t>Results</w:t>
      </w:r>
      <w:r w:rsidRPr="001844F8">
        <w:rPr>
          <w:rFonts w:ascii="Arial" w:hAnsi="Arial" w:cs="Arial"/>
          <w:b/>
          <w:bCs/>
          <w:i/>
          <w:iCs/>
          <w:lang w:val="en-ID"/>
        </w:rPr>
        <w:t>Confirmatory</w:t>
      </w:r>
      <w:proofErr w:type="spellEnd"/>
      <w:r w:rsidRPr="001844F8">
        <w:rPr>
          <w:rFonts w:ascii="Arial" w:hAnsi="Arial" w:cs="Arial"/>
          <w:b/>
          <w:bCs/>
          <w:i/>
          <w:iCs/>
          <w:lang w:val="en-ID"/>
        </w:rPr>
        <w:t xml:space="preserve"> Factor Analysis (CFA)</w:t>
      </w:r>
      <w:bookmarkEnd w:id="51"/>
      <w:bookmarkEnd w:id="52"/>
      <w:bookmarkEnd w:id="53"/>
      <w:bookmarkEnd w:id="54"/>
      <w:bookmarkEnd w:id="55"/>
      <w:bookmarkEnd w:id="56"/>
    </w:p>
    <w:p w:rsidR="001844F8" w:rsidRPr="001844F8" w:rsidRDefault="001844F8" w:rsidP="001844F8">
      <w:pPr>
        <w:pStyle w:val="Body"/>
        <w:rPr>
          <w:rFonts w:ascii="Arial" w:hAnsi="Arial" w:cs="Arial"/>
        </w:rPr>
      </w:pPr>
      <w:r w:rsidRPr="001844F8">
        <w:rPr>
          <w:rFonts w:ascii="Arial" w:hAnsi="Arial" w:cs="Arial"/>
        </w:rPr>
        <w:t xml:space="preserve">The second stage is Confirmatory Factor Analysis. CFA was conducted to assess the construct validity of the proposed measurement theory. There are two measures of construct validity, namely Convergent Validity with standardized loading estimate criteria ≥ 0.50 and </w:t>
      </w:r>
      <w:r w:rsidRPr="001844F8">
        <w:rPr>
          <w:rFonts w:ascii="Arial" w:hAnsi="Arial" w:cs="Arial"/>
        </w:rPr>
        <w:lastRenderedPageBreak/>
        <w:t>Construct Reliability with Cronbach Alpha (CA) criteria ≥ 0.70. The following are the CFA test results for each variable.</w:t>
      </w:r>
    </w:p>
    <w:p w:rsidR="001844F8" w:rsidRPr="001844F8" w:rsidRDefault="001844F8" w:rsidP="007418CF">
      <w:pPr>
        <w:pStyle w:val="Body"/>
        <w:numPr>
          <w:ilvl w:val="0"/>
          <w:numId w:val="11"/>
        </w:numPr>
        <w:rPr>
          <w:rFonts w:ascii="Arial" w:hAnsi="Arial" w:cs="Arial"/>
          <w:i/>
          <w:iCs/>
        </w:rPr>
      </w:pPr>
      <w:r w:rsidRPr="001844F8">
        <w:rPr>
          <w:rFonts w:ascii="Arial" w:hAnsi="Arial" w:cs="Arial"/>
        </w:rPr>
        <w:t>CFA Personality Traits</w:t>
      </w:r>
    </w:p>
    <w:p w:rsidR="001844F8" w:rsidRPr="001844F8" w:rsidRDefault="001844F8" w:rsidP="001844F8">
      <w:pPr>
        <w:pStyle w:val="Body"/>
        <w:rPr>
          <w:rFonts w:ascii="Arial" w:hAnsi="Arial" w:cs="Arial"/>
          <w:b/>
          <w:bCs/>
          <w:lang w:val="en-ID"/>
        </w:rPr>
      </w:pPr>
      <w:bookmarkStart w:id="57" w:name="_Toc147172609"/>
      <w:bookmarkStart w:id="58" w:name="_Toc147173068"/>
      <w:bookmarkStart w:id="59" w:name="_Toc147173236"/>
      <w:bookmarkStart w:id="60" w:name="_Toc147830039"/>
      <w:bookmarkStart w:id="61" w:name="_Toc147830261"/>
      <w:bookmarkStart w:id="62" w:name="_Toc153835430"/>
      <w:bookmarkStart w:id="63" w:name="_Toc153853395"/>
      <w:bookmarkStart w:id="64" w:name="_Toc153854669"/>
      <w:bookmarkStart w:id="65" w:name="_Toc154132012"/>
      <w:bookmarkStart w:id="66" w:name="_Toc154134772"/>
      <w:bookmarkStart w:id="67" w:name="_Toc154135213"/>
      <w:bookmarkStart w:id="68" w:name="_Toc154135464"/>
      <w:bookmarkStart w:id="69" w:name="_Toc159492673"/>
      <w:r w:rsidRPr="001844F8">
        <w:rPr>
          <w:rFonts w:ascii="Arial" w:hAnsi="Arial" w:cs="Arial"/>
          <w:b/>
          <w:bCs/>
          <w:lang w:val="en-ID"/>
        </w:rPr>
        <w:t>Table 5.</w:t>
      </w:r>
      <w:bookmarkEnd w:id="57"/>
      <w:bookmarkEnd w:id="58"/>
      <w:bookmarkEnd w:id="59"/>
      <w:bookmarkEnd w:id="60"/>
      <w:bookmarkEnd w:id="61"/>
      <w:bookmarkEnd w:id="62"/>
      <w:bookmarkEnd w:id="63"/>
      <w:bookmarkEnd w:id="64"/>
      <w:bookmarkEnd w:id="65"/>
      <w:bookmarkEnd w:id="66"/>
      <w:bookmarkEnd w:id="67"/>
      <w:bookmarkEnd w:id="68"/>
      <w:bookmarkEnd w:id="69"/>
      <w:r w:rsidRPr="001844F8">
        <w:rPr>
          <w:rFonts w:ascii="Arial" w:hAnsi="Arial" w:cs="Arial"/>
          <w:lang w:val="en-ID"/>
        </w:rPr>
        <w:t>Validity of CFA Personality Traits</w:t>
      </w:r>
    </w:p>
    <w:tbl>
      <w:tblPr>
        <w:tblW w:w="4303" w:type="pct"/>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714"/>
        <w:gridCol w:w="842"/>
        <w:gridCol w:w="870"/>
        <w:gridCol w:w="1056"/>
        <w:gridCol w:w="922"/>
        <w:gridCol w:w="956"/>
        <w:gridCol w:w="890"/>
      </w:tblGrid>
      <w:tr w:rsidR="001844F8" w:rsidRPr="001844F8" w:rsidTr="006E664E">
        <w:trPr>
          <w:trHeight w:val="173"/>
          <w:tblHeader/>
          <w:jc w:val="center"/>
        </w:trPr>
        <w:tc>
          <w:tcPr>
            <w:tcW w:w="1182" w:type="pct"/>
            <w:vMerge w:val="restart"/>
            <w:noWrap/>
            <w:vAlign w:val="center"/>
            <w:hideMark/>
          </w:tcPr>
          <w:p w:rsidR="001844F8" w:rsidRPr="001844F8" w:rsidRDefault="001844F8" w:rsidP="001844F8">
            <w:pPr>
              <w:pStyle w:val="Body"/>
              <w:rPr>
                <w:rFonts w:ascii="Arial" w:hAnsi="Arial" w:cs="Arial"/>
              </w:rPr>
            </w:pPr>
            <w:r w:rsidRPr="001844F8">
              <w:rPr>
                <w:rFonts w:ascii="Arial" w:hAnsi="Arial" w:cs="Arial"/>
              </w:rPr>
              <w:t>Indicator</w:t>
            </w:r>
          </w:p>
        </w:tc>
        <w:tc>
          <w:tcPr>
            <w:tcW w:w="1909" w:type="pct"/>
            <w:gridSpan w:val="3"/>
            <w:noWrap/>
            <w:vAlign w:val="bottom"/>
            <w:hideMark/>
          </w:tcPr>
          <w:p w:rsidR="001844F8" w:rsidRPr="001844F8" w:rsidRDefault="001844F8" w:rsidP="001844F8">
            <w:pPr>
              <w:pStyle w:val="Body"/>
              <w:rPr>
                <w:rFonts w:ascii="Arial" w:hAnsi="Arial" w:cs="Arial"/>
              </w:rPr>
            </w:pPr>
            <w:r w:rsidRPr="001844F8">
              <w:rPr>
                <w:rFonts w:ascii="Arial" w:hAnsi="Arial" w:cs="Arial"/>
              </w:rPr>
              <w:t>CFA PT</w:t>
            </w:r>
          </w:p>
        </w:tc>
        <w:tc>
          <w:tcPr>
            <w:tcW w:w="1909" w:type="pct"/>
            <w:gridSpan w:val="3"/>
            <w:noWrap/>
            <w:vAlign w:val="bottom"/>
            <w:hideMark/>
          </w:tcPr>
          <w:p w:rsidR="001844F8" w:rsidRPr="001844F8" w:rsidRDefault="001844F8" w:rsidP="001844F8">
            <w:pPr>
              <w:pStyle w:val="Body"/>
              <w:rPr>
                <w:rFonts w:ascii="Arial" w:hAnsi="Arial" w:cs="Arial"/>
              </w:rPr>
            </w:pPr>
            <w:r w:rsidRPr="001844F8">
              <w:rPr>
                <w:rFonts w:ascii="Arial" w:hAnsi="Arial" w:cs="Arial"/>
              </w:rPr>
              <w:t>CFA PT (elimination)</w:t>
            </w:r>
          </w:p>
        </w:tc>
      </w:tr>
      <w:tr w:rsidR="001844F8" w:rsidRPr="001844F8" w:rsidTr="006E664E">
        <w:trPr>
          <w:trHeight w:val="263"/>
          <w:tblHeader/>
          <w:jc w:val="center"/>
        </w:trPr>
        <w:tc>
          <w:tcPr>
            <w:tcW w:w="1182" w:type="pct"/>
            <w:vMerge/>
            <w:vAlign w:val="center"/>
            <w:hideMark/>
          </w:tcPr>
          <w:p w:rsidR="001844F8" w:rsidRPr="001844F8" w:rsidRDefault="001844F8" w:rsidP="001844F8">
            <w:pPr>
              <w:pStyle w:val="Body"/>
              <w:rPr>
                <w:rFonts w:ascii="Arial" w:hAnsi="Arial" w:cs="Arial"/>
              </w:rPr>
            </w:pPr>
          </w:p>
        </w:tc>
        <w:tc>
          <w:tcPr>
            <w:tcW w:w="581" w:type="pct"/>
            <w:noWrap/>
            <w:vAlign w:val="center"/>
            <w:hideMark/>
          </w:tcPr>
          <w:p w:rsidR="001844F8" w:rsidRPr="001844F8" w:rsidRDefault="001844F8" w:rsidP="001844F8">
            <w:pPr>
              <w:pStyle w:val="Body"/>
              <w:rPr>
                <w:rFonts w:ascii="Arial" w:hAnsi="Arial" w:cs="Arial"/>
              </w:rPr>
            </w:pPr>
            <w:r w:rsidRPr="001844F8">
              <w:rPr>
                <w:rFonts w:ascii="Arial" w:hAnsi="Arial" w:cs="Arial"/>
              </w:rPr>
              <w:t>Loading</w:t>
            </w:r>
          </w:p>
        </w:tc>
        <w:tc>
          <w:tcPr>
            <w:tcW w:w="600" w:type="pct"/>
            <w:noWrap/>
            <w:vAlign w:val="center"/>
            <w:hideMark/>
          </w:tcPr>
          <w:p w:rsidR="001844F8" w:rsidRPr="001844F8" w:rsidRDefault="001844F8" w:rsidP="001844F8">
            <w:pPr>
              <w:pStyle w:val="Body"/>
              <w:rPr>
                <w:rFonts w:ascii="Arial" w:hAnsi="Arial" w:cs="Arial"/>
              </w:rPr>
            </w:pPr>
            <w:r w:rsidRPr="001844F8">
              <w:rPr>
                <w:rFonts w:ascii="Arial" w:hAnsi="Arial" w:cs="Arial"/>
              </w:rPr>
              <w:t>Loading2</w:t>
            </w:r>
          </w:p>
        </w:tc>
        <w:tc>
          <w:tcPr>
            <w:tcW w:w="728" w:type="pct"/>
            <w:noWrap/>
            <w:vAlign w:val="center"/>
            <w:hideMark/>
          </w:tcPr>
          <w:p w:rsidR="001844F8" w:rsidRPr="001844F8" w:rsidRDefault="001844F8" w:rsidP="001844F8">
            <w:pPr>
              <w:pStyle w:val="Body"/>
              <w:rPr>
                <w:rFonts w:ascii="Arial" w:hAnsi="Arial" w:cs="Arial"/>
              </w:rPr>
            </w:pPr>
            <w:r w:rsidRPr="001844F8">
              <w:rPr>
                <w:rFonts w:ascii="Arial" w:hAnsi="Arial" w:cs="Arial"/>
              </w:rPr>
              <w:t>error</w:t>
            </w:r>
          </w:p>
        </w:tc>
        <w:tc>
          <w:tcPr>
            <w:tcW w:w="636" w:type="pct"/>
            <w:noWrap/>
            <w:vAlign w:val="center"/>
            <w:hideMark/>
          </w:tcPr>
          <w:p w:rsidR="001844F8" w:rsidRPr="001844F8" w:rsidRDefault="001844F8" w:rsidP="001844F8">
            <w:pPr>
              <w:pStyle w:val="Body"/>
              <w:rPr>
                <w:rFonts w:ascii="Arial" w:hAnsi="Arial" w:cs="Arial"/>
              </w:rPr>
            </w:pPr>
            <w:r w:rsidRPr="001844F8">
              <w:rPr>
                <w:rFonts w:ascii="Arial" w:hAnsi="Arial" w:cs="Arial"/>
              </w:rPr>
              <w:t>Loading</w:t>
            </w:r>
          </w:p>
        </w:tc>
        <w:tc>
          <w:tcPr>
            <w:tcW w:w="659" w:type="pct"/>
            <w:noWrap/>
            <w:vAlign w:val="center"/>
            <w:hideMark/>
          </w:tcPr>
          <w:p w:rsidR="001844F8" w:rsidRPr="001844F8" w:rsidRDefault="001844F8" w:rsidP="001844F8">
            <w:pPr>
              <w:pStyle w:val="Body"/>
              <w:rPr>
                <w:rFonts w:ascii="Arial" w:hAnsi="Arial" w:cs="Arial"/>
              </w:rPr>
            </w:pPr>
            <w:r w:rsidRPr="001844F8">
              <w:rPr>
                <w:rFonts w:ascii="Arial" w:hAnsi="Arial" w:cs="Arial"/>
              </w:rPr>
              <w:t>Loading2</w:t>
            </w:r>
          </w:p>
        </w:tc>
        <w:tc>
          <w:tcPr>
            <w:tcW w:w="614" w:type="pct"/>
            <w:noWrap/>
            <w:vAlign w:val="center"/>
            <w:hideMark/>
          </w:tcPr>
          <w:p w:rsidR="001844F8" w:rsidRPr="001844F8" w:rsidRDefault="001844F8" w:rsidP="001844F8">
            <w:pPr>
              <w:pStyle w:val="Body"/>
              <w:rPr>
                <w:rFonts w:ascii="Arial" w:hAnsi="Arial" w:cs="Arial"/>
              </w:rPr>
            </w:pPr>
            <w:r w:rsidRPr="001844F8">
              <w:rPr>
                <w:rFonts w:ascii="Arial" w:hAnsi="Arial" w:cs="Arial"/>
              </w:rPr>
              <w:t>error</w:t>
            </w:r>
          </w:p>
        </w:tc>
      </w:tr>
      <w:tr w:rsidR="001844F8" w:rsidRPr="001844F8" w:rsidTr="006E664E">
        <w:trPr>
          <w:trHeight w:val="315"/>
          <w:jc w:val="center"/>
        </w:trPr>
        <w:tc>
          <w:tcPr>
            <w:tcW w:w="1182" w:type="pct"/>
            <w:vAlign w:val="center"/>
            <w:hideMark/>
          </w:tcPr>
          <w:p w:rsidR="001844F8" w:rsidRPr="001844F8" w:rsidRDefault="001844F8" w:rsidP="001844F8">
            <w:pPr>
              <w:pStyle w:val="Body"/>
              <w:rPr>
                <w:rFonts w:ascii="Arial" w:hAnsi="Arial" w:cs="Arial"/>
              </w:rPr>
            </w:pPr>
            <w:r w:rsidRPr="001844F8">
              <w:rPr>
                <w:rFonts w:ascii="Arial" w:hAnsi="Arial" w:cs="Arial"/>
              </w:rPr>
              <w:t>PT6</w:t>
            </w:r>
          </w:p>
        </w:tc>
        <w:tc>
          <w:tcPr>
            <w:tcW w:w="581" w:type="pct"/>
            <w:vAlign w:val="center"/>
            <w:hideMark/>
          </w:tcPr>
          <w:p w:rsidR="001844F8" w:rsidRPr="001844F8" w:rsidRDefault="001844F8" w:rsidP="001844F8">
            <w:pPr>
              <w:pStyle w:val="Body"/>
              <w:rPr>
                <w:rFonts w:ascii="Arial" w:hAnsi="Arial" w:cs="Arial"/>
              </w:rPr>
            </w:pPr>
            <w:r w:rsidRPr="001844F8">
              <w:rPr>
                <w:rFonts w:ascii="Arial" w:hAnsi="Arial" w:cs="Arial"/>
              </w:rPr>
              <w:t>0.491</w:t>
            </w:r>
          </w:p>
        </w:tc>
        <w:tc>
          <w:tcPr>
            <w:tcW w:w="600" w:type="pct"/>
            <w:noWrap/>
            <w:vAlign w:val="center"/>
            <w:hideMark/>
          </w:tcPr>
          <w:p w:rsidR="001844F8" w:rsidRPr="001844F8" w:rsidRDefault="001844F8" w:rsidP="001844F8">
            <w:pPr>
              <w:pStyle w:val="Body"/>
              <w:rPr>
                <w:rFonts w:ascii="Arial" w:hAnsi="Arial" w:cs="Arial"/>
              </w:rPr>
            </w:pPr>
            <w:r w:rsidRPr="001844F8">
              <w:rPr>
                <w:rFonts w:ascii="Arial" w:hAnsi="Arial" w:cs="Arial"/>
              </w:rPr>
              <w:t>0.241</w:t>
            </w:r>
          </w:p>
        </w:tc>
        <w:tc>
          <w:tcPr>
            <w:tcW w:w="728" w:type="pct"/>
            <w:vAlign w:val="center"/>
            <w:hideMark/>
          </w:tcPr>
          <w:p w:rsidR="001844F8" w:rsidRPr="001844F8" w:rsidRDefault="001844F8" w:rsidP="001844F8">
            <w:pPr>
              <w:pStyle w:val="Body"/>
              <w:rPr>
                <w:rFonts w:ascii="Arial" w:hAnsi="Arial" w:cs="Arial"/>
              </w:rPr>
            </w:pPr>
            <w:r w:rsidRPr="001844F8">
              <w:rPr>
                <w:rFonts w:ascii="Arial" w:hAnsi="Arial" w:cs="Arial"/>
              </w:rPr>
              <w:t>0.759</w:t>
            </w:r>
          </w:p>
        </w:tc>
        <w:tc>
          <w:tcPr>
            <w:tcW w:w="636" w:type="pct"/>
            <w:vAlign w:val="center"/>
            <w:hideMark/>
          </w:tcPr>
          <w:p w:rsidR="001844F8" w:rsidRPr="001844F8" w:rsidRDefault="001844F8" w:rsidP="001844F8">
            <w:pPr>
              <w:pStyle w:val="Body"/>
              <w:rPr>
                <w:rFonts w:ascii="Arial" w:hAnsi="Arial" w:cs="Arial"/>
              </w:rPr>
            </w:pPr>
          </w:p>
        </w:tc>
        <w:tc>
          <w:tcPr>
            <w:tcW w:w="659" w:type="pct"/>
            <w:vAlign w:val="center"/>
            <w:hideMark/>
          </w:tcPr>
          <w:p w:rsidR="001844F8" w:rsidRPr="001844F8" w:rsidRDefault="001844F8" w:rsidP="001844F8">
            <w:pPr>
              <w:pStyle w:val="Body"/>
              <w:rPr>
                <w:rFonts w:ascii="Arial" w:hAnsi="Arial" w:cs="Arial"/>
              </w:rPr>
            </w:pPr>
          </w:p>
        </w:tc>
        <w:tc>
          <w:tcPr>
            <w:tcW w:w="614" w:type="pct"/>
            <w:vAlign w:val="center"/>
            <w:hideMark/>
          </w:tcPr>
          <w:p w:rsidR="001844F8" w:rsidRPr="001844F8" w:rsidRDefault="001844F8" w:rsidP="001844F8">
            <w:pPr>
              <w:pStyle w:val="Body"/>
              <w:rPr>
                <w:rFonts w:ascii="Arial" w:hAnsi="Arial" w:cs="Arial"/>
              </w:rPr>
            </w:pPr>
          </w:p>
        </w:tc>
      </w:tr>
      <w:tr w:rsidR="001844F8" w:rsidRPr="001844F8" w:rsidTr="006E664E">
        <w:trPr>
          <w:trHeight w:val="315"/>
          <w:jc w:val="center"/>
        </w:trPr>
        <w:tc>
          <w:tcPr>
            <w:tcW w:w="1182" w:type="pct"/>
            <w:vAlign w:val="center"/>
            <w:hideMark/>
          </w:tcPr>
          <w:p w:rsidR="001844F8" w:rsidRPr="001844F8" w:rsidRDefault="001844F8" w:rsidP="001844F8">
            <w:pPr>
              <w:pStyle w:val="Body"/>
              <w:rPr>
                <w:rFonts w:ascii="Arial" w:hAnsi="Arial" w:cs="Arial"/>
              </w:rPr>
            </w:pPr>
            <w:r w:rsidRPr="001844F8">
              <w:rPr>
                <w:rFonts w:ascii="Arial" w:hAnsi="Arial" w:cs="Arial"/>
              </w:rPr>
              <w:t>PT5</w:t>
            </w:r>
          </w:p>
        </w:tc>
        <w:tc>
          <w:tcPr>
            <w:tcW w:w="581" w:type="pct"/>
            <w:vAlign w:val="center"/>
            <w:hideMark/>
          </w:tcPr>
          <w:p w:rsidR="001844F8" w:rsidRPr="001844F8" w:rsidRDefault="001844F8" w:rsidP="001844F8">
            <w:pPr>
              <w:pStyle w:val="Body"/>
              <w:rPr>
                <w:rFonts w:ascii="Arial" w:hAnsi="Arial" w:cs="Arial"/>
              </w:rPr>
            </w:pPr>
            <w:r w:rsidRPr="001844F8">
              <w:rPr>
                <w:rFonts w:ascii="Arial" w:hAnsi="Arial" w:cs="Arial"/>
              </w:rPr>
              <w:t>0.589</w:t>
            </w:r>
          </w:p>
        </w:tc>
        <w:tc>
          <w:tcPr>
            <w:tcW w:w="600" w:type="pct"/>
            <w:noWrap/>
            <w:vAlign w:val="center"/>
            <w:hideMark/>
          </w:tcPr>
          <w:p w:rsidR="001844F8" w:rsidRPr="001844F8" w:rsidRDefault="001844F8" w:rsidP="001844F8">
            <w:pPr>
              <w:pStyle w:val="Body"/>
              <w:rPr>
                <w:rFonts w:ascii="Arial" w:hAnsi="Arial" w:cs="Arial"/>
              </w:rPr>
            </w:pPr>
            <w:r w:rsidRPr="001844F8">
              <w:rPr>
                <w:rFonts w:ascii="Arial" w:hAnsi="Arial" w:cs="Arial"/>
              </w:rPr>
              <w:t>0.347</w:t>
            </w:r>
          </w:p>
        </w:tc>
        <w:tc>
          <w:tcPr>
            <w:tcW w:w="728" w:type="pct"/>
            <w:vAlign w:val="center"/>
            <w:hideMark/>
          </w:tcPr>
          <w:p w:rsidR="001844F8" w:rsidRPr="001844F8" w:rsidRDefault="001844F8" w:rsidP="001844F8">
            <w:pPr>
              <w:pStyle w:val="Body"/>
              <w:rPr>
                <w:rFonts w:ascii="Arial" w:hAnsi="Arial" w:cs="Arial"/>
              </w:rPr>
            </w:pPr>
            <w:r w:rsidRPr="001844F8">
              <w:rPr>
                <w:rFonts w:ascii="Arial" w:hAnsi="Arial" w:cs="Arial"/>
              </w:rPr>
              <w:t>0.653</w:t>
            </w:r>
          </w:p>
        </w:tc>
        <w:tc>
          <w:tcPr>
            <w:tcW w:w="636" w:type="pct"/>
            <w:vAlign w:val="center"/>
            <w:hideMark/>
          </w:tcPr>
          <w:p w:rsidR="001844F8" w:rsidRPr="001844F8" w:rsidRDefault="001844F8" w:rsidP="001844F8">
            <w:pPr>
              <w:pStyle w:val="Body"/>
              <w:rPr>
                <w:rFonts w:ascii="Arial" w:hAnsi="Arial" w:cs="Arial"/>
              </w:rPr>
            </w:pPr>
            <w:r w:rsidRPr="001844F8">
              <w:rPr>
                <w:rFonts w:ascii="Arial" w:hAnsi="Arial" w:cs="Arial"/>
              </w:rPr>
              <w:t>0.521</w:t>
            </w:r>
          </w:p>
        </w:tc>
        <w:tc>
          <w:tcPr>
            <w:tcW w:w="659" w:type="pct"/>
            <w:noWrap/>
            <w:vAlign w:val="center"/>
            <w:hideMark/>
          </w:tcPr>
          <w:p w:rsidR="001844F8" w:rsidRPr="001844F8" w:rsidRDefault="001844F8" w:rsidP="001844F8">
            <w:pPr>
              <w:pStyle w:val="Body"/>
              <w:rPr>
                <w:rFonts w:ascii="Arial" w:hAnsi="Arial" w:cs="Arial"/>
              </w:rPr>
            </w:pPr>
            <w:r w:rsidRPr="001844F8">
              <w:rPr>
                <w:rFonts w:ascii="Arial" w:hAnsi="Arial" w:cs="Arial"/>
              </w:rPr>
              <w:t>0.271</w:t>
            </w:r>
          </w:p>
        </w:tc>
        <w:tc>
          <w:tcPr>
            <w:tcW w:w="614" w:type="pct"/>
            <w:vAlign w:val="center"/>
            <w:hideMark/>
          </w:tcPr>
          <w:p w:rsidR="001844F8" w:rsidRPr="001844F8" w:rsidRDefault="001844F8" w:rsidP="001844F8">
            <w:pPr>
              <w:pStyle w:val="Body"/>
              <w:rPr>
                <w:rFonts w:ascii="Arial" w:hAnsi="Arial" w:cs="Arial"/>
              </w:rPr>
            </w:pPr>
            <w:r w:rsidRPr="001844F8">
              <w:rPr>
                <w:rFonts w:ascii="Arial" w:hAnsi="Arial" w:cs="Arial"/>
              </w:rPr>
              <w:t>0.729</w:t>
            </w:r>
          </w:p>
        </w:tc>
      </w:tr>
      <w:tr w:rsidR="001844F8" w:rsidRPr="001844F8" w:rsidTr="006E664E">
        <w:trPr>
          <w:trHeight w:val="315"/>
          <w:jc w:val="center"/>
        </w:trPr>
        <w:tc>
          <w:tcPr>
            <w:tcW w:w="1182" w:type="pct"/>
            <w:vAlign w:val="center"/>
            <w:hideMark/>
          </w:tcPr>
          <w:p w:rsidR="001844F8" w:rsidRPr="001844F8" w:rsidRDefault="001844F8" w:rsidP="001844F8">
            <w:pPr>
              <w:pStyle w:val="Body"/>
              <w:rPr>
                <w:rFonts w:ascii="Arial" w:hAnsi="Arial" w:cs="Arial"/>
              </w:rPr>
            </w:pPr>
            <w:r w:rsidRPr="001844F8">
              <w:rPr>
                <w:rFonts w:ascii="Arial" w:hAnsi="Arial" w:cs="Arial"/>
              </w:rPr>
              <w:t>PT4</w:t>
            </w:r>
          </w:p>
        </w:tc>
        <w:tc>
          <w:tcPr>
            <w:tcW w:w="581" w:type="pct"/>
            <w:vAlign w:val="center"/>
            <w:hideMark/>
          </w:tcPr>
          <w:p w:rsidR="001844F8" w:rsidRPr="001844F8" w:rsidRDefault="001844F8" w:rsidP="001844F8">
            <w:pPr>
              <w:pStyle w:val="Body"/>
              <w:rPr>
                <w:rFonts w:ascii="Arial" w:hAnsi="Arial" w:cs="Arial"/>
              </w:rPr>
            </w:pPr>
            <w:r w:rsidRPr="001844F8">
              <w:rPr>
                <w:rFonts w:ascii="Arial" w:hAnsi="Arial" w:cs="Arial"/>
              </w:rPr>
              <w:t>0.708</w:t>
            </w:r>
          </w:p>
        </w:tc>
        <w:tc>
          <w:tcPr>
            <w:tcW w:w="600" w:type="pct"/>
            <w:noWrap/>
            <w:vAlign w:val="center"/>
            <w:hideMark/>
          </w:tcPr>
          <w:p w:rsidR="001844F8" w:rsidRPr="001844F8" w:rsidRDefault="001844F8" w:rsidP="001844F8">
            <w:pPr>
              <w:pStyle w:val="Body"/>
              <w:rPr>
                <w:rFonts w:ascii="Arial" w:hAnsi="Arial" w:cs="Arial"/>
              </w:rPr>
            </w:pPr>
            <w:r w:rsidRPr="001844F8">
              <w:rPr>
                <w:rFonts w:ascii="Arial" w:hAnsi="Arial" w:cs="Arial"/>
              </w:rPr>
              <w:t>0.501</w:t>
            </w:r>
          </w:p>
        </w:tc>
        <w:tc>
          <w:tcPr>
            <w:tcW w:w="728" w:type="pct"/>
            <w:vAlign w:val="center"/>
            <w:hideMark/>
          </w:tcPr>
          <w:p w:rsidR="001844F8" w:rsidRPr="001844F8" w:rsidRDefault="001844F8" w:rsidP="001844F8">
            <w:pPr>
              <w:pStyle w:val="Body"/>
              <w:rPr>
                <w:rFonts w:ascii="Arial" w:hAnsi="Arial" w:cs="Arial"/>
              </w:rPr>
            </w:pPr>
            <w:r w:rsidRPr="001844F8">
              <w:rPr>
                <w:rFonts w:ascii="Arial" w:hAnsi="Arial" w:cs="Arial"/>
              </w:rPr>
              <w:t>0.499</w:t>
            </w:r>
          </w:p>
        </w:tc>
        <w:tc>
          <w:tcPr>
            <w:tcW w:w="636" w:type="pct"/>
            <w:vAlign w:val="center"/>
            <w:hideMark/>
          </w:tcPr>
          <w:p w:rsidR="001844F8" w:rsidRPr="001844F8" w:rsidRDefault="001844F8" w:rsidP="001844F8">
            <w:pPr>
              <w:pStyle w:val="Body"/>
              <w:rPr>
                <w:rFonts w:ascii="Arial" w:hAnsi="Arial" w:cs="Arial"/>
              </w:rPr>
            </w:pPr>
            <w:r w:rsidRPr="001844F8">
              <w:rPr>
                <w:rFonts w:ascii="Arial" w:hAnsi="Arial" w:cs="Arial"/>
              </w:rPr>
              <w:t>0.766</w:t>
            </w:r>
          </w:p>
        </w:tc>
        <w:tc>
          <w:tcPr>
            <w:tcW w:w="659" w:type="pct"/>
            <w:noWrap/>
            <w:vAlign w:val="center"/>
            <w:hideMark/>
          </w:tcPr>
          <w:p w:rsidR="001844F8" w:rsidRPr="001844F8" w:rsidRDefault="001844F8" w:rsidP="001844F8">
            <w:pPr>
              <w:pStyle w:val="Body"/>
              <w:rPr>
                <w:rFonts w:ascii="Arial" w:hAnsi="Arial" w:cs="Arial"/>
              </w:rPr>
            </w:pPr>
            <w:r w:rsidRPr="001844F8">
              <w:rPr>
                <w:rFonts w:ascii="Arial" w:hAnsi="Arial" w:cs="Arial"/>
              </w:rPr>
              <w:t>0.587</w:t>
            </w:r>
          </w:p>
        </w:tc>
        <w:tc>
          <w:tcPr>
            <w:tcW w:w="614" w:type="pct"/>
            <w:vAlign w:val="center"/>
            <w:hideMark/>
          </w:tcPr>
          <w:p w:rsidR="001844F8" w:rsidRPr="001844F8" w:rsidRDefault="001844F8" w:rsidP="001844F8">
            <w:pPr>
              <w:pStyle w:val="Body"/>
              <w:rPr>
                <w:rFonts w:ascii="Arial" w:hAnsi="Arial" w:cs="Arial"/>
              </w:rPr>
            </w:pPr>
            <w:r w:rsidRPr="001844F8">
              <w:rPr>
                <w:rFonts w:ascii="Arial" w:hAnsi="Arial" w:cs="Arial"/>
              </w:rPr>
              <w:t>0.413</w:t>
            </w:r>
          </w:p>
        </w:tc>
      </w:tr>
      <w:tr w:rsidR="001844F8" w:rsidRPr="001844F8" w:rsidTr="006E664E">
        <w:trPr>
          <w:trHeight w:val="315"/>
          <w:jc w:val="center"/>
        </w:trPr>
        <w:tc>
          <w:tcPr>
            <w:tcW w:w="1182" w:type="pct"/>
            <w:vAlign w:val="center"/>
            <w:hideMark/>
          </w:tcPr>
          <w:p w:rsidR="001844F8" w:rsidRPr="001844F8" w:rsidRDefault="001844F8" w:rsidP="001844F8">
            <w:pPr>
              <w:pStyle w:val="Body"/>
              <w:rPr>
                <w:rFonts w:ascii="Arial" w:hAnsi="Arial" w:cs="Arial"/>
              </w:rPr>
            </w:pPr>
            <w:r w:rsidRPr="001844F8">
              <w:rPr>
                <w:rFonts w:ascii="Arial" w:hAnsi="Arial" w:cs="Arial"/>
              </w:rPr>
              <w:t>PT3</w:t>
            </w:r>
          </w:p>
        </w:tc>
        <w:tc>
          <w:tcPr>
            <w:tcW w:w="581" w:type="pct"/>
            <w:vAlign w:val="center"/>
            <w:hideMark/>
          </w:tcPr>
          <w:p w:rsidR="001844F8" w:rsidRPr="001844F8" w:rsidRDefault="001844F8" w:rsidP="001844F8">
            <w:pPr>
              <w:pStyle w:val="Body"/>
              <w:rPr>
                <w:rFonts w:ascii="Arial" w:hAnsi="Arial" w:cs="Arial"/>
              </w:rPr>
            </w:pPr>
            <w:r w:rsidRPr="001844F8">
              <w:rPr>
                <w:rFonts w:ascii="Arial" w:hAnsi="Arial" w:cs="Arial"/>
              </w:rPr>
              <w:t>0.784</w:t>
            </w:r>
          </w:p>
        </w:tc>
        <w:tc>
          <w:tcPr>
            <w:tcW w:w="600" w:type="pct"/>
            <w:noWrap/>
            <w:vAlign w:val="center"/>
            <w:hideMark/>
          </w:tcPr>
          <w:p w:rsidR="001844F8" w:rsidRPr="001844F8" w:rsidRDefault="001844F8" w:rsidP="001844F8">
            <w:pPr>
              <w:pStyle w:val="Body"/>
              <w:rPr>
                <w:rFonts w:ascii="Arial" w:hAnsi="Arial" w:cs="Arial"/>
              </w:rPr>
            </w:pPr>
            <w:r w:rsidRPr="001844F8">
              <w:rPr>
                <w:rFonts w:ascii="Arial" w:hAnsi="Arial" w:cs="Arial"/>
              </w:rPr>
              <w:t>0.615</w:t>
            </w:r>
          </w:p>
        </w:tc>
        <w:tc>
          <w:tcPr>
            <w:tcW w:w="728" w:type="pct"/>
            <w:vAlign w:val="center"/>
            <w:hideMark/>
          </w:tcPr>
          <w:p w:rsidR="001844F8" w:rsidRPr="001844F8" w:rsidRDefault="001844F8" w:rsidP="001844F8">
            <w:pPr>
              <w:pStyle w:val="Body"/>
              <w:rPr>
                <w:rFonts w:ascii="Arial" w:hAnsi="Arial" w:cs="Arial"/>
              </w:rPr>
            </w:pPr>
            <w:r w:rsidRPr="001844F8">
              <w:rPr>
                <w:rFonts w:ascii="Arial" w:hAnsi="Arial" w:cs="Arial"/>
              </w:rPr>
              <w:t>0.385</w:t>
            </w:r>
          </w:p>
        </w:tc>
        <w:tc>
          <w:tcPr>
            <w:tcW w:w="636" w:type="pct"/>
            <w:vAlign w:val="center"/>
            <w:hideMark/>
          </w:tcPr>
          <w:p w:rsidR="001844F8" w:rsidRPr="001844F8" w:rsidRDefault="001844F8" w:rsidP="001844F8">
            <w:pPr>
              <w:pStyle w:val="Body"/>
              <w:rPr>
                <w:rFonts w:ascii="Arial" w:hAnsi="Arial" w:cs="Arial"/>
              </w:rPr>
            </w:pPr>
            <w:r w:rsidRPr="001844F8">
              <w:rPr>
                <w:rFonts w:ascii="Arial" w:hAnsi="Arial" w:cs="Arial"/>
              </w:rPr>
              <w:t>0.793</w:t>
            </w:r>
          </w:p>
        </w:tc>
        <w:tc>
          <w:tcPr>
            <w:tcW w:w="659" w:type="pct"/>
            <w:noWrap/>
            <w:vAlign w:val="center"/>
            <w:hideMark/>
          </w:tcPr>
          <w:p w:rsidR="001844F8" w:rsidRPr="001844F8" w:rsidRDefault="001844F8" w:rsidP="001844F8">
            <w:pPr>
              <w:pStyle w:val="Body"/>
              <w:rPr>
                <w:rFonts w:ascii="Arial" w:hAnsi="Arial" w:cs="Arial"/>
              </w:rPr>
            </w:pPr>
            <w:r w:rsidRPr="001844F8">
              <w:rPr>
                <w:rFonts w:ascii="Arial" w:hAnsi="Arial" w:cs="Arial"/>
              </w:rPr>
              <w:t>0.629</w:t>
            </w:r>
          </w:p>
        </w:tc>
        <w:tc>
          <w:tcPr>
            <w:tcW w:w="614" w:type="pct"/>
            <w:vAlign w:val="center"/>
            <w:hideMark/>
          </w:tcPr>
          <w:p w:rsidR="001844F8" w:rsidRPr="001844F8" w:rsidRDefault="001844F8" w:rsidP="001844F8">
            <w:pPr>
              <w:pStyle w:val="Body"/>
              <w:rPr>
                <w:rFonts w:ascii="Arial" w:hAnsi="Arial" w:cs="Arial"/>
              </w:rPr>
            </w:pPr>
            <w:r w:rsidRPr="001844F8">
              <w:rPr>
                <w:rFonts w:ascii="Arial" w:hAnsi="Arial" w:cs="Arial"/>
              </w:rPr>
              <w:t>0.371</w:t>
            </w:r>
          </w:p>
        </w:tc>
      </w:tr>
      <w:tr w:rsidR="001844F8" w:rsidRPr="001844F8" w:rsidTr="006E664E">
        <w:trPr>
          <w:trHeight w:val="315"/>
          <w:jc w:val="center"/>
        </w:trPr>
        <w:tc>
          <w:tcPr>
            <w:tcW w:w="1182" w:type="pct"/>
            <w:vAlign w:val="center"/>
            <w:hideMark/>
          </w:tcPr>
          <w:p w:rsidR="001844F8" w:rsidRPr="001844F8" w:rsidRDefault="001844F8" w:rsidP="001844F8">
            <w:pPr>
              <w:pStyle w:val="Body"/>
              <w:rPr>
                <w:rFonts w:ascii="Arial" w:hAnsi="Arial" w:cs="Arial"/>
              </w:rPr>
            </w:pPr>
            <w:r w:rsidRPr="001844F8">
              <w:rPr>
                <w:rFonts w:ascii="Arial" w:hAnsi="Arial" w:cs="Arial"/>
              </w:rPr>
              <w:t>PT2</w:t>
            </w:r>
          </w:p>
        </w:tc>
        <w:tc>
          <w:tcPr>
            <w:tcW w:w="581" w:type="pct"/>
            <w:vAlign w:val="center"/>
            <w:hideMark/>
          </w:tcPr>
          <w:p w:rsidR="001844F8" w:rsidRPr="001844F8" w:rsidRDefault="001844F8" w:rsidP="001844F8">
            <w:pPr>
              <w:pStyle w:val="Body"/>
              <w:rPr>
                <w:rFonts w:ascii="Arial" w:hAnsi="Arial" w:cs="Arial"/>
              </w:rPr>
            </w:pPr>
            <w:r w:rsidRPr="001844F8">
              <w:rPr>
                <w:rFonts w:ascii="Arial" w:hAnsi="Arial" w:cs="Arial"/>
              </w:rPr>
              <w:t>0.437</w:t>
            </w:r>
          </w:p>
        </w:tc>
        <w:tc>
          <w:tcPr>
            <w:tcW w:w="600" w:type="pct"/>
            <w:noWrap/>
            <w:vAlign w:val="center"/>
            <w:hideMark/>
          </w:tcPr>
          <w:p w:rsidR="001844F8" w:rsidRPr="001844F8" w:rsidRDefault="001844F8" w:rsidP="001844F8">
            <w:pPr>
              <w:pStyle w:val="Body"/>
              <w:rPr>
                <w:rFonts w:ascii="Arial" w:hAnsi="Arial" w:cs="Arial"/>
              </w:rPr>
            </w:pPr>
            <w:r w:rsidRPr="001844F8">
              <w:rPr>
                <w:rFonts w:ascii="Arial" w:hAnsi="Arial" w:cs="Arial"/>
              </w:rPr>
              <w:t>0.191</w:t>
            </w:r>
          </w:p>
        </w:tc>
        <w:tc>
          <w:tcPr>
            <w:tcW w:w="728" w:type="pct"/>
            <w:vAlign w:val="center"/>
            <w:hideMark/>
          </w:tcPr>
          <w:p w:rsidR="001844F8" w:rsidRPr="001844F8" w:rsidRDefault="001844F8" w:rsidP="001844F8">
            <w:pPr>
              <w:pStyle w:val="Body"/>
              <w:rPr>
                <w:rFonts w:ascii="Arial" w:hAnsi="Arial" w:cs="Arial"/>
              </w:rPr>
            </w:pPr>
            <w:r w:rsidRPr="001844F8">
              <w:rPr>
                <w:rFonts w:ascii="Arial" w:hAnsi="Arial" w:cs="Arial"/>
              </w:rPr>
              <w:t>0.809</w:t>
            </w:r>
          </w:p>
        </w:tc>
        <w:tc>
          <w:tcPr>
            <w:tcW w:w="636" w:type="pct"/>
            <w:vAlign w:val="center"/>
            <w:hideMark/>
          </w:tcPr>
          <w:p w:rsidR="001844F8" w:rsidRPr="001844F8" w:rsidRDefault="001844F8" w:rsidP="001844F8">
            <w:pPr>
              <w:pStyle w:val="Body"/>
              <w:rPr>
                <w:rFonts w:ascii="Arial" w:hAnsi="Arial" w:cs="Arial"/>
              </w:rPr>
            </w:pPr>
          </w:p>
        </w:tc>
        <w:tc>
          <w:tcPr>
            <w:tcW w:w="659" w:type="pct"/>
            <w:vAlign w:val="center"/>
            <w:hideMark/>
          </w:tcPr>
          <w:p w:rsidR="001844F8" w:rsidRPr="001844F8" w:rsidRDefault="001844F8" w:rsidP="001844F8">
            <w:pPr>
              <w:pStyle w:val="Body"/>
              <w:rPr>
                <w:rFonts w:ascii="Arial" w:hAnsi="Arial" w:cs="Arial"/>
              </w:rPr>
            </w:pPr>
          </w:p>
        </w:tc>
        <w:tc>
          <w:tcPr>
            <w:tcW w:w="614" w:type="pct"/>
            <w:vAlign w:val="center"/>
            <w:hideMark/>
          </w:tcPr>
          <w:p w:rsidR="001844F8" w:rsidRPr="001844F8" w:rsidRDefault="001844F8" w:rsidP="001844F8">
            <w:pPr>
              <w:pStyle w:val="Body"/>
              <w:rPr>
                <w:rFonts w:ascii="Arial" w:hAnsi="Arial" w:cs="Arial"/>
              </w:rPr>
            </w:pPr>
          </w:p>
        </w:tc>
      </w:tr>
      <w:tr w:rsidR="001844F8" w:rsidRPr="001844F8" w:rsidTr="006E664E">
        <w:trPr>
          <w:trHeight w:val="249"/>
          <w:jc w:val="center"/>
        </w:trPr>
        <w:tc>
          <w:tcPr>
            <w:tcW w:w="1182" w:type="pct"/>
            <w:vAlign w:val="center"/>
            <w:hideMark/>
          </w:tcPr>
          <w:p w:rsidR="001844F8" w:rsidRPr="001844F8" w:rsidRDefault="001844F8" w:rsidP="001844F8">
            <w:pPr>
              <w:pStyle w:val="Body"/>
              <w:rPr>
                <w:rFonts w:ascii="Arial" w:hAnsi="Arial" w:cs="Arial"/>
              </w:rPr>
            </w:pPr>
            <w:r w:rsidRPr="001844F8">
              <w:rPr>
                <w:rFonts w:ascii="Arial" w:hAnsi="Arial" w:cs="Arial"/>
              </w:rPr>
              <w:t>PT1</w:t>
            </w:r>
          </w:p>
        </w:tc>
        <w:tc>
          <w:tcPr>
            <w:tcW w:w="581" w:type="pct"/>
            <w:vAlign w:val="center"/>
            <w:hideMark/>
          </w:tcPr>
          <w:p w:rsidR="001844F8" w:rsidRPr="001844F8" w:rsidRDefault="001844F8" w:rsidP="001844F8">
            <w:pPr>
              <w:pStyle w:val="Body"/>
              <w:rPr>
                <w:rFonts w:ascii="Arial" w:hAnsi="Arial" w:cs="Arial"/>
              </w:rPr>
            </w:pPr>
            <w:r w:rsidRPr="001844F8">
              <w:rPr>
                <w:rFonts w:ascii="Arial" w:hAnsi="Arial" w:cs="Arial"/>
              </w:rPr>
              <w:t>0.265</w:t>
            </w:r>
          </w:p>
        </w:tc>
        <w:tc>
          <w:tcPr>
            <w:tcW w:w="600" w:type="pct"/>
            <w:noWrap/>
            <w:vAlign w:val="center"/>
            <w:hideMark/>
          </w:tcPr>
          <w:p w:rsidR="001844F8" w:rsidRPr="001844F8" w:rsidRDefault="001844F8" w:rsidP="001844F8">
            <w:pPr>
              <w:pStyle w:val="Body"/>
              <w:rPr>
                <w:rFonts w:ascii="Arial" w:hAnsi="Arial" w:cs="Arial"/>
              </w:rPr>
            </w:pPr>
            <w:r w:rsidRPr="001844F8">
              <w:rPr>
                <w:rFonts w:ascii="Arial" w:hAnsi="Arial" w:cs="Arial"/>
              </w:rPr>
              <w:t>0.070</w:t>
            </w:r>
          </w:p>
        </w:tc>
        <w:tc>
          <w:tcPr>
            <w:tcW w:w="728" w:type="pct"/>
            <w:vAlign w:val="center"/>
            <w:hideMark/>
          </w:tcPr>
          <w:p w:rsidR="001844F8" w:rsidRPr="001844F8" w:rsidRDefault="001844F8" w:rsidP="001844F8">
            <w:pPr>
              <w:pStyle w:val="Body"/>
              <w:rPr>
                <w:rFonts w:ascii="Arial" w:hAnsi="Arial" w:cs="Arial"/>
              </w:rPr>
            </w:pPr>
            <w:r w:rsidRPr="001844F8">
              <w:rPr>
                <w:rFonts w:ascii="Arial" w:hAnsi="Arial" w:cs="Arial"/>
              </w:rPr>
              <w:t>0.930</w:t>
            </w:r>
          </w:p>
        </w:tc>
        <w:tc>
          <w:tcPr>
            <w:tcW w:w="636" w:type="pct"/>
            <w:vAlign w:val="center"/>
            <w:hideMark/>
          </w:tcPr>
          <w:p w:rsidR="001844F8" w:rsidRPr="001844F8" w:rsidRDefault="001844F8" w:rsidP="001844F8">
            <w:pPr>
              <w:pStyle w:val="Body"/>
              <w:rPr>
                <w:rFonts w:ascii="Arial" w:hAnsi="Arial" w:cs="Arial"/>
              </w:rPr>
            </w:pPr>
          </w:p>
        </w:tc>
        <w:tc>
          <w:tcPr>
            <w:tcW w:w="659" w:type="pct"/>
            <w:vAlign w:val="center"/>
            <w:hideMark/>
          </w:tcPr>
          <w:p w:rsidR="001844F8" w:rsidRPr="001844F8" w:rsidRDefault="001844F8" w:rsidP="001844F8">
            <w:pPr>
              <w:pStyle w:val="Body"/>
              <w:rPr>
                <w:rFonts w:ascii="Arial" w:hAnsi="Arial" w:cs="Arial"/>
              </w:rPr>
            </w:pPr>
          </w:p>
        </w:tc>
        <w:tc>
          <w:tcPr>
            <w:tcW w:w="614" w:type="pct"/>
            <w:vAlign w:val="center"/>
            <w:hideMark/>
          </w:tcPr>
          <w:p w:rsidR="001844F8" w:rsidRPr="001844F8" w:rsidRDefault="001844F8" w:rsidP="001844F8">
            <w:pPr>
              <w:pStyle w:val="Body"/>
              <w:rPr>
                <w:rFonts w:ascii="Arial" w:hAnsi="Arial" w:cs="Arial"/>
              </w:rPr>
            </w:pPr>
          </w:p>
        </w:tc>
      </w:tr>
      <w:tr w:rsidR="001844F8" w:rsidRPr="001844F8" w:rsidTr="006E664E">
        <w:trPr>
          <w:trHeight w:val="211"/>
          <w:jc w:val="center"/>
        </w:trPr>
        <w:tc>
          <w:tcPr>
            <w:tcW w:w="1182" w:type="pct"/>
            <w:vAlign w:val="center"/>
            <w:hideMark/>
          </w:tcPr>
          <w:p w:rsidR="001844F8" w:rsidRPr="001844F8" w:rsidRDefault="001844F8" w:rsidP="001844F8">
            <w:pPr>
              <w:pStyle w:val="Body"/>
              <w:rPr>
                <w:rFonts w:ascii="Arial" w:hAnsi="Arial" w:cs="Arial"/>
              </w:rPr>
            </w:pPr>
            <w:r w:rsidRPr="001844F8">
              <w:rPr>
                <w:rFonts w:ascii="Arial" w:hAnsi="Arial" w:cs="Arial"/>
              </w:rPr>
              <w:t>Sum of Std Loading</w:t>
            </w:r>
          </w:p>
        </w:tc>
        <w:tc>
          <w:tcPr>
            <w:tcW w:w="581" w:type="pct"/>
            <w:noWrap/>
            <w:vAlign w:val="center"/>
            <w:hideMark/>
          </w:tcPr>
          <w:p w:rsidR="001844F8" w:rsidRPr="001844F8" w:rsidRDefault="001844F8" w:rsidP="001844F8">
            <w:pPr>
              <w:pStyle w:val="Body"/>
              <w:rPr>
                <w:rFonts w:ascii="Arial" w:hAnsi="Arial" w:cs="Arial"/>
              </w:rPr>
            </w:pPr>
            <w:r w:rsidRPr="001844F8">
              <w:rPr>
                <w:rFonts w:ascii="Arial" w:hAnsi="Arial" w:cs="Arial"/>
              </w:rPr>
              <w:t>3,274</w:t>
            </w:r>
          </w:p>
        </w:tc>
        <w:tc>
          <w:tcPr>
            <w:tcW w:w="600" w:type="pct"/>
            <w:noWrap/>
            <w:vAlign w:val="center"/>
            <w:hideMark/>
          </w:tcPr>
          <w:p w:rsidR="001844F8" w:rsidRPr="001844F8" w:rsidRDefault="001844F8" w:rsidP="001844F8">
            <w:pPr>
              <w:pStyle w:val="Body"/>
              <w:rPr>
                <w:rFonts w:ascii="Arial" w:hAnsi="Arial" w:cs="Arial"/>
              </w:rPr>
            </w:pPr>
          </w:p>
        </w:tc>
        <w:tc>
          <w:tcPr>
            <w:tcW w:w="728" w:type="pct"/>
            <w:noWrap/>
            <w:vAlign w:val="center"/>
            <w:hideMark/>
          </w:tcPr>
          <w:p w:rsidR="001844F8" w:rsidRPr="001844F8" w:rsidRDefault="001844F8" w:rsidP="001844F8">
            <w:pPr>
              <w:pStyle w:val="Body"/>
              <w:rPr>
                <w:rFonts w:ascii="Arial" w:hAnsi="Arial" w:cs="Arial"/>
              </w:rPr>
            </w:pPr>
          </w:p>
        </w:tc>
        <w:tc>
          <w:tcPr>
            <w:tcW w:w="636" w:type="pct"/>
            <w:noWrap/>
            <w:vAlign w:val="center"/>
            <w:hideMark/>
          </w:tcPr>
          <w:p w:rsidR="001844F8" w:rsidRPr="001844F8" w:rsidRDefault="001844F8" w:rsidP="001844F8">
            <w:pPr>
              <w:pStyle w:val="Body"/>
              <w:rPr>
                <w:rFonts w:ascii="Arial" w:hAnsi="Arial" w:cs="Arial"/>
              </w:rPr>
            </w:pPr>
            <w:r w:rsidRPr="001844F8">
              <w:rPr>
                <w:rFonts w:ascii="Arial" w:hAnsi="Arial" w:cs="Arial"/>
              </w:rPr>
              <w:t>2.08</w:t>
            </w:r>
          </w:p>
        </w:tc>
        <w:tc>
          <w:tcPr>
            <w:tcW w:w="659" w:type="pct"/>
            <w:noWrap/>
            <w:vAlign w:val="center"/>
            <w:hideMark/>
          </w:tcPr>
          <w:p w:rsidR="001844F8" w:rsidRPr="001844F8" w:rsidRDefault="001844F8" w:rsidP="001844F8">
            <w:pPr>
              <w:pStyle w:val="Body"/>
              <w:rPr>
                <w:rFonts w:ascii="Arial" w:hAnsi="Arial" w:cs="Arial"/>
              </w:rPr>
            </w:pPr>
          </w:p>
        </w:tc>
        <w:tc>
          <w:tcPr>
            <w:tcW w:w="614" w:type="pct"/>
            <w:noWrap/>
            <w:vAlign w:val="center"/>
            <w:hideMark/>
          </w:tcPr>
          <w:p w:rsidR="001844F8" w:rsidRPr="001844F8" w:rsidRDefault="001844F8" w:rsidP="001844F8">
            <w:pPr>
              <w:pStyle w:val="Body"/>
              <w:rPr>
                <w:rFonts w:ascii="Arial" w:hAnsi="Arial" w:cs="Arial"/>
              </w:rPr>
            </w:pPr>
          </w:p>
        </w:tc>
      </w:tr>
      <w:tr w:rsidR="001844F8" w:rsidRPr="001844F8" w:rsidTr="006E664E">
        <w:trPr>
          <w:trHeight w:val="327"/>
          <w:jc w:val="center"/>
        </w:trPr>
        <w:tc>
          <w:tcPr>
            <w:tcW w:w="1182" w:type="pct"/>
            <w:vAlign w:val="center"/>
            <w:hideMark/>
          </w:tcPr>
          <w:p w:rsidR="001844F8" w:rsidRPr="001844F8" w:rsidRDefault="001844F8" w:rsidP="001844F8">
            <w:pPr>
              <w:pStyle w:val="Body"/>
              <w:rPr>
                <w:rFonts w:ascii="Arial" w:hAnsi="Arial" w:cs="Arial"/>
              </w:rPr>
            </w:pPr>
            <w:r w:rsidRPr="001844F8">
              <w:rPr>
                <w:rFonts w:ascii="Arial" w:hAnsi="Arial" w:cs="Arial"/>
              </w:rPr>
              <w:t>Sum of Std Loading2</w:t>
            </w:r>
          </w:p>
        </w:tc>
        <w:tc>
          <w:tcPr>
            <w:tcW w:w="581" w:type="pct"/>
            <w:noWrap/>
            <w:vAlign w:val="center"/>
            <w:hideMark/>
          </w:tcPr>
          <w:p w:rsidR="001844F8" w:rsidRPr="001844F8" w:rsidRDefault="001844F8" w:rsidP="001844F8">
            <w:pPr>
              <w:pStyle w:val="Body"/>
              <w:rPr>
                <w:rFonts w:ascii="Arial" w:hAnsi="Arial" w:cs="Arial"/>
              </w:rPr>
            </w:pPr>
          </w:p>
        </w:tc>
        <w:tc>
          <w:tcPr>
            <w:tcW w:w="600" w:type="pct"/>
            <w:noWrap/>
            <w:vAlign w:val="center"/>
            <w:hideMark/>
          </w:tcPr>
          <w:p w:rsidR="001844F8" w:rsidRPr="001844F8" w:rsidRDefault="001844F8" w:rsidP="001844F8">
            <w:pPr>
              <w:pStyle w:val="Body"/>
              <w:rPr>
                <w:rFonts w:ascii="Arial" w:hAnsi="Arial" w:cs="Arial"/>
              </w:rPr>
            </w:pPr>
            <w:r w:rsidRPr="001844F8">
              <w:rPr>
                <w:rFonts w:ascii="Arial" w:hAnsi="Arial" w:cs="Arial"/>
              </w:rPr>
              <w:t>1,965</w:t>
            </w:r>
          </w:p>
        </w:tc>
        <w:tc>
          <w:tcPr>
            <w:tcW w:w="728" w:type="pct"/>
            <w:noWrap/>
            <w:vAlign w:val="center"/>
            <w:hideMark/>
          </w:tcPr>
          <w:p w:rsidR="001844F8" w:rsidRPr="001844F8" w:rsidRDefault="001844F8" w:rsidP="001844F8">
            <w:pPr>
              <w:pStyle w:val="Body"/>
              <w:rPr>
                <w:rFonts w:ascii="Arial" w:hAnsi="Arial" w:cs="Arial"/>
              </w:rPr>
            </w:pPr>
          </w:p>
        </w:tc>
        <w:tc>
          <w:tcPr>
            <w:tcW w:w="636" w:type="pct"/>
            <w:noWrap/>
            <w:vAlign w:val="center"/>
            <w:hideMark/>
          </w:tcPr>
          <w:p w:rsidR="001844F8" w:rsidRPr="001844F8" w:rsidRDefault="001844F8" w:rsidP="001844F8">
            <w:pPr>
              <w:pStyle w:val="Body"/>
              <w:rPr>
                <w:rFonts w:ascii="Arial" w:hAnsi="Arial" w:cs="Arial"/>
              </w:rPr>
            </w:pPr>
          </w:p>
        </w:tc>
        <w:tc>
          <w:tcPr>
            <w:tcW w:w="659" w:type="pct"/>
            <w:noWrap/>
            <w:vAlign w:val="center"/>
            <w:hideMark/>
          </w:tcPr>
          <w:p w:rsidR="001844F8" w:rsidRPr="001844F8" w:rsidRDefault="001844F8" w:rsidP="001844F8">
            <w:pPr>
              <w:pStyle w:val="Body"/>
              <w:rPr>
                <w:rFonts w:ascii="Arial" w:hAnsi="Arial" w:cs="Arial"/>
              </w:rPr>
            </w:pPr>
            <w:r w:rsidRPr="001844F8">
              <w:rPr>
                <w:rFonts w:ascii="Arial" w:hAnsi="Arial" w:cs="Arial"/>
              </w:rPr>
              <w:t>1,487</w:t>
            </w:r>
          </w:p>
        </w:tc>
        <w:tc>
          <w:tcPr>
            <w:tcW w:w="614" w:type="pct"/>
            <w:noWrap/>
            <w:vAlign w:val="center"/>
            <w:hideMark/>
          </w:tcPr>
          <w:p w:rsidR="001844F8" w:rsidRPr="001844F8" w:rsidRDefault="001844F8" w:rsidP="001844F8">
            <w:pPr>
              <w:pStyle w:val="Body"/>
              <w:rPr>
                <w:rFonts w:ascii="Arial" w:hAnsi="Arial" w:cs="Arial"/>
              </w:rPr>
            </w:pPr>
          </w:p>
        </w:tc>
      </w:tr>
      <w:tr w:rsidR="001844F8" w:rsidRPr="001844F8" w:rsidTr="006E664E">
        <w:trPr>
          <w:trHeight w:val="315"/>
          <w:jc w:val="center"/>
        </w:trPr>
        <w:tc>
          <w:tcPr>
            <w:tcW w:w="1182" w:type="pct"/>
            <w:vAlign w:val="center"/>
            <w:hideMark/>
          </w:tcPr>
          <w:p w:rsidR="001844F8" w:rsidRPr="001844F8" w:rsidRDefault="001844F8" w:rsidP="001844F8">
            <w:pPr>
              <w:pStyle w:val="Body"/>
              <w:rPr>
                <w:rFonts w:ascii="Arial" w:hAnsi="Arial" w:cs="Arial"/>
              </w:rPr>
            </w:pPr>
            <w:r w:rsidRPr="001844F8">
              <w:rPr>
                <w:rFonts w:ascii="Arial" w:hAnsi="Arial" w:cs="Arial"/>
              </w:rPr>
              <w:t>Sum error</w:t>
            </w:r>
          </w:p>
        </w:tc>
        <w:tc>
          <w:tcPr>
            <w:tcW w:w="581" w:type="pct"/>
            <w:noWrap/>
            <w:vAlign w:val="center"/>
            <w:hideMark/>
          </w:tcPr>
          <w:p w:rsidR="001844F8" w:rsidRPr="001844F8" w:rsidRDefault="001844F8" w:rsidP="001844F8">
            <w:pPr>
              <w:pStyle w:val="Body"/>
              <w:rPr>
                <w:rFonts w:ascii="Arial" w:hAnsi="Arial" w:cs="Arial"/>
              </w:rPr>
            </w:pPr>
          </w:p>
        </w:tc>
        <w:tc>
          <w:tcPr>
            <w:tcW w:w="600" w:type="pct"/>
            <w:noWrap/>
            <w:vAlign w:val="center"/>
            <w:hideMark/>
          </w:tcPr>
          <w:p w:rsidR="001844F8" w:rsidRPr="001844F8" w:rsidRDefault="001844F8" w:rsidP="001844F8">
            <w:pPr>
              <w:pStyle w:val="Body"/>
              <w:rPr>
                <w:rFonts w:ascii="Arial" w:hAnsi="Arial" w:cs="Arial"/>
              </w:rPr>
            </w:pPr>
          </w:p>
        </w:tc>
        <w:tc>
          <w:tcPr>
            <w:tcW w:w="728" w:type="pct"/>
            <w:noWrap/>
            <w:vAlign w:val="center"/>
            <w:hideMark/>
          </w:tcPr>
          <w:p w:rsidR="001844F8" w:rsidRPr="001844F8" w:rsidRDefault="001844F8" w:rsidP="001844F8">
            <w:pPr>
              <w:pStyle w:val="Body"/>
              <w:rPr>
                <w:rFonts w:ascii="Arial" w:hAnsi="Arial" w:cs="Arial"/>
              </w:rPr>
            </w:pPr>
            <w:r w:rsidRPr="001844F8">
              <w:rPr>
                <w:rFonts w:ascii="Arial" w:hAnsi="Arial" w:cs="Arial"/>
              </w:rPr>
              <w:t>4.03488</w:t>
            </w:r>
          </w:p>
        </w:tc>
        <w:tc>
          <w:tcPr>
            <w:tcW w:w="636" w:type="pct"/>
            <w:noWrap/>
            <w:vAlign w:val="center"/>
            <w:hideMark/>
          </w:tcPr>
          <w:p w:rsidR="001844F8" w:rsidRPr="001844F8" w:rsidRDefault="001844F8" w:rsidP="001844F8">
            <w:pPr>
              <w:pStyle w:val="Body"/>
              <w:rPr>
                <w:rFonts w:ascii="Arial" w:hAnsi="Arial" w:cs="Arial"/>
              </w:rPr>
            </w:pPr>
          </w:p>
        </w:tc>
        <w:tc>
          <w:tcPr>
            <w:tcW w:w="659" w:type="pct"/>
            <w:noWrap/>
            <w:vAlign w:val="center"/>
            <w:hideMark/>
          </w:tcPr>
          <w:p w:rsidR="001844F8" w:rsidRPr="001844F8" w:rsidRDefault="001844F8" w:rsidP="001844F8">
            <w:pPr>
              <w:pStyle w:val="Body"/>
              <w:rPr>
                <w:rFonts w:ascii="Arial" w:hAnsi="Arial" w:cs="Arial"/>
              </w:rPr>
            </w:pPr>
          </w:p>
        </w:tc>
        <w:tc>
          <w:tcPr>
            <w:tcW w:w="614" w:type="pct"/>
            <w:noWrap/>
            <w:vAlign w:val="center"/>
            <w:hideMark/>
          </w:tcPr>
          <w:p w:rsidR="001844F8" w:rsidRPr="001844F8" w:rsidRDefault="001844F8" w:rsidP="001844F8">
            <w:pPr>
              <w:pStyle w:val="Body"/>
              <w:rPr>
                <w:rFonts w:ascii="Arial" w:hAnsi="Arial" w:cs="Arial"/>
              </w:rPr>
            </w:pPr>
            <w:r w:rsidRPr="001844F8">
              <w:rPr>
                <w:rFonts w:ascii="Arial" w:hAnsi="Arial" w:cs="Arial"/>
              </w:rPr>
              <w:t>1.51295</w:t>
            </w:r>
          </w:p>
        </w:tc>
      </w:tr>
      <w:tr w:rsidR="001844F8" w:rsidRPr="001844F8" w:rsidTr="006E664E">
        <w:trPr>
          <w:trHeight w:val="299"/>
          <w:jc w:val="center"/>
        </w:trPr>
        <w:tc>
          <w:tcPr>
            <w:tcW w:w="1182" w:type="pct"/>
            <w:vAlign w:val="center"/>
            <w:hideMark/>
          </w:tcPr>
          <w:p w:rsidR="001844F8" w:rsidRPr="001844F8" w:rsidRDefault="001844F8" w:rsidP="001844F8">
            <w:pPr>
              <w:pStyle w:val="Body"/>
              <w:rPr>
                <w:rFonts w:ascii="Arial" w:hAnsi="Arial" w:cs="Arial"/>
              </w:rPr>
            </w:pPr>
            <w:r w:rsidRPr="001844F8">
              <w:rPr>
                <w:rFonts w:ascii="Arial" w:hAnsi="Arial" w:cs="Arial"/>
              </w:rPr>
              <w:t>Construct Reliability</w:t>
            </w:r>
          </w:p>
        </w:tc>
        <w:tc>
          <w:tcPr>
            <w:tcW w:w="581" w:type="pct"/>
            <w:noWrap/>
            <w:vAlign w:val="center"/>
            <w:hideMark/>
          </w:tcPr>
          <w:p w:rsidR="001844F8" w:rsidRPr="001844F8" w:rsidRDefault="001844F8" w:rsidP="001844F8">
            <w:pPr>
              <w:pStyle w:val="Body"/>
              <w:rPr>
                <w:rFonts w:ascii="Arial" w:hAnsi="Arial" w:cs="Arial"/>
              </w:rPr>
            </w:pPr>
            <w:r w:rsidRPr="001844F8">
              <w:rPr>
                <w:rFonts w:ascii="Arial" w:hAnsi="Arial" w:cs="Arial"/>
              </w:rPr>
              <w:t>0.727</w:t>
            </w:r>
          </w:p>
        </w:tc>
        <w:tc>
          <w:tcPr>
            <w:tcW w:w="600" w:type="pct"/>
            <w:noWrap/>
            <w:vAlign w:val="center"/>
            <w:hideMark/>
          </w:tcPr>
          <w:p w:rsidR="001844F8" w:rsidRPr="001844F8" w:rsidRDefault="001844F8" w:rsidP="001844F8">
            <w:pPr>
              <w:pStyle w:val="Body"/>
              <w:rPr>
                <w:rFonts w:ascii="Arial" w:hAnsi="Arial" w:cs="Arial"/>
              </w:rPr>
            </w:pPr>
          </w:p>
        </w:tc>
        <w:tc>
          <w:tcPr>
            <w:tcW w:w="728" w:type="pct"/>
            <w:noWrap/>
            <w:vAlign w:val="center"/>
            <w:hideMark/>
          </w:tcPr>
          <w:p w:rsidR="001844F8" w:rsidRPr="001844F8" w:rsidRDefault="001844F8" w:rsidP="001844F8">
            <w:pPr>
              <w:pStyle w:val="Body"/>
              <w:rPr>
                <w:rFonts w:ascii="Arial" w:hAnsi="Arial" w:cs="Arial"/>
              </w:rPr>
            </w:pPr>
          </w:p>
        </w:tc>
        <w:tc>
          <w:tcPr>
            <w:tcW w:w="636" w:type="pct"/>
            <w:noWrap/>
            <w:vAlign w:val="center"/>
            <w:hideMark/>
          </w:tcPr>
          <w:p w:rsidR="001844F8" w:rsidRPr="001844F8" w:rsidRDefault="001844F8" w:rsidP="001844F8">
            <w:pPr>
              <w:pStyle w:val="Body"/>
              <w:rPr>
                <w:rFonts w:ascii="Arial" w:hAnsi="Arial" w:cs="Arial"/>
              </w:rPr>
            </w:pPr>
            <w:r w:rsidRPr="001844F8">
              <w:rPr>
                <w:rFonts w:ascii="Arial" w:hAnsi="Arial" w:cs="Arial"/>
              </w:rPr>
              <w:t>0.741</w:t>
            </w:r>
          </w:p>
        </w:tc>
        <w:tc>
          <w:tcPr>
            <w:tcW w:w="659" w:type="pct"/>
            <w:noWrap/>
            <w:vAlign w:val="center"/>
            <w:hideMark/>
          </w:tcPr>
          <w:p w:rsidR="001844F8" w:rsidRPr="001844F8" w:rsidRDefault="001844F8" w:rsidP="001844F8">
            <w:pPr>
              <w:pStyle w:val="Body"/>
              <w:rPr>
                <w:rFonts w:ascii="Arial" w:hAnsi="Arial" w:cs="Arial"/>
              </w:rPr>
            </w:pPr>
          </w:p>
        </w:tc>
        <w:tc>
          <w:tcPr>
            <w:tcW w:w="614" w:type="pct"/>
            <w:noWrap/>
            <w:vAlign w:val="center"/>
            <w:hideMark/>
          </w:tcPr>
          <w:p w:rsidR="001844F8" w:rsidRPr="001844F8" w:rsidRDefault="001844F8" w:rsidP="001844F8">
            <w:pPr>
              <w:pStyle w:val="Body"/>
              <w:rPr>
                <w:rFonts w:ascii="Arial" w:hAnsi="Arial" w:cs="Arial"/>
              </w:rPr>
            </w:pPr>
          </w:p>
        </w:tc>
      </w:tr>
    </w:tbl>
    <w:p w:rsidR="001844F8" w:rsidRPr="001844F8" w:rsidRDefault="001844F8" w:rsidP="001844F8">
      <w:pPr>
        <w:pStyle w:val="Body"/>
        <w:rPr>
          <w:rFonts w:ascii="Arial" w:hAnsi="Arial" w:cs="Arial"/>
        </w:rPr>
      </w:pPr>
      <w:r w:rsidRPr="001844F8">
        <w:rPr>
          <w:rFonts w:ascii="Arial" w:hAnsi="Arial" w:cs="Arial"/>
        </w:rPr>
        <w:t>Source: Data test results, 2024.</w:t>
      </w:r>
    </w:p>
    <w:p w:rsidR="001844F8" w:rsidRPr="001844F8" w:rsidRDefault="001844F8" w:rsidP="001844F8">
      <w:pPr>
        <w:pStyle w:val="Body"/>
        <w:rPr>
          <w:rFonts w:ascii="Arial" w:hAnsi="Arial" w:cs="Arial"/>
        </w:rPr>
      </w:pPr>
      <w:r w:rsidRPr="001844F8">
        <w:rPr>
          <w:rFonts w:ascii="Arial" w:hAnsi="Arial" w:cs="Arial"/>
        </w:rPr>
        <w:t>In Table 5 it can be seen that the initial indicators still have loading factors with a value of &lt;0.5, namely the PT6 indicator is 0.491, PT2 is 0.437 and PT1 is 0.265. These indicators will be eliminated so that all indicators have a loading factor value of &gt; 0.5. So, it can be concluded that all indicators are valid. Furthermore, the Reliability test was obtained at 0.741. This value is greater than 0.70, which means that the variable is consistent.</w:t>
      </w:r>
    </w:p>
    <w:p w:rsidR="001844F8" w:rsidRPr="001844F8" w:rsidRDefault="001844F8" w:rsidP="001844F8">
      <w:pPr>
        <w:pStyle w:val="Body"/>
        <w:rPr>
          <w:rFonts w:ascii="Arial" w:hAnsi="Arial" w:cs="Arial"/>
        </w:rPr>
      </w:pPr>
    </w:p>
    <w:p w:rsidR="001844F8" w:rsidRPr="001844F8" w:rsidRDefault="001844F8" w:rsidP="007418CF">
      <w:pPr>
        <w:pStyle w:val="Body"/>
        <w:numPr>
          <w:ilvl w:val="0"/>
          <w:numId w:val="11"/>
        </w:numPr>
        <w:rPr>
          <w:rFonts w:ascii="Arial" w:hAnsi="Arial" w:cs="Arial"/>
          <w:i/>
          <w:iCs/>
        </w:rPr>
      </w:pPr>
      <w:r w:rsidRPr="001844F8">
        <w:rPr>
          <w:rFonts w:ascii="Arial" w:hAnsi="Arial" w:cs="Arial"/>
        </w:rPr>
        <w:t>CFA Subjective Norms</w:t>
      </w:r>
    </w:p>
    <w:p w:rsidR="001844F8" w:rsidRPr="001844F8" w:rsidRDefault="001844F8" w:rsidP="001844F8">
      <w:pPr>
        <w:pStyle w:val="Body"/>
        <w:rPr>
          <w:rFonts w:ascii="Arial" w:hAnsi="Arial" w:cs="Arial"/>
          <w:lang w:val="en-ID"/>
        </w:rPr>
      </w:pPr>
      <w:bookmarkStart w:id="70" w:name="_Toc147172610"/>
      <w:bookmarkStart w:id="71" w:name="_Toc147173069"/>
      <w:bookmarkStart w:id="72" w:name="_Toc147173237"/>
      <w:bookmarkStart w:id="73" w:name="_Toc147830040"/>
      <w:bookmarkStart w:id="74" w:name="_Toc147830262"/>
      <w:bookmarkStart w:id="75" w:name="_Toc153835431"/>
      <w:bookmarkStart w:id="76" w:name="_Toc153853396"/>
      <w:bookmarkStart w:id="77" w:name="_Toc153854670"/>
      <w:bookmarkStart w:id="78" w:name="_Toc154132013"/>
      <w:bookmarkStart w:id="79" w:name="_Toc154134773"/>
      <w:bookmarkStart w:id="80" w:name="_Toc154135214"/>
      <w:bookmarkStart w:id="81" w:name="_Toc154135465"/>
      <w:bookmarkStart w:id="82" w:name="_Toc159492674"/>
      <w:r w:rsidRPr="001844F8">
        <w:rPr>
          <w:rFonts w:ascii="Arial" w:hAnsi="Arial" w:cs="Arial"/>
          <w:b/>
          <w:bCs/>
          <w:lang w:val="en-ID"/>
        </w:rPr>
        <w:t>Table 6.</w:t>
      </w:r>
      <w:bookmarkEnd w:id="70"/>
      <w:bookmarkEnd w:id="71"/>
      <w:bookmarkEnd w:id="72"/>
      <w:bookmarkEnd w:id="73"/>
      <w:bookmarkEnd w:id="74"/>
      <w:bookmarkEnd w:id="75"/>
      <w:bookmarkEnd w:id="76"/>
      <w:bookmarkEnd w:id="77"/>
      <w:bookmarkEnd w:id="78"/>
      <w:bookmarkEnd w:id="79"/>
      <w:bookmarkEnd w:id="80"/>
      <w:bookmarkEnd w:id="81"/>
      <w:bookmarkEnd w:id="82"/>
      <w:r w:rsidRPr="001844F8">
        <w:rPr>
          <w:rFonts w:ascii="Arial" w:hAnsi="Arial" w:cs="Arial"/>
          <w:lang w:val="en-ID"/>
        </w:rPr>
        <w:t>Validity of CFA Subjective Norms</w:t>
      </w:r>
    </w:p>
    <w:tbl>
      <w:tblPr>
        <w:tblW w:w="7512" w:type="dxa"/>
        <w:jc w:val="center"/>
        <w:tblLook w:val="04A0" w:firstRow="1" w:lastRow="0" w:firstColumn="1" w:lastColumn="0" w:noHBand="0" w:noVBand="1"/>
      </w:tblPr>
      <w:tblGrid>
        <w:gridCol w:w="1296"/>
        <w:gridCol w:w="1016"/>
        <w:gridCol w:w="1096"/>
        <w:gridCol w:w="996"/>
        <w:gridCol w:w="1016"/>
        <w:gridCol w:w="1096"/>
        <w:gridCol w:w="996"/>
      </w:tblGrid>
      <w:tr w:rsidR="001844F8" w:rsidRPr="001844F8" w:rsidTr="006E664E">
        <w:trPr>
          <w:trHeight w:val="183"/>
          <w:tblHeader/>
          <w:jc w:val="center"/>
        </w:trPr>
        <w:tc>
          <w:tcPr>
            <w:tcW w:w="1296" w:type="dxa"/>
            <w:vMerge w:val="restart"/>
            <w:tcBorders>
              <w:top w:val="single" w:sz="4" w:space="0" w:color="auto"/>
              <w:left w:val="nil"/>
              <w:bottom w:val="single" w:sz="4" w:space="0" w:color="000000"/>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Indicator</w:t>
            </w:r>
          </w:p>
        </w:tc>
        <w:tc>
          <w:tcPr>
            <w:tcW w:w="3108" w:type="dxa"/>
            <w:gridSpan w:val="3"/>
            <w:tcBorders>
              <w:top w:val="single" w:sz="4" w:space="0" w:color="auto"/>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CFA NS</w:t>
            </w:r>
          </w:p>
        </w:tc>
        <w:tc>
          <w:tcPr>
            <w:tcW w:w="3108" w:type="dxa"/>
            <w:gridSpan w:val="3"/>
            <w:tcBorders>
              <w:top w:val="single" w:sz="4" w:space="0" w:color="auto"/>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CFA NS (elimination)</w:t>
            </w:r>
          </w:p>
        </w:tc>
      </w:tr>
      <w:tr w:rsidR="001844F8" w:rsidRPr="001844F8" w:rsidTr="006E664E">
        <w:trPr>
          <w:trHeight w:val="271"/>
          <w:tblHeader/>
          <w:jc w:val="center"/>
        </w:trPr>
        <w:tc>
          <w:tcPr>
            <w:tcW w:w="1296" w:type="dxa"/>
            <w:vMerge/>
            <w:tcBorders>
              <w:top w:val="single" w:sz="4" w:space="0" w:color="auto"/>
              <w:left w:val="nil"/>
              <w:bottom w:val="single" w:sz="4" w:space="0" w:color="000000"/>
              <w:right w:val="nil"/>
            </w:tcBorders>
            <w:vAlign w:val="center"/>
            <w:hideMark/>
          </w:tcPr>
          <w:p w:rsidR="001844F8" w:rsidRPr="001844F8" w:rsidRDefault="001844F8" w:rsidP="001844F8">
            <w:pPr>
              <w:pStyle w:val="Body"/>
              <w:rPr>
                <w:rFonts w:ascii="Arial" w:hAnsi="Arial" w:cs="Arial"/>
              </w:rPr>
            </w:pPr>
          </w:p>
        </w:tc>
        <w:tc>
          <w:tcPr>
            <w:tcW w:w="101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Loading</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Loading2</w:t>
            </w:r>
          </w:p>
        </w:tc>
        <w:tc>
          <w:tcPr>
            <w:tcW w:w="9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error</w:t>
            </w:r>
          </w:p>
        </w:tc>
        <w:tc>
          <w:tcPr>
            <w:tcW w:w="101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Loading</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Loading2</w:t>
            </w:r>
          </w:p>
        </w:tc>
        <w:tc>
          <w:tcPr>
            <w:tcW w:w="9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error</w:t>
            </w:r>
          </w:p>
        </w:tc>
      </w:tr>
      <w:tr w:rsidR="001844F8" w:rsidRPr="001844F8" w:rsidTr="006E664E">
        <w:trPr>
          <w:trHeight w:val="275"/>
          <w:jc w:val="center"/>
        </w:trPr>
        <w:tc>
          <w:tcPr>
            <w:tcW w:w="12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NS4</w:t>
            </w:r>
          </w:p>
        </w:tc>
        <w:tc>
          <w:tcPr>
            <w:tcW w:w="101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0.415</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0.172</w:t>
            </w:r>
          </w:p>
        </w:tc>
        <w:tc>
          <w:tcPr>
            <w:tcW w:w="9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0.828</w:t>
            </w:r>
          </w:p>
        </w:tc>
        <w:tc>
          <w:tcPr>
            <w:tcW w:w="101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p>
        </w:tc>
        <w:tc>
          <w:tcPr>
            <w:tcW w:w="10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p>
        </w:tc>
        <w:tc>
          <w:tcPr>
            <w:tcW w:w="9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p>
        </w:tc>
      </w:tr>
      <w:tr w:rsidR="001844F8" w:rsidRPr="001844F8" w:rsidTr="006E664E">
        <w:trPr>
          <w:trHeight w:val="279"/>
          <w:jc w:val="center"/>
        </w:trPr>
        <w:tc>
          <w:tcPr>
            <w:tcW w:w="12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NS3</w:t>
            </w:r>
          </w:p>
        </w:tc>
        <w:tc>
          <w:tcPr>
            <w:tcW w:w="101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0.652</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0.425</w:t>
            </w:r>
          </w:p>
        </w:tc>
        <w:tc>
          <w:tcPr>
            <w:tcW w:w="9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0.575</w:t>
            </w:r>
          </w:p>
        </w:tc>
        <w:tc>
          <w:tcPr>
            <w:tcW w:w="101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0.616</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0.379</w:t>
            </w:r>
          </w:p>
        </w:tc>
        <w:tc>
          <w:tcPr>
            <w:tcW w:w="9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0.621</w:t>
            </w:r>
          </w:p>
        </w:tc>
      </w:tr>
      <w:tr w:rsidR="001844F8" w:rsidRPr="001844F8" w:rsidTr="006E664E">
        <w:trPr>
          <w:trHeight w:val="269"/>
          <w:jc w:val="center"/>
        </w:trPr>
        <w:tc>
          <w:tcPr>
            <w:tcW w:w="12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NS2</w:t>
            </w:r>
          </w:p>
        </w:tc>
        <w:tc>
          <w:tcPr>
            <w:tcW w:w="101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0.672</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0.452</w:t>
            </w:r>
          </w:p>
        </w:tc>
        <w:tc>
          <w:tcPr>
            <w:tcW w:w="9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0.548</w:t>
            </w:r>
          </w:p>
        </w:tc>
        <w:tc>
          <w:tcPr>
            <w:tcW w:w="101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0.667</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0.445</w:t>
            </w:r>
          </w:p>
        </w:tc>
        <w:tc>
          <w:tcPr>
            <w:tcW w:w="9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0.555</w:t>
            </w:r>
          </w:p>
        </w:tc>
      </w:tr>
      <w:tr w:rsidR="001844F8" w:rsidRPr="001844F8" w:rsidTr="006E664E">
        <w:trPr>
          <w:trHeight w:val="315"/>
          <w:jc w:val="center"/>
        </w:trPr>
        <w:tc>
          <w:tcPr>
            <w:tcW w:w="12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NS1</w:t>
            </w:r>
          </w:p>
        </w:tc>
        <w:tc>
          <w:tcPr>
            <w:tcW w:w="101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0.754</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0.569</w:t>
            </w:r>
          </w:p>
        </w:tc>
        <w:tc>
          <w:tcPr>
            <w:tcW w:w="9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0.431</w:t>
            </w:r>
          </w:p>
        </w:tc>
        <w:tc>
          <w:tcPr>
            <w:tcW w:w="101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0.791</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0.626</w:t>
            </w:r>
          </w:p>
        </w:tc>
        <w:tc>
          <w:tcPr>
            <w:tcW w:w="9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0.374</w:t>
            </w:r>
          </w:p>
        </w:tc>
      </w:tr>
      <w:tr w:rsidR="001844F8" w:rsidRPr="001844F8" w:rsidTr="006E664E">
        <w:trPr>
          <w:trHeight w:val="630"/>
          <w:jc w:val="center"/>
        </w:trPr>
        <w:tc>
          <w:tcPr>
            <w:tcW w:w="12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of Std Loading</w:t>
            </w:r>
          </w:p>
        </w:tc>
        <w:tc>
          <w:tcPr>
            <w:tcW w:w="101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2,493</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9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01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2,074</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9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r w:rsidR="001844F8" w:rsidRPr="001844F8" w:rsidTr="006E664E">
        <w:trPr>
          <w:trHeight w:val="690"/>
          <w:jc w:val="center"/>
        </w:trPr>
        <w:tc>
          <w:tcPr>
            <w:tcW w:w="12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of Std Loading2</w:t>
            </w:r>
          </w:p>
        </w:tc>
        <w:tc>
          <w:tcPr>
            <w:tcW w:w="101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1,617</w:t>
            </w:r>
          </w:p>
        </w:tc>
        <w:tc>
          <w:tcPr>
            <w:tcW w:w="9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01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1,450</w:t>
            </w:r>
          </w:p>
        </w:tc>
        <w:tc>
          <w:tcPr>
            <w:tcW w:w="9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r w:rsidR="001844F8" w:rsidRPr="001844F8" w:rsidTr="006E664E">
        <w:trPr>
          <w:trHeight w:val="315"/>
          <w:jc w:val="center"/>
        </w:trPr>
        <w:tc>
          <w:tcPr>
            <w:tcW w:w="12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error</w:t>
            </w:r>
          </w:p>
        </w:tc>
        <w:tc>
          <w:tcPr>
            <w:tcW w:w="101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9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2.38257</w:t>
            </w:r>
          </w:p>
        </w:tc>
        <w:tc>
          <w:tcPr>
            <w:tcW w:w="101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9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1.54997</w:t>
            </w:r>
          </w:p>
        </w:tc>
      </w:tr>
      <w:tr w:rsidR="001844F8" w:rsidRPr="001844F8" w:rsidTr="006E664E">
        <w:trPr>
          <w:trHeight w:val="630"/>
          <w:jc w:val="center"/>
        </w:trPr>
        <w:tc>
          <w:tcPr>
            <w:tcW w:w="1296" w:type="dxa"/>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Construct Reliability</w:t>
            </w:r>
          </w:p>
        </w:tc>
        <w:tc>
          <w:tcPr>
            <w:tcW w:w="101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0.723</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9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01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0.735</w:t>
            </w:r>
          </w:p>
        </w:tc>
        <w:tc>
          <w:tcPr>
            <w:tcW w:w="10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996" w:type="dxa"/>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bl>
    <w:p w:rsidR="001844F8" w:rsidRPr="001844F8" w:rsidRDefault="001844F8" w:rsidP="001844F8">
      <w:pPr>
        <w:pStyle w:val="Body"/>
        <w:rPr>
          <w:rFonts w:ascii="Arial" w:hAnsi="Arial" w:cs="Arial"/>
        </w:rPr>
      </w:pPr>
      <w:r w:rsidRPr="001844F8">
        <w:rPr>
          <w:rFonts w:ascii="Arial" w:hAnsi="Arial" w:cs="Arial"/>
        </w:rPr>
        <w:t>Source: Data test results, 2024.</w:t>
      </w:r>
    </w:p>
    <w:p w:rsidR="001844F8" w:rsidRPr="001844F8" w:rsidRDefault="001844F8" w:rsidP="001844F8">
      <w:pPr>
        <w:pStyle w:val="Body"/>
        <w:rPr>
          <w:rFonts w:ascii="Arial" w:hAnsi="Arial" w:cs="Arial"/>
        </w:rPr>
      </w:pPr>
      <w:r w:rsidRPr="001844F8">
        <w:rPr>
          <w:rFonts w:ascii="Arial" w:hAnsi="Arial" w:cs="Arial"/>
        </w:rPr>
        <w:t>In Table 6 it can be seen that the initial indicator still has a loading factor with a value of &lt;0.5, namely the NS4 indicator is 0.415. These indicators will also be eliminated so that all indicators have a loading factor value of &gt; 0.5. So, it can be concluded that all indicators are valid. Furthermore, the Reliability test was obtained at 0.735. This value is greater than 0.70, which means that the variable is consistent.</w:t>
      </w:r>
    </w:p>
    <w:p w:rsidR="001844F8" w:rsidRPr="001844F8" w:rsidRDefault="001844F8" w:rsidP="001844F8">
      <w:pPr>
        <w:pStyle w:val="Body"/>
        <w:rPr>
          <w:rFonts w:ascii="Arial" w:hAnsi="Arial" w:cs="Arial"/>
        </w:rPr>
      </w:pPr>
    </w:p>
    <w:p w:rsidR="001844F8" w:rsidRPr="001844F8" w:rsidRDefault="001844F8" w:rsidP="007418CF">
      <w:pPr>
        <w:pStyle w:val="Body"/>
        <w:numPr>
          <w:ilvl w:val="0"/>
          <w:numId w:val="11"/>
        </w:numPr>
        <w:rPr>
          <w:rFonts w:ascii="Arial" w:hAnsi="Arial" w:cs="Arial"/>
          <w:i/>
          <w:iCs/>
        </w:rPr>
      </w:pPr>
      <w:r w:rsidRPr="001844F8">
        <w:rPr>
          <w:rFonts w:ascii="Arial" w:hAnsi="Arial" w:cs="Arial"/>
        </w:rPr>
        <w:t>CFA Financial Knowledge</w:t>
      </w:r>
    </w:p>
    <w:p w:rsidR="001844F8" w:rsidRPr="001844F8" w:rsidRDefault="001844F8" w:rsidP="001844F8">
      <w:pPr>
        <w:pStyle w:val="Body"/>
        <w:rPr>
          <w:rFonts w:ascii="Arial" w:hAnsi="Arial" w:cs="Arial"/>
          <w:lang w:val="en-ID"/>
        </w:rPr>
      </w:pPr>
      <w:bookmarkStart w:id="83" w:name="_Toc147172611"/>
      <w:bookmarkStart w:id="84" w:name="_Toc147173070"/>
      <w:bookmarkStart w:id="85" w:name="_Toc147173238"/>
      <w:bookmarkStart w:id="86" w:name="_Toc147830041"/>
      <w:bookmarkStart w:id="87" w:name="_Toc147830263"/>
      <w:bookmarkStart w:id="88" w:name="_Toc153835432"/>
      <w:bookmarkStart w:id="89" w:name="_Toc153853397"/>
      <w:bookmarkStart w:id="90" w:name="_Toc153854671"/>
      <w:bookmarkStart w:id="91" w:name="_Toc154132014"/>
      <w:bookmarkStart w:id="92" w:name="_Toc154134774"/>
      <w:bookmarkStart w:id="93" w:name="_Toc154135215"/>
      <w:bookmarkStart w:id="94" w:name="_Toc154135466"/>
      <w:bookmarkStart w:id="95" w:name="_Toc159492675"/>
      <w:r w:rsidRPr="001844F8">
        <w:rPr>
          <w:rFonts w:ascii="Arial" w:hAnsi="Arial" w:cs="Arial"/>
          <w:b/>
          <w:bCs/>
          <w:lang w:val="en-ID"/>
        </w:rPr>
        <w:t>Table 7.</w:t>
      </w:r>
      <w:bookmarkEnd w:id="83"/>
      <w:bookmarkEnd w:id="84"/>
      <w:bookmarkEnd w:id="85"/>
      <w:bookmarkEnd w:id="86"/>
      <w:bookmarkEnd w:id="87"/>
      <w:bookmarkEnd w:id="88"/>
      <w:bookmarkEnd w:id="89"/>
      <w:bookmarkEnd w:id="90"/>
      <w:bookmarkEnd w:id="91"/>
      <w:bookmarkEnd w:id="92"/>
      <w:bookmarkEnd w:id="93"/>
      <w:bookmarkEnd w:id="94"/>
      <w:bookmarkEnd w:id="95"/>
      <w:r w:rsidRPr="001844F8">
        <w:rPr>
          <w:rFonts w:ascii="Arial" w:hAnsi="Arial" w:cs="Arial"/>
          <w:lang w:val="en-ID"/>
        </w:rPr>
        <w:t>Validity of CFA Financial Knowledge</w:t>
      </w:r>
    </w:p>
    <w:tbl>
      <w:tblPr>
        <w:tblW w:w="5000" w:type="pct"/>
        <w:jc w:val="center"/>
        <w:tblLook w:val="04A0" w:firstRow="1" w:lastRow="0" w:firstColumn="1" w:lastColumn="0" w:noHBand="0" w:noVBand="1"/>
      </w:tblPr>
      <w:tblGrid>
        <w:gridCol w:w="3487"/>
        <w:gridCol w:w="1597"/>
        <w:gridCol w:w="1712"/>
        <w:gridCol w:w="1628"/>
      </w:tblGrid>
      <w:tr w:rsidR="001844F8" w:rsidRPr="001844F8" w:rsidTr="006E664E">
        <w:trPr>
          <w:trHeight w:val="195"/>
          <w:tblHeader/>
          <w:jc w:val="center"/>
        </w:trPr>
        <w:tc>
          <w:tcPr>
            <w:tcW w:w="2070" w:type="pct"/>
            <w:vMerge w:val="restart"/>
            <w:tcBorders>
              <w:top w:val="single" w:sz="4" w:space="0" w:color="auto"/>
              <w:left w:val="nil"/>
              <w:bottom w:val="single" w:sz="4" w:space="0" w:color="000000"/>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Indicator</w:t>
            </w:r>
          </w:p>
        </w:tc>
        <w:tc>
          <w:tcPr>
            <w:tcW w:w="2930" w:type="pct"/>
            <w:gridSpan w:val="3"/>
            <w:tcBorders>
              <w:top w:val="single" w:sz="4" w:space="0" w:color="auto"/>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CFA FK</w:t>
            </w:r>
          </w:p>
        </w:tc>
      </w:tr>
      <w:tr w:rsidR="001844F8" w:rsidRPr="001844F8" w:rsidTr="006E664E">
        <w:trPr>
          <w:trHeight w:val="143"/>
          <w:tblHeader/>
          <w:jc w:val="center"/>
        </w:trPr>
        <w:tc>
          <w:tcPr>
            <w:tcW w:w="2070" w:type="pct"/>
            <w:vMerge/>
            <w:tcBorders>
              <w:top w:val="single" w:sz="4" w:space="0" w:color="auto"/>
              <w:left w:val="nil"/>
              <w:bottom w:val="single" w:sz="4" w:space="0" w:color="000000"/>
              <w:right w:val="nil"/>
            </w:tcBorders>
            <w:vAlign w:val="center"/>
            <w:hideMark/>
          </w:tcPr>
          <w:p w:rsidR="001844F8" w:rsidRPr="001844F8" w:rsidRDefault="001844F8" w:rsidP="001844F8">
            <w:pPr>
              <w:pStyle w:val="Body"/>
              <w:rPr>
                <w:rFonts w:ascii="Arial" w:hAnsi="Arial" w:cs="Arial"/>
              </w:rPr>
            </w:pPr>
          </w:p>
        </w:tc>
        <w:tc>
          <w:tcPr>
            <w:tcW w:w="94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Loading</w:t>
            </w:r>
          </w:p>
        </w:tc>
        <w:tc>
          <w:tcPr>
            <w:tcW w:w="101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Loading2</w:t>
            </w:r>
          </w:p>
        </w:tc>
        <w:tc>
          <w:tcPr>
            <w:tcW w:w="96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error</w:t>
            </w:r>
          </w:p>
        </w:tc>
      </w:tr>
      <w:tr w:rsidR="001844F8" w:rsidRPr="001844F8" w:rsidTr="006E664E">
        <w:trPr>
          <w:trHeight w:val="315"/>
          <w:jc w:val="center"/>
        </w:trPr>
        <w:tc>
          <w:tcPr>
            <w:tcW w:w="2070"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FK4</w:t>
            </w:r>
          </w:p>
        </w:tc>
        <w:tc>
          <w:tcPr>
            <w:tcW w:w="948"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0.722</w:t>
            </w:r>
          </w:p>
        </w:tc>
        <w:tc>
          <w:tcPr>
            <w:tcW w:w="101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0.521</w:t>
            </w:r>
          </w:p>
        </w:tc>
        <w:tc>
          <w:tcPr>
            <w:tcW w:w="96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0.479</w:t>
            </w:r>
          </w:p>
        </w:tc>
      </w:tr>
      <w:tr w:rsidR="001844F8" w:rsidRPr="001844F8" w:rsidTr="006E664E">
        <w:trPr>
          <w:trHeight w:val="315"/>
          <w:jc w:val="center"/>
        </w:trPr>
        <w:tc>
          <w:tcPr>
            <w:tcW w:w="2070"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FK3</w:t>
            </w:r>
          </w:p>
        </w:tc>
        <w:tc>
          <w:tcPr>
            <w:tcW w:w="948"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0.975</w:t>
            </w:r>
          </w:p>
        </w:tc>
        <w:tc>
          <w:tcPr>
            <w:tcW w:w="101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0.951</w:t>
            </w:r>
          </w:p>
        </w:tc>
        <w:tc>
          <w:tcPr>
            <w:tcW w:w="96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0.049</w:t>
            </w:r>
          </w:p>
        </w:tc>
      </w:tr>
      <w:tr w:rsidR="001844F8" w:rsidRPr="001844F8" w:rsidTr="006E664E">
        <w:trPr>
          <w:trHeight w:val="315"/>
          <w:jc w:val="center"/>
        </w:trPr>
        <w:tc>
          <w:tcPr>
            <w:tcW w:w="2070"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FK2</w:t>
            </w:r>
          </w:p>
        </w:tc>
        <w:tc>
          <w:tcPr>
            <w:tcW w:w="948"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0.586</w:t>
            </w:r>
          </w:p>
        </w:tc>
        <w:tc>
          <w:tcPr>
            <w:tcW w:w="101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0.343</w:t>
            </w:r>
          </w:p>
        </w:tc>
        <w:tc>
          <w:tcPr>
            <w:tcW w:w="96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0.657</w:t>
            </w:r>
          </w:p>
        </w:tc>
      </w:tr>
      <w:tr w:rsidR="001844F8" w:rsidRPr="001844F8" w:rsidTr="006E664E">
        <w:trPr>
          <w:trHeight w:val="315"/>
          <w:jc w:val="center"/>
        </w:trPr>
        <w:tc>
          <w:tcPr>
            <w:tcW w:w="2070"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FK1</w:t>
            </w:r>
          </w:p>
        </w:tc>
        <w:tc>
          <w:tcPr>
            <w:tcW w:w="948"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0.751</w:t>
            </w:r>
          </w:p>
        </w:tc>
        <w:tc>
          <w:tcPr>
            <w:tcW w:w="101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0.564</w:t>
            </w:r>
          </w:p>
        </w:tc>
        <w:tc>
          <w:tcPr>
            <w:tcW w:w="96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0.436</w:t>
            </w:r>
          </w:p>
        </w:tc>
      </w:tr>
      <w:tr w:rsidR="001844F8" w:rsidRPr="001844F8" w:rsidTr="006E664E">
        <w:trPr>
          <w:trHeight w:val="630"/>
          <w:jc w:val="center"/>
        </w:trPr>
        <w:tc>
          <w:tcPr>
            <w:tcW w:w="2070"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of Std Loading</w:t>
            </w:r>
          </w:p>
        </w:tc>
        <w:tc>
          <w:tcPr>
            <w:tcW w:w="94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3,034</w:t>
            </w:r>
          </w:p>
        </w:tc>
        <w:tc>
          <w:tcPr>
            <w:tcW w:w="101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96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r w:rsidR="001844F8" w:rsidRPr="001844F8" w:rsidTr="006E664E">
        <w:trPr>
          <w:trHeight w:val="690"/>
          <w:jc w:val="center"/>
        </w:trPr>
        <w:tc>
          <w:tcPr>
            <w:tcW w:w="2070"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lastRenderedPageBreak/>
              <w:t>Sum of Std Loading2</w:t>
            </w:r>
          </w:p>
        </w:tc>
        <w:tc>
          <w:tcPr>
            <w:tcW w:w="94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01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2,379</w:t>
            </w:r>
          </w:p>
        </w:tc>
        <w:tc>
          <w:tcPr>
            <w:tcW w:w="96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r w:rsidR="001844F8" w:rsidRPr="001844F8" w:rsidTr="006E664E">
        <w:trPr>
          <w:trHeight w:val="315"/>
          <w:jc w:val="center"/>
        </w:trPr>
        <w:tc>
          <w:tcPr>
            <w:tcW w:w="2070"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error</w:t>
            </w:r>
          </w:p>
        </w:tc>
        <w:tc>
          <w:tcPr>
            <w:tcW w:w="94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01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96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1.62069</w:t>
            </w:r>
          </w:p>
        </w:tc>
      </w:tr>
      <w:tr w:rsidR="001844F8" w:rsidRPr="001844F8" w:rsidTr="006E664E">
        <w:trPr>
          <w:trHeight w:val="630"/>
          <w:jc w:val="center"/>
        </w:trPr>
        <w:tc>
          <w:tcPr>
            <w:tcW w:w="2070"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Construct Reliability</w:t>
            </w:r>
          </w:p>
        </w:tc>
        <w:tc>
          <w:tcPr>
            <w:tcW w:w="94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0.850</w:t>
            </w:r>
          </w:p>
        </w:tc>
        <w:tc>
          <w:tcPr>
            <w:tcW w:w="101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96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bl>
    <w:p w:rsidR="001844F8" w:rsidRPr="001844F8" w:rsidRDefault="001844F8" w:rsidP="001844F8">
      <w:pPr>
        <w:pStyle w:val="Body"/>
        <w:rPr>
          <w:rFonts w:ascii="Arial" w:hAnsi="Arial" w:cs="Arial"/>
        </w:rPr>
      </w:pPr>
      <w:r w:rsidRPr="001844F8">
        <w:rPr>
          <w:rFonts w:ascii="Arial" w:hAnsi="Arial" w:cs="Arial"/>
        </w:rPr>
        <w:t>Source: Data test results, 2024.</w:t>
      </w:r>
    </w:p>
    <w:p w:rsidR="001844F8" w:rsidRPr="001844F8" w:rsidRDefault="001844F8" w:rsidP="001844F8">
      <w:pPr>
        <w:pStyle w:val="Body"/>
        <w:rPr>
          <w:rFonts w:ascii="Arial" w:hAnsi="Arial" w:cs="Arial"/>
        </w:rPr>
      </w:pPr>
      <w:r w:rsidRPr="001844F8">
        <w:rPr>
          <w:rFonts w:ascii="Arial" w:hAnsi="Arial" w:cs="Arial"/>
        </w:rPr>
        <w:t xml:space="preserve">In Table 7 it can be seen that all indicators obtained have a loading factor value of &gt; 0.5. </w:t>
      </w:r>
      <w:proofErr w:type="gramStart"/>
      <w:r w:rsidRPr="001844F8">
        <w:rPr>
          <w:rFonts w:ascii="Arial" w:hAnsi="Arial" w:cs="Arial"/>
        </w:rPr>
        <w:t>So</w:t>
      </w:r>
      <w:proofErr w:type="gramEnd"/>
      <w:r w:rsidRPr="001844F8">
        <w:rPr>
          <w:rFonts w:ascii="Arial" w:hAnsi="Arial" w:cs="Arial"/>
        </w:rPr>
        <w:t xml:space="preserve"> it can be concluded that all indicators are valid. Furthermore, the Reliability test was obtained at 0.850. This value is greater than 0.70, which means that the variable is consistent.</w:t>
      </w:r>
    </w:p>
    <w:p w:rsidR="001844F8" w:rsidRPr="001844F8" w:rsidRDefault="001844F8" w:rsidP="001844F8">
      <w:pPr>
        <w:pStyle w:val="Body"/>
        <w:rPr>
          <w:rFonts w:ascii="Arial" w:hAnsi="Arial" w:cs="Arial"/>
        </w:rPr>
      </w:pPr>
    </w:p>
    <w:p w:rsidR="001844F8" w:rsidRPr="001844F8" w:rsidRDefault="001844F8" w:rsidP="007418CF">
      <w:pPr>
        <w:pStyle w:val="Body"/>
        <w:numPr>
          <w:ilvl w:val="0"/>
          <w:numId w:val="11"/>
        </w:numPr>
        <w:rPr>
          <w:rFonts w:ascii="Arial" w:hAnsi="Arial" w:cs="Arial"/>
          <w:i/>
          <w:iCs/>
        </w:rPr>
      </w:pPr>
      <w:r w:rsidRPr="001844F8">
        <w:rPr>
          <w:rFonts w:ascii="Arial" w:hAnsi="Arial" w:cs="Arial"/>
        </w:rPr>
        <w:t>CFA Financial Attitude</w:t>
      </w:r>
    </w:p>
    <w:p w:rsidR="001844F8" w:rsidRPr="001844F8" w:rsidRDefault="001844F8" w:rsidP="001844F8">
      <w:pPr>
        <w:pStyle w:val="Body"/>
        <w:rPr>
          <w:rFonts w:ascii="Arial" w:hAnsi="Arial" w:cs="Arial"/>
          <w:lang w:val="en-ID"/>
        </w:rPr>
      </w:pPr>
      <w:bookmarkStart w:id="96" w:name="_Toc147172612"/>
      <w:bookmarkStart w:id="97" w:name="_Toc147173071"/>
      <w:bookmarkStart w:id="98" w:name="_Toc147173239"/>
      <w:bookmarkStart w:id="99" w:name="_Toc147830042"/>
      <w:bookmarkStart w:id="100" w:name="_Toc147830264"/>
      <w:bookmarkStart w:id="101" w:name="_Toc153835433"/>
      <w:bookmarkStart w:id="102" w:name="_Toc153853398"/>
      <w:bookmarkStart w:id="103" w:name="_Toc153854672"/>
      <w:bookmarkStart w:id="104" w:name="_Toc154132015"/>
      <w:bookmarkStart w:id="105" w:name="_Toc154134775"/>
      <w:bookmarkStart w:id="106" w:name="_Toc154135216"/>
      <w:bookmarkStart w:id="107" w:name="_Toc154135467"/>
      <w:bookmarkStart w:id="108" w:name="_Toc159492676"/>
      <w:r w:rsidRPr="001844F8">
        <w:rPr>
          <w:rFonts w:ascii="Arial" w:hAnsi="Arial" w:cs="Arial"/>
          <w:b/>
          <w:bCs/>
          <w:lang w:val="en-ID"/>
        </w:rPr>
        <w:t>Table 8.</w:t>
      </w:r>
      <w:bookmarkEnd w:id="96"/>
      <w:bookmarkEnd w:id="97"/>
      <w:bookmarkEnd w:id="98"/>
      <w:bookmarkEnd w:id="99"/>
      <w:bookmarkEnd w:id="100"/>
      <w:bookmarkEnd w:id="101"/>
      <w:bookmarkEnd w:id="102"/>
      <w:bookmarkEnd w:id="103"/>
      <w:bookmarkEnd w:id="104"/>
      <w:bookmarkEnd w:id="105"/>
      <w:bookmarkEnd w:id="106"/>
      <w:bookmarkEnd w:id="107"/>
      <w:bookmarkEnd w:id="108"/>
      <w:r w:rsidRPr="001844F8">
        <w:rPr>
          <w:rFonts w:ascii="Arial" w:hAnsi="Arial" w:cs="Arial"/>
          <w:lang w:val="en-ID"/>
        </w:rPr>
        <w:t>Validity of CFA Financial Attitude</w:t>
      </w:r>
    </w:p>
    <w:tbl>
      <w:tblPr>
        <w:tblW w:w="5000" w:type="pct"/>
        <w:jc w:val="center"/>
        <w:tblLook w:val="04A0" w:firstRow="1" w:lastRow="0" w:firstColumn="1" w:lastColumn="0" w:noHBand="0" w:noVBand="1"/>
      </w:tblPr>
      <w:tblGrid>
        <w:gridCol w:w="2478"/>
        <w:gridCol w:w="1943"/>
        <w:gridCol w:w="2096"/>
        <w:gridCol w:w="1907"/>
      </w:tblGrid>
      <w:tr w:rsidR="001844F8" w:rsidRPr="001844F8" w:rsidTr="006E664E">
        <w:trPr>
          <w:trHeight w:val="315"/>
          <w:tblHeader/>
          <w:jc w:val="center"/>
        </w:trPr>
        <w:tc>
          <w:tcPr>
            <w:tcW w:w="1471" w:type="pct"/>
            <w:vMerge w:val="restart"/>
            <w:tcBorders>
              <w:top w:val="single" w:sz="4" w:space="0" w:color="auto"/>
              <w:left w:val="nil"/>
              <w:bottom w:val="single" w:sz="4" w:space="0" w:color="000000"/>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Indicator</w:t>
            </w:r>
          </w:p>
        </w:tc>
        <w:tc>
          <w:tcPr>
            <w:tcW w:w="3529" w:type="pct"/>
            <w:gridSpan w:val="3"/>
            <w:tcBorders>
              <w:top w:val="single" w:sz="4" w:space="0" w:color="auto"/>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CFA FA</w:t>
            </w:r>
          </w:p>
        </w:tc>
      </w:tr>
      <w:tr w:rsidR="001844F8" w:rsidRPr="001844F8" w:rsidTr="006E664E">
        <w:trPr>
          <w:trHeight w:val="375"/>
          <w:tblHeader/>
          <w:jc w:val="center"/>
        </w:trPr>
        <w:tc>
          <w:tcPr>
            <w:tcW w:w="1471" w:type="pct"/>
            <w:vMerge/>
            <w:tcBorders>
              <w:top w:val="single" w:sz="4" w:space="0" w:color="auto"/>
              <w:left w:val="nil"/>
              <w:bottom w:val="single" w:sz="4" w:space="0" w:color="000000"/>
              <w:right w:val="nil"/>
            </w:tcBorders>
            <w:vAlign w:val="center"/>
            <w:hideMark/>
          </w:tcPr>
          <w:p w:rsidR="001844F8" w:rsidRPr="001844F8" w:rsidRDefault="001844F8" w:rsidP="001844F8">
            <w:pPr>
              <w:pStyle w:val="Body"/>
              <w:rPr>
                <w:rFonts w:ascii="Arial" w:hAnsi="Arial" w:cs="Arial"/>
              </w:rPr>
            </w:pPr>
          </w:p>
        </w:tc>
        <w:tc>
          <w:tcPr>
            <w:tcW w:w="1153"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Loading</w:t>
            </w:r>
          </w:p>
        </w:tc>
        <w:tc>
          <w:tcPr>
            <w:tcW w:w="124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Loading2</w:t>
            </w:r>
          </w:p>
        </w:tc>
        <w:tc>
          <w:tcPr>
            <w:tcW w:w="1131"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error</w:t>
            </w:r>
          </w:p>
        </w:tc>
      </w:tr>
      <w:tr w:rsidR="001844F8" w:rsidRPr="001844F8" w:rsidTr="006E664E">
        <w:trPr>
          <w:trHeight w:val="315"/>
          <w:jc w:val="center"/>
        </w:trPr>
        <w:tc>
          <w:tcPr>
            <w:tcW w:w="1471"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FA4</w:t>
            </w:r>
          </w:p>
        </w:tc>
        <w:tc>
          <w:tcPr>
            <w:tcW w:w="115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0.631</w:t>
            </w:r>
          </w:p>
        </w:tc>
        <w:tc>
          <w:tcPr>
            <w:tcW w:w="124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0.398</w:t>
            </w:r>
          </w:p>
        </w:tc>
        <w:tc>
          <w:tcPr>
            <w:tcW w:w="1131"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0.602</w:t>
            </w:r>
          </w:p>
        </w:tc>
      </w:tr>
      <w:tr w:rsidR="001844F8" w:rsidRPr="001844F8" w:rsidTr="006E664E">
        <w:trPr>
          <w:trHeight w:val="315"/>
          <w:jc w:val="center"/>
        </w:trPr>
        <w:tc>
          <w:tcPr>
            <w:tcW w:w="1471"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FA3</w:t>
            </w:r>
          </w:p>
        </w:tc>
        <w:tc>
          <w:tcPr>
            <w:tcW w:w="115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0.708</w:t>
            </w:r>
          </w:p>
        </w:tc>
        <w:tc>
          <w:tcPr>
            <w:tcW w:w="124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0.501</w:t>
            </w:r>
          </w:p>
        </w:tc>
        <w:tc>
          <w:tcPr>
            <w:tcW w:w="1131"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0.499</w:t>
            </w:r>
          </w:p>
        </w:tc>
      </w:tr>
      <w:tr w:rsidR="001844F8" w:rsidRPr="001844F8" w:rsidTr="006E664E">
        <w:trPr>
          <w:trHeight w:val="315"/>
          <w:jc w:val="center"/>
        </w:trPr>
        <w:tc>
          <w:tcPr>
            <w:tcW w:w="1471"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FA2</w:t>
            </w:r>
          </w:p>
        </w:tc>
        <w:tc>
          <w:tcPr>
            <w:tcW w:w="115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0.577</w:t>
            </w:r>
          </w:p>
        </w:tc>
        <w:tc>
          <w:tcPr>
            <w:tcW w:w="124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0.333</w:t>
            </w:r>
          </w:p>
        </w:tc>
        <w:tc>
          <w:tcPr>
            <w:tcW w:w="1131"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0.667</w:t>
            </w:r>
          </w:p>
        </w:tc>
      </w:tr>
      <w:tr w:rsidR="001844F8" w:rsidRPr="001844F8" w:rsidTr="006E664E">
        <w:trPr>
          <w:trHeight w:val="315"/>
          <w:jc w:val="center"/>
        </w:trPr>
        <w:tc>
          <w:tcPr>
            <w:tcW w:w="1471"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FA1</w:t>
            </w:r>
          </w:p>
        </w:tc>
        <w:tc>
          <w:tcPr>
            <w:tcW w:w="115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0.533</w:t>
            </w:r>
          </w:p>
        </w:tc>
        <w:tc>
          <w:tcPr>
            <w:tcW w:w="124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0.284</w:t>
            </w:r>
          </w:p>
        </w:tc>
        <w:tc>
          <w:tcPr>
            <w:tcW w:w="1131"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0.716</w:t>
            </w:r>
          </w:p>
        </w:tc>
      </w:tr>
      <w:tr w:rsidR="001844F8" w:rsidRPr="001844F8" w:rsidTr="006E664E">
        <w:trPr>
          <w:trHeight w:val="630"/>
          <w:jc w:val="center"/>
        </w:trPr>
        <w:tc>
          <w:tcPr>
            <w:tcW w:w="1471"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of Std Loading</w:t>
            </w:r>
          </w:p>
        </w:tc>
        <w:tc>
          <w:tcPr>
            <w:tcW w:w="1153"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2,449</w:t>
            </w:r>
          </w:p>
        </w:tc>
        <w:tc>
          <w:tcPr>
            <w:tcW w:w="124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131"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r w:rsidR="001844F8" w:rsidRPr="001844F8" w:rsidTr="006E664E">
        <w:trPr>
          <w:trHeight w:val="690"/>
          <w:jc w:val="center"/>
        </w:trPr>
        <w:tc>
          <w:tcPr>
            <w:tcW w:w="1471"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of Std Loading2</w:t>
            </w:r>
          </w:p>
        </w:tc>
        <w:tc>
          <w:tcPr>
            <w:tcW w:w="1153"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24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1,516</w:t>
            </w:r>
          </w:p>
        </w:tc>
        <w:tc>
          <w:tcPr>
            <w:tcW w:w="1131"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r w:rsidR="001844F8" w:rsidRPr="001844F8" w:rsidTr="006E664E">
        <w:trPr>
          <w:trHeight w:val="315"/>
          <w:jc w:val="center"/>
        </w:trPr>
        <w:tc>
          <w:tcPr>
            <w:tcW w:w="1471"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error</w:t>
            </w:r>
          </w:p>
        </w:tc>
        <w:tc>
          <w:tcPr>
            <w:tcW w:w="1153"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24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131"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2.48356</w:t>
            </w:r>
          </w:p>
        </w:tc>
      </w:tr>
      <w:tr w:rsidR="001844F8" w:rsidRPr="001844F8" w:rsidTr="006E664E">
        <w:trPr>
          <w:trHeight w:val="630"/>
          <w:jc w:val="center"/>
        </w:trPr>
        <w:tc>
          <w:tcPr>
            <w:tcW w:w="1471"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Construct Reliability</w:t>
            </w:r>
          </w:p>
        </w:tc>
        <w:tc>
          <w:tcPr>
            <w:tcW w:w="1153"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0.707</w:t>
            </w:r>
          </w:p>
        </w:tc>
        <w:tc>
          <w:tcPr>
            <w:tcW w:w="124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131"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bl>
    <w:p w:rsidR="001844F8" w:rsidRPr="001844F8" w:rsidRDefault="001844F8" w:rsidP="001844F8">
      <w:pPr>
        <w:pStyle w:val="Body"/>
        <w:rPr>
          <w:rFonts w:ascii="Arial" w:hAnsi="Arial" w:cs="Arial"/>
        </w:rPr>
      </w:pPr>
      <w:r w:rsidRPr="001844F8">
        <w:rPr>
          <w:rFonts w:ascii="Arial" w:hAnsi="Arial" w:cs="Arial"/>
        </w:rPr>
        <w:t>Source: Data test results, 2024.</w:t>
      </w:r>
    </w:p>
    <w:p w:rsidR="001844F8" w:rsidRPr="001844F8" w:rsidRDefault="001844F8" w:rsidP="001844F8">
      <w:pPr>
        <w:pStyle w:val="Body"/>
        <w:rPr>
          <w:rFonts w:ascii="Arial" w:hAnsi="Arial" w:cs="Arial"/>
        </w:rPr>
      </w:pPr>
      <w:r w:rsidRPr="001844F8">
        <w:rPr>
          <w:rFonts w:ascii="Arial" w:hAnsi="Arial" w:cs="Arial"/>
        </w:rPr>
        <w:t xml:space="preserve">In Table 8 it can be seen that all indicators obtained have a loading factor value of &gt; 0.5. </w:t>
      </w:r>
      <w:proofErr w:type="gramStart"/>
      <w:r w:rsidRPr="001844F8">
        <w:rPr>
          <w:rFonts w:ascii="Arial" w:hAnsi="Arial" w:cs="Arial"/>
        </w:rPr>
        <w:t>So</w:t>
      </w:r>
      <w:proofErr w:type="gramEnd"/>
      <w:r w:rsidRPr="001844F8">
        <w:rPr>
          <w:rFonts w:ascii="Arial" w:hAnsi="Arial" w:cs="Arial"/>
        </w:rPr>
        <w:t xml:space="preserve"> it can be concluded that all indicators are valid. Furthermore, the Reliability test was </w:t>
      </w:r>
      <w:r w:rsidRPr="001844F8">
        <w:rPr>
          <w:rFonts w:ascii="Arial" w:hAnsi="Arial" w:cs="Arial"/>
        </w:rPr>
        <w:lastRenderedPageBreak/>
        <w:t>obtained at 0.707. This value is greater than 0.70, which means that the variable is consistent.</w:t>
      </w:r>
    </w:p>
    <w:p w:rsidR="001844F8" w:rsidRPr="001844F8" w:rsidRDefault="001844F8" w:rsidP="001844F8">
      <w:pPr>
        <w:pStyle w:val="Body"/>
        <w:rPr>
          <w:rFonts w:ascii="Arial" w:hAnsi="Arial" w:cs="Arial"/>
        </w:rPr>
      </w:pPr>
    </w:p>
    <w:p w:rsidR="001844F8" w:rsidRPr="001844F8" w:rsidRDefault="001844F8" w:rsidP="007418CF">
      <w:pPr>
        <w:pStyle w:val="Body"/>
        <w:numPr>
          <w:ilvl w:val="0"/>
          <w:numId w:val="11"/>
        </w:numPr>
        <w:rPr>
          <w:rFonts w:ascii="Arial" w:hAnsi="Arial" w:cs="Arial"/>
          <w:i/>
          <w:iCs/>
        </w:rPr>
      </w:pPr>
      <w:r w:rsidRPr="001844F8">
        <w:rPr>
          <w:rFonts w:ascii="Arial" w:hAnsi="Arial" w:cs="Arial"/>
        </w:rPr>
        <w:t>CFA Financial Self-Efficacy</w:t>
      </w:r>
    </w:p>
    <w:p w:rsidR="001844F8" w:rsidRPr="001844F8" w:rsidRDefault="001844F8" w:rsidP="001844F8">
      <w:pPr>
        <w:pStyle w:val="Body"/>
        <w:rPr>
          <w:rFonts w:ascii="Arial" w:hAnsi="Arial" w:cs="Arial"/>
          <w:lang w:val="en-ID"/>
        </w:rPr>
      </w:pPr>
      <w:bookmarkStart w:id="109" w:name="_Toc147172613"/>
      <w:bookmarkStart w:id="110" w:name="_Toc147173072"/>
      <w:bookmarkStart w:id="111" w:name="_Toc147173240"/>
      <w:bookmarkStart w:id="112" w:name="_Toc147830043"/>
      <w:bookmarkStart w:id="113" w:name="_Toc147830265"/>
      <w:bookmarkStart w:id="114" w:name="_Toc153835434"/>
      <w:bookmarkStart w:id="115" w:name="_Toc153853399"/>
      <w:bookmarkStart w:id="116" w:name="_Toc153854673"/>
      <w:bookmarkStart w:id="117" w:name="_Toc154132016"/>
      <w:bookmarkStart w:id="118" w:name="_Toc154134776"/>
      <w:bookmarkStart w:id="119" w:name="_Toc154135217"/>
      <w:bookmarkStart w:id="120" w:name="_Toc154135468"/>
      <w:bookmarkStart w:id="121" w:name="_Toc159492677"/>
      <w:r w:rsidRPr="001844F8">
        <w:rPr>
          <w:rFonts w:ascii="Arial" w:hAnsi="Arial" w:cs="Arial"/>
          <w:b/>
          <w:bCs/>
          <w:lang w:val="en-ID"/>
        </w:rPr>
        <w:t>Table 9.</w:t>
      </w:r>
      <w:bookmarkEnd w:id="109"/>
      <w:bookmarkEnd w:id="110"/>
      <w:bookmarkEnd w:id="111"/>
      <w:bookmarkEnd w:id="112"/>
      <w:bookmarkEnd w:id="113"/>
      <w:bookmarkEnd w:id="114"/>
      <w:bookmarkEnd w:id="115"/>
      <w:bookmarkEnd w:id="116"/>
      <w:bookmarkEnd w:id="117"/>
      <w:bookmarkEnd w:id="118"/>
      <w:bookmarkEnd w:id="119"/>
      <w:bookmarkEnd w:id="120"/>
      <w:bookmarkEnd w:id="121"/>
      <w:r w:rsidRPr="001844F8">
        <w:rPr>
          <w:rFonts w:ascii="Arial" w:hAnsi="Arial" w:cs="Arial"/>
          <w:lang w:val="en-ID"/>
        </w:rPr>
        <w:t>Validity of CFA Financial Self-Efficacy</w:t>
      </w:r>
    </w:p>
    <w:tbl>
      <w:tblPr>
        <w:tblW w:w="5000" w:type="pct"/>
        <w:tblLook w:val="04A0" w:firstRow="1" w:lastRow="0" w:firstColumn="1" w:lastColumn="0" w:noHBand="0" w:noVBand="1"/>
      </w:tblPr>
      <w:tblGrid>
        <w:gridCol w:w="1420"/>
        <w:gridCol w:w="1169"/>
        <w:gridCol w:w="1176"/>
        <w:gridCol w:w="1171"/>
        <w:gridCol w:w="1156"/>
        <w:gridCol w:w="1176"/>
        <w:gridCol w:w="1156"/>
      </w:tblGrid>
      <w:tr w:rsidR="001844F8" w:rsidRPr="001844F8" w:rsidTr="006E664E">
        <w:trPr>
          <w:trHeight w:val="261"/>
          <w:tblHeader/>
        </w:trPr>
        <w:tc>
          <w:tcPr>
            <w:tcW w:w="843" w:type="pct"/>
            <w:vMerge w:val="restart"/>
            <w:tcBorders>
              <w:top w:val="single" w:sz="4" w:space="0" w:color="auto"/>
              <w:left w:val="nil"/>
              <w:bottom w:val="single" w:sz="4" w:space="0" w:color="000000"/>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Indicator</w:t>
            </w:r>
          </w:p>
        </w:tc>
        <w:tc>
          <w:tcPr>
            <w:tcW w:w="2087" w:type="pct"/>
            <w:gridSpan w:val="3"/>
            <w:tcBorders>
              <w:top w:val="single" w:sz="4" w:space="0" w:color="auto"/>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CFA FSE</w:t>
            </w:r>
          </w:p>
        </w:tc>
        <w:tc>
          <w:tcPr>
            <w:tcW w:w="2070" w:type="pct"/>
            <w:gridSpan w:val="3"/>
            <w:tcBorders>
              <w:top w:val="single" w:sz="4" w:space="0" w:color="auto"/>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CFA FSE (elimination)</w:t>
            </w:r>
          </w:p>
        </w:tc>
      </w:tr>
      <w:tr w:rsidR="001844F8" w:rsidRPr="001844F8" w:rsidTr="006E664E">
        <w:trPr>
          <w:trHeight w:val="123"/>
          <w:tblHeader/>
        </w:trPr>
        <w:tc>
          <w:tcPr>
            <w:tcW w:w="843" w:type="pct"/>
            <w:vMerge/>
            <w:tcBorders>
              <w:top w:val="single" w:sz="4" w:space="0" w:color="auto"/>
              <w:left w:val="nil"/>
              <w:bottom w:val="single" w:sz="4" w:space="0" w:color="000000"/>
              <w:right w:val="nil"/>
            </w:tcBorders>
            <w:vAlign w:val="center"/>
            <w:hideMark/>
          </w:tcPr>
          <w:p w:rsidR="001844F8" w:rsidRPr="001844F8" w:rsidRDefault="001844F8" w:rsidP="001844F8">
            <w:pPr>
              <w:pStyle w:val="Body"/>
              <w:rPr>
                <w:rFonts w:ascii="Arial" w:hAnsi="Arial" w:cs="Arial"/>
              </w:rPr>
            </w:pPr>
          </w:p>
        </w:tc>
        <w:tc>
          <w:tcPr>
            <w:tcW w:w="69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Loading</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Loading2</w:t>
            </w:r>
          </w:p>
        </w:tc>
        <w:tc>
          <w:tcPr>
            <w:tcW w:w="69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error</w:t>
            </w:r>
          </w:p>
        </w:tc>
        <w:tc>
          <w:tcPr>
            <w:tcW w:w="68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Loading</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Loading2</w:t>
            </w:r>
          </w:p>
        </w:tc>
        <w:tc>
          <w:tcPr>
            <w:tcW w:w="68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error</w:t>
            </w:r>
          </w:p>
        </w:tc>
      </w:tr>
      <w:tr w:rsidR="001844F8" w:rsidRPr="001844F8" w:rsidTr="006E664E">
        <w:trPr>
          <w:trHeight w:val="315"/>
        </w:trPr>
        <w:tc>
          <w:tcPr>
            <w:tcW w:w="84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FSE1</w:t>
            </w:r>
          </w:p>
        </w:tc>
        <w:tc>
          <w:tcPr>
            <w:tcW w:w="694"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0.262</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0.069</w:t>
            </w:r>
          </w:p>
        </w:tc>
        <w:tc>
          <w:tcPr>
            <w:tcW w:w="694"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0.931</w:t>
            </w:r>
          </w:p>
        </w:tc>
        <w:tc>
          <w:tcPr>
            <w:tcW w:w="68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p>
        </w:tc>
        <w:tc>
          <w:tcPr>
            <w:tcW w:w="698"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p>
        </w:tc>
        <w:tc>
          <w:tcPr>
            <w:tcW w:w="68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p>
        </w:tc>
      </w:tr>
      <w:tr w:rsidR="001844F8" w:rsidRPr="001844F8" w:rsidTr="006E664E">
        <w:trPr>
          <w:trHeight w:val="315"/>
        </w:trPr>
        <w:tc>
          <w:tcPr>
            <w:tcW w:w="84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FSE2</w:t>
            </w:r>
          </w:p>
        </w:tc>
        <w:tc>
          <w:tcPr>
            <w:tcW w:w="694"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0.815</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0.664</w:t>
            </w:r>
          </w:p>
        </w:tc>
        <w:tc>
          <w:tcPr>
            <w:tcW w:w="694"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0.336</w:t>
            </w:r>
          </w:p>
        </w:tc>
        <w:tc>
          <w:tcPr>
            <w:tcW w:w="68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0.833</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0.694</w:t>
            </w:r>
          </w:p>
        </w:tc>
        <w:tc>
          <w:tcPr>
            <w:tcW w:w="68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0.306</w:t>
            </w:r>
          </w:p>
        </w:tc>
      </w:tr>
      <w:tr w:rsidR="001844F8" w:rsidRPr="001844F8" w:rsidTr="006E664E">
        <w:trPr>
          <w:trHeight w:val="315"/>
        </w:trPr>
        <w:tc>
          <w:tcPr>
            <w:tcW w:w="84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FSE3</w:t>
            </w:r>
          </w:p>
        </w:tc>
        <w:tc>
          <w:tcPr>
            <w:tcW w:w="694"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0.849</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0.721</w:t>
            </w:r>
          </w:p>
        </w:tc>
        <w:tc>
          <w:tcPr>
            <w:tcW w:w="694"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0.279</w:t>
            </w:r>
          </w:p>
        </w:tc>
        <w:tc>
          <w:tcPr>
            <w:tcW w:w="68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0.874</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0.764</w:t>
            </w:r>
          </w:p>
        </w:tc>
        <w:tc>
          <w:tcPr>
            <w:tcW w:w="68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0.236</w:t>
            </w:r>
          </w:p>
        </w:tc>
      </w:tr>
      <w:tr w:rsidR="001844F8" w:rsidRPr="001844F8" w:rsidTr="006E664E">
        <w:trPr>
          <w:trHeight w:val="315"/>
        </w:trPr>
        <w:tc>
          <w:tcPr>
            <w:tcW w:w="84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FSE4</w:t>
            </w:r>
          </w:p>
        </w:tc>
        <w:tc>
          <w:tcPr>
            <w:tcW w:w="694"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0.458</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0.210</w:t>
            </w:r>
          </w:p>
        </w:tc>
        <w:tc>
          <w:tcPr>
            <w:tcW w:w="694"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0.790</w:t>
            </w:r>
          </w:p>
        </w:tc>
        <w:tc>
          <w:tcPr>
            <w:tcW w:w="68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8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p>
        </w:tc>
      </w:tr>
      <w:tr w:rsidR="001844F8" w:rsidRPr="001844F8" w:rsidTr="006E664E">
        <w:trPr>
          <w:trHeight w:val="315"/>
        </w:trPr>
        <w:tc>
          <w:tcPr>
            <w:tcW w:w="84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FSE5</w:t>
            </w:r>
          </w:p>
        </w:tc>
        <w:tc>
          <w:tcPr>
            <w:tcW w:w="694"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0.574</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0.329</w:t>
            </w:r>
          </w:p>
        </w:tc>
        <w:tc>
          <w:tcPr>
            <w:tcW w:w="694"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0.671</w:t>
            </w:r>
          </w:p>
        </w:tc>
        <w:tc>
          <w:tcPr>
            <w:tcW w:w="68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0.539</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0.291</w:t>
            </w:r>
          </w:p>
        </w:tc>
        <w:tc>
          <w:tcPr>
            <w:tcW w:w="68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0.709</w:t>
            </w:r>
          </w:p>
        </w:tc>
      </w:tr>
      <w:tr w:rsidR="001844F8" w:rsidRPr="001844F8" w:rsidTr="006E664E">
        <w:trPr>
          <w:trHeight w:val="315"/>
        </w:trPr>
        <w:tc>
          <w:tcPr>
            <w:tcW w:w="84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FSE6</w:t>
            </w:r>
          </w:p>
        </w:tc>
        <w:tc>
          <w:tcPr>
            <w:tcW w:w="694"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0.640</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0.410</w:t>
            </w:r>
          </w:p>
        </w:tc>
        <w:tc>
          <w:tcPr>
            <w:tcW w:w="694"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0.590</w:t>
            </w:r>
          </w:p>
        </w:tc>
        <w:tc>
          <w:tcPr>
            <w:tcW w:w="68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0.591</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0.349</w:t>
            </w:r>
          </w:p>
        </w:tc>
        <w:tc>
          <w:tcPr>
            <w:tcW w:w="686"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0.651</w:t>
            </w:r>
          </w:p>
        </w:tc>
      </w:tr>
      <w:tr w:rsidR="001844F8" w:rsidRPr="001844F8" w:rsidTr="006E664E">
        <w:trPr>
          <w:trHeight w:val="630"/>
        </w:trPr>
        <w:tc>
          <w:tcPr>
            <w:tcW w:w="84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of Std Loading</w:t>
            </w:r>
          </w:p>
        </w:tc>
        <w:tc>
          <w:tcPr>
            <w:tcW w:w="69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3,598</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9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8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2,837</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8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r w:rsidR="001844F8" w:rsidRPr="001844F8" w:rsidTr="006E664E">
        <w:trPr>
          <w:trHeight w:val="690"/>
        </w:trPr>
        <w:tc>
          <w:tcPr>
            <w:tcW w:w="84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of Std Loading2</w:t>
            </w:r>
          </w:p>
        </w:tc>
        <w:tc>
          <w:tcPr>
            <w:tcW w:w="69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2,403</w:t>
            </w:r>
          </w:p>
        </w:tc>
        <w:tc>
          <w:tcPr>
            <w:tcW w:w="69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8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2,098</w:t>
            </w:r>
          </w:p>
        </w:tc>
        <w:tc>
          <w:tcPr>
            <w:tcW w:w="68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r w:rsidR="001844F8" w:rsidRPr="001844F8" w:rsidTr="006E664E">
        <w:trPr>
          <w:trHeight w:val="315"/>
        </w:trPr>
        <w:tc>
          <w:tcPr>
            <w:tcW w:w="84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error</w:t>
            </w:r>
          </w:p>
        </w:tc>
        <w:tc>
          <w:tcPr>
            <w:tcW w:w="69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9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3.59749</w:t>
            </w:r>
          </w:p>
        </w:tc>
        <w:tc>
          <w:tcPr>
            <w:tcW w:w="68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8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1.90243</w:t>
            </w:r>
          </w:p>
        </w:tc>
      </w:tr>
      <w:tr w:rsidR="001844F8" w:rsidRPr="001844F8" w:rsidTr="006E664E">
        <w:trPr>
          <w:trHeight w:val="630"/>
        </w:trPr>
        <w:tc>
          <w:tcPr>
            <w:tcW w:w="843"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Construct Reliability</w:t>
            </w:r>
          </w:p>
        </w:tc>
        <w:tc>
          <w:tcPr>
            <w:tcW w:w="69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0.783</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94"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8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0.809</w:t>
            </w:r>
          </w:p>
        </w:tc>
        <w:tc>
          <w:tcPr>
            <w:tcW w:w="698"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686"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bl>
    <w:p w:rsidR="001844F8" w:rsidRPr="001844F8" w:rsidRDefault="001844F8" w:rsidP="001844F8">
      <w:pPr>
        <w:pStyle w:val="Body"/>
        <w:rPr>
          <w:rFonts w:ascii="Arial" w:hAnsi="Arial" w:cs="Arial"/>
        </w:rPr>
      </w:pPr>
      <w:r w:rsidRPr="001844F8">
        <w:rPr>
          <w:rFonts w:ascii="Arial" w:hAnsi="Arial" w:cs="Arial"/>
        </w:rPr>
        <w:t>Source: Data test results, 2024.</w:t>
      </w:r>
    </w:p>
    <w:p w:rsidR="001844F8" w:rsidRPr="001844F8" w:rsidRDefault="001844F8" w:rsidP="001844F8">
      <w:pPr>
        <w:pStyle w:val="Body"/>
        <w:rPr>
          <w:rFonts w:ascii="Arial" w:hAnsi="Arial" w:cs="Arial"/>
        </w:rPr>
      </w:pPr>
      <w:r w:rsidRPr="001844F8">
        <w:rPr>
          <w:rFonts w:ascii="Arial" w:hAnsi="Arial" w:cs="Arial"/>
        </w:rPr>
        <w:t>In Table 9 it can be seen that the initial indicators still have loading factors with a value of &lt;0.5, namely the FSE1 indicator is 0.262 and FSE4 is 0.458. These indicators must be eliminated so that all indicators have a loading factor value of &gt; 0.5. So, it can be concluded that all indicators are valid. Furthermore, the Reliability test was obtained at 0.809. This value is greater than 0.70, which means that the variable is consistent.</w:t>
      </w:r>
    </w:p>
    <w:p w:rsidR="001844F8" w:rsidRPr="001844F8" w:rsidRDefault="001844F8" w:rsidP="001844F8">
      <w:pPr>
        <w:pStyle w:val="Body"/>
        <w:rPr>
          <w:rFonts w:ascii="Arial" w:hAnsi="Arial" w:cs="Arial"/>
        </w:rPr>
      </w:pPr>
    </w:p>
    <w:p w:rsidR="001844F8" w:rsidRPr="001844F8" w:rsidRDefault="001844F8" w:rsidP="007418CF">
      <w:pPr>
        <w:pStyle w:val="Body"/>
        <w:numPr>
          <w:ilvl w:val="0"/>
          <w:numId w:val="11"/>
        </w:numPr>
        <w:rPr>
          <w:rFonts w:ascii="Arial" w:hAnsi="Arial" w:cs="Arial"/>
          <w:i/>
          <w:iCs/>
        </w:rPr>
      </w:pPr>
      <w:r w:rsidRPr="001844F8">
        <w:rPr>
          <w:rFonts w:ascii="Arial" w:hAnsi="Arial" w:cs="Arial"/>
        </w:rPr>
        <w:t>Investment Intention CFA</w:t>
      </w:r>
    </w:p>
    <w:p w:rsidR="001844F8" w:rsidRPr="001844F8" w:rsidRDefault="001844F8" w:rsidP="001844F8">
      <w:pPr>
        <w:pStyle w:val="Body"/>
        <w:rPr>
          <w:rFonts w:ascii="Arial" w:hAnsi="Arial" w:cs="Arial"/>
          <w:lang w:val="en-ID"/>
        </w:rPr>
      </w:pPr>
      <w:bookmarkStart w:id="122" w:name="_Toc147172614"/>
      <w:bookmarkStart w:id="123" w:name="_Toc147173073"/>
      <w:bookmarkStart w:id="124" w:name="_Toc147173241"/>
      <w:bookmarkStart w:id="125" w:name="_Toc147830044"/>
      <w:bookmarkStart w:id="126" w:name="_Toc147830266"/>
      <w:bookmarkStart w:id="127" w:name="_Toc153835435"/>
      <w:bookmarkStart w:id="128" w:name="_Toc153853400"/>
      <w:bookmarkStart w:id="129" w:name="_Toc153854674"/>
      <w:bookmarkStart w:id="130" w:name="_Toc154132017"/>
      <w:bookmarkStart w:id="131" w:name="_Toc154134777"/>
      <w:bookmarkStart w:id="132" w:name="_Toc154135218"/>
      <w:bookmarkStart w:id="133" w:name="_Toc154135469"/>
      <w:bookmarkStart w:id="134" w:name="_Toc159492678"/>
      <w:r w:rsidRPr="001844F8">
        <w:rPr>
          <w:rFonts w:ascii="Arial" w:hAnsi="Arial" w:cs="Arial"/>
          <w:b/>
          <w:bCs/>
          <w:lang w:val="en-ID"/>
        </w:rPr>
        <w:t>Table 10.</w:t>
      </w:r>
      <w:bookmarkEnd w:id="122"/>
      <w:bookmarkEnd w:id="123"/>
      <w:bookmarkEnd w:id="124"/>
      <w:bookmarkEnd w:id="125"/>
      <w:bookmarkEnd w:id="126"/>
      <w:bookmarkEnd w:id="127"/>
      <w:bookmarkEnd w:id="128"/>
      <w:bookmarkEnd w:id="129"/>
      <w:bookmarkEnd w:id="130"/>
      <w:bookmarkEnd w:id="131"/>
      <w:bookmarkEnd w:id="132"/>
      <w:bookmarkEnd w:id="133"/>
      <w:bookmarkEnd w:id="134"/>
      <w:r w:rsidRPr="001844F8">
        <w:rPr>
          <w:rFonts w:ascii="Arial" w:hAnsi="Arial" w:cs="Arial"/>
          <w:lang w:val="en-ID"/>
        </w:rPr>
        <w:t>Validity of Investment Intention CFA</w:t>
      </w:r>
    </w:p>
    <w:tbl>
      <w:tblPr>
        <w:tblW w:w="5000" w:type="pct"/>
        <w:jc w:val="center"/>
        <w:tblLook w:val="04A0" w:firstRow="1" w:lastRow="0" w:firstColumn="1" w:lastColumn="0" w:noHBand="0" w:noVBand="1"/>
      </w:tblPr>
      <w:tblGrid>
        <w:gridCol w:w="2425"/>
        <w:gridCol w:w="1996"/>
        <w:gridCol w:w="2007"/>
        <w:gridCol w:w="1996"/>
      </w:tblGrid>
      <w:tr w:rsidR="001844F8" w:rsidRPr="001844F8" w:rsidTr="006E664E">
        <w:trPr>
          <w:trHeight w:val="315"/>
          <w:tblHeader/>
          <w:jc w:val="center"/>
        </w:trPr>
        <w:tc>
          <w:tcPr>
            <w:tcW w:w="1439" w:type="pct"/>
            <w:vMerge w:val="restart"/>
            <w:tcBorders>
              <w:top w:val="single" w:sz="4" w:space="0" w:color="auto"/>
              <w:left w:val="nil"/>
              <w:bottom w:val="single" w:sz="4" w:space="0" w:color="000000"/>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Indicator</w:t>
            </w:r>
          </w:p>
        </w:tc>
        <w:tc>
          <w:tcPr>
            <w:tcW w:w="3561" w:type="pct"/>
            <w:gridSpan w:val="3"/>
            <w:tcBorders>
              <w:top w:val="single" w:sz="4" w:space="0" w:color="auto"/>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CFA NI</w:t>
            </w:r>
          </w:p>
        </w:tc>
      </w:tr>
      <w:tr w:rsidR="001844F8" w:rsidRPr="001844F8" w:rsidTr="006E664E">
        <w:trPr>
          <w:trHeight w:val="375"/>
          <w:tblHeader/>
          <w:jc w:val="center"/>
        </w:trPr>
        <w:tc>
          <w:tcPr>
            <w:tcW w:w="1439" w:type="pct"/>
            <w:vMerge/>
            <w:tcBorders>
              <w:top w:val="single" w:sz="4" w:space="0" w:color="auto"/>
              <w:left w:val="nil"/>
              <w:bottom w:val="single" w:sz="4" w:space="0" w:color="000000"/>
              <w:right w:val="nil"/>
            </w:tcBorders>
            <w:vAlign w:val="center"/>
            <w:hideMark/>
          </w:tcPr>
          <w:p w:rsidR="001844F8" w:rsidRPr="001844F8" w:rsidRDefault="001844F8" w:rsidP="001844F8">
            <w:pPr>
              <w:pStyle w:val="Body"/>
              <w:rPr>
                <w:rFonts w:ascii="Arial" w:hAnsi="Arial" w:cs="Arial"/>
              </w:rPr>
            </w:pPr>
          </w:p>
        </w:tc>
        <w:tc>
          <w:tcPr>
            <w:tcW w:w="1185" w:type="pct"/>
            <w:tcBorders>
              <w:top w:val="nil"/>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Loading</w:t>
            </w:r>
          </w:p>
        </w:tc>
        <w:tc>
          <w:tcPr>
            <w:tcW w:w="1191" w:type="pct"/>
            <w:tcBorders>
              <w:top w:val="nil"/>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Loading2</w:t>
            </w:r>
          </w:p>
        </w:tc>
        <w:tc>
          <w:tcPr>
            <w:tcW w:w="1185" w:type="pct"/>
            <w:tcBorders>
              <w:top w:val="nil"/>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error</w:t>
            </w:r>
          </w:p>
        </w:tc>
      </w:tr>
      <w:tr w:rsidR="001844F8" w:rsidRPr="001844F8" w:rsidTr="006E664E">
        <w:trPr>
          <w:trHeight w:val="315"/>
          <w:jc w:val="center"/>
        </w:trPr>
        <w:tc>
          <w:tcPr>
            <w:tcW w:w="1439"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NI1</w:t>
            </w:r>
          </w:p>
        </w:tc>
        <w:tc>
          <w:tcPr>
            <w:tcW w:w="118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0.693</w:t>
            </w:r>
          </w:p>
        </w:tc>
        <w:tc>
          <w:tcPr>
            <w:tcW w:w="1191"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0.480</w:t>
            </w:r>
          </w:p>
        </w:tc>
        <w:tc>
          <w:tcPr>
            <w:tcW w:w="118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0.520</w:t>
            </w:r>
          </w:p>
        </w:tc>
      </w:tr>
      <w:tr w:rsidR="001844F8" w:rsidRPr="001844F8" w:rsidTr="006E664E">
        <w:trPr>
          <w:trHeight w:val="315"/>
          <w:jc w:val="center"/>
        </w:trPr>
        <w:tc>
          <w:tcPr>
            <w:tcW w:w="1439"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NI2</w:t>
            </w:r>
          </w:p>
        </w:tc>
        <w:tc>
          <w:tcPr>
            <w:tcW w:w="118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0.836</w:t>
            </w:r>
          </w:p>
        </w:tc>
        <w:tc>
          <w:tcPr>
            <w:tcW w:w="1191"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0.699</w:t>
            </w:r>
          </w:p>
        </w:tc>
        <w:tc>
          <w:tcPr>
            <w:tcW w:w="118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0.301</w:t>
            </w:r>
          </w:p>
        </w:tc>
      </w:tr>
      <w:tr w:rsidR="001844F8" w:rsidRPr="001844F8" w:rsidTr="006E664E">
        <w:trPr>
          <w:trHeight w:val="315"/>
          <w:jc w:val="center"/>
        </w:trPr>
        <w:tc>
          <w:tcPr>
            <w:tcW w:w="1439"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NI3</w:t>
            </w:r>
          </w:p>
        </w:tc>
        <w:tc>
          <w:tcPr>
            <w:tcW w:w="118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0.769</w:t>
            </w:r>
          </w:p>
        </w:tc>
        <w:tc>
          <w:tcPr>
            <w:tcW w:w="1191"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0.591</w:t>
            </w:r>
          </w:p>
        </w:tc>
        <w:tc>
          <w:tcPr>
            <w:tcW w:w="118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0.409</w:t>
            </w:r>
          </w:p>
        </w:tc>
      </w:tr>
      <w:tr w:rsidR="001844F8" w:rsidRPr="001844F8" w:rsidTr="006E664E">
        <w:trPr>
          <w:trHeight w:val="630"/>
          <w:jc w:val="center"/>
        </w:trPr>
        <w:tc>
          <w:tcPr>
            <w:tcW w:w="1439"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of Std Loading</w:t>
            </w:r>
          </w:p>
        </w:tc>
        <w:tc>
          <w:tcPr>
            <w:tcW w:w="1185"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2,298</w:t>
            </w:r>
          </w:p>
        </w:tc>
        <w:tc>
          <w:tcPr>
            <w:tcW w:w="1191"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185"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r w:rsidR="001844F8" w:rsidRPr="001844F8" w:rsidTr="006E664E">
        <w:trPr>
          <w:trHeight w:val="690"/>
          <w:jc w:val="center"/>
        </w:trPr>
        <w:tc>
          <w:tcPr>
            <w:tcW w:w="1439"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of Std Loading2</w:t>
            </w:r>
          </w:p>
        </w:tc>
        <w:tc>
          <w:tcPr>
            <w:tcW w:w="1185"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191"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1,771</w:t>
            </w:r>
          </w:p>
        </w:tc>
        <w:tc>
          <w:tcPr>
            <w:tcW w:w="1185"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r>
      <w:tr w:rsidR="001844F8" w:rsidRPr="001844F8" w:rsidTr="006E664E">
        <w:trPr>
          <w:trHeight w:val="315"/>
          <w:jc w:val="center"/>
        </w:trPr>
        <w:tc>
          <w:tcPr>
            <w:tcW w:w="1439"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Sum error</w:t>
            </w:r>
          </w:p>
        </w:tc>
        <w:tc>
          <w:tcPr>
            <w:tcW w:w="1185"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191"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185"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1.22949</w:t>
            </w:r>
          </w:p>
        </w:tc>
      </w:tr>
      <w:tr w:rsidR="001844F8" w:rsidRPr="001844F8" w:rsidTr="006E664E">
        <w:trPr>
          <w:trHeight w:val="630"/>
          <w:jc w:val="center"/>
        </w:trPr>
        <w:tc>
          <w:tcPr>
            <w:tcW w:w="1439"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Construct Reliability</w:t>
            </w:r>
          </w:p>
        </w:tc>
        <w:tc>
          <w:tcPr>
            <w:tcW w:w="1185"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0.811</w:t>
            </w:r>
          </w:p>
        </w:tc>
        <w:tc>
          <w:tcPr>
            <w:tcW w:w="1191"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p>
        </w:tc>
        <w:tc>
          <w:tcPr>
            <w:tcW w:w="1185" w:type="pct"/>
            <w:tcBorders>
              <w:top w:val="nil"/>
              <w:left w:val="nil"/>
              <w:bottom w:val="single" w:sz="4" w:space="0" w:color="auto"/>
              <w:right w:val="nil"/>
            </w:tcBorders>
            <w:noWrap/>
            <w:vAlign w:val="bottom"/>
            <w:hideMark/>
          </w:tcPr>
          <w:p w:rsidR="001844F8" w:rsidRPr="001844F8" w:rsidRDefault="001844F8" w:rsidP="001844F8">
            <w:pPr>
              <w:pStyle w:val="Body"/>
              <w:rPr>
                <w:rFonts w:ascii="Arial" w:hAnsi="Arial" w:cs="Arial"/>
              </w:rPr>
            </w:pPr>
          </w:p>
        </w:tc>
      </w:tr>
    </w:tbl>
    <w:p w:rsidR="001844F8" w:rsidRPr="001844F8" w:rsidRDefault="001844F8" w:rsidP="001844F8">
      <w:pPr>
        <w:pStyle w:val="Body"/>
        <w:rPr>
          <w:rFonts w:ascii="Arial" w:hAnsi="Arial" w:cs="Arial"/>
        </w:rPr>
      </w:pPr>
      <w:r w:rsidRPr="001844F8">
        <w:rPr>
          <w:rFonts w:ascii="Arial" w:hAnsi="Arial" w:cs="Arial"/>
        </w:rPr>
        <w:t>Source: Data test results, 2024.</w:t>
      </w:r>
    </w:p>
    <w:p w:rsidR="001844F8" w:rsidRPr="001844F8" w:rsidRDefault="001844F8" w:rsidP="001844F8">
      <w:pPr>
        <w:pStyle w:val="Body"/>
        <w:rPr>
          <w:rFonts w:ascii="Arial" w:hAnsi="Arial" w:cs="Arial"/>
        </w:rPr>
      </w:pPr>
      <w:r w:rsidRPr="001844F8">
        <w:rPr>
          <w:rFonts w:ascii="Arial" w:hAnsi="Arial" w:cs="Arial"/>
        </w:rPr>
        <w:t>In Table 10 it can be seen that all indicators obtained have a loading factor value of &gt; 0.5. So, it can be concluded that all indicators are valid. Furthermore, the Reliability test was obtained at 0.811. This value is greater than 0.70, which means that the variable is consistent.</w:t>
      </w:r>
    </w:p>
    <w:p w:rsidR="001844F8" w:rsidRPr="001844F8" w:rsidRDefault="001844F8" w:rsidP="001844F8">
      <w:pPr>
        <w:pStyle w:val="Body"/>
        <w:rPr>
          <w:rFonts w:ascii="Arial" w:hAnsi="Arial" w:cs="Arial"/>
        </w:rPr>
      </w:pPr>
    </w:p>
    <w:p w:rsidR="001844F8" w:rsidRPr="001844F8" w:rsidRDefault="001844F8" w:rsidP="007418CF">
      <w:pPr>
        <w:pStyle w:val="Body"/>
        <w:numPr>
          <w:ilvl w:val="0"/>
          <w:numId w:val="10"/>
        </w:numPr>
        <w:rPr>
          <w:rFonts w:ascii="Arial" w:hAnsi="Arial" w:cs="Arial"/>
          <w:lang w:val="en-ID"/>
        </w:rPr>
      </w:pPr>
      <w:bookmarkStart w:id="135" w:name="_Toc147172817"/>
      <w:bookmarkStart w:id="136" w:name="_Toc147173074"/>
      <w:bookmarkStart w:id="137" w:name="_Toc147173242"/>
      <w:bookmarkStart w:id="138" w:name="_Toc147830045"/>
      <w:bookmarkStart w:id="139" w:name="_Toc147830267"/>
      <w:bookmarkStart w:id="140" w:name="_Toc154134778"/>
      <w:bookmarkStart w:id="141" w:name="_Toc154135219"/>
      <w:bookmarkStart w:id="142" w:name="_Toc154135470"/>
      <w:bookmarkStart w:id="143" w:name="_Toc159492679"/>
      <w:bookmarkStart w:id="144" w:name="_Toc86238440"/>
      <w:bookmarkStart w:id="145" w:name="_Toc86238628"/>
      <w:bookmarkStart w:id="146" w:name="_Toc86241816"/>
      <w:bookmarkStart w:id="147" w:name="_Toc86354686"/>
      <w:bookmarkStart w:id="148" w:name="_Toc86767453"/>
      <w:r w:rsidRPr="001844F8">
        <w:rPr>
          <w:rFonts w:ascii="Arial" w:hAnsi="Arial" w:cs="Arial"/>
          <w:lang w:val="en-ID"/>
        </w:rPr>
        <w:t>SEM Evaluation Results</w:t>
      </w:r>
      <w:bookmarkEnd w:id="135"/>
      <w:bookmarkEnd w:id="136"/>
      <w:bookmarkEnd w:id="137"/>
      <w:bookmarkEnd w:id="138"/>
      <w:bookmarkEnd w:id="139"/>
      <w:bookmarkEnd w:id="140"/>
      <w:bookmarkEnd w:id="141"/>
      <w:bookmarkEnd w:id="142"/>
      <w:bookmarkEnd w:id="143"/>
    </w:p>
    <w:p w:rsidR="001844F8" w:rsidRPr="001844F8" w:rsidRDefault="001844F8" w:rsidP="007418CF">
      <w:pPr>
        <w:pStyle w:val="Body"/>
        <w:numPr>
          <w:ilvl w:val="0"/>
          <w:numId w:val="12"/>
        </w:numPr>
        <w:rPr>
          <w:rFonts w:ascii="Arial" w:hAnsi="Arial" w:cs="Arial"/>
          <w:lang w:val="en-ID"/>
        </w:rPr>
      </w:pPr>
      <w:bookmarkStart w:id="149" w:name="_Toc147172818"/>
      <w:bookmarkStart w:id="150" w:name="_Toc147173075"/>
      <w:bookmarkStart w:id="151" w:name="_Toc147173243"/>
      <w:bookmarkStart w:id="152" w:name="_Toc147830046"/>
      <w:bookmarkStart w:id="153" w:name="_Toc147830268"/>
      <w:bookmarkStart w:id="154" w:name="_Toc154134779"/>
      <w:bookmarkStart w:id="155" w:name="_Toc154135220"/>
      <w:bookmarkStart w:id="156" w:name="_Toc154135471"/>
      <w:bookmarkStart w:id="157" w:name="_Toc159492680"/>
      <w:r w:rsidRPr="001844F8">
        <w:rPr>
          <w:rFonts w:ascii="Arial" w:hAnsi="Arial" w:cs="Arial"/>
          <w:lang w:val="en-ID"/>
        </w:rPr>
        <w:t>Assumption of Normality</w:t>
      </w:r>
      <w:bookmarkEnd w:id="149"/>
      <w:bookmarkEnd w:id="150"/>
      <w:bookmarkEnd w:id="151"/>
      <w:bookmarkEnd w:id="152"/>
      <w:bookmarkEnd w:id="153"/>
      <w:bookmarkEnd w:id="154"/>
      <w:bookmarkEnd w:id="155"/>
      <w:bookmarkEnd w:id="156"/>
      <w:bookmarkEnd w:id="157"/>
    </w:p>
    <w:p w:rsidR="001844F8" w:rsidRPr="001844F8" w:rsidRDefault="001844F8" w:rsidP="001844F8">
      <w:pPr>
        <w:pStyle w:val="Body"/>
        <w:rPr>
          <w:rFonts w:ascii="Arial" w:hAnsi="Arial" w:cs="Arial"/>
        </w:rPr>
      </w:pPr>
      <w:r w:rsidRPr="001844F8">
        <w:rPr>
          <w:rFonts w:ascii="Arial" w:hAnsi="Arial" w:cs="Arial"/>
          <w:b/>
        </w:rPr>
        <w:t xml:space="preserve"> </w:t>
      </w:r>
      <w:r w:rsidRPr="001844F8">
        <w:rPr>
          <w:rFonts w:ascii="Arial" w:hAnsi="Arial" w:cs="Arial"/>
        </w:rPr>
        <w:t>Univariate normality testing by observing the skewness value of the data used, if the CR value for data skewness is between -2.58 ≤ CR ≤ 2.58 at a significance level of 0.01, then the research data used can be said to be normal. The results of the multivariate normality test of the data after modification are as follows:</w:t>
      </w:r>
    </w:p>
    <w:p w:rsidR="001844F8" w:rsidRPr="001844F8" w:rsidRDefault="001844F8" w:rsidP="001844F8">
      <w:pPr>
        <w:pStyle w:val="Body"/>
        <w:rPr>
          <w:rFonts w:ascii="Arial" w:hAnsi="Arial" w:cs="Arial"/>
          <w:lang w:val="en-ID"/>
        </w:rPr>
      </w:pPr>
      <w:bookmarkStart w:id="158" w:name="_Toc89343854"/>
      <w:bookmarkStart w:id="159" w:name="_Toc89344286"/>
      <w:bookmarkStart w:id="160" w:name="_Toc147172617"/>
      <w:bookmarkStart w:id="161" w:name="_Toc147173076"/>
      <w:bookmarkStart w:id="162" w:name="_Toc147173244"/>
      <w:bookmarkStart w:id="163" w:name="_Toc147830047"/>
      <w:bookmarkStart w:id="164" w:name="_Toc147830269"/>
      <w:bookmarkStart w:id="165" w:name="_Toc153835438"/>
      <w:bookmarkStart w:id="166" w:name="_Toc153853403"/>
      <w:bookmarkStart w:id="167" w:name="_Toc153854677"/>
      <w:bookmarkStart w:id="168" w:name="_Toc154134780"/>
      <w:bookmarkStart w:id="169" w:name="_Toc154135221"/>
      <w:bookmarkStart w:id="170" w:name="_Toc154135472"/>
      <w:bookmarkStart w:id="171" w:name="_Toc159492681"/>
      <w:r w:rsidRPr="001844F8">
        <w:rPr>
          <w:rFonts w:ascii="Arial" w:hAnsi="Arial" w:cs="Arial"/>
          <w:b/>
          <w:bCs/>
          <w:lang w:val="en-ID"/>
        </w:rPr>
        <w:t>Table 11.</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1844F8">
        <w:rPr>
          <w:rFonts w:ascii="Arial" w:hAnsi="Arial" w:cs="Arial"/>
          <w:lang w:val="en-ID"/>
        </w:rPr>
        <w:t>Assessment Of Normality</w:t>
      </w:r>
    </w:p>
    <w:tbl>
      <w:tblPr>
        <w:tblW w:w="0" w:type="auto"/>
        <w:jc w:val="center"/>
        <w:tblBorders>
          <w:top w:val="single" w:sz="6" w:space="0" w:color="auto"/>
          <w:bottom w:val="single" w:sz="6" w:space="0" w:color="auto"/>
          <w:insideH w:val="single" w:sz="6" w:space="0" w:color="auto"/>
        </w:tblBorders>
        <w:tblCellMar>
          <w:top w:w="15" w:type="dxa"/>
          <w:left w:w="15" w:type="dxa"/>
          <w:bottom w:w="15" w:type="dxa"/>
          <w:right w:w="15" w:type="dxa"/>
        </w:tblCellMar>
        <w:tblLook w:val="04A0" w:firstRow="1" w:lastRow="0" w:firstColumn="1" w:lastColumn="0" w:noHBand="0" w:noVBand="1"/>
      </w:tblPr>
      <w:tblGrid>
        <w:gridCol w:w="1303"/>
        <w:gridCol w:w="781"/>
        <w:gridCol w:w="781"/>
        <w:gridCol w:w="848"/>
        <w:gridCol w:w="848"/>
        <w:gridCol w:w="970"/>
        <w:gridCol w:w="848"/>
      </w:tblGrid>
      <w:tr w:rsidR="001844F8" w:rsidRPr="001844F8" w:rsidTr="006E664E">
        <w:trPr>
          <w:tblHeade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Variables</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min</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max</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skew</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roofErr w:type="spellStart"/>
            <w:r w:rsidRPr="001844F8">
              <w:rPr>
                <w:rFonts w:ascii="Arial" w:hAnsi="Arial" w:cs="Arial"/>
              </w:rPr>
              <w:t>cr</w:t>
            </w:r>
            <w:proofErr w:type="spellEnd"/>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kurtosis</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roofErr w:type="spellStart"/>
            <w:r w:rsidRPr="001844F8">
              <w:rPr>
                <w:rFonts w:ascii="Arial" w:hAnsi="Arial" w:cs="Arial"/>
              </w:rPr>
              <w:t>cr</w:t>
            </w:r>
            <w:proofErr w:type="spellEnd"/>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NI3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-,922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-4,375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,281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,667</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NI2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-,635</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-3,012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,130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,308</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NI1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-,367</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-1,742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-,680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-1,612</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FSE6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-,355</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-1,684</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-,595</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-1,411</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FSE5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-,412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-1,954</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-.025</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-,058</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lastRenderedPageBreak/>
              <w:t>FSE3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-,556</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-2,638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,584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1,385</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FSE2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-,687</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-3,258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,752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1,784</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FA1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-,713</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-3,384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,734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1,741</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FA2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-,550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-2,607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,393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,932</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FA3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-,808</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-,299</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-,708</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FA4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,676</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-,694</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-1,646</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FK1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-,439</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-2,082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-,670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-1,589</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FK2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-,241</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-1,143</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-,603</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-1,431</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FK3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-1,036</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-4,916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1,646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3,904</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FK4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-,498</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-2,361</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-,674</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-1,598</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NS1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-,882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-4,181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1,143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2,710</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NS2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-,581</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-2,756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,152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,360</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NS3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-,122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-,580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-,448</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-1,063</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PT3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-,947</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-1,190</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PT4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-,197</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-,934</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-,431</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-1,021</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PT5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-,194</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-,921</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-,306</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-,725</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Multivariate</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16,510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3,086</w:t>
            </w:r>
          </w:p>
        </w:tc>
      </w:tr>
    </w:tbl>
    <w:p w:rsidR="001844F8" w:rsidRPr="001844F8" w:rsidRDefault="001844F8" w:rsidP="001844F8">
      <w:pPr>
        <w:pStyle w:val="Body"/>
        <w:rPr>
          <w:rFonts w:ascii="Arial" w:hAnsi="Arial" w:cs="Arial"/>
        </w:rPr>
      </w:pPr>
      <w:r w:rsidRPr="001844F8">
        <w:rPr>
          <w:rFonts w:ascii="Arial" w:hAnsi="Arial" w:cs="Arial"/>
        </w:rPr>
        <w:t>Source: Data test results, 2024.</w:t>
      </w:r>
    </w:p>
    <w:p w:rsidR="001844F8" w:rsidRPr="001844F8" w:rsidRDefault="001844F8" w:rsidP="001844F8">
      <w:pPr>
        <w:pStyle w:val="Body"/>
        <w:rPr>
          <w:rFonts w:ascii="Arial" w:hAnsi="Arial" w:cs="Arial"/>
        </w:rPr>
      </w:pPr>
      <w:r w:rsidRPr="001844F8">
        <w:rPr>
          <w:rFonts w:ascii="Arial" w:hAnsi="Arial" w:cs="Arial"/>
        </w:rPr>
        <w:t xml:space="preserve">In Table 11 it can be seen that the value for multivariate normal is 3.086. This value is still outside the range -2.58 ≤ </w:t>
      </w:r>
      <w:proofErr w:type="spellStart"/>
      <w:r w:rsidRPr="001844F8">
        <w:rPr>
          <w:rFonts w:ascii="Arial" w:hAnsi="Arial" w:cs="Arial"/>
        </w:rPr>
        <w:t>cr</w:t>
      </w:r>
      <w:proofErr w:type="spellEnd"/>
      <w:r w:rsidRPr="001844F8">
        <w:rPr>
          <w:rFonts w:ascii="Arial" w:hAnsi="Arial" w:cs="Arial"/>
        </w:rPr>
        <w:t xml:space="preserve"> ≤ 2.58, so it can be indicated that the data still does not meet the assumption of normal multivariate, so elimination must be carried out for several indicators, namely FK3 and FSE2, so that the following results are obtained.</w:t>
      </w:r>
      <w:bookmarkStart w:id="172" w:name="_Hlk147087403"/>
      <w:bookmarkEnd w:id="172"/>
    </w:p>
    <w:p w:rsidR="001844F8" w:rsidRPr="001844F8" w:rsidRDefault="001844F8" w:rsidP="001844F8">
      <w:pPr>
        <w:pStyle w:val="Body"/>
        <w:rPr>
          <w:rFonts w:ascii="Arial" w:hAnsi="Arial" w:cs="Arial"/>
          <w:lang w:val="en-ID"/>
        </w:rPr>
      </w:pPr>
      <w:bookmarkStart w:id="173" w:name="_Toc147172618"/>
      <w:bookmarkStart w:id="174" w:name="_Toc147173077"/>
      <w:bookmarkStart w:id="175" w:name="_Toc147173245"/>
      <w:bookmarkStart w:id="176" w:name="_Toc147830048"/>
      <w:bookmarkStart w:id="177" w:name="_Toc147830270"/>
      <w:bookmarkStart w:id="178" w:name="_Toc153835439"/>
      <w:bookmarkStart w:id="179" w:name="_Toc153853404"/>
      <w:bookmarkStart w:id="180" w:name="_Toc153854678"/>
      <w:bookmarkStart w:id="181" w:name="_Toc154134781"/>
      <w:bookmarkStart w:id="182" w:name="_Toc154135222"/>
      <w:bookmarkStart w:id="183" w:name="_Toc154135473"/>
      <w:bookmarkStart w:id="184" w:name="_Toc159492682"/>
      <w:r w:rsidRPr="001844F8">
        <w:rPr>
          <w:rFonts w:ascii="Arial" w:hAnsi="Arial" w:cs="Arial"/>
          <w:b/>
          <w:bCs/>
          <w:lang w:val="en-ID"/>
        </w:rPr>
        <w:t>Table 12.</w:t>
      </w:r>
      <w:bookmarkEnd w:id="173"/>
      <w:bookmarkEnd w:id="174"/>
      <w:bookmarkEnd w:id="175"/>
      <w:bookmarkEnd w:id="176"/>
      <w:bookmarkEnd w:id="177"/>
      <w:bookmarkEnd w:id="178"/>
      <w:bookmarkEnd w:id="179"/>
      <w:bookmarkEnd w:id="180"/>
      <w:bookmarkEnd w:id="181"/>
      <w:bookmarkEnd w:id="182"/>
      <w:bookmarkEnd w:id="183"/>
      <w:bookmarkEnd w:id="184"/>
      <w:r w:rsidRPr="001844F8">
        <w:rPr>
          <w:rFonts w:ascii="Arial" w:hAnsi="Arial" w:cs="Arial"/>
          <w:lang w:val="en-ID"/>
        </w:rPr>
        <w:t>Assessment Of Normality After Elimination</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3"/>
        <w:gridCol w:w="781"/>
        <w:gridCol w:w="781"/>
        <w:gridCol w:w="736"/>
        <w:gridCol w:w="848"/>
        <w:gridCol w:w="970"/>
        <w:gridCol w:w="848"/>
      </w:tblGrid>
      <w:tr w:rsidR="001844F8" w:rsidRPr="001844F8" w:rsidTr="006E664E">
        <w:trPr>
          <w:tblHeader/>
          <w:jc w:val="cent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Variables</w:t>
            </w:r>
          </w:p>
        </w:tc>
        <w:tc>
          <w:tcPr>
            <w:tcW w:w="0" w:type="auto"/>
            <w:tcBorders>
              <w:bottom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min</w:t>
            </w:r>
          </w:p>
        </w:tc>
        <w:tc>
          <w:tcPr>
            <w:tcW w:w="0" w:type="auto"/>
            <w:tcBorders>
              <w:bottom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max</w:t>
            </w:r>
          </w:p>
        </w:tc>
        <w:tc>
          <w:tcPr>
            <w:tcW w:w="0" w:type="auto"/>
            <w:tcBorders>
              <w:bottom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skew</w:t>
            </w:r>
          </w:p>
        </w:tc>
        <w:tc>
          <w:tcPr>
            <w:tcW w:w="0" w:type="auto"/>
            <w:tcBorders>
              <w:bottom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roofErr w:type="spellStart"/>
            <w:r w:rsidRPr="001844F8">
              <w:rPr>
                <w:rFonts w:ascii="Arial" w:hAnsi="Arial" w:cs="Arial"/>
              </w:rPr>
              <w:t>cr</w:t>
            </w:r>
            <w:proofErr w:type="spellEnd"/>
          </w:p>
        </w:tc>
        <w:tc>
          <w:tcPr>
            <w:tcW w:w="0" w:type="auto"/>
            <w:tcBorders>
              <w:bottom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kurtosis</w:t>
            </w:r>
          </w:p>
        </w:tc>
        <w:tc>
          <w:tcPr>
            <w:tcW w:w="0" w:type="auto"/>
            <w:tcBorders>
              <w:bottom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roofErr w:type="spellStart"/>
            <w:r w:rsidRPr="001844F8">
              <w:rPr>
                <w:rFonts w:ascii="Arial" w:hAnsi="Arial" w:cs="Arial"/>
              </w:rPr>
              <w:t>cr</w:t>
            </w:r>
            <w:proofErr w:type="spellEnd"/>
          </w:p>
        </w:tc>
      </w:tr>
      <w:tr w:rsidR="001844F8" w:rsidRPr="001844F8" w:rsidTr="006E664E">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lastRenderedPageBreak/>
              <w:t>NI3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-,922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-4,375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,281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,667</w:t>
            </w:r>
          </w:p>
        </w:tc>
      </w:tr>
      <w:tr w:rsidR="001844F8" w:rsidRPr="001844F8" w:rsidTr="006E664E">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NI2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-,635</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-3,012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,130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,308</w:t>
            </w:r>
          </w:p>
        </w:tc>
      </w:tr>
      <w:tr w:rsidR="001844F8" w:rsidRPr="001844F8" w:rsidTr="006E664E">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NI1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-,367</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-1,742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-,680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-1,612</w:t>
            </w:r>
          </w:p>
        </w:tc>
      </w:tr>
      <w:tr w:rsidR="001844F8" w:rsidRPr="001844F8" w:rsidTr="006E664E">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FSE6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-,355</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-1,684</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-,595</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-1,411</w:t>
            </w:r>
          </w:p>
        </w:tc>
      </w:tr>
      <w:tr w:rsidR="001844F8" w:rsidRPr="001844F8" w:rsidTr="006E664E">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FSE5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-,412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-1,954</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-.025</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-,058</w:t>
            </w:r>
          </w:p>
        </w:tc>
      </w:tr>
      <w:tr w:rsidR="001844F8" w:rsidRPr="001844F8" w:rsidTr="006E664E">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FSE3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-,556</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-2,638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,584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1,385</w:t>
            </w:r>
          </w:p>
        </w:tc>
      </w:tr>
      <w:tr w:rsidR="001844F8" w:rsidRPr="001844F8" w:rsidTr="006E664E">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FA1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-,713</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-3,384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,734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1,741</w:t>
            </w:r>
          </w:p>
        </w:tc>
      </w:tr>
      <w:tr w:rsidR="001844F8" w:rsidRPr="001844F8" w:rsidTr="006E664E">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FA2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-,550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-2,607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,393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,932</w:t>
            </w:r>
          </w:p>
        </w:tc>
      </w:tr>
      <w:tr w:rsidR="001844F8" w:rsidRPr="001844F8" w:rsidTr="006E664E">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FA3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-,808</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-,299</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-,708</w:t>
            </w:r>
          </w:p>
        </w:tc>
      </w:tr>
      <w:tr w:rsidR="001844F8" w:rsidRPr="001844F8" w:rsidTr="006E664E">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FA4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,676</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-,694</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-1,646</w:t>
            </w:r>
          </w:p>
        </w:tc>
      </w:tr>
      <w:tr w:rsidR="001844F8" w:rsidRPr="001844F8" w:rsidTr="006E664E">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FK1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-,439</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-2,082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-,670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-1,589</w:t>
            </w:r>
          </w:p>
        </w:tc>
      </w:tr>
      <w:tr w:rsidR="001844F8" w:rsidRPr="001844F8" w:rsidTr="006E664E">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FK2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-,241</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-1,143</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-,603</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-1,431</w:t>
            </w:r>
          </w:p>
        </w:tc>
      </w:tr>
      <w:tr w:rsidR="001844F8" w:rsidRPr="001844F8" w:rsidTr="006E664E">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FK4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-,498</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-2,361</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-,674</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-1,598</w:t>
            </w:r>
          </w:p>
        </w:tc>
      </w:tr>
      <w:tr w:rsidR="001844F8" w:rsidRPr="001844F8" w:rsidTr="006E664E">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NS1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-,882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-4,181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1,143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2,710</w:t>
            </w:r>
          </w:p>
        </w:tc>
      </w:tr>
      <w:tr w:rsidR="001844F8" w:rsidRPr="001844F8" w:rsidTr="006E664E">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NS2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-,581</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-2,756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,152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,360</w:t>
            </w:r>
          </w:p>
        </w:tc>
      </w:tr>
      <w:tr w:rsidR="001844F8" w:rsidRPr="001844F8" w:rsidTr="006E664E">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NS3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-,122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-,580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-,448</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-1,063</w:t>
            </w:r>
          </w:p>
        </w:tc>
      </w:tr>
      <w:tr w:rsidR="001844F8" w:rsidRPr="001844F8" w:rsidTr="006E664E">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PT3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-,947</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-,502</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-1,190</w:t>
            </w:r>
          </w:p>
        </w:tc>
      </w:tr>
      <w:tr w:rsidR="001844F8" w:rsidRPr="001844F8" w:rsidTr="006E664E">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PT4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-,197</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-,934</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-,431</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-1,021</w:t>
            </w:r>
          </w:p>
        </w:tc>
      </w:tr>
      <w:tr w:rsidR="001844F8" w:rsidRPr="001844F8" w:rsidTr="006E664E">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PT5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5,000</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-,194</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-,921</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-,306</w:t>
            </w:r>
          </w:p>
        </w:tc>
        <w:tc>
          <w:tcPr>
            <w:tcW w:w="0" w:type="auto"/>
            <w:noWrap/>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-,725</w:t>
            </w:r>
          </w:p>
        </w:tc>
      </w:tr>
      <w:tr w:rsidR="001844F8" w:rsidRPr="001844F8" w:rsidTr="006E664E">
        <w:trPr>
          <w:jc w:val="center"/>
        </w:trPr>
        <w:tc>
          <w:tcPr>
            <w:tcW w:w="0" w:type="auto"/>
            <w:tcBorders>
              <w:right w:val="single" w:sz="6" w:space="0" w:color="auto"/>
            </w:tcBorders>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Multivariate</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10,973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2,257</w:t>
            </w:r>
          </w:p>
        </w:tc>
      </w:tr>
    </w:tbl>
    <w:p w:rsidR="001844F8" w:rsidRPr="001844F8" w:rsidRDefault="001844F8" w:rsidP="001844F8">
      <w:pPr>
        <w:pStyle w:val="Body"/>
        <w:rPr>
          <w:rFonts w:ascii="Arial" w:hAnsi="Arial" w:cs="Arial"/>
        </w:rPr>
      </w:pPr>
      <w:r w:rsidRPr="001844F8">
        <w:rPr>
          <w:rFonts w:ascii="Arial" w:hAnsi="Arial" w:cs="Arial"/>
        </w:rPr>
        <w:t>Source: Data test results, 2024.</w:t>
      </w:r>
    </w:p>
    <w:p w:rsidR="001844F8" w:rsidRPr="001844F8" w:rsidRDefault="001844F8" w:rsidP="001844F8">
      <w:pPr>
        <w:pStyle w:val="Body"/>
        <w:rPr>
          <w:rFonts w:ascii="Arial" w:hAnsi="Arial" w:cs="Arial"/>
        </w:rPr>
      </w:pPr>
      <w:r w:rsidRPr="001844F8">
        <w:rPr>
          <w:rFonts w:ascii="Arial" w:hAnsi="Arial" w:cs="Arial"/>
        </w:rPr>
        <w:t xml:space="preserve">In table 12 it can be seen that the value for multivariate normal is 2.257. This value is in the range -2.58 ≤ </w:t>
      </w:r>
      <w:proofErr w:type="spellStart"/>
      <w:r w:rsidRPr="001844F8">
        <w:rPr>
          <w:rFonts w:ascii="Arial" w:hAnsi="Arial" w:cs="Arial"/>
        </w:rPr>
        <w:t>cr</w:t>
      </w:r>
      <w:proofErr w:type="spellEnd"/>
      <w:r w:rsidRPr="001844F8">
        <w:rPr>
          <w:rFonts w:ascii="Arial" w:hAnsi="Arial" w:cs="Arial"/>
        </w:rPr>
        <w:t xml:space="preserve"> ≤ 2.58, so it can be indicated that the data meets the normal multivariate assumptions.</w:t>
      </w:r>
    </w:p>
    <w:p w:rsidR="001844F8" w:rsidRPr="001844F8" w:rsidRDefault="001844F8" w:rsidP="001844F8">
      <w:pPr>
        <w:pStyle w:val="Body"/>
        <w:rPr>
          <w:rFonts w:ascii="Arial" w:hAnsi="Arial" w:cs="Arial"/>
        </w:rPr>
      </w:pPr>
    </w:p>
    <w:p w:rsidR="001844F8" w:rsidRPr="001844F8" w:rsidRDefault="001844F8" w:rsidP="007418CF">
      <w:pPr>
        <w:pStyle w:val="Body"/>
        <w:numPr>
          <w:ilvl w:val="0"/>
          <w:numId w:val="12"/>
        </w:numPr>
        <w:rPr>
          <w:rFonts w:ascii="Arial" w:hAnsi="Arial" w:cs="Arial"/>
          <w:bCs/>
          <w:lang w:val="en-ID"/>
        </w:rPr>
      </w:pPr>
      <w:bookmarkStart w:id="185" w:name="_Toc147172821"/>
      <w:bookmarkStart w:id="186" w:name="_Toc147173078"/>
      <w:bookmarkStart w:id="187" w:name="_Toc147173246"/>
      <w:bookmarkStart w:id="188" w:name="_Toc147830049"/>
      <w:bookmarkStart w:id="189" w:name="_Toc147830271"/>
      <w:bookmarkStart w:id="190" w:name="_Toc154134782"/>
      <w:bookmarkStart w:id="191" w:name="_Toc154135223"/>
      <w:bookmarkStart w:id="192" w:name="_Toc154135474"/>
      <w:bookmarkStart w:id="193" w:name="_Toc159492683"/>
      <w:r w:rsidRPr="001844F8">
        <w:rPr>
          <w:rFonts w:ascii="Arial" w:hAnsi="Arial" w:cs="Arial"/>
          <w:bCs/>
          <w:lang w:val="en-ID"/>
        </w:rPr>
        <w:lastRenderedPageBreak/>
        <w:t>Outlier Assumption</w:t>
      </w:r>
      <w:bookmarkEnd w:id="185"/>
      <w:bookmarkEnd w:id="186"/>
      <w:bookmarkEnd w:id="187"/>
      <w:bookmarkEnd w:id="188"/>
      <w:bookmarkEnd w:id="189"/>
      <w:bookmarkEnd w:id="190"/>
      <w:bookmarkEnd w:id="191"/>
      <w:bookmarkEnd w:id="192"/>
      <w:bookmarkEnd w:id="193"/>
    </w:p>
    <w:p w:rsidR="001844F8" w:rsidRPr="001844F8" w:rsidRDefault="001844F8" w:rsidP="001844F8">
      <w:pPr>
        <w:pStyle w:val="Body"/>
        <w:rPr>
          <w:rFonts w:ascii="Arial" w:hAnsi="Arial" w:cs="Arial"/>
        </w:rPr>
      </w:pPr>
      <w:bookmarkStart w:id="194" w:name="_Toc89343856"/>
      <w:bookmarkStart w:id="195" w:name="_Toc89344288"/>
      <w:r w:rsidRPr="001844F8">
        <w:rPr>
          <w:rFonts w:ascii="Arial" w:hAnsi="Arial" w:cs="Arial"/>
        </w:rPr>
        <w:t xml:space="preserve">Detection of multivariate outliers is carried out by paying attention to the </w:t>
      </w:r>
      <w:proofErr w:type="spellStart"/>
      <w:r w:rsidRPr="001844F8">
        <w:rPr>
          <w:rFonts w:ascii="Arial" w:hAnsi="Arial" w:cs="Arial"/>
        </w:rPr>
        <w:t>mahalanobis</w:t>
      </w:r>
      <w:proofErr w:type="spellEnd"/>
      <w:r w:rsidRPr="001844F8">
        <w:rPr>
          <w:rFonts w:ascii="Arial" w:hAnsi="Arial" w:cs="Arial"/>
        </w:rPr>
        <w:t xml:space="preserve"> distance value. If there is something greater than the Chi-Square value in the degrees of freedom equal to the number of variables and at a significance level of 0.001 then the data indicates the existence of Multivariate Outliers and vice </w:t>
      </w:r>
      <w:r w:rsidRPr="00FB0D9B">
        <w:rPr>
          <w:rFonts w:ascii="Arial" w:hAnsi="Arial" w:cs="Arial"/>
          <w:highlight w:val="yellow"/>
        </w:rPr>
        <w:t>versa</w:t>
      </w:r>
      <w:r w:rsidR="00701105" w:rsidRPr="00FB0D9B">
        <w:rPr>
          <w:rFonts w:ascii="Arial" w:hAnsi="Arial" w:cs="Arial"/>
          <w:highlight w:val="yellow"/>
        </w:rPr>
        <w:t>. T</w:t>
      </w:r>
      <w:r w:rsidRPr="00FB0D9B">
        <w:rPr>
          <w:rFonts w:ascii="Arial" w:hAnsi="Arial" w:cs="Arial"/>
          <w:highlight w:val="yellow"/>
        </w:rPr>
        <w:t>he following are the results of the outlier assumption.</w:t>
      </w:r>
    </w:p>
    <w:p w:rsidR="001844F8" w:rsidRPr="001844F8" w:rsidRDefault="001844F8" w:rsidP="001844F8">
      <w:pPr>
        <w:pStyle w:val="Body"/>
        <w:rPr>
          <w:rFonts w:ascii="Arial" w:hAnsi="Arial" w:cs="Arial"/>
          <w:lang w:val="en-ID"/>
        </w:rPr>
      </w:pPr>
      <w:bookmarkStart w:id="196" w:name="_Toc147172620"/>
      <w:bookmarkStart w:id="197" w:name="_Toc147173079"/>
      <w:bookmarkStart w:id="198" w:name="_Toc147173247"/>
      <w:bookmarkStart w:id="199" w:name="_Toc147830050"/>
      <w:bookmarkStart w:id="200" w:name="_Toc147830272"/>
      <w:bookmarkStart w:id="201" w:name="_Toc153835441"/>
      <w:bookmarkStart w:id="202" w:name="_Toc153853406"/>
      <w:bookmarkStart w:id="203" w:name="_Toc153854680"/>
      <w:bookmarkStart w:id="204" w:name="_Toc154134783"/>
      <w:bookmarkStart w:id="205" w:name="_Toc154135224"/>
      <w:bookmarkStart w:id="206" w:name="_Toc154135475"/>
      <w:bookmarkStart w:id="207" w:name="_Toc159492684"/>
      <w:r w:rsidRPr="001844F8">
        <w:rPr>
          <w:rFonts w:ascii="Arial" w:hAnsi="Arial" w:cs="Arial"/>
          <w:b/>
          <w:bCs/>
          <w:lang w:val="en-ID"/>
        </w:rPr>
        <w:t>Table 13.</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sidRPr="001844F8">
        <w:rPr>
          <w:rFonts w:ascii="Arial" w:hAnsi="Arial" w:cs="Arial"/>
          <w:lang w:val="en-ID"/>
        </w:rPr>
        <w:t>Multivariate Evaluation of Outliers</w:t>
      </w:r>
    </w:p>
    <w:tbl>
      <w:tblPr>
        <w:tblW w:w="0" w:type="auto"/>
        <w:jc w:val="center"/>
        <w:tblBorders>
          <w:top w:val="single" w:sz="6" w:space="0" w:color="auto"/>
          <w:bottom w:val="single" w:sz="6" w:space="0" w:color="auto"/>
          <w:insideH w:val="single" w:sz="6" w:space="0" w:color="auto"/>
        </w:tblBorders>
        <w:tblCellMar>
          <w:top w:w="15" w:type="dxa"/>
          <w:left w:w="15" w:type="dxa"/>
          <w:bottom w:w="15" w:type="dxa"/>
          <w:right w:w="15" w:type="dxa"/>
        </w:tblCellMar>
        <w:tblLook w:val="04A0" w:firstRow="1" w:lastRow="0" w:firstColumn="1" w:lastColumn="0" w:noHBand="0" w:noVBand="1"/>
      </w:tblPr>
      <w:tblGrid>
        <w:gridCol w:w="2093"/>
        <w:gridCol w:w="2371"/>
        <w:gridCol w:w="670"/>
        <w:gridCol w:w="670"/>
      </w:tblGrid>
      <w:tr w:rsidR="001844F8" w:rsidRPr="001844F8" w:rsidTr="006E664E">
        <w:trPr>
          <w:tblHeade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Observation number</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proofErr w:type="spellStart"/>
            <w:r w:rsidRPr="001844F8">
              <w:rPr>
                <w:rFonts w:ascii="Arial" w:hAnsi="Arial" w:cs="Arial"/>
              </w:rPr>
              <w:t>Mahalanobis</w:t>
            </w:r>
            <w:proofErr w:type="spellEnd"/>
            <w:r w:rsidRPr="001844F8">
              <w:rPr>
                <w:rFonts w:ascii="Arial" w:hAnsi="Arial" w:cs="Arial"/>
              </w:rPr>
              <w:t xml:space="preserve"> d-squared</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p1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p2</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45,089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,001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,086</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37,358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,007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,252</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34,488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,016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,370</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33,172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,023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,375</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31,804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,033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,458</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120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31,002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,040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,464</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29,795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,054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,607</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29,205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,063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,618</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28,417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,076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,701</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28,233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,079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,631</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28,208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,080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,512</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119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28,134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,081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,411</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27,564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,092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,477</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27,482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,094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,390</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27,405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,096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,309</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27,251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,099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,261</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26,986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,250</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26,464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,118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,324</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lastRenderedPageBreak/>
              <w:t>118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25,827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,135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,461</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25,528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,481</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25,508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,393</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114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25,473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,318</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25,050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,159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,393</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25,020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,319</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25,011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,245</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24,585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,324</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24,126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,434</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24,047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,384</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23,843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,391</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23,807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,328</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23,663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,313</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23,535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,215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,293</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23,249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,227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,341</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22,893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,242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,428</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22,842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,244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,375</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22,819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,245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,313</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22,630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,327</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22,528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,303</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22,418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,264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,284</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21,951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,287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,435</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112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21,898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,289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,388</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lastRenderedPageBreak/>
              <w:t>116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21,775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,296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,378</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134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21,668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,360</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21,626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,313</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21,484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,311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,314</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21,438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,313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,272</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20,960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,339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,443</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20,875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,344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,418</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20,698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,354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,443</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20,635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,357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,407</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20,317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,376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,513</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20,287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,378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,459</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20,109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,388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,489</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126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20,023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,393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,468</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19,842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,404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,502</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19,825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,405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,442</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19,758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,409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,411</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19,587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,420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,441</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19,483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,426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,432</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19,459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,428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,379</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129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19,148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,447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,492</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19,144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,448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,426</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19,039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,454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,419</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18,992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,457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,380</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lastRenderedPageBreak/>
              <w:t>73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18,948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,460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,340</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18,895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,464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,307</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18,642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,480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,385</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18,601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,483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,343</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18,586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,484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,290</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18,498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,489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,277</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18,447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,493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,247</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18,344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,242</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117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17,989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,523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,374</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115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17,797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,536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,423</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17,719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,541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,403</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17,525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,554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,456</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17,515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,555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,394</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17,325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,568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,443</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17,286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,571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,400</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17,277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,571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,339</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17,162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,579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,343</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17,112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,582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,308</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17,046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,587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,284</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17,000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,590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,250</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16,802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,603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,297</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16,532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,622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,391</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16,403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,630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,403</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lastRenderedPageBreak/>
              <w:t>123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16,275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,639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,414</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101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16,275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,639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,346</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16,194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,644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,328</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16,067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,653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,337</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16,066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,653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,274</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127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15,907</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,663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,299</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15,441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,694</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,521</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15,273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,705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,557</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15,259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,706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,491</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12</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14,581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,749</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,820</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14,266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,768</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,894</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125</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14,186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,773</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,883</w:t>
            </w:r>
          </w:p>
        </w:tc>
      </w:tr>
      <w:tr w:rsidR="001844F8" w:rsidRPr="001844F8" w:rsidTr="006E664E">
        <w:trPr>
          <w:jc w:val="center"/>
        </w:trPr>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131</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13,896</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,790</w:t>
            </w:r>
          </w:p>
        </w:tc>
        <w:tc>
          <w:tcPr>
            <w:tcW w:w="0" w:type="auto"/>
            <w:tcMar>
              <w:top w:w="15" w:type="dxa"/>
              <w:left w:w="140" w:type="dxa"/>
              <w:bottom w:w="15" w:type="dxa"/>
              <w:right w:w="140" w:type="dxa"/>
            </w:tcMar>
            <w:vAlign w:val="center"/>
            <w:hideMark/>
          </w:tcPr>
          <w:p w:rsidR="001844F8" w:rsidRPr="001844F8" w:rsidRDefault="001844F8" w:rsidP="001844F8">
            <w:pPr>
              <w:pStyle w:val="Body"/>
              <w:rPr>
                <w:rFonts w:ascii="Arial" w:hAnsi="Arial" w:cs="Arial"/>
              </w:rPr>
            </w:pPr>
            <w:r w:rsidRPr="001844F8">
              <w:rPr>
                <w:rFonts w:ascii="Arial" w:hAnsi="Arial" w:cs="Arial"/>
              </w:rPr>
              <w:t>,931</w:t>
            </w:r>
          </w:p>
        </w:tc>
      </w:tr>
    </w:tbl>
    <w:p w:rsidR="001844F8" w:rsidRPr="001844F8" w:rsidRDefault="001844F8" w:rsidP="001844F8">
      <w:pPr>
        <w:pStyle w:val="Body"/>
        <w:rPr>
          <w:rFonts w:ascii="Arial" w:hAnsi="Arial" w:cs="Arial"/>
        </w:rPr>
      </w:pPr>
      <w:r w:rsidRPr="001844F8">
        <w:rPr>
          <w:rFonts w:ascii="Arial" w:hAnsi="Arial" w:cs="Arial"/>
        </w:rPr>
        <w:t>Source: Data test results, 2024.</w:t>
      </w:r>
    </w:p>
    <w:p w:rsidR="001844F8" w:rsidRPr="001844F8" w:rsidRDefault="001844F8" w:rsidP="001844F8">
      <w:pPr>
        <w:pStyle w:val="Body"/>
        <w:rPr>
          <w:rFonts w:ascii="Arial" w:hAnsi="Arial" w:cs="Arial"/>
          <w:b/>
        </w:rPr>
      </w:pPr>
      <w:r w:rsidRPr="001844F8">
        <w:rPr>
          <w:rFonts w:ascii="Arial" w:hAnsi="Arial" w:cs="Arial"/>
        </w:rPr>
        <w:t xml:space="preserve">Table 13 shows data with probability (p), namely p1 or p2, whose value is more than 0.05 with the largest </w:t>
      </w:r>
      <w:proofErr w:type="spellStart"/>
      <w:r w:rsidRPr="001844F8">
        <w:rPr>
          <w:rFonts w:ascii="Arial" w:hAnsi="Arial" w:cs="Arial"/>
        </w:rPr>
        <w:t>Mahalanobis</w:t>
      </w:r>
      <w:proofErr w:type="spellEnd"/>
      <w:r w:rsidRPr="001844F8">
        <w:rPr>
          <w:rFonts w:ascii="Arial" w:hAnsi="Arial" w:cs="Arial"/>
        </w:rPr>
        <w:t xml:space="preserve"> distance being 45.089. This value is less than the table chi square value (19; 0.001) = 98.32423, so it can be indicated that there is no case. outliers in the data.</w:t>
      </w:r>
    </w:p>
    <w:p w:rsidR="001844F8" w:rsidRPr="001844F8" w:rsidRDefault="001844F8" w:rsidP="001844F8">
      <w:pPr>
        <w:pStyle w:val="Body"/>
        <w:rPr>
          <w:rFonts w:ascii="Arial" w:hAnsi="Arial" w:cs="Arial"/>
        </w:rPr>
      </w:pPr>
    </w:p>
    <w:p w:rsidR="001844F8" w:rsidRPr="001844F8" w:rsidRDefault="001844F8" w:rsidP="007418CF">
      <w:pPr>
        <w:pStyle w:val="Body"/>
        <w:numPr>
          <w:ilvl w:val="0"/>
          <w:numId w:val="12"/>
        </w:numPr>
        <w:rPr>
          <w:rFonts w:ascii="Arial" w:hAnsi="Arial" w:cs="Arial"/>
          <w:bCs/>
          <w:lang w:val="en-ID"/>
        </w:rPr>
      </w:pPr>
      <w:bookmarkStart w:id="208" w:name="_Toc147172823"/>
      <w:bookmarkStart w:id="209" w:name="_Toc147173080"/>
      <w:bookmarkStart w:id="210" w:name="_Toc147173248"/>
      <w:bookmarkStart w:id="211" w:name="_Toc147830051"/>
      <w:bookmarkStart w:id="212" w:name="_Toc147830273"/>
      <w:bookmarkStart w:id="213" w:name="_Toc154134784"/>
      <w:bookmarkStart w:id="214" w:name="_Toc154135225"/>
      <w:bookmarkStart w:id="215" w:name="_Toc154135476"/>
      <w:bookmarkStart w:id="216" w:name="_Toc159492685"/>
      <w:r w:rsidRPr="001844F8">
        <w:rPr>
          <w:rFonts w:ascii="Arial" w:hAnsi="Arial" w:cs="Arial"/>
          <w:bCs/>
          <w:lang w:val="en-ID"/>
        </w:rPr>
        <w:t>Multicollinearity and Singularity Assumptions</w:t>
      </w:r>
      <w:bookmarkEnd w:id="208"/>
      <w:bookmarkEnd w:id="209"/>
      <w:bookmarkEnd w:id="210"/>
      <w:bookmarkEnd w:id="211"/>
      <w:bookmarkEnd w:id="212"/>
      <w:bookmarkEnd w:id="213"/>
      <w:bookmarkEnd w:id="214"/>
      <w:bookmarkEnd w:id="215"/>
      <w:bookmarkEnd w:id="216"/>
    </w:p>
    <w:p w:rsidR="001844F8" w:rsidRPr="001844F8" w:rsidRDefault="001844F8" w:rsidP="001844F8">
      <w:pPr>
        <w:pStyle w:val="Body"/>
        <w:rPr>
          <w:rFonts w:ascii="Arial" w:hAnsi="Arial" w:cs="Arial"/>
        </w:rPr>
      </w:pPr>
      <w:r w:rsidRPr="001844F8">
        <w:rPr>
          <w:rFonts w:ascii="Arial" w:hAnsi="Arial" w:cs="Arial"/>
        </w:rPr>
        <w:t>The results of data processing determine the determinant value of the sample covariance matrix which is 0.0000000. This shows that there is multicollinearity in the data, so a composite variable must be created. After creating composite variables, the results showed that there was an increase in the Determinant of sample covariance matrix value, namely 0.00609, so it could be indicated that there were no cases of multicollinearity in the variables.</w:t>
      </w:r>
    </w:p>
    <w:p w:rsidR="001844F8" w:rsidRPr="001844F8" w:rsidRDefault="001844F8" w:rsidP="001844F8">
      <w:pPr>
        <w:pStyle w:val="Body"/>
        <w:rPr>
          <w:rFonts w:ascii="Arial" w:hAnsi="Arial" w:cs="Arial"/>
        </w:rPr>
      </w:pPr>
      <w:r w:rsidRPr="001844F8">
        <w:rPr>
          <w:rFonts w:ascii="Arial" w:hAnsi="Arial" w:cs="Arial"/>
          <w:noProof/>
        </w:rPr>
        <w:lastRenderedPageBreak/>
        <w:drawing>
          <wp:inline distT="0" distB="0" distL="0" distR="0" wp14:anchorId="44E9BDEE" wp14:editId="5628371D">
            <wp:extent cx="3198414" cy="2419020"/>
            <wp:effectExtent l="0" t="0" r="2540" b="635"/>
            <wp:docPr id="2129153976" name="Picture 2129153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119" t="2155" r="8232" b="5117"/>
                    <a:stretch/>
                  </pic:blipFill>
                  <pic:spPr bwMode="auto">
                    <a:xfrm>
                      <a:off x="0" y="0"/>
                      <a:ext cx="3285191" cy="2484651"/>
                    </a:xfrm>
                    <a:prstGeom prst="rect">
                      <a:avLst/>
                    </a:prstGeom>
                    <a:ln>
                      <a:noFill/>
                    </a:ln>
                    <a:extLst>
                      <a:ext uri="{53640926-AAD7-44D8-BBD7-CCE9431645EC}">
                        <a14:shadowObscured xmlns:a14="http://schemas.microsoft.com/office/drawing/2010/main"/>
                      </a:ext>
                    </a:extLst>
                  </pic:spPr>
                </pic:pic>
              </a:graphicData>
            </a:graphic>
          </wp:inline>
        </w:drawing>
      </w:r>
    </w:p>
    <w:p w:rsidR="001844F8" w:rsidRPr="001844F8" w:rsidRDefault="001844F8" w:rsidP="001844F8">
      <w:pPr>
        <w:pStyle w:val="Body"/>
        <w:rPr>
          <w:rFonts w:ascii="Arial" w:hAnsi="Arial" w:cs="Arial"/>
        </w:rPr>
      </w:pPr>
      <w:r w:rsidRPr="001844F8">
        <w:rPr>
          <w:rFonts w:ascii="Arial" w:hAnsi="Arial" w:cs="Arial"/>
          <w:b/>
          <w:bCs/>
        </w:rPr>
        <w:t xml:space="preserve">Figure </w:t>
      </w:r>
      <w:proofErr w:type="gramStart"/>
      <w:r w:rsidRPr="001844F8">
        <w:rPr>
          <w:rFonts w:ascii="Arial" w:hAnsi="Arial" w:cs="Arial"/>
          <w:b/>
          <w:bCs/>
        </w:rPr>
        <w:t>3.</w:t>
      </w:r>
      <w:r w:rsidRPr="001844F8">
        <w:rPr>
          <w:rFonts w:ascii="Arial" w:hAnsi="Arial" w:cs="Arial"/>
        </w:rPr>
        <w:t>Structural</w:t>
      </w:r>
      <w:proofErr w:type="gramEnd"/>
      <w:r w:rsidRPr="001844F8">
        <w:rPr>
          <w:rFonts w:ascii="Arial" w:hAnsi="Arial" w:cs="Arial"/>
        </w:rPr>
        <w:t xml:space="preserve"> Model Before Making a Composite Model</w:t>
      </w:r>
    </w:p>
    <w:p w:rsidR="001844F8" w:rsidRPr="001844F8" w:rsidRDefault="001844F8" w:rsidP="001844F8">
      <w:pPr>
        <w:pStyle w:val="Body"/>
        <w:rPr>
          <w:rFonts w:ascii="Arial" w:hAnsi="Arial" w:cs="Arial"/>
        </w:rPr>
      </w:pPr>
      <w:r w:rsidRPr="001844F8">
        <w:rPr>
          <w:rFonts w:ascii="Arial" w:hAnsi="Arial" w:cs="Arial"/>
        </w:rPr>
        <w:t>The process of making composites is carried out by simplifying latent variables that have several indicators into one composite indicator, then calculating them. Then, each composite indicator will produce one composite factor loading value (</w:t>
      </w:r>
      <w:r w:rsidRPr="001844F8">
        <w:rPr>
          <w:rFonts w:ascii="Cambria Math" w:hAnsi="Cambria Math" w:cs="Cambria Math"/>
        </w:rPr>
        <w:t>𝛌</w:t>
      </w:r>
      <w:r w:rsidRPr="001844F8">
        <w:rPr>
          <w:rFonts w:ascii="Arial" w:hAnsi="Arial" w:cs="Arial"/>
        </w:rPr>
        <w:t>c) and error variance composite (</w:t>
      </w:r>
      <w:r w:rsidRPr="001844F8">
        <w:rPr>
          <w:rFonts w:ascii="Cambria Math" w:hAnsi="Cambria Math" w:cs="Cambria Math"/>
        </w:rPr>
        <w:t>𝞗</w:t>
      </w:r>
      <w:r w:rsidRPr="001844F8">
        <w:rPr>
          <w:rFonts w:ascii="Arial" w:hAnsi="Arial" w:cs="Arial"/>
        </w:rPr>
        <w:t>c). Next, these values ​​will be used as constraints for each composite indicator, below are the results.</w:t>
      </w:r>
    </w:p>
    <w:p w:rsidR="001844F8" w:rsidRPr="001844F8" w:rsidRDefault="001844F8" w:rsidP="001844F8">
      <w:pPr>
        <w:pStyle w:val="Body"/>
        <w:rPr>
          <w:rFonts w:ascii="Arial" w:hAnsi="Arial" w:cs="Arial"/>
        </w:rPr>
      </w:pPr>
    </w:p>
    <w:p w:rsidR="001844F8" w:rsidRPr="001844F8" w:rsidRDefault="001844F8" w:rsidP="001844F8">
      <w:pPr>
        <w:pStyle w:val="Body"/>
        <w:rPr>
          <w:rFonts w:ascii="Arial" w:hAnsi="Arial" w:cs="Arial"/>
          <w:lang w:val="en-ID"/>
        </w:rPr>
      </w:pPr>
      <w:bookmarkStart w:id="217" w:name="_Toc147172623"/>
      <w:bookmarkStart w:id="218" w:name="_Toc147173082"/>
      <w:bookmarkStart w:id="219" w:name="_Toc147173250"/>
      <w:bookmarkStart w:id="220" w:name="_Toc147830053"/>
      <w:bookmarkStart w:id="221" w:name="_Toc147830275"/>
      <w:bookmarkStart w:id="222" w:name="_Toc153835444"/>
      <w:bookmarkStart w:id="223" w:name="_Toc153853409"/>
      <w:bookmarkStart w:id="224" w:name="_Toc153854683"/>
      <w:bookmarkStart w:id="225" w:name="_Toc154134786"/>
      <w:bookmarkStart w:id="226" w:name="_Toc154135227"/>
      <w:bookmarkStart w:id="227" w:name="_Toc154135478"/>
      <w:bookmarkStart w:id="228" w:name="_Toc159492687"/>
      <w:r w:rsidRPr="001844F8">
        <w:rPr>
          <w:rFonts w:ascii="Arial" w:hAnsi="Arial" w:cs="Arial"/>
          <w:b/>
          <w:bCs/>
          <w:lang w:val="en-ID"/>
        </w:rPr>
        <w:t>Table 14</w:t>
      </w:r>
      <w:bookmarkEnd w:id="217"/>
      <w:bookmarkEnd w:id="218"/>
      <w:bookmarkEnd w:id="219"/>
      <w:bookmarkEnd w:id="220"/>
      <w:bookmarkEnd w:id="221"/>
      <w:bookmarkEnd w:id="222"/>
      <w:bookmarkEnd w:id="223"/>
      <w:bookmarkEnd w:id="224"/>
      <w:bookmarkEnd w:id="225"/>
      <w:bookmarkEnd w:id="226"/>
      <w:bookmarkEnd w:id="227"/>
      <w:bookmarkEnd w:id="228"/>
      <w:r w:rsidRPr="001844F8">
        <w:rPr>
          <w:rFonts w:ascii="Arial" w:hAnsi="Arial" w:cs="Arial"/>
          <w:lang w:val="en-ID"/>
        </w:rPr>
        <w:t>Composite factor loading value and composite variance error</w:t>
      </w:r>
    </w:p>
    <w:tbl>
      <w:tblPr>
        <w:tblStyle w:val="TableGrid"/>
        <w:tblW w:w="0" w:type="auto"/>
        <w:jc w:val="center"/>
        <w:tblBorders>
          <w:top w:val="single" w:sz="6" w:space="0" w:color="auto"/>
          <w:left w:val="none" w:sz="0" w:space="0" w:color="auto"/>
          <w:bottom w:val="single" w:sz="6" w:space="0" w:color="auto"/>
          <w:right w:val="none" w:sz="0" w:space="0" w:color="auto"/>
          <w:insideH w:val="single" w:sz="6" w:space="0" w:color="auto"/>
          <w:insideV w:val="none" w:sz="0" w:space="0" w:color="auto"/>
        </w:tblBorders>
        <w:tblLook w:val="04A0" w:firstRow="1" w:lastRow="0" w:firstColumn="1" w:lastColumn="0" w:noHBand="0" w:noVBand="1"/>
      </w:tblPr>
      <w:tblGrid>
        <w:gridCol w:w="1450"/>
        <w:gridCol w:w="828"/>
        <w:gridCol w:w="828"/>
        <w:gridCol w:w="939"/>
        <w:gridCol w:w="828"/>
        <w:gridCol w:w="939"/>
        <w:gridCol w:w="939"/>
      </w:tblGrid>
      <w:tr w:rsidR="001844F8" w:rsidRPr="001844F8" w:rsidTr="006E664E">
        <w:trPr>
          <w:jc w:val="center"/>
        </w:trPr>
        <w:tc>
          <w:tcPr>
            <w:tcW w:w="1450" w:type="dxa"/>
          </w:tcPr>
          <w:p w:rsidR="001844F8" w:rsidRPr="001844F8" w:rsidRDefault="001844F8" w:rsidP="001844F8">
            <w:pPr>
              <w:pStyle w:val="Body"/>
              <w:rPr>
                <w:rFonts w:ascii="Arial" w:hAnsi="Arial" w:cs="Arial"/>
                <w:lang w:val="id-ID"/>
              </w:rPr>
            </w:pPr>
            <w:r w:rsidRPr="001844F8">
              <w:rPr>
                <w:rFonts w:ascii="Arial" w:hAnsi="Arial" w:cs="Arial"/>
                <w:lang w:val="id-ID"/>
              </w:rPr>
              <w:t>Variable</w:t>
            </w:r>
          </w:p>
        </w:tc>
        <w:tc>
          <w:tcPr>
            <w:tcW w:w="828" w:type="dxa"/>
          </w:tcPr>
          <w:p w:rsidR="001844F8" w:rsidRPr="001844F8" w:rsidRDefault="001844F8" w:rsidP="001844F8">
            <w:pPr>
              <w:pStyle w:val="Body"/>
              <w:rPr>
                <w:rFonts w:ascii="Arial" w:hAnsi="Arial" w:cs="Arial"/>
                <w:lang w:val="id-ID"/>
              </w:rPr>
            </w:pPr>
            <w:r w:rsidRPr="001844F8">
              <w:rPr>
                <w:rFonts w:ascii="Arial" w:hAnsi="Arial" w:cs="Arial"/>
                <w:lang w:val="id-ID"/>
              </w:rPr>
              <w:t>PT</w:t>
            </w:r>
          </w:p>
        </w:tc>
        <w:tc>
          <w:tcPr>
            <w:tcW w:w="828" w:type="dxa"/>
          </w:tcPr>
          <w:p w:rsidR="001844F8" w:rsidRPr="001844F8" w:rsidRDefault="001844F8" w:rsidP="001844F8">
            <w:pPr>
              <w:pStyle w:val="Body"/>
              <w:rPr>
                <w:rFonts w:ascii="Arial" w:hAnsi="Arial" w:cs="Arial"/>
                <w:lang w:val="id-ID"/>
              </w:rPr>
            </w:pPr>
            <w:r w:rsidRPr="001844F8">
              <w:rPr>
                <w:rFonts w:ascii="Arial" w:hAnsi="Arial" w:cs="Arial"/>
                <w:lang w:val="id-ID"/>
              </w:rPr>
              <w:t>NS</w:t>
            </w:r>
          </w:p>
        </w:tc>
        <w:tc>
          <w:tcPr>
            <w:tcW w:w="939" w:type="dxa"/>
          </w:tcPr>
          <w:p w:rsidR="001844F8" w:rsidRPr="001844F8" w:rsidRDefault="001844F8" w:rsidP="001844F8">
            <w:pPr>
              <w:pStyle w:val="Body"/>
              <w:rPr>
                <w:rFonts w:ascii="Arial" w:hAnsi="Arial" w:cs="Arial"/>
                <w:lang w:val="id-ID"/>
              </w:rPr>
            </w:pPr>
            <w:r w:rsidRPr="001844F8">
              <w:rPr>
                <w:rFonts w:ascii="Arial" w:hAnsi="Arial" w:cs="Arial"/>
                <w:lang w:val="id-ID"/>
              </w:rPr>
              <w:t>FK</w:t>
            </w:r>
          </w:p>
        </w:tc>
        <w:tc>
          <w:tcPr>
            <w:tcW w:w="828" w:type="dxa"/>
          </w:tcPr>
          <w:p w:rsidR="001844F8" w:rsidRPr="001844F8" w:rsidRDefault="001844F8" w:rsidP="001844F8">
            <w:pPr>
              <w:pStyle w:val="Body"/>
              <w:rPr>
                <w:rFonts w:ascii="Arial" w:hAnsi="Arial" w:cs="Arial"/>
                <w:lang w:val="id-ID"/>
              </w:rPr>
            </w:pPr>
            <w:r w:rsidRPr="001844F8">
              <w:rPr>
                <w:rFonts w:ascii="Arial" w:hAnsi="Arial" w:cs="Arial"/>
                <w:lang w:val="id-ID"/>
              </w:rPr>
              <w:t>F.A</w:t>
            </w:r>
          </w:p>
        </w:tc>
        <w:tc>
          <w:tcPr>
            <w:tcW w:w="939" w:type="dxa"/>
          </w:tcPr>
          <w:p w:rsidR="001844F8" w:rsidRPr="001844F8" w:rsidRDefault="001844F8" w:rsidP="001844F8">
            <w:pPr>
              <w:pStyle w:val="Body"/>
              <w:rPr>
                <w:rFonts w:ascii="Arial" w:hAnsi="Arial" w:cs="Arial"/>
                <w:lang w:val="id-ID"/>
              </w:rPr>
            </w:pPr>
            <w:r w:rsidRPr="001844F8">
              <w:rPr>
                <w:rFonts w:ascii="Arial" w:hAnsi="Arial" w:cs="Arial"/>
                <w:lang w:val="id-ID"/>
              </w:rPr>
              <w:t>FSE</w:t>
            </w:r>
          </w:p>
        </w:tc>
        <w:tc>
          <w:tcPr>
            <w:tcW w:w="939" w:type="dxa"/>
          </w:tcPr>
          <w:p w:rsidR="001844F8" w:rsidRPr="001844F8" w:rsidRDefault="001844F8" w:rsidP="001844F8">
            <w:pPr>
              <w:pStyle w:val="Body"/>
              <w:rPr>
                <w:rFonts w:ascii="Arial" w:hAnsi="Arial" w:cs="Arial"/>
                <w:lang w:val="id-ID"/>
              </w:rPr>
            </w:pPr>
            <w:r w:rsidRPr="001844F8">
              <w:rPr>
                <w:rFonts w:ascii="Arial" w:hAnsi="Arial" w:cs="Arial"/>
                <w:lang w:val="id-ID"/>
              </w:rPr>
              <w:t>NI</w:t>
            </w:r>
          </w:p>
        </w:tc>
      </w:tr>
      <w:tr w:rsidR="001844F8" w:rsidRPr="001844F8" w:rsidTr="006E664E">
        <w:trPr>
          <w:jc w:val="center"/>
        </w:trPr>
        <w:tc>
          <w:tcPr>
            <w:tcW w:w="1450" w:type="dxa"/>
          </w:tcPr>
          <w:p w:rsidR="001844F8" w:rsidRPr="001844F8" w:rsidRDefault="001844F8" w:rsidP="001844F8">
            <w:pPr>
              <w:pStyle w:val="Body"/>
              <w:rPr>
                <w:rFonts w:ascii="Arial" w:hAnsi="Arial" w:cs="Arial"/>
                <w:lang w:val="id-ID"/>
              </w:rPr>
            </w:pPr>
            <w:r w:rsidRPr="001844F8">
              <w:rPr>
                <w:rFonts w:ascii="Arial" w:hAnsi="Arial" w:cs="Arial"/>
                <w:lang w:val="id-ID"/>
              </w:rPr>
              <w:t>Loading Factor Composite</w:t>
            </w:r>
          </w:p>
        </w:tc>
        <w:tc>
          <w:tcPr>
            <w:tcW w:w="828" w:type="dxa"/>
          </w:tcPr>
          <w:p w:rsidR="001844F8" w:rsidRPr="001844F8" w:rsidRDefault="001844F8" w:rsidP="001844F8">
            <w:pPr>
              <w:pStyle w:val="Body"/>
              <w:rPr>
                <w:rFonts w:ascii="Arial" w:hAnsi="Arial" w:cs="Arial"/>
                <w:lang w:val="id-ID"/>
              </w:rPr>
            </w:pPr>
            <w:r w:rsidRPr="001844F8">
              <w:rPr>
                <w:rFonts w:ascii="Arial" w:hAnsi="Arial" w:cs="Arial"/>
                <w:lang w:val="id-ID"/>
              </w:rPr>
              <w:t>0.527</w:t>
            </w:r>
          </w:p>
        </w:tc>
        <w:tc>
          <w:tcPr>
            <w:tcW w:w="828" w:type="dxa"/>
          </w:tcPr>
          <w:p w:rsidR="001844F8" w:rsidRPr="001844F8" w:rsidRDefault="001844F8" w:rsidP="001844F8">
            <w:pPr>
              <w:pStyle w:val="Body"/>
              <w:rPr>
                <w:rFonts w:ascii="Arial" w:hAnsi="Arial" w:cs="Arial"/>
                <w:lang w:val="id-ID"/>
              </w:rPr>
            </w:pPr>
            <w:r w:rsidRPr="001844F8">
              <w:rPr>
                <w:rFonts w:ascii="Arial" w:hAnsi="Arial" w:cs="Arial"/>
                <w:lang w:val="id-ID"/>
              </w:rPr>
              <w:t>0.482</w:t>
            </w:r>
          </w:p>
        </w:tc>
        <w:tc>
          <w:tcPr>
            <w:tcW w:w="939" w:type="dxa"/>
          </w:tcPr>
          <w:p w:rsidR="001844F8" w:rsidRPr="001844F8" w:rsidRDefault="001844F8" w:rsidP="001844F8">
            <w:pPr>
              <w:pStyle w:val="Body"/>
              <w:rPr>
                <w:rFonts w:ascii="Arial" w:hAnsi="Arial" w:cs="Arial"/>
                <w:lang w:val="id-ID"/>
              </w:rPr>
            </w:pPr>
            <w:r w:rsidRPr="001844F8">
              <w:rPr>
                <w:rFonts w:ascii="Arial" w:hAnsi="Arial" w:cs="Arial"/>
                <w:lang w:val="id-ID"/>
              </w:rPr>
              <w:t>0.319</w:t>
            </w:r>
          </w:p>
        </w:tc>
        <w:tc>
          <w:tcPr>
            <w:tcW w:w="828" w:type="dxa"/>
          </w:tcPr>
          <w:p w:rsidR="001844F8" w:rsidRPr="001844F8" w:rsidRDefault="001844F8" w:rsidP="001844F8">
            <w:pPr>
              <w:pStyle w:val="Body"/>
              <w:rPr>
                <w:rFonts w:ascii="Arial" w:hAnsi="Arial" w:cs="Arial"/>
                <w:lang w:val="id-ID"/>
              </w:rPr>
            </w:pPr>
            <w:r w:rsidRPr="001844F8">
              <w:rPr>
                <w:rFonts w:ascii="Arial" w:hAnsi="Arial" w:cs="Arial"/>
                <w:lang w:val="id-ID"/>
              </w:rPr>
              <w:t>0.326</w:t>
            </w:r>
          </w:p>
        </w:tc>
        <w:tc>
          <w:tcPr>
            <w:tcW w:w="939" w:type="dxa"/>
          </w:tcPr>
          <w:p w:rsidR="001844F8" w:rsidRPr="001844F8" w:rsidRDefault="001844F8" w:rsidP="001844F8">
            <w:pPr>
              <w:pStyle w:val="Body"/>
              <w:rPr>
                <w:rFonts w:ascii="Arial" w:hAnsi="Arial" w:cs="Arial"/>
                <w:lang w:val="id-ID"/>
              </w:rPr>
            </w:pPr>
            <w:r w:rsidRPr="001844F8">
              <w:rPr>
                <w:rFonts w:ascii="Arial" w:hAnsi="Arial" w:cs="Arial"/>
                <w:lang w:val="id-ID"/>
              </w:rPr>
              <w:t>0.382</w:t>
            </w:r>
          </w:p>
        </w:tc>
        <w:tc>
          <w:tcPr>
            <w:tcW w:w="939" w:type="dxa"/>
          </w:tcPr>
          <w:p w:rsidR="001844F8" w:rsidRPr="001844F8" w:rsidRDefault="001844F8" w:rsidP="001844F8">
            <w:pPr>
              <w:pStyle w:val="Body"/>
              <w:rPr>
                <w:rFonts w:ascii="Arial" w:hAnsi="Arial" w:cs="Arial"/>
                <w:lang w:val="id-ID"/>
              </w:rPr>
            </w:pPr>
            <w:r w:rsidRPr="001844F8">
              <w:rPr>
                <w:rFonts w:ascii="Arial" w:hAnsi="Arial" w:cs="Arial"/>
                <w:lang w:val="id-ID"/>
              </w:rPr>
              <w:t>0.374</w:t>
            </w:r>
          </w:p>
          <w:p w:rsidR="001844F8" w:rsidRPr="001844F8" w:rsidRDefault="001844F8" w:rsidP="001844F8">
            <w:pPr>
              <w:pStyle w:val="Body"/>
              <w:rPr>
                <w:rFonts w:ascii="Arial" w:hAnsi="Arial" w:cs="Arial"/>
                <w:lang w:val="id-ID"/>
              </w:rPr>
            </w:pPr>
          </w:p>
        </w:tc>
      </w:tr>
      <w:tr w:rsidR="001844F8" w:rsidRPr="001844F8" w:rsidTr="006E664E">
        <w:trPr>
          <w:jc w:val="center"/>
        </w:trPr>
        <w:tc>
          <w:tcPr>
            <w:tcW w:w="1450" w:type="dxa"/>
          </w:tcPr>
          <w:p w:rsidR="001844F8" w:rsidRPr="001844F8" w:rsidRDefault="001844F8" w:rsidP="001844F8">
            <w:pPr>
              <w:pStyle w:val="Body"/>
              <w:rPr>
                <w:rFonts w:ascii="Arial" w:hAnsi="Arial" w:cs="Arial"/>
                <w:lang w:val="id-ID"/>
              </w:rPr>
            </w:pPr>
            <w:r w:rsidRPr="001844F8">
              <w:rPr>
                <w:rFonts w:ascii="Arial" w:hAnsi="Arial" w:cs="Arial"/>
                <w:lang w:val="id-ID"/>
              </w:rPr>
              <w:t>Error Variance Composite</w:t>
            </w:r>
          </w:p>
        </w:tc>
        <w:tc>
          <w:tcPr>
            <w:tcW w:w="828" w:type="dxa"/>
          </w:tcPr>
          <w:p w:rsidR="001844F8" w:rsidRPr="001844F8" w:rsidRDefault="001844F8" w:rsidP="001844F8">
            <w:pPr>
              <w:pStyle w:val="Body"/>
              <w:rPr>
                <w:rFonts w:ascii="Arial" w:hAnsi="Arial" w:cs="Arial"/>
                <w:lang w:val="id-ID"/>
              </w:rPr>
            </w:pPr>
            <w:r w:rsidRPr="001844F8">
              <w:rPr>
                <w:rFonts w:ascii="Arial" w:hAnsi="Arial" w:cs="Arial"/>
                <w:lang w:val="id-ID"/>
              </w:rPr>
              <w:t>0.05</w:t>
            </w:r>
          </w:p>
        </w:tc>
        <w:tc>
          <w:tcPr>
            <w:tcW w:w="828" w:type="dxa"/>
          </w:tcPr>
          <w:p w:rsidR="001844F8" w:rsidRPr="001844F8" w:rsidRDefault="001844F8" w:rsidP="001844F8">
            <w:pPr>
              <w:pStyle w:val="Body"/>
              <w:rPr>
                <w:rFonts w:ascii="Arial" w:hAnsi="Arial" w:cs="Arial"/>
                <w:lang w:val="id-ID"/>
              </w:rPr>
            </w:pPr>
            <w:r w:rsidRPr="001844F8">
              <w:rPr>
                <w:rFonts w:ascii="Arial" w:hAnsi="Arial" w:cs="Arial"/>
                <w:lang w:val="id-ID"/>
              </w:rPr>
              <w:t>0.05</w:t>
            </w:r>
          </w:p>
        </w:tc>
        <w:tc>
          <w:tcPr>
            <w:tcW w:w="939" w:type="dxa"/>
          </w:tcPr>
          <w:p w:rsidR="001844F8" w:rsidRPr="001844F8" w:rsidRDefault="001844F8" w:rsidP="001844F8">
            <w:pPr>
              <w:pStyle w:val="Body"/>
              <w:rPr>
                <w:rFonts w:ascii="Arial" w:hAnsi="Arial" w:cs="Arial"/>
                <w:lang w:val="id-ID"/>
              </w:rPr>
            </w:pPr>
            <w:r w:rsidRPr="001844F8">
              <w:rPr>
                <w:rFonts w:ascii="Arial" w:hAnsi="Arial" w:cs="Arial"/>
                <w:lang w:val="id-ID"/>
              </w:rPr>
              <w:t>0.0017</w:t>
            </w:r>
          </w:p>
        </w:tc>
        <w:tc>
          <w:tcPr>
            <w:tcW w:w="828" w:type="dxa"/>
          </w:tcPr>
          <w:p w:rsidR="001844F8" w:rsidRPr="001844F8" w:rsidRDefault="001844F8" w:rsidP="001844F8">
            <w:pPr>
              <w:pStyle w:val="Body"/>
              <w:rPr>
                <w:rFonts w:ascii="Arial" w:hAnsi="Arial" w:cs="Arial"/>
                <w:lang w:val="id-ID"/>
              </w:rPr>
            </w:pPr>
            <w:r w:rsidRPr="001844F8">
              <w:rPr>
                <w:rFonts w:ascii="Arial" w:hAnsi="Arial" w:cs="Arial"/>
                <w:lang w:val="id-ID"/>
              </w:rPr>
              <w:t>0.005</w:t>
            </w:r>
          </w:p>
        </w:tc>
        <w:tc>
          <w:tcPr>
            <w:tcW w:w="939" w:type="dxa"/>
          </w:tcPr>
          <w:p w:rsidR="001844F8" w:rsidRPr="001844F8" w:rsidRDefault="001844F8" w:rsidP="001844F8">
            <w:pPr>
              <w:pStyle w:val="Body"/>
              <w:rPr>
                <w:rFonts w:ascii="Arial" w:hAnsi="Arial" w:cs="Arial"/>
                <w:lang w:val="id-ID"/>
              </w:rPr>
            </w:pPr>
            <w:r w:rsidRPr="001844F8">
              <w:rPr>
                <w:rFonts w:ascii="Arial" w:hAnsi="Arial" w:cs="Arial"/>
                <w:lang w:val="id-ID"/>
              </w:rPr>
              <w:t>0.0012</w:t>
            </w:r>
          </w:p>
        </w:tc>
        <w:tc>
          <w:tcPr>
            <w:tcW w:w="939" w:type="dxa"/>
          </w:tcPr>
          <w:p w:rsidR="001844F8" w:rsidRPr="001844F8" w:rsidRDefault="001844F8" w:rsidP="001844F8">
            <w:pPr>
              <w:pStyle w:val="Body"/>
              <w:rPr>
                <w:rFonts w:ascii="Arial" w:hAnsi="Arial" w:cs="Arial"/>
                <w:lang w:val="id-ID"/>
              </w:rPr>
            </w:pPr>
            <w:r w:rsidRPr="001844F8">
              <w:rPr>
                <w:rFonts w:ascii="Arial" w:hAnsi="Arial" w:cs="Arial"/>
                <w:lang w:val="id-ID"/>
              </w:rPr>
              <w:t>0.0017</w:t>
            </w:r>
          </w:p>
        </w:tc>
      </w:tr>
    </w:tbl>
    <w:p w:rsidR="001844F8" w:rsidRPr="001844F8" w:rsidRDefault="001844F8" w:rsidP="001844F8">
      <w:pPr>
        <w:pStyle w:val="Body"/>
        <w:rPr>
          <w:rFonts w:ascii="Arial" w:hAnsi="Arial" w:cs="Arial"/>
        </w:rPr>
      </w:pPr>
      <w:r w:rsidRPr="001844F8">
        <w:rPr>
          <w:rFonts w:ascii="Arial" w:hAnsi="Arial" w:cs="Arial"/>
          <w:noProof/>
        </w:rPr>
        <w:lastRenderedPageBreak/>
        <w:drawing>
          <wp:inline distT="0" distB="0" distL="0" distR="0" wp14:anchorId="5FD743B4" wp14:editId="604D2702">
            <wp:extent cx="3051422" cy="2105025"/>
            <wp:effectExtent l="19050" t="19050" r="15875" b="9525"/>
            <wp:docPr id="1095071749" name="Picture 1095071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74996" cy="2121287"/>
                    </a:xfrm>
                    <a:prstGeom prst="rect">
                      <a:avLst/>
                    </a:prstGeom>
                    <a:ln>
                      <a:solidFill>
                        <a:schemeClr val="tx1"/>
                      </a:solidFill>
                    </a:ln>
                  </pic:spPr>
                </pic:pic>
              </a:graphicData>
            </a:graphic>
          </wp:inline>
        </w:drawing>
      </w:r>
    </w:p>
    <w:p w:rsidR="001844F8" w:rsidRPr="001844F8" w:rsidRDefault="001844F8" w:rsidP="001844F8">
      <w:pPr>
        <w:pStyle w:val="Body"/>
        <w:rPr>
          <w:rFonts w:ascii="Arial" w:hAnsi="Arial" w:cs="Arial"/>
          <w:lang w:val="en-ID"/>
        </w:rPr>
      </w:pPr>
      <w:bookmarkStart w:id="229" w:name="_Toc147172624"/>
      <w:bookmarkStart w:id="230" w:name="_Toc147172826"/>
      <w:bookmarkStart w:id="231" w:name="_Toc147173251"/>
      <w:bookmarkStart w:id="232" w:name="_Toc147830054"/>
      <w:bookmarkStart w:id="233" w:name="_Toc147830276"/>
      <w:bookmarkStart w:id="234" w:name="_Toc153835445"/>
      <w:bookmarkStart w:id="235" w:name="_Toc153853410"/>
      <w:bookmarkStart w:id="236" w:name="_Toc153854684"/>
      <w:bookmarkStart w:id="237" w:name="_Toc154134787"/>
      <w:bookmarkStart w:id="238" w:name="_Toc154135228"/>
      <w:bookmarkStart w:id="239" w:name="_Toc154135479"/>
      <w:bookmarkStart w:id="240" w:name="_Toc159492688"/>
      <w:r w:rsidRPr="001844F8">
        <w:rPr>
          <w:rFonts w:ascii="Arial" w:hAnsi="Arial" w:cs="Arial"/>
          <w:b/>
          <w:bCs/>
          <w:lang w:val="en-ID"/>
        </w:rPr>
        <w:t>Figure 4.</w:t>
      </w:r>
      <w:bookmarkEnd w:id="229"/>
      <w:bookmarkEnd w:id="230"/>
      <w:bookmarkEnd w:id="231"/>
      <w:bookmarkEnd w:id="232"/>
      <w:bookmarkEnd w:id="233"/>
      <w:bookmarkEnd w:id="234"/>
      <w:bookmarkEnd w:id="235"/>
      <w:bookmarkEnd w:id="236"/>
      <w:bookmarkEnd w:id="237"/>
      <w:bookmarkEnd w:id="238"/>
      <w:bookmarkEnd w:id="239"/>
      <w:bookmarkEnd w:id="240"/>
      <w:r w:rsidRPr="001844F8">
        <w:rPr>
          <w:rFonts w:ascii="Arial" w:hAnsi="Arial" w:cs="Arial"/>
          <w:lang w:val="en-ID"/>
        </w:rPr>
        <w:t>Composite Model Before Modification</w:t>
      </w:r>
    </w:p>
    <w:p w:rsidR="001844F8" w:rsidRPr="001844F8" w:rsidRDefault="001844F8" w:rsidP="007418CF">
      <w:pPr>
        <w:pStyle w:val="Body"/>
        <w:numPr>
          <w:ilvl w:val="0"/>
          <w:numId w:val="10"/>
        </w:numPr>
        <w:rPr>
          <w:rFonts w:ascii="Arial" w:hAnsi="Arial" w:cs="Arial"/>
          <w:lang w:val="en-ID"/>
        </w:rPr>
      </w:pPr>
      <w:bookmarkStart w:id="241" w:name="_Toc147172827"/>
      <w:bookmarkStart w:id="242" w:name="_Toc147173084"/>
      <w:bookmarkStart w:id="243" w:name="_Toc147173252"/>
      <w:bookmarkStart w:id="244" w:name="_Toc147830055"/>
      <w:bookmarkStart w:id="245" w:name="_Toc147830277"/>
      <w:bookmarkStart w:id="246" w:name="_Toc154134788"/>
      <w:bookmarkStart w:id="247" w:name="_Toc154135229"/>
      <w:bookmarkStart w:id="248" w:name="_Toc154135480"/>
      <w:bookmarkStart w:id="249" w:name="_Toc159492689"/>
      <w:r w:rsidRPr="001844F8">
        <w:rPr>
          <w:rFonts w:ascii="Arial" w:hAnsi="Arial" w:cs="Arial"/>
          <w:lang w:val="en-ID"/>
        </w:rPr>
        <w:t>Results of the Goodness of Fit Model Feasibility Evaluation</w:t>
      </w:r>
      <w:bookmarkEnd w:id="144"/>
      <w:bookmarkEnd w:id="145"/>
      <w:bookmarkEnd w:id="146"/>
      <w:bookmarkEnd w:id="147"/>
      <w:bookmarkEnd w:id="148"/>
      <w:bookmarkEnd w:id="241"/>
      <w:bookmarkEnd w:id="242"/>
      <w:bookmarkEnd w:id="243"/>
      <w:bookmarkEnd w:id="244"/>
      <w:bookmarkEnd w:id="245"/>
      <w:bookmarkEnd w:id="246"/>
      <w:bookmarkEnd w:id="247"/>
      <w:bookmarkEnd w:id="248"/>
      <w:bookmarkEnd w:id="249"/>
    </w:p>
    <w:p w:rsidR="001844F8" w:rsidRPr="001844F8" w:rsidRDefault="001844F8" w:rsidP="001844F8">
      <w:pPr>
        <w:pStyle w:val="Body"/>
        <w:rPr>
          <w:rFonts w:ascii="Arial" w:hAnsi="Arial" w:cs="Arial"/>
        </w:rPr>
      </w:pPr>
      <w:r w:rsidRPr="001844F8">
        <w:rPr>
          <w:rFonts w:ascii="Arial" w:hAnsi="Arial" w:cs="Arial"/>
        </w:rPr>
        <w:t>The results of the data processing analysis after the composite model was carried out showed that all the constructs used to form a research model, in the full SEM model analysis process, did not meet the goodness of fit criteria that had been determined as shown in the following table:</w:t>
      </w:r>
    </w:p>
    <w:p w:rsidR="001844F8" w:rsidRPr="001844F8" w:rsidRDefault="001844F8" w:rsidP="001844F8">
      <w:pPr>
        <w:pStyle w:val="Body"/>
        <w:rPr>
          <w:rFonts w:ascii="Arial" w:hAnsi="Arial" w:cs="Arial"/>
          <w:lang w:val="en-ID"/>
        </w:rPr>
      </w:pPr>
      <w:bookmarkStart w:id="250" w:name="_Toc147172626"/>
      <w:bookmarkStart w:id="251" w:name="_Toc147173085"/>
      <w:bookmarkStart w:id="252" w:name="_Toc147173253"/>
      <w:bookmarkStart w:id="253" w:name="_Toc147830056"/>
      <w:bookmarkStart w:id="254" w:name="_Toc147830278"/>
      <w:bookmarkStart w:id="255" w:name="_Toc153835447"/>
      <w:bookmarkStart w:id="256" w:name="_Toc153854686"/>
      <w:bookmarkStart w:id="257" w:name="_Toc154134789"/>
      <w:bookmarkStart w:id="258" w:name="_Toc154135230"/>
      <w:bookmarkStart w:id="259" w:name="_Toc154135481"/>
      <w:bookmarkStart w:id="260" w:name="_Toc159492690"/>
      <w:r w:rsidRPr="001844F8">
        <w:rPr>
          <w:rFonts w:ascii="Arial" w:hAnsi="Arial" w:cs="Arial"/>
          <w:b/>
          <w:bCs/>
          <w:lang w:val="en-ID"/>
        </w:rPr>
        <w:t>Table 15</w:t>
      </w:r>
      <w:bookmarkEnd w:id="250"/>
      <w:bookmarkEnd w:id="251"/>
      <w:bookmarkEnd w:id="252"/>
      <w:bookmarkEnd w:id="253"/>
      <w:bookmarkEnd w:id="254"/>
      <w:bookmarkEnd w:id="255"/>
      <w:bookmarkEnd w:id="256"/>
      <w:bookmarkEnd w:id="257"/>
      <w:bookmarkEnd w:id="258"/>
      <w:bookmarkEnd w:id="259"/>
      <w:bookmarkEnd w:id="260"/>
      <w:r w:rsidRPr="001844F8">
        <w:rPr>
          <w:rFonts w:ascii="Arial" w:hAnsi="Arial" w:cs="Arial"/>
          <w:lang w:val="en-ID"/>
        </w:rPr>
        <w:t>. Goodness of Fit Statistics of Composite Models</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2106"/>
        <w:gridCol w:w="2073"/>
        <w:gridCol w:w="1659"/>
        <w:gridCol w:w="1796"/>
      </w:tblGrid>
      <w:tr w:rsidR="001844F8" w:rsidRPr="001844F8" w:rsidTr="006E664E">
        <w:trPr>
          <w:trHeight w:val="46"/>
          <w:tblHeader/>
          <w:jc w:val="center"/>
        </w:trPr>
        <w:tc>
          <w:tcPr>
            <w:tcW w:w="0" w:type="auto"/>
            <w:tcBorders>
              <w:top w:val="single" w:sz="12" w:space="0" w:color="auto"/>
              <w:bottom w:val="single" w:sz="12" w:space="0" w:color="auto"/>
            </w:tcBorders>
            <w:vAlign w:val="center"/>
          </w:tcPr>
          <w:p w:rsidR="001844F8" w:rsidRPr="001844F8" w:rsidRDefault="001844F8" w:rsidP="001844F8">
            <w:pPr>
              <w:pStyle w:val="Body"/>
              <w:rPr>
                <w:rFonts w:ascii="Arial" w:hAnsi="Arial" w:cs="Arial"/>
                <w:b/>
              </w:rPr>
            </w:pPr>
            <w:r w:rsidRPr="001844F8">
              <w:rPr>
                <w:rFonts w:ascii="Arial" w:hAnsi="Arial" w:cs="Arial"/>
                <w:b/>
              </w:rPr>
              <w:t>Statistics</w:t>
            </w:r>
          </w:p>
        </w:tc>
        <w:tc>
          <w:tcPr>
            <w:tcW w:w="0" w:type="auto"/>
            <w:tcBorders>
              <w:top w:val="single" w:sz="12" w:space="0" w:color="auto"/>
              <w:bottom w:val="single" w:sz="12" w:space="0" w:color="auto"/>
            </w:tcBorders>
            <w:vAlign w:val="center"/>
          </w:tcPr>
          <w:p w:rsidR="001844F8" w:rsidRPr="001844F8" w:rsidRDefault="001844F8" w:rsidP="001844F8">
            <w:pPr>
              <w:pStyle w:val="Body"/>
              <w:rPr>
                <w:rFonts w:ascii="Arial" w:hAnsi="Arial" w:cs="Arial"/>
                <w:b/>
              </w:rPr>
            </w:pPr>
            <w:r w:rsidRPr="001844F8">
              <w:rPr>
                <w:rFonts w:ascii="Arial" w:hAnsi="Arial" w:cs="Arial"/>
                <w:b/>
              </w:rPr>
              <w:t>Fit Criteria</w:t>
            </w:r>
          </w:p>
        </w:tc>
        <w:tc>
          <w:tcPr>
            <w:tcW w:w="1659" w:type="dxa"/>
            <w:tcBorders>
              <w:top w:val="single" w:sz="12" w:space="0" w:color="auto"/>
              <w:bottom w:val="single" w:sz="12" w:space="0" w:color="auto"/>
            </w:tcBorders>
            <w:vAlign w:val="center"/>
          </w:tcPr>
          <w:p w:rsidR="001844F8" w:rsidRPr="001844F8" w:rsidRDefault="001844F8" w:rsidP="001844F8">
            <w:pPr>
              <w:pStyle w:val="Body"/>
              <w:rPr>
                <w:rFonts w:ascii="Arial" w:hAnsi="Arial" w:cs="Arial"/>
                <w:b/>
              </w:rPr>
            </w:pPr>
            <w:r w:rsidRPr="001844F8">
              <w:rPr>
                <w:rFonts w:ascii="Arial" w:hAnsi="Arial" w:cs="Arial"/>
                <w:b/>
              </w:rPr>
              <w:t>Analysis Results</w:t>
            </w:r>
          </w:p>
        </w:tc>
        <w:tc>
          <w:tcPr>
            <w:tcW w:w="1796" w:type="dxa"/>
            <w:tcBorders>
              <w:top w:val="single" w:sz="12" w:space="0" w:color="auto"/>
              <w:bottom w:val="single" w:sz="12" w:space="0" w:color="auto"/>
            </w:tcBorders>
            <w:vAlign w:val="center"/>
          </w:tcPr>
          <w:p w:rsidR="001844F8" w:rsidRPr="001844F8" w:rsidRDefault="001844F8" w:rsidP="001844F8">
            <w:pPr>
              <w:pStyle w:val="Body"/>
              <w:rPr>
                <w:rFonts w:ascii="Arial" w:hAnsi="Arial" w:cs="Arial"/>
                <w:b/>
              </w:rPr>
            </w:pPr>
            <w:r w:rsidRPr="001844F8">
              <w:rPr>
                <w:rFonts w:ascii="Arial" w:hAnsi="Arial" w:cs="Arial"/>
                <w:b/>
              </w:rPr>
              <w:t>Model Evaluation</w:t>
            </w:r>
          </w:p>
        </w:tc>
      </w:tr>
      <w:tr w:rsidR="001844F8" w:rsidRPr="001844F8" w:rsidTr="006E664E">
        <w:trPr>
          <w:trHeight w:val="46"/>
          <w:jc w:val="center"/>
        </w:trPr>
        <w:tc>
          <w:tcPr>
            <w:tcW w:w="0" w:type="auto"/>
            <w:tcBorders>
              <w:top w:val="single" w:sz="12" w:space="0" w:color="auto"/>
            </w:tcBorders>
          </w:tcPr>
          <w:p w:rsidR="001844F8" w:rsidRPr="001844F8" w:rsidRDefault="001844F8" w:rsidP="001844F8">
            <w:pPr>
              <w:pStyle w:val="Body"/>
              <w:rPr>
                <w:rFonts w:ascii="Arial" w:hAnsi="Arial" w:cs="Arial"/>
                <w:i/>
                <w:vertAlign w:val="superscript"/>
              </w:rPr>
            </w:pPr>
            <w:r w:rsidRPr="001844F8">
              <w:rPr>
                <w:rFonts w:ascii="Arial" w:hAnsi="Arial" w:cs="Arial"/>
                <w:i/>
              </w:rPr>
              <w:t>X2 Chi Square</w:t>
            </w:r>
          </w:p>
        </w:tc>
        <w:tc>
          <w:tcPr>
            <w:tcW w:w="0" w:type="auto"/>
            <w:tcBorders>
              <w:top w:val="single" w:sz="12" w:space="0" w:color="auto"/>
            </w:tcBorders>
          </w:tcPr>
          <w:p w:rsidR="001844F8" w:rsidRPr="001844F8" w:rsidRDefault="001844F8" w:rsidP="001844F8">
            <w:pPr>
              <w:pStyle w:val="Body"/>
              <w:rPr>
                <w:rFonts w:ascii="Arial" w:hAnsi="Arial" w:cs="Arial"/>
              </w:rPr>
            </w:pPr>
            <w:r w:rsidRPr="001844F8">
              <w:rPr>
                <w:rFonts w:ascii="Arial" w:hAnsi="Arial" w:cs="Arial"/>
              </w:rPr>
              <w:t>Expected to be small</w:t>
            </w:r>
          </w:p>
        </w:tc>
        <w:tc>
          <w:tcPr>
            <w:tcW w:w="1659" w:type="dxa"/>
            <w:tcBorders>
              <w:top w:val="single" w:sz="12" w:space="0" w:color="auto"/>
            </w:tcBorders>
          </w:tcPr>
          <w:p w:rsidR="001844F8" w:rsidRPr="001844F8" w:rsidRDefault="001844F8" w:rsidP="001844F8">
            <w:pPr>
              <w:pStyle w:val="Body"/>
              <w:rPr>
                <w:rFonts w:ascii="Arial" w:hAnsi="Arial" w:cs="Arial"/>
              </w:rPr>
            </w:pPr>
            <w:r w:rsidRPr="001844F8">
              <w:rPr>
                <w:rFonts w:ascii="Arial" w:hAnsi="Arial" w:cs="Arial"/>
              </w:rPr>
              <w:t>52,006</w:t>
            </w:r>
          </w:p>
        </w:tc>
        <w:tc>
          <w:tcPr>
            <w:tcW w:w="1796" w:type="dxa"/>
            <w:tcBorders>
              <w:top w:val="single" w:sz="12" w:space="0" w:color="auto"/>
            </w:tcBorders>
          </w:tcPr>
          <w:p w:rsidR="001844F8" w:rsidRPr="001844F8" w:rsidRDefault="001844F8" w:rsidP="001844F8">
            <w:pPr>
              <w:pStyle w:val="Body"/>
              <w:rPr>
                <w:rFonts w:ascii="Arial" w:hAnsi="Arial" w:cs="Arial"/>
              </w:rPr>
            </w:pPr>
            <w:r w:rsidRPr="001844F8">
              <w:rPr>
                <w:rFonts w:ascii="Arial" w:hAnsi="Arial" w:cs="Arial"/>
              </w:rPr>
              <w:t>Unfulfilled</w:t>
            </w:r>
          </w:p>
        </w:tc>
      </w:tr>
      <w:tr w:rsidR="001844F8" w:rsidRPr="001844F8" w:rsidTr="006E664E">
        <w:trPr>
          <w:trHeight w:val="46"/>
          <w:jc w:val="center"/>
        </w:trPr>
        <w:tc>
          <w:tcPr>
            <w:tcW w:w="0" w:type="auto"/>
          </w:tcPr>
          <w:p w:rsidR="001844F8" w:rsidRPr="001844F8" w:rsidRDefault="001844F8" w:rsidP="001844F8">
            <w:pPr>
              <w:pStyle w:val="Body"/>
              <w:rPr>
                <w:rFonts w:ascii="Arial" w:hAnsi="Arial" w:cs="Arial"/>
                <w:i/>
              </w:rPr>
            </w:pPr>
            <w:r w:rsidRPr="001844F8">
              <w:rPr>
                <w:rFonts w:ascii="Arial" w:hAnsi="Arial" w:cs="Arial"/>
                <w:i/>
              </w:rPr>
              <w:t>Significant probability</w:t>
            </w:r>
          </w:p>
        </w:tc>
        <w:tc>
          <w:tcPr>
            <w:tcW w:w="0" w:type="auto"/>
          </w:tcPr>
          <w:p w:rsidR="001844F8" w:rsidRPr="001844F8" w:rsidRDefault="001844F8" w:rsidP="001844F8">
            <w:pPr>
              <w:pStyle w:val="Body"/>
              <w:rPr>
                <w:rFonts w:ascii="Arial" w:hAnsi="Arial" w:cs="Arial"/>
              </w:rPr>
            </w:pPr>
            <w:r w:rsidRPr="001844F8">
              <w:rPr>
                <w:rFonts w:ascii="Arial" w:hAnsi="Arial" w:cs="Arial"/>
              </w:rPr>
              <w:t>≥ 0.05</w:t>
            </w:r>
          </w:p>
        </w:tc>
        <w:tc>
          <w:tcPr>
            <w:tcW w:w="1659" w:type="dxa"/>
          </w:tcPr>
          <w:p w:rsidR="001844F8" w:rsidRPr="001844F8" w:rsidRDefault="001844F8" w:rsidP="001844F8">
            <w:pPr>
              <w:pStyle w:val="Body"/>
              <w:rPr>
                <w:rFonts w:ascii="Arial" w:hAnsi="Arial" w:cs="Arial"/>
              </w:rPr>
            </w:pPr>
            <w:r w:rsidRPr="001844F8">
              <w:rPr>
                <w:rFonts w:ascii="Arial" w:hAnsi="Arial" w:cs="Arial"/>
              </w:rPr>
              <w:t>0,000</w:t>
            </w:r>
          </w:p>
        </w:tc>
        <w:tc>
          <w:tcPr>
            <w:tcW w:w="1796" w:type="dxa"/>
          </w:tcPr>
          <w:p w:rsidR="001844F8" w:rsidRPr="001844F8" w:rsidRDefault="001844F8" w:rsidP="001844F8">
            <w:pPr>
              <w:pStyle w:val="Body"/>
              <w:rPr>
                <w:rFonts w:ascii="Arial" w:hAnsi="Arial" w:cs="Arial"/>
              </w:rPr>
            </w:pPr>
            <w:r w:rsidRPr="001844F8">
              <w:rPr>
                <w:rFonts w:ascii="Arial" w:hAnsi="Arial" w:cs="Arial"/>
              </w:rPr>
              <w:t>Unfulfilled</w:t>
            </w:r>
          </w:p>
        </w:tc>
      </w:tr>
      <w:tr w:rsidR="001844F8" w:rsidRPr="001844F8" w:rsidTr="006E664E">
        <w:trPr>
          <w:trHeight w:val="46"/>
          <w:jc w:val="center"/>
        </w:trPr>
        <w:tc>
          <w:tcPr>
            <w:tcW w:w="0" w:type="auto"/>
          </w:tcPr>
          <w:p w:rsidR="001844F8" w:rsidRPr="001844F8" w:rsidRDefault="001844F8" w:rsidP="001844F8">
            <w:pPr>
              <w:pStyle w:val="Body"/>
              <w:rPr>
                <w:rFonts w:ascii="Arial" w:hAnsi="Arial" w:cs="Arial"/>
                <w:iCs/>
              </w:rPr>
            </w:pPr>
            <w:r w:rsidRPr="001844F8">
              <w:rPr>
                <w:rFonts w:ascii="Arial" w:hAnsi="Arial" w:cs="Arial"/>
                <w:iCs/>
              </w:rPr>
              <w:t>RMSEA</w:t>
            </w:r>
          </w:p>
        </w:tc>
        <w:tc>
          <w:tcPr>
            <w:tcW w:w="0" w:type="auto"/>
          </w:tcPr>
          <w:p w:rsidR="001844F8" w:rsidRPr="001844F8" w:rsidRDefault="001844F8" w:rsidP="001844F8">
            <w:pPr>
              <w:pStyle w:val="Body"/>
              <w:rPr>
                <w:rFonts w:ascii="Arial" w:hAnsi="Arial" w:cs="Arial"/>
              </w:rPr>
            </w:pPr>
            <w:r w:rsidRPr="001844F8">
              <w:rPr>
                <w:rFonts w:ascii="Arial" w:hAnsi="Arial" w:cs="Arial"/>
              </w:rPr>
              <w:t>≤ 0.08</w:t>
            </w:r>
          </w:p>
        </w:tc>
        <w:tc>
          <w:tcPr>
            <w:tcW w:w="1659" w:type="dxa"/>
          </w:tcPr>
          <w:p w:rsidR="001844F8" w:rsidRPr="001844F8" w:rsidRDefault="001844F8" w:rsidP="001844F8">
            <w:pPr>
              <w:pStyle w:val="Body"/>
              <w:rPr>
                <w:rFonts w:ascii="Arial" w:hAnsi="Arial" w:cs="Arial"/>
              </w:rPr>
            </w:pPr>
            <w:r w:rsidRPr="001844F8">
              <w:rPr>
                <w:rFonts w:ascii="Arial" w:hAnsi="Arial" w:cs="Arial"/>
              </w:rPr>
              <w:t>0.167</w:t>
            </w:r>
          </w:p>
        </w:tc>
        <w:tc>
          <w:tcPr>
            <w:tcW w:w="1796" w:type="dxa"/>
          </w:tcPr>
          <w:p w:rsidR="001844F8" w:rsidRPr="001844F8" w:rsidRDefault="001844F8" w:rsidP="001844F8">
            <w:pPr>
              <w:pStyle w:val="Body"/>
              <w:rPr>
                <w:rFonts w:ascii="Arial" w:hAnsi="Arial" w:cs="Arial"/>
              </w:rPr>
            </w:pPr>
            <w:r w:rsidRPr="001844F8">
              <w:rPr>
                <w:rFonts w:ascii="Arial" w:hAnsi="Arial" w:cs="Arial"/>
              </w:rPr>
              <w:t>Unfulfilled</w:t>
            </w:r>
          </w:p>
        </w:tc>
      </w:tr>
      <w:tr w:rsidR="001844F8" w:rsidRPr="001844F8" w:rsidTr="006E664E">
        <w:trPr>
          <w:trHeight w:val="46"/>
          <w:jc w:val="center"/>
        </w:trPr>
        <w:tc>
          <w:tcPr>
            <w:tcW w:w="0" w:type="auto"/>
          </w:tcPr>
          <w:p w:rsidR="001844F8" w:rsidRPr="001844F8" w:rsidRDefault="001844F8" w:rsidP="001844F8">
            <w:pPr>
              <w:pStyle w:val="Body"/>
              <w:rPr>
                <w:rFonts w:ascii="Arial" w:hAnsi="Arial" w:cs="Arial"/>
                <w:iCs/>
              </w:rPr>
            </w:pPr>
            <w:r w:rsidRPr="001844F8">
              <w:rPr>
                <w:rFonts w:ascii="Arial" w:hAnsi="Arial" w:cs="Arial"/>
                <w:iCs/>
              </w:rPr>
              <w:t>GFI</w:t>
            </w:r>
          </w:p>
        </w:tc>
        <w:tc>
          <w:tcPr>
            <w:tcW w:w="0" w:type="auto"/>
          </w:tcPr>
          <w:p w:rsidR="001844F8" w:rsidRPr="001844F8" w:rsidRDefault="001844F8" w:rsidP="001844F8">
            <w:pPr>
              <w:pStyle w:val="Body"/>
              <w:rPr>
                <w:rFonts w:ascii="Arial" w:hAnsi="Arial" w:cs="Arial"/>
              </w:rPr>
            </w:pPr>
            <w:r w:rsidRPr="001844F8">
              <w:rPr>
                <w:rFonts w:ascii="Arial" w:hAnsi="Arial" w:cs="Arial"/>
              </w:rPr>
              <w:t>≥ 0.90</w:t>
            </w:r>
          </w:p>
        </w:tc>
        <w:tc>
          <w:tcPr>
            <w:tcW w:w="1659" w:type="dxa"/>
          </w:tcPr>
          <w:p w:rsidR="001844F8" w:rsidRPr="001844F8" w:rsidRDefault="001844F8" w:rsidP="001844F8">
            <w:pPr>
              <w:pStyle w:val="Body"/>
              <w:rPr>
                <w:rFonts w:ascii="Arial" w:hAnsi="Arial" w:cs="Arial"/>
              </w:rPr>
            </w:pPr>
            <w:r w:rsidRPr="001844F8">
              <w:rPr>
                <w:rFonts w:ascii="Arial" w:hAnsi="Arial" w:cs="Arial"/>
              </w:rPr>
              <w:t>0.889</w:t>
            </w:r>
          </w:p>
        </w:tc>
        <w:tc>
          <w:tcPr>
            <w:tcW w:w="1796" w:type="dxa"/>
          </w:tcPr>
          <w:p w:rsidR="001844F8" w:rsidRPr="001844F8" w:rsidRDefault="001844F8" w:rsidP="001844F8">
            <w:pPr>
              <w:pStyle w:val="Body"/>
              <w:rPr>
                <w:rFonts w:ascii="Arial" w:hAnsi="Arial" w:cs="Arial"/>
              </w:rPr>
            </w:pPr>
            <w:r w:rsidRPr="001844F8">
              <w:rPr>
                <w:rFonts w:ascii="Arial" w:hAnsi="Arial" w:cs="Arial"/>
              </w:rPr>
              <w:t>Unfulfilled</w:t>
            </w:r>
          </w:p>
        </w:tc>
      </w:tr>
      <w:tr w:rsidR="001844F8" w:rsidRPr="001844F8" w:rsidTr="006E664E">
        <w:trPr>
          <w:trHeight w:val="46"/>
          <w:jc w:val="center"/>
        </w:trPr>
        <w:tc>
          <w:tcPr>
            <w:tcW w:w="0" w:type="auto"/>
          </w:tcPr>
          <w:p w:rsidR="001844F8" w:rsidRPr="001844F8" w:rsidRDefault="001844F8" w:rsidP="001844F8">
            <w:pPr>
              <w:pStyle w:val="Body"/>
              <w:rPr>
                <w:rFonts w:ascii="Arial" w:hAnsi="Arial" w:cs="Arial"/>
              </w:rPr>
            </w:pPr>
            <w:r w:rsidRPr="001844F8">
              <w:rPr>
                <w:rFonts w:ascii="Arial" w:hAnsi="Arial" w:cs="Arial"/>
              </w:rPr>
              <w:t>AGFI</w:t>
            </w:r>
          </w:p>
        </w:tc>
        <w:tc>
          <w:tcPr>
            <w:tcW w:w="0" w:type="auto"/>
          </w:tcPr>
          <w:p w:rsidR="001844F8" w:rsidRPr="001844F8" w:rsidRDefault="001844F8" w:rsidP="001844F8">
            <w:pPr>
              <w:pStyle w:val="Body"/>
              <w:rPr>
                <w:rFonts w:ascii="Arial" w:hAnsi="Arial" w:cs="Arial"/>
              </w:rPr>
            </w:pPr>
            <w:r w:rsidRPr="001844F8">
              <w:rPr>
                <w:rFonts w:ascii="Arial" w:hAnsi="Arial" w:cs="Arial"/>
              </w:rPr>
              <w:t>≥ 0.90</w:t>
            </w:r>
          </w:p>
        </w:tc>
        <w:tc>
          <w:tcPr>
            <w:tcW w:w="1659" w:type="dxa"/>
          </w:tcPr>
          <w:p w:rsidR="001844F8" w:rsidRPr="001844F8" w:rsidRDefault="001844F8" w:rsidP="001844F8">
            <w:pPr>
              <w:pStyle w:val="Body"/>
              <w:rPr>
                <w:rFonts w:ascii="Arial" w:hAnsi="Arial" w:cs="Arial"/>
              </w:rPr>
            </w:pPr>
            <w:r w:rsidRPr="001844F8">
              <w:rPr>
                <w:rFonts w:ascii="Arial" w:hAnsi="Arial" w:cs="Arial"/>
              </w:rPr>
              <w:t>0.788</w:t>
            </w:r>
          </w:p>
        </w:tc>
        <w:tc>
          <w:tcPr>
            <w:tcW w:w="1796" w:type="dxa"/>
          </w:tcPr>
          <w:p w:rsidR="001844F8" w:rsidRPr="001844F8" w:rsidRDefault="001844F8" w:rsidP="001844F8">
            <w:pPr>
              <w:pStyle w:val="Body"/>
              <w:rPr>
                <w:rFonts w:ascii="Arial" w:hAnsi="Arial" w:cs="Arial"/>
              </w:rPr>
            </w:pPr>
            <w:r w:rsidRPr="001844F8">
              <w:rPr>
                <w:rFonts w:ascii="Arial" w:hAnsi="Arial" w:cs="Arial"/>
              </w:rPr>
              <w:t>Unfulfilled</w:t>
            </w:r>
          </w:p>
        </w:tc>
      </w:tr>
      <w:tr w:rsidR="001844F8" w:rsidRPr="001844F8" w:rsidTr="006E664E">
        <w:trPr>
          <w:trHeight w:val="46"/>
          <w:jc w:val="center"/>
        </w:trPr>
        <w:tc>
          <w:tcPr>
            <w:tcW w:w="0" w:type="auto"/>
            <w:tcBorders>
              <w:bottom w:val="single" w:sz="12" w:space="0" w:color="auto"/>
            </w:tcBorders>
          </w:tcPr>
          <w:p w:rsidR="001844F8" w:rsidRPr="001844F8" w:rsidRDefault="001844F8" w:rsidP="001844F8">
            <w:pPr>
              <w:pStyle w:val="Body"/>
              <w:rPr>
                <w:rFonts w:ascii="Arial" w:hAnsi="Arial" w:cs="Arial"/>
                <w:iCs/>
              </w:rPr>
            </w:pPr>
            <w:r w:rsidRPr="001844F8">
              <w:rPr>
                <w:rFonts w:ascii="Arial" w:hAnsi="Arial" w:cs="Arial"/>
                <w:iCs/>
              </w:rPr>
              <w:t>TLI</w:t>
            </w:r>
          </w:p>
        </w:tc>
        <w:tc>
          <w:tcPr>
            <w:tcW w:w="0" w:type="auto"/>
            <w:tcBorders>
              <w:bottom w:val="single" w:sz="12" w:space="0" w:color="auto"/>
            </w:tcBorders>
          </w:tcPr>
          <w:p w:rsidR="001844F8" w:rsidRPr="001844F8" w:rsidRDefault="001844F8" w:rsidP="001844F8">
            <w:pPr>
              <w:pStyle w:val="Body"/>
              <w:rPr>
                <w:rFonts w:ascii="Arial" w:hAnsi="Arial" w:cs="Arial"/>
              </w:rPr>
            </w:pPr>
            <w:r w:rsidRPr="001844F8">
              <w:rPr>
                <w:rFonts w:ascii="Arial" w:hAnsi="Arial" w:cs="Arial"/>
              </w:rPr>
              <w:t>≥ 0.90</w:t>
            </w:r>
          </w:p>
        </w:tc>
        <w:tc>
          <w:tcPr>
            <w:tcW w:w="1659" w:type="dxa"/>
            <w:tcBorders>
              <w:bottom w:val="single" w:sz="12" w:space="0" w:color="auto"/>
            </w:tcBorders>
          </w:tcPr>
          <w:p w:rsidR="001844F8" w:rsidRPr="001844F8" w:rsidRDefault="001844F8" w:rsidP="001844F8">
            <w:pPr>
              <w:pStyle w:val="Body"/>
              <w:rPr>
                <w:rFonts w:ascii="Arial" w:hAnsi="Arial" w:cs="Arial"/>
              </w:rPr>
            </w:pPr>
            <w:r w:rsidRPr="001844F8">
              <w:rPr>
                <w:rFonts w:ascii="Arial" w:hAnsi="Arial" w:cs="Arial"/>
              </w:rPr>
              <w:t>0.267</w:t>
            </w:r>
          </w:p>
        </w:tc>
        <w:tc>
          <w:tcPr>
            <w:tcW w:w="1796" w:type="dxa"/>
            <w:tcBorders>
              <w:bottom w:val="single" w:sz="12" w:space="0" w:color="auto"/>
            </w:tcBorders>
          </w:tcPr>
          <w:p w:rsidR="001844F8" w:rsidRPr="001844F8" w:rsidRDefault="001844F8" w:rsidP="001844F8">
            <w:pPr>
              <w:pStyle w:val="Body"/>
              <w:rPr>
                <w:rFonts w:ascii="Arial" w:hAnsi="Arial" w:cs="Arial"/>
              </w:rPr>
            </w:pPr>
            <w:r w:rsidRPr="001844F8">
              <w:rPr>
                <w:rFonts w:ascii="Arial" w:hAnsi="Arial" w:cs="Arial"/>
              </w:rPr>
              <w:t>Unfulfilled</w:t>
            </w:r>
          </w:p>
        </w:tc>
      </w:tr>
    </w:tbl>
    <w:p w:rsidR="001844F8" w:rsidRPr="001844F8" w:rsidRDefault="001844F8" w:rsidP="001844F8">
      <w:pPr>
        <w:pStyle w:val="Body"/>
        <w:rPr>
          <w:rFonts w:ascii="Arial" w:hAnsi="Arial" w:cs="Arial"/>
        </w:rPr>
      </w:pPr>
      <w:r w:rsidRPr="001844F8">
        <w:rPr>
          <w:rFonts w:ascii="Arial" w:hAnsi="Arial" w:cs="Arial"/>
        </w:rPr>
        <w:t>Source: Data test results, 2024.</w:t>
      </w:r>
    </w:p>
    <w:p w:rsidR="001844F8" w:rsidRPr="001844F8" w:rsidRDefault="001844F8" w:rsidP="001844F8">
      <w:pPr>
        <w:pStyle w:val="Body"/>
        <w:rPr>
          <w:rFonts w:ascii="Arial" w:hAnsi="Arial" w:cs="Arial"/>
        </w:rPr>
      </w:pPr>
      <w:r w:rsidRPr="001844F8">
        <w:rPr>
          <w:rFonts w:ascii="Arial" w:hAnsi="Arial" w:cs="Arial"/>
        </w:rPr>
        <w:t xml:space="preserve">Based on table </w:t>
      </w:r>
      <w:r w:rsidR="00CF480C">
        <w:rPr>
          <w:rFonts w:ascii="Arial" w:hAnsi="Arial" w:cs="Arial"/>
        </w:rPr>
        <w:t>15</w:t>
      </w:r>
      <w:r w:rsidRPr="001844F8">
        <w:rPr>
          <w:rFonts w:ascii="Arial" w:hAnsi="Arial" w:cs="Arial"/>
        </w:rPr>
        <w:t>, the composite model does not meet the goodness of fit criteria so modifications must be made to the model. Modifications are carried out by making correlations at the highest Modification Indicator values, so that the following model is obtained.</w:t>
      </w:r>
    </w:p>
    <w:p w:rsidR="001844F8" w:rsidRPr="001844F8" w:rsidRDefault="001844F8" w:rsidP="001844F8">
      <w:pPr>
        <w:pStyle w:val="Body"/>
        <w:rPr>
          <w:rFonts w:ascii="Arial" w:hAnsi="Arial" w:cs="Arial"/>
        </w:rPr>
      </w:pPr>
      <w:r w:rsidRPr="001844F8">
        <w:rPr>
          <w:rFonts w:ascii="Arial" w:hAnsi="Arial" w:cs="Arial"/>
          <w:noProof/>
        </w:rPr>
        <w:lastRenderedPageBreak/>
        <w:drawing>
          <wp:inline distT="0" distB="0" distL="0" distR="0" wp14:anchorId="0ADE50AC" wp14:editId="0DC97AE7">
            <wp:extent cx="4143375" cy="2897323"/>
            <wp:effectExtent l="19050" t="19050" r="9525" b="17780"/>
            <wp:docPr id="899858870" name="Picture 899858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1400" t="1980" r="3068" b="3597"/>
                    <a:stretch/>
                  </pic:blipFill>
                  <pic:spPr bwMode="auto">
                    <a:xfrm>
                      <a:off x="0" y="0"/>
                      <a:ext cx="4154865" cy="2905357"/>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rsidR="001844F8" w:rsidRPr="001844F8" w:rsidRDefault="001844F8" w:rsidP="001844F8">
      <w:pPr>
        <w:pStyle w:val="Body"/>
        <w:rPr>
          <w:rFonts w:ascii="Arial" w:hAnsi="Arial" w:cs="Arial"/>
          <w:lang w:val="en-ID"/>
        </w:rPr>
      </w:pPr>
      <w:r w:rsidRPr="001844F8">
        <w:rPr>
          <w:rFonts w:ascii="Arial" w:hAnsi="Arial" w:cs="Arial"/>
          <w:b/>
          <w:bCs/>
          <w:lang w:val="en-ID"/>
        </w:rPr>
        <w:t>Figure 5.</w:t>
      </w:r>
      <w:r w:rsidRPr="001844F8">
        <w:rPr>
          <w:rFonts w:ascii="Arial" w:hAnsi="Arial" w:cs="Arial"/>
          <w:lang w:val="en-ID"/>
        </w:rPr>
        <w:t>Composite Model After Modification</w:t>
      </w:r>
    </w:p>
    <w:p w:rsidR="001844F8" w:rsidRPr="001844F8" w:rsidRDefault="001844F8" w:rsidP="001844F8">
      <w:pPr>
        <w:pStyle w:val="Body"/>
        <w:rPr>
          <w:rFonts w:ascii="Arial" w:hAnsi="Arial" w:cs="Arial"/>
        </w:rPr>
      </w:pPr>
    </w:p>
    <w:p w:rsidR="001844F8" w:rsidRPr="001844F8" w:rsidRDefault="001844F8" w:rsidP="001844F8">
      <w:pPr>
        <w:pStyle w:val="Body"/>
        <w:rPr>
          <w:rFonts w:ascii="Arial" w:hAnsi="Arial" w:cs="Arial"/>
          <w:lang w:val="en-ID"/>
        </w:rPr>
      </w:pPr>
      <w:bookmarkStart w:id="261" w:name="_Toc147172628"/>
      <w:bookmarkStart w:id="262" w:name="_Toc147173087"/>
      <w:bookmarkStart w:id="263" w:name="_Toc147173255"/>
      <w:bookmarkStart w:id="264" w:name="_Toc147830058"/>
      <w:bookmarkStart w:id="265" w:name="_Toc147830280"/>
      <w:bookmarkStart w:id="266" w:name="_Toc153835449"/>
      <w:bookmarkStart w:id="267" w:name="_Toc153854688"/>
      <w:bookmarkStart w:id="268" w:name="_Toc154134791"/>
      <w:bookmarkStart w:id="269" w:name="_Toc154135232"/>
      <w:bookmarkStart w:id="270" w:name="_Toc154135483"/>
      <w:bookmarkStart w:id="271" w:name="_Toc159492692"/>
      <w:r w:rsidRPr="001844F8">
        <w:rPr>
          <w:rFonts w:ascii="Arial" w:hAnsi="Arial" w:cs="Arial"/>
          <w:b/>
          <w:bCs/>
          <w:lang w:val="en-ID"/>
        </w:rPr>
        <w:t>Table 16.</w:t>
      </w:r>
      <w:bookmarkEnd w:id="261"/>
      <w:bookmarkEnd w:id="262"/>
      <w:bookmarkEnd w:id="263"/>
      <w:bookmarkEnd w:id="264"/>
      <w:bookmarkEnd w:id="265"/>
      <w:bookmarkEnd w:id="266"/>
      <w:bookmarkEnd w:id="267"/>
      <w:bookmarkEnd w:id="268"/>
      <w:bookmarkEnd w:id="269"/>
      <w:bookmarkEnd w:id="270"/>
      <w:bookmarkEnd w:id="271"/>
      <w:r w:rsidRPr="001844F8">
        <w:rPr>
          <w:rFonts w:ascii="Arial" w:hAnsi="Arial" w:cs="Arial"/>
          <w:b/>
          <w:bCs/>
          <w:lang w:val="en-ID"/>
        </w:rPr>
        <w:t xml:space="preserve"> </w:t>
      </w:r>
      <w:r w:rsidRPr="001844F8">
        <w:rPr>
          <w:rFonts w:ascii="Arial" w:hAnsi="Arial" w:cs="Arial"/>
          <w:lang w:val="en-ID"/>
        </w:rPr>
        <w:t>Goodness of Fit Statistics Modification</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2106"/>
        <w:gridCol w:w="2073"/>
        <w:gridCol w:w="1329"/>
        <w:gridCol w:w="2126"/>
      </w:tblGrid>
      <w:tr w:rsidR="001844F8" w:rsidRPr="001844F8" w:rsidTr="006E664E">
        <w:trPr>
          <w:trHeight w:val="46"/>
          <w:tblHeader/>
          <w:jc w:val="center"/>
        </w:trPr>
        <w:tc>
          <w:tcPr>
            <w:tcW w:w="0" w:type="auto"/>
            <w:tcBorders>
              <w:top w:val="single" w:sz="12" w:space="0" w:color="auto"/>
              <w:bottom w:val="single" w:sz="12" w:space="0" w:color="auto"/>
            </w:tcBorders>
            <w:vAlign w:val="center"/>
          </w:tcPr>
          <w:p w:rsidR="001844F8" w:rsidRPr="001844F8" w:rsidRDefault="001844F8" w:rsidP="001844F8">
            <w:pPr>
              <w:pStyle w:val="Body"/>
              <w:rPr>
                <w:rFonts w:ascii="Arial" w:hAnsi="Arial" w:cs="Arial"/>
                <w:b/>
              </w:rPr>
            </w:pPr>
            <w:r w:rsidRPr="001844F8">
              <w:rPr>
                <w:rFonts w:ascii="Arial" w:hAnsi="Arial" w:cs="Arial"/>
                <w:b/>
              </w:rPr>
              <w:t>Statistics</w:t>
            </w:r>
          </w:p>
        </w:tc>
        <w:tc>
          <w:tcPr>
            <w:tcW w:w="0" w:type="auto"/>
            <w:tcBorders>
              <w:top w:val="single" w:sz="12" w:space="0" w:color="auto"/>
              <w:bottom w:val="single" w:sz="12" w:space="0" w:color="auto"/>
            </w:tcBorders>
            <w:vAlign w:val="center"/>
          </w:tcPr>
          <w:p w:rsidR="001844F8" w:rsidRPr="001844F8" w:rsidRDefault="001844F8" w:rsidP="001844F8">
            <w:pPr>
              <w:pStyle w:val="Body"/>
              <w:rPr>
                <w:rFonts w:ascii="Arial" w:hAnsi="Arial" w:cs="Arial"/>
                <w:b/>
              </w:rPr>
            </w:pPr>
            <w:r w:rsidRPr="001844F8">
              <w:rPr>
                <w:rFonts w:ascii="Arial" w:hAnsi="Arial" w:cs="Arial"/>
                <w:b/>
              </w:rPr>
              <w:t>Fit Criteria</w:t>
            </w:r>
          </w:p>
        </w:tc>
        <w:tc>
          <w:tcPr>
            <w:tcW w:w="1329" w:type="dxa"/>
            <w:tcBorders>
              <w:top w:val="single" w:sz="12" w:space="0" w:color="auto"/>
              <w:bottom w:val="single" w:sz="12" w:space="0" w:color="auto"/>
            </w:tcBorders>
            <w:vAlign w:val="center"/>
          </w:tcPr>
          <w:p w:rsidR="001844F8" w:rsidRPr="001844F8" w:rsidRDefault="001844F8" w:rsidP="001844F8">
            <w:pPr>
              <w:pStyle w:val="Body"/>
              <w:rPr>
                <w:rFonts w:ascii="Arial" w:hAnsi="Arial" w:cs="Arial"/>
                <w:b/>
              </w:rPr>
            </w:pPr>
            <w:r w:rsidRPr="001844F8">
              <w:rPr>
                <w:rFonts w:ascii="Arial" w:hAnsi="Arial" w:cs="Arial"/>
                <w:b/>
              </w:rPr>
              <w:t>Analysis Results</w:t>
            </w:r>
          </w:p>
        </w:tc>
        <w:tc>
          <w:tcPr>
            <w:tcW w:w="2126" w:type="dxa"/>
            <w:tcBorders>
              <w:top w:val="single" w:sz="12" w:space="0" w:color="auto"/>
              <w:bottom w:val="single" w:sz="12" w:space="0" w:color="auto"/>
            </w:tcBorders>
            <w:vAlign w:val="center"/>
          </w:tcPr>
          <w:p w:rsidR="001844F8" w:rsidRPr="001844F8" w:rsidRDefault="001844F8" w:rsidP="001844F8">
            <w:pPr>
              <w:pStyle w:val="Body"/>
              <w:rPr>
                <w:rFonts w:ascii="Arial" w:hAnsi="Arial" w:cs="Arial"/>
                <w:b/>
              </w:rPr>
            </w:pPr>
            <w:r w:rsidRPr="001844F8">
              <w:rPr>
                <w:rFonts w:ascii="Arial" w:hAnsi="Arial" w:cs="Arial"/>
                <w:b/>
              </w:rPr>
              <w:t>Model Evaluation</w:t>
            </w:r>
          </w:p>
        </w:tc>
      </w:tr>
      <w:tr w:rsidR="001844F8" w:rsidRPr="001844F8" w:rsidTr="006E664E">
        <w:trPr>
          <w:trHeight w:val="46"/>
          <w:jc w:val="center"/>
        </w:trPr>
        <w:tc>
          <w:tcPr>
            <w:tcW w:w="0" w:type="auto"/>
            <w:tcBorders>
              <w:top w:val="single" w:sz="12" w:space="0" w:color="auto"/>
            </w:tcBorders>
          </w:tcPr>
          <w:p w:rsidR="001844F8" w:rsidRPr="001844F8" w:rsidRDefault="001844F8" w:rsidP="001844F8">
            <w:pPr>
              <w:pStyle w:val="Body"/>
              <w:rPr>
                <w:rFonts w:ascii="Arial" w:hAnsi="Arial" w:cs="Arial"/>
                <w:i/>
                <w:vertAlign w:val="superscript"/>
              </w:rPr>
            </w:pPr>
            <w:r w:rsidRPr="001844F8">
              <w:rPr>
                <w:rFonts w:ascii="Arial" w:hAnsi="Arial" w:cs="Arial"/>
                <w:i/>
              </w:rPr>
              <w:t>X2 Chi Square</w:t>
            </w:r>
          </w:p>
        </w:tc>
        <w:tc>
          <w:tcPr>
            <w:tcW w:w="0" w:type="auto"/>
            <w:tcBorders>
              <w:top w:val="single" w:sz="12" w:space="0" w:color="auto"/>
            </w:tcBorders>
          </w:tcPr>
          <w:p w:rsidR="001844F8" w:rsidRPr="001844F8" w:rsidRDefault="001844F8" w:rsidP="001844F8">
            <w:pPr>
              <w:pStyle w:val="Body"/>
              <w:rPr>
                <w:rFonts w:ascii="Arial" w:hAnsi="Arial" w:cs="Arial"/>
              </w:rPr>
            </w:pPr>
            <w:r w:rsidRPr="001844F8">
              <w:rPr>
                <w:rFonts w:ascii="Arial" w:hAnsi="Arial" w:cs="Arial"/>
              </w:rPr>
              <w:t>Expected to be small</w:t>
            </w:r>
          </w:p>
        </w:tc>
        <w:tc>
          <w:tcPr>
            <w:tcW w:w="1329" w:type="dxa"/>
            <w:tcBorders>
              <w:top w:val="single" w:sz="12" w:space="0" w:color="auto"/>
            </w:tcBorders>
          </w:tcPr>
          <w:p w:rsidR="001844F8" w:rsidRPr="001844F8" w:rsidRDefault="001844F8" w:rsidP="001844F8">
            <w:pPr>
              <w:pStyle w:val="Body"/>
              <w:rPr>
                <w:rFonts w:ascii="Arial" w:hAnsi="Arial" w:cs="Arial"/>
              </w:rPr>
            </w:pPr>
            <w:r w:rsidRPr="001844F8">
              <w:rPr>
                <w:rFonts w:ascii="Arial" w:hAnsi="Arial" w:cs="Arial"/>
              </w:rPr>
              <w:t>11,837</w:t>
            </w:r>
          </w:p>
        </w:tc>
        <w:tc>
          <w:tcPr>
            <w:tcW w:w="2126" w:type="dxa"/>
            <w:tcBorders>
              <w:top w:val="single" w:sz="12" w:space="0" w:color="auto"/>
            </w:tcBorders>
          </w:tcPr>
          <w:p w:rsidR="001844F8" w:rsidRPr="001844F8" w:rsidRDefault="001844F8" w:rsidP="001844F8">
            <w:pPr>
              <w:pStyle w:val="Body"/>
              <w:rPr>
                <w:rFonts w:ascii="Arial" w:hAnsi="Arial" w:cs="Arial"/>
              </w:rPr>
            </w:pPr>
            <w:r w:rsidRPr="001844F8">
              <w:rPr>
                <w:rFonts w:ascii="Arial" w:hAnsi="Arial" w:cs="Arial"/>
              </w:rPr>
              <w:t>Fulfilled</w:t>
            </w:r>
          </w:p>
        </w:tc>
      </w:tr>
      <w:tr w:rsidR="001844F8" w:rsidRPr="001844F8" w:rsidTr="006E664E">
        <w:trPr>
          <w:trHeight w:val="46"/>
          <w:jc w:val="center"/>
        </w:trPr>
        <w:tc>
          <w:tcPr>
            <w:tcW w:w="0" w:type="auto"/>
          </w:tcPr>
          <w:p w:rsidR="001844F8" w:rsidRPr="001844F8" w:rsidRDefault="001844F8" w:rsidP="001844F8">
            <w:pPr>
              <w:pStyle w:val="Body"/>
              <w:rPr>
                <w:rFonts w:ascii="Arial" w:hAnsi="Arial" w:cs="Arial"/>
                <w:i/>
              </w:rPr>
            </w:pPr>
            <w:r w:rsidRPr="001844F8">
              <w:rPr>
                <w:rFonts w:ascii="Arial" w:hAnsi="Arial" w:cs="Arial"/>
                <w:i/>
              </w:rPr>
              <w:t>Significant probability</w:t>
            </w:r>
          </w:p>
        </w:tc>
        <w:tc>
          <w:tcPr>
            <w:tcW w:w="0" w:type="auto"/>
          </w:tcPr>
          <w:p w:rsidR="001844F8" w:rsidRPr="001844F8" w:rsidRDefault="001844F8" w:rsidP="001844F8">
            <w:pPr>
              <w:pStyle w:val="Body"/>
              <w:rPr>
                <w:rFonts w:ascii="Arial" w:hAnsi="Arial" w:cs="Arial"/>
              </w:rPr>
            </w:pPr>
            <w:r w:rsidRPr="001844F8">
              <w:rPr>
                <w:rFonts w:ascii="Arial" w:hAnsi="Arial" w:cs="Arial"/>
              </w:rPr>
              <w:t>≥ 0.05</w:t>
            </w:r>
          </w:p>
        </w:tc>
        <w:tc>
          <w:tcPr>
            <w:tcW w:w="1329" w:type="dxa"/>
          </w:tcPr>
          <w:p w:rsidR="001844F8" w:rsidRPr="001844F8" w:rsidRDefault="001844F8" w:rsidP="001844F8">
            <w:pPr>
              <w:pStyle w:val="Body"/>
              <w:rPr>
                <w:rFonts w:ascii="Arial" w:hAnsi="Arial" w:cs="Arial"/>
              </w:rPr>
            </w:pPr>
            <w:r w:rsidRPr="001844F8">
              <w:rPr>
                <w:rFonts w:ascii="Arial" w:hAnsi="Arial" w:cs="Arial"/>
              </w:rPr>
              <w:t>0.159</w:t>
            </w:r>
          </w:p>
        </w:tc>
        <w:tc>
          <w:tcPr>
            <w:tcW w:w="2126" w:type="dxa"/>
          </w:tcPr>
          <w:p w:rsidR="001844F8" w:rsidRPr="001844F8" w:rsidRDefault="001844F8" w:rsidP="001844F8">
            <w:pPr>
              <w:pStyle w:val="Body"/>
              <w:rPr>
                <w:rFonts w:ascii="Arial" w:hAnsi="Arial" w:cs="Arial"/>
              </w:rPr>
            </w:pPr>
            <w:r w:rsidRPr="001844F8">
              <w:rPr>
                <w:rFonts w:ascii="Arial" w:hAnsi="Arial" w:cs="Arial"/>
              </w:rPr>
              <w:t>Fulfilled</w:t>
            </w:r>
          </w:p>
        </w:tc>
      </w:tr>
      <w:tr w:rsidR="001844F8" w:rsidRPr="001844F8" w:rsidTr="006E664E">
        <w:trPr>
          <w:trHeight w:val="46"/>
          <w:jc w:val="center"/>
        </w:trPr>
        <w:tc>
          <w:tcPr>
            <w:tcW w:w="0" w:type="auto"/>
          </w:tcPr>
          <w:p w:rsidR="001844F8" w:rsidRPr="001844F8" w:rsidRDefault="001844F8" w:rsidP="001844F8">
            <w:pPr>
              <w:pStyle w:val="Body"/>
              <w:rPr>
                <w:rFonts w:ascii="Arial" w:hAnsi="Arial" w:cs="Arial"/>
                <w:iCs/>
              </w:rPr>
            </w:pPr>
            <w:r w:rsidRPr="001844F8">
              <w:rPr>
                <w:rFonts w:ascii="Arial" w:hAnsi="Arial" w:cs="Arial"/>
                <w:iCs/>
              </w:rPr>
              <w:t>RMSEA</w:t>
            </w:r>
          </w:p>
        </w:tc>
        <w:tc>
          <w:tcPr>
            <w:tcW w:w="0" w:type="auto"/>
          </w:tcPr>
          <w:p w:rsidR="001844F8" w:rsidRPr="001844F8" w:rsidRDefault="001844F8" w:rsidP="001844F8">
            <w:pPr>
              <w:pStyle w:val="Body"/>
              <w:rPr>
                <w:rFonts w:ascii="Arial" w:hAnsi="Arial" w:cs="Arial"/>
              </w:rPr>
            </w:pPr>
            <w:r w:rsidRPr="001844F8">
              <w:rPr>
                <w:rFonts w:ascii="Arial" w:hAnsi="Arial" w:cs="Arial"/>
              </w:rPr>
              <w:t>≤ 0.08</w:t>
            </w:r>
          </w:p>
        </w:tc>
        <w:tc>
          <w:tcPr>
            <w:tcW w:w="1329" w:type="dxa"/>
          </w:tcPr>
          <w:p w:rsidR="001844F8" w:rsidRPr="001844F8" w:rsidRDefault="001844F8" w:rsidP="001844F8">
            <w:pPr>
              <w:pStyle w:val="Body"/>
              <w:rPr>
                <w:rFonts w:ascii="Arial" w:hAnsi="Arial" w:cs="Arial"/>
              </w:rPr>
            </w:pPr>
            <w:r w:rsidRPr="001844F8">
              <w:rPr>
                <w:rFonts w:ascii="Arial" w:hAnsi="Arial" w:cs="Arial"/>
              </w:rPr>
              <w:t>0.060</w:t>
            </w:r>
          </w:p>
        </w:tc>
        <w:tc>
          <w:tcPr>
            <w:tcW w:w="2126" w:type="dxa"/>
          </w:tcPr>
          <w:p w:rsidR="001844F8" w:rsidRPr="001844F8" w:rsidRDefault="001844F8" w:rsidP="001844F8">
            <w:pPr>
              <w:pStyle w:val="Body"/>
              <w:rPr>
                <w:rFonts w:ascii="Arial" w:hAnsi="Arial" w:cs="Arial"/>
              </w:rPr>
            </w:pPr>
            <w:r w:rsidRPr="001844F8">
              <w:rPr>
                <w:rFonts w:ascii="Arial" w:hAnsi="Arial" w:cs="Arial"/>
              </w:rPr>
              <w:t>Fulfilled</w:t>
            </w:r>
          </w:p>
        </w:tc>
      </w:tr>
      <w:tr w:rsidR="001844F8" w:rsidRPr="001844F8" w:rsidTr="006E664E">
        <w:trPr>
          <w:trHeight w:val="46"/>
          <w:jc w:val="center"/>
        </w:trPr>
        <w:tc>
          <w:tcPr>
            <w:tcW w:w="0" w:type="auto"/>
          </w:tcPr>
          <w:p w:rsidR="001844F8" w:rsidRPr="001844F8" w:rsidRDefault="001844F8" w:rsidP="001844F8">
            <w:pPr>
              <w:pStyle w:val="Body"/>
              <w:rPr>
                <w:rFonts w:ascii="Arial" w:hAnsi="Arial" w:cs="Arial"/>
                <w:iCs/>
              </w:rPr>
            </w:pPr>
            <w:r w:rsidRPr="001844F8">
              <w:rPr>
                <w:rFonts w:ascii="Arial" w:hAnsi="Arial" w:cs="Arial"/>
                <w:iCs/>
              </w:rPr>
              <w:t>GFI</w:t>
            </w:r>
          </w:p>
        </w:tc>
        <w:tc>
          <w:tcPr>
            <w:tcW w:w="0" w:type="auto"/>
          </w:tcPr>
          <w:p w:rsidR="001844F8" w:rsidRPr="001844F8" w:rsidRDefault="001844F8" w:rsidP="001844F8">
            <w:pPr>
              <w:pStyle w:val="Body"/>
              <w:rPr>
                <w:rFonts w:ascii="Arial" w:hAnsi="Arial" w:cs="Arial"/>
              </w:rPr>
            </w:pPr>
            <w:r w:rsidRPr="001844F8">
              <w:rPr>
                <w:rFonts w:ascii="Arial" w:hAnsi="Arial" w:cs="Arial"/>
              </w:rPr>
              <w:t>≥ 0.90</w:t>
            </w:r>
          </w:p>
        </w:tc>
        <w:tc>
          <w:tcPr>
            <w:tcW w:w="1329" w:type="dxa"/>
          </w:tcPr>
          <w:p w:rsidR="001844F8" w:rsidRPr="001844F8" w:rsidRDefault="001844F8" w:rsidP="001844F8">
            <w:pPr>
              <w:pStyle w:val="Body"/>
              <w:rPr>
                <w:rFonts w:ascii="Arial" w:hAnsi="Arial" w:cs="Arial"/>
              </w:rPr>
            </w:pPr>
            <w:r w:rsidRPr="001844F8">
              <w:rPr>
                <w:rFonts w:ascii="Arial" w:hAnsi="Arial" w:cs="Arial"/>
              </w:rPr>
              <w:t>0.970</w:t>
            </w:r>
          </w:p>
        </w:tc>
        <w:tc>
          <w:tcPr>
            <w:tcW w:w="2126" w:type="dxa"/>
          </w:tcPr>
          <w:p w:rsidR="001844F8" w:rsidRPr="001844F8" w:rsidRDefault="001844F8" w:rsidP="001844F8">
            <w:pPr>
              <w:pStyle w:val="Body"/>
              <w:rPr>
                <w:rFonts w:ascii="Arial" w:hAnsi="Arial" w:cs="Arial"/>
              </w:rPr>
            </w:pPr>
            <w:r w:rsidRPr="001844F8">
              <w:rPr>
                <w:rFonts w:ascii="Arial" w:hAnsi="Arial" w:cs="Arial"/>
              </w:rPr>
              <w:t>Fulfilled</w:t>
            </w:r>
          </w:p>
        </w:tc>
      </w:tr>
      <w:tr w:rsidR="001844F8" w:rsidRPr="001844F8" w:rsidTr="006E664E">
        <w:trPr>
          <w:trHeight w:val="46"/>
          <w:jc w:val="center"/>
        </w:trPr>
        <w:tc>
          <w:tcPr>
            <w:tcW w:w="0" w:type="auto"/>
          </w:tcPr>
          <w:p w:rsidR="001844F8" w:rsidRPr="001844F8" w:rsidRDefault="001844F8" w:rsidP="001844F8">
            <w:pPr>
              <w:pStyle w:val="Body"/>
              <w:rPr>
                <w:rFonts w:ascii="Arial" w:hAnsi="Arial" w:cs="Arial"/>
              </w:rPr>
            </w:pPr>
            <w:r w:rsidRPr="001844F8">
              <w:rPr>
                <w:rFonts w:ascii="Arial" w:hAnsi="Arial" w:cs="Arial"/>
              </w:rPr>
              <w:t>AGFI</w:t>
            </w:r>
          </w:p>
        </w:tc>
        <w:tc>
          <w:tcPr>
            <w:tcW w:w="0" w:type="auto"/>
          </w:tcPr>
          <w:p w:rsidR="001844F8" w:rsidRPr="001844F8" w:rsidRDefault="001844F8" w:rsidP="001844F8">
            <w:pPr>
              <w:pStyle w:val="Body"/>
              <w:rPr>
                <w:rFonts w:ascii="Arial" w:hAnsi="Arial" w:cs="Arial"/>
              </w:rPr>
            </w:pPr>
            <w:r w:rsidRPr="001844F8">
              <w:rPr>
                <w:rFonts w:ascii="Arial" w:hAnsi="Arial" w:cs="Arial"/>
              </w:rPr>
              <w:t>≥ 0.90</w:t>
            </w:r>
          </w:p>
        </w:tc>
        <w:tc>
          <w:tcPr>
            <w:tcW w:w="1329" w:type="dxa"/>
          </w:tcPr>
          <w:p w:rsidR="001844F8" w:rsidRPr="001844F8" w:rsidRDefault="001844F8" w:rsidP="001844F8">
            <w:pPr>
              <w:pStyle w:val="Body"/>
              <w:rPr>
                <w:rFonts w:ascii="Arial" w:hAnsi="Arial" w:cs="Arial"/>
              </w:rPr>
            </w:pPr>
            <w:r w:rsidRPr="001844F8">
              <w:rPr>
                <w:rFonts w:ascii="Arial" w:hAnsi="Arial" w:cs="Arial"/>
              </w:rPr>
              <w:t>0.922</w:t>
            </w:r>
          </w:p>
        </w:tc>
        <w:tc>
          <w:tcPr>
            <w:tcW w:w="2126" w:type="dxa"/>
          </w:tcPr>
          <w:p w:rsidR="001844F8" w:rsidRPr="001844F8" w:rsidRDefault="001844F8" w:rsidP="001844F8">
            <w:pPr>
              <w:pStyle w:val="Body"/>
              <w:rPr>
                <w:rFonts w:ascii="Arial" w:hAnsi="Arial" w:cs="Arial"/>
              </w:rPr>
            </w:pPr>
            <w:r w:rsidRPr="001844F8">
              <w:rPr>
                <w:rFonts w:ascii="Arial" w:hAnsi="Arial" w:cs="Arial"/>
              </w:rPr>
              <w:t>Fulfilled</w:t>
            </w:r>
          </w:p>
        </w:tc>
      </w:tr>
      <w:tr w:rsidR="001844F8" w:rsidRPr="001844F8" w:rsidTr="006E664E">
        <w:trPr>
          <w:trHeight w:val="46"/>
          <w:jc w:val="center"/>
        </w:trPr>
        <w:tc>
          <w:tcPr>
            <w:tcW w:w="0" w:type="auto"/>
            <w:tcBorders>
              <w:bottom w:val="single" w:sz="12" w:space="0" w:color="auto"/>
            </w:tcBorders>
          </w:tcPr>
          <w:p w:rsidR="001844F8" w:rsidRPr="001844F8" w:rsidRDefault="001844F8" w:rsidP="001844F8">
            <w:pPr>
              <w:pStyle w:val="Body"/>
              <w:rPr>
                <w:rFonts w:ascii="Arial" w:hAnsi="Arial" w:cs="Arial"/>
                <w:iCs/>
              </w:rPr>
            </w:pPr>
            <w:r w:rsidRPr="001844F8">
              <w:rPr>
                <w:rFonts w:ascii="Arial" w:hAnsi="Arial" w:cs="Arial"/>
                <w:iCs/>
              </w:rPr>
              <w:t>TLI</w:t>
            </w:r>
          </w:p>
        </w:tc>
        <w:tc>
          <w:tcPr>
            <w:tcW w:w="0" w:type="auto"/>
            <w:tcBorders>
              <w:bottom w:val="single" w:sz="12" w:space="0" w:color="auto"/>
            </w:tcBorders>
          </w:tcPr>
          <w:p w:rsidR="001844F8" w:rsidRPr="001844F8" w:rsidRDefault="001844F8" w:rsidP="001844F8">
            <w:pPr>
              <w:pStyle w:val="Body"/>
              <w:rPr>
                <w:rFonts w:ascii="Arial" w:hAnsi="Arial" w:cs="Arial"/>
              </w:rPr>
            </w:pPr>
            <w:r w:rsidRPr="001844F8">
              <w:rPr>
                <w:rFonts w:ascii="Arial" w:hAnsi="Arial" w:cs="Arial"/>
              </w:rPr>
              <w:t>≥ 0.90</w:t>
            </w:r>
          </w:p>
        </w:tc>
        <w:tc>
          <w:tcPr>
            <w:tcW w:w="1329" w:type="dxa"/>
            <w:tcBorders>
              <w:bottom w:val="single" w:sz="12" w:space="0" w:color="auto"/>
            </w:tcBorders>
          </w:tcPr>
          <w:p w:rsidR="001844F8" w:rsidRPr="001844F8" w:rsidRDefault="001844F8" w:rsidP="001844F8">
            <w:pPr>
              <w:pStyle w:val="Body"/>
              <w:rPr>
                <w:rFonts w:ascii="Arial" w:hAnsi="Arial" w:cs="Arial"/>
              </w:rPr>
            </w:pPr>
            <w:r w:rsidRPr="001844F8">
              <w:rPr>
                <w:rFonts w:ascii="Arial" w:hAnsi="Arial" w:cs="Arial"/>
              </w:rPr>
              <w:t>0.906</w:t>
            </w:r>
          </w:p>
        </w:tc>
        <w:tc>
          <w:tcPr>
            <w:tcW w:w="2126" w:type="dxa"/>
            <w:tcBorders>
              <w:bottom w:val="single" w:sz="12" w:space="0" w:color="auto"/>
            </w:tcBorders>
          </w:tcPr>
          <w:p w:rsidR="001844F8" w:rsidRPr="001844F8" w:rsidRDefault="001844F8" w:rsidP="001844F8">
            <w:pPr>
              <w:pStyle w:val="Body"/>
              <w:rPr>
                <w:rFonts w:ascii="Arial" w:hAnsi="Arial" w:cs="Arial"/>
              </w:rPr>
            </w:pPr>
            <w:r w:rsidRPr="001844F8">
              <w:rPr>
                <w:rFonts w:ascii="Arial" w:hAnsi="Arial" w:cs="Arial"/>
              </w:rPr>
              <w:t>Fulfilled</w:t>
            </w:r>
          </w:p>
        </w:tc>
      </w:tr>
    </w:tbl>
    <w:p w:rsidR="001844F8" w:rsidRPr="001844F8" w:rsidRDefault="001844F8" w:rsidP="001844F8">
      <w:pPr>
        <w:pStyle w:val="Body"/>
        <w:rPr>
          <w:rFonts w:ascii="Arial" w:hAnsi="Arial" w:cs="Arial"/>
        </w:rPr>
      </w:pPr>
      <w:r w:rsidRPr="001844F8">
        <w:rPr>
          <w:rFonts w:ascii="Arial" w:hAnsi="Arial" w:cs="Arial"/>
        </w:rPr>
        <w:t>Source: Data test results, 2024.</w:t>
      </w:r>
    </w:p>
    <w:p w:rsidR="001844F8" w:rsidRPr="001844F8" w:rsidRDefault="001844F8" w:rsidP="001844F8">
      <w:pPr>
        <w:pStyle w:val="Body"/>
        <w:rPr>
          <w:rFonts w:ascii="Arial" w:hAnsi="Arial" w:cs="Arial"/>
        </w:rPr>
      </w:pPr>
    </w:p>
    <w:p w:rsidR="001844F8" w:rsidRPr="001844F8" w:rsidRDefault="001844F8" w:rsidP="007418CF">
      <w:pPr>
        <w:pStyle w:val="Body"/>
        <w:numPr>
          <w:ilvl w:val="0"/>
          <w:numId w:val="10"/>
        </w:numPr>
        <w:rPr>
          <w:rFonts w:ascii="Arial" w:hAnsi="Arial" w:cs="Arial"/>
          <w:lang w:val="en-ID"/>
        </w:rPr>
      </w:pPr>
      <w:bookmarkStart w:id="272" w:name="_Toc147172831"/>
      <w:bookmarkStart w:id="273" w:name="_Toc147173088"/>
      <w:bookmarkStart w:id="274" w:name="_Toc147173256"/>
      <w:bookmarkStart w:id="275" w:name="_Toc147830059"/>
      <w:bookmarkStart w:id="276" w:name="_Toc147830281"/>
      <w:bookmarkStart w:id="277" w:name="_Toc154134792"/>
      <w:bookmarkStart w:id="278" w:name="_Toc154135233"/>
      <w:bookmarkStart w:id="279" w:name="_Toc154135484"/>
      <w:bookmarkStart w:id="280" w:name="_Toc159492693"/>
      <w:r w:rsidRPr="001844F8">
        <w:rPr>
          <w:rFonts w:ascii="Arial" w:hAnsi="Arial" w:cs="Arial"/>
          <w:lang w:val="en-ID"/>
        </w:rPr>
        <w:t>Hypothesis Testing Results</w:t>
      </w:r>
      <w:bookmarkEnd w:id="272"/>
      <w:bookmarkEnd w:id="273"/>
      <w:bookmarkEnd w:id="274"/>
      <w:bookmarkEnd w:id="275"/>
      <w:bookmarkEnd w:id="276"/>
      <w:bookmarkEnd w:id="277"/>
      <w:bookmarkEnd w:id="278"/>
      <w:bookmarkEnd w:id="279"/>
      <w:bookmarkEnd w:id="280"/>
    </w:p>
    <w:p w:rsidR="001844F8" w:rsidRPr="001844F8" w:rsidRDefault="001844F8" w:rsidP="001844F8">
      <w:pPr>
        <w:pStyle w:val="Body"/>
        <w:rPr>
          <w:rFonts w:ascii="Arial" w:hAnsi="Arial" w:cs="Arial"/>
        </w:rPr>
      </w:pPr>
      <w:r w:rsidRPr="001844F8">
        <w:rPr>
          <w:rFonts w:ascii="Arial" w:hAnsi="Arial" w:cs="Arial"/>
        </w:rPr>
        <w:t>The hypothesis test carried out in this research used AMOS 24 software by looking at the output results of standardized regression weights based on the Probability (P) value. If the probability value is ≤ 0.05, then the hypothesis is accepted</w:t>
      </w:r>
      <w:r w:rsidR="00701105" w:rsidRPr="00FB0D9B">
        <w:rPr>
          <w:rFonts w:ascii="Arial" w:hAnsi="Arial" w:cs="Arial"/>
          <w:highlight w:val="yellow"/>
        </w:rPr>
        <w:t>; conversely,</w:t>
      </w:r>
      <w:r w:rsidRPr="00FB0D9B">
        <w:rPr>
          <w:rFonts w:ascii="Arial" w:hAnsi="Arial" w:cs="Arial"/>
          <w:highlight w:val="yellow"/>
        </w:rPr>
        <w:t xml:space="preserve"> if the</w:t>
      </w:r>
      <w:r w:rsidRPr="001844F8">
        <w:rPr>
          <w:rFonts w:ascii="Arial" w:hAnsi="Arial" w:cs="Arial"/>
        </w:rPr>
        <w:t xml:space="preserve"> probability value is &gt; 0.05 then the hypothesis is rejected.</w:t>
      </w:r>
    </w:p>
    <w:p w:rsidR="001844F8" w:rsidRPr="001844F8" w:rsidRDefault="001844F8" w:rsidP="001844F8">
      <w:pPr>
        <w:pStyle w:val="Body"/>
        <w:rPr>
          <w:rFonts w:ascii="Arial" w:hAnsi="Arial" w:cs="Arial"/>
          <w:lang w:val="en-ID"/>
        </w:rPr>
      </w:pPr>
      <w:bookmarkStart w:id="281" w:name="_Toc86189062"/>
      <w:bookmarkStart w:id="282" w:name="_Toc86238636"/>
      <w:bookmarkStart w:id="283" w:name="_Toc86238798"/>
      <w:bookmarkStart w:id="284" w:name="_Toc86240619"/>
      <w:bookmarkStart w:id="285" w:name="_Toc86240857"/>
      <w:bookmarkStart w:id="286" w:name="_Toc86354694"/>
      <w:bookmarkStart w:id="287" w:name="_Toc86767461"/>
      <w:bookmarkStart w:id="288" w:name="_Toc89343861"/>
      <w:bookmarkStart w:id="289" w:name="_Toc89344293"/>
      <w:bookmarkStart w:id="290" w:name="_Toc147172630"/>
      <w:bookmarkStart w:id="291" w:name="_Toc147173089"/>
      <w:bookmarkStart w:id="292" w:name="_Toc147173257"/>
      <w:bookmarkStart w:id="293" w:name="_Toc147830060"/>
      <w:bookmarkStart w:id="294" w:name="_Toc147830282"/>
      <w:bookmarkStart w:id="295" w:name="_Toc153835451"/>
      <w:bookmarkStart w:id="296" w:name="_Toc153854690"/>
      <w:bookmarkStart w:id="297" w:name="_Toc154134793"/>
      <w:bookmarkStart w:id="298" w:name="_Toc154135234"/>
      <w:bookmarkStart w:id="299" w:name="_Toc154135485"/>
      <w:bookmarkStart w:id="300" w:name="_Toc159492694"/>
      <w:r w:rsidRPr="001844F8">
        <w:rPr>
          <w:rFonts w:ascii="Arial" w:hAnsi="Arial" w:cs="Arial"/>
          <w:b/>
          <w:bCs/>
          <w:lang w:val="en-ID"/>
        </w:rPr>
        <w:lastRenderedPageBreak/>
        <w:t>Table 17.</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r w:rsidRPr="001844F8">
        <w:rPr>
          <w:rFonts w:ascii="Arial" w:hAnsi="Arial" w:cs="Arial"/>
          <w:b/>
          <w:bCs/>
          <w:lang w:val="en-ID"/>
        </w:rPr>
        <w:t xml:space="preserve"> </w:t>
      </w:r>
      <w:r w:rsidRPr="001844F8">
        <w:rPr>
          <w:rFonts w:ascii="Arial" w:hAnsi="Arial" w:cs="Arial"/>
          <w:lang w:val="en-ID"/>
        </w:rPr>
        <w:t>Standardized Regression Weights</w:t>
      </w:r>
    </w:p>
    <w:tbl>
      <w:tblPr>
        <w:tblW w:w="5000" w:type="pct"/>
        <w:jc w:val="center"/>
        <w:tblLook w:val="04A0" w:firstRow="1" w:lastRow="0" w:firstColumn="1" w:lastColumn="0" w:noHBand="0" w:noVBand="1"/>
      </w:tblPr>
      <w:tblGrid>
        <w:gridCol w:w="1465"/>
        <w:gridCol w:w="1245"/>
        <w:gridCol w:w="1205"/>
        <w:gridCol w:w="1205"/>
        <w:gridCol w:w="1058"/>
        <w:gridCol w:w="2246"/>
      </w:tblGrid>
      <w:tr w:rsidR="001844F8" w:rsidRPr="001844F8" w:rsidTr="006E664E">
        <w:trPr>
          <w:trHeight w:val="315"/>
          <w:jc w:val="center"/>
        </w:trPr>
        <w:tc>
          <w:tcPr>
            <w:tcW w:w="870" w:type="pct"/>
            <w:tcBorders>
              <w:top w:val="single" w:sz="4" w:space="0" w:color="auto"/>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Influence</w:t>
            </w:r>
          </w:p>
        </w:tc>
        <w:tc>
          <w:tcPr>
            <w:tcW w:w="739" w:type="pct"/>
            <w:tcBorders>
              <w:top w:val="single" w:sz="4" w:space="0" w:color="auto"/>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Estimate</w:t>
            </w:r>
          </w:p>
        </w:tc>
        <w:tc>
          <w:tcPr>
            <w:tcW w:w="715" w:type="pct"/>
            <w:tcBorders>
              <w:top w:val="single" w:sz="4" w:space="0" w:color="auto"/>
              <w:left w:val="nil"/>
              <w:bottom w:val="single" w:sz="4" w:space="0" w:color="auto"/>
              <w:right w:val="nil"/>
            </w:tcBorders>
            <w:noWrap/>
            <w:vAlign w:val="bottom"/>
            <w:hideMark/>
          </w:tcPr>
          <w:p w:rsidR="001844F8" w:rsidRPr="001844F8" w:rsidRDefault="001844F8" w:rsidP="001844F8">
            <w:pPr>
              <w:pStyle w:val="Body"/>
              <w:rPr>
                <w:rFonts w:ascii="Arial" w:hAnsi="Arial" w:cs="Arial"/>
              </w:rPr>
            </w:pPr>
            <w:proofErr w:type="gramStart"/>
            <w:r w:rsidRPr="001844F8">
              <w:rPr>
                <w:rFonts w:ascii="Arial" w:hAnsi="Arial" w:cs="Arial"/>
              </w:rPr>
              <w:t>S.E</w:t>
            </w:r>
            <w:proofErr w:type="gramEnd"/>
          </w:p>
        </w:tc>
        <w:tc>
          <w:tcPr>
            <w:tcW w:w="715" w:type="pct"/>
            <w:tcBorders>
              <w:top w:val="single" w:sz="4" w:space="0" w:color="auto"/>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CR</w:t>
            </w:r>
          </w:p>
        </w:tc>
        <w:tc>
          <w:tcPr>
            <w:tcW w:w="628" w:type="pct"/>
            <w:tcBorders>
              <w:top w:val="single" w:sz="4" w:space="0" w:color="auto"/>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P</w:t>
            </w:r>
          </w:p>
        </w:tc>
        <w:tc>
          <w:tcPr>
            <w:tcW w:w="1335" w:type="pct"/>
            <w:tcBorders>
              <w:top w:val="single" w:sz="4" w:space="0" w:color="auto"/>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Information</w:t>
            </w:r>
          </w:p>
        </w:tc>
      </w:tr>
      <w:tr w:rsidR="001844F8" w:rsidRPr="001844F8" w:rsidTr="006E664E">
        <w:trPr>
          <w:trHeight w:val="315"/>
          <w:jc w:val="center"/>
        </w:trPr>
        <w:tc>
          <w:tcPr>
            <w:tcW w:w="870"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FA → NI</w:t>
            </w:r>
          </w:p>
        </w:tc>
        <w:tc>
          <w:tcPr>
            <w:tcW w:w="739"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0.447</w:t>
            </w:r>
          </w:p>
        </w:tc>
        <w:tc>
          <w:tcPr>
            <w:tcW w:w="71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0.128</w:t>
            </w:r>
          </w:p>
        </w:tc>
        <w:tc>
          <w:tcPr>
            <w:tcW w:w="715"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3,508</w:t>
            </w:r>
          </w:p>
        </w:tc>
        <w:tc>
          <w:tcPr>
            <w:tcW w:w="628"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w:t>
            </w:r>
          </w:p>
        </w:tc>
        <w:tc>
          <w:tcPr>
            <w:tcW w:w="1335" w:type="pct"/>
            <w:tcBorders>
              <w:top w:val="nil"/>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Significant</w:t>
            </w:r>
          </w:p>
        </w:tc>
      </w:tr>
      <w:tr w:rsidR="001844F8" w:rsidRPr="001844F8" w:rsidTr="006E664E">
        <w:trPr>
          <w:trHeight w:val="315"/>
          <w:jc w:val="center"/>
        </w:trPr>
        <w:tc>
          <w:tcPr>
            <w:tcW w:w="870"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NS → NI</w:t>
            </w:r>
          </w:p>
        </w:tc>
        <w:tc>
          <w:tcPr>
            <w:tcW w:w="739"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-0.168</w:t>
            </w:r>
          </w:p>
        </w:tc>
        <w:tc>
          <w:tcPr>
            <w:tcW w:w="71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0.107</w:t>
            </w:r>
          </w:p>
        </w:tc>
        <w:tc>
          <w:tcPr>
            <w:tcW w:w="715"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-1,568</w:t>
            </w:r>
          </w:p>
        </w:tc>
        <w:tc>
          <w:tcPr>
            <w:tcW w:w="628"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0.117</w:t>
            </w:r>
          </w:p>
        </w:tc>
        <w:tc>
          <w:tcPr>
            <w:tcW w:w="1335" w:type="pct"/>
            <w:tcBorders>
              <w:top w:val="nil"/>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Not significant</w:t>
            </w:r>
          </w:p>
        </w:tc>
      </w:tr>
      <w:tr w:rsidR="001844F8" w:rsidRPr="001844F8" w:rsidTr="006E664E">
        <w:trPr>
          <w:trHeight w:val="315"/>
          <w:jc w:val="center"/>
        </w:trPr>
        <w:tc>
          <w:tcPr>
            <w:tcW w:w="870"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FSE → NI</w:t>
            </w:r>
          </w:p>
        </w:tc>
        <w:tc>
          <w:tcPr>
            <w:tcW w:w="739"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0.105</w:t>
            </w:r>
          </w:p>
        </w:tc>
        <w:tc>
          <w:tcPr>
            <w:tcW w:w="71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0.118</w:t>
            </w:r>
          </w:p>
        </w:tc>
        <w:tc>
          <w:tcPr>
            <w:tcW w:w="71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0.891</w:t>
            </w:r>
          </w:p>
        </w:tc>
        <w:tc>
          <w:tcPr>
            <w:tcW w:w="628"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0.373</w:t>
            </w:r>
          </w:p>
        </w:tc>
        <w:tc>
          <w:tcPr>
            <w:tcW w:w="1335" w:type="pct"/>
            <w:tcBorders>
              <w:top w:val="nil"/>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Not significant</w:t>
            </w:r>
          </w:p>
        </w:tc>
      </w:tr>
      <w:tr w:rsidR="001844F8" w:rsidRPr="001844F8" w:rsidTr="006E664E">
        <w:trPr>
          <w:trHeight w:val="315"/>
          <w:jc w:val="center"/>
        </w:trPr>
        <w:tc>
          <w:tcPr>
            <w:tcW w:w="870"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FK → NI</w:t>
            </w:r>
          </w:p>
        </w:tc>
        <w:tc>
          <w:tcPr>
            <w:tcW w:w="739"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0.441</w:t>
            </w:r>
          </w:p>
        </w:tc>
        <w:tc>
          <w:tcPr>
            <w:tcW w:w="71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0.094</w:t>
            </w:r>
          </w:p>
        </w:tc>
        <w:tc>
          <w:tcPr>
            <w:tcW w:w="71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4,677</w:t>
            </w:r>
          </w:p>
        </w:tc>
        <w:tc>
          <w:tcPr>
            <w:tcW w:w="628"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w:t>
            </w:r>
          </w:p>
        </w:tc>
        <w:tc>
          <w:tcPr>
            <w:tcW w:w="1335" w:type="pct"/>
            <w:tcBorders>
              <w:top w:val="nil"/>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Significant</w:t>
            </w:r>
          </w:p>
        </w:tc>
      </w:tr>
      <w:tr w:rsidR="001844F8" w:rsidRPr="001844F8" w:rsidTr="006E664E">
        <w:trPr>
          <w:trHeight w:val="315"/>
          <w:jc w:val="center"/>
        </w:trPr>
        <w:tc>
          <w:tcPr>
            <w:tcW w:w="870"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FK → FA</w:t>
            </w:r>
          </w:p>
        </w:tc>
        <w:tc>
          <w:tcPr>
            <w:tcW w:w="739"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0.161</w:t>
            </w:r>
          </w:p>
        </w:tc>
        <w:tc>
          <w:tcPr>
            <w:tcW w:w="71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0.068</w:t>
            </w:r>
          </w:p>
        </w:tc>
        <w:tc>
          <w:tcPr>
            <w:tcW w:w="71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2,383</w:t>
            </w:r>
          </w:p>
        </w:tc>
        <w:tc>
          <w:tcPr>
            <w:tcW w:w="628"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0.017</w:t>
            </w:r>
          </w:p>
        </w:tc>
        <w:tc>
          <w:tcPr>
            <w:tcW w:w="1335" w:type="pct"/>
            <w:tcBorders>
              <w:top w:val="nil"/>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Significant</w:t>
            </w:r>
          </w:p>
        </w:tc>
      </w:tr>
      <w:tr w:rsidR="001844F8" w:rsidRPr="001844F8" w:rsidTr="006E664E">
        <w:trPr>
          <w:trHeight w:val="315"/>
          <w:jc w:val="center"/>
        </w:trPr>
        <w:tc>
          <w:tcPr>
            <w:tcW w:w="870"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PT → NI</w:t>
            </w:r>
          </w:p>
        </w:tc>
        <w:tc>
          <w:tcPr>
            <w:tcW w:w="739"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0.231</w:t>
            </w:r>
          </w:p>
        </w:tc>
        <w:tc>
          <w:tcPr>
            <w:tcW w:w="71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0.139</w:t>
            </w:r>
          </w:p>
        </w:tc>
        <w:tc>
          <w:tcPr>
            <w:tcW w:w="71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1,665</w:t>
            </w:r>
          </w:p>
        </w:tc>
        <w:tc>
          <w:tcPr>
            <w:tcW w:w="628"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0.096</w:t>
            </w:r>
          </w:p>
        </w:tc>
        <w:tc>
          <w:tcPr>
            <w:tcW w:w="1335" w:type="pct"/>
            <w:tcBorders>
              <w:top w:val="nil"/>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Not significant</w:t>
            </w:r>
          </w:p>
        </w:tc>
      </w:tr>
      <w:tr w:rsidR="001844F8" w:rsidRPr="001844F8" w:rsidTr="006E664E">
        <w:trPr>
          <w:trHeight w:val="315"/>
          <w:jc w:val="center"/>
        </w:trPr>
        <w:tc>
          <w:tcPr>
            <w:tcW w:w="870" w:type="pct"/>
            <w:tcBorders>
              <w:top w:val="nil"/>
              <w:left w:val="nil"/>
              <w:bottom w:val="single" w:sz="4" w:space="0" w:color="auto"/>
              <w:right w:val="nil"/>
            </w:tcBorders>
            <w:noWrap/>
            <w:vAlign w:val="center"/>
            <w:hideMark/>
          </w:tcPr>
          <w:p w:rsidR="001844F8" w:rsidRPr="001844F8" w:rsidRDefault="001844F8" w:rsidP="001844F8">
            <w:pPr>
              <w:pStyle w:val="Body"/>
              <w:rPr>
                <w:rFonts w:ascii="Arial" w:hAnsi="Arial" w:cs="Arial"/>
              </w:rPr>
            </w:pPr>
            <w:r w:rsidRPr="001844F8">
              <w:rPr>
                <w:rFonts w:ascii="Arial" w:hAnsi="Arial" w:cs="Arial"/>
              </w:rPr>
              <w:t>PT → FSE</w:t>
            </w:r>
          </w:p>
        </w:tc>
        <w:tc>
          <w:tcPr>
            <w:tcW w:w="739"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0.367</w:t>
            </w:r>
          </w:p>
        </w:tc>
        <w:tc>
          <w:tcPr>
            <w:tcW w:w="71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0.100</w:t>
            </w:r>
          </w:p>
        </w:tc>
        <w:tc>
          <w:tcPr>
            <w:tcW w:w="715"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3,674</w:t>
            </w:r>
          </w:p>
        </w:tc>
        <w:tc>
          <w:tcPr>
            <w:tcW w:w="628" w:type="pct"/>
            <w:tcBorders>
              <w:top w:val="nil"/>
              <w:left w:val="nil"/>
              <w:bottom w:val="single" w:sz="4" w:space="0" w:color="auto"/>
              <w:right w:val="nil"/>
            </w:tcBorders>
            <w:vAlign w:val="center"/>
            <w:hideMark/>
          </w:tcPr>
          <w:p w:rsidR="001844F8" w:rsidRPr="001844F8" w:rsidRDefault="001844F8" w:rsidP="001844F8">
            <w:pPr>
              <w:pStyle w:val="Body"/>
              <w:rPr>
                <w:rFonts w:ascii="Arial" w:hAnsi="Arial" w:cs="Arial"/>
              </w:rPr>
            </w:pPr>
            <w:r w:rsidRPr="001844F8">
              <w:rPr>
                <w:rFonts w:ascii="Arial" w:hAnsi="Arial" w:cs="Arial"/>
              </w:rPr>
              <w:t>***</w:t>
            </w:r>
          </w:p>
        </w:tc>
        <w:tc>
          <w:tcPr>
            <w:tcW w:w="1335" w:type="pct"/>
            <w:tcBorders>
              <w:top w:val="nil"/>
              <w:left w:val="nil"/>
              <w:bottom w:val="single" w:sz="4" w:space="0" w:color="auto"/>
              <w:right w:val="nil"/>
            </w:tcBorders>
            <w:noWrap/>
            <w:vAlign w:val="bottom"/>
            <w:hideMark/>
          </w:tcPr>
          <w:p w:rsidR="001844F8" w:rsidRPr="001844F8" w:rsidRDefault="001844F8" w:rsidP="001844F8">
            <w:pPr>
              <w:pStyle w:val="Body"/>
              <w:rPr>
                <w:rFonts w:ascii="Arial" w:hAnsi="Arial" w:cs="Arial"/>
              </w:rPr>
            </w:pPr>
            <w:r w:rsidRPr="001844F8">
              <w:rPr>
                <w:rFonts w:ascii="Arial" w:hAnsi="Arial" w:cs="Arial"/>
              </w:rPr>
              <w:t>Significant</w:t>
            </w:r>
          </w:p>
        </w:tc>
      </w:tr>
    </w:tbl>
    <w:p w:rsidR="001844F8" w:rsidRPr="001844F8" w:rsidRDefault="001844F8" w:rsidP="001844F8">
      <w:pPr>
        <w:pStyle w:val="Body"/>
        <w:rPr>
          <w:rFonts w:ascii="Arial" w:hAnsi="Arial" w:cs="Arial"/>
        </w:rPr>
      </w:pPr>
      <w:r w:rsidRPr="001844F8">
        <w:rPr>
          <w:rFonts w:ascii="Arial" w:hAnsi="Arial" w:cs="Arial"/>
        </w:rPr>
        <w:t>Source: Data test results, 2024.</w:t>
      </w:r>
    </w:p>
    <w:p w:rsidR="001844F8" w:rsidRPr="001844F8" w:rsidRDefault="001844F8" w:rsidP="001844F8">
      <w:pPr>
        <w:pStyle w:val="Body"/>
        <w:rPr>
          <w:rFonts w:ascii="Arial" w:hAnsi="Arial" w:cs="Arial"/>
          <w:lang w:val="en-ID"/>
        </w:rPr>
      </w:pPr>
      <w:bookmarkStart w:id="301" w:name="_Toc86238453"/>
      <w:bookmarkStart w:id="302" w:name="_Toc86238641"/>
      <w:bookmarkStart w:id="303" w:name="_Toc86241829"/>
      <w:bookmarkStart w:id="304" w:name="_Toc86354699"/>
      <w:bookmarkStart w:id="305" w:name="_Toc86767466"/>
      <w:bookmarkStart w:id="306" w:name="_Toc147172833"/>
      <w:bookmarkStart w:id="307" w:name="_Toc147173090"/>
      <w:bookmarkStart w:id="308" w:name="_Toc147173258"/>
      <w:bookmarkStart w:id="309" w:name="_Toc147830061"/>
      <w:bookmarkStart w:id="310" w:name="_Toc147830283"/>
      <w:bookmarkStart w:id="311" w:name="_Toc154134794"/>
      <w:bookmarkStart w:id="312" w:name="_Toc154135235"/>
      <w:bookmarkStart w:id="313" w:name="_Toc154135486"/>
      <w:bookmarkStart w:id="314" w:name="_Toc159492695"/>
      <w:r w:rsidRPr="001844F8">
        <w:rPr>
          <w:rFonts w:ascii="Arial" w:hAnsi="Arial" w:cs="Arial"/>
          <w:lang w:val="en-ID"/>
        </w:rPr>
        <w:t xml:space="preserve">The results of the 1st Hypothesis test show that the financial attitude variable has a significant effect on investment intentions, with a probability value of 0.000 &lt; 0.05. Thus hypothesis 1 is accepted. The results of the 2nd Hypothesis test show that the subjective norm variable has no significant effect on investment intentions with a probability value of 0.117 &gt; 0.05. These results show that subjective norms have a negative and insignificant effect on investment intentions. Thus hypothesis 2 is rejected. The results of the 3rd Hypothesis test show that financial self-efficacy does not have a significant effect on investment intentions. with a probability value of 0.373 &gt; 0.05. These results state that hypothesis 3 is rejected. The results of the 4th Hypothesis test show that financial knowledge has a significant effect on investment intentions. With a probability value of 0.017 &lt;0.05. These results state that hypothesis 4 is accepted. The results of the 5th Hypothesis test show that financial knowledge has a significant effect on financial attitude with a probability value of 0.000 &lt; 0.05. </w:t>
      </w:r>
      <w:r w:rsidRPr="00FB0D9B">
        <w:rPr>
          <w:rFonts w:ascii="Arial" w:hAnsi="Arial" w:cs="Arial"/>
          <w:highlight w:val="yellow"/>
          <w:lang w:val="en-ID"/>
        </w:rPr>
        <w:t>Thus</w:t>
      </w:r>
      <w:r w:rsidR="00701105" w:rsidRPr="00FB0D9B">
        <w:rPr>
          <w:rFonts w:ascii="Arial" w:hAnsi="Arial" w:cs="Arial"/>
          <w:highlight w:val="yellow"/>
          <w:lang w:val="en-ID"/>
        </w:rPr>
        <w:t>,</w:t>
      </w:r>
      <w:r w:rsidRPr="00FB0D9B">
        <w:rPr>
          <w:rFonts w:ascii="Arial" w:hAnsi="Arial" w:cs="Arial"/>
          <w:highlight w:val="yellow"/>
          <w:lang w:val="en-ID"/>
        </w:rPr>
        <w:t xml:space="preserve"> hypothesis 5 is</w:t>
      </w:r>
      <w:r w:rsidRPr="001844F8">
        <w:rPr>
          <w:rFonts w:ascii="Arial" w:hAnsi="Arial" w:cs="Arial"/>
          <w:lang w:val="en-ID"/>
        </w:rPr>
        <w:t xml:space="preserve"> declared accepted. The results of the 6th Hypothesis test show that personality traits have no effect</w:t>
      </w:r>
      <w:bookmarkStart w:id="315" w:name="_Hlk155337761"/>
      <w:bookmarkStart w:id="316" w:name="_Toc86238454"/>
      <w:bookmarkStart w:id="317" w:name="_Toc86238642"/>
      <w:bookmarkStart w:id="318" w:name="_Toc86241830"/>
      <w:bookmarkStart w:id="319" w:name="_Toc86354700"/>
      <w:bookmarkStart w:id="320" w:name="_Toc86767467"/>
      <w:bookmarkStart w:id="321" w:name="_Toc147172834"/>
      <w:bookmarkStart w:id="322" w:name="_Toc147173091"/>
      <w:bookmarkStart w:id="323" w:name="_Toc147173259"/>
      <w:bookmarkStart w:id="324" w:name="_Toc147830062"/>
      <w:bookmarkStart w:id="325" w:name="_Toc147830284"/>
      <w:bookmarkStart w:id="326" w:name="_Toc154134795"/>
      <w:bookmarkStart w:id="327" w:name="_Toc154135236"/>
      <w:bookmarkStart w:id="328" w:name="_Toc154135487"/>
      <w:bookmarkStart w:id="329" w:name="_Toc159492696"/>
      <w:bookmarkStart w:id="330" w:name="_Hlk155337780"/>
      <w:bookmarkStart w:id="331" w:name="_Toc86238455"/>
      <w:bookmarkStart w:id="332" w:name="_Toc86238643"/>
      <w:bookmarkStart w:id="333" w:name="_Toc86241831"/>
      <w:bookmarkStart w:id="334" w:name="_Toc86354701"/>
      <w:bookmarkStart w:id="335" w:name="_Toc86767468"/>
      <w:bookmarkStart w:id="336" w:name="_Toc147172835"/>
      <w:bookmarkStart w:id="337" w:name="_Toc147173092"/>
      <w:bookmarkStart w:id="338" w:name="_Toc147173260"/>
      <w:bookmarkStart w:id="339" w:name="_Toc147830063"/>
      <w:bookmarkStart w:id="340" w:name="_Toc147830285"/>
      <w:bookmarkStart w:id="341" w:name="_Toc154134796"/>
      <w:bookmarkStart w:id="342" w:name="_Toc154135237"/>
      <w:bookmarkStart w:id="343" w:name="_Toc154135488"/>
      <w:bookmarkStart w:id="344" w:name="_Toc159492697"/>
      <w:bookmarkStart w:id="345" w:name="_Toc86238456"/>
      <w:bookmarkStart w:id="346" w:name="_Toc86238644"/>
      <w:bookmarkStart w:id="347" w:name="_Toc86241832"/>
      <w:bookmarkStart w:id="348" w:name="_Toc86354702"/>
      <w:bookmarkStart w:id="349" w:name="_Toc86767469"/>
      <w:bookmarkStart w:id="350" w:name="_Toc147172836"/>
      <w:bookmarkStart w:id="351" w:name="_Toc147173093"/>
      <w:bookmarkStart w:id="352" w:name="_Toc147173261"/>
      <w:bookmarkStart w:id="353" w:name="_Toc147830064"/>
      <w:bookmarkStart w:id="354" w:name="_Toc147830286"/>
      <w:bookmarkStart w:id="355" w:name="_Toc154134797"/>
      <w:bookmarkStart w:id="356" w:name="_Toc154135238"/>
      <w:bookmarkStart w:id="357" w:name="_Toc154135489"/>
      <w:bookmarkStart w:id="358" w:name="_Toc159492698"/>
      <w:bookmarkStart w:id="359" w:name="_Toc147172837"/>
      <w:bookmarkStart w:id="360" w:name="_Toc147173094"/>
      <w:bookmarkStart w:id="361" w:name="_Toc147173262"/>
      <w:bookmarkStart w:id="362" w:name="_Toc147830065"/>
      <w:bookmarkStart w:id="363" w:name="_Toc147830287"/>
      <w:bookmarkStart w:id="364" w:name="_Toc154134798"/>
      <w:bookmarkStart w:id="365" w:name="_Toc154135239"/>
      <w:bookmarkStart w:id="366" w:name="_Toc154135490"/>
      <w:bookmarkStart w:id="367" w:name="_Toc159492699"/>
      <w:bookmarkStart w:id="368" w:name="_Toc86238457"/>
      <w:bookmarkStart w:id="369" w:name="_Toc86238645"/>
      <w:bookmarkStart w:id="370" w:name="_Toc86241833"/>
      <w:bookmarkStart w:id="371" w:name="_Toc86354703"/>
      <w:bookmarkStart w:id="372" w:name="_Toc86767470"/>
      <w:bookmarkStart w:id="373" w:name="_Toc147172838"/>
      <w:bookmarkStart w:id="374" w:name="_Toc147173095"/>
      <w:bookmarkStart w:id="375" w:name="_Toc147173263"/>
      <w:bookmarkStart w:id="376" w:name="_Toc147830066"/>
      <w:bookmarkStart w:id="377" w:name="_Toc147830288"/>
      <w:bookmarkStart w:id="378" w:name="_Toc154134799"/>
      <w:bookmarkStart w:id="379" w:name="_Toc154135240"/>
      <w:bookmarkStart w:id="380" w:name="_Toc154135491"/>
      <w:bookmarkStart w:id="381" w:name="_Toc1594927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r w:rsidRPr="001844F8">
        <w:rPr>
          <w:rFonts w:ascii="Arial" w:hAnsi="Arial" w:cs="Arial"/>
          <w:lang w:val="en-ID"/>
        </w:rPr>
        <w:t xml:space="preserve"> spirit is significant for investment intentions, with a probability value of 0.096 &gt; 0.05. These results indicate that hypothesis 6 is rejected. The results of the 7th Hypothesis test show that personality traits have a significant influence on financial self-efficacy with a probability value of 0.000 &lt; 0.05. These results conclude that hypothesis 7 is accepted.</w:t>
      </w:r>
      <w:bookmarkStart w:id="382" w:name="_Toc147172839"/>
      <w:bookmarkStart w:id="383" w:name="_Toc147173096"/>
      <w:bookmarkStart w:id="384" w:name="_Toc147173264"/>
      <w:bookmarkStart w:id="385" w:name="_Toc147830067"/>
      <w:bookmarkStart w:id="386" w:name="_Toc147830289"/>
      <w:bookmarkStart w:id="387" w:name="_Toc154134800"/>
      <w:bookmarkStart w:id="388" w:name="_Toc154135241"/>
      <w:bookmarkStart w:id="389" w:name="_Toc154135492"/>
      <w:bookmarkStart w:id="390" w:name="_Toc159492701"/>
      <w:bookmarkEnd w:id="382"/>
      <w:bookmarkEnd w:id="383"/>
      <w:bookmarkEnd w:id="384"/>
      <w:bookmarkEnd w:id="385"/>
      <w:bookmarkEnd w:id="386"/>
      <w:bookmarkEnd w:id="387"/>
      <w:bookmarkEnd w:id="388"/>
      <w:bookmarkEnd w:id="389"/>
      <w:bookmarkEnd w:id="390"/>
    </w:p>
    <w:p w:rsidR="001844F8" w:rsidRPr="001844F8" w:rsidRDefault="001844F8" w:rsidP="001844F8">
      <w:pPr>
        <w:pStyle w:val="Body"/>
        <w:rPr>
          <w:rFonts w:ascii="Arial" w:hAnsi="Arial" w:cs="Arial"/>
          <w:lang w:val="en-ID"/>
        </w:rPr>
      </w:pPr>
      <w:r w:rsidRPr="001844F8">
        <w:rPr>
          <w:rFonts w:ascii="Arial" w:hAnsi="Arial" w:cs="Arial"/>
          <w:lang w:val="en-ID"/>
        </w:rPr>
        <w:t xml:space="preserve">Meanwhile, testing the 8th and 9th hypotheses in this study used </w:t>
      </w:r>
      <w:proofErr w:type="spellStart"/>
      <w:r w:rsidRPr="001844F8">
        <w:rPr>
          <w:rFonts w:ascii="Arial" w:hAnsi="Arial" w:cs="Arial"/>
          <w:lang w:val="en-ID"/>
        </w:rPr>
        <w:t>sobel</w:t>
      </w:r>
      <w:proofErr w:type="spellEnd"/>
      <w:r w:rsidRPr="001844F8">
        <w:rPr>
          <w:rFonts w:ascii="Arial" w:hAnsi="Arial" w:cs="Arial"/>
          <w:lang w:val="en-ID"/>
        </w:rPr>
        <w:t xml:space="preserve"> test analysis. Sobel test analysis is used to determine the influence of financial knowledge on investment intentions</w:t>
      </w:r>
      <w:r w:rsidR="00701105">
        <w:rPr>
          <w:rFonts w:ascii="Arial" w:hAnsi="Arial" w:cs="Arial"/>
          <w:lang w:val="en-ID"/>
        </w:rPr>
        <w:t>,</w:t>
      </w:r>
      <w:r w:rsidRPr="001844F8">
        <w:rPr>
          <w:rFonts w:ascii="Arial" w:hAnsi="Arial" w:cs="Arial"/>
          <w:lang w:val="en-ID"/>
        </w:rPr>
        <w:t xml:space="preserve"> which is mediated by </w:t>
      </w:r>
      <w:r w:rsidRPr="00FB0D9B">
        <w:rPr>
          <w:rFonts w:ascii="Arial" w:hAnsi="Arial" w:cs="Arial"/>
          <w:highlight w:val="yellow"/>
          <w:lang w:val="en-ID"/>
        </w:rPr>
        <w:t>financial attitude (Sobel test 1) and the influence of personality traits on investment intentions</w:t>
      </w:r>
      <w:r w:rsidR="00701105" w:rsidRPr="00FB0D9B">
        <w:rPr>
          <w:rFonts w:ascii="Arial" w:hAnsi="Arial" w:cs="Arial"/>
          <w:highlight w:val="yellow"/>
          <w:lang w:val="en-ID"/>
        </w:rPr>
        <w:t>,</w:t>
      </w:r>
      <w:r w:rsidRPr="00FB0D9B">
        <w:rPr>
          <w:rFonts w:ascii="Arial" w:hAnsi="Arial" w:cs="Arial"/>
          <w:highlight w:val="yellow"/>
          <w:lang w:val="en-ID"/>
        </w:rPr>
        <w:t xml:space="preserve"> which is mediated by financial self-efficacy (Sobel test 2)</w:t>
      </w:r>
      <w:r w:rsidR="00701105" w:rsidRPr="00FB0D9B">
        <w:rPr>
          <w:rFonts w:ascii="Arial" w:hAnsi="Arial" w:cs="Arial"/>
          <w:highlight w:val="yellow"/>
          <w:lang w:val="en-ID"/>
        </w:rPr>
        <w:t>,</w:t>
      </w:r>
      <w:r w:rsidRPr="00FB0D9B">
        <w:rPr>
          <w:rFonts w:ascii="Arial" w:hAnsi="Arial" w:cs="Arial"/>
          <w:highlight w:val="yellow"/>
          <w:lang w:val="en-ID"/>
        </w:rPr>
        <w:t xml:space="preserve"> using an online calculator. The results</w:t>
      </w:r>
      <w:r w:rsidRPr="001844F8">
        <w:rPr>
          <w:rFonts w:ascii="Arial" w:hAnsi="Arial" w:cs="Arial"/>
          <w:lang w:val="en-ID"/>
        </w:rPr>
        <w:t xml:space="preserve"> of the </w:t>
      </w:r>
      <w:proofErr w:type="spellStart"/>
      <w:r w:rsidRPr="001844F8">
        <w:rPr>
          <w:rFonts w:ascii="Arial" w:hAnsi="Arial" w:cs="Arial"/>
          <w:lang w:val="en-ID"/>
        </w:rPr>
        <w:t>sobel</w:t>
      </w:r>
      <w:proofErr w:type="spellEnd"/>
      <w:r w:rsidRPr="001844F8">
        <w:rPr>
          <w:rFonts w:ascii="Arial" w:hAnsi="Arial" w:cs="Arial"/>
          <w:lang w:val="en-ID"/>
        </w:rPr>
        <w:t xml:space="preserve"> test that has been carried out appear in table 18 and table 19 as follows.</w:t>
      </w:r>
    </w:p>
    <w:p w:rsidR="001844F8" w:rsidRPr="001844F8" w:rsidRDefault="001844F8" w:rsidP="001844F8">
      <w:pPr>
        <w:pStyle w:val="Body"/>
        <w:rPr>
          <w:rFonts w:ascii="Arial" w:hAnsi="Arial" w:cs="Arial"/>
        </w:rPr>
      </w:pPr>
      <w:r w:rsidRPr="001844F8">
        <w:rPr>
          <w:rFonts w:ascii="Arial" w:hAnsi="Arial" w:cs="Arial"/>
          <w:noProof/>
        </w:rPr>
        <w:lastRenderedPageBreak/>
        <w:drawing>
          <wp:inline distT="0" distB="0" distL="0" distR="0" wp14:anchorId="057CAE0A" wp14:editId="1B2D5900">
            <wp:extent cx="4438499" cy="1028700"/>
            <wp:effectExtent l="0" t="0" r="635" b="0"/>
            <wp:docPr id="298488215" name="Picture 298488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1161" t="4633" r="1487" b="5439"/>
                    <a:stretch/>
                  </pic:blipFill>
                  <pic:spPr bwMode="auto">
                    <a:xfrm>
                      <a:off x="0" y="0"/>
                      <a:ext cx="4543318" cy="1052994"/>
                    </a:xfrm>
                    <a:prstGeom prst="rect">
                      <a:avLst/>
                    </a:prstGeom>
                    <a:ln>
                      <a:noFill/>
                    </a:ln>
                    <a:extLst>
                      <a:ext uri="{53640926-AAD7-44D8-BBD7-CCE9431645EC}">
                        <a14:shadowObscured xmlns:a14="http://schemas.microsoft.com/office/drawing/2010/main"/>
                      </a:ext>
                    </a:extLst>
                  </pic:spPr>
                </pic:pic>
              </a:graphicData>
            </a:graphic>
          </wp:inline>
        </w:drawing>
      </w:r>
    </w:p>
    <w:p w:rsidR="001844F8" w:rsidRPr="001844F8" w:rsidRDefault="001844F8" w:rsidP="001844F8">
      <w:pPr>
        <w:pStyle w:val="Body"/>
        <w:rPr>
          <w:rFonts w:ascii="Arial" w:hAnsi="Arial" w:cs="Arial"/>
          <w:lang w:val="en-ID"/>
        </w:rPr>
      </w:pPr>
      <w:r w:rsidRPr="001844F8">
        <w:rPr>
          <w:rFonts w:ascii="Arial" w:hAnsi="Arial" w:cs="Arial"/>
          <w:b/>
          <w:bCs/>
          <w:lang w:val="en-ID"/>
        </w:rPr>
        <w:t>Table 18.</w:t>
      </w:r>
      <w:r w:rsidRPr="001844F8">
        <w:rPr>
          <w:rFonts w:ascii="Arial" w:hAnsi="Arial" w:cs="Arial"/>
          <w:lang w:val="en-ID"/>
        </w:rPr>
        <w:t>Sobel Test 1</w:t>
      </w:r>
    </w:p>
    <w:p w:rsidR="001844F8" w:rsidRPr="001844F8" w:rsidRDefault="001844F8" w:rsidP="001844F8">
      <w:pPr>
        <w:pStyle w:val="Body"/>
        <w:rPr>
          <w:rFonts w:ascii="Arial" w:hAnsi="Arial" w:cs="Arial"/>
        </w:rPr>
      </w:pPr>
    </w:p>
    <w:p w:rsidR="001844F8" w:rsidRPr="001844F8" w:rsidRDefault="001844F8" w:rsidP="001844F8">
      <w:pPr>
        <w:pStyle w:val="Body"/>
        <w:rPr>
          <w:rFonts w:ascii="Arial" w:hAnsi="Arial" w:cs="Arial"/>
        </w:rPr>
      </w:pPr>
      <w:r w:rsidRPr="001844F8">
        <w:rPr>
          <w:rFonts w:ascii="Arial" w:hAnsi="Arial" w:cs="Arial"/>
        </w:rPr>
        <w:t>In table 18, it is found that the significance level or probability value for Sobel Test 1 is 0.0487 &lt; 0.05. This result means that financial attitude can mediate the influence of financial knowledge on investment intentions. Thus hypothesis 8 is accepted.</w:t>
      </w:r>
    </w:p>
    <w:p w:rsidR="001844F8" w:rsidRPr="001844F8" w:rsidRDefault="001844F8" w:rsidP="001844F8">
      <w:pPr>
        <w:pStyle w:val="Body"/>
        <w:rPr>
          <w:rFonts w:ascii="Arial" w:hAnsi="Arial" w:cs="Arial"/>
        </w:rPr>
      </w:pPr>
      <w:r w:rsidRPr="001844F8">
        <w:rPr>
          <w:rFonts w:ascii="Arial" w:hAnsi="Arial" w:cs="Arial"/>
          <w:noProof/>
        </w:rPr>
        <w:drawing>
          <wp:inline distT="0" distB="0" distL="0" distR="0" wp14:anchorId="35BC24A6" wp14:editId="0DD6D15E">
            <wp:extent cx="5295900" cy="1238250"/>
            <wp:effectExtent l="0" t="0" r="0" b="0"/>
            <wp:docPr id="246097474" name="Picture 246097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3497" r="1744" b="5586"/>
                    <a:stretch/>
                  </pic:blipFill>
                  <pic:spPr bwMode="auto">
                    <a:xfrm>
                      <a:off x="0" y="0"/>
                      <a:ext cx="5316526" cy="1243073"/>
                    </a:xfrm>
                    <a:prstGeom prst="rect">
                      <a:avLst/>
                    </a:prstGeom>
                    <a:ln>
                      <a:noFill/>
                    </a:ln>
                    <a:extLst>
                      <a:ext uri="{53640926-AAD7-44D8-BBD7-CCE9431645EC}">
                        <a14:shadowObscured xmlns:a14="http://schemas.microsoft.com/office/drawing/2010/main"/>
                      </a:ext>
                    </a:extLst>
                  </pic:spPr>
                </pic:pic>
              </a:graphicData>
            </a:graphic>
          </wp:inline>
        </w:drawing>
      </w:r>
    </w:p>
    <w:p w:rsidR="001844F8" w:rsidRPr="001844F8" w:rsidRDefault="001844F8" w:rsidP="001844F8">
      <w:pPr>
        <w:pStyle w:val="Body"/>
        <w:rPr>
          <w:rFonts w:ascii="Arial" w:hAnsi="Arial" w:cs="Arial"/>
          <w:lang w:val="en-ID"/>
        </w:rPr>
      </w:pPr>
      <w:r w:rsidRPr="001844F8">
        <w:rPr>
          <w:rFonts w:ascii="Arial" w:hAnsi="Arial" w:cs="Arial"/>
          <w:b/>
          <w:bCs/>
          <w:lang w:val="en-ID"/>
        </w:rPr>
        <w:t>Table 19.</w:t>
      </w:r>
      <w:r w:rsidRPr="001844F8">
        <w:rPr>
          <w:rFonts w:ascii="Arial" w:hAnsi="Arial" w:cs="Arial"/>
          <w:lang w:val="en-ID"/>
        </w:rPr>
        <w:t>Sobel Test 2</w:t>
      </w:r>
    </w:p>
    <w:p w:rsidR="001844F8" w:rsidRPr="001844F8" w:rsidRDefault="001844F8" w:rsidP="001844F8">
      <w:pPr>
        <w:pStyle w:val="Body"/>
        <w:rPr>
          <w:rFonts w:ascii="Arial" w:hAnsi="Arial" w:cs="Arial"/>
        </w:rPr>
      </w:pPr>
      <w:r w:rsidRPr="001844F8">
        <w:rPr>
          <w:rFonts w:ascii="Arial" w:hAnsi="Arial" w:cs="Arial"/>
        </w:rPr>
        <w:t>In table 19, it is found that the significance level or probability value for Sobel Test 2 is 0.3906 &gt; 0.05. This result means that financial self-efficacy traits cannot mediate the influence of personality on investment intentions. Thus hypothesis 9 is rejected.</w:t>
      </w:r>
    </w:p>
    <w:p w:rsidR="001844F8" w:rsidRPr="001844F8" w:rsidRDefault="001844F8" w:rsidP="001844F8">
      <w:pPr>
        <w:pStyle w:val="Body"/>
        <w:rPr>
          <w:rFonts w:ascii="Arial" w:hAnsi="Arial" w:cs="Arial"/>
          <w:b/>
          <w:bCs/>
        </w:rPr>
      </w:pPr>
    </w:p>
    <w:p w:rsidR="001844F8" w:rsidRPr="001844F8" w:rsidRDefault="001844F8" w:rsidP="001844F8">
      <w:pPr>
        <w:pStyle w:val="Body"/>
        <w:rPr>
          <w:rFonts w:ascii="Arial" w:hAnsi="Arial" w:cs="Arial"/>
          <w:b/>
          <w:bCs/>
          <w:lang w:val="sv-SE"/>
        </w:rPr>
      </w:pPr>
      <w:r w:rsidRPr="001844F8">
        <w:rPr>
          <w:rFonts w:ascii="Arial" w:hAnsi="Arial" w:cs="Arial"/>
          <w:b/>
          <w:bCs/>
          <w:lang w:val="sv-SE"/>
        </w:rPr>
        <w:t>Discussion</w:t>
      </w:r>
    </w:p>
    <w:p w:rsidR="001844F8" w:rsidRPr="001844F8" w:rsidRDefault="001844F8" w:rsidP="001844F8">
      <w:pPr>
        <w:pStyle w:val="Body"/>
        <w:rPr>
          <w:rFonts w:ascii="Arial" w:hAnsi="Arial" w:cs="Arial"/>
        </w:rPr>
      </w:pPr>
      <w:r w:rsidRPr="001844F8">
        <w:rPr>
          <w:rFonts w:ascii="Arial" w:hAnsi="Arial" w:cs="Arial"/>
        </w:rPr>
        <w:t xml:space="preserve">The results of the first test show that financial attitude has a positive and significant effect on investment intentions. These results reflect that the higher the financial attitude, the greater the intention to invest in the capital market. These results are in line with research conducted by </w:t>
      </w:r>
      <w:r w:rsidRPr="001844F8">
        <w:rPr>
          <w:rFonts w:ascii="Arial" w:hAnsi="Arial" w:cs="Arial"/>
        </w:rPr>
        <w:fldChar w:fldCharType="begin" w:fldLock="1"/>
      </w:r>
      <w:r w:rsidRPr="001844F8">
        <w:rPr>
          <w:rFonts w:ascii="Arial" w:hAnsi="Arial" w:cs="Arial"/>
        </w:rPr>
        <w:instrText>ADDIN CSL_CITATION {"citationItems":[{"id":"ITEM-1","itemData":{"DOI":"10.1108/IJBM-08-2017-0167","ISSN":"02652323","abstract":"Purpose: The purpose of this paper is to understand investment intention of prospective individual investors in a developing country (i.e. India) by using the “Theory of Planned Behaviour” (TPB) (where perceived behavioural control has been replaced with financial self-efficacy, FSE) and two additional constructs, i.e. financial knowledge and personality traits (i.e. risk-taking propensity and preference for innovation) have been introduced. Design/methodology/approach: The study uses quantitative and cross-sectional approach wherein questionnaire based survey was done to collect responses from prospective individual investors (920 usable responses). AMOS and SPSS have been used to establish the hypothesised relationship between the constructs. Findings: The results of the study suggested that attitude was responsible for partial mediation between the relationship of financial knowledge and investment intention, whereas financial self-efficacy was exerting a dual role on the relationship between personality traits and investment intention. Subjective norms, on the other hand, exerted a weak positive effect on investment intention. Research limitations/implications: This study is limited to measure the investment intention in financial markets in case of prospective individual investors; it does not incorporate the actual investment behaviour, the study also fails to include demographic factors which play a vital role in investment decision making. Furthermore, the study has only considered objective dimension of financial knowledge. Practical implications: The findings will be useful for financial service providers who need to enhance the FSE and financial knowledge and design a “behavioural portfolio” according the personality traits of their clients. Social implications: The up-liftment of financial confidence among individuals in order to motivate them to participate in financial markets and enjoy “short-cuts” towards financial success. Originality/value: This study is one of the initial attempts in the context of the Indian Stock Market to introduce FSE as a dual (both mediating and moderating) construct between personality traits and investment intention using TPB, moreover, this study also provides the necessary impetus to analyse the relationship between financial knowledge and investment intention with attitude as the mediating variable.","author":[{"dropping-particle":"","family":"Akhtar","given":"Fatima","non-dropping-particle":"","parse-names":false,"suffix":""},{"dropping-particle":"","family":"Das","given":"Niladri","non-dropping-particle":"","parse-names":false,"suffix":""}],"container-title":"International Journal of Bank Marketing","id":"ITEM-1","issue":"1","issued":{"date-parts":[["2019"]]},"page":"97-119","title":"Predictors of investment intention in Indian stock markets: Extending the theory of planned behaviour","type":"article-journal","volume":"37"},"uris":["http://www.mendeley.com/documents/?uuid=1a236fdb-18fd-4a12-b3cd-9143bd5ea03b"]},{"id":"ITEM-2","itemData":{"DOI":"10.1108/17468800710824509","ISSN":"17468817","abstract":"The purpose of this paper is to identify factors that influence the intention to use internet stock trading among investors in Malaysia. A structured questionnaire was used to collect data from investors who are aware of internet stock trading in Malayisa. Out of 300 questionnaire only 144 were usable. Findings show that attitude, subjective norm and perceived behavioral control has a direct positive relationship towards behavioral intention to use internet stock trading. The theory of planned behavior can be used to explain variation in behavioral intention and actual usage. More variations of results could be gained through a wider coverage of respondents. Other factors such as descriptive norm and perceived usefulness should be used to increase the explanatory power of the dependent variable. A comparison of the same study of explanatory power between other intention-based model could give another valuable contribution. This study will provide information on factors that influence and affect investor's intention to use online stock trading. In addition, the result of the study could serve as a guideline by online stock broking organizations in understanding the factors and program that need to be instilled to increase online stock trading among current retail investors and future investors. Not much has been written on understanding intention to use internet stock trading in a developing country. © 2007, Emerald Group Publishing Limited","author":[{"dropping-particle":"","family":"Gopi","given":"M.","non-dropping-particle":"","parse-names":false,"suffix":""},{"dropping-particle":"","family":"Ramayah","given":"T.","non-dropping-particle":"","parse-names":false,"suffix":""}],"container-title":"International Journal of Emerging Markets","id":"ITEM-2","issue":"4","issued":{"date-parts":[["2007"]]},"page":"348-360","title":"Applicability of theory of planned behavior in predicting intention to trade online: Some evidence from a developing country","type":"article-journal","volume":"2"},"uris":["http://www.mendeley.com/documents/?uuid=bac42d23-35c3-4af2-bb42-333831341657"]}],"mendeley":{"formattedCitation":"(Akhtar &amp; Das, 2019; Gopi &amp; Ramayah, 2007)","plainTextFormattedCitation":"(Akhtar &amp; Das, 2019; Gopi &amp; Ramayah, 2007)","previouslyFormattedCitation":"(Akhtar &amp; Das, 2019; Gopi &amp; Ramayah, 2007)"},"properties":{"noteIndex":0},"schema":"https://github.com/citation-style-language/schema/raw/master/csl-citation.json"}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(Akhtar &amp; Das, 2019; Gopi &amp; Ramayah, 2007)</w:t>
      </w:r>
      <w:r w:rsidRPr="001844F8">
        <w:rPr>
          <w:rFonts w:ascii="Arial" w:hAnsi="Arial" w:cs="Arial"/>
        </w:rPr>
        <w:fldChar w:fldCharType="end"/>
      </w:r>
      <w:r w:rsidRPr="001844F8">
        <w:rPr>
          <w:rFonts w:ascii="Arial" w:hAnsi="Arial" w:cs="Arial"/>
        </w:rPr>
        <w:t xml:space="preserve">. The research results are also not in line with </w:t>
      </w:r>
      <w:r w:rsidRPr="001844F8">
        <w:rPr>
          <w:rFonts w:ascii="Arial" w:hAnsi="Arial" w:cs="Arial"/>
        </w:rPr>
        <w:fldChar w:fldCharType="begin" w:fldLock="1"/>
      </w:r>
      <w:r w:rsidRPr="001844F8">
        <w:rPr>
          <w:rFonts w:ascii="Arial" w:hAnsi="Arial" w:cs="Arial"/>
        </w:rPr>
        <w:instrText>ADDIN CSL_CITATION {"citationItems":[{"id":"ITEM-1","itemData":{"abstract":"Purpose - The purpose of this study is to investigate behavioral factors influencing investment intentions. Design/methodology/approach – A descriptive quantitative study was conducted utilizing an online questionnaire with a total of 121 respondents. Findings - The results of the study indicated that Subjective Norm, Perceived Behavioral Control, and Perceived Consumer Effectiveness are positively related to Intention to Invest. Attitude and Perceived Risk did not reach statistical significance and no conclusions could therefore be drawn regarding the concepts. Research limitations/implications - The greatest limitation of the study is that it measures intention and not actual behavior which could be of more value, both from a theoretical and managerial perspective. The implication of the study is that it contributes to the Socially Responsible Investment literature from the intentional perspective and that it considers Generation Y, two aspects that have previously been neglected. The study further provides companies operating in SRI industry with a framework to use when acquiring customers within Generation Y. Originality/value - As recent Socially Responsible Investment research has focused almost exclusively on financial performance this study offers value in that it instead explains behavioral factors influencing the Intention to Invest. It further focuses on Generation Y which is the upcoming generation when it comes to investing that has to a large extent been neglected in the SRI literature.","author":[{"dropping-particle":"","family":"Jensen","given":"Christoffer","non-dropping-particle":"","parse-names":false,"suffix":""},{"dropping-particle":"","family":"Huynh","given":"Ronny","non-dropping-particle":"","parse-names":false,"suffix":""},{"dropping-particle":"","family":"Sandberg","given":"Pontus","non-dropping-particle":"","parse-names":false,"suffix":""}],"id":"ITEM-1","issued":{"date-parts":[["2016"]]},"number-of-pages":"52","title":"“Doing good while doing well” : An investigation of Generation Y’s intention to invest socially responsibly","type":"report"},"uris":["http://www.mendeley.com/documents/?uuid=70163e76-51da-4168-b336-51bc14636bd9"]}],"mendeley":{"formattedCitation":"(Jensen et al., 2016)","plainTextFormattedCitation":"(Jensen et al., 2016)","previouslyFormattedCitation":"(Jensen et al., 2016)"},"properties":{"noteIndex":0},"schema":"https://github.com/citation-style-language/schema/raw/master/csl-citation.json"}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(Jensen et al., 2016)</w:t>
      </w:r>
      <w:r w:rsidRPr="001844F8">
        <w:rPr>
          <w:rFonts w:ascii="Arial" w:hAnsi="Arial" w:cs="Arial"/>
        </w:rPr>
        <w:fldChar w:fldCharType="end"/>
      </w:r>
      <w:r w:rsidRPr="001844F8">
        <w:rPr>
          <w:rFonts w:ascii="Arial" w:hAnsi="Arial" w:cs="Arial"/>
        </w:rPr>
        <w:t xml:space="preserve"> which states that financial attitude has a negative influence on investment intentions.</w:t>
      </w:r>
      <w:bookmarkStart w:id="391" w:name="_Hlk155337801"/>
      <w:bookmarkEnd w:id="391"/>
    </w:p>
    <w:p w:rsidR="001844F8" w:rsidRPr="001844F8" w:rsidRDefault="001844F8" w:rsidP="001844F8">
      <w:pPr>
        <w:pStyle w:val="Body"/>
        <w:rPr>
          <w:rFonts w:ascii="Arial" w:hAnsi="Arial" w:cs="Arial"/>
        </w:rPr>
      </w:pPr>
      <w:r w:rsidRPr="001844F8">
        <w:rPr>
          <w:rFonts w:ascii="Arial" w:hAnsi="Arial" w:cs="Arial"/>
          <w:i/>
          <w:iCs/>
        </w:rPr>
        <w:t xml:space="preserve">Financial </w:t>
      </w:r>
      <w:proofErr w:type="spellStart"/>
      <w:r w:rsidRPr="001844F8">
        <w:rPr>
          <w:rFonts w:ascii="Arial" w:hAnsi="Arial" w:cs="Arial"/>
          <w:i/>
          <w:iCs/>
        </w:rPr>
        <w:t>attitude</w:t>
      </w:r>
      <w:r w:rsidRPr="001844F8">
        <w:rPr>
          <w:rFonts w:ascii="Arial" w:hAnsi="Arial" w:cs="Arial"/>
        </w:rPr>
        <w:t>is</w:t>
      </w:r>
      <w:proofErr w:type="spellEnd"/>
      <w:r w:rsidRPr="001844F8">
        <w:rPr>
          <w:rFonts w:ascii="Arial" w:hAnsi="Arial" w:cs="Arial"/>
        </w:rPr>
        <w:t xml:space="preserve"> a person's assessment, opinion, or state of mind regarding finances which is applied to his or her attitude </w:t>
      </w:r>
      <w:r w:rsidRPr="001844F8">
        <w:rPr>
          <w:rFonts w:ascii="Arial" w:hAnsi="Arial" w:cs="Arial"/>
        </w:rPr>
        <w:fldChar w:fldCharType="begin" w:fldLock="1"/>
      </w:r>
      <w:r w:rsidRPr="001844F8">
        <w:rPr>
          <w:rFonts w:ascii="Arial" w:hAnsi="Arial" w:cs="Arial"/>
        </w:rPr>
        <w:instrText>ADDIN CSL_CITATION {"citationItems":[{"id":"ITEM-1","itemData":{"DOI":"10.4148/jft.v2i1.451","abstract":"Financial matters have been identified in the literature as a significant source of stress for individuals and families. However, little is known about the psychological issues related to money that may be contributing to individual and family problems. Using a sample of 422 individuals who identified their level of agreement on 72 money-related beliefs, this study identified four distinct money belief patterns. Three of these belief systems were significantly correlated with income and net worth. Demographic features associated with the four money belief scales are provided. The results of this study may be useful for practitioners interested in quickly and accurately identifying money beliefs in their clients that can have a negative impact on financial health.        References           American Psychological Association (2009). Stress in America 2009. Retrieved October 10, 2010 from  http://www.apa.org/news/press/releases/stress-exec-summary.pdf   Bandura, A. (1977). Social Learning Theory. New York: General Learning Press.  Brickman, P., Coates, D., &amp;amp; Janoff-Bulman, R. (1978). Lottery winners and accident victims: Is happiness relative? Journal of Personality &amp;amp; Social Psychology, 36(8), 917-927.  http://dx.doi.org/10.1037/0022-3514.36.8.917  PMid:690806  Csikszentmihalyi, M. (1999). If we are so rich, why aren’t we happy? American Psychologist, 54(10), 821-827.  http://dx.doi.org/10.1037/0003-066X.54.10.821   Diener, E., &amp;amp; Seligman, M. E. P. (2004). Beyond money. Psychological Science in the Public Interest, 5(1), 1-31.  http://dx.doi.org/10.1111/j.0963-7214.2004.00501001.x   Dillman, D. A. (1999). Mail and Internet Surveys: The Tailored Design Method (2 ed.). New York, NY: Wiley.  Dortch, S. (1994). Money and marital discord. American Demographics, 16, 11-14.  Engelberg, E., &amp;amp; Sjöberg, L. (2006). Money attitudes and emotional intelligence. Journal of Applied Social Psychology, 36(8), 2027-2047.  http://dx.doi.org/10.1111/j.0021-9029.2006.00092.x   Engelberg, E., &amp;amp; Sjöberg, L. (2007). Money obsession, social adjustment, and economic risk perception. Journal of Socio-Economics, 36(5), 686-697.  http://dx.doi.org/10.1016/j.socec.2007.01.005   Furnham, A. (1984). Money sides of the coin: The psychology of money usage. Personality and Individual Difference, 5(5), 501-509.  http://dx.doi.org/10.1016/0191-8869(84)90025-4   Furnham, A. (1996). Attitudinal correlates and demographic predictors of monetary beliefs and behaviours. Journa…","author":[{"dropping-particle":"","family":"Klontz","given":"Bradley","non-dropping-particle":"","parse-names":false,"suffix":""},{"dropping-particle":"","family":"Britt","given":"Sonya L","non-dropping-particle":"","parse-names":false,"suffix":""},{"dropping-particle":"","family":"Mentzer","given":"Jennifer","non-dropping-particle":"","parse-names":false,"suffix":""},{"dropping-particle":"","family":"Klontz","given":"Ted","non-dropping-particle":"","parse-names":false,"suffix":""}],"container-title":"Journal of Financial Therapy","id":"ITEM-1","issue":"1","issued":{"date-parts":[["2011"]]},"title":"Money Beliefs and Financial Behaviors: Development of the Klontz Money Script Inventory","type":"article-journal","volume":"2"},"uris":["http://www.mendeley.com/documents/?uuid=38a610b8-99ce-4b52-a4b2-9bf751398e62"]}],"mendeley":{"formattedCitation":"(Klontz et al., 2011)","plainTextFormattedCitation":"(Klontz et al., 2011)","previouslyFormattedCitation":"(Klontz et al., 2011)"},"properties":{"noteIndex":0},"schema":"https://github.com/citation-style-language/schema/raw/master/csl-citation.json"}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(Klontz et al., 2011)</w:t>
      </w:r>
      <w:r w:rsidRPr="001844F8">
        <w:rPr>
          <w:rFonts w:ascii="Arial" w:hAnsi="Arial" w:cs="Arial"/>
        </w:rPr>
        <w:fldChar w:fldCharType="end"/>
      </w:r>
      <w:r w:rsidRPr="001844F8">
        <w:rPr>
          <w:rFonts w:ascii="Arial" w:hAnsi="Arial" w:cs="Arial"/>
        </w:rPr>
        <w:t>. When an individual is obsessed with money, the individual will think about how to get money and how to use the money they have. With this positive outlook, it will encourage individual investment intentions to have a perception of their finances in the future. The better an individual's attitude towards their personal finances, the better the individual will be at carrying out financial management. So, when making investments, individuals will be careful because they must have different preferences based on return and risk to minimize failure or loss in terms of finances in order to get maximum profits. Obtaining maximum profits will make individuals have greater investment intentions.</w:t>
      </w:r>
    </w:p>
    <w:p w:rsidR="001844F8" w:rsidRPr="001844F8" w:rsidRDefault="001844F8" w:rsidP="001844F8">
      <w:pPr>
        <w:pStyle w:val="Body"/>
        <w:rPr>
          <w:rFonts w:ascii="Arial" w:hAnsi="Arial" w:cs="Arial"/>
        </w:rPr>
      </w:pPr>
      <w:r w:rsidRPr="001844F8">
        <w:rPr>
          <w:rFonts w:ascii="Arial" w:hAnsi="Arial" w:cs="Arial"/>
        </w:rPr>
        <w:lastRenderedPageBreak/>
        <w:t xml:space="preserve">The results of the second test show that subjective norms have a negative and insignificant effect on investment intentions in the capital market. This condition shows that the higher the level of subjective norms, the lower the investment intention in the stock market. Subjective Norms are factors originating from outside the individual which contain a person's perception of whether other people will approve or disapprove of a behavior displayed. If an investor's attitude towards decision making does not have support from friends or relatives or other associates, then the individual's investment intentions can change in a contradictory way. On the other hand, currently individuals can also easily use technology to carry out analysis, resulting in a high level of caution regarding investment intentions. Although, many stock influencers create content that contains many invitations to buy certain shares with the promise that these shares will rise, individuals are now smarter not to easily believe these invitations. This is what causes subjective norms to have a negative and insignificant effect on investment intentions. </w:t>
      </w:r>
    </w:p>
    <w:p w:rsidR="001844F8" w:rsidRPr="001844F8" w:rsidRDefault="001844F8" w:rsidP="001844F8">
      <w:pPr>
        <w:pStyle w:val="Body"/>
        <w:rPr>
          <w:rFonts w:ascii="Arial" w:hAnsi="Arial" w:cs="Arial"/>
        </w:rPr>
      </w:pPr>
      <w:r w:rsidRPr="001844F8">
        <w:rPr>
          <w:rFonts w:ascii="Arial" w:hAnsi="Arial" w:cs="Arial"/>
        </w:rPr>
        <w:t>The results of the third test show that the effect is not significant, indicating that whether someone is strong or weak in their ability to manage their finances does not influence their investment intentions, because in investing a person needs a lot of information related to investment instruments. These results are not in line with research conducted by.</w:t>
      </w:r>
    </w:p>
    <w:p w:rsidR="001844F8" w:rsidRPr="001844F8" w:rsidRDefault="001844F8" w:rsidP="001844F8">
      <w:pPr>
        <w:pStyle w:val="Body"/>
        <w:rPr>
          <w:rFonts w:ascii="Arial" w:hAnsi="Arial" w:cs="Arial"/>
        </w:rPr>
      </w:pPr>
      <w:r w:rsidRPr="001844F8">
        <w:rPr>
          <w:rFonts w:ascii="Arial" w:hAnsi="Arial" w:cs="Arial"/>
        </w:rPr>
        <w:t xml:space="preserve">The results of the fourth test show that financial knowledge has a significant positive effect on investment intentions in the capital market. This condition reflects that the higher the level of financial knowledge, the greater the investment intention. This means that the more knowledge related to finance, the better the financial decisions made, so it is more likely that they will demonstrate responsible financial management behavior </w:t>
      </w:r>
      <w:r w:rsidRPr="001844F8">
        <w:rPr>
          <w:rFonts w:ascii="Arial" w:hAnsi="Arial" w:cs="Arial"/>
        </w:rPr>
        <w:fldChar w:fldCharType="begin" w:fldLock="1"/>
      </w:r>
      <w:r w:rsidRPr="001844F8">
        <w:rPr>
          <w:rFonts w:ascii="Arial" w:hAnsi="Arial" w:cs="Arial"/>
        </w:rPr>
        <w:instrText>ADDIN CSL_CITATION {"citationItems":[{"id":"ITEM-1","itemData":{"DOI":"10.15408/ess.v9i2.13576","ISSN":"2087-2038","abstract":"The purpose of this study is to know the impact of financial inclusion on public financial services education through financial technology. This research was conducted in Sleman Regency because the area was quite large in Yogyakarta, and was ranked third. This type of research is quantitative research. Data collection methods used are questionnaires and literature studies. Data analyses used in this study are the validity test, reliability test, descriptive statistical test, and SEM (Structural Equation Modeling) analysis test. The results of this study found that financial inclusion has been proven to have no impact on public financial services education. However, financial inclusion has proven to have a significant impact on financial technology in Sleman Regency in 2018. In addition, financial inclusion through financial technology has also proven to have a positive impact on public financial service education in Sleman Regency in 2018.","author":[{"dropping-particle":"","family":"Jaya","given":"I Made Laut Mertha","non-dropping-particle":"","parse-names":false,"suffix":""}],"container-title":"Esensi: Jurnal Bisnis dan Manajemen","id":"ITEM-1","issue":"2","issued":{"date-parts":[["2019"]]},"page":"155-174","title":"The Impact of Financial Inclusion on Public Financial Services Education through Financial Technology in Sleman Regency, Indonesia","type":"article-journal","volume":"9"},"uris":["http://www.mendeley.com/documents/?uuid=667cb54e-0a5f-4a8d-b605-ff5e9099f59a"]}],"mendeley":{"formattedCitation":"(Jaya, 2019)","plainTextFormattedCitation":"(Jaya, 2019)"},"properties":{"noteIndex":0},"schema":"https://github.com/citation-style-language/schema/raw/master/csl-citation.json"}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(Jaya, 2019)</w:t>
      </w:r>
      <w:r w:rsidRPr="001844F8">
        <w:rPr>
          <w:rFonts w:ascii="Arial" w:hAnsi="Arial" w:cs="Arial"/>
        </w:rPr>
        <w:fldChar w:fldCharType="end"/>
      </w:r>
      <w:r w:rsidRPr="001844F8">
        <w:rPr>
          <w:rFonts w:ascii="Arial" w:hAnsi="Arial" w:cs="Arial"/>
        </w:rPr>
        <w:t xml:space="preserve">. Someone with higher financial knowledge is able to make good decisions for their family, and thus is in a position to increase their economic security and well-being, </w:t>
      </w:r>
      <w:r w:rsidRPr="00FB0D9B">
        <w:rPr>
          <w:rFonts w:ascii="Arial" w:hAnsi="Arial" w:cs="Arial"/>
          <w:highlight w:val="yellow"/>
        </w:rPr>
        <w:t>someone who</w:t>
      </w:r>
      <w:r w:rsidRPr="001844F8">
        <w:rPr>
          <w:rFonts w:ascii="Arial" w:hAnsi="Arial" w:cs="Arial"/>
        </w:rPr>
        <w:t xml:space="preserve"> has high financial knowledge can also make informed choices that are very important for their financial goals. The research results are in line with </w:t>
      </w:r>
      <w:r w:rsidRPr="001844F8">
        <w:rPr>
          <w:rFonts w:ascii="Arial" w:hAnsi="Arial" w:cs="Arial"/>
        </w:rPr>
        <w:fldChar w:fldCharType="begin" w:fldLock="1"/>
      </w:r>
      <w:r w:rsidRPr="001844F8">
        <w:rPr>
          <w:rFonts w:ascii="Arial" w:hAnsi="Arial" w:cs="Arial"/>
        </w:rPr>
        <w:instrText>ADDIN CSL_CITATION {"citationItems":[{"id":"ITEM-1","itemData":{"DOI":"10.1108/IJBM-08-2017-0167","ISSN":"02652323","abstract":"Purpose: The purpose of this paper is to understand investment intention of prospective individual investors in a developing country (i.e. India) by using the “Theory of Planned Behaviour” (TPB) (where perceived behavioural control has been replaced with financial self-efficacy, FSE) and two additional constructs, i.e. financial knowledge and personality traits (i.e. risk-taking propensity and preference for innovation) have been introduced. Design/methodology/approach: The study uses quantitative and cross-sectional approach wherein questionnaire based survey was done to collect responses from prospective individual investors (920 usable responses). AMOS and SPSS have been used to establish the hypothesised relationship between the constructs. Findings: The results of the study suggested that attitude was responsible for partial mediation between the relationship of financial knowledge and investment intention, whereas financial self-efficacy was exerting a dual role on the relationship between personality traits and investment intention. Subjective norms, on the other hand, exerted a weak positive effect on investment intention. Research limitations/implications: This study is limited to measure the investment intention in financial markets in case of prospective individual investors; it does not incorporate the actual investment behaviour, the study also fails to include demographic factors which play a vital role in investment decision making. Furthermore, the study has only considered objective dimension of financial knowledge. Practical implications: The findings will be useful for financial service providers who need to enhance the FSE and financial knowledge and design a “behavioural portfolio” according the personality traits of their clients. Social implications: The up-liftment of financial confidence among individuals in order to motivate them to participate in financial markets and enjoy “short-cuts” towards financial success. Originality/value: This study is one of the initial attempts in the context of the Indian Stock Market to introduce FSE as a dual (both mediating and moderating) construct between personality traits and investment intention using TPB, moreover, this study also provides the necessary impetus to analyse the relationship between financial knowledge and investment intention with attitude as the mediating variable.","author":[{"dropping-particle":"","family":"Akhtar","given":"Fatima","non-dropping-particle":"","parse-names":false,"suffix":""},{"dropping-particle":"","family":"Das","given":"Niladri","non-dropping-particle":"","parse-names":false,"suffix":""}],"container-title":"International Journal of Bank Marketing","id":"ITEM-1","issue":"1","issued":{"date-parts":[["2019"]]},"page":"97-119","title":"Predictors of investment intention in Indian stock markets: Extending the theory of planned behaviour","type":"article-journal","volume":"37"},"uris":["http://www.mendeley.com/documents/?uuid=1a236fdb-18fd-4a12-b3cd-9143bd5ea03b"]}],"mendeley":{"formattedCitation":"(Akhtar &amp; Das, 2019)","plainTextFormattedCitation":"(Akhtar &amp; Das, 2019)","previouslyFormattedCitation":"(Akhtar &amp; Das, 2019)"},"properties":{"noteIndex":0},"schema":"https://github.com/citation-style-language/schema/raw/master/csl-citation.json"}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(Akhtar &amp; Das, 2019)</w:t>
      </w:r>
      <w:r w:rsidRPr="001844F8">
        <w:rPr>
          <w:rFonts w:ascii="Arial" w:hAnsi="Arial" w:cs="Arial"/>
        </w:rPr>
        <w:fldChar w:fldCharType="end"/>
      </w:r>
      <w:r w:rsidRPr="001844F8">
        <w:rPr>
          <w:rFonts w:ascii="Arial" w:hAnsi="Arial" w:cs="Arial"/>
        </w:rPr>
        <w:t>.</w:t>
      </w:r>
    </w:p>
    <w:p w:rsidR="001844F8" w:rsidRPr="001844F8" w:rsidRDefault="001844F8" w:rsidP="001844F8">
      <w:pPr>
        <w:pStyle w:val="Body"/>
        <w:rPr>
          <w:rFonts w:ascii="Arial" w:hAnsi="Arial" w:cs="Arial"/>
        </w:rPr>
      </w:pPr>
      <w:bookmarkStart w:id="392" w:name="_Toc86238469"/>
      <w:bookmarkStart w:id="393" w:name="_Toc86238657"/>
      <w:bookmarkStart w:id="394" w:name="_Toc86241845"/>
      <w:bookmarkStart w:id="395" w:name="_Toc86354715"/>
      <w:bookmarkStart w:id="396" w:name="_Toc86767482"/>
      <w:r w:rsidRPr="001844F8">
        <w:rPr>
          <w:rFonts w:ascii="Arial" w:hAnsi="Arial" w:cs="Arial"/>
        </w:rPr>
        <w:t xml:space="preserve">The results of the fifth test show that financial knowledge has a significant positive effect on financial </w:t>
      </w:r>
      <w:r w:rsidRPr="00FB0D9B">
        <w:rPr>
          <w:rFonts w:ascii="Arial" w:hAnsi="Arial" w:cs="Arial"/>
          <w:highlight w:val="yellow"/>
        </w:rPr>
        <w:t xml:space="preserve">attitude. This condition also reflects that the higher the level of financial knowledge, the more </w:t>
      </w:r>
      <w:r w:rsidR="00701105" w:rsidRPr="00FB0D9B">
        <w:rPr>
          <w:rFonts w:ascii="Arial" w:hAnsi="Arial" w:cs="Arial"/>
          <w:highlight w:val="yellow"/>
        </w:rPr>
        <w:t xml:space="preserve">the </w:t>
      </w:r>
      <w:r w:rsidRPr="00FB0D9B">
        <w:rPr>
          <w:rFonts w:ascii="Arial" w:hAnsi="Arial" w:cs="Arial"/>
          <w:highlight w:val="yellow"/>
        </w:rPr>
        <w:t xml:space="preserve">financial attitude will improve. Individuals with a high level of financial attitude are more likely to have a positive attitude towards planning in managing finances </w:t>
      </w:r>
      <w:r w:rsidRPr="00FB0D9B">
        <w:rPr>
          <w:rFonts w:ascii="Arial" w:hAnsi="Arial" w:cs="Arial"/>
          <w:highlight w:val="yellow"/>
        </w:rPr>
        <w:fldChar w:fldCharType="begin" w:fldLock="1"/>
      </w:r>
      <w:r w:rsidRPr="00FB0D9B">
        <w:rPr>
          <w:rFonts w:ascii="Arial" w:hAnsi="Arial" w:cs="Arial"/>
          <w:highlight w:val="yellow"/>
        </w:rPr>
        <w:instrText>ADDIN CSL_CITATION {"citationItems":[{"id":"ITEM-1","itemData":{"DOI":"10.1108/EDI-05-2016-0040","ISSN":"17587093","abstract":"Purpose - The purpose of this paper is to examine the mediating effect of financial self-efficacy (FSE) on the relationship between financial attitude, financial literacy and financial inclusion (FI) among individuals in Uganda. Design/methodology/approach - Using a quantitative approach and cross-sectional research design, a sample of 400 individuals from urban Central and rural Northern Uganda was drawn. Using SPSS and AMOS™21, structural equation models and bootstrapping methods were used to establish the hypothesized relationships and mediation effects between financial attitude, financial literacy and FI. Findings - The results suggested FSE as a mediator of the relationship between financial attitude, financial literacy and FI. Further, there was a significant and insignificant relationship between financial literacy, financial attitude and FI, respectively. Research limitations/implications - The study was assessed using both potential and actual consumers of financial services collectively. However if separately assessed, possibly there would be a variation in perceptions or behavioural responses towards FI. Practical implications - There is a need to develop and sustain high levels of financial confidence among individuals to enable them use formal financial services. Social implications - Possession of financial knowledge, skills, an evaluative judgement with high levels of financial confidence enable individuals make financial decisions that improve their integration into the formal financial system and improved welfare. Originality/value - The results contribute towards the limited empirical and theoretical evidence regarding the mediating role of FSE in explaining the financial behaviour.","author":[{"dropping-particle":"","family":"Mindra","given":"Rachel","non-dropping-particle":"","parse-names":false,"suffix":""},{"dropping-particle":"","family":"Moya","given":"Musa","non-dropping-particle":"","parse-names":false,"suffix":""}],"container-title":"Equality, Diversity and Inclusion","id":"ITEM-1","issue":"2","issued":{"date-parts":[["2017"]]},"page":"128-149","title":"Financial self-efficacy: A mediator in advancing financial inclusion","type":"article-journal","volume":"36"},"uris":["http://www.mendeley.com/documents/?uuid=037c008f-919d-46d1-9790-d74cebe01e2f"]}],"mendeley":{"formattedCitation":"(Mindra &amp; Moya, 2017)","plainTextFormattedCitation":"(Mindra &amp; Moya, 2017)","previouslyFormattedCitation":"(Mindra &amp; Moya, 2017)"},"properties":{"noteIndex":0},"schema":"https://github.com/citation-style-language/schema/raw/master/csl-citation.json"}</w:instrText>
      </w:r>
      <w:r w:rsidRPr="00FB0D9B">
        <w:rPr>
          <w:rFonts w:ascii="Arial" w:hAnsi="Arial" w:cs="Arial"/>
          <w:highlight w:val="yellow"/>
        </w:rPr>
        <w:fldChar w:fldCharType="separate"/>
      </w:r>
      <w:r w:rsidRPr="00FB0D9B">
        <w:rPr>
          <w:rFonts w:ascii="Arial" w:hAnsi="Arial" w:cs="Arial"/>
          <w:highlight w:val="yellow"/>
        </w:rPr>
        <w:t>(Mindra &amp; Moya, 2017)</w:t>
      </w:r>
      <w:r w:rsidRPr="00FB0D9B">
        <w:rPr>
          <w:rFonts w:ascii="Arial" w:hAnsi="Arial" w:cs="Arial"/>
          <w:highlight w:val="yellow"/>
        </w:rPr>
        <w:fldChar w:fldCharType="end"/>
      </w:r>
      <w:r w:rsidRPr="00FB0D9B">
        <w:rPr>
          <w:rFonts w:ascii="Arial" w:hAnsi="Arial" w:cs="Arial"/>
          <w:highlight w:val="yellow"/>
        </w:rPr>
        <w:t>. So, by having financial</w:t>
      </w:r>
      <w:r w:rsidRPr="001844F8">
        <w:rPr>
          <w:rFonts w:ascii="Arial" w:hAnsi="Arial" w:cs="Arial"/>
        </w:rPr>
        <w:t xml:space="preserve"> knowledge</w:t>
      </w:r>
      <w:r w:rsidR="00701105">
        <w:rPr>
          <w:rFonts w:ascii="Arial" w:hAnsi="Arial" w:cs="Arial"/>
        </w:rPr>
        <w:t>,</w:t>
      </w:r>
      <w:r w:rsidRPr="001844F8">
        <w:rPr>
          <w:rFonts w:ascii="Arial" w:hAnsi="Arial" w:cs="Arial"/>
        </w:rPr>
        <w:t xml:space="preserve"> an individual can have a good financial attitude. This results in individuals becoming more aware of the benefits and risks in the capital market</w:t>
      </w:r>
      <w:r w:rsidR="00701105">
        <w:rPr>
          <w:rFonts w:ascii="Arial" w:hAnsi="Arial" w:cs="Arial"/>
        </w:rPr>
        <w:t>,</w:t>
      </w:r>
      <w:r w:rsidRPr="001844F8">
        <w:rPr>
          <w:rFonts w:ascii="Arial" w:hAnsi="Arial" w:cs="Arial"/>
        </w:rPr>
        <w:t xml:space="preserve"> thereby reducing negative views, which means that the individual's financial attitude has improved. The research results are in line with </w:t>
      </w:r>
      <w:r w:rsidRPr="001844F8">
        <w:rPr>
          <w:rFonts w:ascii="Arial" w:hAnsi="Arial" w:cs="Arial"/>
        </w:rPr>
        <w:fldChar w:fldCharType="begin" w:fldLock="1"/>
      </w:r>
      <w:r w:rsidRPr="001844F8">
        <w:rPr>
          <w:rFonts w:ascii="Arial" w:hAnsi="Arial" w:cs="Arial"/>
        </w:rPr>
        <w:instrText>ADDIN CSL_CITATION {"citationItems":[{"id":"ITEM-1","itemData":{"abstract":"3 A B S T R A C T The ability to manage finances is able to have an affect the financial condition of individuals and business organizations in the future. The study aims to determine the impact of financial knowledge on financial behavior and the role of financial attitude on financial behavior and also its role as a mediator between the relationship of financial knowledge and financial behavior. This study was conducted by collecting and analyzing journals related to the research objectives. Based on the literature study conducted, financial knowledge has an effect on financial attitude and financial behavior. Financial attitude has a positive impact on financial behavior and positively moderates the relationship between financial knowledge and financial behavior. A B S T R A K Kemampuan dalam mengelola keuangan dapat berpengaruh terhadap kondisi finansial individu maupun organisasi bisnis di masa mendatang. Studi bertujuan untuk mengetahui dampak dari financial knowledge terhadap financial behavior dan peran financial attitude terhadap financial behavior dan juga perannya sebagai mediasi antara hubungan financial knowledge dan financial behavior. Studi ini dilakukan dengan mengumpulkan dan menganalisis jurnal yang berhubungan dengan tujuan penelitian. Berdasarkan studi literatur yang dilakukan, financial knowledge berpengaruh terhadap financial attitude dan financial behavior. Financial attitude memiliki dampak positif terhadap financial behavior dan secara positif memoderasi hubungan antara financial knowledge dan financial behavior.","author":[{"dropping-particle":"","family":"Sandi Kemal","given":"","non-dropping-particle":"","parse-names":false,"suffix":""},{"dropping-particle":"","family":"Saparila Worokinasih","given":"","non-dropping-particle":"","parse-names":false,"suffix":""},{"dropping-particle":"","family":"Ari Darmawan","given":"","non-dropping-particle":"","parse-names":false,"suffix":""}],"container-title":"Jurnal Administrasi Bisnis","id":"ITEM-1","issued":{"date-parts":[["2020"]]},"page":"140-150","title":"Pengaruh Financial Knowledge dan Financial Attitude Terhadap Financial Behavior Pada Youth Entrepreneur Kota Malang","type":"article-journal"},"uris":["http://www.mendeley.com/documents/?uuid=7c681483-3810-41fb-84bc-bd9dc5bb7919"]}],"mendeley":{"formattedCitation":"(Sandi Kemal et al., 2020)","plainTextFormattedCitation":"(Sandi Kemal et al., 2020)","previouslyFormattedCitation":"(Sandi Kemal et al., 2020)"},"properties":{"noteIndex":0},"schema":"https://github.com/citation-style-language/schema/raw/master/csl-citation.json"}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(Sandi Kemal et al., 2020)</w:t>
      </w:r>
      <w:r w:rsidRPr="001844F8">
        <w:rPr>
          <w:rFonts w:ascii="Arial" w:hAnsi="Arial" w:cs="Arial"/>
        </w:rPr>
        <w:fldChar w:fldCharType="end"/>
      </w:r>
      <w:r w:rsidRPr="001844F8">
        <w:rPr>
          <w:rFonts w:ascii="Arial" w:hAnsi="Arial" w:cs="Arial"/>
        </w:rPr>
        <w:t>.</w:t>
      </w:r>
      <w:bookmarkEnd w:id="392"/>
      <w:bookmarkEnd w:id="393"/>
      <w:bookmarkEnd w:id="394"/>
      <w:bookmarkEnd w:id="395"/>
      <w:bookmarkEnd w:id="396"/>
    </w:p>
    <w:p w:rsidR="001844F8" w:rsidRPr="001844F8" w:rsidRDefault="001844F8" w:rsidP="001844F8">
      <w:pPr>
        <w:pStyle w:val="Body"/>
        <w:rPr>
          <w:rFonts w:ascii="Arial" w:hAnsi="Arial" w:cs="Arial"/>
        </w:rPr>
      </w:pPr>
      <w:r w:rsidRPr="001844F8">
        <w:rPr>
          <w:rFonts w:ascii="Arial" w:hAnsi="Arial" w:cs="Arial"/>
        </w:rPr>
        <w:t xml:space="preserve">The results of the sixth test show that personality traits have a positive and insignificant effect on investment intentions in the capital market. This means that a person's personality is not enough to increase investment intentions in the capital market and an analysis process is needed first. So, according to research results, personality traits have no significant effect on investment intentions. The results of this research are in line with </w:t>
      </w:r>
      <w:r w:rsidRPr="001844F8">
        <w:rPr>
          <w:rFonts w:ascii="Arial" w:hAnsi="Arial" w:cs="Arial"/>
        </w:rPr>
        <w:fldChar w:fldCharType="begin" w:fldLock="1"/>
      </w:r>
      <w:r w:rsidRPr="001844F8">
        <w:rPr>
          <w:rFonts w:ascii="Arial" w:hAnsi="Arial" w:cs="Arial"/>
        </w:rPr>
        <w:instrText>ADDIN CSL_CITATION {"citationItems":[{"id":"ITEM-1","itemData":{"DOI":"10.1108/IJBM-08-2017-0167","ISSN":"02652323","abstract":"Purpose: The purpose of this paper is to understand investment intention of prospective individual investors in a developing country (i.e. India) by using the “Theory of Planned Behaviour” (TPB) (where perceived behavioural control has been replaced with financial self-efficacy, FSE) and two additional constructs, i.e. financial knowledge and personality traits (i.e. risk-taking propensity and preference for innovation) have been introduced. Design/methodology/approach: The study uses quantitative and cross-sectional approach wherein questionnaire based survey was done to collect responses from prospective individual investors (920 usable responses). AMOS and SPSS have been used to establish the hypothesised relationship between the constructs. Findings: The results of the study suggested that attitude was responsible for partial mediation between the relationship of financial knowledge and investment intention, whereas financial self-efficacy was exerting a dual role on the relationship between personality traits and investment intention. Subjective norms, on the other hand, exerted a weak positive effect on investment intention. Research limitations/implications: This study is limited to measure the investment intention in financial markets in case of prospective individual investors; it does not incorporate the actual investment behaviour, the study also fails to include demographic factors which play a vital role in investment decision making. Furthermore, the study has only considered objective dimension of financial knowledge. Practical implications: The findings will be useful for financial service providers who need to enhance the FSE and financial knowledge and design a “behavioural portfolio” according the personality traits of their clients. Social implications: The up-liftment of financial confidence among individuals in order to motivate them to participate in financial markets and enjoy “short-cuts” towards financial success. Originality/value: This study is one of the initial attempts in the context of the Indian Stock Market to introduce FSE as a dual (both mediating and moderating) construct between personality traits and investment intention using TPB, moreover, this study also provides the necessary impetus to analyse the relationship between financial knowledge and investment intention with attitude as the mediating variable.","author":[{"dropping-particle":"","family":"Akhtar","given":"Fatima","non-dropping-particle":"","parse-names":false,"suffix":""},{"dropping-particle":"","family":"Das","given":"Niladri","non-dropping-particle":"","parse-names":false,"suffix":""}],"container-title":"International Journal of Bank Marketing","id":"ITEM-1","issue":"1","issued":{"date-parts":[["2019"]]},"page":"97-119","title":"Predictors of investment intention in Indian stock markets: Extending the theory of planned behaviour","type":"article-journal","volume":"37"},"uris":["http://www.mendeley.com/documents/?uuid=1a236fdb-18fd-4a12-b3cd-9143bd5ea03b"]},{"id":"ITEM-2","itemData":{"abstract":"Purpose - The purpose of this study is to investigate behavioral factors influencing investment intentions. Design/methodology/approach – A descriptive quantitative study was conducted utilizing an online questionnaire with a total of 121 respondents. Findings - The results of the study indicated that Subjective Norm, Perceived Behavioral Control, and Perceived Consumer Effectiveness are positively related to Intention to Invest. Attitude and Perceived Risk did not reach statistical significance and no conclusions could therefore be drawn regarding the concepts. Research limitations/implications - The greatest limitation of the study is that it measures intention and not actual behavior which could be of more value, both from a theoretical and managerial perspective. The implication of the study is that it contributes to the Socially Responsible Investment literature from the intentional perspective and that it considers Generation Y, two aspects that have previously been neglected. The study further provides companies operating in SRI industry with a framework to use when acquiring customers within Generation Y. Originality/value - As recent Socially Responsible Investment research has focused almost exclusively on financial performance this study offers value in that it instead explains behavioral factors influencing the Intention to Invest. It further focuses on Generation Y which is the upcoming generation when it comes to investing that has to a large extent been neglected in the SRI literature.","author":[{"dropping-particle":"","family":"Jensen","given":"Christoffer","non-dropping-particle":"","parse-names":false,"suffix":""},{"dropping-particle":"","family":"Huynh","given":"Ronny","non-dropping-particle":"","parse-names":false,"suffix":""},{"dropping-particle":"","family":"Sandberg","given":"Pontus","non-dropping-particle":"","parse-names":false,"suffix":""}],"id":"ITEM-2","issued":{"date-parts":[["2016"]]},"number-of-pages":"52","title":"“Doing good while doing well” : An investigation of Generation Y’s intention to invest socially responsibly","type":"report"},"uris":["http://www.mendeley.com/documents/?uuid=70163e76-51da-4168-b336-51bc14636bd9"]}],"mendeley":{"formattedCitation":"(Akhtar &amp; Das, 2019; Jensen et al., 2016)","plainTextFormattedCitation":"(Akhtar &amp; Das, 2019; Jensen et al., 2016)","previouslyFormattedCitation":"(Akhtar &amp; Das, 2019; Jensen et al., 2016)"},"properties":{"noteIndex":0},"schema":"https://github.com/citation-style-language/schema/raw/master/csl-citation.json"}</w:instrText>
      </w:r>
      <w:r w:rsidRPr="001844F8">
        <w:rPr>
          <w:rFonts w:ascii="Arial" w:hAnsi="Arial" w:cs="Arial"/>
        </w:rPr>
        <w:fldChar w:fldCharType="separate"/>
      </w:r>
      <w:r w:rsidRPr="001844F8">
        <w:rPr>
          <w:rFonts w:ascii="Arial" w:hAnsi="Arial" w:cs="Arial"/>
          <w:lang w:val="de-DE"/>
        </w:rPr>
        <w:t>(Akhtar &amp; Das, 2019; Jensen et al., 2016)</w:t>
      </w:r>
      <w:r w:rsidRPr="001844F8">
        <w:rPr>
          <w:rFonts w:ascii="Arial" w:hAnsi="Arial" w:cs="Arial"/>
        </w:rPr>
        <w:fldChar w:fldCharType="end"/>
      </w:r>
      <w:r w:rsidRPr="001844F8">
        <w:rPr>
          <w:rFonts w:ascii="Arial" w:hAnsi="Arial" w:cs="Arial"/>
        </w:rPr>
        <w:t>.</w:t>
      </w:r>
    </w:p>
    <w:p w:rsidR="001844F8" w:rsidRPr="00FB0D9B" w:rsidRDefault="001844F8" w:rsidP="001844F8">
      <w:pPr>
        <w:pStyle w:val="Body"/>
        <w:rPr>
          <w:rFonts w:ascii="Arial" w:hAnsi="Arial" w:cs="Arial"/>
          <w:highlight w:val="yellow"/>
        </w:rPr>
      </w:pPr>
      <w:bookmarkStart w:id="397" w:name="_Toc86238470"/>
      <w:bookmarkStart w:id="398" w:name="_Toc86238658"/>
      <w:bookmarkStart w:id="399" w:name="_Toc86241846"/>
      <w:bookmarkStart w:id="400" w:name="_Toc86354716"/>
      <w:bookmarkStart w:id="401" w:name="_Toc86767483"/>
      <w:r w:rsidRPr="001844F8">
        <w:rPr>
          <w:rFonts w:ascii="Arial" w:hAnsi="Arial" w:cs="Arial"/>
        </w:rPr>
        <w:t xml:space="preserve">The results of the seventh test show that personality traits have a positive and significant effect on financial self-efficacy in the capital market. This condition indicates that the higher the personality traits, the more financial self-efficacy will increase. This is because people who like innovation and risk have trust or confidence in their ability to achieve their financial goals, so they have great opportunities in the capital market by managing minimal risks and innovation to move money into shares that have a better chance of getting maximum profits. This condition can certainly increase investment intentions. The research results are in line </w:t>
      </w:r>
      <w:r w:rsidRPr="001844F8">
        <w:rPr>
          <w:rFonts w:ascii="Arial" w:hAnsi="Arial" w:cs="Arial"/>
        </w:rPr>
        <w:lastRenderedPageBreak/>
        <w:t xml:space="preserve">with </w:t>
      </w:r>
      <w:r w:rsidRPr="001844F8">
        <w:rPr>
          <w:rFonts w:ascii="Arial" w:hAnsi="Arial" w:cs="Arial"/>
        </w:rPr>
        <w:fldChar w:fldCharType="begin" w:fldLock="1"/>
      </w:r>
      <w:r w:rsidRPr="001844F8">
        <w:rPr>
          <w:rFonts w:ascii="Arial" w:hAnsi="Arial" w:cs="Arial"/>
        </w:rPr>
        <w:instrText>ADDIN CSL_CITATION {"citationItems":[{"id":"ITEM-1","itemData":{"DOI":"10.1108/IJBM-08-2017-0167","ISSN":"02652323","abstract":"Purpose: The purpose of this paper is to understand investment intention of prospective individual investors in a developing country (i.e. India) by using the “Theory of Planned Behaviour” (TPB) (where perceived behavioural control has been replaced with financial self-efficacy, FSE) and two additional constructs, i.e. financial knowledge and personality traits (i.e. risk-taking propensity and preference for innovation) have been introduced. Design/methodology/approach: The study uses quantitative and cross-sectional approach wherein questionnaire based survey was done to collect responses from prospective individual investors (920 usable responses). AMOS and SPSS have been used to establish the hypothesised relationship between the constructs. Findings: The results of the study suggested that attitude was responsible for partial mediation between the relationship of financial knowledge and investment intention, whereas financial self-efficacy was exerting a dual role on the relationship between personality traits and investment intention. Subjective norms, on the other hand, exerted a weak positive effect on investment intention. Research limitations/implications: This study is limited to measure the investment intention in financial markets in case of prospective individual investors; it does not incorporate the actual investment behaviour, the study also fails to include demographic factors which play a vital role in investment decision making. Furthermore, the study has only considered objective dimension of financial knowledge. Practical implications: The findings will be useful for financial service providers who need to enhance the FSE and financial knowledge and design a “behavioural portfolio” according the personality traits of their clients. Social implications: The up-liftment of financial confidence among individuals in order to motivate them to participate in financial markets and enjoy “short-cuts” towards financial success. Originality/value: This study is one of the initial attempts in the context of the Indian Stock Market to introduce FSE as a dual (both mediating and moderating) construct between personality traits and investment intention using TPB, moreover, this study also provides the necessary impetus to analyse the relationship between financial knowledge and investment intention with attitude as the mediating variable.","author":[{"dropping-particle":"","family":"Akhtar","given":"Fatima","non-dropping-particle":"","parse-names":false,"suffix":""},{"dropping-particle":"","family":"Das","given":"Niladri","non-dropping-particle":"","parse-names":false,"suffix":""}],"container-title":"International Journal of Bank Marketing","id":"ITEM-1","issue":"1","issued":{"date-parts":[["2019"]]},"page":"97-119","title":"Predictors of investment intention in Indian stock markets: Extending the theory of planned behaviour","type":"article-journal","volume":"37"},"uris":["http://www.mendeley.com/documents/?uuid=1a236fdb-18fd-4a12-b3cd-9143bd5ea03b"]}],"mendeley":{"formattedCitation":"(Akhtar &amp; Das, 2019)","plainTextFormattedCitation":"(Akhtar &amp; Das, 2019)","previouslyFormattedCitation":"(Akhtar &amp; Das, 2019)"},"properties":{"noteIndex":0},"schema":"https://github.com/citation-style-language/schema/raw/master/csl-citation.json"}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(Akhtar &amp; Das, 2019)</w:t>
      </w:r>
      <w:r w:rsidRPr="001844F8">
        <w:rPr>
          <w:rFonts w:ascii="Arial" w:hAnsi="Arial" w:cs="Arial"/>
        </w:rPr>
        <w:fldChar w:fldCharType="end"/>
      </w:r>
      <w:r w:rsidRPr="001844F8">
        <w:rPr>
          <w:rFonts w:ascii="Arial" w:hAnsi="Arial" w:cs="Arial"/>
        </w:rPr>
        <w:t xml:space="preserve">  who stated that personality traits have a significant effect on financial self-efficacy in the capital </w:t>
      </w:r>
      <w:r w:rsidRPr="00FB0D9B">
        <w:rPr>
          <w:rFonts w:ascii="Arial" w:hAnsi="Arial" w:cs="Arial"/>
          <w:highlight w:val="yellow"/>
        </w:rPr>
        <w:t>market</w:t>
      </w:r>
      <w:bookmarkEnd w:id="397"/>
      <w:bookmarkEnd w:id="398"/>
      <w:bookmarkEnd w:id="399"/>
      <w:bookmarkEnd w:id="400"/>
      <w:bookmarkEnd w:id="401"/>
      <w:r w:rsidR="00701105" w:rsidRPr="00FB0D9B">
        <w:rPr>
          <w:rFonts w:ascii="Arial" w:hAnsi="Arial" w:cs="Arial"/>
          <w:highlight w:val="yellow"/>
        </w:rPr>
        <w:t>.</w:t>
      </w:r>
    </w:p>
    <w:p w:rsidR="001844F8" w:rsidRPr="001844F8" w:rsidRDefault="001844F8" w:rsidP="001844F8">
      <w:pPr>
        <w:pStyle w:val="Body"/>
        <w:rPr>
          <w:rFonts w:ascii="Arial" w:hAnsi="Arial" w:cs="Arial"/>
        </w:rPr>
      </w:pPr>
      <w:r w:rsidRPr="001844F8">
        <w:rPr>
          <w:rFonts w:ascii="Arial" w:hAnsi="Arial" w:cs="Arial"/>
        </w:rPr>
        <w:t xml:space="preserve">The results of the eighth test show that the financial attitude variable can mediate the relationship between financial knowledge and investment intentions. Financial knowledge possessed by a person can </w:t>
      </w:r>
      <w:r w:rsidRPr="00FB0D9B">
        <w:rPr>
          <w:rFonts w:ascii="Arial" w:hAnsi="Arial" w:cs="Arial"/>
          <w:highlight w:val="yellow"/>
        </w:rPr>
        <w:t xml:space="preserve">be a tool in making decisions related to finance, so that it becomes quite important for </w:t>
      </w:r>
      <w:r w:rsidR="00701105" w:rsidRPr="00FB0D9B">
        <w:rPr>
          <w:rFonts w:ascii="Arial" w:hAnsi="Arial" w:cs="Arial"/>
          <w:highlight w:val="yellow"/>
        </w:rPr>
        <w:t>their</w:t>
      </w:r>
      <w:r w:rsidR="00701105" w:rsidRPr="00FB0D9B">
        <w:rPr>
          <w:rFonts w:ascii="Arial" w:hAnsi="Arial" w:cs="Arial"/>
          <w:highlight w:val="yellow"/>
        </w:rPr>
        <w:t xml:space="preserve"> </w:t>
      </w:r>
      <w:r w:rsidRPr="00FB0D9B">
        <w:rPr>
          <w:rFonts w:ascii="Arial" w:hAnsi="Arial" w:cs="Arial"/>
          <w:highlight w:val="yellow"/>
        </w:rPr>
        <w:t xml:space="preserve">life </w:t>
      </w:r>
      <w:r w:rsidRPr="00FB0D9B">
        <w:rPr>
          <w:rFonts w:ascii="Arial" w:hAnsi="Arial" w:cs="Arial"/>
          <w:highlight w:val="yellow"/>
        </w:rPr>
        <w:fldChar w:fldCharType="begin" w:fldLock="1"/>
      </w:r>
      <w:r w:rsidRPr="00FB0D9B">
        <w:rPr>
          <w:rFonts w:ascii="Arial" w:hAnsi="Arial" w:cs="Arial"/>
          <w:highlight w:val="yellow"/>
        </w:rPr>
        <w:instrText>ADDIN CSL_CITATION {"citationItems":[{"id":"ITEM-1","itemData":{"DOI":"10.1017/S1474747211000448","ISSN":"14753022","abstract":"In an increasingly risky and globalized marketplace, people must be able to make well-informed financial decisions. New international research demonstrates that financial illiteracy is widespread in both well-developed and rapidly changing markets. Women are less financially literate than men, the young and the old are less financially literate than the middle-aged, and more educated people are more financially knowledgeable. Most importantly, the financially literate are more likely to plan for retirement. Instrumental variables estimates show that the effects of financial literacy on retirement planning tend to be underestimated. In sum, around the world, financial literacy is critical to retirement security. © 2011, Cambridge University Press. All rights reserved.","author":[{"dropping-particle":"","family":"Klapper","given":"Leora","non-dropping-particle":"","parse-names":false,"suffix":""},{"dropping-particle":"","family":"Lusardi","given":"Annamaria","non-dropping-particle":"","parse-names":false,"suffix":""},{"dropping-particle":"van","family":"Oudheusden","given":"Peter","non-dropping-particle":"","parse-names":false,"suffix":""}],"container-title":"Journal of Pension Economics and Finance","id":"ITEM-1","issue":"4","issued":{"date-parts":[["2011"]]},"page":"497-508","title":"Financial literacy around the world: An overview","type":"article-journal","volume":"10"},"uris":["http://www.mendeley.com/documents/?uuid=1d3f3c47-aa72-48d8-849c-95367017e19e"]}],"mendeley":{"formattedCitation":"(Klapper et al., 2011)","plainTextFormattedCitation":"(Klapper et al., 2011)","previouslyFormattedCitation":"(Klapper et al., 2011)"},"properties":{"noteIndex":0},"schema":"https://github.com/citation-style-language/schema/raw/master/csl-citation.json"}</w:instrText>
      </w:r>
      <w:r w:rsidRPr="00FB0D9B">
        <w:rPr>
          <w:rFonts w:ascii="Arial" w:hAnsi="Arial" w:cs="Arial"/>
          <w:highlight w:val="yellow"/>
        </w:rPr>
        <w:fldChar w:fldCharType="separate"/>
      </w:r>
      <w:r w:rsidRPr="00FB0D9B">
        <w:rPr>
          <w:rFonts w:ascii="Arial" w:hAnsi="Arial" w:cs="Arial"/>
          <w:highlight w:val="yellow"/>
        </w:rPr>
        <w:t>(</w:t>
      </w:r>
      <w:proofErr w:type="spellStart"/>
      <w:r w:rsidRPr="00FB0D9B">
        <w:rPr>
          <w:rFonts w:ascii="Arial" w:hAnsi="Arial" w:cs="Arial"/>
          <w:highlight w:val="yellow"/>
        </w:rPr>
        <w:t>Klapper</w:t>
      </w:r>
      <w:proofErr w:type="spellEnd"/>
      <w:r w:rsidRPr="00FB0D9B">
        <w:rPr>
          <w:rFonts w:ascii="Arial" w:hAnsi="Arial" w:cs="Arial"/>
          <w:highlight w:val="yellow"/>
        </w:rPr>
        <w:t xml:space="preserve"> et al., 2011)</w:t>
      </w:r>
      <w:r w:rsidRPr="00FB0D9B">
        <w:rPr>
          <w:rFonts w:ascii="Arial" w:hAnsi="Arial" w:cs="Arial"/>
          <w:highlight w:val="yellow"/>
        </w:rPr>
        <w:fldChar w:fldCharType="end"/>
      </w:r>
      <w:r w:rsidRPr="00FB0D9B">
        <w:rPr>
          <w:rFonts w:ascii="Arial" w:hAnsi="Arial" w:cs="Arial"/>
          <w:highlight w:val="yellow"/>
        </w:rPr>
        <w:t xml:space="preserve">. These people are also more likely to diversify risks by spreading </w:t>
      </w:r>
      <w:r w:rsidRPr="001844F8">
        <w:rPr>
          <w:rFonts w:ascii="Arial" w:hAnsi="Arial" w:cs="Arial"/>
        </w:rPr>
        <w:t xml:space="preserve">their funds across different financial assets </w:t>
      </w:r>
      <w:r w:rsidRPr="001844F8">
        <w:rPr>
          <w:rFonts w:ascii="Arial" w:hAnsi="Arial" w:cs="Arial"/>
        </w:rPr>
        <w:fldChar w:fldCharType="begin" w:fldLock="1"/>
      </w:r>
      <w:r w:rsidRPr="001844F8">
        <w:rPr>
          <w:rFonts w:ascii="Arial" w:hAnsi="Arial" w:cs="Arial"/>
        </w:rPr>
        <w:instrText>ADDIN CSL_CITATION {"citationItems":[{"id":"ITEM-1","itemData":{"DOI":"10.1080/14697680902878105","ISSN":"14697688","abstract":"We use a survey of individual investors disclosed by the Portuguese Securities Commission (CMVM) in May 2005 to study the impact of investors' levels of financial literacy on portfolio diversification. We consider distinct aspects of financial literacy, and control for socioeconomic and behavioral differences among individual groups of investors. Our results suggest that investors' educational levels and their financial knowledge have a positive impact on investor diversification. The information sources used by retail investors to gather information on markets and financial products also have a significant impact on the number of different assets included in a portfolio. © 2010 Taylor &amp; Francis.","author":[{"dropping-particle":"","family":"Abreu","given":"Margarida","non-dropping-particle":"","parse-names":false,"suffix":""},{"dropping-particle":"","family":"Mendes","given":"Victor","non-dropping-particle":"","parse-names":false,"suffix":""}],"container-title":"Quantitative Finance","id":"ITEM-1","issue":"5","issued":{"date-parts":[["2010"]]},"page":"515-528","title":"Financial literacy and portfolio diversification","type":"article-journal","volume":"10"},"uris":["http://www.mendeley.com/documents/?uuid=b65cda99-f387-4ba7-8793-dfedd1ffec38"]}],"mendeley":{"formattedCitation":"(Abreu &amp; Mendes, 2010)","plainTextFormattedCitation":"(Abreu &amp; Mendes, 2010)","previouslyFormattedCitation":"(Abreu &amp; Mendes, 2010)"},"properties":{"noteIndex":0},"schema":"https://github.com/citation-style-language/schema/raw/master/csl-citation.json"}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(Abreu &amp; Mendes, 2010)</w:t>
      </w:r>
      <w:r w:rsidRPr="001844F8">
        <w:rPr>
          <w:rFonts w:ascii="Arial" w:hAnsi="Arial" w:cs="Arial"/>
        </w:rPr>
        <w:fldChar w:fldCharType="end"/>
      </w:r>
      <w:r w:rsidRPr="001844F8">
        <w:rPr>
          <w:rFonts w:ascii="Arial" w:hAnsi="Arial" w:cs="Arial"/>
        </w:rPr>
        <w:t xml:space="preserve">. The more knowledge related to finance, the better the financial decisions made, so it is likely that a person's financial attitude will become more responsible. Individuals with a high level of financial attitude are more likely to have a positive attitude towards planning in managing finances </w:t>
      </w:r>
      <w:r w:rsidRPr="001844F8">
        <w:rPr>
          <w:rFonts w:ascii="Arial" w:hAnsi="Arial" w:cs="Arial"/>
        </w:rPr>
        <w:fldChar w:fldCharType="begin" w:fldLock="1"/>
      </w:r>
      <w:r w:rsidRPr="001844F8">
        <w:rPr>
          <w:rFonts w:ascii="Arial" w:hAnsi="Arial" w:cs="Arial"/>
        </w:rPr>
        <w:instrText>ADDIN CSL_CITATION {"citationItems":[{"id":"ITEM-1","itemData":{"DOI":"10.1108/EDI-05-2016-0040","ISSN":"17587093","abstract":"Purpose - The purpose of this paper is to examine the mediating effect of financial self-efficacy (FSE) on the relationship between financial attitude, financial literacy and financial inclusion (FI) among individuals in Uganda. Design/methodology/approach - Using a quantitative approach and cross-sectional research design, a sample of 400 individuals from urban Central and rural Northern Uganda was drawn. Using SPSS and AMOS™21, structural equation models and bootstrapping methods were used to establish the hypothesized relationships and mediation effects between financial attitude, financial literacy and FI. Findings - The results suggested FSE as a mediator of the relationship between financial attitude, financial literacy and FI. Further, there was a significant and insignificant relationship between financial literacy, financial attitude and FI, respectively. Research limitations/implications - The study was assessed using both potential and actual consumers of financial services collectively. However if separately assessed, possibly there would be a variation in perceptions or behavioural responses towards FI. Practical implications - There is a need to develop and sustain high levels of financial confidence among individuals to enable them use formal financial services. Social implications - Possession of financial knowledge, skills, an evaluative judgement with high levels of financial confidence enable individuals make financial decisions that improve their integration into the formal financial system and improved welfare. Originality/value - The results contribute towards the limited empirical and theoretical evidence regarding the mediating role of FSE in explaining the financial behaviour.","author":[{"dropping-particle":"","family":"Mindra","given":"Rachel","non-dropping-particle":"","parse-names":false,"suffix":""},{"dropping-particle":"","family":"Moya","given":"Musa","non-dropping-particle":"","parse-names":false,"suffix":""}],"container-title":"Equality, Diversity and Inclusion","id":"ITEM-1","issue":"2","issued":{"date-parts":[["2017"]]},"page":"128-149","title":"Financial self-efficacy: A mediator in advancing financial inclusion","type":"article-journal","volume":"36"},"uris":["http://www.mendeley.com/documents/?uuid=037c008f-919d-46d1-9790-d74cebe01e2f"]}],"mendeley":{"formattedCitation":"(Mindra &amp; Moya, 2017)","plainTextFormattedCitation":"(Mindra &amp; Moya, 2017)","previouslyFormattedCitation":"(Mindra &amp; Moya, 2017)"},"properties":{"noteIndex":0},"schema":"https://github.com/citation-style-language/schema/raw/master/csl-citation.json"}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(Mindra &amp; Moya, 2017)</w:t>
      </w:r>
      <w:r w:rsidRPr="001844F8">
        <w:rPr>
          <w:rFonts w:ascii="Arial" w:hAnsi="Arial" w:cs="Arial"/>
        </w:rPr>
        <w:fldChar w:fldCharType="end"/>
      </w:r>
      <w:r w:rsidRPr="001844F8">
        <w:rPr>
          <w:rFonts w:ascii="Arial" w:hAnsi="Arial" w:cs="Arial"/>
        </w:rPr>
        <w:t xml:space="preserve">. A person with high financial knowledge also has a tendency to organize, manage and know the risks that will be faced in investing by having a good financial attitude, namely a positive state of mind, opinions and judgments about finances. So, having a better plan for managing finances will increase investment intentions in the capital market. The research results are in line with </w:t>
      </w:r>
      <w:r w:rsidRPr="001844F8">
        <w:rPr>
          <w:rFonts w:ascii="Arial" w:hAnsi="Arial" w:cs="Arial"/>
        </w:rPr>
        <w:fldChar w:fldCharType="begin" w:fldLock="1"/>
      </w:r>
      <w:r w:rsidRPr="001844F8">
        <w:rPr>
          <w:rFonts w:ascii="Arial" w:hAnsi="Arial" w:cs="Arial"/>
        </w:rPr>
        <w:instrText>ADDIN CSL_CITATION {"citationItems":[{"id":"ITEM-1","itemData":{"DOI":"10.1108/IJBM-08-2017-0167","ISSN":"02652323","abstract":"Purpose: The purpose of this paper is to understand investment intention of prospective individual investors in a developing country (i.e. India) by using the “Theory of Planned Behaviour” (TPB) (where perceived behavioural control has been replaced with financial self-efficacy, FSE) and two additional constructs, i.e. financial knowledge and personality traits (i.e. risk-taking propensity and preference for innovation) have been introduced. Design/methodology/approach: The study uses quantitative and cross-sectional approach wherein questionnaire based survey was done to collect responses from prospective individual investors (920 usable responses). AMOS and SPSS have been used to establish the hypothesised relationship between the constructs. Findings: The results of the study suggested that attitude was responsible for partial mediation between the relationship of financial knowledge and investment intention, whereas financial self-efficacy was exerting a dual role on the relationship between personality traits and investment intention. Subjective norms, on the other hand, exerted a weak positive effect on investment intention. Research limitations/implications: This study is limited to measure the investment intention in financial markets in case of prospective individual investors; it does not incorporate the actual investment behaviour, the study also fails to include demographic factors which play a vital role in investment decision making. Furthermore, the study has only considered objective dimension of financial knowledge. Practical implications: The findings will be useful for financial service providers who need to enhance the FSE and financial knowledge and design a “behavioural portfolio” according the personality traits of their clients. Social implications: The up-liftment of financial confidence among individuals in order to motivate them to participate in financial markets and enjoy “short-cuts” towards financial success. Originality/value: This study is one of the initial attempts in the context of the Indian Stock Market to introduce FSE as a dual (both mediating and moderating) construct between personality traits and investment intention using TPB, moreover, this study also provides the necessary impetus to analyse the relationship between financial knowledge and investment intention with attitude as the mediating variable.","author":[{"dropping-particle":"","family":"Akhtar","given":"Fatima","non-dropping-particle":"","parse-names":false,"suffix":""},{"dropping-particle":"","family":"Das","given":"Niladri","non-dropping-particle":"","parse-names":false,"suffix":""}],"container-title":"International Journal of Bank Marketing","id":"ITEM-1","issue":"1","issued":{"date-parts":[["2019"]]},"page":"97-119","title":"Predictors of investment intention in Indian stock markets: Extending the theory of planned behaviour","type":"article-journal","volume":"37"},"uris":["http://www.mendeley.com/documents/?uuid=1a236fdb-18fd-4a12-b3cd-9143bd5ea03b"]}],"mendeley":{"formattedCitation":"(Akhtar &amp; Das, 2019)","plainTextFormattedCitation":"(Akhtar &amp; Das, 2019)","previouslyFormattedCitation":"(Akhtar &amp; Das, 2019)"},"properties":{"noteIndex":0},"schema":"https://github.com/citation-style-language/schema/raw/master/csl-citation.json"}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(Akhtar &amp; Das, 2019)</w:t>
      </w:r>
      <w:r w:rsidRPr="001844F8">
        <w:rPr>
          <w:rFonts w:ascii="Arial" w:hAnsi="Arial" w:cs="Arial"/>
        </w:rPr>
        <w:fldChar w:fldCharType="end"/>
      </w:r>
      <w:r w:rsidRPr="001844F8">
        <w:rPr>
          <w:rFonts w:ascii="Arial" w:hAnsi="Arial" w:cs="Arial"/>
        </w:rPr>
        <w:t xml:space="preserve">. The results of the ninth test show that financial self-efficacy cannot mediate the relationship between personality traits and investment intentions. This means that a person's personality is different, so it cannot encourage individuals to take opportunities in decision-making situations in the capital market </w:t>
      </w:r>
      <w:r w:rsidRPr="001844F8">
        <w:rPr>
          <w:rFonts w:ascii="Arial" w:hAnsi="Arial" w:cs="Arial"/>
        </w:rPr>
        <w:fldChar w:fldCharType="begin" w:fldLock="1"/>
      </w:r>
      <w:r w:rsidRPr="001844F8">
        <w:rPr>
          <w:rFonts w:ascii="Arial" w:hAnsi="Arial" w:cs="Arial"/>
        </w:rPr>
        <w:instrText>ADDIN CSL_CITATION {"citationItems":[{"id":"ITEM-1","itemData":{"DOI":"10.1108/IJBM-08-2017-0167","ISSN":"02652323","abstract":"Purpose: The purpose of this paper is to understand investment intention of prospective individual investors in a developing country (i.e. India) by using the “Theory of Planned Behaviour” (TPB) (where perceived behavioural control has been replaced with financial self-efficacy, FSE) and two additional constructs, i.e. financial knowledge and personality traits (i.e. risk-taking propensity and preference for innovation) have been introduced. Design/methodology/approach: The study uses quantitative and cross-sectional approach wherein questionnaire based survey was done to collect responses from prospective individual investors (920 usable responses). AMOS and SPSS have been used to establish the hypothesised relationship between the constructs. Findings: The results of the study suggested that attitude was responsible for partial mediation between the relationship of financial knowledge and investment intention, whereas financial self-efficacy was exerting a dual role on the relationship between personality traits and investment intention. Subjective norms, on the other hand, exerted a weak positive effect on investment intention. Research limitations/implications: This study is limited to measure the investment intention in financial markets in case of prospective individual investors; it does not incorporate the actual investment behaviour, the study also fails to include demographic factors which play a vital role in investment decision making. Furthermore, the study has only considered objective dimension of financial knowledge. Practical implications: The findings will be useful for financial service providers who need to enhance the FSE and financial knowledge and design a “behavioural portfolio” according the personality traits of their clients. Social implications: The up-liftment of financial confidence among individuals in order to motivate them to participate in financial markets and enjoy “short-cuts” towards financial success. Originality/value: This study is one of the initial attempts in the context of the Indian Stock Market to introduce FSE as a dual (both mediating and moderating) construct between personality traits and investment intention using TPB, moreover, this study also provides the necessary impetus to analyse the relationship between financial knowledge and investment intention with attitude as the mediating variable.","author":[{"dropping-particle":"","family":"Akhtar","given":"Fatima","non-dropping-particle":"","parse-names":false,"suffix":""},{"dropping-particle":"","family":"Das","given":"Niladri","non-dropping-particle":"","parse-names":false,"suffix":""}],"container-title":"International Journal of Bank Marketing","id":"ITEM-1","issue":"1","issued":{"date-parts":[["2019"]]},"page":"97-119","title":"Predictors of investment intention in Indian stock markets: Extending the theory of planned behaviour","type":"article-journal","volume":"37"},"uris":["http://www.mendeley.com/documents/?uuid=1a236fdb-18fd-4a12-b3cd-9143bd5ea03b"]}],"mendeley":{"formattedCitation":"(Akhtar &amp; Das, 2019)","plainTextFormattedCitation":"(Akhtar &amp; Das, 2019)","previouslyFormattedCitation":"(Akhtar &amp; Das, 2019)"},"properties":{"noteIndex":0},"schema":"https://github.com/citation-style-language/schema/raw/master/csl-citation.json"}</w:instrText>
      </w:r>
      <w:r w:rsidRPr="001844F8">
        <w:rPr>
          <w:rFonts w:ascii="Arial" w:hAnsi="Arial" w:cs="Arial"/>
        </w:rPr>
        <w:fldChar w:fldCharType="separate"/>
      </w:r>
      <w:r w:rsidRPr="001844F8">
        <w:rPr>
          <w:rFonts w:ascii="Arial" w:hAnsi="Arial" w:cs="Arial"/>
        </w:rPr>
        <w:t>(Akhtar &amp; Das, 2019)</w:t>
      </w:r>
      <w:r w:rsidRPr="001844F8">
        <w:rPr>
          <w:rFonts w:ascii="Arial" w:hAnsi="Arial" w:cs="Arial"/>
        </w:rPr>
        <w:fldChar w:fldCharType="end"/>
      </w:r>
      <w:r w:rsidRPr="001844F8">
        <w:rPr>
          <w:rFonts w:ascii="Arial" w:hAnsi="Arial" w:cs="Arial"/>
        </w:rPr>
        <w:t xml:space="preserve">. </w:t>
      </w:r>
    </w:p>
    <w:p w:rsidR="001844F8" w:rsidRPr="001844F8" w:rsidRDefault="001844F8" w:rsidP="001844F8">
      <w:pPr>
        <w:pStyle w:val="Body"/>
        <w:rPr>
          <w:rFonts w:ascii="Arial" w:hAnsi="Arial" w:cs="Arial"/>
          <w:lang w:val="en-AU"/>
        </w:rPr>
      </w:pPr>
    </w:p>
    <w:p w:rsidR="001844F8" w:rsidRPr="001844F8" w:rsidRDefault="001844F8" w:rsidP="001844F8">
      <w:pPr>
        <w:pStyle w:val="Body"/>
        <w:spacing w:after="0"/>
        <w:rPr>
          <w:rFonts w:ascii="Arial" w:hAnsi="Arial" w:cs="Arial"/>
          <w:b/>
        </w:rPr>
      </w:pPr>
      <w:r>
        <w:rPr>
          <w:rFonts w:ascii="Arial" w:hAnsi="Arial" w:cs="Arial"/>
          <w:b/>
        </w:rPr>
        <w:t>5.</w:t>
      </w:r>
      <w:r w:rsidRPr="001844F8">
        <w:rPr>
          <w:rFonts w:ascii="Arial" w:hAnsi="Arial" w:cs="Arial"/>
          <w:b/>
        </w:rPr>
        <w:t>CONCLUSION</w:t>
      </w:r>
    </w:p>
    <w:p w:rsidR="001844F8" w:rsidRPr="001844F8" w:rsidRDefault="001844F8" w:rsidP="001844F8">
      <w:pPr>
        <w:pStyle w:val="Body"/>
        <w:rPr>
          <w:rFonts w:ascii="Arial" w:hAnsi="Arial" w:cs="Arial"/>
        </w:rPr>
      </w:pPr>
      <w:r w:rsidRPr="001844F8">
        <w:rPr>
          <w:rFonts w:ascii="Arial" w:hAnsi="Arial" w:cs="Arial"/>
        </w:rPr>
        <w:t>Based on the analysis and discussion that has been carried out, the conclusion of this research is that financial attitude has a positive and significant effect on investment intentions. Subjective norms have a positive and insignificant effect on investment intentions in the capital market. Financial self-efficacy has a positive and insignificant effect on investment intentions in the capital market. Financial knowledge has a positive and significant effect on investment intentions in the capital market. Financial knowledge has a positive and significant effect on financial attitude in the capital market. Personality traits have a positive and insignificant effect on investment intentions in the capital market. Personality traits have a positive and significant effect on financial self-efficacy. There is a significant relationship between financial knowledge and investment intentions, mediated by financial attitude. The relationship between personality traits and investment intentions, mediated by financial self-efficacy, is not significant.</w:t>
      </w:r>
    </w:p>
    <w:p w:rsidR="001844F8" w:rsidRPr="001844F8" w:rsidRDefault="001844F8" w:rsidP="001844F8">
      <w:pPr>
        <w:pStyle w:val="Body"/>
        <w:rPr>
          <w:rFonts w:ascii="Arial" w:hAnsi="Arial" w:cs="Arial"/>
          <w:lang w:val="fi-FI"/>
        </w:rPr>
      </w:pPr>
      <w:r w:rsidRPr="001844F8">
        <w:rPr>
          <w:rFonts w:ascii="Arial" w:hAnsi="Arial" w:cs="Arial"/>
          <w:bCs/>
          <w:lang w:val="fi-FI"/>
        </w:rPr>
        <w:t>This research is far from perfect, and has limitations, including h</w:t>
      </w:r>
      <w:r w:rsidRPr="001844F8">
        <w:rPr>
          <w:rFonts w:ascii="Arial" w:hAnsi="Arial" w:cs="Arial"/>
        </w:rPr>
        <w:t>The results of this research cannot be directly generalized to the investor population outside Surabaya, considering that the research focus is only on respondents in the Surabaya area. There is dependency on subjective responses, including dependency on respondents' subjective responses, which can be influenced by factors such as honesty and self-perception. The capital market context is frequently changing, where rapid changes are also influenced by economic conditions and the capital market. Thus, it can affect the validity and relevance of research results over time. Therefore, it is recommended for future researchers to conduct further research and apply these findings to support an in-depth understanding of investment behavior. As well as adding other variables such as demographic factors to get more representative results. Meanwhile, suggestions to the government and capital market regulators are to consider developing policies that support potential new investors through financial education to provide support to motivate greater participation in the capital market.</w:t>
      </w:r>
    </w:p>
    <w:p w:rsidR="004F246E" w:rsidRPr="00CA3906" w:rsidRDefault="004F246E" w:rsidP="004F246E">
      <w:pPr>
        <w:rPr>
          <w:b/>
          <w:highlight w:val="yellow"/>
        </w:rPr>
      </w:pPr>
      <w:r w:rsidRPr="00CA3906">
        <w:rPr>
          <w:b/>
          <w:highlight w:val="yellow"/>
        </w:rPr>
        <w:t>Disclaimer (Artificial intelligence)</w:t>
      </w:r>
    </w:p>
    <w:p w:rsidR="004F246E" w:rsidRPr="00740879" w:rsidRDefault="004F246E" w:rsidP="004F246E">
      <w:pPr>
        <w:rPr>
          <w:highlight w:val="yellow"/>
        </w:rPr>
      </w:pPr>
      <w:r w:rsidRPr="00740879">
        <w:rPr>
          <w:highlight w:val="yellow"/>
        </w:rPr>
        <w:lastRenderedPageBreak/>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1844F8" w:rsidRPr="001844F8" w:rsidRDefault="001844F8" w:rsidP="001844F8">
      <w:pPr>
        <w:pStyle w:val="Body"/>
        <w:rPr>
          <w:rFonts w:ascii="Arial" w:hAnsi="Arial" w:cs="Arial"/>
          <w:bCs/>
          <w:lang w:val="fi-FI"/>
        </w:rPr>
      </w:pPr>
    </w:p>
    <w:p w:rsidR="001844F8" w:rsidRPr="001844F8" w:rsidRDefault="001844F8" w:rsidP="001844F8">
      <w:pPr>
        <w:pStyle w:val="Body"/>
        <w:spacing w:after="0"/>
        <w:rPr>
          <w:rFonts w:ascii="Arial" w:hAnsi="Arial" w:cs="Arial"/>
          <w:b/>
        </w:rPr>
      </w:pPr>
      <w:r>
        <w:rPr>
          <w:rFonts w:ascii="Arial" w:hAnsi="Arial" w:cs="Arial"/>
          <w:b/>
        </w:rPr>
        <w:t>6.</w:t>
      </w:r>
      <w:r w:rsidRPr="001844F8">
        <w:rPr>
          <w:rFonts w:ascii="Arial" w:hAnsi="Arial" w:cs="Arial"/>
          <w:b/>
        </w:rPr>
        <w:t>REFERENCES</w:t>
      </w:r>
    </w:p>
    <w:sdt>
      <w:sdtPr>
        <w:rPr>
          <w:rFonts w:ascii="Arial" w:hAnsi="Arial" w:cs="Arial"/>
        </w:rPr>
        <w:id w:val="-991794098"/>
        <w:bibliography/>
      </w:sdtPr>
      <w:sdtEndPr>
        <w:rPr>
          <w:highlight w:val="yellow"/>
        </w:rPr>
      </w:sdtEndPr>
      <w:sdtContent>
        <w:p w:rsidR="001844F8" w:rsidRPr="001844F8" w:rsidRDefault="001844F8" w:rsidP="001844F8">
          <w:pPr>
            <w:pStyle w:val="Body"/>
            <w:rPr>
              <w:rFonts w:ascii="Arial" w:hAnsi="Arial" w:cs="Arial"/>
            </w:rPr>
          </w:pPr>
          <w:r w:rsidRPr="001844F8">
            <w:rPr>
              <w:rFonts w:ascii="Arial" w:hAnsi="Arial" w:cs="Arial"/>
            </w:rPr>
            <w:fldChar w:fldCharType="begin" w:fldLock="1"/>
          </w:r>
          <w:r w:rsidRPr="001844F8">
            <w:rPr>
              <w:rFonts w:ascii="Arial" w:hAnsi="Arial" w:cs="Arial"/>
            </w:rPr>
            <w:instrText xml:space="preserve">ADDIN Mendeley Bibliography CSL_BIBLIOGRAPHY </w:instrText>
          </w:r>
          <w:r w:rsidRPr="001844F8">
            <w:rPr>
              <w:rFonts w:ascii="Arial" w:hAnsi="Arial" w:cs="Arial"/>
            </w:rPr>
            <w:fldChar w:fldCharType="separate"/>
          </w:r>
          <w:r w:rsidRPr="001844F8">
            <w:rPr>
              <w:rFonts w:ascii="Arial" w:hAnsi="Arial" w:cs="Arial"/>
            </w:rPr>
            <w:t xml:space="preserve">Abreu, M., &amp; Mendes, V. (2010). Financial literacy and portfolio diversification. </w:t>
          </w:r>
          <w:r w:rsidRPr="001844F8">
            <w:rPr>
              <w:rFonts w:ascii="Arial" w:hAnsi="Arial" w:cs="Arial"/>
              <w:i/>
              <w:iCs/>
            </w:rPr>
            <w:t>Quantitative Finance</w:t>
          </w:r>
          <w:r w:rsidRPr="001844F8">
            <w:rPr>
              <w:rFonts w:ascii="Arial" w:hAnsi="Arial" w:cs="Arial"/>
            </w:rPr>
            <w:t xml:space="preserve">, </w:t>
          </w:r>
          <w:r w:rsidRPr="001844F8">
            <w:rPr>
              <w:rFonts w:ascii="Arial" w:hAnsi="Arial" w:cs="Arial"/>
              <w:i/>
              <w:iCs/>
            </w:rPr>
            <w:t>10</w:t>
          </w:r>
          <w:r w:rsidRPr="001844F8">
            <w:rPr>
              <w:rFonts w:ascii="Arial" w:hAnsi="Arial" w:cs="Arial"/>
            </w:rPr>
            <w:t>(5), 515–528. https://doi.org/10.1080/14697680902878105</w:t>
          </w:r>
        </w:p>
        <w:p w:rsidR="001844F8" w:rsidRPr="001844F8" w:rsidRDefault="001844F8" w:rsidP="001844F8">
          <w:pPr>
            <w:pStyle w:val="Body"/>
            <w:rPr>
              <w:rFonts w:ascii="Arial" w:hAnsi="Arial" w:cs="Arial"/>
            </w:rPr>
          </w:pPr>
          <w:r w:rsidRPr="001844F8">
            <w:rPr>
              <w:rFonts w:ascii="Arial" w:hAnsi="Arial" w:cs="Arial"/>
            </w:rPr>
            <w:t xml:space="preserve">Ajzen, I. (1991). ATTITUDES, PERSONALITY AND BEHAIOR. In </w:t>
          </w:r>
          <w:r w:rsidRPr="001844F8">
            <w:rPr>
              <w:rFonts w:ascii="Arial" w:hAnsi="Arial" w:cs="Arial"/>
              <w:i/>
              <w:iCs/>
            </w:rPr>
            <w:t>Open University Press</w:t>
          </w:r>
          <w:r w:rsidRPr="001844F8">
            <w:rPr>
              <w:rFonts w:ascii="Arial" w:hAnsi="Arial" w:cs="Arial"/>
            </w:rPr>
            <w:t xml:space="preserve"> (Vol. 13, Issue 4). https://doi.org/10.3109/01421599109089905</w:t>
          </w:r>
        </w:p>
        <w:p w:rsidR="001844F8" w:rsidRPr="001844F8" w:rsidRDefault="001844F8" w:rsidP="001844F8">
          <w:pPr>
            <w:pStyle w:val="Body"/>
            <w:rPr>
              <w:rFonts w:ascii="Arial" w:hAnsi="Arial" w:cs="Arial"/>
            </w:rPr>
          </w:pPr>
          <w:r w:rsidRPr="001844F8">
            <w:rPr>
              <w:rFonts w:ascii="Arial" w:hAnsi="Arial" w:cs="Arial"/>
            </w:rPr>
            <w:t xml:space="preserve">Akhtar, F., &amp; Das, N. (2019). Predictors of investment intention in Indian stock markets: Extending the theory of planned behaviour. </w:t>
          </w:r>
          <w:r w:rsidRPr="001844F8">
            <w:rPr>
              <w:rFonts w:ascii="Arial" w:hAnsi="Arial" w:cs="Arial"/>
              <w:i/>
              <w:iCs/>
            </w:rPr>
            <w:t>International Journal of Bank Marketing</w:t>
          </w:r>
          <w:r w:rsidRPr="001844F8">
            <w:rPr>
              <w:rFonts w:ascii="Arial" w:hAnsi="Arial" w:cs="Arial"/>
            </w:rPr>
            <w:t xml:space="preserve">, </w:t>
          </w:r>
          <w:r w:rsidRPr="001844F8">
            <w:rPr>
              <w:rFonts w:ascii="Arial" w:hAnsi="Arial" w:cs="Arial"/>
              <w:i/>
              <w:iCs/>
            </w:rPr>
            <w:t>37</w:t>
          </w:r>
          <w:r w:rsidRPr="001844F8">
            <w:rPr>
              <w:rFonts w:ascii="Arial" w:hAnsi="Arial" w:cs="Arial"/>
            </w:rPr>
            <w:t>(1), 97–119. https://doi.org/10.1108/IJBM-08-2017-0167</w:t>
          </w:r>
        </w:p>
        <w:p w:rsidR="001844F8" w:rsidRPr="001844F8" w:rsidRDefault="001844F8" w:rsidP="001844F8">
          <w:pPr>
            <w:pStyle w:val="Body"/>
            <w:rPr>
              <w:rFonts w:ascii="Arial" w:hAnsi="Arial" w:cs="Arial"/>
            </w:rPr>
          </w:pPr>
          <w:r w:rsidRPr="001844F8">
            <w:rPr>
              <w:rFonts w:ascii="Arial" w:hAnsi="Arial" w:cs="Arial"/>
            </w:rPr>
            <w:t xml:space="preserve">Ali, A. (2011). Predicting individual investors’ intention to invest: An experimental analysis of attitude as a mediator. </w:t>
          </w:r>
          <w:r w:rsidRPr="001844F8">
            <w:rPr>
              <w:rFonts w:ascii="Arial" w:hAnsi="Arial" w:cs="Arial"/>
              <w:i/>
              <w:iCs/>
            </w:rPr>
            <w:t>World Academy of Science, Engineering and Technology</w:t>
          </w:r>
          <w:r w:rsidRPr="001844F8">
            <w:rPr>
              <w:rFonts w:ascii="Arial" w:hAnsi="Arial" w:cs="Arial"/>
            </w:rPr>
            <w:t xml:space="preserve">, </w:t>
          </w:r>
          <w:r w:rsidRPr="001844F8">
            <w:rPr>
              <w:rFonts w:ascii="Arial" w:hAnsi="Arial" w:cs="Arial"/>
              <w:i/>
              <w:iCs/>
            </w:rPr>
            <w:t>50</w:t>
          </w:r>
          <w:r w:rsidRPr="001844F8">
            <w:rPr>
              <w:rFonts w:ascii="Arial" w:hAnsi="Arial" w:cs="Arial"/>
            </w:rPr>
            <w:t>(February), 994–1001.</w:t>
          </w:r>
        </w:p>
        <w:p w:rsidR="001844F8" w:rsidRPr="001844F8" w:rsidRDefault="001844F8" w:rsidP="001844F8">
          <w:pPr>
            <w:pStyle w:val="Body"/>
            <w:rPr>
              <w:rFonts w:ascii="Arial" w:hAnsi="Arial" w:cs="Arial"/>
            </w:rPr>
          </w:pPr>
          <w:r w:rsidRPr="001844F8">
            <w:rPr>
              <w:rFonts w:ascii="Arial" w:hAnsi="Arial" w:cs="Arial"/>
            </w:rPr>
            <w:t xml:space="preserve">Baker, H. K., Nofsinger, J. R., &amp; Puttonen, V. (2020). Other Frauds and Scams that Lure Unsuspecting Investors. </w:t>
          </w:r>
          <w:r w:rsidRPr="001844F8">
            <w:rPr>
              <w:rFonts w:ascii="Arial" w:hAnsi="Arial" w:cs="Arial"/>
              <w:i/>
              <w:iCs/>
            </w:rPr>
            <w:t>The Savvy Investor’s Guide to Avoiding Pitfalls, Frauds, and Scams</w:t>
          </w:r>
          <w:r w:rsidRPr="001844F8">
            <w:rPr>
              <w:rFonts w:ascii="Arial" w:hAnsi="Arial" w:cs="Arial"/>
            </w:rPr>
            <w:t>, 149–177. https://doi.org/10.1108/978-1-78973-559-820201010</w:t>
          </w:r>
        </w:p>
        <w:p w:rsidR="001844F8" w:rsidRPr="001844F8" w:rsidRDefault="001844F8" w:rsidP="001844F8">
          <w:pPr>
            <w:pStyle w:val="Body"/>
            <w:rPr>
              <w:rFonts w:ascii="Arial" w:hAnsi="Arial" w:cs="Arial"/>
              <w:lang w:val="de-DE"/>
            </w:rPr>
          </w:pPr>
          <w:r w:rsidRPr="001844F8">
            <w:rPr>
              <w:rFonts w:ascii="Arial" w:hAnsi="Arial" w:cs="Arial"/>
            </w:rPr>
            <w:t xml:space="preserve">Bakhri, S., Aziz, A., &amp; Sarinah, R. (2020). Pengetahuan dan Motivasi untuk Menumbuhkan Minat Berinvestasi pada Mahasiswa. </w:t>
          </w:r>
          <w:r w:rsidRPr="001844F8">
            <w:rPr>
              <w:rFonts w:ascii="Arial" w:hAnsi="Arial" w:cs="Arial"/>
              <w:i/>
              <w:iCs/>
              <w:lang w:val="de-DE"/>
            </w:rPr>
            <w:t>Value : Jurnal Manajemen Dan Akuntansi</w:t>
          </w:r>
          <w:r w:rsidRPr="001844F8">
            <w:rPr>
              <w:rFonts w:ascii="Arial" w:hAnsi="Arial" w:cs="Arial"/>
              <w:lang w:val="de-DE"/>
            </w:rPr>
            <w:t xml:space="preserve">, </w:t>
          </w:r>
          <w:r w:rsidRPr="001844F8">
            <w:rPr>
              <w:rFonts w:ascii="Arial" w:hAnsi="Arial" w:cs="Arial"/>
              <w:i/>
              <w:iCs/>
              <w:lang w:val="de-DE"/>
            </w:rPr>
            <w:t>15</w:t>
          </w:r>
          <w:r w:rsidRPr="001844F8">
            <w:rPr>
              <w:rFonts w:ascii="Arial" w:hAnsi="Arial" w:cs="Arial"/>
              <w:lang w:val="de-DE"/>
            </w:rPr>
            <w:t>(2), 60–73. https://doi.org/10.32534/jv.v15i2.1175</w:t>
          </w:r>
        </w:p>
        <w:p w:rsidR="001844F8" w:rsidRPr="001844F8" w:rsidRDefault="001844F8" w:rsidP="001844F8">
          <w:pPr>
            <w:pStyle w:val="Body"/>
            <w:rPr>
              <w:rFonts w:ascii="Arial" w:hAnsi="Arial" w:cs="Arial"/>
            </w:rPr>
          </w:pPr>
          <w:r w:rsidRPr="001844F8">
            <w:rPr>
              <w:rFonts w:ascii="Arial" w:hAnsi="Arial" w:cs="Arial"/>
              <w:lang w:val="de-DE"/>
            </w:rPr>
            <w:t xml:space="preserve">Citra, M., &amp; Rahmat, S. (2015). </w:t>
          </w:r>
          <w:r w:rsidRPr="001844F8">
            <w:rPr>
              <w:rFonts w:ascii="Arial" w:hAnsi="Arial" w:cs="Arial"/>
            </w:rPr>
            <w:t xml:space="preserve">Using Theory of Planned Behavior in Predicting Intention to Invest : Case of Indonesia. </w:t>
          </w:r>
          <w:r w:rsidRPr="001844F8">
            <w:rPr>
              <w:rFonts w:ascii="Arial" w:hAnsi="Arial" w:cs="Arial"/>
              <w:i/>
              <w:iCs/>
            </w:rPr>
            <w:t>International Academic Research Journal of Business and Technology 1(2) 2015 Page 137-141</w:t>
          </w:r>
          <w:r w:rsidRPr="001844F8">
            <w:rPr>
              <w:rFonts w:ascii="Arial" w:hAnsi="Arial" w:cs="Arial"/>
            </w:rPr>
            <w:t xml:space="preserve">, </w:t>
          </w:r>
          <w:r w:rsidRPr="001844F8">
            <w:rPr>
              <w:rFonts w:ascii="Arial" w:hAnsi="Arial" w:cs="Arial"/>
              <w:i/>
              <w:iCs/>
            </w:rPr>
            <w:t>1</w:t>
          </w:r>
          <w:r w:rsidRPr="001844F8">
            <w:rPr>
              <w:rFonts w:ascii="Arial" w:hAnsi="Arial" w:cs="Arial"/>
            </w:rPr>
            <w:t>(2), 137–141. http://s3.amazonaws.com/academia.edu.documents/45973157/IBTC2015-p137-141.pdf?AWSAccessKeyId=AKIAJ56TQJRTWSMTNPEA&amp;Expires=1473238789&amp;Signature=LOnYcRcmKt39IuoYbkq2d5KpZRA%3D&amp;response-content-disposition=inline%3B filename%3DUsing_Theory_of_Planned_Behavior_in_Pred.pdf</w:t>
          </w:r>
        </w:p>
        <w:p w:rsidR="001844F8" w:rsidRPr="001844F8" w:rsidRDefault="001844F8" w:rsidP="001844F8">
          <w:pPr>
            <w:pStyle w:val="Body"/>
            <w:rPr>
              <w:rFonts w:ascii="Arial" w:hAnsi="Arial" w:cs="Arial"/>
            </w:rPr>
          </w:pPr>
          <w:r w:rsidRPr="001844F8">
            <w:rPr>
              <w:rFonts w:ascii="Arial" w:hAnsi="Arial" w:cs="Arial"/>
            </w:rPr>
            <w:t xml:space="preserve">Clark-Murphy, M., &amp; Soutar, G. N. (2004). What individual investors value: Some Australian evidence. </w:t>
          </w:r>
          <w:r w:rsidRPr="001844F8">
            <w:rPr>
              <w:rFonts w:ascii="Arial" w:hAnsi="Arial" w:cs="Arial"/>
              <w:i/>
              <w:iCs/>
            </w:rPr>
            <w:t>Journal of Economic Psychology</w:t>
          </w:r>
          <w:r w:rsidRPr="001844F8">
            <w:rPr>
              <w:rFonts w:ascii="Arial" w:hAnsi="Arial" w:cs="Arial"/>
            </w:rPr>
            <w:t xml:space="preserve">, </w:t>
          </w:r>
          <w:r w:rsidRPr="001844F8">
            <w:rPr>
              <w:rFonts w:ascii="Arial" w:hAnsi="Arial" w:cs="Arial"/>
              <w:i/>
              <w:iCs/>
            </w:rPr>
            <w:t>25</w:t>
          </w:r>
          <w:r w:rsidRPr="001844F8">
            <w:rPr>
              <w:rFonts w:ascii="Arial" w:hAnsi="Arial" w:cs="Arial"/>
            </w:rPr>
            <w:t>(4), 539–555. https://doi.org/10.1016/S0167-4870(03)00056-4</w:t>
          </w:r>
        </w:p>
        <w:p w:rsidR="001844F8" w:rsidRPr="001844F8" w:rsidRDefault="001844F8" w:rsidP="001844F8">
          <w:pPr>
            <w:pStyle w:val="Body"/>
            <w:rPr>
              <w:rFonts w:ascii="Arial" w:hAnsi="Arial" w:cs="Arial"/>
            </w:rPr>
          </w:pPr>
          <w:r w:rsidRPr="001844F8">
            <w:rPr>
              <w:rFonts w:ascii="Arial" w:hAnsi="Arial" w:cs="Arial"/>
            </w:rPr>
            <w:t xml:space="preserve">Danes, S. M., &amp; Haberman, H. R. (2007). Teen financial knowledge, self-efficacy, and behavior: A gendered view. </w:t>
          </w:r>
          <w:r w:rsidRPr="001844F8">
            <w:rPr>
              <w:rFonts w:ascii="Arial" w:hAnsi="Arial" w:cs="Arial"/>
              <w:i/>
              <w:iCs/>
            </w:rPr>
            <w:t>Journal of Financial Counseling and Planning</w:t>
          </w:r>
          <w:r w:rsidRPr="001844F8">
            <w:rPr>
              <w:rFonts w:ascii="Arial" w:hAnsi="Arial" w:cs="Arial"/>
            </w:rPr>
            <w:t xml:space="preserve">, </w:t>
          </w:r>
          <w:r w:rsidRPr="001844F8">
            <w:rPr>
              <w:rFonts w:ascii="Arial" w:hAnsi="Arial" w:cs="Arial"/>
              <w:i/>
              <w:iCs/>
            </w:rPr>
            <w:t>18</w:t>
          </w:r>
          <w:r w:rsidRPr="001844F8">
            <w:rPr>
              <w:rFonts w:ascii="Arial" w:hAnsi="Arial" w:cs="Arial"/>
            </w:rPr>
            <w:t>(2), 48–60.</w:t>
          </w:r>
        </w:p>
        <w:p w:rsidR="001844F8" w:rsidRPr="001844F8" w:rsidRDefault="001844F8" w:rsidP="001844F8">
          <w:pPr>
            <w:pStyle w:val="Body"/>
            <w:rPr>
              <w:rFonts w:ascii="Arial" w:hAnsi="Arial" w:cs="Arial"/>
            </w:rPr>
          </w:pPr>
          <w:r w:rsidRPr="001844F8">
            <w:rPr>
              <w:rFonts w:ascii="Arial" w:hAnsi="Arial" w:cs="Arial"/>
            </w:rPr>
            <w:t xml:space="preserve">Dwinta, I. dan C. Y. (2010). Pengaruh Locus Of Control, Financial Knowledge, Income Terhadap Financial Management Behavior. </w:t>
          </w:r>
          <w:r w:rsidRPr="001844F8">
            <w:rPr>
              <w:rFonts w:ascii="Arial" w:hAnsi="Arial" w:cs="Arial"/>
              <w:i/>
              <w:iCs/>
            </w:rPr>
            <w:t>Jurnal Bisnis Dan Akuntansi</w:t>
          </w:r>
          <w:r w:rsidRPr="001844F8">
            <w:rPr>
              <w:rFonts w:ascii="Arial" w:hAnsi="Arial" w:cs="Arial"/>
            </w:rPr>
            <w:t xml:space="preserve">, </w:t>
          </w:r>
          <w:r w:rsidRPr="001844F8">
            <w:rPr>
              <w:rFonts w:ascii="Arial" w:hAnsi="Arial" w:cs="Arial"/>
              <w:i/>
              <w:iCs/>
            </w:rPr>
            <w:t>12</w:t>
          </w:r>
          <w:r w:rsidRPr="001844F8">
            <w:rPr>
              <w:rFonts w:ascii="Arial" w:hAnsi="Arial" w:cs="Arial"/>
            </w:rPr>
            <w:t>(3), 131–144.</w:t>
          </w:r>
        </w:p>
        <w:p w:rsidR="001844F8" w:rsidRPr="001844F8" w:rsidRDefault="001844F8" w:rsidP="001844F8">
          <w:pPr>
            <w:pStyle w:val="Body"/>
            <w:rPr>
              <w:rFonts w:ascii="Arial" w:hAnsi="Arial" w:cs="Arial"/>
            </w:rPr>
          </w:pPr>
          <w:r w:rsidRPr="001844F8">
            <w:rPr>
              <w:rFonts w:ascii="Arial" w:hAnsi="Arial" w:cs="Arial"/>
            </w:rPr>
            <w:t xml:space="preserve">Ghozali, I. (2008). </w:t>
          </w:r>
          <w:r w:rsidRPr="001844F8">
            <w:rPr>
              <w:rFonts w:ascii="Arial" w:hAnsi="Arial" w:cs="Arial"/>
              <w:i/>
              <w:iCs/>
            </w:rPr>
            <w:t>Structural Equation Modelling</w:t>
          </w:r>
          <w:r w:rsidRPr="001844F8">
            <w:rPr>
              <w:rFonts w:ascii="Arial" w:hAnsi="Arial" w:cs="Arial"/>
            </w:rPr>
            <w:t xml:space="preserve"> (II). Universitas Diponegoro Semarang.</w:t>
          </w:r>
        </w:p>
        <w:p w:rsidR="001844F8" w:rsidRPr="001844F8" w:rsidRDefault="001844F8" w:rsidP="001844F8">
          <w:pPr>
            <w:pStyle w:val="Body"/>
            <w:rPr>
              <w:rFonts w:ascii="Arial" w:hAnsi="Arial" w:cs="Arial"/>
            </w:rPr>
          </w:pPr>
          <w:r w:rsidRPr="001844F8">
            <w:rPr>
              <w:rFonts w:ascii="Arial" w:hAnsi="Arial" w:cs="Arial"/>
            </w:rPr>
            <w:t xml:space="preserve">Gopi, M., &amp; Ramayah, T. (2007). Applicability of theory of planned behavior in predicting intention to trade online: Some evidence from a developing country. </w:t>
          </w:r>
          <w:r w:rsidRPr="001844F8">
            <w:rPr>
              <w:rFonts w:ascii="Arial" w:hAnsi="Arial" w:cs="Arial"/>
              <w:i/>
              <w:iCs/>
            </w:rPr>
            <w:t>International Journal of Emerging Markets</w:t>
          </w:r>
          <w:r w:rsidRPr="001844F8">
            <w:rPr>
              <w:rFonts w:ascii="Arial" w:hAnsi="Arial" w:cs="Arial"/>
            </w:rPr>
            <w:t xml:space="preserve">, </w:t>
          </w:r>
          <w:r w:rsidRPr="001844F8">
            <w:rPr>
              <w:rFonts w:ascii="Arial" w:hAnsi="Arial" w:cs="Arial"/>
              <w:i/>
              <w:iCs/>
            </w:rPr>
            <w:t>2</w:t>
          </w:r>
          <w:r w:rsidRPr="001844F8">
            <w:rPr>
              <w:rFonts w:ascii="Arial" w:hAnsi="Arial" w:cs="Arial"/>
            </w:rPr>
            <w:t>(4), 348–360. https://doi.org/10.1108/17468800710824509</w:t>
          </w:r>
        </w:p>
        <w:p w:rsidR="001844F8" w:rsidRPr="001844F8" w:rsidRDefault="001844F8" w:rsidP="001844F8">
          <w:pPr>
            <w:pStyle w:val="Body"/>
            <w:rPr>
              <w:rFonts w:ascii="Arial" w:hAnsi="Arial" w:cs="Arial"/>
            </w:rPr>
          </w:pPr>
          <w:r w:rsidRPr="001844F8">
            <w:rPr>
              <w:rFonts w:ascii="Arial" w:hAnsi="Arial" w:cs="Arial"/>
            </w:rPr>
            <w:lastRenderedPageBreak/>
            <w:t xml:space="preserve">Hair, J. F., Black, W. C., Babin, B. J., Anderson, R. E., &amp; Tatham, R. L. (1998). Multivariate Data Analysis. </w:t>
          </w:r>
          <w:r w:rsidRPr="001844F8">
            <w:rPr>
              <w:rFonts w:ascii="Arial" w:hAnsi="Arial" w:cs="Arial"/>
              <w:i/>
              <w:iCs/>
            </w:rPr>
            <w:t>Prentice Hall, Upper Saddle River.</w:t>
          </w:r>
          <w:r w:rsidRPr="001844F8">
            <w:rPr>
              <w:rFonts w:ascii="Arial" w:hAnsi="Arial" w:cs="Arial"/>
            </w:rPr>
            <w:t xml:space="preserve">, </w:t>
          </w:r>
          <w:r w:rsidRPr="001844F8">
            <w:rPr>
              <w:rFonts w:ascii="Arial" w:hAnsi="Arial" w:cs="Arial"/>
              <w:i/>
              <w:iCs/>
            </w:rPr>
            <w:t>5</w:t>
          </w:r>
          <w:r w:rsidRPr="001844F8">
            <w:rPr>
              <w:rFonts w:ascii="Arial" w:hAnsi="Arial" w:cs="Arial"/>
            </w:rPr>
            <w:t>(3), 207–219.</w:t>
          </w:r>
        </w:p>
        <w:p w:rsidR="001844F8" w:rsidRPr="001844F8" w:rsidRDefault="001844F8" w:rsidP="001844F8">
          <w:pPr>
            <w:pStyle w:val="Body"/>
            <w:rPr>
              <w:rFonts w:ascii="Arial" w:hAnsi="Arial" w:cs="Arial"/>
            </w:rPr>
          </w:pPr>
          <w:r w:rsidRPr="001844F8">
            <w:rPr>
              <w:rFonts w:ascii="Arial" w:hAnsi="Arial" w:cs="Arial"/>
            </w:rPr>
            <w:t xml:space="preserve">Hoffmann, A. O. I., &amp; Post, T. (2017). How return and risk experiences shape investor beliefs and preferences. </w:t>
          </w:r>
          <w:r w:rsidRPr="001844F8">
            <w:rPr>
              <w:rFonts w:ascii="Arial" w:hAnsi="Arial" w:cs="Arial"/>
              <w:i/>
              <w:iCs/>
            </w:rPr>
            <w:t>Accounting and Finance</w:t>
          </w:r>
          <w:r w:rsidRPr="001844F8">
            <w:rPr>
              <w:rFonts w:ascii="Arial" w:hAnsi="Arial" w:cs="Arial"/>
            </w:rPr>
            <w:t xml:space="preserve">, </w:t>
          </w:r>
          <w:r w:rsidRPr="001844F8">
            <w:rPr>
              <w:rFonts w:ascii="Arial" w:hAnsi="Arial" w:cs="Arial"/>
              <w:i/>
              <w:iCs/>
            </w:rPr>
            <w:t>57</w:t>
          </w:r>
          <w:r w:rsidRPr="001844F8">
            <w:rPr>
              <w:rFonts w:ascii="Arial" w:hAnsi="Arial" w:cs="Arial"/>
            </w:rPr>
            <w:t>(3), 759–788. https://doi.org/10.1111/acfi.12169</w:t>
          </w:r>
        </w:p>
        <w:p w:rsidR="001844F8" w:rsidRPr="001844F8" w:rsidRDefault="001844F8" w:rsidP="001844F8">
          <w:pPr>
            <w:pStyle w:val="Body"/>
            <w:rPr>
              <w:rFonts w:ascii="Arial" w:hAnsi="Arial" w:cs="Arial"/>
            </w:rPr>
          </w:pPr>
          <w:r w:rsidRPr="001844F8">
            <w:rPr>
              <w:rFonts w:ascii="Arial" w:hAnsi="Arial" w:cs="Arial"/>
            </w:rPr>
            <w:t xml:space="preserve">HSBC. (2019). </w:t>
          </w:r>
          <w:r w:rsidRPr="001844F8">
            <w:rPr>
              <w:rFonts w:ascii="Arial" w:hAnsi="Arial" w:cs="Arial"/>
              <w:i/>
              <w:iCs/>
            </w:rPr>
            <w:t>Sebanyak 9 dari 10 orang Indonesia Belum Siap Menjadi Crazy Rich Retiree</w:t>
          </w:r>
          <w:r w:rsidRPr="001844F8">
            <w:rPr>
              <w:rFonts w:ascii="Arial" w:hAnsi="Arial" w:cs="Arial"/>
            </w:rPr>
            <w:t>. https://www.about.hsbc.co.id/-/media/indonesia/id/news-and-media/190212-crazy-rich-retiree-id.pdf</w:t>
          </w:r>
        </w:p>
        <w:p w:rsidR="001844F8" w:rsidRPr="001844F8" w:rsidRDefault="001844F8" w:rsidP="001844F8">
          <w:pPr>
            <w:pStyle w:val="Body"/>
            <w:rPr>
              <w:rFonts w:ascii="Arial" w:hAnsi="Arial" w:cs="Arial"/>
            </w:rPr>
          </w:pPr>
          <w:r w:rsidRPr="001844F8">
            <w:rPr>
              <w:rFonts w:ascii="Arial" w:hAnsi="Arial" w:cs="Arial"/>
            </w:rPr>
            <w:t xml:space="preserve">Ilahiyah, M. E., Soewarno, N., &amp; Jaya, I. M. L. M. (2021). The Effect of Intellectual Capital and Financial Services Knowledge on Financial Inclusion. </w:t>
          </w:r>
          <w:r w:rsidRPr="001844F8">
            <w:rPr>
              <w:rFonts w:ascii="Arial" w:hAnsi="Arial" w:cs="Arial"/>
              <w:i/>
              <w:iCs/>
            </w:rPr>
            <w:t>Journal of Asian Finance, Economics and Business</w:t>
          </w:r>
          <w:r w:rsidRPr="001844F8">
            <w:rPr>
              <w:rFonts w:ascii="Arial" w:hAnsi="Arial" w:cs="Arial"/>
            </w:rPr>
            <w:t xml:space="preserve">, </w:t>
          </w:r>
          <w:r w:rsidRPr="001844F8">
            <w:rPr>
              <w:rFonts w:ascii="Arial" w:hAnsi="Arial" w:cs="Arial"/>
              <w:i/>
              <w:iCs/>
            </w:rPr>
            <w:t>8</w:t>
          </w:r>
          <w:r w:rsidRPr="001844F8">
            <w:rPr>
              <w:rFonts w:ascii="Arial" w:hAnsi="Arial" w:cs="Arial"/>
            </w:rPr>
            <w:t>(1), 247–255. https://doi.org/10.13106/jafeb.2021.vol8.no1.247</w:t>
          </w:r>
        </w:p>
        <w:p w:rsidR="001844F8" w:rsidRPr="001844F8" w:rsidRDefault="001844F8" w:rsidP="001844F8">
          <w:pPr>
            <w:pStyle w:val="Body"/>
            <w:rPr>
              <w:rFonts w:ascii="Arial" w:hAnsi="Arial" w:cs="Arial"/>
              <w:lang w:val="de-DE"/>
            </w:rPr>
          </w:pPr>
          <w:r w:rsidRPr="001844F8">
            <w:rPr>
              <w:rFonts w:ascii="Arial" w:hAnsi="Arial" w:cs="Arial"/>
            </w:rPr>
            <w:t xml:space="preserve">Jaya, I. M. L. M. (2019). The Impact of Financial Inclusion on Public Financial Services Education through Financial Technology in Sleman Regency, Indonesia. </w:t>
          </w:r>
          <w:r w:rsidRPr="001844F8">
            <w:rPr>
              <w:rFonts w:ascii="Arial" w:hAnsi="Arial" w:cs="Arial"/>
              <w:i/>
              <w:iCs/>
              <w:lang w:val="de-DE"/>
            </w:rPr>
            <w:t>Esensi: Jurnal Bisnis Dan Manajemen</w:t>
          </w:r>
          <w:r w:rsidRPr="001844F8">
            <w:rPr>
              <w:rFonts w:ascii="Arial" w:hAnsi="Arial" w:cs="Arial"/>
              <w:lang w:val="de-DE"/>
            </w:rPr>
            <w:t xml:space="preserve">, </w:t>
          </w:r>
          <w:r w:rsidRPr="001844F8">
            <w:rPr>
              <w:rFonts w:ascii="Arial" w:hAnsi="Arial" w:cs="Arial"/>
              <w:i/>
              <w:iCs/>
              <w:lang w:val="de-DE"/>
            </w:rPr>
            <w:t>9</w:t>
          </w:r>
          <w:r w:rsidRPr="001844F8">
            <w:rPr>
              <w:rFonts w:ascii="Arial" w:hAnsi="Arial" w:cs="Arial"/>
              <w:lang w:val="de-DE"/>
            </w:rPr>
            <w:t>(2), 155–174. https://doi.org/10.15408/ess.v9i2.13576</w:t>
          </w:r>
        </w:p>
        <w:p w:rsidR="001844F8" w:rsidRPr="001844F8" w:rsidRDefault="001844F8" w:rsidP="001844F8">
          <w:pPr>
            <w:pStyle w:val="Body"/>
            <w:rPr>
              <w:rFonts w:ascii="Arial" w:hAnsi="Arial" w:cs="Arial"/>
            </w:rPr>
          </w:pPr>
          <w:r w:rsidRPr="001844F8">
            <w:rPr>
              <w:rFonts w:ascii="Arial" w:hAnsi="Arial" w:cs="Arial"/>
              <w:lang w:val="de-DE"/>
            </w:rPr>
            <w:t xml:space="preserve">Jensen, C., Huynh, R., &amp; Sandberg, P. (2016). </w:t>
          </w:r>
          <w:r w:rsidRPr="001844F8">
            <w:rPr>
              <w:rFonts w:ascii="Arial" w:hAnsi="Arial" w:cs="Arial"/>
              <w:i/>
              <w:iCs/>
            </w:rPr>
            <w:t>“Doing good while doing well” : An investigation of Generation Y’s intention to invest socially responsibly</w:t>
          </w:r>
          <w:r w:rsidRPr="001844F8">
            <w:rPr>
              <w:rFonts w:ascii="Arial" w:hAnsi="Arial" w:cs="Arial"/>
            </w:rPr>
            <w:t>.</w:t>
          </w:r>
        </w:p>
        <w:p w:rsidR="001844F8" w:rsidRPr="001844F8" w:rsidRDefault="001844F8" w:rsidP="001844F8">
          <w:pPr>
            <w:pStyle w:val="Body"/>
            <w:rPr>
              <w:rFonts w:ascii="Arial" w:hAnsi="Arial" w:cs="Arial"/>
            </w:rPr>
          </w:pPr>
          <w:r w:rsidRPr="001844F8">
            <w:rPr>
              <w:rFonts w:ascii="Arial" w:hAnsi="Arial" w:cs="Arial"/>
              <w:lang w:val="de-DE"/>
            </w:rPr>
            <w:t xml:space="preserve">Klapper, L., Amit, R., &amp; Guillen, M. F. (2010). </w:t>
          </w:r>
          <w:r w:rsidRPr="001844F8">
            <w:rPr>
              <w:rFonts w:ascii="Arial" w:hAnsi="Arial" w:cs="Arial"/>
            </w:rPr>
            <w:t xml:space="preserve">International Differences in Entreprenuership: Enterpreneurship and firm formation across countries. In </w:t>
          </w:r>
          <w:r w:rsidRPr="001844F8">
            <w:rPr>
              <w:rFonts w:ascii="Arial" w:hAnsi="Arial" w:cs="Arial"/>
              <w:i/>
              <w:iCs/>
            </w:rPr>
            <w:t>National Bureau of Economic Research</w:t>
          </w:r>
          <w:r w:rsidRPr="001844F8">
            <w:rPr>
              <w:rFonts w:ascii="Arial" w:hAnsi="Arial" w:cs="Arial"/>
            </w:rPr>
            <w:t xml:space="preserve"> (Issue May). http://www.nber.org/chapters/c8820</w:t>
          </w:r>
        </w:p>
        <w:p w:rsidR="001844F8" w:rsidRPr="001844F8" w:rsidRDefault="001844F8" w:rsidP="001844F8">
          <w:pPr>
            <w:pStyle w:val="Body"/>
            <w:rPr>
              <w:rFonts w:ascii="Arial" w:hAnsi="Arial" w:cs="Arial"/>
            </w:rPr>
          </w:pPr>
          <w:r w:rsidRPr="001844F8">
            <w:rPr>
              <w:rFonts w:ascii="Arial" w:hAnsi="Arial" w:cs="Arial"/>
              <w:lang w:val="de-DE"/>
            </w:rPr>
            <w:t xml:space="preserve">Klapper, L., Lusardi, A., &amp; Oudheusden, P. van. </w:t>
          </w:r>
          <w:r w:rsidRPr="001844F8">
            <w:rPr>
              <w:rFonts w:ascii="Arial" w:hAnsi="Arial" w:cs="Arial"/>
            </w:rPr>
            <w:t xml:space="preserve">(2011). Financial literacy around the world: An overview. </w:t>
          </w:r>
          <w:r w:rsidRPr="001844F8">
            <w:rPr>
              <w:rFonts w:ascii="Arial" w:hAnsi="Arial" w:cs="Arial"/>
              <w:i/>
              <w:iCs/>
            </w:rPr>
            <w:t>Journal of Pension Economics and Finance</w:t>
          </w:r>
          <w:r w:rsidRPr="001844F8">
            <w:rPr>
              <w:rFonts w:ascii="Arial" w:hAnsi="Arial" w:cs="Arial"/>
            </w:rPr>
            <w:t xml:space="preserve">, </w:t>
          </w:r>
          <w:r w:rsidRPr="001844F8">
            <w:rPr>
              <w:rFonts w:ascii="Arial" w:hAnsi="Arial" w:cs="Arial"/>
              <w:i/>
              <w:iCs/>
            </w:rPr>
            <w:t>10</w:t>
          </w:r>
          <w:r w:rsidRPr="001844F8">
            <w:rPr>
              <w:rFonts w:ascii="Arial" w:hAnsi="Arial" w:cs="Arial"/>
            </w:rPr>
            <w:t>(4), 497–508. https://doi.org/10.1017/S1474747211000448</w:t>
          </w:r>
        </w:p>
        <w:p w:rsidR="001844F8" w:rsidRPr="001844F8" w:rsidRDefault="001844F8" w:rsidP="001844F8">
          <w:pPr>
            <w:pStyle w:val="Body"/>
            <w:rPr>
              <w:rFonts w:ascii="Arial" w:hAnsi="Arial" w:cs="Arial"/>
            </w:rPr>
          </w:pPr>
          <w:r w:rsidRPr="001844F8">
            <w:rPr>
              <w:rFonts w:ascii="Arial" w:hAnsi="Arial" w:cs="Arial"/>
            </w:rPr>
            <w:t xml:space="preserve">Klontz, B., Britt, S. L., Mentzer, J., &amp; Klontz, T. (2011). Money Beliefs and Financial Behaviors: Development of the Klontz Money Script Inventory. </w:t>
          </w:r>
          <w:r w:rsidRPr="001844F8">
            <w:rPr>
              <w:rFonts w:ascii="Arial" w:hAnsi="Arial" w:cs="Arial"/>
              <w:i/>
              <w:iCs/>
            </w:rPr>
            <w:t>Journal of Financial Therapy</w:t>
          </w:r>
          <w:r w:rsidRPr="001844F8">
            <w:rPr>
              <w:rFonts w:ascii="Arial" w:hAnsi="Arial" w:cs="Arial"/>
            </w:rPr>
            <w:t xml:space="preserve">, </w:t>
          </w:r>
          <w:r w:rsidRPr="001844F8">
            <w:rPr>
              <w:rFonts w:ascii="Arial" w:hAnsi="Arial" w:cs="Arial"/>
              <w:i/>
              <w:iCs/>
            </w:rPr>
            <w:t>2</w:t>
          </w:r>
          <w:r w:rsidRPr="001844F8">
            <w:rPr>
              <w:rFonts w:ascii="Arial" w:hAnsi="Arial" w:cs="Arial"/>
            </w:rPr>
            <w:t>(1). https://doi.org/10.4148/jft.v2i1.451</w:t>
          </w:r>
        </w:p>
        <w:p w:rsidR="001844F8" w:rsidRPr="001844F8" w:rsidRDefault="001844F8" w:rsidP="001844F8">
          <w:pPr>
            <w:pStyle w:val="Body"/>
            <w:rPr>
              <w:rFonts w:ascii="Arial" w:hAnsi="Arial" w:cs="Arial"/>
            </w:rPr>
          </w:pPr>
          <w:r w:rsidRPr="001844F8">
            <w:rPr>
              <w:rFonts w:ascii="Arial" w:hAnsi="Arial" w:cs="Arial"/>
            </w:rPr>
            <w:t xml:space="preserve">KSEI. (2021). </w:t>
          </w:r>
          <w:r w:rsidRPr="001844F8">
            <w:rPr>
              <w:rFonts w:ascii="Arial" w:hAnsi="Arial" w:cs="Arial"/>
              <w:i/>
              <w:iCs/>
            </w:rPr>
            <w:t>Bertepatan Dengan Usia 24 Tahun , KSEI Raih Gelar Kustodian Sentral Terbaik dan Sub Registry Terbaik</w:t>
          </w:r>
          <w:r w:rsidRPr="001844F8">
            <w:rPr>
              <w:rFonts w:ascii="Arial" w:hAnsi="Arial" w:cs="Arial"/>
            </w:rPr>
            <w:t>.</w:t>
          </w:r>
        </w:p>
        <w:p w:rsidR="001844F8" w:rsidRPr="001844F8" w:rsidRDefault="001844F8" w:rsidP="001844F8">
          <w:pPr>
            <w:pStyle w:val="Body"/>
            <w:rPr>
              <w:rFonts w:ascii="Arial" w:hAnsi="Arial" w:cs="Arial"/>
              <w:lang w:val="de-DE"/>
            </w:rPr>
          </w:pPr>
          <w:r w:rsidRPr="001844F8">
            <w:rPr>
              <w:rFonts w:ascii="Arial" w:hAnsi="Arial" w:cs="Arial"/>
            </w:rPr>
            <w:t xml:space="preserve">Laurency, J. S., &amp; Arifin, A. Z. (2022). Pengaruh Financial Attitude, Financial Self-Efficacy, dan Risk Perception terhadap Investment Intention. </w:t>
          </w:r>
          <w:r w:rsidRPr="001844F8">
            <w:rPr>
              <w:rFonts w:ascii="Arial" w:hAnsi="Arial" w:cs="Arial"/>
              <w:i/>
              <w:iCs/>
              <w:lang w:val="de-DE"/>
            </w:rPr>
            <w:t>Jurnal Manajerial Dan Kewirausahaan</w:t>
          </w:r>
          <w:r w:rsidRPr="001844F8">
            <w:rPr>
              <w:rFonts w:ascii="Arial" w:hAnsi="Arial" w:cs="Arial"/>
              <w:lang w:val="de-DE"/>
            </w:rPr>
            <w:t xml:space="preserve">, </w:t>
          </w:r>
          <w:r w:rsidRPr="001844F8">
            <w:rPr>
              <w:rFonts w:ascii="Arial" w:hAnsi="Arial" w:cs="Arial"/>
              <w:i/>
              <w:iCs/>
              <w:lang w:val="de-DE"/>
            </w:rPr>
            <w:t>4</w:t>
          </w:r>
          <w:r w:rsidRPr="001844F8">
            <w:rPr>
              <w:rFonts w:ascii="Arial" w:hAnsi="Arial" w:cs="Arial"/>
              <w:lang w:val="de-DE"/>
            </w:rPr>
            <w:t>(3), 617–626. https://doi.org/10.24912/jmk.v4i3.19694</w:t>
          </w:r>
        </w:p>
        <w:p w:rsidR="001844F8" w:rsidRPr="001844F8" w:rsidRDefault="001844F8" w:rsidP="001844F8">
          <w:pPr>
            <w:pStyle w:val="Body"/>
            <w:rPr>
              <w:rFonts w:ascii="Arial" w:hAnsi="Arial" w:cs="Arial"/>
            </w:rPr>
          </w:pPr>
          <w:r w:rsidRPr="001844F8">
            <w:rPr>
              <w:rFonts w:ascii="Arial" w:hAnsi="Arial" w:cs="Arial"/>
              <w:lang w:val="de-DE"/>
            </w:rPr>
            <w:t xml:space="preserve">Lown, J. M. (2011). </w:t>
          </w:r>
          <w:r w:rsidRPr="001844F8">
            <w:rPr>
              <w:rFonts w:ascii="Arial" w:hAnsi="Arial" w:cs="Arial"/>
            </w:rPr>
            <w:t xml:space="preserve">Conference paper: Development and validation of a Financial Self-Efficacy Scale. </w:t>
          </w:r>
          <w:r w:rsidRPr="001844F8">
            <w:rPr>
              <w:rFonts w:ascii="Arial" w:hAnsi="Arial" w:cs="Arial"/>
              <w:i/>
              <w:iCs/>
            </w:rPr>
            <w:t>Journal of Financial Counseling and Planning</w:t>
          </w:r>
          <w:r w:rsidRPr="001844F8">
            <w:rPr>
              <w:rFonts w:ascii="Arial" w:hAnsi="Arial" w:cs="Arial"/>
            </w:rPr>
            <w:t xml:space="preserve">, </w:t>
          </w:r>
          <w:r w:rsidRPr="001844F8">
            <w:rPr>
              <w:rFonts w:ascii="Arial" w:hAnsi="Arial" w:cs="Arial"/>
              <w:i/>
              <w:iCs/>
            </w:rPr>
            <w:t>22</w:t>
          </w:r>
          <w:r w:rsidRPr="001844F8">
            <w:rPr>
              <w:rFonts w:ascii="Arial" w:hAnsi="Arial" w:cs="Arial"/>
            </w:rPr>
            <w:t>(2), 54–63.</w:t>
          </w:r>
        </w:p>
        <w:p w:rsidR="001844F8" w:rsidRPr="001844F8" w:rsidRDefault="001844F8" w:rsidP="001844F8">
          <w:pPr>
            <w:pStyle w:val="Body"/>
            <w:rPr>
              <w:rFonts w:ascii="Arial" w:hAnsi="Arial" w:cs="Arial"/>
            </w:rPr>
          </w:pPr>
          <w:r w:rsidRPr="001844F8">
            <w:rPr>
              <w:rFonts w:ascii="Arial" w:hAnsi="Arial" w:cs="Arial"/>
            </w:rPr>
            <w:t xml:space="preserve">Lusardi, A., &amp; Scheresberg, C. de B. (2013). Financial lteracy and high-cost borrowing in the united states. </w:t>
          </w:r>
          <w:r w:rsidRPr="001844F8">
            <w:rPr>
              <w:rFonts w:ascii="Arial" w:hAnsi="Arial" w:cs="Arial"/>
              <w:i/>
              <w:iCs/>
            </w:rPr>
            <w:t>National Bureau of Economic Research</w:t>
          </w:r>
          <w:r w:rsidRPr="001844F8">
            <w:rPr>
              <w:rFonts w:ascii="Arial" w:hAnsi="Arial" w:cs="Arial"/>
            </w:rPr>
            <w:t>, 1–41. https://www.nber.org/papers/w18969</w:t>
          </w:r>
        </w:p>
        <w:p w:rsidR="001844F8" w:rsidRPr="001844F8" w:rsidRDefault="001844F8" w:rsidP="001844F8">
          <w:pPr>
            <w:pStyle w:val="Body"/>
            <w:rPr>
              <w:rFonts w:ascii="Arial" w:hAnsi="Arial" w:cs="Arial"/>
            </w:rPr>
          </w:pPr>
          <w:r w:rsidRPr="001844F8">
            <w:rPr>
              <w:rFonts w:ascii="Arial" w:hAnsi="Arial" w:cs="Arial"/>
            </w:rPr>
            <w:t xml:space="preserve">Lusardi, A., &amp; Tufano, P. (2015). Debt literacy, financial experiences, and overindebtedness. In </w:t>
          </w:r>
          <w:r w:rsidRPr="001844F8">
            <w:rPr>
              <w:rFonts w:ascii="Arial" w:hAnsi="Arial" w:cs="Arial"/>
              <w:i/>
              <w:iCs/>
            </w:rPr>
            <w:t>Journal of Pension Economics and Finance</w:t>
          </w:r>
          <w:r w:rsidRPr="001844F8">
            <w:rPr>
              <w:rFonts w:ascii="Arial" w:hAnsi="Arial" w:cs="Arial"/>
            </w:rPr>
            <w:t xml:space="preserve"> (Vol. 14, Issue 4). https://doi.org/10.1017/S1474747215000232</w:t>
          </w:r>
        </w:p>
        <w:p w:rsidR="001844F8" w:rsidRPr="001844F8" w:rsidRDefault="001844F8" w:rsidP="001844F8">
          <w:pPr>
            <w:pStyle w:val="Body"/>
            <w:rPr>
              <w:rFonts w:ascii="Arial" w:hAnsi="Arial" w:cs="Arial"/>
            </w:rPr>
          </w:pPr>
          <w:r w:rsidRPr="001844F8">
            <w:rPr>
              <w:rFonts w:ascii="Arial" w:hAnsi="Arial" w:cs="Arial"/>
            </w:rPr>
            <w:lastRenderedPageBreak/>
            <w:t xml:space="preserve">Mindra, R., &amp; Moya, M. (2017). Financial self-efficacy: A mediator in advancing financial inclusion. </w:t>
          </w:r>
          <w:r w:rsidRPr="001844F8">
            <w:rPr>
              <w:rFonts w:ascii="Arial" w:hAnsi="Arial" w:cs="Arial"/>
              <w:i/>
              <w:iCs/>
            </w:rPr>
            <w:t>Equality, Diversity and Inclusion</w:t>
          </w:r>
          <w:r w:rsidRPr="001844F8">
            <w:rPr>
              <w:rFonts w:ascii="Arial" w:hAnsi="Arial" w:cs="Arial"/>
            </w:rPr>
            <w:t xml:space="preserve">, </w:t>
          </w:r>
          <w:r w:rsidRPr="001844F8">
            <w:rPr>
              <w:rFonts w:ascii="Arial" w:hAnsi="Arial" w:cs="Arial"/>
              <w:i/>
              <w:iCs/>
            </w:rPr>
            <w:t>36</w:t>
          </w:r>
          <w:r w:rsidRPr="001844F8">
            <w:rPr>
              <w:rFonts w:ascii="Arial" w:hAnsi="Arial" w:cs="Arial"/>
            </w:rPr>
            <w:t>(2), 128–149. https://doi.org/10.1108/EDI-05-2016-0040</w:t>
          </w:r>
        </w:p>
        <w:p w:rsidR="001844F8" w:rsidRPr="001844F8" w:rsidRDefault="001844F8" w:rsidP="001844F8">
          <w:pPr>
            <w:pStyle w:val="Body"/>
            <w:rPr>
              <w:rFonts w:ascii="Arial" w:hAnsi="Arial" w:cs="Arial"/>
            </w:rPr>
          </w:pPr>
          <w:r w:rsidRPr="001844F8">
            <w:rPr>
              <w:rFonts w:ascii="Arial" w:hAnsi="Arial" w:cs="Arial"/>
            </w:rPr>
            <w:t xml:space="preserve">Phan, K. C., &amp; Zhou, J. (2014). Vietnamese Individual Investors’ Behavior in the Stock Market: An Exploratory Study. </w:t>
          </w:r>
          <w:r w:rsidRPr="001844F8">
            <w:rPr>
              <w:rFonts w:ascii="Arial" w:hAnsi="Arial" w:cs="Arial"/>
              <w:i/>
              <w:iCs/>
            </w:rPr>
            <w:t>Research Journal of Social Science &amp; Management</w:t>
          </w:r>
          <w:r w:rsidRPr="001844F8">
            <w:rPr>
              <w:rFonts w:ascii="Arial" w:hAnsi="Arial" w:cs="Arial"/>
            </w:rPr>
            <w:t xml:space="preserve">, </w:t>
          </w:r>
          <w:r w:rsidRPr="001844F8">
            <w:rPr>
              <w:rFonts w:ascii="Arial" w:hAnsi="Arial" w:cs="Arial"/>
              <w:i/>
              <w:iCs/>
            </w:rPr>
            <w:t>03</w:t>
          </w:r>
          <w:r w:rsidRPr="001844F8">
            <w:rPr>
              <w:rFonts w:ascii="Arial" w:hAnsi="Arial" w:cs="Arial"/>
            </w:rPr>
            <w:t>(12), 46–54.</w:t>
          </w:r>
        </w:p>
        <w:p w:rsidR="001844F8" w:rsidRPr="001844F8" w:rsidRDefault="001844F8" w:rsidP="001844F8">
          <w:pPr>
            <w:pStyle w:val="Body"/>
            <w:rPr>
              <w:rFonts w:ascii="Arial" w:hAnsi="Arial" w:cs="Arial"/>
            </w:rPr>
          </w:pPr>
          <w:r w:rsidRPr="001844F8">
            <w:rPr>
              <w:rFonts w:ascii="Arial" w:hAnsi="Arial" w:cs="Arial"/>
            </w:rPr>
            <w:t xml:space="preserve">Rubaltelli, E., Pasini, G., Rumiati, R., Olsen, R. A., &amp; Slovic, P. (2010). The Influence of Affective Reactions on Investment Decisions. </w:t>
          </w:r>
          <w:r w:rsidRPr="001844F8">
            <w:rPr>
              <w:rFonts w:ascii="Arial" w:hAnsi="Arial" w:cs="Arial"/>
              <w:i/>
              <w:iCs/>
            </w:rPr>
            <w:t>Journal of Behavioral Finance</w:t>
          </w:r>
          <w:r w:rsidRPr="001844F8">
            <w:rPr>
              <w:rFonts w:ascii="Arial" w:hAnsi="Arial" w:cs="Arial"/>
            </w:rPr>
            <w:t xml:space="preserve">, </w:t>
          </w:r>
          <w:r w:rsidRPr="001844F8">
            <w:rPr>
              <w:rFonts w:ascii="Arial" w:hAnsi="Arial" w:cs="Arial"/>
              <w:i/>
              <w:iCs/>
            </w:rPr>
            <w:t>11</w:t>
          </w:r>
          <w:r w:rsidRPr="001844F8">
            <w:rPr>
              <w:rFonts w:ascii="Arial" w:hAnsi="Arial" w:cs="Arial"/>
            </w:rPr>
            <w:t>(3), 168–176. https://doi.org/10.1080/15427560.2010.507409</w:t>
          </w:r>
        </w:p>
        <w:p w:rsidR="001844F8" w:rsidRPr="001844F8" w:rsidRDefault="001844F8" w:rsidP="001844F8">
          <w:pPr>
            <w:pStyle w:val="Body"/>
            <w:rPr>
              <w:rFonts w:ascii="Arial" w:hAnsi="Arial" w:cs="Arial"/>
            </w:rPr>
          </w:pPr>
          <w:r w:rsidRPr="001844F8">
            <w:rPr>
              <w:rFonts w:ascii="Arial" w:hAnsi="Arial" w:cs="Arial"/>
            </w:rPr>
            <w:t xml:space="preserve">Sandi Kemal, Saparila Worokinasih, &amp; Ari Darmawan. (2020). Pengaruh Financial Knowledge dan Financial Attitude Terhadap Financial Behavior Pada Youth Entrepreneur Kota Malang. </w:t>
          </w:r>
          <w:r w:rsidRPr="001844F8">
            <w:rPr>
              <w:rFonts w:ascii="Arial" w:hAnsi="Arial" w:cs="Arial"/>
              <w:i/>
              <w:iCs/>
            </w:rPr>
            <w:t>Jurnal Administrasi Bisnis</w:t>
          </w:r>
          <w:r w:rsidRPr="001844F8">
            <w:rPr>
              <w:rFonts w:ascii="Arial" w:hAnsi="Arial" w:cs="Arial"/>
            </w:rPr>
            <w:t>, 140–150. https://profit.ub.ac.id</w:t>
          </w:r>
        </w:p>
        <w:p w:rsidR="001844F8" w:rsidRPr="001844F8" w:rsidRDefault="001844F8" w:rsidP="001844F8">
          <w:pPr>
            <w:pStyle w:val="Body"/>
            <w:rPr>
              <w:rFonts w:ascii="Arial" w:hAnsi="Arial" w:cs="Arial"/>
            </w:rPr>
          </w:pPr>
          <w:r w:rsidRPr="001844F8">
            <w:rPr>
              <w:rFonts w:ascii="Arial" w:hAnsi="Arial" w:cs="Arial"/>
            </w:rPr>
            <w:t xml:space="preserve">Seni, N. N. A., &amp; Ratnadi, N. M. D. (2023). THEORY OF PLANNED BEHAVIOR UNTUK MEMPREDIKSI NIAT BERINVESTASI. </w:t>
          </w:r>
          <w:r w:rsidRPr="001844F8">
            <w:rPr>
              <w:rFonts w:ascii="Arial" w:hAnsi="Arial" w:cs="Arial"/>
              <w:i/>
              <w:iCs/>
            </w:rPr>
            <w:t>Ekonomis: Journal of Economics and Business</w:t>
          </w:r>
          <w:r w:rsidRPr="001844F8">
            <w:rPr>
              <w:rFonts w:ascii="Arial" w:hAnsi="Arial" w:cs="Arial"/>
            </w:rPr>
            <w:t xml:space="preserve">, </w:t>
          </w:r>
          <w:r w:rsidRPr="001844F8">
            <w:rPr>
              <w:rFonts w:ascii="Arial" w:hAnsi="Arial" w:cs="Arial"/>
              <w:i/>
              <w:iCs/>
            </w:rPr>
            <w:t>7</w:t>
          </w:r>
          <w:r w:rsidRPr="001844F8">
            <w:rPr>
              <w:rFonts w:ascii="Arial" w:hAnsi="Arial" w:cs="Arial"/>
            </w:rPr>
            <w:t>(1), 226. https://doi.org/10.33087/ekonomis.v7i1.818</w:t>
          </w:r>
        </w:p>
        <w:p w:rsidR="001844F8" w:rsidRPr="001844F8" w:rsidRDefault="001844F8" w:rsidP="001844F8">
          <w:pPr>
            <w:pStyle w:val="Body"/>
            <w:rPr>
              <w:rFonts w:ascii="Arial" w:hAnsi="Arial" w:cs="Arial"/>
            </w:rPr>
          </w:pPr>
          <w:r w:rsidRPr="001844F8">
            <w:rPr>
              <w:rFonts w:ascii="Arial" w:hAnsi="Arial" w:cs="Arial"/>
            </w:rPr>
            <w:t xml:space="preserve">Sina, P. G. (2013). Financial Efficacy and Financial Satisfaction : Ditinjau dari Perbedaan Gender. </w:t>
          </w:r>
          <w:r w:rsidRPr="001844F8">
            <w:rPr>
              <w:rFonts w:ascii="Arial" w:hAnsi="Arial" w:cs="Arial"/>
              <w:i/>
              <w:iCs/>
            </w:rPr>
            <w:t>Jurnal Manajemen Maranatha</w:t>
          </w:r>
          <w:r w:rsidRPr="001844F8">
            <w:rPr>
              <w:rFonts w:ascii="Arial" w:hAnsi="Arial" w:cs="Arial"/>
            </w:rPr>
            <w:t xml:space="preserve">, </w:t>
          </w:r>
          <w:r w:rsidRPr="001844F8">
            <w:rPr>
              <w:rFonts w:ascii="Arial" w:hAnsi="Arial" w:cs="Arial"/>
              <w:i/>
              <w:iCs/>
            </w:rPr>
            <w:t>12</w:t>
          </w:r>
          <w:r w:rsidRPr="001844F8">
            <w:rPr>
              <w:rFonts w:ascii="Arial" w:hAnsi="Arial" w:cs="Arial"/>
            </w:rPr>
            <w:t>(2), 173–184. https://journal.maranatha.edu/index.php/jmm/article/view/164</w:t>
          </w:r>
        </w:p>
        <w:p w:rsidR="001844F8" w:rsidRPr="001844F8" w:rsidRDefault="001844F8" w:rsidP="001844F8">
          <w:pPr>
            <w:pStyle w:val="Body"/>
            <w:rPr>
              <w:rFonts w:ascii="Arial" w:hAnsi="Arial" w:cs="Arial"/>
            </w:rPr>
          </w:pPr>
          <w:r w:rsidRPr="001844F8">
            <w:rPr>
              <w:rFonts w:ascii="Arial" w:hAnsi="Arial" w:cs="Arial"/>
            </w:rPr>
            <w:t xml:space="preserve">Subiaktono. (2013). PENGARUH PERSONALITY TRAITS TERHADAP PERENCANAAN KEUANGAN KELUARGA. </w:t>
          </w:r>
          <w:r w:rsidRPr="001844F8">
            <w:rPr>
              <w:rFonts w:ascii="Arial" w:hAnsi="Arial" w:cs="Arial"/>
              <w:i/>
              <w:iCs/>
            </w:rPr>
            <w:t>Jurnal Dinamika Manajemen</w:t>
          </w:r>
          <w:r w:rsidRPr="001844F8">
            <w:rPr>
              <w:rFonts w:ascii="Arial" w:hAnsi="Arial" w:cs="Arial"/>
            </w:rPr>
            <w:t xml:space="preserve">, </w:t>
          </w:r>
          <w:r w:rsidRPr="001844F8">
            <w:rPr>
              <w:rFonts w:ascii="Arial" w:hAnsi="Arial" w:cs="Arial"/>
              <w:i/>
              <w:iCs/>
            </w:rPr>
            <w:t>4</w:t>
          </w:r>
          <w:r w:rsidRPr="001844F8">
            <w:rPr>
              <w:rFonts w:ascii="Arial" w:hAnsi="Arial" w:cs="Arial"/>
            </w:rPr>
            <w:t>(2), 150–163.</w:t>
          </w:r>
        </w:p>
        <w:p w:rsidR="001844F8" w:rsidRPr="001844F8" w:rsidRDefault="001844F8" w:rsidP="001844F8">
          <w:pPr>
            <w:pStyle w:val="Body"/>
            <w:rPr>
              <w:rFonts w:ascii="Arial" w:hAnsi="Arial" w:cs="Arial"/>
            </w:rPr>
          </w:pPr>
          <w:r w:rsidRPr="001844F8">
            <w:rPr>
              <w:rFonts w:ascii="Arial" w:hAnsi="Arial" w:cs="Arial"/>
            </w:rPr>
            <w:t xml:space="preserve">Sugiyono. (2018). </w:t>
          </w:r>
          <w:r w:rsidRPr="001844F8">
            <w:rPr>
              <w:rFonts w:ascii="Arial" w:hAnsi="Arial" w:cs="Arial"/>
              <w:i/>
              <w:iCs/>
            </w:rPr>
            <w:t>Metode Penelitian Kuantitatif, Kualitatif, dan R&amp;D</w:t>
          </w:r>
          <w:r w:rsidRPr="001844F8">
            <w:rPr>
              <w:rFonts w:ascii="Arial" w:hAnsi="Arial" w:cs="Arial"/>
            </w:rPr>
            <w:t>. Alfabeta.</w:t>
          </w:r>
        </w:p>
        <w:p w:rsidR="001844F8" w:rsidRPr="001844F8" w:rsidRDefault="001844F8" w:rsidP="001844F8">
          <w:pPr>
            <w:pStyle w:val="Body"/>
            <w:rPr>
              <w:rFonts w:ascii="Arial" w:hAnsi="Arial" w:cs="Arial"/>
            </w:rPr>
          </w:pPr>
          <w:r w:rsidRPr="001844F8">
            <w:rPr>
              <w:rFonts w:ascii="Arial" w:hAnsi="Arial" w:cs="Arial"/>
            </w:rPr>
            <w:t xml:space="preserve">Triyonowati. (2022). </w:t>
          </w:r>
          <w:r w:rsidRPr="001844F8">
            <w:rPr>
              <w:rFonts w:ascii="Arial" w:hAnsi="Arial" w:cs="Arial"/>
              <w:i/>
              <w:iCs/>
            </w:rPr>
            <w:t>Manajemen Keuangan 2 (Lanjutan)</w:t>
          </w:r>
          <w:r w:rsidRPr="001844F8">
            <w:rPr>
              <w:rFonts w:ascii="Arial" w:hAnsi="Arial" w:cs="Arial"/>
            </w:rPr>
            <w:t xml:space="preserve"> (W. Kurniawadi (ed.)). Wawasan Ilmu.</w:t>
          </w:r>
        </w:p>
        <w:p w:rsidR="00207B8C" w:rsidRPr="00207B8C" w:rsidRDefault="001844F8" w:rsidP="00207B8C">
          <w:pPr>
            <w:pStyle w:val="NormalWeb"/>
            <w:shd w:val="clear" w:color="auto" w:fill="FFFFFF"/>
            <w:spacing w:before="0" w:after="150"/>
            <w:rPr>
              <w:rFonts w:ascii="inherit" w:hAnsi="inherit" w:cs="Helvetica"/>
              <w:color w:val="222222"/>
              <w:sz w:val="18"/>
              <w:szCs w:val="18"/>
              <w:lang w:val="en-US" w:eastAsia="en-US"/>
            </w:rPr>
          </w:pPr>
          <w:r w:rsidRPr="001844F8">
            <w:rPr>
              <w:rFonts w:ascii="Arial" w:hAnsi="Arial" w:cs="Arial"/>
            </w:rPr>
            <w:fldChar w:fldCharType="end"/>
          </w:r>
          <w:r w:rsidR="00207B8C" w:rsidRPr="00207B8C">
            <w:rPr>
              <w:rFonts w:ascii="inherit" w:hAnsi="inherit" w:cs="Helvetica"/>
              <w:color w:val="222222"/>
              <w:sz w:val="18"/>
              <w:szCs w:val="18"/>
            </w:rPr>
            <w:t xml:space="preserve"> </w:t>
          </w:r>
          <w:proofErr w:type="spellStart"/>
          <w:r w:rsidR="00207B8C" w:rsidRPr="00FB0D9B">
            <w:rPr>
              <w:rFonts w:ascii="inherit" w:hAnsi="inherit" w:cs="Helvetica"/>
              <w:color w:val="222222"/>
              <w:sz w:val="18"/>
              <w:szCs w:val="18"/>
              <w:highlight w:val="yellow"/>
              <w:lang w:val="en-US" w:eastAsia="en-US"/>
            </w:rPr>
            <w:t>Eshpulatov</w:t>
          </w:r>
          <w:proofErr w:type="spellEnd"/>
          <w:r w:rsidR="00207B8C" w:rsidRPr="00FB0D9B">
            <w:rPr>
              <w:rFonts w:ascii="inherit" w:hAnsi="inherit" w:cs="Helvetica"/>
              <w:color w:val="222222"/>
              <w:sz w:val="18"/>
              <w:szCs w:val="18"/>
              <w:highlight w:val="yellow"/>
              <w:lang w:val="en-US" w:eastAsia="en-US"/>
            </w:rPr>
            <w:t xml:space="preserve">, D., </w:t>
          </w:r>
          <w:proofErr w:type="spellStart"/>
          <w:r w:rsidR="00207B8C" w:rsidRPr="00FB0D9B">
            <w:rPr>
              <w:rFonts w:ascii="inherit" w:hAnsi="inherit" w:cs="Helvetica"/>
              <w:color w:val="222222"/>
              <w:sz w:val="18"/>
              <w:szCs w:val="18"/>
              <w:highlight w:val="yellow"/>
              <w:lang w:val="en-US" w:eastAsia="en-US"/>
            </w:rPr>
            <w:t>Berdiev</w:t>
          </w:r>
          <w:proofErr w:type="spellEnd"/>
          <w:r w:rsidR="00207B8C" w:rsidRPr="00FB0D9B">
            <w:rPr>
              <w:rFonts w:ascii="inherit" w:hAnsi="inherit" w:cs="Helvetica"/>
              <w:color w:val="222222"/>
              <w:sz w:val="18"/>
              <w:szCs w:val="18"/>
              <w:highlight w:val="yellow"/>
              <w:lang w:val="en-US" w:eastAsia="en-US"/>
            </w:rPr>
            <w:t xml:space="preserve">, G., &amp; </w:t>
          </w:r>
          <w:proofErr w:type="spellStart"/>
          <w:r w:rsidR="00207B8C" w:rsidRPr="00FB0D9B">
            <w:rPr>
              <w:rFonts w:ascii="inherit" w:hAnsi="inherit" w:cs="Helvetica"/>
              <w:color w:val="222222"/>
              <w:sz w:val="18"/>
              <w:szCs w:val="18"/>
              <w:highlight w:val="yellow"/>
              <w:lang w:val="en-US" w:eastAsia="en-US"/>
            </w:rPr>
            <w:t>Artemenkov</w:t>
          </w:r>
          <w:proofErr w:type="spellEnd"/>
          <w:r w:rsidR="00207B8C" w:rsidRPr="00FB0D9B">
            <w:rPr>
              <w:rFonts w:ascii="inherit" w:hAnsi="inherit" w:cs="Helvetica"/>
              <w:color w:val="222222"/>
              <w:sz w:val="18"/>
              <w:szCs w:val="18"/>
              <w:highlight w:val="yellow"/>
              <w:lang w:val="en-US" w:eastAsia="en-US"/>
            </w:rPr>
            <w:t>, A. (2025). Modeling the Determinants of Stock Market Investment Intention and Behavior Among Studying Adults: Evidence from University Students Using PLS-SEM. </w:t>
          </w:r>
          <w:r w:rsidR="00207B8C" w:rsidRPr="00FB0D9B">
            <w:rPr>
              <w:rFonts w:ascii="inherit" w:hAnsi="inherit" w:cs="Helvetica"/>
              <w:i/>
              <w:iCs/>
              <w:color w:val="222222"/>
              <w:sz w:val="18"/>
              <w:szCs w:val="18"/>
              <w:highlight w:val="yellow"/>
              <w:lang w:val="en-US" w:eastAsia="en-US"/>
            </w:rPr>
            <w:t>International Journal of Financial Studies</w:t>
          </w:r>
          <w:r w:rsidR="00207B8C" w:rsidRPr="00FB0D9B">
            <w:rPr>
              <w:rFonts w:ascii="inherit" w:hAnsi="inherit" w:cs="Helvetica"/>
              <w:color w:val="222222"/>
              <w:sz w:val="18"/>
              <w:szCs w:val="18"/>
              <w:highlight w:val="yellow"/>
              <w:lang w:val="en-US" w:eastAsia="en-US"/>
            </w:rPr>
            <w:t>, </w:t>
          </w:r>
          <w:r w:rsidR="00207B8C" w:rsidRPr="00FB0D9B">
            <w:rPr>
              <w:rFonts w:ascii="inherit" w:hAnsi="inherit" w:cs="Helvetica"/>
              <w:i/>
              <w:iCs/>
              <w:color w:val="222222"/>
              <w:sz w:val="18"/>
              <w:szCs w:val="18"/>
              <w:highlight w:val="yellow"/>
              <w:lang w:val="en-US" w:eastAsia="en-US"/>
            </w:rPr>
            <w:t>13</w:t>
          </w:r>
          <w:r w:rsidR="00207B8C" w:rsidRPr="00FB0D9B">
            <w:rPr>
              <w:rFonts w:ascii="inherit" w:hAnsi="inherit" w:cs="Helvetica"/>
              <w:color w:val="222222"/>
              <w:sz w:val="18"/>
              <w:szCs w:val="18"/>
              <w:highlight w:val="yellow"/>
              <w:lang w:val="en-US" w:eastAsia="en-US"/>
            </w:rPr>
            <w:t>(3), 138. https://doi.org/10.3390/ijfs13030138</w:t>
          </w:r>
        </w:p>
        <w:p w:rsidR="001844F8" w:rsidRDefault="00E61638" w:rsidP="001844F8">
          <w:pPr>
            <w:pStyle w:val="Body"/>
            <w:spacing w:after="0"/>
            <w:rPr>
              <w:rFonts w:ascii="Arial" w:hAnsi="Arial" w:cs="Arial"/>
            </w:rPr>
          </w:pPr>
          <w:r w:rsidRPr="00FB0D9B">
            <w:rPr>
              <w:rFonts w:ascii="Arial" w:hAnsi="Arial" w:cs="Arial"/>
              <w:color w:val="222222"/>
              <w:highlight w:val="yellow"/>
              <w:shd w:val="clear" w:color="auto" w:fill="FFFFFF"/>
            </w:rPr>
            <w:t xml:space="preserve">Putri, D. M., </w:t>
          </w:r>
          <w:proofErr w:type="spellStart"/>
          <w:r w:rsidRPr="00FB0D9B">
            <w:rPr>
              <w:rFonts w:ascii="Arial" w:hAnsi="Arial" w:cs="Arial"/>
              <w:color w:val="222222"/>
              <w:highlight w:val="yellow"/>
              <w:shd w:val="clear" w:color="auto" w:fill="FFFFFF"/>
            </w:rPr>
            <w:t>Trisnawati</w:t>
          </w:r>
          <w:proofErr w:type="spellEnd"/>
          <w:r w:rsidRPr="00FB0D9B">
            <w:rPr>
              <w:rFonts w:ascii="Arial" w:hAnsi="Arial" w:cs="Arial"/>
              <w:color w:val="222222"/>
              <w:highlight w:val="yellow"/>
              <w:shd w:val="clear" w:color="auto" w:fill="FFFFFF"/>
            </w:rPr>
            <w:t xml:space="preserve">, N., Putri, S. F., &amp; </w:t>
          </w:r>
          <w:proofErr w:type="spellStart"/>
          <w:r w:rsidRPr="00FB0D9B">
            <w:rPr>
              <w:rFonts w:ascii="Arial" w:hAnsi="Arial" w:cs="Arial"/>
              <w:color w:val="222222"/>
              <w:highlight w:val="yellow"/>
              <w:shd w:val="clear" w:color="auto" w:fill="FFFFFF"/>
            </w:rPr>
            <w:t>Kurniawati</w:t>
          </w:r>
          <w:proofErr w:type="spellEnd"/>
          <w:r w:rsidRPr="00FB0D9B">
            <w:rPr>
              <w:rFonts w:ascii="Arial" w:hAnsi="Arial" w:cs="Arial"/>
              <w:color w:val="222222"/>
              <w:highlight w:val="yellow"/>
              <w:shd w:val="clear" w:color="auto" w:fill="FFFFFF"/>
            </w:rPr>
            <w:t>, S. (2025). Applying the Theory of Planned Behavior: Determinants of Stock Investment Intentions Among Individual Investors in East Java. </w:t>
          </w:r>
          <w:r w:rsidRPr="00FB0D9B">
            <w:rPr>
              <w:rFonts w:ascii="Arial" w:hAnsi="Arial" w:cs="Arial"/>
              <w:i/>
              <w:iCs/>
              <w:color w:val="222222"/>
              <w:highlight w:val="yellow"/>
              <w:shd w:val="clear" w:color="auto" w:fill="FFFFFF"/>
            </w:rPr>
            <w:t>Electronic Journal of Education, Social Economics and Technology</w:t>
          </w:r>
          <w:r w:rsidRPr="00FB0D9B">
            <w:rPr>
              <w:rFonts w:ascii="Arial" w:hAnsi="Arial" w:cs="Arial"/>
              <w:color w:val="222222"/>
              <w:highlight w:val="yellow"/>
              <w:shd w:val="clear" w:color="auto" w:fill="FFFFFF"/>
            </w:rPr>
            <w:t>, </w:t>
          </w:r>
          <w:r w:rsidRPr="00FB0D9B">
            <w:rPr>
              <w:rFonts w:ascii="Arial" w:hAnsi="Arial" w:cs="Arial"/>
              <w:i/>
              <w:iCs/>
              <w:color w:val="222222"/>
              <w:highlight w:val="yellow"/>
              <w:shd w:val="clear" w:color="auto" w:fill="FFFFFF"/>
            </w:rPr>
            <w:t>6</w:t>
          </w:r>
          <w:r w:rsidRPr="00FB0D9B">
            <w:rPr>
              <w:rFonts w:ascii="Arial" w:hAnsi="Arial" w:cs="Arial"/>
              <w:color w:val="222222"/>
              <w:highlight w:val="yellow"/>
              <w:shd w:val="clear" w:color="auto" w:fill="FFFFFF"/>
            </w:rPr>
            <w:t>(1), 1201-1210.</w:t>
          </w:r>
        </w:p>
      </w:sdtContent>
    </w:sdt>
    <w:p w:rsidR="00790ADA" w:rsidRPr="00FB3A86" w:rsidRDefault="00790ADA" w:rsidP="00441B6F">
      <w:pPr>
        <w:pStyle w:val="Body"/>
        <w:spacing w:after="0"/>
        <w:rPr>
          <w:rFonts w:ascii="Arial" w:hAnsi="Arial" w:cs="Arial"/>
        </w:rPr>
      </w:pPr>
    </w:p>
    <w:p w:rsidR="004D4277" w:rsidRPr="00FB3A86" w:rsidRDefault="004D4277" w:rsidP="00441B6F">
      <w:pPr>
        <w:pStyle w:val="Appendix"/>
        <w:spacing w:after="0"/>
        <w:jc w:val="both"/>
        <w:rPr>
          <w:rFonts w:ascii="Arial" w:hAnsi="Arial" w:cs="Arial"/>
          <w:b w:val="0"/>
        </w:rPr>
        <w:sectPr w:rsidR="004D4277" w:rsidRPr="00FB3A86" w:rsidSect="007468AB">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7468A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5CA" w:rsidRDefault="00B155CA" w:rsidP="00C37E61">
      <w:r>
        <w:separator/>
      </w:r>
    </w:p>
  </w:endnote>
  <w:endnote w:type="continuationSeparator" w:id="0">
    <w:p w:rsidR="00B155CA" w:rsidRDefault="00B155C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nherit">
    <w:altName w:val="Cambria"/>
    <w:panose1 w:val="00000000000000000000"/>
    <w:charset w:val="00"/>
    <w:family w:val="roman"/>
    <w:notTrueType/>
    <w:pitch w:val="default"/>
  </w:font>
  <w:font w:name="Century Schoolbook">
    <w:altName w:val="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64E" w:rsidRDefault="006E6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64E" w:rsidRDefault="006E66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64E" w:rsidRDefault="006E664E">
    <w:pPr>
      <w:pStyle w:val="Footer"/>
      <w:rPr>
        <w:rFonts w:ascii="Arial" w:hAnsi="Arial" w:cs="Arial"/>
        <w:sz w:val="16"/>
      </w:rPr>
    </w:pPr>
  </w:p>
  <w:p w:rsidR="006E664E" w:rsidRDefault="006E664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6E664E" w:rsidRDefault="006E664E">
    <w:pPr>
      <w:pStyle w:val="Footer"/>
      <w:rPr>
        <w:rFonts w:ascii="Arial" w:hAnsi="Arial" w:cs="Arial"/>
        <w:sz w:val="16"/>
      </w:rPr>
    </w:pPr>
  </w:p>
  <w:p w:rsidR="006E664E" w:rsidRPr="009E048A" w:rsidRDefault="006E664E">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64E" w:rsidRPr="00C37E61" w:rsidRDefault="006E664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5CA" w:rsidRDefault="00B155CA" w:rsidP="00C37E61">
      <w:r>
        <w:separator/>
      </w:r>
    </w:p>
  </w:footnote>
  <w:footnote w:type="continuationSeparator" w:id="0">
    <w:p w:rsidR="00B155CA" w:rsidRDefault="00B155C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64E" w:rsidRDefault="006E66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34172"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64E" w:rsidRDefault="006E66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34173"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64E" w:rsidRPr="00296529" w:rsidRDefault="006E664E"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34171"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rsidR="006E664E" w:rsidRPr="00296529" w:rsidRDefault="006E664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6E664E" w:rsidRPr="00296529" w:rsidRDefault="006E664E" w:rsidP="00296529">
    <w:pPr>
      <w:jc w:val="center"/>
      <w:rPr>
        <w:rFonts w:ascii="Times New Roman" w:eastAsia="Calibri" w:hAnsi="Times New Roman"/>
        <w:i/>
        <w:sz w:val="18"/>
        <w:szCs w:val="22"/>
      </w:rPr>
    </w:pPr>
    <w:r>
      <w:rPr>
        <w:rFonts w:ascii="Times New Roman" w:eastAsia="Calibri" w:hAnsi="Times New Roman"/>
        <w:i/>
        <w:sz w:val="18"/>
        <w:szCs w:val="22"/>
      </w:rPr>
      <w:t>.</w:t>
    </w:r>
  </w:p>
  <w:p w:rsidR="006E664E" w:rsidRPr="00296529" w:rsidRDefault="006E664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6E664E" w:rsidRDefault="006E664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6E664E" w:rsidRDefault="006E664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6E664E" w:rsidRDefault="006E664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64E" w:rsidRDefault="006E66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34175"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64E" w:rsidRDefault="006E66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34176"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64E" w:rsidRDefault="006E664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9734174"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F340D"/>
    <w:multiLevelType w:val="hybridMultilevel"/>
    <w:tmpl w:val="FD9874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51054"/>
    <w:multiLevelType w:val="hybridMultilevel"/>
    <w:tmpl w:val="D43A6FE2"/>
    <w:lvl w:ilvl="0" w:tplc="C91E0BEC">
      <w:start w:val="1"/>
      <w:numFmt w:val="lowerLetter"/>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2" w15:restartNumberingAfterBreak="0">
    <w:nsid w:val="0DE23E8B"/>
    <w:multiLevelType w:val="hybridMultilevel"/>
    <w:tmpl w:val="28A214B8"/>
    <w:lvl w:ilvl="0" w:tplc="682266C0">
      <w:start w:val="1"/>
      <w:numFmt w:val="lowerLetter"/>
      <w:lvlText w:val="%1)"/>
      <w:lvlJc w:val="left"/>
      <w:pPr>
        <w:ind w:left="720" w:hanging="360"/>
      </w:pPr>
      <w:rPr>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6663CB"/>
    <w:multiLevelType w:val="hybridMultilevel"/>
    <w:tmpl w:val="3E9A27A2"/>
    <w:lvl w:ilvl="0" w:tplc="C7021350">
      <w:start w:val="1"/>
      <w:numFmt w:val="low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8B64AFA"/>
    <w:multiLevelType w:val="hybridMultilevel"/>
    <w:tmpl w:val="2310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F259D"/>
    <w:multiLevelType w:val="hybridMultilevel"/>
    <w:tmpl w:val="67A0CCF6"/>
    <w:lvl w:ilvl="0" w:tplc="CD6C3CC2">
      <w:start w:val="1"/>
      <w:numFmt w:val="decimal"/>
      <w:lvlText w:val="%1."/>
      <w:lvlJc w:val="left"/>
      <w:pPr>
        <w:ind w:left="2847" w:hanging="360"/>
      </w:pPr>
      <w:rPr>
        <w:rFonts w:hint="default"/>
        <w:color w:val="auto"/>
      </w:rPr>
    </w:lvl>
    <w:lvl w:ilvl="1" w:tplc="38090019" w:tentative="1">
      <w:start w:val="1"/>
      <w:numFmt w:val="lowerLetter"/>
      <w:lvlText w:val="%2."/>
      <w:lvlJc w:val="left"/>
      <w:pPr>
        <w:ind w:left="3567" w:hanging="360"/>
      </w:pPr>
    </w:lvl>
    <w:lvl w:ilvl="2" w:tplc="3809001B" w:tentative="1">
      <w:start w:val="1"/>
      <w:numFmt w:val="lowerRoman"/>
      <w:lvlText w:val="%3."/>
      <w:lvlJc w:val="right"/>
      <w:pPr>
        <w:ind w:left="4287" w:hanging="180"/>
      </w:pPr>
    </w:lvl>
    <w:lvl w:ilvl="3" w:tplc="3809000F" w:tentative="1">
      <w:start w:val="1"/>
      <w:numFmt w:val="decimal"/>
      <w:lvlText w:val="%4."/>
      <w:lvlJc w:val="left"/>
      <w:pPr>
        <w:ind w:left="5007" w:hanging="360"/>
      </w:pPr>
    </w:lvl>
    <w:lvl w:ilvl="4" w:tplc="38090019" w:tentative="1">
      <w:start w:val="1"/>
      <w:numFmt w:val="lowerLetter"/>
      <w:lvlText w:val="%5."/>
      <w:lvlJc w:val="left"/>
      <w:pPr>
        <w:ind w:left="5727" w:hanging="360"/>
      </w:pPr>
    </w:lvl>
    <w:lvl w:ilvl="5" w:tplc="3809001B" w:tentative="1">
      <w:start w:val="1"/>
      <w:numFmt w:val="lowerRoman"/>
      <w:lvlText w:val="%6."/>
      <w:lvlJc w:val="right"/>
      <w:pPr>
        <w:ind w:left="6447" w:hanging="180"/>
      </w:pPr>
    </w:lvl>
    <w:lvl w:ilvl="6" w:tplc="3809000F" w:tentative="1">
      <w:start w:val="1"/>
      <w:numFmt w:val="decimal"/>
      <w:lvlText w:val="%7."/>
      <w:lvlJc w:val="left"/>
      <w:pPr>
        <w:ind w:left="7167" w:hanging="360"/>
      </w:pPr>
    </w:lvl>
    <w:lvl w:ilvl="7" w:tplc="38090019" w:tentative="1">
      <w:start w:val="1"/>
      <w:numFmt w:val="lowerLetter"/>
      <w:lvlText w:val="%8."/>
      <w:lvlJc w:val="left"/>
      <w:pPr>
        <w:ind w:left="7887" w:hanging="360"/>
      </w:pPr>
    </w:lvl>
    <w:lvl w:ilvl="8" w:tplc="3809001B" w:tentative="1">
      <w:start w:val="1"/>
      <w:numFmt w:val="lowerRoman"/>
      <w:lvlText w:val="%9."/>
      <w:lvlJc w:val="right"/>
      <w:pPr>
        <w:ind w:left="8607" w:hanging="180"/>
      </w:pPr>
    </w:lvl>
  </w:abstractNum>
  <w:abstractNum w:abstractNumId="6" w15:restartNumberingAfterBreak="0">
    <w:nsid w:val="4AAE3542"/>
    <w:multiLevelType w:val="hybridMultilevel"/>
    <w:tmpl w:val="D5269140"/>
    <w:lvl w:ilvl="0" w:tplc="44BC44A8">
      <w:start w:val="1"/>
      <w:numFmt w:val="decimal"/>
      <w:lvlText w:val="%1."/>
      <w:lvlJc w:val="left"/>
      <w:pPr>
        <w:ind w:left="720" w:hanging="360"/>
      </w:pPr>
      <w:rPr>
        <w:rFonts w:hint="default"/>
      </w:rPr>
    </w:lvl>
    <w:lvl w:ilvl="1" w:tplc="BD7CC23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BC27AB7"/>
    <w:multiLevelType w:val="hybridMultilevel"/>
    <w:tmpl w:val="41E20BB2"/>
    <w:lvl w:ilvl="0" w:tplc="0412A43E">
      <w:start w:val="1"/>
      <w:numFmt w:val="lowerLetter"/>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618F7ED5"/>
    <w:multiLevelType w:val="hybridMultilevel"/>
    <w:tmpl w:val="207C9D7A"/>
    <w:lvl w:ilvl="0" w:tplc="38090019">
      <w:start w:val="1"/>
      <w:numFmt w:val="lowerLetter"/>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580A86"/>
    <w:multiLevelType w:val="hybridMultilevel"/>
    <w:tmpl w:val="E4A2A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5048FA"/>
    <w:multiLevelType w:val="hybridMultilevel"/>
    <w:tmpl w:val="5AD89B94"/>
    <w:lvl w:ilvl="0" w:tplc="03B80C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1"/>
  </w:num>
  <w:num w:numId="2">
    <w:abstractNumId w:val="6"/>
  </w:num>
  <w:num w:numId="3">
    <w:abstractNumId w:val="1"/>
  </w:num>
  <w:num w:numId="4">
    <w:abstractNumId w:val="8"/>
  </w:num>
  <w:num w:numId="5">
    <w:abstractNumId w:val="7"/>
  </w:num>
  <w:num w:numId="6">
    <w:abstractNumId w:val="9"/>
  </w:num>
  <w:num w:numId="7">
    <w:abstractNumId w:val="4"/>
  </w:num>
  <w:num w:numId="8">
    <w:abstractNumId w:val="0"/>
  </w:num>
  <w:num w:numId="9">
    <w:abstractNumId w:val="2"/>
  </w:num>
  <w:num w:numId="10">
    <w:abstractNumId w:val="5"/>
  </w:num>
  <w:num w:numId="11">
    <w:abstractNumId w:val="3"/>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3tjA1NjQyMDI1NTZX0lEKTi0uzszPAykwrAUAlZmUmCwAAAA="/>
  </w:docVars>
  <w:rsids>
    <w:rsidRoot w:val="00AA6219"/>
    <w:rsid w:val="00000F8F"/>
    <w:rsid w:val="00001A9E"/>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844F8"/>
    <w:rsid w:val="00191062"/>
    <w:rsid w:val="00192B72"/>
    <w:rsid w:val="001A29D8"/>
    <w:rsid w:val="001A310D"/>
    <w:rsid w:val="001A5CAA"/>
    <w:rsid w:val="001B0427"/>
    <w:rsid w:val="001D3A51"/>
    <w:rsid w:val="001E10D2"/>
    <w:rsid w:val="001E25B4"/>
    <w:rsid w:val="001E44FE"/>
    <w:rsid w:val="00200595"/>
    <w:rsid w:val="00200BFF"/>
    <w:rsid w:val="00204835"/>
    <w:rsid w:val="00207B8C"/>
    <w:rsid w:val="00231920"/>
    <w:rsid w:val="0023195C"/>
    <w:rsid w:val="0024282C"/>
    <w:rsid w:val="002460DC"/>
    <w:rsid w:val="00250985"/>
    <w:rsid w:val="002556F6"/>
    <w:rsid w:val="00283105"/>
    <w:rsid w:val="00284C4C"/>
    <w:rsid w:val="00287E68"/>
    <w:rsid w:val="00296529"/>
    <w:rsid w:val="002A3FF2"/>
    <w:rsid w:val="002A7FAE"/>
    <w:rsid w:val="002B27FB"/>
    <w:rsid w:val="002B685A"/>
    <w:rsid w:val="002C57D2"/>
    <w:rsid w:val="002E0353"/>
    <w:rsid w:val="002E0D56"/>
    <w:rsid w:val="00315186"/>
    <w:rsid w:val="0032134B"/>
    <w:rsid w:val="0033343E"/>
    <w:rsid w:val="003512C2"/>
    <w:rsid w:val="00371FB6"/>
    <w:rsid w:val="003763C1"/>
    <w:rsid w:val="00376BBE"/>
    <w:rsid w:val="0039224F"/>
    <w:rsid w:val="003A43A4"/>
    <w:rsid w:val="003A7E18"/>
    <w:rsid w:val="003C4C86"/>
    <w:rsid w:val="003C6258"/>
    <w:rsid w:val="003C64F9"/>
    <w:rsid w:val="003E2904"/>
    <w:rsid w:val="00401927"/>
    <w:rsid w:val="0041027F"/>
    <w:rsid w:val="00412475"/>
    <w:rsid w:val="00423789"/>
    <w:rsid w:val="00440F43"/>
    <w:rsid w:val="00441B6F"/>
    <w:rsid w:val="00446221"/>
    <w:rsid w:val="00450E62"/>
    <w:rsid w:val="004539DB"/>
    <w:rsid w:val="00471A80"/>
    <w:rsid w:val="004D305E"/>
    <w:rsid w:val="004D4277"/>
    <w:rsid w:val="004F246E"/>
    <w:rsid w:val="00502516"/>
    <w:rsid w:val="00505F06"/>
    <w:rsid w:val="00506828"/>
    <w:rsid w:val="0053056E"/>
    <w:rsid w:val="0054040D"/>
    <w:rsid w:val="00554FDA"/>
    <w:rsid w:val="005616A5"/>
    <w:rsid w:val="005756CD"/>
    <w:rsid w:val="00592262"/>
    <w:rsid w:val="005C784C"/>
    <w:rsid w:val="005D17F6"/>
    <w:rsid w:val="005E0752"/>
    <w:rsid w:val="005E5539"/>
    <w:rsid w:val="00602BF5"/>
    <w:rsid w:val="00617FDD"/>
    <w:rsid w:val="00633614"/>
    <w:rsid w:val="00633F68"/>
    <w:rsid w:val="00636EB2"/>
    <w:rsid w:val="006375B8"/>
    <w:rsid w:val="0066510A"/>
    <w:rsid w:val="00673F9F"/>
    <w:rsid w:val="00686953"/>
    <w:rsid w:val="00687DEA"/>
    <w:rsid w:val="00687E67"/>
    <w:rsid w:val="0069569D"/>
    <w:rsid w:val="006967F7"/>
    <w:rsid w:val="006A250C"/>
    <w:rsid w:val="006B21D3"/>
    <w:rsid w:val="006B57D0"/>
    <w:rsid w:val="006D30FF"/>
    <w:rsid w:val="006D6940"/>
    <w:rsid w:val="006E664E"/>
    <w:rsid w:val="006F11EC"/>
    <w:rsid w:val="0070082C"/>
    <w:rsid w:val="00701105"/>
    <w:rsid w:val="007369E6"/>
    <w:rsid w:val="007418CF"/>
    <w:rsid w:val="007468AB"/>
    <w:rsid w:val="00746E59"/>
    <w:rsid w:val="00754C9A"/>
    <w:rsid w:val="0075599A"/>
    <w:rsid w:val="00761D52"/>
    <w:rsid w:val="0077749E"/>
    <w:rsid w:val="00790ADA"/>
    <w:rsid w:val="007B3E2E"/>
    <w:rsid w:val="007D2288"/>
    <w:rsid w:val="007D2C8C"/>
    <w:rsid w:val="007E088F"/>
    <w:rsid w:val="007F06AE"/>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A058C"/>
    <w:rsid w:val="009B3FB9"/>
    <w:rsid w:val="009C2465"/>
    <w:rsid w:val="009D35A0"/>
    <w:rsid w:val="009D7EB7"/>
    <w:rsid w:val="009E048A"/>
    <w:rsid w:val="009E08E9"/>
    <w:rsid w:val="009E3DB9"/>
    <w:rsid w:val="009E6E35"/>
    <w:rsid w:val="009F0EDA"/>
    <w:rsid w:val="009F3882"/>
    <w:rsid w:val="00A03B96"/>
    <w:rsid w:val="00A05B19"/>
    <w:rsid w:val="00A0781F"/>
    <w:rsid w:val="00A1134E"/>
    <w:rsid w:val="00A12A73"/>
    <w:rsid w:val="00A24E7E"/>
    <w:rsid w:val="00A258C3"/>
    <w:rsid w:val="00A347C0"/>
    <w:rsid w:val="00A51431"/>
    <w:rsid w:val="00A539AD"/>
    <w:rsid w:val="00A94063"/>
    <w:rsid w:val="00AA6219"/>
    <w:rsid w:val="00AA74E0"/>
    <w:rsid w:val="00AB703F"/>
    <w:rsid w:val="00AC6BB8"/>
    <w:rsid w:val="00AE008F"/>
    <w:rsid w:val="00B01FCD"/>
    <w:rsid w:val="00B155CA"/>
    <w:rsid w:val="00B1776C"/>
    <w:rsid w:val="00B52583"/>
    <w:rsid w:val="00B52896"/>
    <w:rsid w:val="00B95236"/>
    <w:rsid w:val="00B96BD9"/>
    <w:rsid w:val="00BA1B01"/>
    <w:rsid w:val="00BA2641"/>
    <w:rsid w:val="00BB37AA"/>
    <w:rsid w:val="00BC0E65"/>
    <w:rsid w:val="00BC53A0"/>
    <w:rsid w:val="00BE62AD"/>
    <w:rsid w:val="00BF121F"/>
    <w:rsid w:val="00BF1F80"/>
    <w:rsid w:val="00C166EF"/>
    <w:rsid w:val="00C17EB0"/>
    <w:rsid w:val="00C27F5F"/>
    <w:rsid w:val="00C30A0F"/>
    <w:rsid w:val="00C37E61"/>
    <w:rsid w:val="00C479B2"/>
    <w:rsid w:val="00C63C10"/>
    <w:rsid w:val="00C70F1B"/>
    <w:rsid w:val="00C71A47"/>
    <w:rsid w:val="00C7464C"/>
    <w:rsid w:val="00C85588"/>
    <w:rsid w:val="00CA7515"/>
    <w:rsid w:val="00CB00BD"/>
    <w:rsid w:val="00CD6755"/>
    <w:rsid w:val="00CD6856"/>
    <w:rsid w:val="00CE0089"/>
    <w:rsid w:val="00CE2CF0"/>
    <w:rsid w:val="00CE793C"/>
    <w:rsid w:val="00CF193C"/>
    <w:rsid w:val="00CF480C"/>
    <w:rsid w:val="00D173F1"/>
    <w:rsid w:val="00D74CB0"/>
    <w:rsid w:val="00D8295D"/>
    <w:rsid w:val="00DC2A65"/>
    <w:rsid w:val="00DE15F0"/>
    <w:rsid w:val="00DE5663"/>
    <w:rsid w:val="00DE78AA"/>
    <w:rsid w:val="00E053D0"/>
    <w:rsid w:val="00E15994"/>
    <w:rsid w:val="00E3114E"/>
    <w:rsid w:val="00E31A70"/>
    <w:rsid w:val="00E35B02"/>
    <w:rsid w:val="00E61638"/>
    <w:rsid w:val="00E66496"/>
    <w:rsid w:val="00E66B35"/>
    <w:rsid w:val="00E66E10"/>
    <w:rsid w:val="00E769F6"/>
    <w:rsid w:val="00E8407C"/>
    <w:rsid w:val="00E84F3C"/>
    <w:rsid w:val="00E92400"/>
    <w:rsid w:val="00EA012C"/>
    <w:rsid w:val="00EC6A55"/>
    <w:rsid w:val="00ED0288"/>
    <w:rsid w:val="00EE52CB"/>
    <w:rsid w:val="00EF581D"/>
    <w:rsid w:val="00EF7FD8"/>
    <w:rsid w:val="00F06F59"/>
    <w:rsid w:val="00F17988"/>
    <w:rsid w:val="00F469F0"/>
    <w:rsid w:val="00F53273"/>
    <w:rsid w:val="00F678DA"/>
    <w:rsid w:val="00F755E4"/>
    <w:rsid w:val="00F77D02"/>
    <w:rsid w:val="00FB0D9B"/>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768C2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9"/>
    <w:unhideWhenUsed/>
    <w:qFormat/>
    <w:rsid w:val="001844F8"/>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9"/>
    <w:unhideWhenUsed/>
    <w:qFormat/>
    <w:rsid w:val="001844F8"/>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1844F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844F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rsid w:val="00EF7FD8"/>
    <w:pPr>
      <w:spacing w:after="120" w:line="480" w:lineRule="auto"/>
    </w:pPr>
  </w:style>
  <w:style w:type="character" w:customStyle="1" w:styleId="BodyText2Char">
    <w:name w:val="Body Text 2 Char"/>
    <w:basedOn w:val="DefaultParagraphFont"/>
    <w:link w:val="BodyText2"/>
    <w:uiPriority w:val="99"/>
    <w:rsid w:val="00EF7FD8"/>
    <w:rPr>
      <w:rFonts w:ascii="Helvetica" w:hAnsi="Helvetica"/>
    </w:rPr>
  </w:style>
  <w:style w:type="character" w:styleId="CommentReference">
    <w:name w:val="annotation reference"/>
    <w:basedOn w:val="DefaultParagraphFont"/>
    <w:uiPriority w:val="99"/>
    <w:unhideWhenUsed/>
    <w:qFormat/>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uiPriority w:val="9"/>
    <w:rsid w:val="001844F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1844F8"/>
    <w:rPr>
      <w:rFonts w:asciiTheme="majorHAnsi" w:eastAsiaTheme="majorEastAsia" w:hAnsiTheme="majorHAnsi" w:cstheme="majorBidi"/>
      <w:color w:val="365F91" w:themeColor="accent1" w:themeShade="BF"/>
    </w:rPr>
  </w:style>
  <w:style w:type="character" w:customStyle="1" w:styleId="Heading2Char">
    <w:name w:val="Heading 2 Char"/>
    <w:basedOn w:val="DefaultParagraphFont"/>
    <w:link w:val="Heading2"/>
    <w:uiPriority w:val="99"/>
    <w:rsid w:val="001844F8"/>
    <w:rPr>
      <w:rFonts w:ascii="Calibri Light" w:hAnsi="Calibri Light"/>
      <w:b/>
      <w:bCs/>
      <w:i/>
      <w:iCs/>
      <w:sz w:val="28"/>
      <w:szCs w:val="28"/>
    </w:rPr>
  </w:style>
  <w:style w:type="character" w:customStyle="1" w:styleId="Heading3Char">
    <w:name w:val="Heading 3 Char"/>
    <w:basedOn w:val="DefaultParagraphFont"/>
    <w:link w:val="Heading3"/>
    <w:uiPriority w:val="99"/>
    <w:rsid w:val="001844F8"/>
    <w:rPr>
      <w:rFonts w:ascii="Calibri Light" w:hAnsi="Calibri Light"/>
      <w:b/>
      <w:bCs/>
      <w:sz w:val="26"/>
      <w:szCs w:val="26"/>
    </w:rPr>
  </w:style>
  <w:style w:type="paragraph" w:styleId="BodyTextIndent3">
    <w:name w:val="Body Text Indent 3"/>
    <w:basedOn w:val="Normal"/>
    <w:link w:val="BodyTextIndent3Char"/>
    <w:rsid w:val="001844F8"/>
    <w:pPr>
      <w:ind w:firstLine="360"/>
      <w:jc w:val="both"/>
    </w:pPr>
    <w:rPr>
      <w:rFonts w:ascii="Times New Roman" w:eastAsia="MS Mincho" w:hAnsi="Times New Roman"/>
      <w:sz w:val="24"/>
      <w:szCs w:val="24"/>
    </w:rPr>
  </w:style>
  <w:style w:type="character" w:customStyle="1" w:styleId="BodyTextIndent3Char">
    <w:name w:val="Body Text Indent 3 Char"/>
    <w:basedOn w:val="DefaultParagraphFont"/>
    <w:link w:val="BodyTextIndent3"/>
    <w:rsid w:val="001844F8"/>
    <w:rPr>
      <w:rFonts w:eastAsia="MS Mincho"/>
      <w:sz w:val="24"/>
      <w:szCs w:val="24"/>
    </w:rPr>
  </w:style>
  <w:style w:type="character" w:customStyle="1" w:styleId="HeaderChar">
    <w:name w:val="Header Char"/>
    <w:link w:val="Header"/>
    <w:uiPriority w:val="99"/>
    <w:rsid w:val="001844F8"/>
    <w:rPr>
      <w:rFonts w:ascii="Helvetica" w:hAnsi="Helvetica"/>
    </w:rPr>
  </w:style>
  <w:style w:type="character" w:customStyle="1" w:styleId="FooterChar">
    <w:name w:val="Footer Char"/>
    <w:link w:val="Footer"/>
    <w:uiPriority w:val="99"/>
    <w:rsid w:val="001844F8"/>
    <w:rPr>
      <w:rFonts w:ascii="Helvetica" w:hAnsi="Helvetica"/>
    </w:rPr>
  </w:style>
  <w:style w:type="paragraph" w:styleId="EndnoteText">
    <w:name w:val="endnote text"/>
    <w:basedOn w:val="Normal"/>
    <w:link w:val="EndnoteTextChar"/>
    <w:semiHidden/>
    <w:unhideWhenUsed/>
    <w:rsid w:val="001844F8"/>
    <w:rPr>
      <w:rFonts w:ascii="Times New Roman" w:eastAsia="MS Mincho" w:hAnsi="Times New Roman"/>
    </w:rPr>
  </w:style>
  <w:style w:type="character" w:customStyle="1" w:styleId="EndnoteTextChar">
    <w:name w:val="Endnote Text Char"/>
    <w:basedOn w:val="DefaultParagraphFont"/>
    <w:link w:val="EndnoteText"/>
    <w:semiHidden/>
    <w:rsid w:val="001844F8"/>
    <w:rPr>
      <w:rFonts w:eastAsia="MS Mincho"/>
    </w:rPr>
  </w:style>
  <w:style w:type="character" w:styleId="EndnoteReference">
    <w:name w:val="endnote reference"/>
    <w:semiHidden/>
    <w:unhideWhenUsed/>
    <w:rsid w:val="001844F8"/>
    <w:rPr>
      <w:vertAlign w:val="superscript"/>
    </w:rPr>
  </w:style>
  <w:style w:type="paragraph" w:styleId="FootnoteText">
    <w:name w:val="footnote text"/>
    <w:basedOn w:val="Normal"/>
    <w:link w:val="FootnoteTextChar"/>
    <w:uiPriority w:val="99"/>
    <w:unhideWhenUsed/>
    <w:rsid w:val="001844F8"/>
    <w:rPr>
      <w:rFonts w:ascii="Times New Roman" w:eastAsia="MS Mincho" w:hAnsi="Times New Roman"/>
    </w:rPr>
  </w:style>
  <w:style w:type="character" w:customStyle="1" w:styleId="FootnoteTextChar">
    <w:name w:val="Footnote Text Char"/>
    <w:basedOn w:val="DefaultParagraphFont"/>
    <w:link w:val="FootnoteText"/>
    <w:uiPriority w:val="99"/>
    <w:rsid w:val="001844F8"/>
    <w:rPr>
      <w:rFonts w:eastAsia="MS Mincho"/>
    </w:rPr>
  </w:style>
  <w:style w:type="character" w:styleId="FootnoteReference">
    <w:name w:val="footnote reference"/>
    <w:uiPriority w:val="99"/>
    <w:unhideWhenUsed/>
    <w:rsid w:val="001844F8"/>
    <w:rPr>
      <w:vertAlign w:val="superscript"/>
    </w:rPr>
  </w:style>
  <w:style w:type="paragraph" w:styleId="ListParagraph">
    <w:name w:val="List Paragraph"/>
    <w:aliases w:val="skripsi,anak bab,awal,List Paragraph2,UGEX'Z,Body of text,Level2,Colorful List - Accent 11,Body Text Char1,Char Char2"/>
    <w:basedOn w:val="Normal"/>
    <w:link w:val="ListParagraphChar"/>
    <w:uiPriority w:val="34"/>
    <w:qFormat/>
    <w:rsid w:val="001844F8"/>
    <w:pPr>
      <w:ind w:left="720"/>
      <w:contextualSpacing/>
    </w:pPr>
    <w:rPr>
      <w:rFonts w:ascii="Times New Roman" w:eastAsia="MS Mincho" w:hAnsi="Times New Roman"/>
      <w:sz w:val="24"/>
      <w:szCs w:val="24"/>
    </w:rPr>
  </w:style>
  <w:style w:type="paragraph" w:styleId="CommentSubject">
    <w:name w:val="annotation subject"/>
    <w:basedOn w:val="CommentText"/>
    <w:next w:val="CommentText"/>
    <w:link w:val="CommentSubjectChar"/>
    <w:uiPriority w:val="99"/>
    <w:semiHidden/>
    <w:unhideWhenUsed/>
    <w:rsid w:val="001844F8"/>
    <w:rPr>
      <w:rFonts w:eastAsia="MS Mincho"/>
      <w:b/>
      <w:bCs/>
      <w:lang w:val="en-US" w:eastAsia="en-US"/>
    </w:rPr>
  </w:style>
  <w:style w:type="character" w:customStyle="1" w:styleId="CommentSubjectChar">
    <w:name w:val="Comment Subject Char"/>
    <w:basedOn w:val="CommentTextChar"/>
    <w:link w:val="CommentSubject"/>
    <w:uiPriority w:val="99"/>
    <w:semiHidden/>
    <w:rsid w:val="001844F8"/>
    <w:rPr>
      <w:rFonts w:eastAsia="MS Mincho"/>
      <w:b/>
      <w:bCs/>
      <w:lang w:val="nb-NO" w:eastAsia="nb-NO"/>
    </w:rPr>
  </w:style>
  <w:style w:type="character" w:customStyle="1" w:styleId="ListParagraphChar">
    <w:name w:val="List Paragraph Char"/>
    <w:aliases w:val="skripsi Char,anak bab Char,awal Char,List Paragraph2 Char,UGEX'Z Char,Body of text Char,Level2 Char,Colorful List - Accent 11 Char,Body Text Char1 Char,Char Char2 Char"/>
    <w:link w:val="ListParagraph"/>
    <w:uiPriority w:val="34"/>
    <w:qFormat/>
    <w:rsid w:val="001844F8"/>
    <w:rPr>
      <w:rFonts w:eastAsia="MS Mincho"/>
      <w:sz w:val="24"/>
      <w:szCs w:val="24"/>
    </w:rPr>
  </w:style>
  <w:style w:type="paragraph" w:styleId="NoSpacing">
    <w:name w:val="No Spacing"/>
    <w:link w:val="NoSpacingChar"/>
    <w:uiPriority w:val="1"/>
    <w:qFormat/>
    <w:rsid w:val="001844F8"/>
    <w:pPr>
      <w:jc w:val="both"/>
    </w:pPr>
    <w:rPr>
      <w:sz w:val="24"/>
      <w:lang w:val="en-AU" w:eastAsia="tr-TR"/>
    </w:rPr>
  </w:style>
  <w:style w:type="table" w:styleId="ListTable3">
    <w:name w:val="List Table 3"/>
    <w:basedOn w:val="TableNormal"/>
    <w:uiPriority w:val="48"/>
    <w:rsid w:val="001844F8"/>
    <w:rPr>
      <w:rFonts w:ascii="Times" w:hAnsi="Time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DocumentMap">
    <w:name w:val="Document Map"/>
    <w:basedOn w:val="Normal"/>
    <w:link w:val="DocumentMapChar"/>
    <w:semiHidden/>
    <w:unhideWhenUsed/>
    <w:rsid w:val="001844F8"/>
    <w:pPr>
      <w:jc w:val="both"/>
    </w:pPr>
    <w:rPr>
      <w:rFonts w:ascii="Times New Roman" w:hAnsi="Times New Roman"/>
      <w:sz w:val="24"/>
      <w:szCs w:val="24"/>
      <w:lang w:val="en-AU" w:eastAsia="tr-TR"/>
    </w:rPr>
  </w:style>
  <w:style w:type="character" w:customStyle="1" w:styleId="DocumentMapChar">
    <w:name w:val="Document Map Char"/>
    <w:basedOn w:val="DefaultParagraphFont"/>
    <w:link w:val="DocumentMap"/>
    <w:semiHidden/>
    <w:rsid w:val="001844F8"/>
    <w:rPr>
      <w:sz w:val="24"/>
      <w:szCs w:val="24"/>
      <w:lang w:val="en-AU" w:eastAsia="tr-TR"/>
    </w:rPr>
  </w:style>
  <w:style w:type="paragraph" w:customStyle="1" w:styleId="ListParagraph1">
    <w:name w:val="List Paragraph1"/>
    <w:basedOn w:val="Normal"/>
    <w:uiPriority w:val="34"/>
    <w:qFormat/>
    <w:rsid w:val="001844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nhideWhenUsed/>
    <w:rsid w:val="001844F8"/>
    <w:pPr>
      <w:spacing w:after="120"/>
    </w:pPr>
    <w:rPr>
      <w:rFonts w:ascii="Times New Roman" w:eastAsia="MS Mincho" w:hAnsi="Times New Roman"/>
      <w:sz w:val="24"/>
      <w:szCs w:val="24"/>
    </w:rPr>
  </w:style>
  <w:style w:type="character" w:customStyle="1" w:styleId="BodyTextChar">
    <w:name w:val="Body Text Char"/>
    <w:basedOn w:val="DefaultParagraphFont"/>
    <w:link w:val="BodyText"/>
    <w:rsid w:val="001844F8"/>
    <w:rPr>
      <w:rFonts w:eastAsia="MS Mincho"/>
      <w:sz w:val="24"/>
      <w:szCs w:val="24"/>
    </w:rPr>
  </w:style>
  <w:style w:type="paragraph" w:customStyle="1" w:styleId="Default">
    <w:name w:val="Default"/>
    <w:qFormat/>
    <w:rsid w:val="001844F8"/>
    <w:pPr>
      <w:autoSpaceDE w:val="0"/>
      <w:autoSpaceDN w:val="0"/>
      <w:adjustRightInd w:val="0"/>
    </w:pPr>
    <w:rPr>
      <w:color w:val="000000"/>
      <w:sz w:val="24"/>
      <w:szCs w:val="24"/>
      <w:lang w:val="tr-TR" w:eastAsia="tr-TR"/>
    </w:rPr>
  </w:style>
  <w:style w:type="paragraph" w:customStyle="1" w:styleId="quotation">
    <w:name w:val="quotation"/>
    <w:basedOn w:val="Normal"/>
    <w:qFormat/>
    <w:rsid w:val="001844F8"/>
    <w:pPr>
      <w:spacing w:before="120" w:line="220" w:lineRule="atLeast"/>
      <w:ind w:left="567" w:right="526"/>
      <w:jc w:val="both"/>
    </w:pPr>
    <w:rPr>
      <w:rFonts w:ascii="Times New Roman" w:hAnsi="Times New Roman"/>
      <w:sz w:val="24"/>
      <w:lang w:val="en-AU" w:eastAsia="tr-TR"/>
    </w:rPr>
  </w:style>
  <w:style w:type="character" w:customStyle="1" w:styleId="Heading1Char">
    <w:name w:val="Heading 1 Char"/>
    <w:link w:val="Heading1"/>
    <w:uiPriority w:val="9"/>
    <w:rsid w:val="001844F8"/>
    <w:rPr>
      <w:rFonts w:ascii="Arial" w:hAnsi="Arial"/>
      <w:b/>
      <w:kern w:val="28"/>
      <w:sz w:val="28"/>
    </w:rPr>
  </w:style>
  <w:style w:type="paragraph" w:styleId="NormalWeb">
    <w:name w:val="Normal (Web)"/>
    <w:basedOn w:val="Normal"/>
    <w:uiPriority w:val="99"/>
    <w:rsid w:val="001844F8"/>
    <w:pPr>
      <w:spacing w:before="160" w:line="260" w:lineRule="atLeast"/>
      <w:jc w:val="both"/>
    </w:pPr>
    <w:rPr>
      <w:rFonts w:ascii="Times New Roman" w:hAnsi="Times New Roman"/>
      <w:sz w:val="24"/>
      <w:szCs w:val="24"/>
      <w:lang w:val="en-AU" w:eastAsia="tr-TR"/>
    </w:rPr>
  </w:style>
  <w:style w:type="character" w:customStyle="1" w:styleId="ez-toc-section">
    <w:name w:val="ez-toc-section"/>
    <w:rsid w:val="001844F8"/>
  </w:style>
  <w:style w:type="paragraph" w:styleId="TOC2">
    <w:name w:val="toc 2"/>
    <w:basedOn w:val="Normal"/>
    <w:next w:val="Normal"/>
    <w:autoRedefine/>
    <w:uiPriority w:val="39"/>
    <w:unhideWhenUsed/>
    <w:rsid w:val="001844F8"/>
    <w:pPr>
      <w:spacing w:before="240" w:after="100" w:line="480" w:lineRule="auto"/>
      <w:ind w:left="240" w:firstLine="397"/>
      <w:jc w:val="both"/>
    </w:pPr>
    <w:rPr>
      <w:rFonts w:ascii="Times New Roman" w:eastAsia="Calibri" w:hAnsi="Times New Roman"/>
      <w:sz w:val="24"/>
      <w:szCs w:val="22"/>
      <w:lang w:val="id-ID"/>
    </w:rPr>
  </w:style>
  <w:style w:type="character" w:customStyle="1" w:styleId="Title1">
    <w:name w:val="Title1"/>
    <w:rsid w:val="001844F8"/>
  </w:style>
  <w:style w:type="paragraph" w:customStyle="1" w:styleId="tabletext">
    <w:name w:val="tabletext"/>
    <w:basedOn w:val="Normal"/>
    <w:rsid w:val="001844F8"/>
    <w:pPr>
      <w:spacing w:line="220" w:lineRule="atLeast"/>
      <w:jc w:val="both"/>
    </w:pPr>
    <w:rPr>
      <w:rFonts w:ascii="Times New Roman" w:hAnsi="Times New Roman"/>
      <w:lang w:val="en-AU" w:eastAsia="tr-TR"/>
    </w:rPr>
  </w:style>
  <w:style w:type="table" w:styleId="PlainTable2">
    <w:name w:val="Plain Table 2"/>
    <w:basedOn w:val="TableNormal"/>
    <w:uiPriority w:val="42"/>
    <w:rsid w:val="001844F8"/>
    <w:rPr>
      <w:rFonts w:ascii="Times" w:hAnsi="Tim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itle2">
    <w:name w:val="Title2"/>
    <w:rsid w:val="001844F8"/>
  </w:style>
  <w:style w:type="paragraph" w:customStyle="1" w:styleId="HeaderJERE">
    <w:name w:val="Header_JERE"/>
    <w:basedOn w:val="Header"/>
    <w:link w:val="HeaderJEREChar"/>
    <w:qFormat/>
    <w:rsid w:val="001844F8"/>
  </w:style>
  <w:style w:type="character" w:customStyle="1" w:styleId="HeaderJEREChar">
    <w:name w:val="Header_JERE Char"/>
    <w:link w:val="HeaderJERE"/>
    <w:rsid w:val="001844F8"/>
    <w:rPr>
      <w:rFonts w:ascii="Helvetica" w:hAnsi="Helvetica"/>
    </w:rPr>
  </w:style>
  <w:style w:type="paragraph" w:customStyle="1" w:styleId="TableParagraph">
    <w:name w:val="Table Paragraph"/>
    <w:basedOn w:val="Normal"/>
    <w:uiPriority w:val="1"/>
    <w:qFormat/>
    <w:rsid w:val="001844F8"/>
    <w:pPr>
      <w:widowControl w:val="0"/>
      <w:autoSpaceDE w:val="0"/>
      <w:autoSpaceDN w:val="0"/>
    </w:pPr>
    <w:rPr>
      <w:rFonts w:ascii="Times New Roman" w:hAnsi="Times New Roman"/>
      <w:sz w:val="22"/>
      <w:szCs w:val="22"/>
    </w:rPr>
  </w:style>
  <w:style w:type="paragraph" w:styleId="Caption">
    <w:name w:val="caption"/>
    <w:basedOn w:val="Normal"/>
    <w:next w:val="Normal"/>
    <w:unhideWhenUsed/>
    <w:qFormat/>
    <w:rsid w:val="001844F8"/>
    <w:pPr>
      <w:spacing w:after="200"/>
    </w:pPr>
    <w:rPr>
      <w:rFonts w:ascii="Times New Roman" w:eastAsia="Calibri" w:hAnsi="Times New Roman"/>
      <w:b/>
      <w:bCs/>
      <w:color w:val="4472C4"/>
      <w:sz w:val="18"/>
      <w:szCs w:val="18"/>
    </w:rPr>
  </w:style>
  <w:style w:type="paragraph" w:customStyle="1" w:styleId="Normal1">
    <w:name w:val="Normal1"/>
    <w:rsid w:val="001844F8"/>
    <w:pPr>
      <w:spacing w:after="200" w:line="276" w:lineRule="auto"/>
    </w:pPr>
    <w:rPr>
      <w:rFonts w:ascii="Calibri" w:eastAsia="Calibri" w:hAnsi="Calibri" w:cs="Calibri"/>
      <w:sz w:val="22"/>
      <w:szCs w:val="22"/>
    </w:rPr>
  </w:style>
  <w:style w:type="table" w:customStyle="1" w:styleId="TableGrid1">
    <w:name w:val="Table Grid1"/>
    <w:basedOn w:val="TableNormal"/>
    <w:next w:val="TableGrid"/>
    <w:uiPriority w:val="39"/>
    <w:rsid w:val="001844F8"/>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0">
    <w:name w:val="reference"/>
    <w:basedOn w:val="Normal"/>
    <w:rsid w:val="001844F8"/>
    <w:pPr>
      <w:keepLines/>
      <w:spacing w:line="220" w:lineRule="atLeast"/>
      <w:ind w:left="560" w:hanging="560"/>
      <w:jc w:val="both"/>
    </w:pPr>
    <w:rPr>
      <w:rFonts w:ascii="Times New Roman" w:hAnsi="Times New Roman"/>
      <w:sz w:val="24"/>
      <w:lang w:val="en-AU" w:eastAsia="tr-TR"/>
    </w:rPr>
  </w:style>
  <w:style w:type="table" w:customStyle="1" w:styleId="TableGrid2">
    <w:name w:val="Table Grid2"/>
    <w:basedOn w:val="TableNormal"/>
    <w:next w:val="TableGrid"/>
    <w:uiPriority w:val="59"/>
    <w:rsid w:val="001844F8"/>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44F8"/>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44F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44F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44F8"/>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844F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irstparagraph">
    <w:name w:val="First paragraph"/>
    <w:basedOn w:val="Normal"/>
    <w:next w:val="Normal"/>
    <w:rsid w:val="001844F8"/>
    <w:pPr>
      <w:overflowPunct w:val="0"/>
      <w:autoSpaceDE w:val="0"/>
      <w:autoSpaceDN w:val="0"/>
      <w:adjustRightInd w:val="0"/>
      <w:spacing w:line="260" w:lineRule="exact"/>
      <w:jc w:val="both"/>
      <w:textAlignment w:val="baseline"/>
    </w:pPr>
    <w:rPr>
      <w:rFonts w:ascii="Times New Roman" w:hAnsi="Times New Roman"/>
      <w:sz w:val="24"/>
    </w:rPr>
  </w:style>
  <w:style w:type="character" w:customStyle="1" w:styleId="fontstyle01">
    <w:name w:val="fontstyle01"/>
    <w:rsid w:val="001844F8"/>
    <w:rPr>
      <w:rFonts w:ascii="Calibri" w:hAnsi="Calibri" w:cs="Calibri" w:hint="default"/>
      <w:b w:val="0"/>
      <w:bCs w:val="0"/>
      <w:i w:val="0"/>
      <w:iCs w:val="0"/>
      <w:color w:val="000000"/>
      <w:sz w:val="22"/>
      <w:szCs w:val="22"/>
    </w:rPr>
  </w:style>
  <w:style w:type="paragraph" w:customStyle="1" w:styleId="address">
    <w:name w:val="address"/>
    <w:basedOn w:val="Normal"/>
    <w:qFormat/>
    <w:rsid w:val="001844F8"/>
    <w:pPr>
      <w:overflowPunct w:val="0"/>
      <w:autoSpaceDE w:val="0"/>
      <w:autoSpaceDN w:val="0"/>
      <w:adjustRightInd w:val="0"/>
      <w:spacing w:after="200" w:line="220" w:lineRule="atLeast"/>
      <w:contextualSpacing/>
      <w:jc w:val="center"/>
      <w:textAlignment w:val="baseline"/>
    </w:pPr>
    <w:rPr>
      <w:rFonts w:ascii="Calibri" w:hAnsi="Calibri"/>
      <w:sz w:val="18"/>
      <w:lang w:eastAsia="zh-CN"/>
    </w:rPr>
  </w:style>
  <w:style w:type="paragraph" w:styleId="Bibliography">
    <w:name w:val="Bibliography"/>
    <w:basedOn w:val="Normal"/>
    <w:next w:val="Normal"/>
    <w:uiPriority w:val="37"/>
    <w:semiHidden/>
    <w:unhideWhenUsed/>
    <w:rsid w:val="001844F8"/>
    <w:rPr>
      <w:rFonts w:ascii="Times New Roman" w:eastAsia="MS Mincho" w:hAnsi="Times New Roman"/>
      <w:sz w:val="24"/>
      <w:szCs w:val="24"/>
    </w:rPr>
  </w:style>
  <w:style w:type="table" w:customStyle="1" w:styleId="TableGrid7">
    <w:name w:val="Table Grid7"/>
    <w:basedOn w:val="TableNormal"/>
    <w:next w:val="TableGrid"/>
    <w:uiPriority w:val="59"/>
    <w:rsid w:val="001844F8"/>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44F8"/>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1844F8"/>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jlqj4b">
    <w:name w:val="jlqj4b"/>
    <w:rsid w:val="001844F8"/>
  </w:style>
  <w:style w:type="character" w:customStyle="1" w:styleId="viiyi">
    <w:name w:val="viiyi"/>
    <w:rsid w:val="001844F8"/>
  </w:style>
  <w:style w:type="character" w:customStyle="1" w:styleId="tlid-translation">
    <w:name w:val="tlid-translation"/>
    <w:rsid w:val="001844F8"/>
  </w:style>
  <w:style w:type="table" w:customStyle="1" w:styleId="TableGrid9">
    <w:name w:val="Table Grid9"/>
    <w:basedOn w:val="TableNormal"/>
    <w:next w:val="TableGrid"/>
    <w:uiPriority w:val="59"/>
    <w:rsid w:val="001844F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44F8"/>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Table6Colorful1">
    <w:name w:val="List Table 6 Colorful1"/>
    <w:basedOn w:val="TableNormal"/>
    <w:next w:val="ListTable6Colorful"/>
    <w:uiPriority w:val="51"/>
    <w:rsid w:val="001844F8"/>
    <w:rPr>
      <w:rFonts w:ascii="Times" w:hAnsi="Times"/>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1844F8"/>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
    <w:name w:val="List Table 1 Light"/>
    <w:basedOn w:val="TableNormal"/>
    <w:uiPriority w:val="46"/>
    <w:rsid w:val="001844F8"/>
    <w:rPr>
      <w:rFonts w:ascii="Times" w:hAnsi="Times"/>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1">
    <w:name w:val="Table Grid11"/>
    <w:basedOn w:val="TableNormal"/>
    <w:next w:val="TableGrid"/>
    <w:uiPriority w:val="39"/>
    <w:rsid w:val="001844F8"/>
    <w:pPr>
      <w:spacing w:beforeAutospacing="1" w:afterAutospacing="1"/>
      <w:ind w:left="-57" w:right="-57"/>
      <w:jc w:val="center"/>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1844F8"/>
    <w:rPr>
      <w:rFonts w:ascii="Times"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39"/>
    <w:rsid w:val="001844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1844F8"/>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TableNormal"/>
    <w:uiPriority w:val="42"/>
    <w:rsid w:val="001844F8"/>
    <w:rPr>
      <w:rFonts w:ascii="Times" w:hAnsi="Tim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ghtShading1">
    <w:name w:val="Light Shading1"/>
    <w:basedOn w:val="TableNormal"/>
    <w:next w:val="LightShading"/>
    <w:uiPriority w:val="60"/>
    <w:rsid w:val="001844F8"/>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PlainTable22">
    <w:name w:val="Plain Table 22"/>
    <w:basedOn w:val="TableNormal"/>
    <w:next w:val="PlainTable2"/>
    <w:uiPriority w:val="42"/>
    <w:rsid w:val="001844F8"/>
    <w:rPr>
      <w:rFonts w:ascii="Times" w:hAnsi="Tim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0">
    <w:name w:val="TableGrid"/>
    <w:rsid w:val="001844F8"/>
    <w:rPr>
      <w:rFonts w:ascii="Calibri" w:hAnsi="Calibri"/>
      <w:sz w:val="22"/>
      <w:szCs w:val="22"/>
    </w:rPr>
    <w:tblPr>
      <w:tblCellMar>
        <w:top w:w="0" w:type="dxa"/>
        <w:left w:w="0" w:type="dxa"/>
        <w:bottom w:w="0" w:type="dxa"/>
        <w:right w:w="0" w:type="dxa"/>
      </w:tblCellMar>
    </w:tblPr>
  </w:style>
  <w:style w:type="paragraph" w:styleId="HTMLPreformatted">
    <w:name w:val="HTML Preformatted"/>
    <w:basedOn w:val="Normal"/>
    <w:link w:val="HTMLPreformattedChar"/>
    <w:uiPriority w:val="99"/>
    <w:unhideWhenUsed/>
    <w:rsid w:val="001844F8"/>
    <w:rPr>
      <w:rFonts w:ascii="Courier New" w:eastAsia="MS Mincho" w:hAnsi="Courier New" w:cs="Courier New"/>
    </w:rPr>
  </w:style>
  <w:style w:type="character" w:customStyle="1" w:styleId="HTMLPreformattedChar">
    <w:name w:val="HTML Preformatted Char"/>
    <w:basedOn w:val="DefaultParagraphFont"/>
    <w:link w:val="HTMLPreformatted"/>
    <w:uiPriority w:val="99"/>
    <w:rsid w:val="001844F8"/>
    <w:rPr>
      <w:rFonts w:ascii="Courier New" w:eastAsia="MS Mincho" w:hAnsi="Courier New" w:cs="Courier New"/>
    </w:rPr>
  </w:style>
  <w:style w:type="table" w:customStyle="1" w:styleId="TableGrid15">
    <w:name w:val="Table Grid15"/>
    <w:basedOn w:val="TableNormal"/>
    <w:next w:val="TableGrid"/>
    <w:uiPriority w:val="59"/>
    <w:rsid w:val="001844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44F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1844F8"/>
    <w:pPr>
      <w:spacing w:after="120"/>
      <w:ind w:left="360"/>
    </w:pPr>
    <w:rPr>
      <w:rFonts w:ascii="Times New Roman" w:eastAsia="MS Mincho" w:hAnsi="Times New Roman"/>
      <w:sz w:val="24"/>
      <w:szCs w:val="24"/>
    </w:rPr>
  </w:style>
  <w:style w:type="character" w:customStyle="1" w:styleId="BodyTextIndentChar">
    <w:name w:val="Body Text Indent Char"/>
    <w:basedOn w:val="DefaultParagraphFont"/>
    <w:link w:val="BodyTextIndent"/>
    <w:semiHidden/>
    <w:rsid w:val="001844F8"/>
    <w:rPr>
      <w:rFonts w:eastAsia="MS Mincho"/>
      <w:sz w:val="24"/>
      <w:szCs w:val="24"/>
    </w:rPr>
  </w:style>
  <w:style w:type="paragraph" w:styleId="BodyTextIndent2">
    <w:name w:val="Body Text Indent 2"/>
    <w:basedOn w:val="Normal"/>
    <w:link w:val="BodyTextIndent2Char"/>
    <w:uiPriority w:val="99"/>
    <w:unhideWhenUsed/>
    <w:rsid w:val="001844F8"/>
    <w:pPr>
      <w:spacing w:after="120" w:line="480" w:lineRule="auto"/>
      <w:ind w:left="360"/>
    </w:pPr>
    <w:rPr>
      <w:rFonts w:ascii="Times New Roman" w:eastAsia="MS Mincho" w:hAnsi="Times New Roman"/>
      <w:sz w:val="24"/>
      <w:szCs w:val="24"/>
    </w:rPr>
  </w:style>
  <w:style w:type="character" w:customStyle="1" w:styleId="BodyTextIndent2Char">
    <w:name w:val="Body Text Indent 2 Char"/>
    <w:basedOn w:val="DefaultParagraphFont"/>
    <w:link w:val="BodyTextIndent2"/>
    <w:uiPriority w:val="99"/>
    <w:rsid w:val="001844F8"/>
    <w:rPr>
      <w:rFonts w:eastAsia="MS Mincho"/>
      <w:sz w:val="24"/>
      <w:szCs w:val="24"/>
    </w:rPr>
  </w:style>
  <w:style w:type="character" w:customStyle="1" w:styleId="y2iqfc">
    <w:name w:val="y2iqfc"/>
    <w:basedOn w:val="DefaultParagraphFont"/>
    <w:rsid w:val="001844F8"/>
  </w:style>
  <w:style w:type="table" w:customStyle="1" w:styleId="TableGrid17">
    <w:name w:val="Table Grid17"/>
    <w:basedOn w:val="TableNormal"/>
    <w:next w:val="TableGrid"/>
    <w:rsid w:val="001844F8"/>
    <w:rPr>
      <w:rFonts w:ascii="Calibri" w:eastAsia="Calibri" w:hAnsi="Calibri" w:cs="Calibri"/>
      <w:sz w:val="22"/>
      <w:szCs w:val="22"/>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1844F8"/>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
    <w:uiPriority w:val="42"/>
    <w:rsid w:val="001844F8"/>
    <w:rPr>
      <w:rFonts w:ascii="Times" w:hAnsi="Time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hortAbstract">
    <w:name w:val="Short Abstract"/>
    <w:rsid w:val="001844F8"/>
    <w:rPr>
      <w:rFonts w:ascii="Times New Roman" w:eastAsia="Times New Roman" w:hAnsi="Times New Roman"/>
      <w:sz w:val="20"/>
    </w:rPr>
  </w:style>
  <w:style w:type="paragraph" w:customStyle="1" w:styleId="JEREauthor">
    <w:name w:val="JERE_author"/>
    <w:basedOn w:val="Normal"/>
    <w:link w:val="JEREauthorChar"/>
    <w:qFormat/>
    <w:rsid w:val="001844F8"/>
    <w:pPr>
      <w:spacing w:line="360" w:lineRule="auto"/>
      <w:ind w:right="193"/>
    </w:pPr>
    <w:rPr>
      <w:rFonts w:ascii="Cambria" w:eastAsia="SimSun" w:hAnsi="Cambria"/>
      <w:b/>
      <w:sz w:val="24"/>
      <w:szCs w:val="24"/>
      <w:lang w:eastAsia="tr-TR"/>
    </w:rPr>
  </w:style>
  <w:style w:type="character" w:customStyle="1" w:styleId="JEREauthorChar">
    <w:name w:val="JERE_author Char"/>
    <w:basedOn w:val="DefaultParagraphFont"/>
    <w:link w:val="JEREauthor"/>
    <w:qFormat/>
    <w:rsid w:val="001844F8"/>
    <w:rPr>
      <w:rFonts w:ascii="Cambria" w:eastAsia="SimSun" w:hAnsi="Cambria"/>
      <w:b/>
      <w:sz w:val="24"/>
      <w:szCs w:val="24"/>
      <w:lang w:eastAsia="tr-TR"/>
    </w:rPr>
  </w:style>
  <w:style w:type="character" w:customStyle="1" w:styleId="NoSpacingChar">
    <w:name w:val="No Spacing Char"/>
    <w:basedOn w:val="DefaultParagraphFont"/>
    <w:link w:val="NoSpacing"/>
    <w:uiPriority w:val="1"/>
    <w:rsid w:val="001844F8"/>
    <w:rPr>
      <w:sz w:val="24"/>
      <w:lang w:val="en-AU" w:eastAsia="tr-TR"/>
    </w:rPr>
  </w:style>
  <w:style w:type="paragraph" w:customStyle="1" w:styleId="Bab">
    <w:name w:val="Bab"/>
    <w:basedOn w:val="Heading1"/>
    <w:link w:val="BabChar"/>
    <w:rsid w:val="001844F8"/>
    <w:pPr>
      <w:keepLines/>
      <w:spacing w:before="0" w:after="0" w:line="480" w:lineRule="auto"/>
    </w:pPr>
    <w:rPr>
      <w:rFonts w:ascii="Times New Roman" w:eastAsiaTheme="majorEastAsia" w:hAnsi="Times New Roman"/>
      <w:b w:val="0"/>
      <w:kern w:val="0"/>
      <w:sz w:val="24"/>
      <w:szCs w:val="24"/>
      <w:lang w:val="en-ID"/>
    </w:rPr>
  </w:style>
  <w:style w:type="character" w:customStyle="1" w:styleId="BabChar">
    <w:name w:val="Bab Char"/>
    <w:basedOn w:val="DefaultParagraphFont"/>
    <w:link w:val="Bab"/>
    <w:rsid w:val="001844F8"/>
    <w:rPr>
      <w:rFonts w:eastAsiaTheme="majorEastAsia"/>
      <w:sz w:val="24"/>
      <w:szCs w:val="24"/>
      <w:lang w:val="en-ID"/>
    </w:rPr>
  </w:style>
  <w:style w:type="paragraph" w:styleId="TOCHeading">
    <w:name w:val="TOC Heading"/>
    <w:basedOn w:val="Heading1"/>
    <w:next w:val="Normal"/>
    <w:uiPriority w:val="39"/>
    <w:unhideWhenUsed/>
    <w:qFormat/>
    <w:rsid w:val="001844F8"/>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Normal"/>
    <w:next w:val="Normal"/>
    <w:autoRedefine/>
    <w:uiPriority w:val="39"/>
    <w:unhideWhenUsed/>
    <w:rsid w:val="001844F8"/>
    <w:pPr>
      <w:tabs>
        <w:tab w:val="right" w:leader="dot" w:pos="7927"/>
      </w:tabs>
      <w:spacing w:after="100" w:line="259" w:lineRule="auto"/>
      <w:jc w:val="both"/>
    </w:pPr>
    <w:rPr>
      <w:rFonts w:asciiTheme="minorHAnsi" w:eastAsiaTheme="minorHAnsi" w:hAnsiTheme="minorHAnsi" w:cstheme="minorBidi"/>
      <w:sz w:val="22"/>
      <w:szCs w:val="22"/>
      <w:lang w:val="en-ID"/>
    </w:rPr>
  </w:style>
  <w:style w:type="paragraph" w:styleId="TOC3">
    <w:name w:val="toc 3"/>
    <w:basedOn w:val="Normal"/>
    <w:next w:val="Normal"/>
    <w:autoRedefine/>
    <w:uiPriority w:val="39"/>
    <w:unhideWhenUsed/>
    <w:rsid w:val="001844F8"/>
    <w:pPr>
      <w:tabs>
        <w:tab w:val="left" w:pos="993"/>
        <w:tab w:val="right" w:leader="dot" w:pos="7927"/>
      </w:tabs>
      <w:spacing w:after="100" w:line="259" w:lineRule="auto"/>
      <w:ind w:left="440"/>
    </w:pPr>
    <w:rPr>
      <w:rFonts w:asciiTheme="minorHAnsi" w:eastAsiaTheme="minorHAnsi" w:hAnsiTheme="minorHAnsi" w:cstheme="minorBidi"/>
      <w:sz w:val="22"/>
      <w:szCs w:val="22"/>
      <w:lang w:val="en-ID"/>
    </w:rPr>
  </w:style>
  <w:style w:type="paragraph" w:styleId="TOC4">
    <w:name w:val="toc 4"/>
    <w:basedOn w:val="Normal"/>
    <w:next w:val="Normal"/>
    <w:autoRedefine/>
    <w:uiPriority w:val="39"/>
    <w:unhideWhenUsed/>
    <w:rsid w:val="001844F8"/>
    <w:pPr>
      <w:tabs>
        <w:tab w:val="left" w:pos="993"/>
        <w:tab w:val="right" w:leader="dot" w:pos="7927"/>
      </w:tabs>
      <w:spacing w:after="100" w:line="259" w:lineRule="auto"/>
      <w:ind w:left="660"/>
    </w:pPr>
    <w:rPr>
      <w:rFonts w:asciiTheme="minorHAnsi" w:eastAsiaTheme="minorHAnsi" w:hAnsiTheme="minorHAnsi" w:cstheme="minorBidi"/>
      <w:sz w:val="22"/>
      <w:szCs w:val="22"/>
      <w:lang w:val="en-ID"/>
    </w:rPr>
  </w:style>
  <w:style w:type="character" w:customStyle="1" w:styleId="UnresolvedMention1">
    <w:name w:val="Unresolved Mention1"/>
    <w:basedOn w:val="DefaultParagraphFont"/>
    <w:uiPriority w:val="99"/>
    <w:semiHidden/>
    <w:unhideWhenUsed/>
    <w:rsid w:val="001844F8"/>
    <w:rPr>
      <w:color w:val="605E5C"/>
      <w:shd w:val="clear" w:color="auto" w:fill="E1DFDD"/>
    </w:rPr>
  </w:style>
  <w:style w:type="character" w:styleId="PlaceholderText">
    <w:name w:val="Placeholder Text"/>
    <w:basedOn w:val="DefaultParagraphFont"/>
    <w:uiPriority w:val="99"/>
    <w:semiHidden/>
    <w:rsid w:val="001844F8"/>
    <w:rPr>
      <w:color w:val="808080"/>
    </w:rPr>
  </w:style>
  <w:style w:type="paragraph" w:styleId="TOC5">
    <w:name w:val="toc 5"/>
    <w:basedOn w:val="Normal"/>
    <w:next w:val="Normal"/>
    <w:autoRedefine/>
    <w:uiPriority w:val="39"/>
    <w:unhideWhenUsed/>
    <w:rsid w:val="001844F8"/>
    <w:pPr>
      <w:spacing w:after="100" w:line="259" w:lineRule="auto"/>
      <w:ind w:left="880"/>
    </w:pPr>
    <w:rPr>
      <w:rFonts w:asciiTheme="minorHAnsi" w:eastAsiaTheme="minorHAnsi" w:hAnsiTheme="minorHAnsi" w:cstheme="minorBidi"/>
      <w:sz w:val="22"/>
      <w:szCs w:val="22"/>
      <w:lang w:val="en-ID"/>
    </w:rPr>
  </w:style>
  <w:style w:type="paragraph" w:styleId="TOC6">
    <w:name w:val="toc 6"/>
    <w:basedOn w:val="Normal"/>
    <w:next w:val="Normal"/>
    <w:autoRedefine/>
    <w:uiPriority w:val="39"/>
    <w:unhideWhenUsed/>
    <w:rsid w:val="001844F8"/>
    <w:pPr>
      <w:spacing w:after="100" w:line="259" w:lineRule="auto"/>
      <w:ind w:left="1100"/>
    </w:pPr>
    <w:rPr>
      <w:rFonts w:asciiTheme="minorHAnsi" w:eastAsiaTheme="minorEastAsia" w:hAnsiTheme="minorHAnsi" w:cstheme="minorBidi"/>
      <w:sz w:val="22"/>
      <w:szCs w:val="22"/>
      <w:lang w:val="en-ID" w:eastAsia="en-ID"/>
    </w:rPr>
  </w:style>
  <w:style w:type="paragraph" w:styleId="TOC7">
    <w:name w:val="toc 7"/>
    <w:basedOn w:val="Normal"/>
    <w:next w:val="Normal"/>
    <w:autoRedefine/>
    <w:uiPriority w:val="39"/>
    <w:unhideWhenUsed/>
    <w:rsid w:val="001844F8"/>
    <w:pPr>
      <w:spacing w:after="100" w:line="259" w:lineRule="auto"/>
      <w:ind w:left="1320"/>
    </w:pPr>
    <w:rPr>
      <w:rFonts w:asciiTheme="minorHAnsi" w:eastAsiaTheme="minorEastAsia" w:hAnsiTheme="minorHAnsi" w:cstheme="minorBidi"/>
      <w:sz w:val="22"/>
      <w:szCs w:val="22"/>
      <w:lang w:val="en-ID" w:eastAsia="en-ID"/>
    </w:rPr>
  </w:style>
  <w:style w:type="paragraph" w:styleId="TOC8">
    <w:name w:val="toc 8"/>
    <w:basedOn w:val="Normal"/>
    <w:next w:val="Normal"/>
    <w:autoRedefine/>
    <w:uiPriority w:val="39"/>
    <w:unhideWhenUsed/>
    <w:rsid w:val="001844F8"/>
    <w:pPr>
      <w:spacing w:after="100" w:line="259" w:lineRule="auto"/>
      <w:ind w:left="1540"/>
    </w:pPr>
    <w:rPr>
      <w:rFonts w:asciiTheme="minorHAnsi" w:eastAsiaTheme="minorEastAsia" w:hAnsiTheme="minorHAnsi" w:cstheme="minorBidi"/>
      <w:sz w:val="22"/>
      <w:szCs w:val="22"/>
      <w:lang w:val="en-ID" w:eastAsia="en-ID"/>
    </w:rPr>
  </w:style>
  <w:style w:type="paragraph" w:styleId="TOC9">
    <w:name w:val="toc 9"/>
    <w:basedOn w:val="Normal"/>
    <w:next w:val="Normal"/>
    <w:autoRedefine/>
    <w:uiPriority w:val="39"/>
    <w:unhideWhenUsed/>
    <w:rsid w:val="001844F8"/>
    <w:pPr>
      <w:spacing w:after="100" w:line="259" w:lineRule="auto"/>
      <w:ind w:left="1760"/>
    </w:pPr>
    <w:rPr>
      <w:rFonts w:asciiTheme="minorHAnsi" w:eastAsiaTheme="minorEastAsia" w:hAnsiTheme="minorHAnsi" w:cstheme="minorBidi"/>
      <w:sz w:val="22"/>
      <w:szCs w:val="22"/>
      <w:lang w:val="en-ID" w:eastAsia="en-ID"/>
    </w:rPr>
  </w:style>
  <w:style w:type="numbering" w:customStyle="1" w:styleId="NoList1">
    <w:name w:val="No List1"/>
    <w:next w:val="NoList"/>
    <w:uiPriority w:val="99"/>
    <w:semiHidden/>
    <w:unhideWhenUsed/>
    <w:rsid w:val="001844F8"/>
  </w:style>
  <w:style w:type="numbering" w:customStyle="1" w:styleId="NoList2">
    <w:name w:val="No List2"/>
    <w:next w:val="NoList"/>
    <w:uiPriority w:val="99"/>
    <w:semiHidden/>
    <w:unhideWhenUsed/>
    <w:rsid w:val="001844F8"/>
  </w:style>
  <w:style w:type="character" w:customStyle="1" w:styleId="UnresolvedMention2">
    <w:name w:val="Unresolved Mention2"/>
    <w:basedOn w:val="DefaultParagraphFont"/>
    <w:uiPriority w:val="99"/>
    <w:semiHidden/>
    <w:unhideWhenUsed/>
    <w:rsid w:val="00184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7550312">
      <w:bodyDiv w:val="1"/>
      <w:marLeft w:val="0"/>
      <w:marRight w:val="0"/>
      <w:marTop w:val="0"/>
      <w:marBottom w:val="0"/>
      <w:divBdr>
        <w:top w:val="none" w:sz="0" w:space="0" w:color="auto"/>
        <w:left w:val="none" w:sz="0" w:space="0" w:color="auto"/>
        <w:bottom w:val="none" w:sz="0" w:space="0" w:color="auto"/>
        <w:right w:val="none" w:sz="0" w:space="0" w:color="auto"/>
      </w:divBdr>
      <w:divsChild>
        <w:div w:id="486480789">
          <w:marLeft w:val="0"/>
          <w:marRight w:val="0"/>
          <w:marTop w:val="0"/>
          <w:marBottom w:val="0"/>
          <w:divBdr>
            <w:top w:val="none" w:sz="0" w:space="0" w:color="auto"/>
            <w:left w:val="none" w:sz="0" w:space="0" w:color="auto"/>
            <w:bottom w:val="none" w:sz="0" w:space="0" w:color="auto"/>
            <w:right w:val="none" w:sz="0" w:space="0" w:color="auto"/>
          </w:divBdr>
          <w:divsChild>
            <w:div w:id="157470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010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1BE29-2613-4C7A-ADE6-DD85080DE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TotalTime>
  <Pages>35</Pages>
  <Words>24644</Words>
  <Characters>140476</Characters>
  <Application>Microsoft Office Word</Application>
  <DocSecurity>0</DocSecurity>
  <Lines>1170</Lines>
  <Paragraphs>329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164791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42</cp:revision>
  <cp:lastPrinted>1999-07-06T11:00:00Z</cp:lastPrinted>
  <dcterms:created xsi:type="dcterms:W3CDTF">2014-10-25T14:34:00Z</dcterms:created>
  <dcterms:modified xsi:type="dcterms:W3CDTF">2026-02-28T08:12:00Z</dcterms:modified>
</cp:coreProperties>
</file>