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8AE" w:rsidRDefault="00AA78AE">
      <w:pPr>
        <w:pStyle w:val="Author"/>
        <w:widowControl/>
        <w:spacing w:line="240" w:lineRule="auto"/>
        <w:rPr>
          <w:rFonts w:ascii="Arial" w:eastAsia="Times New Roman" w:hAnsi="Arial" w:cs="Arial"/>
          <w:bCs/>
          <w:iCs/>
          <w:kern w:val="28"/>
          <w:sz w:val="36"/>
          <w:szCs w:val="20"/>
        </w:rPr>
      </w:pPr>
    </w:p>
    <w:p w:rsidR="00AA78AE" w:rsidRDefault="000402EC">
      <w:pPr>
        <w:pStyle w:val="Author"/>
        <w:widowControl/>
        <w:spacing w:line="240" w:lineRule="auto"/>
        <w:rPr>
          <w:rFonts w:ascii="Arial" w:eastAsia="Times New Roman" w:hAnsi="Arial" w:cs="Arial"/>
          <w:bCs/>
          <w:iCs/>
          <w:kern w:val="28"/>
          <w:sz w:val="36"/>
          <w:szCs w:val="20"/>
        </w:rPr>
      </w:pPr>
      <w:r>
        <w:rPr>
          <w:rFonts w:ascii="Arial" w:eastAsia="Times New Roman" w:hAnsi="Arial" w:cs="Arial" w:hint="eastAsia"/>
          <w:bCs/>
          <w:iCs/>
          <w:kern w:val="28"/>
          <w:sz w:val="36"/>
          <w:szCs w:val="20"/>
          <w:lang w:val="en-GB"/>
        </w:rPr>
        <w:t>Does FDI upgrades export’s Structure? City-Level Evidence from Dongguan using VECM Model</w:t>
      </w:r>
    </w:p>
    <w:p w:rsidR="00AA78AE" w:rsidRDefault="00AA78AE">
      <w:pPr>
        <w:pStyle w:val="Author"/>
        <w:widowControl/>
        <w:spacing w:line="240" w:lineRule="auto"/>
        <w:rPr>
          <w:rFonts w:ascii="Arial" w:eastAsia="Times New Roman" w:hAnsi="Arial" w:cs="Arial"/>
          <w:bCs/>
          <w:iCs/>
          <w:kern w:val="28"/>
          <w:sz w:val="36"/>
          <w:szCs w:val="20"/>
        </w:rPr>
      </w:pPr>
    </w:p>
    <w:p w:rsidR="00AA78AE" w:rsidRDefault="00AA78AE">
      <w:pPr>
        <w:jc w:val="right"/>
        <w:rPr>
          <w:rFonts w:ascii="Arial" w:eastAsia="Times New Roman" w:hAnsi="Arial" w:cs="Arial"/>
          <w:i/>
          <w:lang w:eastAsia="en-US"/>
        </w:rPr>
      </w:pPr>
    </w:p>
    <w:p w:rsidR="00AA78AE" w:rsidRDefault="000402EC">
      <w:pPr>
        <w:pStyle w:val="Author"/>
        <w:widowControl/>
        <w:spacing w:line="240" w:lineRule="auto"/>
        <w:rPr>
          <w:bCs/>
          <w:snapToGrid w:val="0"/>
          <w:color w:val="000000"/>
          <w:spacing w:val="-1"/>
          <w:kern w:val="0"/>
          <w:sz w:val="22"/>
          <w:szCs w:val="22"/>
        </w:rPr>
      </w:pPr>
      <w:r>
        <w:rPr>
          <w:rFonts w:ascii="Arial" w:hAnsi="Arial" w:cs="Arial"/>
          <w:noProof/>
        </w:rPr>
        <mc:AlternateContent>
          <mc:Choice Requires="wps">
            <w:drawing>
              <wp:inline distT="0" distB="0" distL="114300" distR="114300">
                <wp:extent cx="5303520" cy="0"/>
                <wp:effectExtent l="0" t="9525" r="5080" b="15875"/>
                <wp:docPr id="4"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33CDB25"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b5UX&#10;iOABAACWAwAADgAAAAAAAAAAAAAAAAAuAgAAZHJzL2Uyb0RvYy54bWxQSwECLQAUAAYACAAAACEA&#10;EUgwYNYAAAACAQAADwAAAAAAAAAAAAAAAAA6BAAAZHJzL2Rvd25yZXYueG1sUEsFBgAAAAAEAAQA&#10;8wAAAD0FAAAAAA==&#10;" strokeweight="1.5pt">
                <w10:anchorlock/>
              </v:shape>
            </w:pict>
          </mc:Fallback>
        </mc:AlternateContent>
      </w:r>
    </w:p>
    <w:p w:rsidR="00AA78AE" w:rsidRDefault="000402EC">
      <w:pPr>
        <w:pStyle w:val="BodyText"/>
        <w:widowControl/>
        <w:kinsoku w:val="0"/>
        <w:autoSpaceDE w:val="0"/>
        <w:autoSpaceDN w:val="0"/>
        <w:adjustRightInd w:val="0"/>
        <w:snapToGrid w:val="0"/>
        <w:spacing w:before="226" w:line="480" w:lineRule="auto"/>
        <w:ind w:left="45"/>
        <w:jc w:val="left"/>
        <w:textAlignment w:val="baseline"/>
        <w:outlineLvl w:val="0"/>
        <w:rPr>
          <w:rFonts w:eastAsia="Times New Roman"/>
          <w:b/>
          <w:caps/>
          <w:kern w:val="0"/>
          <w:sz w:val="22"/>
          <w:szCs w:val="20"/>
          <w:lang w:eastAsia="zh-CN"/>
        </w:rPr>
      </w:pPr>
      <w:r>
        <w:rPr>
          <w:rFonts w:eastAsia="Times New Roman"/>
          <w:b/>
          <w:caps/>
          <w:kern w:val="0"/>
          <w:sz w:val="22"/>
          <w:szCs w:val="20"/>
          <w:lang w:eastAsia="zh-CN"/>
        </w:rPr>
        <w:t>Abstract</w:t>
      </w:r>
    </w:p>
    <w:tbl>
      <w:tblPr>
        <w:tblStyle w:val="TableNormal1"/>
        <w:tblW w:w="834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346"/>
      </w:tblGrid>
      <w:tr w:rsidR="00AA78AE">
        <w:trPr>
          <w:trHeight w:val="1158"/>
        </w:trPr>
        <w:tc>
          <w:tcPr>
            <w:tcW w:w="8346" w:type="dxa"/>
          </w:tcPr>
          <w:p w:rsidR="00AA78AE" w:rsidRDefault="000402EC">
            <w:pPr>
              <w:pStyle w:val="TableText"/>
              <w:widowControl/>
              <w:kinsoku w:val="0"/>
              <w:autoSpaceDE w:val="0"/>
              <w:autoSpaceDN w:val="0"/>
              <w:adjustRightInd w:val="0"/>
              <w:snapToGrid w:val="0"/>
              <w:spacing w:before="46" w:line="242" w:lineRule="auto"/>
              <w:ind w:left="113" w:right="111" w:hanging="1"/>
              <w:textAlignment w:val="baseline"/>
              <w:rPr>
                <w:rFonts w:eastAsia="Calibri"/>
                <w:kern w:val="0"/>
                <w:lang w:eastAsia="zh-CN"/>
              </w:rPr>
            </w:pPr>
            <w:r>
              <w:rPr>
                <w:rFonts w:eastAsia="Calibri"/>
                <w:kern w:val="0"/>
                <w:lang w:eastAsia="zh-CN"/>
              </w:rPr>
              <w:t>Against the backdrop of global value chain restructuring and the deepening of regional integration in South China, Dongguan remains an important destination for export-oriented foreign direct investment (FDI). Utilizing annual data from 1995 to 2024 and employing a Vector Error Correction Model (VECM), this paper empirically analyzes the dynamic impact of FDI on Dongguan's export structure. The export structure is measured by two core indicators: the share of high-tech product exports (LEXS1, reflecting the technological structure of exports) and the share of general trade exports (LEXS2, reflecting the trade mode structure).</w:t>
            </w:r>
          </w:p>
          <w:p w:rsidR="00AA78AE" w:rsidRDefault="000402EC">
            <w:pPr>
              <w:pStyle w:val="TableText"/>
              <w:widowControl/>
              <w:kinsoku w:val="0"/>
              <w:autoSpaceDE w:val="0"/>
              <w:autoSpaceDN w:val="0"/>
              <w:adjustRightInd w:val="0"/>
              <w:snapToGrid w:val="0"/>
              <w:spacing w:before="46" w:line="242" w:lineRule="auto"/>
              <w:ind w:left="113" w:right="111" w:hanging="1"/>
              <w:textAlignment w:val="baseline"/>
              <w:rPr>
                <w:rFonts w:eastAsia="Calibri"/>
                <w:kern w:val="0"/>
                <w:lang w:eastAsia="zh-CN"/>
              </w:rPr>
            </w:pPr>
            <w:r>
              <w:rPr>
                <w:rFonts w:eastAsia="Calibri"/>
                <w:kern w:val="0"/>
                <w:lang w:eastAsia="zh-CN"/>
              </w:rPr>
              <w:t>The findings indicate that FDI maintains a long-term equilibrium relationship with Dongguan's export structure, although the direction of its effect diverges across the two indicators. FDI exhibits a sustained and stable positive effect on the transformation of the trade mode, whereas its impact on the technological structure of exports displays time-varying characteristics—being positive in the short term and negative in the medium term. Although FDI is an important influencing factor, it has not yet come to dominate the evolution of the export structure, with the inertia of the export structure itself still accounting for a significant proportion. This phenomenon reflects the complexity inherent in releasing the structural dividends of FDI. Consequently, it is necessary to optimize the technology spillover environment and cultivate indigenous innovation capabilities to facilitate the transition of FDI from "quantitative accumulation" to "qualitative enhancement."</w:t>
            </w:r>
          </w:p>
          <w:p w:rsidR="00AA78AE" w:rsidRDefault="00AA78AE">
            <w:pPr>
              <w:pStyle w:val="TableText"/>
              <w:spacing w:before="46" w:line="242" w:lineRule="auto"/>
              <w:ind w:left="113" w:right="111" w:hanging="1"/>
            </w:pPr>
          </w:p>
        </w:tc>
      </w:tr>
    </w:tbl>
    <w:p w:rsidR="00AA78AE" w:rsidRDefault="000402EC">
      <w:pPr>
        <w:pStyle w:val="BodyText"/>
        <w:widowControl/>
        <w:kinsoku w:val="0"/>
        <w:autoSpaceDE w:val="0"/>
        <w:autoSpaceDN w:val="0"/>
        <w:adjustRightInd w:val="0"/>
        <w:snapToGrid w:val="0"/>
        <w:spacing w:before="227" w:line="205" w:lineRule="auto"/>
        <w:textAlignment w:val="baseline"/>
        <w:rPr>
          <w:i/>
          <w:iCs/>
          <w:snapToGrid w:val="0"/>
          <w:color w:val="000000"/>
          <w:spacing w:val="4"/>
          <w:kern w:val="0"/>
          <w:sz w:val="19"/>
          <w:szCs w:val="19"/>
          <w:lang w:eastAsia="zh-CN"/>
        </w:rPr>
      </w:pPr>
      <w:r>
        <w:rPr>
          <w:i/>
          <w:iCs/>
          <w:snapToGrid w:val="0"/>
          <w:color w:val="000000"/>
          <w:spacing w:val="4"/>
          <w:kern w:val="0"/>
          <w:sz w:val="19"/>
          <w:szCs w:val="19"/>
          <w:lang w:eastAsia="zh-CN"/>
        </w:rPr>
        <w:t>Keywords: Foreign Direct Investment</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Export Structure</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VECM</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Donggua</w:t>
      </w:r>
      <w:bookmarkStart w:id="0" w:name="_Toc27327"/>
      <w:r>
        <w:rPr>
          <w:rFonts w:hint="eastAsia"/>
          <w:i/>
          <w:iCs/>
          <w:snapToGrid w:val="0"/>
          <w:color w:val="000000"/>
          <w:spacing w:val="4"/>
          <w:kern w:val="0"/>
          <w:sz w:val="19"/>
          <w:szCs w:val="19"/>
          <w:lang w:eastAsia="zh-CN"/>
        </w:rPr>
        <w:t>n</w:t>
      </w:r>
    </w:p>
    <w:p w:rsidR="00AA78AE" w:rsidRDefault="00AA78AE">
      <w:pPr>
        <w:pStyle w:val="BodyText"/>
        <w:widowControl/>
        <w:numPr>
          <w:ilvl w:val="0"/>
          <w:numId w:val="1"/>
        </w:numPr>
        <w:kinsoku w:val="0"/>
        <w:autoSpaceDE w:val="0"/>
        <w:autoSpaceDN w:val="0"/>
        <w:adjustRightInd w:val="0"/>
        <w:snapToGrid w:val="0"/>
        <w:spacing w:before="45" w:line="238" w:lineRule="auto"/>
        <w:ind w:left="63"/>
        <w:jc w:val="left"/>
        <w:textAlignment w:val="baseline"/>
        <w:outlineLvl w:val="0"/>
        <w:rPr>
          <w:b/>
          <w:bCs/>
          <w:snapToGrid w:val="0"/>
          <w:color w:val="000000"/>
          <w:spacing w:val="-3"/>
          <w:kern w:val="0"/>
          <w:sz w:val="22"/>
          <w:szCs w:val="22"/>
          <w:lang w:eastAsia="zh-CN"/>
        </w:rPr>
        <w:sectPr w:rsidR="00AA78A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pPr>
    </w:p>
    <w:p w:rsidR="00AA78AE" w:rsidRDefault="000402EC">
      <w:pPr>
        <w:pStyle w:val="BodyText"/>
        <w:widowControl/>
        <w:numPr>
          <w:ilvl w:val="0"/>
          <w:numId w:val="1"/>
        </w:numPr>
        <w:kinsoku w:val="0"/>
        <w:autoSpaceDE w:val="0"/>
        <w:autoSpaceDN w:val="0"/>
        <w:adjustRightInd w:val="0"/>
        <w:snapToGrid w:val="0"/>
        <w:spacing w:before="45" w:line="238" w:lineRule="auto"/>
        <w:ind w:left="63"/>
        <w:jc w:val="left"/>
        <w:textAlignment w:val="baseline"/>
        <w:outlineLvl w:val="0"/>
        <w:rPr>
          <w:b/>
          <w:bCs/>
          <w:snapToGrid w:val="0"/>
          <w:color w:val="000000"/>
          <w:spacing w:val="-3"/>
          <w:kern w:val="0"/>
          <w:sz w:val="22"/>
          <w:szCs w:val="22"/>
          <w:lang w:eastAsia="zh-CN"/>
        </w:rPr>
      </w:pPr>
      <w:r>
        <w:rPr>
          <w:rFonts w:hint="eastAsia"/>
          <w:b/>
          <w:bCs/>
          <w:snapToGrid w:val="0"/>
          <w:color w:val="000000"/>
          <w:spacing w:val="-3"/>
          <w:kern w:val="0"/>
          <w:sz w:val="22"/>
          <w:szCs w:val="22"/>
          <w:lang w:eastAsia="zh-CN"/>
        </w:rPr>
        <w:t>Introduction</w:t>
      </w:r>
      <w:bookmarkEnd w:id="0"/>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Dongguan is one of the earliest cities in China to receive industrial transfers from Hong Kong, Macao, and international markets. By the end of 2024, the city had cumulatively utilized over USD 84,710.94 million in FDI, with foreign-invested industrial enterprises accounting for nearly 60% of the city’s total industrial output. Meanwhile, Dongguan’s total exports grew from USD 15,391.12 million in 1995 to USD 195,054.93 million in 2024, with the export structure shifting from labor-intensive products such as toys and garments to technology-intensive products like electronic information and smart equipment.</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 xml:space="preserve">However, despite this expansion and structural upgrading, Dongguan’s exports </w:t>
      </w:r>
      <w:r>
        <w:rPr>
          <w:snapToGrid w:val="0"/>
          <w:color w:val="000000"/>
          <w:kern w:val="0"/>
          <w:sz w:val="19"/>
          <w:szCs w:val="19"/>
          <w:lang w:eastAsia="zh-CN"/>
        </w:rPr>
        <w:t xml:space="preserve">still face a "three lows and one high" dilemma: low value-added products, a persistently high proportion of processing trade, and over-reliance on the U.S. market, which increases exposure to external shocks. </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 xml:space="preserve">Among the various factors influencing the evolution of export structure, the spillover effects of FDI are particularly critical. On the one hand, FDI fills funding gaps in high-end equipment, core components, and frontier technologies. On the other hand, multinational corporations accelerate local firms' technological absorption and re-innovation through demonstration effects, industrial linkage effects, and competition effects. Theoretically, FDI can promote the upgrading of export structure. However, the dynamic mechanisms at the city level </w:t>
      </w:r>
      <w:r>
        <w:rPr>
          <w:snapToGrid w:val="0"/>
          <w:color w:val="000000"/>
          <w:kern w:val="0"/>
          <w:sz w:val="19"/>
          <w:szCs w:val="19"/>
          <w:lang w:eastAsia="zh-CN"/>
        </w:rPr>
        <w:lastRenderedPageBreak/>
        <w:t>remain underexplored. This paper uses a VECM model based on 1995–2024 data to empirically examine the dynamic impact of FDI on Dongguan’s export structure.</w:t>
      </w:r>
    </w:p>
    <w:p w:rsidR="00AA78AE" w:rsidRDefault="000402EC">
      <w:pPr>
        <w:pStyle w:val="BodyText"/>
        <w:widowControl/>
        <w:numPr>
          <w:ilvl w:val="0"/>
          <w:numId w:val="2"/>
        </w:numPr>
        <w:kinsoku w:val="0"/>
        <w:autoSpaceDE w:val="0"/>
        <w:autoSpaceDN w:val="0"/>
        <w:adjustRightInd w:val="0"/>
        <w:snapToGrid w:val="0"/>
        <w:spacing w:before="178" w:line="197" w:lineRule="auto"/>
        <w:ind w:left="4"/>
        <w:jc w:val="left"/>
        <w:textAlignment w:val="baseline"/>
        <w:outlineLvl w:val="0"/>
        <w:rPr>
          <w:b/>
          <w:bCs/>
          <w:snapToGrid w:val="0"/>
          <w:color w:val="000000"/>
          <w:spacing w:val="-2"/>
          <w:kern w:val="0"/>
          <w:sz w:val="22"/>
          <w:szCs w:val="22"/>
          <w:lang w:eastAsia="zh-CN"/>
        </w:rPr>
      </w:pPr>
      <w:bookmarkStart w:id="1" w:name="_Toc31335"/>
      <w:r>
        <w:rPr>
          <w:rFonts w:hint="eastAsia"/>
          <w:b/>
          <w:bCs/>
          <w:snapToGrid w:val="0"/>
          <w:color w:val="000000"/>
          <w:spacing w:val="-2"/>
          <w:kern w:val="0"/>
          <w:sz w:val="22"/>
          <w:szCs w:val="22"/>
          <w:lang w:eastAsia="zh-CN"/>
        </w:rPr>
        <w:t>Literature Review</w:t>
      </w:r>
      <w:bookmarkEnd w:id="1"/>
    </w:p>
    <w:p w:rsidR="00AA78AE" w:rsidRDefault="000402EC">
      <w:pPr>
        <w:pStyle w:val="BodyText"/>
        <w:widowControl/>
        <w:kinsoku w:val="0"/>
        <w:autoSpaceDE w:val="0"/>
        <w:autoSpaceDN w:val="0"/>
        <w:adjustRightInd w:val="0"/>
        <w:snapToGrid w:val="0"/>
        <w:spacing w:before="180" w:line="250" w:lineRule="auto"/>
        <w:ind w:right="189" w:firstLine="9"/>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Foreign Direct Investment (FDI) is a core driver of economic globalization, exerting profound effects on the export structure of host economies—an indicator reflecting export composition, quality, and sophistication. Extensive empirical research has explored the FDI-export structure nexus across countries and sectors. This review synthesizes key findings on the impact directions and underlying mechanisms of FDI, laying the groundwork for investigating Dongguan City’s case using the VECM model.</w:t>
      </w:r>
    </w:p>
    <w:p w:rsidR="00AA78AE" w:rsidRDefault="000402E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2" w:name="_Toc17324"/>
      <w:r>
        <w:rPr>
          <w:rFonts w:hint="eastAsia"/>
          <w:b/>
          <w:bCs/>
          <w:snapToGrid w:val="0"/>
          <w:color w:val="000000"/>
          <w:spacing w:val="-1"/>
          <w:kern w:val="0"/>
          <w:sz w:val="22"/>
          <w:szCs w:val="22"/>
          <w:lang w:eastAsia="zh-CN"/>
        </w:rPr>
        <w:t>2.1 Positive Impacts</w:t>
      </w:r>
      <w:bookmarkEnd w:id="2"/>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 xml:space="preserve">Numerous empirical studies confirm FDI’s role in upgrading export structures.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analyzed 6 selected Southern African Development Community (SADC) countries over 2001–2021 and found FDI directly boosts agricultural production and export capacity, with a more pronounced effect on export performance. Islam (2022) used VECM to study Bangladesh (1995–2020) and identified a significant long-run positive relationship between FDI and export receipts, as FDI provides capital and operational capabilities for export-oriented industries like ready-made garments (RMG).</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 xml:space="preserve">In China, Liang et al. (2024) noted that post-WTO FDI liberalization induced foreign entry in high-tech sectors, explaining 8.7% of foreign-invested enterprises (FIEs)’ export growth (1998-2007). Xin et al. (2023) verified that service sector FDI significantly promotes service exports in SAARC countries (2000-2020), diversifying export structures. Shi et al. (2025) found Chinese outward FDI (OFDI) enhances export sophistication in Belt and Road Initiative (BRI) countries (2010-2015), especially in poorer nations, while Abdi &amp; Mohamed (2025) identified FDI as a key driver of Somalia’s agricultural exports by improving market access. </w:t>
      </w:r>
      <w:proofErr w:type="spellStart"/>
      <w:r>
        <w:rPr>
          <w:rFonts w:hint="eastAsia"/>
          <w:snapToGrid w:val="0"/>
          <w:color w:val="000000"/>
          <w:kern w:val="0"/>
          <w:sz w:val="19"/>
          <w:szCs w:val="19"/>
          <w:lang w:eastAsia="zh-CN"/>
        </w:rPr>
        <w:t>Singaram</w:t>
      </w:r>
      <w:proofErr w:type="spellEnd"/>
      <w:r>
        <w:rPr>
          <w:rFonts w:hint="eastAsia"/>
          <w:snapToGrid w:val="0"/>
          <w:color w:val="000000"/>
          <w:kern w:val="0"/>
          <w:sz w:val="19"/>
          <w:szCs w:val="19"/>
          <w:lang w:eastAsia="zh-CN"/>
        </w:rPr>
        <w:t xml:space="preserve"> et al. (2025) used ARDL bounds testing to confirm a long-term positive relationship between FDI and exports in India, emphasizing FDI’s role in driving export growth.</w:t>
      </w:r>
    </w:p>
    <w:p w:rsidR="00AA78AE" w:rsidRDefault="000402E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3" w:name="_Toc23125"/>
      <w:r>
        <w:rPr>
          <w:rFonts w:hint="eastAsia"/>
          <w:b/>
          <w:bCs/>
          <w:snapToGrid w:val="0"/>
          <w:color w:val="000000"/>
          <w:spacing w:val="-1"/>
          <w:kern w:val="0"/>
          <w:sz w:val="22"/>
          <w:szCs w:val="22"/>
          <w:lang w:eastAsia="zh-CN"/>
        </w:rPr>
        <w:t>2.2 Negative Impacts</w:t>
      </w:r>
      <w:bookmarkEnd w:id="3"/>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 xml:space="preserve">Contradictory evidence highlights FDI’s potential drawbacks. Liu et al. (2024) used China’s 2002 FDI regulation changes as an instrumental variable and found horizontal FDI reduces domestic firms’ export quality via intensified domestic competition, lowering incentives for quality investment. Amoah et al. (2025) applied VECM to Ghana’s data (1990-2021) and reported a significant negative long-term and short-term FDI-export relationship, attributed to foreign investors crowding out domestic competitors or pursuing tariff-avoidance rather than export promotion. The study also identified a U-shaped threshold effect, with FDI above 0.53% harmful to export businesses. </w:t>
      </w:r>
    </w:p>
    <w:p w:rsidR="00AA78AE" w:rsidRDefault="000402E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4" w:name="_Toc27999"/>
      <w:r>
        <w:rPr>
          <w:rFonts w:hint="eastAsia"/>
          <w:b/>
          <w:bCs/>
          <w:snapToGrid w:val="0"/>
          <w:color w:val="000000"/>
          <w:spacing w:val="-1"/>
          <w:kern w:val="0"/>
          <w:sz w:val="22"/>
          <w:szCs w:val="22"/>
          <w:lang w:eastAsia="zh-CN"/>
        </w:rPr>
        <w:t>2.3 Mixed or Conditional Impacts</w:t>
      </w:r>
      <w:bookmarkEnd w:id="4"/>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 xml:space="preserve">The FDI-export structure relationship is often conditional on specific factors. Sun et al. (2024) studied China’s OFDI and BRI countries (2003-2018) and found it positively affects primary product export similarity but negatively impacts resource-based, low-tech, and medium/high-skill intensive manufactures—aligning with comparative advantages. Sheng &amp; Yang (2016) noted FDI’s promotion of export variety in China varies by region and sector, thriving in provinces with improved court efficiency and special economic zones. Eppinger &amp; Ma (2021) added that FDI ownership restructuring boosts FIE output and productivity but may reduce technology spillovers compared to joint ventures (JVs), leading to mixed export structure effects. Yasin &amp; </w:t>
      </w:r>
      <w:proofErr w:type="spellStart"/>
      <w:r>
        <w:rPr>
          <w:rFonts w:hint="eastAsia"/>
          <w:snapToGrid w:val="0"/>
          <w:color w:val="000000"/>
          <w:kern w:val="0"/>
          <w:sz w:val="19"/>
          <w:szCs w:val="19"/>
          <w:lang w:eastAsia="zh-CN"/>
        </w:rPr>
        <w:t>Esquivias</w:t>
      </w:r>
      <w:proofErr w:type="spellEnd"/>
      <w:r>
        <w:rPr>
          <w:rFonts w:hint="eastAsia"/>
          <w:snapToGrid w:val="0"/>
          <w:color w:val="000000"/>
          <w:kern w:val="0"/>
          <w:sz w:val="19"/>
          <w:szCs w:val="19"/>
          <w:lang w:eastAsia="zh-CN"/>
        </w:rPr>
        <w:t xml:space="preserve"> (2023) studied Indonesia’s manufacturing sector and found FDI spillover effects support exports but lower import propensity and intensity, with absorptive capacity (human capital) and complementary sector FDI inflows moderating the relationship.</w:t>
      </w:r>
    </w:p>
    <w:p w:rsidR="00AA78AE" w:rsidRDefault="000402E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5" w:name="_Toc25570"/>
      <w:r>
        <w:rPr>
          <w:rFonts w:hint="eastAsia"/>
          <w:b/>
          <w:bCs/>
          <w:snapToGrid w:val="0"/>
          <w:color w:val="000000"/>
          <w:spacing w:val="-1"/>
          <w:kern w:val="0"/>
          <w:sz w:val="22"/>
          <w:szCs w:val="22"/>
          <w:lang w:eastAsia="zh-CN"/>
        </w:rPr>
        <w:t>2.4 Mechanisms Underlying the Impact of FDI on Export Structure</w:t>
      </w:r>
      <w:bookmarkEnd w:id="5"/>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2.4.1 Technology Spillover and Knowledge Transfer</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 xml:space="preserve">Technology spillover is a core mechanism linking FDI to export structure. Jiang et al. (2018) found international joint ventures generate larger technology spillovers than wholly foreign-owned enterprises (WFOEs) due to direct knowledge sharing with local </w:t>
      </w:r>
      <w:r>
        <w:rPr>
          <w:rFonts w:hint="eastAsia"/>
          <w:snapToGrid w:val="0"/>
          <w:color w:val="000000"/>
          <w:kern w:val="0"/>
          <w:sz w:val="19"/>
          <w:szCs w:val="19"/>
          <w:lang w:eastAsia="zh-CN"/>
        </w:rPr>
        <w:lastRenderedPageBreak/>
        <w:t xml:space="preserve">partners.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emphasized FDI in SADC countries transfers advanced agricultural technologies, irrigation facilities, and high-yield seeds, enhancing export competitiveness. Liang et al. (2024) highlighted that post-WTO FDI liberalization in China brought advanced production methods to high-tech sectors, shifting exports from labor- to technology-intensive. Shi et al. (2025) identified host country productivity as a crucial mediating factor in China’s OFDI impact on BRI countries’ export sophistication, with indirect technology spillover effects accounting for approximately 39% of the total impact. </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2.4.2 Market Access and Global Value Chain Integration</w:t>
      </w:r>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spacing w:val="3"/>
          <w:kern w:val="0"/>
          <w:sz w:val="19"/>
          <w:szCs w:val="19"/>
          <w:lang w:eastAsia="zh-CN"/>
        </w:rPr>
      </w:pPr>
      <w:r>
        <w:rPr>
          <w:rFonts w:hint="eastAsia"/>
          <w:snapToGrid w:val="0"/>
          <w:color w:val="000000"/>
          <w:kern w:val="0"/>
          <w:sz w:val="19"/>
          <w:szCs w:val="19"/>
          <w:lang w:eastAsia="zh-CN"/>
        </w:rPr>
        <w:t xml:space="preserve">FDI facilitates host countries’ integration into global value chains (GVCs) and expands market access.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noted export-oriente</w:t>
      </w:r>
      <w:r>
        <w:rPr>
          <w:rFonts w:hint="eastAsia"/>
          <w:snapToGrid w:val="0"/>
          <w:color w:val="000000"/>
          <w:spacing w:val="3"/>
          <w:kern w:val="0"/>
          <w:sz w:val="19"/>
          <w:szCs w:val="19"/>
          <w:lang w:eastAsia="zh-CN"/>
        </w:rPr>
        <w:t xml:space="preserve">d FDI in African agriculture helps local products enter international markets and strengthen value chain positions. Islam (2022) found FDI in Bangladesh’s RMG sector leverages multinational corporations (MNCs)’ global networks to boost exports. Zhang et al. (2024) used a two-tier stochastic frontier gravity model and confirmed Chinese OFDI promotes exports by integrating host countries into China-centered GVCs, with stronger effects in high OFDI stock nations. Xin et al. (2023) added that trade openness in SAARC countries promotes the integration of FDI and domestic industries, enhancing FDI’s positive impact on service exports through GVC participation. </w:t>
      </w:r>
    </w:p>
    <w:p w:rsidR="00AA78AE" w:rsidRDefault="000402EC">
      <w:pPr>
        <w:pStyle w:val="BodyText"/>
        <w:widowControl/>
        <w:kinsoku w:val="0"/>
        <w:autoSpaceDE w:val="0"/>
        <w:autoSpaceDN w:val="0"/>
        <w:adjustRightInd w:val="0"/>
        <w:snapToGrid w:val="0"/>
        <w:spacing w:before="35" w:line="249" w:lineRule="auto"/>
        <w:ind w:left="1" w:right="5" w:firstLine="11"/>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2.4.3 Competition Effect and Resource Reallocation</w:t>
      </w:r>
    </w:p>
    <w:p w:rsidR="00AA78AE" w:rsidRDefault="000402EC">
      <w:pPr>
        <w:pStyle w:val="BodyText"/>
        <w:widowControl/>
        <w:kinsoku w:val="0"/>
        <w:autoSpaceDE w:val="0"/>
        <w:autoSpaceDN w:val="0"/>
        <w:adjustRightInd w:val="0"/>
        <w:snapToGrid w:val="0"/>
        <w:spacing w:before="35" w:line="249" w:lineRule="auto"/>
        <w:ind w:left="1" w:right="5" w:firstLine="11"/>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FDI influences export structure through domestic market competition. Liu et al. (2024) showed horizontal FDI intensifies competition, prompting domestic firms to adjust product mixes but reducing new product quality investment.  (2025) found FDI in SADC agriculture stimulates domestic firms to improve productivity through competition, upgrading agricultural export structures. Amoah et al. (2025) added that excessive FDI competition can lead to market monopolization by foreign firms, reducing domestic firms’ export capacity—explaining the negative FDI-export relationship in Ghana. Krishna et al. (2021) argued FDI-induced competition encourages innovation and quality improvement, shifting exports toward high-value-added products.</w:t>
      </w:r>
    </w:p>
    <w:p w:rsidR="00AA78AE" w:rsidRDefault="000402E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6" w:name="_Toc4969"/>
      <w:r>
        <w:rPr>
          <w:rFonts w:hint="eastAsia"/>
          <w:b/>
          <w:bCs/>
          <w:snapToGrid w:val="0"/>
          <w:color w:val="000000"/>
          <w:spacing w:val="-1"/>
          <w:kern w:val="0"/>
          <w:sz w:val="22"/>
          <w:szCs w:val="22"/>
          <w:lang w:eastAsia="zh-CN"/>
        </w:rPr>
        <w:t>2.5 Literature Commentary</w:t>
      </w:r>
      <w:bookmarkEnd w:id="6"/>
    </w:p>
    <w:p w:rsidR="00AA78AE" w:rsidRDefault="000402E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Existing empirical research has identified FDI’s positive, negative, and mixed impacts on export structure, clarifying core mechanisms (technology spillover, market access, competition effects) across diverse economies. However, critical gaps remain: most studies focus on national or regional levels with limited attention to city-specific analyses (e.g., Dongguan, a major manufacturing and export hub with intensive FDI), lack detailed analysis of manufacturing sub-sectors central to Dongguan’s export structure, rarely apply VECM to capture dynamic adjustments of city-level export structures to FDI shocks. These gaps underscore the necessity of this study—by focusing on Dongguan, applying </w:t>
      </w:r>
      <w:proofErr w:type="gramStart"/>
      <w:r>
        <w:rPr>
          <w:rFonts w:hint="eastAsia"/>
          <w:snapToGrid w:val="0"/>
          <w:color w:val="000000"/>
          <w:spacing w:val="3"/>
          <w:kern w:val="0"/>
          <w:sz w:val="19"/>
          <w:szCs w:val="19"/>
          <w:lang w:eastAsia="zh-CN"/>
        </w:rPr>
        <w:t>VECM,,</w:t>
      </w:r>
      <w:proofErr w:type="gramEnd"/>
      <w:r>
        <w:rPr>
          <w:rFonts w:hint="eastAsia"/>
          <w:snapToGrid w:val="0"/>
          <w:color w:val="000000"/>
          <w:spacing w:val="3"/>
          <w:kern w:val="0"/>
          <w:sz w:val="19"/>
          <w:szCs w:val="19"/>
          <w:lang w:eastAsia="zh-CN"/>
        </w:rPr>
        <w:t xml:space="preserve"> it will fill empirical voids in city-level FDI-export structure research, provide targeted insights for optimizing Dongguan’s export structure.</w:t>
      </w:r>
    </w:p>
    <w:p w:rsidR="00AA78AE" w:rsidRDefault="000402EC">
      <w:pPr>
        <w:pStyle w:val="BodyText"/>
        <w:widowControl/>
        <w:numPr>
          <w:ilvl w:val="0"/>
          <w:numId w:val="2"/>
        </w:numPr>
        <w:kinsoku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7" w:name="_Toc9680"/>
      <w:r>
        <w:rPr>
          <w:rFonts w:hint="eastAsia"/>
          <w:b/>
          <w:bCs/>
          <w:snapToGrid w:val="0"/>
          <w:color w:val="000000"/>
          <w:spacing w:val="-2"/>
          <w:kern w:val="0"/>
          <w:sz w:val="22"/>
          <w:szCs w:val="22"/>
          <w:lang w:eastAsia="zh-CN"/>
        </w:rPr>
        <w:t>Current Situation of FDI and Export Trade Development in Dongguan</w:t>
      </w:r>
      <w:bookmarkEnd w:id="7"/>
    </w:p>
    <w:p w:rsidR="00AA78AE" w:rsidRDefault="000402E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8" w:name="_Toc15634"/>
      <w:r>
        <w:rPr>
          <w:rFonts w:hint="eastAsia"/>
          <w:b/>
          <w:bCs/>
          <w:snapToGrid w:val="0"/>
          <w:color w:val="000000"/>
          <w:spacing w:val="-2"/>
          <w:kern w:val="0"/>
          <w:sz w:val="22"/>
          <w:szCs w:val="22"/>
          <w:lang w:eastAsia="zh-CN"/>
        </w:rPr>
        <w:t>3.1 Current Situation of FDI Development in Dongguan</w:t>
      </w:r>
      <w:bookmarkEnd w:id="8"/>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In 2024, Dongguan established 1,446 new foreign-invested enterprises, a year-on-year increase of 5.6%, with actually utilized foreign capital reaching 5.34 billion RMB, mainly concentrated in advanced manufacturing fields such as electronic information, equipment manufacturing, and new materials. In the early stage (e.g., 2005), Dongguan’s FDI scale expanded rapidly: the actually utilized foreign capital reached 1.468 billion US dollars that year, a year-on-year increase of 51.7%, and the contractual foreign capital in the manufacturing sector accounted for as high as 95.6%, with Hong Kong and Taiwan as the main sources of capital.</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In recent years, affected by factors such as weakened global demand, the actually utilized foreign capital decreased to 75.232 million US dollars in 2024, a drop of 26%, but the manufacturing sector still accounted for 35.1%, indicating that the foreign capital structure is highly consistent with Dongguan’s strategy of "establishing the city through manufacturing." At the government level, platforms such as </w:t>
      </w:r>
      <w:proofErr w:type="spellStart"/>
      <w:r>
        <w:rPr>
          <w:rFonts w:hint="eastAsia"/>
          <w:snapToGrid w:val="0"/>
          <w:color w:val="000000"/>
          <w:spacing w:val="4"/>
          <w:kern w:val="0"/>
          <w:sz w:val="19"/>
          <w:szCs w:val="19"/>
          <w:lang w:eastAsia="zh-CN"/>
        </w:rPr>
        <w:t>Humen</w:t>
      </w:r>
      <w:proofErr w:type="spellEnd"/>
      <w:r>
        <w:rPr>
          <w:rFonts w:hint="eastAsia"/>
          <w:snapToGrid w:val="0"/>
          <w:color w:val="000000"/>
          <w:spacing w:val="4"/>
          <w:kern w:val="0"/>
          <w:sz w:val="19"/>
          <w:szCs w:val="19"/>
          <w:lang w:eastAsia="zh-CN"/>
        </w:rPr>
        <w:t xml:space="preserve"> Port Comprehensive Bonded Zone and </w:t>
      </w:r>
      <w:proofErr w:type="spellStart"/>
      <w:r>
        <w:rPr>
          <w:rFonts w:hint="eastAsia"/>
          <w:snapToGrid w:val="0"/>
          <w:color w:val="000000"/>
          <w:spacing w:val="4"/>
          <w:kern w:val="0"/>
          <w:sz w:val="19"/>
          <w:szCs w:val="19"/>
          <w:lang w:eastAsia="zh-CN"/>
        </w:rPr>
        <w:t>Qingxi</w:t>
      </w:r>
      <w:proofErr w:type="spellEnd"/>
      <w:r>
        <w:rPr>
          <w:rFonts w:hint="eastAsia"/>
          <w:snapToGrid w:val="0"/>
          <w:color w:val="000000"/>
          <w:spacing w:val="4"/>
          <w:kern w:val="0"/>
          <w:sz w:val="19"/>
          <w:szCs w:val="19"/>
          <w:lang w:eastAsia="zh-CN"/>
        </w:rPr>
        <w:t xml:space="preserve"> Bonded Logistics Center continue to enhance the investment </w:t>
      </w:r>
      <w:r>
        <w:rPr>
          <w:rFonts w:hint="eastAsia"/>
          <w:snapToGrid w:val="0"/>
          <w:color w:val="000000"/>
          <w:spacing w:val="4"/>
          <w:kern w:val="0"/>
          <w:sz w:val="19"/>
          <w:szCs w:val="19"/>
          <w:lang w:eastAsia="zh-CN"/>
        </w:rPr>
        <w:lastRenderedPageBreak/>
        <w:t>attraction effect, with the goal of exceeding 125 billion RMB in import and export volume in relevant regions by 2025. Supplementary measures such as one-time rewards and tax incentives are also implemented to strengthen the attractiveness to foreign capital.</w:t>
      </w:r>
    </w:p>
    <w:p w:rsidR="00AA78AE" w:rsidRDefault="000402E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9" w:name="_Toc14230"/>
      <w:r>
        <w:rPr>
          <w:rFonts w:hint="eastAsia"/>
          <w:b/>
          <w:bCs/>
          <w:snapToGrid w:val="0"/>
          <w:color w:val="000000"/>
          <w:spacing w:val="-2"/>
          <w:kern w:val="0"/>
          <w:sz w:val="22"/>
          <w:szCs w:val="22"/>
          <w:lang w:eastAsia="zh-CN"/>
        </w:rPr>
        <w:t>3.2 Current Situation of Export Trade Development in Dongguan</w:t>
      </w:r>
      <w:bookmarkEnd w:id="9"/>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In 2024, Dongguan’s goods exports achieved positive growth in key markets such as Asia, Europe, and countries along the "Belt and Road": exports to Asia reached 485.43 billion RMB, an increase of 7.1%； exports to Europe reached 167.29 billion RMB, an increase of 8.9%； exports to countries co-building the "Belt and Road" reached 255.13 billion RMB, an increase of 2.0%. Mechanical and electrical products remain the main export driver: in 2022, exports of mechanical and electrical products reached 626.967 billion RMB, accounting for 67.9% of the total export volume, but decreased by 7.5% year-on-year due to weak external demand.</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 In terms of trade mode, new formats such as general trade, cross-border e-commerce, and market procurement have grown rapidly: in 2022, the import and export volume of cross-border e-commerce reached 81.86 billion RMB, an increase of 11.3%, and bonded logistics exports increased by 33.6%, becoming an important force to offset the decline in traditional processing trade. The </w:t>
      </w:r>
      <w:r>
        <w:rPr>
          <w:rFonts w:hint="eastAsia"/>
          <w:snapToGrid w:val="0"/>
          <w:color w:val="000000"/>
          <w:spacing w:val="4"/>
          <w:kern w:val="0"/>
          <w:sz w:val="19"/>
          <w:szCs w:val="19"/>
          <w:lang w:eastAsia="zh-CN"/>
        </w:rPr>
        <w:t>government is helping enterprises diversify market development and stabilize orders by strengthening the layout of overseas warehouses, holding 1,000 e-commerce live streaming and product promotion activities every year, and promoting the RCEP rules of origin.</w:t>
      </w:r>
    </w:p>
    <w:p w:rsidR="00AA78AE" w:rsidRDefault="000402EC">
      <w:pPr>
        <w:pStyle w:val="BodyText"/>
        <w:widowControl/>
        <w:numPr>
          <w:ilvl w:val="0"/>
          <w:numId w:val="2"/>
        </w:numPr>
        <w:kinsoku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10" w:name="_Toc17435"/>
      <w:r>
        <w:rPr>
          <w:rFonts w:hint="eastAsia"/>
          <w:b/>
          <w:bCs/>
          <w:snapToGrid w:val="0"/>
          <w:color w:val="000000"/>
          <w:spacing w:val="-2"/>
          <w:kern w:val="0"/>
          <w:sz w:val="22"/>
          <w:szCs w:val="22"/>
          <w:lang w:eastAsia="zh-CN"/>
        </w:rPr>
        <w:t xml:space="preserve">Results and </w:t>
      </w:r>
      <w:bookmarkEnd w:id="10"/>
      <w:r>
        <w:rPr>
          <w:rFonts w:hint="eastAsia"/>
          <w:b/>
          <w:bCs/>
          <w:snapToGrid w:val="0"/>
          <w:color w:val="000000"/>
          <w:spacing w:val="-2"/>
          <w:kern w:val="0"/>
          <w:sz w:val="22"/>
          <w:szCs w:val="22"/>
          <w:lang w:eastAsia="zh-CN"/>
        </w:rPr>
        <w:t>Discussion</w:t>
      </w:r>
    </w:p>
    <w:p w:rsidR="00AA78AE" w:rsidRDefault="000402E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11" w:name="_Toc13194"/>
      <w:r>
        <w:rPr>
          <w:rFonts w:hint="eastAsia"/>
          <w:b/>
          <w:bCs/>
          <w:snapToGrid w:val="0"/>
          <w:color w:val="000000"/>
          <w:spacing w:val="-2"/>
          <w:kern w:val="0"/>
          <w:sz w:val="22"/>
          <w:szCs w:val="22"/>
          <w:lang w:eastAsia="zh-CN"/>
        </w:rPr>
        <w:t xml:space="preserve">4.1 </w:t>
      </w:r>
      <w:bookmarkEnd w:id="11"/>
      <w:r>
        <w:rPr>
          <w:rFonts w:hint="eastAsia"/>
          <w:b/>
          <w:bCs/>
          <w:snapToGrid w:val="0"/>
          <w:color w:val="000000"/>
          <w:spacing w:val="-2"/>
          <w:kern w:val="0"/>
          <w:sz w:val="22"/>
          <w:szCs w:val="22"/>
          <w:lang w:eastAsia="zh-CN"/>
        </w:rPr>
        <w:t>Data and Variable Definition</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This study involves four variables:</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LFDI: The actually utilized foreign direct investment in Dongguan；</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LEXS1: The proportion of high-</w:t>
      </w:r>
      <w:proofErr w:type="gramStart"/>
      <w:r>
        <w:rPr>
          <w:rFonts w:hint="eastAsia"/>
          <w:snapToGrid w:val="0"/>
          <w:color w:val="000000"/>
          <w:spacing w:val="4"/>
          <w:kern w:val="0"/>
          <w:sz w:val="19"/>
          <w:szCs w:val="19"/>
          <w:lang w:eastAsia="zh-CN"/>
        </w:rPr>
        <w:t>tech  products</w:t>
      </w:r>
      <w:proofErr w:type="gramEnd"/>
      <w:r>
        <w:rPr>
          <w:rFonts w:hint="eastAsia"/>
          <w:snapToGrid w:val="0"/>
          <w:color w:val="000000"/>
          <w:spacing w:val="4"/>
          <w:kern w:val="0"/>
          <w:sz w:val="19"/>
          <w:szCs w:val="19"/>
          <w:lang w:eastAsia="zh-CN"/>
        </w:rPr>
        <w:t xml:space="preserve"> exports in the city’s total exports (reflecting the export commodity structure)；</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LEXS2: The proportion of general trade exports in the city’s total exports (reflecting the trade mode </w:t>
      </w:r>
      <w:proofErr w:type="gramStart"/>
      <w:r>
        <w:rPr>
          <w:rFonts w:hint="eastAsia"/>
          <w:snapToGrid w:val="0"/>
          <w:color w:val="000000"/>
          <w:spacing w:val="4"/>
          <w:kern w:val="0"/>
          <w:sz w:val="19"/>
          <w:szCs w:val="19"/>
          <w:lang w:eastAsia="zh-CN"/>
        </w:rPr>
        <w:t>structure)；</w:t>
      </w:r>
      <w:proofErr w:type="gramEnd"/>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LGDP: Dongguan’s gross regional product.</w:t>
      </w:r>
      <w:r>
        <w:rPr>
          <w:snapToGrid w:val="0"/>
          <w:color w:val="000000"/>
          <w:spacing w:val="4"/>
          <w:kern w:val="0"/>
          <w:sz w:val="19"/>
          <w:szCs w:val="19"/>
          <w:lang w:eastAsia="zh-CN"/>
        </w:rPr>
        <w:br/>
      </w:r>
      <w:r>
        <w:rPr>
          <w:rFonts w:hint="eastAsia"/>
          <w:snapToGrid w:val="0"/>
          <w:color w:val="000000"/>
          <w:spacing w:val="4"/>
          <w:kern w:val="0"/>
          <w:sz w:val="19"/>
          <w:szCs w:val="19"/>
          <w:lang w:eastAsia="zh-CN"/>
        </w:rPr>
        <w:tab/>
        <w:t xml:space="preserve"> The original data of all variables are derived from the annual statistical yearbooks and statistical bulletins on national economic and social development released by the Dongguan Municipal Bureau of Statistics. All variables are logarithmically processed (denoted by adding "L" before the variable name) to reduce the impact of heteroscedasticity and non-linearity, ensuring the robustness and interpretability of the model estimation.</w:t>
      </w:r>
    </w:p>
    <w:p w:rsidR="00AA78AE" w:rsidRDefault="00AA78AE">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AA78AE">
          <w:headerReference w:type="even" r:id="rId14"/>
          <w:headerReference w:type="default" r:id="rId15"/>
          <w:footerReference w:type="default" r:id="rId16"/>
          <w:headerReference w:type="first" r:id="rId17"/>
          <w:type w:val="continuous"/>
          <w:pgSz w:w="11906" w:h="16838"/>
          <w:pgMar w:top="1440" w:right="1800" w:bottom="1440" w:left="1800" w:header="851" w:footer="992" w:gutter="0"/>
          <w:pgNumType w:start="1"/>
          <w:cols w:num="2" w:space="720" w:equalWidth="0">
            <w:col w:w="3940" w:space="425"/>
            <w:col w:w="3940"/>
          </w:cols>
          <w:docGrid w:type="lines" w:linePitch="312"/>
        </w:sectPr>
      </w:pPr>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表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1</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Variable Selection and Data Sources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1816"/>
        <w:gridCol w:w="2800"/>
        <w:gridCol w:w="1681"/>
      </w:tblGrid>
      <w:tr w:rsidR="00AA78AE">
        <w:trPr>
          <w:trHeight w:val="242"/>
          <w:jc w:val="center"/>
        </w:trPr>
        <w:tc>
          <w:tcPr>
            <w:tcW w:w="2020" w:type="dxa"/>
            <w:tcBorders>
              <w:bottom w:val="single" w:sz="4" w:space="0" w:color="auto"/>
            </w:tcBorders>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Variable Name</w:t>
            </w:r>
          </w:p>
        </w:tc>
        <w:tc>
          <w:tcPr>
            <w:tcW w:w="1816" w:type="dxa"/>
            <w:tcBorders>
              <w:bottom w:val="single" w:sz="4" w:space="0" w:color="auto"/>
            </w:tcBorders>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Symbol</w:t>
            </w:r>
          </w:p>
        </w:tc>
        <w:tc>
          <w:tcPr>
            <w:tcW w:w="2800" w:type="dxa"/>
            <w:tcBorders>
              <w:bottom w:val="single" w:sz="4" w:space="0" w:color="auto"/>
            </w:tcBorders>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Definition</w:t>
            </w:r>
          </w:p>
        </w:tc>
        <w:tc>
          <w:tcPr>
            <w:tcW w:w="1681" w:type="dxa"/>
            <w:tcBorders>
              <w:bottom w:val="single" w:sz="4" w:space="0" w:color="auto"/>
            </w:tcBorders>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Data Source</w:t>
            </w:r>
          </w:p>
        </w:tc>
      </w:tr>
      <w:tr w:rsidR="00AA78AE">
        <w:trPr>
          <w:trHeight w:val="414"/>
          <w:jc w:val="center"/>
        </w:trPr>
        <w:tc>
          <w:tcPr>
            <w:tcW w:w="202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Proportion of High-Tech Products Exports</w:t>
            </w:r>
          </w:p>
        </w:tc>
        <w:tc>
          <w:tcPr>
            <w:tcW w:w="1816"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LEXS1</w:t>
            </w:r>
          </w:p>
        </w:tc>
        <w:tc>
          <w:tcPr>
            <w:tcW w:w="280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High-Tech Products / Total Exports</w:t>
            </w:r>
          </w:p>
        </w:tc>
        <w:tc>
          <w:tcPr>
            <w:tcW w:w="1681"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AA78AE">
        <w:trPr>
          <w:trHeight w:val="390"/>
          <w:jc w:val="center"/>
        </w:trPr>
        <w:tc>
          <w:tcPr>
            <w:tcW w:w="202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Proportion of General Trade Exports</w:t>
            </w:r>
          </w:p>
        </w:tc>
        <w:tc>
          <w:tcPr>
            <w:tcW w:w="1816"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LEXS2</w:t>
            </w:r>
          </w:p>
        </w:tc>
        <w:tc>
          <w:tcPr>
            <w:tcW w:w="280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General Trade Exports / Total Exports</w:t>
            </w:r>
          </w:p>
        </w:tc>
        <w:tc>
          <w:tcPr>
            <w:tcW w:w="1681"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AA78AE">
        <w:trPr>
          <w:trHeight w:val="528"/>
          <w:jc w:val="center"/>
        </w:trPr>
        <w:tc>
          <w:tcPr>
            <w:tcW w:w="202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Foreign Direct Investment</w:t>
            </w:r>
          </w:p>
        </w:tc>
        <w:tc>
          <w:tcPr>
            <w:tcW w:w="1816"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LFDI</w:t>
            </w:r>
          </w:p>
        </w:tc>
        <w:tc>
          <w:tcPr>
            <w:tcW w:w="280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proofErr w:type="gramStart"/>
            <w:r>
              <w:rPr>
                <w:rFonts w:hint="eastAsia"/>
                <w:snapToGrid w:val="0"/>
                <w:color w:val="000000"/>
                <w:spacing w:val="2"/>
                <w:kern w:val="0"/>
                <w:lang w:eastAsia="zh-CN"/>
              </w:rPr>
              <w:t>Actually</w:t>
            </w:r>
            <w:proofErr w:type="gramEnd"/>
            <w:r>
              <w:rPr>
                <w:rFonts w:hint="eastAsia"/>
                <w:snapToGrid w:val="0"/>
                <w:color w:val="000000"/>
                <w:spacing w:val="2"/>
                <w:kern w:val="0"/>
                <w:lang w:eastAsia="zh-CN"/>
              </w:rPr>
              <w:t xml:space="preserve"> Utilized Foreign Capital</w:t>
            </w:r>
          </w:p>
        </w:tc>
        <w:tc>
          <w:tcPr>
            <w:tcW w:w="1681"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AA78AE">
        <w:trPr>
          <w:trHeight w:val="90"/>
          <w:jc w:val="center"/>
        </w:trPr>
        <w:tc>
          <w:tcPr>
            <w:tcW w:w="202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Gross Regional Product</w:t>
            </w:r>
          </w:p>
        </w:tc>
        <w:tc>
          <w:tcPr>
            <w:tcW w:w="1816"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LGDP</w:t>
            </w:r>
          </w:p>
        </w:tc>
        <w:tc>
          <w:tcPr>
            <w:tcW w:w="2800"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Gross Regional Product</w:t>
            </w:r>
          </w:p>
        </w:tc>
        <w:tc>
          <w:tcPr>
            <w:tcW w:w="1681" w:type="dxa"/>
            <w:tcBorders>
              <w:tl2br w:val="nil"/>
              <w:tr2bl w:val="nil"/>
            </w:tcBorders>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bl>
    <w:p w:rsidR="00AA78AE" w:rsidRDefault="000402EC">
      <w:pPr>
        <w:pStyle w:val="BodyText"/>
        <w:spacing w:before="37" w:line="196" w:lineRule="auto"/>
        <w:ind w:left="2981"/>
        <w:rPr>
          <w:b/>
          <w:bCs/>
          <w:snapToGrid w:val="0"/>
          <w:color w:val="000000"/>
          <w:spacing w:val="-2"/>
          <w:kern w:val="0"/>
          <w:sz w:val="22"/>
          <w:szCs w:val="22"/>
          <w:lang w:eastAsia="zh-CN"/>
        </w:rPr>
      </w:pPr>
      <w:bookmarkStart w:id="12" w:name="_Toc19122"/>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rsidR="00AA78AE" w:rsidRDefault="000402E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4.2 Stationarity and Cointegration Tests</w:t>
      </w:r>
      <w:bookmarkEnd w:id="12"/>
    </w:p>
    <w:p w:rsidR="00AA78AE" w:rsidRDefault="00AA78AE"/>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lastRenderedPageBreak/>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表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2</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Stationarity Test Results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787"/>
        <w:gridCol w:w="2200"/>
      </w:tblGrid>
      <w:tr w:rsidR="00AA78AE">
        <w:trPr>
          <w:trHeight w:val="154"/>
          <w:jc w:val="center"/>
        </w:trPr>
        <w:tc>
          <w:tcPr>
            <w:tcW w:w="1998" w:type="dxa"/>
            <w:tcBorders>
              <w:bottom w:val="single" w:sz="4" w:space="0" w:color="auto"/>
            </w:tcBorders>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Variable</w:t>
            </w:r>
          </w:p>
        </w:tc>
        <w:tc>
          <w:tcPr>
            <w:tcW w:w="2787" w:type="dxa"/>
            <w:tcBorders>
              <w:bottom w:val="single" w:sz="4" w:space="0" w:color="auto"/>
            </w:tcBorders>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ADF(p)</w:t>
            </w:r>
          </w:p>
        </w:tc>
        <w:tc>
          <w:tcPr>
            <w:tcW w:w="2200" w:type="dxa"/>
            <w:tcBorders>
              <w:bottom w:val="single" w:sz="4" w:space="0" w:color="auto"/>
            </w:tcBorders>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Result</w:t>
            </w:r>
          </w:p>
        </w:tc>
      </w:tr>
      <w:tr w:rsidR="00AA78AE">
        <w:trPr>
          <w:trHeight w:val="90"/>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LEXS1</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-2.16(0.48)</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AA78AE">
        <w:trPr>
          <w:trHeight w:val="190"/>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LEXS2</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-1.97(0.58)</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AA78AE">
        <w:trPr>
          <w:trHeight w:val="177"/>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LFDI</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1.92(0.98)</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AA78AE">
        <w:trPr>
          <w:trHeight w:val="209"/>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LGDP</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-0.42(0.98)</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AA78AE">
        <w:trPr>
          <w:trHeight w:val="90"/>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D(EXS1)</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-3.73(0.03)</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AA78AE">
        <w:trPr>
          <w:trHeight w:val="90"/>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D(LEXS2)</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-5.27(0.00)</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AA78AE">
        <w:trPr>
          <w:trHeight w:val="227"/>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D(FDI)</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-4.06(0.02)</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AA78AE">
        <w:trPr>
          <w:trHeight w:val="90"/>
          <w:jc w:val="center"/>
        </w:trPr>
        <w:tc>
          <w:tcPr>
            <w:tcW w:w="1998"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D(GDP)</w:t>
            </w:r>
          </w:p>
        </w:tc>
        <w:tc>
          <w:tcPr>
            <w:tcW w:w="2787"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-4.61(0.00)</w:t>
            </w:r>
          </w:p>
        </w:tc>
        <w:tc>
          <w:tcPr>
            <w:tcW w:w="2200" w:type="dxa"/>
            <w:tcBorders>
              <w:tl2br w:val="nil"/>
              <w:tr2bl w:val="nil"/>
            </w:tcBorders>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Stationary</w:t>
            </w:r>
          </w:p>
        </w:tc>
      </w:tr>
    </w:tbl>
    <w:p w:rsidR="00AA78AE" w:rsidRDefault="000402EC">
      <w:pPr>
        <w:pStyle w:val="BodyText"/>
        <w:spacing w:before="37" w:line="196" w:lineRule="auto"/>
        <w:ind w:left="2981"/>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rsidR="00AA78AE" w:rsidRDefault="000402EC">
      <w:pPr>
        <w:pStyle w:val="BodyText"/>
        <w:widowControl/>
        <w:kinsoku w:val="0"/>
        <w:autoSpaceDE w:val="0"/>
        <w:autoSpaceDN w:val="0"/>
        <w:adjustRightInd w:val="0"/>
        <w:snapToGrid w:val="0"/>
        <w:spacing w:before="195" w:line="251" w:lineRule="auto"/>
        <w:ind w:right="137"/>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The Augmented Dickey-Fuller (ADF) test was employed to conduct unit root tests on the variables. The results indicate that the null hypothesis of a unit root cannot be rejected for the level series of LEXS1, LEXS2, LFDI, and LGDP (p-value &gt; 0.05), suggesting that these series are </w:t>
      </w:r>
      <w:r>
        <w:rPr>
          <w:snapToGrid w:val="0"/>
          <w:color w:val="000000"/>
          <w:spacing w:val="4"/>
          <w:kern w:val="0"/>
          <w:sz w:val="19"/>
          <w:szCs w:val="19"/>
          <w:lang w:eastAsia="zh-CN"/>
        </w:rPr>
        <w:t xml:space="preserve">non-stationary. After first differencing, all variables reject the null hypothesis of a unit root at the 5% significance level, exhibiting stationary behavior. Therefore, all four variables are integrated of order one, </w:t>
      </w:r>
      <w:proofErr w:type="gramStart"/>
      <w:r>
        <w:rPr>
          <w:snapToGrid w:val="0"/>
          <w:color w:val="000000"/>
          <w:spacing w:val="4"/>
          <w:kern w:val="0"/>
          <w:sz w:val="19"/>
          <w:szCs w:val="19"/>
          <w:lang w:eastAsia="zh-CN"/>
        </w:rPr>
        <w:t>I(</w:t>
      </w:r>
      <w:proofErr w:type="gramEnd"/>
      <w:r>
        <w:rPr>
          <w:snapToGrid w:val="0"/>
          <w:color w:val="000000"/>
          <w:spacing w:val="4"/>
          <w:kern w:val="0"/>
          <w:sz w:val="19"/>
          <w:szCs w:val="19"/>
          <w:lang w:eastAsia="zh-CN"/>
        </w:rPr>
        <w:t>1), satisfying the precondition for cointegration testing.</w:t>
      </w:r>
    </w:p>
    <w:p w:rsidR="00AA78AE" w:rsidRDefault="00AA78AE">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表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3</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Cointegration Test Results</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90"/>
        <w:gridCol w:w="1383"/>
        <w:gridCol w:w="1452"/>
        <w:gridCol w:w="1549"/>
        <w:gridCol w:w="1522"/>
      </w:tblGrid>
      <w:tr w:rsidR="00AA78AE">
        <w:trPr>
          <w:trHeight w:val="257"/>
          <w:tblHeader/>
        </w:trPr>
        <w:tc>
          <w:tcPr>
            <w:tcW w:w="2390"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Hypothesized No. of CE(s)</w:t>
            </w:r>
          </w:p>
        </w:tc>
        <w:tc>
          <w:tcPr>
            <w:tcW w:w="1383"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Eigenvalue</w:t>
            </w:r>
          </w:p>
        </w:tc>
        <w:tc>
          <w:tcPr>
            <w:tcW w:w="1452"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Trace Statistic</w:t>
            </w:r>
          </w:p>
        </w:tc>
        <w:tc>
          <w:tcPr>
            <w:tcW w:w="1549"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0.05 Critical Value</w:t>
            </w:r>
          </w:p>
        </w:tc>
        <w:tc>
          <w:tcPr>
            <w:tcW w:w="1522" w:type="dxa"/>
            <w:tcBorders>
              <w:top w:val="single" w:sz="4" w:space="0" w:color="auto"/>
              <w:left w:val="nil"/>
              <w:bottom w:val="single" w:sz="4" w:space="0" w:color="auto"/>
              <w:right w:val="nil"/>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Prob.** Critical Value</w:t>
            </w:r>
          </w:p>
        </w:tc>
      </w:tr>
      <w:tr w:rsidR="00AA78AE">
        <w:trPr>
          <w:trHeight w:val="90"/>
        </w:trPr>
        <w:tc>
          <w:tcPr>
            <w:tcW w:w="2390" w:type="dxa"/>
            <w:tcBorders>
              <w:top w:val="single" w:sz="4" w:space="0" w:color="auto"/>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None *</w:t>
            </w:r>
          </w:p>
        </w:tc>
        <w:tc>
          <w:tcPr>
            <w:tcW w:w="1383" w:type="dxa"/>
            <w:tcBorders>
              <w:top w:val="single" w:sz="4" w:space="0" w:color="auto"/>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0.931455</w:t>
            </w:r>
          </w:p>
        </w:tc>
        <w:tc>
          <w:tcPr>
            <w:tcW w:w="1452" w:type="dxa"/>
            <w:tcBorders>
              <w:top w:val="single" w:sz="4" w:space="0" w:color="auto"/>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118.7428</w:t>
            </w:r>
          </w:p>
        </w:tc>
        <w:tc>
          <w:tcPr>
            <w:tcW w:w="1549" w:type="dxa"/>
            <w:tcBorders>
              <w:top w:val="single" w:sz="4" w:space="0" w:color="auto"/>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47.85613</w:t>
            </w:r>
          </w:p>
        </w:tc>
        <w:tc>
          <w:tcPr>
            <w:tcW w:w="1522" w:type="dxa"/>
            <w:tcBorders>
              <w:top w:val="single" w:sz="4" w:space="0" w:color="auto"/>
              <w:left w:val="nil"/>
              <w:bottom w:val="nil"/>
              <w:right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0.0000</w:t>
            </w:r>
          </w:p>
        </w:tc>
      </w:tr>
      <w:tr w:rsidR="00AA78AE">
        <w:trPr>
          <w:trHeight w:val="91"/>
        </w:trPr>
        <w:tc>
          <w:tcPr>
            <w:tcW w:w="2390"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At most 1 *</w:t>
            </w:r>
          </w:p>
        </w:tc>
        <w:tc>
          <w:tcPr>
            <w:tcW w:w="1383"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0.740036</w:t>
            </w:r>
          </w:p>
        </w:tc>
        <w:tc>
          <w:tcPr>
            <w:tcW w:w="1452"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49.05594</w:t>
            </w:r>
          </w:p>
        </w:tc>
        <w:tc>
          <w:tcPr>
            <w:tcW w:w="1549"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29.79707</w:t>
            </w:r>
          </w:p>
        </w:tc>
        <w:tc>
          <w:tcPr>
            <w:tcW w:w="1522" w:type="dxa"/>
            <w:tcBorders>
              <w:top w:val="nil"/>
              <w:left w:val="nil"/>
              <w:bottom w:val="nil"/>
              <w:right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0.0001</w:t>
            </w:r>
          </w:p>
        </w:tc>
      </w:tr>
      <w:tr w:rsidR="00AA78AE">
        <w:trPr>
          <w:trHeight w:val="91"/>
        </w:trPr>
        <w:tc>
          <w:tcPr>
            <w:tcW w:w="2390"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 xml:space="preserve">At most 2 </w:t>
            </w:r>
          </w:p>
        </w:tc>
        <w:tc>
          <w:tcPr>
            <w:tcW w:w="1383"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0.334272</w:t>
            </w:r>
          </w:p>
        </w:tc>
        <w:tc>
          <w:tcPr>
            <w:tcW w:w="1452"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14.02839</w:t>
            </w:r>
          </w:p>
        </w:tc>
        <w:tc>
          <w:tcPr>
            <w:tcW w:w="1549" w:type="dxa"/>
            <w:tcBorders>
              <w:top w:val="nil"/>
              <w:left w:val="nil"/>
              <w:bottom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15.49471</w:t>
            </w:r>
          </w:p>
        </w:tc>
        <w:tc>
          <w:tcPr>
            <w:tcW w:w="1522" w:type="dxa"/>
            <w:tcBorders>
              <w:top w:val="nil"/>
              <w:left w:val="nil"/>
              <w:bottom w:val="nil"/>
              <w:right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0.0822</w:t>
            </w:r>
          </w:p>
        </w:tc>
      </w:tr>
      <w:tr w:rsidR="00AA78AE">
        <w:trPr>
          <w:trHeight w:val="90"/>
        </w:trPr>
        <w:tc>
          <w:tcPr>
            <w:tcW w:w="2390" w:type="dxa"/>
            <w:tcBorders>
              <w:top w:val="nil"/>
              <w:left w:val="nil"/>
              <w:bottom w:val="single" w:sz="4" w:space="0" w:color="auto"/>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At most 3</w:t>
            </w:r>
          </w:p>
        </w:tc>
        <w:tc>
          <w:tcPr>
            <w:tcW w:w="1383" w:type="dxa"/>
            <w:tcBorders>
              <w:top w:val="nil"/>
              <w:left w:val="nil"/>
              <w:bottom w:val="single" w:sz="4" w:space="0" w:color="auto"/>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0.124254</w:t>
            </w:r>
          </w:p>
        </w:tc>
        <w:tc>
          <w:tcPr>
            <w:tcW w:w="1452" w:type="dxa"/>
            <w:tcBorders>
              <w:top w:val="nil"/>
              <w:left w:val="nil"/>
              <w:bottom w:val="single" w:sz="4" w:space="0" w:color="auto"/>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3.449672</w:t>
            </w:r>
          </w:p>
        </w:tc>
        <w:tc>
          <w:tcPr>
            <w:tcW w:w="1549" w:type="dxa"/>
            <w:tcBorders>
              <w:top w:val="nil"/>
              <w:left w:val="nil"/>
              <w:bottom w:val="single" w:sz="4" w:space="0" w:color="auto"/>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3.841465</w:t>
            </w:r>
          </w:p>
        </w:tc>
        <w:tc>
          <w:tcPr>
            <w:tcW w:w="1522" w:type="dxa"/>
            <w:tcBorders>
              <w:top w:val="nil"/>
              <w:left w:val="nil"/>
              <w:bottom w:val="single" w:sz="4" w:space="0" w:color="auto"/>
              <w:right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0.0633</w:t>
            </w:r>
          </w:p>
        </w:tc>
      </w:tr>
    </w:tbl>
    <w:p w:rsidR="00AA78AE" w:rsidRDefault="000402EC">
      <w:pPr>
        <w:pStyle w:val="BodyText"/>
        <w:spacing w:before="37" w:line="196" w:lineRule="auto"/>
        <w:ind w:left="2981"/>
        <w:rPr>
          <w:snapToGrid w:val="0"/>
          <w:color w:val="000000"/>
          <w:spacing w:val="4"/>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rsidR="00AA78AE" w:rsidRDefault="00AA78AE">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r>
        <w:rPr>
          <w:rFonts w:hint="eastAsia"/>
          <w:snapToGrid w:val="0"/>
          <w:color w:val="000000"/>
          <w:spacing w:val="4"/>
          <w:kern w:val="0"/>
          <w:sz w:val="19"/>
          <w:szCs w:val="19"/>
          <w:lang w:eastAsia="zh-CN"/>
        </w:rPr>
        <w:t>T</w:t>
      </w:r>
      <w:r>
        <w:rPr>
          <w:snapToGrid w:val="0"/>
          <w:color w:val="000000"/>
          <w:spacing w:val="4"/>
          <w:kern w:val="0"/>
          <w:sz w:val="19"/>
          <w:szCs w:val="19"/>
          <w:lang w:eastAsia="zh-CN"/>
        </w:rPr>
        <w:t xml:space="preserve">he optimal lag length was determined through a Vector Autoregression (VAR) model. Based on the AIC, SC, HQ, and FPE information criteria, the optimal lag length is 4; accordingly, the lag length for the differenced terms in the VECM is set to 3. The Johansen cointegration test reveals that, at the 5% significance level, there are </w:t>
      </w:r>
      <w:r>
        <w:rPr>
          <w:snapToGrid w:val="0"/>
          <w:color w:val="000000"/>
          <w:spacing w:val="4"/>
          <w:kern w:val="0"/>
          <w:sz w:val="19"/>
          <w:szCs w:val="19"/>
          <w:lang w:eastAsia="zh-CN"/>
        </w:rPr>
        <w:t>two stable long-term equilibrium relationships among Dongguan’s actual utilized FDI (LFDI), the proportion of mechanical and electrical products exports (LEXS1), the proportion of general trade exports (LEXS2), and the gross regional product (LGDP). Thus, we can establish a VECM model</w:t>
      </w:r>
      <w:bookmarkStart w:id="13" w:name="_Toc10125"/>
      <w:r>
        <w:rPr>
          <w:rFonts w:hint="eastAsia"/>
          <w:snapToGrid w:val="0"/>
          <w:color w:val="000000"/>
          <w:spacing w:val="4"/>
          <w:kern w:val="0"/>
          <w:sz w:val="19"/>
          <w:szCs w:val="19"/>
          <w:lang w:eastAsia="zh-CN"/>
        </w:rPr>
        <w:t>.</w:t>
      </w:r>
    </w:p>
    <w:p w:rsidR="00AA78AE" w:rsidRDefault="00AA78AE">
      <w:bookmarkStart w:id="14" w:name="_Toc29177"/>
      <w:bookmarkEnd w:id="13"/>
    </w:p>
    <w:p w:rsidR="00AA78AE" w:rsidRDefault="00AA78AE"/>
    <w:p w:rsidR="00AA78AE" w:rsidRDefault="000402E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4.3 VECM Stability Test</w:t>
      </w:r>
      <w:bookmarkEnd w:id="14"/>
    </w:p>
    <w:p w:rsidR="00AA78AE" w:rsidRDefault="00AA78AE">
      <w:pPr>
        <w:jc w:val="center"/>
        <w:rPr>
          <w:rFonts w:ascii="Times New Roman" w:hAnsi="Times New Roma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p>
    <w:p w:rsidR="00AA78AE" w:rsidRDefault="000402EC">
      <w:pPr>
        <w:jc w:val="center"/>
        <w:rPr>
          <w:rFonts w:ascii="Times New Roman" w:hAnsi="Times New Roman"/>
        </w:rPr>
      </w:pPr>
      <w:r>
        <w:rPr>
          <w:rFonts w:ascii="SimSun" w:eastAsia="SimSun" w:hAnsi="SimSun" w:cs="SimSun"/>
          <w:noProof/>
          <w:sz w:val="24"/>
        </w:rPr>
        <w:drawing>
          <wp:inline distT="0" distB="0" distL="114300" distR="114300">
            <wp:extent cx="1751330" cy="1537335"/>
            <wp:effectExtent l="0" t="0" r="1270" b="1206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8"/>
                    <a:srcRect r="13263"/>
                    <a:stretch>
                      <a:fillRect/>
                    </a:stretch>
                  </pic:blipFill>
                  <pic:spPr>
                    <a:xfrm>
                      <a:off x="0" y="0"/>
                      <a:ext cx="1751330" cy="1537335"/>
                    </a:xfrm>
                    <a:prstGeom prst="rect">
                      <a:avLst/>
                    </a:prstGeom>
                    <a:noFill/>
                    <a:ln w="9525">
                      <a:noFill/>
                    </a:ln>
                  </pic:spPr>
                </pic:pic>
              </a:graphicData>
            </a:graphic>
          </wp:inline>
        </w:drawing>
      </w:r>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Fig.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图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1</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VECM Model Stability Test</w:t>
      </w:r>
    </w:p>
    <w:p w:rsidR="00AA78AE" w:rsidRDefault="00AA78AE">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p>
    <w:p w:rsidR="00AA78AE" w:rsidRDefault="000402E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lastRenderedPageBreak/>
        <w:t xml:space="preserve">Based on the characteristics of the data, this paper primarily employs the two most commonly used methods, the Schwarz Criterion (SC) and the Akaike Information Criterion (AIC), to determine the lag order. The optimal lag order is selected as 3, and a </w:t>
      </w:r>
    </w:p>
    <w:p w:rsidR="00AA78AE" w:rsidRDefault="000402EC">
      <w:pPr>
        <w:pStyle w:val="BodyText"/>
        <w:widowControl/>
        <w:kinsoku w:val="0"/>
        <w:autoSpaceDE w:val="0"/>
        <w:autoSpaceDN w:val="0"/>
        <w:adjustRightInd w:val="0"/>
        <w:snapToGrid w:val="0"/>
        <w:spacing w:before="225" w:line="251" w:lineRule="auto"/>
        <w:ind w:left="2"/>
        <w:textAlignment w:val="baseline"/>
        <w:rPr>
          <w:b/>
          <w:bCs/>
          <w:snapToGrid w:val="0"/>
          <w:color w:val="000000"/>
          <w:spacing w:val="-2"/>
          <w:kern w:val="0"/>
          <w:sz w:val="22"/>
          <w:szCs w:val="22"/>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proofErr w:type="gramStart"/>
      <w:r>
        <w:rPr>
          <w:rFonts w:hint="eastAsia"/>
          <w:snapToGrid w:val="0"/>
          <w:color w:val="000000"/>
          <w:spacing w:val="4"/>
          <w:kern w:val="0"/>
          <w:sz w:val="19"/>
          <w:szCs w:val="19"/>
          <w:lang w:eastAsia="zh-CN"/>
        </w:rPr>
        <w:t>VECM(</w:t>
      </w:r>
      <w:proofErr w:type="gramEnd"/>
      <w:r>
        <w:rPr>
          <w:rFonts w:hint="eastAsia"/>
          <w:snapToGrid w:val="0"/>
          <w:color w:val="000000"/>
          <w:spacing w:val="4"/>
          <w:kern w:val="0"/>
          <w:sz w:val="19"/>
          <w:szCs w:val="19"/>
          <w:lang w:eastAsia="zh-CN"/>
        </w:rPr>
        <w:t xml:space="preserve">3) model is established. The stability test diagram (Figure 1) indicates that the inverse roots of the characteristic polynomial for the </w:t>
      </w:r>
      <w:proofErr w:type="gramStart"/>
      <w:r>
        <w:rPr>
          <w:rFonts w:hint="eastAsia"/>
          <w:snapToGrid w:val="0"/>
          <w:color w:val="000000"/>
          <w:spacing w:val="4"/>
          <w:kern w:val="0"/>
          <w:sz w:val="19"/>
          <w:szCs w:val="19"/>
          <w:lang w:eastAsia="zh-CN"/>
        </w:rPr>
        <w:t>VECM(</w:t>
      </w:r>
      <w:proofErr w:type="gramEnd"/>
      <w:r>
        <w:rPr>
          <w:rFonts w:hint="eastAsia"/>
          <w:snapToGrid w:val="0"/>
          <w:color w:val="000000"/>
          <w:spacing w:val="4"/>
          <w:kern w:val="0"/>
          <w:sz w:val="19"/>
          <w:szCs w:val="19"/>
          <w:lang w:eastAsia="zh-CN"/>
        </w:rPr>
        <w:t>3) all lie within the unit circle, demonstrating that the VECM(3) model is stable.</w:t>
      </w:r>
      <w:bookmarkStart w:id="15" w:name="_Toc22511"/>
    </w:p>
    <w:p w:rsidR="00AA78AE" w:rsidRDefault="000402E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4.4 Model Specification</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O</w:t>
      </w:r>
      <w:r>
        <w:rPr>
          <w:snapToGrid w:val="0"/>
          <w:color w:val="000000"/>
          <w:spacing w:val="4"/>
          <w:kern w:val="0"/>
          <w:sz w:val="19"/>
          <w:szCs w:val="19"/>
          <w:lang w:eastAsia="zh-CN"/>
        </w:rPr>
        <w:t xml:space="preserve">n the above analysis and discussion, the optimal model was ultimately determined to be </w:t>
      </w:r>
      <w:proofErr w:type="gramStart"/>
      <w:r>
        <w:rPr>
          <w:snapToGrid w:val="0"/>
          <w:color w:val="000000"/>
          <w:spacing w:val="4"/>
          <w:kern w:val="0"/>
          <w:sz w:val="19"/>
          <w:szCs w:val="19"/>
          <w:lang w:eastAsia="zh-CN"/>
        </w:rPr>
        <w:t>VECM(</w:t>
      </w:r>
      <w:proofErr w:type="gramEnd"/>
      <w:r>
        <w:rPr>
          <w:snapToGrid w:val="0"/>
          <w:color w:val="000000"/>
          <w:spacing w:val="4"/>
          <w:kern w:val="0"/>
          <w:sz w:val="19"/>
          <w:szCs w:val="19"/>
          <w:lang w:eastAsia="zh-CN"/>
        </w:rPr>
        <w:t>3). Furthermore, the long-term stable equilibrium relationships among Dongguan's actual utilized FDI (LFDI), export commodity structure (LEXS1), trade mode structure (LEXS2), and gross regional product (LGDP) can be illustrated through the cointegrating equations. By normalizing the cointegrating vectors, two cointegrating equations, i.e., the error correction terms, are obtained as follows:</w:t>
      </w:r>
    </w:p>
    <w:p w:rsidR="00AA78AE" w:rsidRDefault="005824B4">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
        <m:sSub>
          <m:sSubPr>
            <m:ctrlPr>
              <w:rPr>
                <w:rFonts w:ascii="Times New Roman" w:eastAsia="KaTeX_Math" w:hAnsi="Times New Roman" w:cs="KaTeX_Math"/>
                <w:iCs/>
                <w:snapToGrid w:val="0"/>
                <w:color w:val="000000"/>
                <w:spacing w:val="4"/>
                <w:kern w:val="0"/>
                <w:sz w:val="19"/>
                <w:szCs w:val="19"/>
                <w:shd w:val="clear" w:color="auto" w:fill="FFFFFF"/>
                <w:lang w:eastAsia="zh-CN"/>
              </w:rPr>
            </m:ctrlPr>
          </m:sSubPr>
          <m:e>
            <m:r>
              <m:rPr>
                <m:nor/>
              </m:rPr>
              <w:rPr>
                <w:rFonts w:ascii="Times New Roman" w:eastAsia="KaTeX_Math" w:hAnsi="Times New Roman" w:cs="KaTeX_Math"/>
                <w:iCs/>
                <w:snapToGrid w:val="0"/>
                <w:color w:val="000000"/>
                <w:spacing w:val="4"/>
                <w:kern w:val="0"/>
                <w:sz w:val="19"/>
                <w:szCs w:val="19"/>
                <w:shd w:val="clear" w:color="auto" w:fill="FFFFFF"/>
                <w:lang w:eastAsia="zh-CN"/>
              </w:rPr>
              <m:t>ecm</m:t>
            </m:r>
          </m:e>
          <m:sub>
            <m:r>
              <m:rPr>
                <m:nor/>
              </m:rPr>
              <w:rPr>
                <w:rFonts w:ascii="Times New Roman" w:eastAsia="KaTeX_Math" w:hAnsi="Times New Roman" w:cs="KaTeX_Math"/>
                <w:iCs/>
                <w:snapToGrid w:val="0"/>
                <w:color w:val="000000"/>
                <w:spacing w:val="4"/>
                <w:kern w:val="0"/>
                <w:sz w:val="19"/>
                <w:szCs w:val="19"/>
                <w:shd w:val="clear" w:color="auto" w:fill="FFFFFF"/>
                <w:lang w:eastAsia="zh-CN"/>
              </w:rPr>
              <m:t>1,t</m:t>
            </m:r>
          </m:sub>
        </m:sSub>
        <m:r>
          <m:rPr>
            <m:sty m:val="p"/>
          </m:rPr>
          <w:rPr>
            <w:rFonts w:ascii="Times New Roman" w:eastAsia="Times New Roman" w:hAnsi="Times New Roman" w:cs="Times New Roman"/>
            <w:snapToGrid w:val="0"/>
            <w:color w:val="000000"/>
            <w:spacing w:val="4"/>
            <w:kern w:val="0"/>
            <w:sz w:val="19"/>
            <w:szCs w:val="19"/>
            <w:shd w:val="clear" w:color="auto" w:fill="FFFFFF"/>
            <w:lang w:eastAsia="zh-CN"/>
          </w:rPr>
          <m:t>=LEXS1(-1)+1.801908*LFDI(-1)-0.277738*LGDP(-1)-22.85543</m:t>
        </m:r>
      </m:oMath>
      <w:r w:rsidR="000402EC">
        <w:rPr>
          <w:rFonts w:ascii="Times New Roman" w:eastAsia="Times New Roman" w:hAnsi="Times New Roman" w:cs="Times New Roman"/>
          <w:snapToGrid w:val="0"/>
          <w:color w:val="000000"/>
          <w:spacing w:val="4"/>
          <w:kern w:val="0"/>
          <w:sz w:val="19"/>
          <w:szCs w:val="19"/>
          <w:shd w:val="clear" w:color="auto" w:fill="FFFFFF"/>
          <w:lang w:eastAsia="zh-CN"/>
        </w:rPr>
        <w:t xml:space="preserve"> </w:t>
      </w:r>
    </w:p>
    <w:p w:rsidR="00AA78AE" w:rsidRDefault="005824B4">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
        <m:sSub>
          <m:sSubPr>
            <m:ctrlPr>
              <w:rPr>
                <w:rFonts w:ascii="Times New Roman" w:eastAsia="Times New Roman" w:hAnsi="Times New Roman" w:cs="Times New Roman"/>
                <w:snapToGrid w:val="0"/>
                <w:color w:val="000000"/>
                <w:spacing w:val="4"/>
                <w:kern w:val="0"/>
                <w:sz w:val="19"/>
                <w:szCs w:val="19"/>
                <w:shd w:val="clear" w:color="auto" w:fill="FFFFFF"/>
                <w:lang w:eastAsia="zh-CN"/>
              </w:rPr>
            </m:ctrlPr>
          </m:sSubPr>
          <m:e>
            <m:r>
              <m:rPr>
                <m:nor/>
              </m:rPr>
              <w:rPr>
                <w:rFonts w:ascii="Times New Roman" w:eastAsia="Times New Roman" w:hAnsi="Times New Roman" w:cs="Times New Roman"/>
                <w:snapToGrid w:val="0"/>
                <w:color w:val="000000"/>
                <w:spacing w:val="4"/>
                <w:kern w:val="0"/>
                <w:sz w:val="19"/>
                <w:szCs w:val="19"/>
                <w:shd w:val="clear" w:color="auto" w:fill="FFFFFF"/>
                <w:lang w:eastAsia="zh-CN"/>
              </w:rPr>
              <m:t>ecm</m:t>
            </m:r>
          </m:e>
          <m:sub>
            <m:r>
              <m:rPr>
                <m:nor/>
              </m:rPr>
              <w:rPr>
                <w:rFonts w:ascii="Times New Roman" w:eastAsia="Times New Roman" w:hAnsi="Times New Roman" w:cs="Times New Roman"/>
                <w:snapToGrid w:val="0"/>
                <w:color w:val="000000"/>
                <w:spacing w:val="4"/>
                <w:kern w:val="0"/>
                <w:sz w:val="19"/>
                <w:szCs w:val="19"/>
                <w:shd w:val="clear" w:color="auto" w:fill="FFFFFF"/>
                <w:lang w:eastAsia="zh-CN"/>
              </w:rPr>
              <m:t>2,t</m:t>
            </m:r>
          </m:sub>
        </m:sSub>
        <m:r>
          <m:rPr>
            <m:sty m:val="p"/>
          </m:rPr>
          <w:rPr>
            <w:rFonts w:ascii="Times New Roman" w:eastAsia="Times New Roman" w:hAnsi="Times New Roman" w:cs="Times New Roman"/>
            <w:snapToGrid w:val="0"/>
            <w:color w:val="000000"/>
            <w:spacing w:val="4"/>
            <w:kern w:val="0"/>
            <w:sz w:val="19"/>
            <w:szCs w:val="19"/>
            <w:shd w:val="clear" w:color="auto" w:fill="FFFFFF"/>
            <w:lang w:eastAsia="zh-CN"/>
          </w:rPr>
          <m:t>=LEXS2(-1)-0.968271*LFDI(-1)-2.113028*LGDP(-1)+27.00522</m:t>
        </m:r>
      </m:oMath>
      <w:r w:rsidR="000402EC">
        <w:rPr>
          <w:rFonts w:ascii="Times New Roman" w:eastAsia="Times New Roman" w:hAnsi="Times New Roman" w:cs="Times New Roman"/>
          <w:snapToGrid w:val="0"/>
          <w:color w:val="000000"/>
          <w:spacing w:val="4"/>
          <w:kern w:val="0"/>
          <w:sz w:val="19"/>
          <w:szCs w:val="19"/>
          <w:shd w:val="clear" w:color="auto" w:fill="FFFFFF"/>
          <w:lang w:eastAsia="zh-CN"/>
        </w:rPr>
        <w:t xml:space="preserve"> </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To focus on analyzing the long-term effects of FDI scale and economic growth on the export commodity structure and trade mode structure, the error correction terms can be transformed as follows:</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
        <m:r>
          <m:rPr>
            <m:sty m:val="p"/>
          </m:rPr>
          <w:rPr>
            <w:rFonts w:ascii="Times New Roman" w:eastAsia="Times New Roman" w:hAnsi="Times New Roman" w:cs="Times New Roman"/>
            <w:snapToGrid w:val="0"/>
            <w:color w:val="000000"/>
            <w:spacing w:val="4"/>
            <w:kern w:val="0"/>
            <w:sz w:val="19"/>
            <w:szCs w:val="19"/>
            <w:shd w:val="clear" w:color="auto" w:fill="FFFFFF"/>
            <w:lang w:eastAsia="zh-CN"/>
          </w:rPr>
          <m:t>LEXS1(-1)=-1.801908*LFDI(-1)+0.277738*LGDP(-1)+22.85543+</m:t>
        </m:r>
        <m:sSub>
          <m:sSubPr>
            <m:ctrlPr>
              <w:rPr>
                <w:rFonts w:ascii="Cambria Math" w:eastAsia="Times New Roman" w:hAnsi="Cambria Math" w:cs="Times New Roman"/>
                <w:snapToGrid w:val="0"/>
                <w:color w:val="000000"/>
                <w:spacing w:val="4"/>
                <w:kern w:val="0"/>
                <w:sz w:val="19"/>
                <w:szCs w:val="19"/>
                <w:shd w:val="clear" w:color="auto" w:fill="FFFFFF"/>
                <w:lang w:eastAsia="zh-CN"/>
              </w:rPr>
            </m:ctrlPr>
          </m:sSubPr>
          <m:e>
            <m:r>
              <m:rPr>
                <m:nor/>
              </m:rPr>
              <w:rPr>
                <w:rFonts w:ascii="Times New Roman" w:eastAsia="Times New Roman" w:hAnsi="Times New Roman" w:cs="Times New Roman"/>
                <w:snapToGrid w:val="0"/>
                <w:color w:val="000000"/>
                <w:spacing w:val="4"/>
                <w:kern w:val="0"/>
                <w:sz w:val="19"/>
                <w:szCs w:val="19"/>
                <w:shd w:val="clear" w:color="auto" w:fill="FFFFFF"/>
                <w:lang w:eastAsia="zh-CN"/>
              </w:rPr>
              <m:t>ecm</m:t>
            </m:r>
          </m:e>
          <m:sub>
            <m:r>
              <m:rPr>
                <m:nor/>
              </m:rPr>
              <w:rPr>
                <w:rFonts w:ascii="Times New Roman" w:eastAsia="Times New Roman" w:hAnsi="Times New Roman" w:cs="Times New Roman"/>
                <w:snapToGrid w:val="0"/>
                <w:color w:val="000000"/>
                <w:spacing w:val="4"/>
                <w:kern w:val="0"/>
                <w:sz w:val="19"/>
                <w:szCs w:val="19"/>
                <w:shd w:val="clear" w:color="auto" w:fill="FFFFFF"/>
                <w:lang w:eastAsia="zh-CN"/>
              </w:rPr>
              <m:t>1,t</m:t>
            </m:r>
          </m:sub>
        </m:sSub>
      </m:oMath>
      <w:r>
        <w:rPr>
          <w:rFonts w:ascii="Cambria Math" w:eastAsia="Times New Roman" w:hAnsi="Cambria Math" w:cs="Times New Roman"/>
          <w:snapToGrid w:val="0"/>
          <w:color w:val="000000"/>
          <w:spacing w:val="4"/>
          <w:kern w:val="0"/>
          <w:sz w:val="19"/>
          <w:szCs w:val="19"/>
          <w:shd w:val="clear" w:color="auto" w:fill="FFFFFF"/>
          <w:lang w:eastAsia="zh-CN"/>
        </w:rPr>
        <w:t xml:space="preserve"> </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
        <m:r>
          <m:rPr>
            <m:sty m:val="p"/>
          </m:rPr>
          <w:rPr>
            <w:rFonts w:ascii="Times New Roman" w:eastAsia="Times New Roman" w:hAnsi="Times New Roman" w:cs="Times New Roman"/>
            <w:snapToGrid w:val="0"/>
            <w:color w:val="000000"/>
            <w:spacing w:val="4"/>
            <w:kern w:val="0"/>
            <w:sz w:val="19"/>
            <w:szCs w:val="19"/>
            <w:shd w:val="clear" w:color="auto" w:fill="FFFFFF"/>
            <w:lang w:eastAsia="zh-CN"/>
          </w:rPr>
          <m:t>LEXS2(-1)=0.968271*LFDI(-1)+2.113028*LGDP(-1)-27.00522+</m:t>
        </m:r>
        <m:sSub>
          <m:sSubPr>
            <m:ctrlPr>
              <w:rPr>
                <w:rFonts w:ascii="Cambria Math" w:eastAsia="Times New Roman" w:hAnsi="Cambria Math" w:cs="Times New Roman"/>
                <w:snapToGrid w:val="0"/>
                <w:color w:val="000000"/>
                <w:spacing w:val="4"/>
                <w:kern w:val="0"/>
                <w:sz w:val="19"/>
                <w:szCs w:val="19"/>
                <w:shd w:val="clear" w:color="auto" w:fill="FFFFFF"/>
                <w:lang w:eastAsia="zh-CN"/>
              </w:rPr>
            </m:ctrlPr>
          </m:sSubPr>
          <m:e>
            <m:r>
              <m:rPr>
                <m:nor/>
              </m:rPr>
              <w:rPr>
                <w:rFonts w:ascii="Times New Roman" w:eastAsia="Times New Roman" w:hAnsi="Times New Roman" w:cs="Times New Roman"/>
                <w:snapToGrid w:val="0"/>
                <w:color w:val="000000"/>
                <w:spacing w:val="4"/>
                <w:kern w:val="0"/>
                <w:sz w:val="19"/>
                <w:szCs w:val="19"/>
                <w:shd w:val="clear" w:color="auto" w:fill="FFFFFF"/>
                <w:lang w:eastAsia="zh-CN"/>
              </w:rPr>
              <m:t>ecm</m:t>
            </m:r>
          </m:e>
          <m:sub>
            <m:r>
              <m:rPr>
                <m:nor/>
              </m:rPr>
              <w:rPr>
                <w:rFonts w:ascii="Cambria Math" w:eastAsia="Times New Roman" w:hAnsi="Cambria Math" w:cs="Times New Roman"/>
                <w:snapToGrid w:val="0"/>
                <w:color w:val="000000"/>
                <w:spacing w:val="4"/>
                <w:kern w:val="0"/>
                <w:sz w:val="19"/>
                <w:szCs w:val="19"/>
                <w:shd w:val="clear" w:color="auto" w:fill="FFFFFF"/>
                <w:lang w:eastAsia="zh-CN"/>
              </w:rPr>
              <m:t>2</m:t>
            </m:r>
            <m:r>
              <m:rPr>
                <m:nor/>
              </m:rPr>
              <w:rPr>
                <w:rFonts w:ascii="Times New Roman" w:eastAsia="Times New Roman" w:hAnsi="Times New Roman" w:cs="Times New Roman"/>
                <w:snapToGrid w:val="0"/>
                <w:color w:val="000000"/>
                <w:spacing w:val="4"/>
                <w:kern w:val="0"/>
                <w:sz w:val="19"/>
                <w:szCs w:val="19"/>
                <w:shd w:val="clear" w:color="auto" w:fill="FFFFFF"/>
                <w:lang w:eastAsia="zh-CN"/>
              </w:rPr>
              <m:t>,t</m:t>
            </m:r>
          </m:sub>
        </m:sSub>
      </m:oMath>
      <w:r>
        <w:rPr>
          <w:rFonts w:ascii="Cambria Math" w:eastAsia="Times New Roman" w:hAnsi="Cambria Math" w:cs="Times New Roman"/>
          <w:snapToGrid w:val="0"/>
          <w:color w:val="000000"/>
          <w:spacing w:val="4"/>
          <w:kern w:val="0"/>
          <w:sz w:val="19"/>
          <w:szCs w:val="19"/>
          <w:shd w:val="clear" w:color="auto" w:fill="FFFFFF"/>
          <w:lang w:eastAsia="zh-CN"/>
        </w:rPr>
        <w:t xml:space="preserve"> </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w:t>
      </w:r>
      <w:r>
        <w:rPr>
          <w:snapToGrid w:val="0"/>
          <w:color w:val="000000"/>
          <w:spacing w:val="4"/>
          <w:kern w:val="0"/>
          <w:sz w:val="19"/>
          <w:szCs w:val="19"/>
          <w:lang w:eastAsia="zh-CN"/>
        </w:rPr>
        <w:t xml:space="preserve">n the long run, holding other factors such as gross regional product constant, a 1 percentage point increase in the actual utilized FDI scale (LFDI) leads to a decrease of approximately 1.80 percentage points in the export commodity structure (LEXS1), whereas it results in an increase of about 0.97 percentage points in the trade mode structure (LEXS2). This indicates that FDI inflows have a significantly differentiated impact on Dongguan's export structure: on the one hand, they may promote an increase in the share of processing trade (LEXS2); on the other hand, they exert structural adjustment pressure on the commodity structure (LEXS1) represented by mechanical and electrical products. Conversely, holding factors such as FDI scale constant, a 1 percentage point increase in gross regional </w:t>
      </w:r>
      <w:r>
        <w:rPr>
          <w:snapToGrid w:val="0"/>
          <w:color w:val="000000"/>
          <w:spacing w:val="4"/>
          <w:kern w:val="0"/>
          <w:sz w:val="19"/>
          <w:szCs w:val="19"/>
          <w:lang w:eastAsia="zh-CN"/>
        </w:rPr>
        <w:t>product (LGDP) raises LEXS1 by 0.28 percentage points and LEXS2 by a substantial 2.11 percentage points. This suggests that economic growth exerts a stronger long-term driving force on the upgrading of the trade mode structure.</w:t>
      </w:r>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In addition, the Vector Error Correction Model (VECM) provides a more detailed depiction of the short-term fluctuations and long-term equilibrium relationships among Jiangsu's consumption structure, industrial structure, and economic growth. The Vector Error Correction Model </w:t>
      </w:r>
      <w:proofErr w:type="gramStart"/>
      <w:r>
        <w:rPr>
          <w:snapToGrid w:val="0"/>
          <w:color w:val="000000"/>
          <w:spacing w:val="4"/>
          <w:kern w:val="0"/>
          <w:sz w:val="19"/>
          <w:szCs w:val="19"/>
          <w:lang w:eastAsia="zh-CN"/>
        </w:rPr>
        <w:t>VECM(</w:t>
      </w:r>
      <w:proofErr w:type="gramEnd"/>
      <w:r>
        <w:rPr>
          <w:snapToGrid w:val="0"/>
          <w:color w:val="000000"/>
          <w:spacing w:val="4"/>
          <w:kern w:val="0"/>
          <w:sz w:val="19"/>
          <w:szCs w:val="19"/>
          <w:lang w:eastAsia="zh-CN"/>
        </w:rPr>
        <w:t>3) in this paper is specified as follows:</w:t>
      </w:r>
    </w:p>
    <w:p w:rsidR="00AA78AE" w:rsidRDefault="005824B4">
      <w:pPr>
        <w:pStyle w:val="BodyText"/>
        <w:widowControl/>
        <w:kinsoku w:val="0"/>
        <w:autoSpaceDE w:val="0"/>
        <w:autoSpaceDN w:val="0"/>
        <w:adjustRightInd w:val="0"/>
        <w:snapToGrid w:val="0"/>
        <w:spacing w:before="195" w:line="251" w:lineRule="auto"/>
        <w:ind w:right="137" w:firstLine="7"/>
        <w:textAlignment w:val="baseline"/>
        <w:rPr>
          <w:rFonts w:eastAsia="SimSun"/>
          <w:snapToGrid w:val="0"/>
          <w:color w:val="000000"/>
          <w:spacing w:val="4"/>
          <w:kern w:val="0"/>
          <w:sz w:val="19"/>
          <w:szCs w:val="19"/>
          <w:lang w:eastAsia="zh-CN"/>
        </w:rPr>
      </w:pPr>
      <m:oMathPara>
        <m:oMath>
          <m:sSub>
            <m:sSubPr>
              <m:ctrlPr>
                <w:rPr>
                  <w:rFonts w:ascii="Times New Roman" w:eastAsia="Times New Roman" w:hAnsi="Times New Roman" w:cs="Times New Roman"/>
                  <w:color w:val="0F1115"/>
                  <w:sz w:val="19"/>
                  <w:szCs w:val="19"/>
                  <w:shd w:val="clear" w:color="auto" w:fill="FFFFFF"/>
                  <w:lang w:eastAsia="zh-CN"/>
                </w:rPr>
              </m:ctrlPr>
            </m:sSubPr>
            <m:e>
              <m:r>
                <m:rPr>
                  <m:sty m:val="p"/>
                </m:rPr>
                <w:rPr>
                  <w:rFonts w:ascii="Times New Roman" w:eastAsia="Times New Roman" w:hAnsi="Times New Roman" w:cs="Times New Roman"/>
                  <w:color w:val="0F1115"/>
                  <w:sz w:val="19"/>
                  <w:szCs w:val="19"/>
                  <w:shd w:val="clear" w:color="auto" w:fill="FFFFFF"/>
                  <w:lang w:eastAsia="zh-CN"/>
                </w:rPr>
                <m:t>ΔLEXS1</m:t>
              </m:r>
            </m:e>
            <m:sub>
              <m:r>
                <m:rPr>
                  <m:nor/>
                </m:rPr>
                <w:rPr>
                  <w:rFonts w:ascii="Times New Roman" w:eastAsia="Times New Roman" w:hAnsi="Times New Roman" w:cs="Times New Roman"/>
                  <w:color w:val="0F1115"/>
                  <w:sz w:val="19"/>
                  <w:szCs w:val="19"/>
                  <w:shd w:val="clear" w:color="auto" w:fill="FFFFFF"/>
                  <w:lang w:eastAsia="zh-CN"/>
                </w:rPr>
                <m:t>t</m:t>
              </m:r>
            </m:sub>
          </m:sSub>
          <m:r>
            <m:rPr>
              <m:sty m:val="p"/>
            </m:rPr>
            <w:rPr>
              <w:rFonts w:ascii="Times New Roman" w:eastAsia="Times New Roman" w:hAnsi="Times New Roman" w:cs="Times New Roman"/>
              <w:snapToGrid w:val="0"/>
              <w:color w:val="000000"/>
              <w:spacing w:val="4"/>
              <w:kern w:val="0"/>
              <w:sz w:val="19"/>
              <w:szCs w:val="19"/>
              <w:shd w:val="clear" w:color="auto" w:fill="FFFFFF"/>
              <w:lang w:eastAsia="zh-CN"/>
            </w:rPr>
            <m:t>=</m:t>
          </m:r>
          <m:r>
            <m:rPr>
              <m:sty m:val="p"/>
            </m:rPr>
            <w:rPr>
              <w:rFonts w:ascii="Times New Roman" w:eastAsia="Times New Roman" w:hAnsi="Times New Roman" w:cs="Times New Roman"/>
              <w:color w:val="0F1115"/>
              <w:sz w:val="19"/>
              <w:szCs w:val="19"/>
              <w:shd w:val="clear" w:color="auto" w:fill="FFFFFF"/>
            </w:rPr>
            <m:t>-1.266489CointEq1</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-2.432319CointEq2</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+0.888187ΔLEXS1</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+1.087084ΔLEXS1</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-2</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+0.687597ΔLEXS1</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-3</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-0.948146ΔLEXS2</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-2.015415ΔLEXS2</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-2</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-2.810831ΔLEXS2</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-3</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+2.074700ΔLFDI</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+2.117255ΔLFDI</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-2</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-2.234900ΔLFDI</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-3</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-6.223092ΔLGDP</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-1</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+4.178497ΔLGDP</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-2</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+29.84810ΔLGDP</m:t>
          </m:r>
          <m:r>
            <w:rPr>
              <w:rFonts w:ascii="KaTeX_Math" w:eastAsia="KaTeX_Math" w:hAnsi="KaTeX_Math" w:cs="KaTeX_Math"/>
              <w:color w:val="0F1115"/>
              <w:sz w:val="14"/>
              <w:szCs w:val="14"/>
              <w:shd w:val="clear" w:color="auto" w:fill="FFFFFF"/>
            </w:rPr>
            <m:t>t</m:t>
          </m:r>
          <m:r>
            <m:rPr>
              <m:sty m:val="p"/>
            </m:rPr>
            <w:rPr>
              <w:rFonts w:ascii="Times New Roman" w:eastAsia="Times New Roman" w:hAnsi="Times New Roman" w:cs="Times New Roman"/>
              <w:color w:val="0F1115"/>
              <w:sz w:val="14"/>
              <w:szCs w:val="14"/>
              <w:shd w:val="clear" w:color="auto" w:fill="FFFFFF"/>
            </w:rPr>
            <m:t>-3</m:t>
          </m:r>
          <m:r>
            <m:rPr>
              <m:sty m:val="p"/>
            </m:rPr>
            <w:rPr>
              <w:rFonts w:ascii="Times New Roman" w:eastAsia="Times New Roman" w:hAnsi="Times New Roman" w:cs="Times New Roman"/>
              <w:color w:val="0F1115"/>
              <w:sz w:val="1"/>
              <w:szCs w:val="1"/>
              <w:shd w:val="clear" w:color="auto" w:fill="FFFFFF"/>
            </w:rPr>
            <m:t>​</m:t>
          </m:r>
          <m:r>
            <m:rPr>
              <m:sty m:val="p"/>
            </m:rPr>
            <w:rPr>
              <w:rFonts w:ascii="Times New Roman" w:eastAsia="Times New Roman" w:hAnsi="Times New Roman" w:cs="Times New Roman"/>
              <w:color w:val="0F1115"/>
              <w:sz w:val="19"/>
              <w:szCs w:val="19"/>
              <w:shd w:val="clear" w:color="auto" w:fill="FFFFFF"/>
            </w:rPr>
            <m:t>-3.294937</m:t>
          </m:r>
          <m:r>
            <m:rPr>
              <m:sty m:val="p"/>
            </m:rPr>
            <w:rPr>
              <w:rFonts w:ascii="Cambria Math" w:hAnsi="Cambria Math"/>
            </w:rPr>
            <m:t xml:space="preserve"> </m:t>
          </m:r>
        </m:oMath>
      </m:oMathPara>
    </w:p>
    <w:p w:rsidR="00AA78AE" w:rsidRDefault="005824B4">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m:oMathPara>
        <m:oMath>
          <m:sSub>
            <m:sSubPr>
              <m:ctrlPr>
                <w:rPr>
                  <w:rFonts w:ascii="Cambria Math" w:eastAsia="Times New Roman" w:hAnsi="Cambria Math" w:cs="Times New Roman"/>
                  <w:color w:val="0F1115"/>
                  <w:sz w:val="19"/>
                  <w:szCs w:val="19"/>
                  <w:shd w:val="clear" w:color="auto" w:fill="FFFFFF"/>
                  <w:lang w:eastAsia="zh-CN"/>
                </w:rPr>
              </m:ctrlPr>
            </m:sSubPr>
            <m:e>
              <m:r>
                <m:rPr>
                  <m:sty m:val="p"/>
                </m:rPr>
                <w:rPr>
                  <w:rFonts w:ascii="Times New Roman" w:eastAsia="Times New Roman" w:hAnsi="Times New Roman" w:cs="Times New Roman"/>
                  <w:color w:val="0F1115"/>
                  <w:sz w:val="19"/>
                  <w:szCs w:val="19"/>
                  <w:shd w:val="clear" w:color="auto" w:fill="FFFFFF"/>
                  <w:lang w:eastAsia="zh-CN"/>
                </w:rPr>
                <m:t>ΔLEXS2</m:t>
              </m:r>
            </m:e>
            <m:sub>
              <m:r>
                <m:rPr>
                  <m:nor/>
                </m:rPr>
                <w:rPr>
                  <w:rFonts w:ascii="Times New Roman" w:eastAsia="Times New Roman" w:hAnsi="Times New Roman" w:cs="Times New Roman"/>
                  <w:color w:val="0F1115"/>
                  <w:sz w:val="19"/>
                  <w:szCs w:val="19"/>
                  <w:shd w:val="clear" w:color="auto" w:fill="FFFFFF"/>
                  <w:lang w:eastAsia="zh-CN"/>
                </w:rPr>
                <m:t>t</m:t>
              </m:r>
            </m:sub>
          </m:sSub>
          <m:r>
            <m:rPr>
              <m:sty m:val="p"/>
            </m:rPr>
            <w:rPr>
              <w:rFonts w:ascii="Times New Roman" w:eastAsia="Times New Roman" w:hAnsi="Times New Roman" w:cs="Times New Roman"/>
              <w:color w:val="0F1115"/>
              <w:sz w:val="19"/>
              <w:szCs w:val="19"/>
              <w:shd w:val="clear" w:color="auto" w:fill="FFFFFF"/>
              <w:lang w:eastAsia="zh-CN"/>
            </w:rPr>
            <m:t>=</m:t>
          </m:r>
          <m:r>
            <m:rPr>
              <m:sty m:val="p"/>
            </m:rPr>
            <w:rPr>
              <w:rFonts w:ascii="Times New Roman" w:eastAsia="Times New Roman" w:hAnsi="Times New Roman" w:cs="Times New Roman"/>
              <w:color w:val="0F1115"/>
              <w:sz w:val="19"/>
              <w:szCs w:val="19"/>
              <w:shd w:val="clear" w:color="auto" w:fill="FFFFFF"/>
            </w:rPr>
            <m:t>​0.021877CointEq1t-1​-0.149059CointEq2t-1​-0.003886ΔLEXS1t-1​-0.032581ΔLEXS1t-2​-0.035975ΔLEXS1t-3​+0.331365ΔLEXS2t-1​-0.408148ΔLEXS2t-2​-0.115867ΔLEXS2t-3​-0.145213ΔLFDIt-1​-0.158378ΔLFDIt-2​-0.041180ΔLFDIt-3​+1.382972ΔLGDPt-1​+0.203027ΔLGDPt-2​+0.255225ΔLGDPt-3​-0.063575</m:t>
          </m:r>
          <m:r>
            <m:rPr>
              <m:sty m:val="p"/>
            </m:rPr>
            <w:rPr>
              <w:rFonts w:ascii="Times New Roman" w:eastAsia="Times New Roman" w:hAnsi="Times New Roman" w:cs="Times New Roman"/>
              <w:color w:val="0F1115"/>
              <w:sz w:val="1"/>
              <w:szCs w:val="1"/>
              <w:shd w:val="clear" w:color="auto" w:fill="FFFFFF"/>
            </w:rPr>
            <m:t>​</m:t>
          </m:r>
          <m:r>
            <m:rPr>
              <m:sty m:val="p"/>
            </m:rPr>
            <w:rPr>
              <w:rFonts w:ascii="Cambria Math" w:hAnsi="Cambria Math"/>
            </w:rPr>
            <m:t xml:space="preserve">  </m:t>
          </m:r>
        </m:oMath>
      </m:oMathPara>
    </w:p>
    <w:p w:rsidR="00AA78AE" w:rsidRDefault="000402E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The coefficients of the error correction terms indicate that the two equilibrium mechanisms have a highly significant adjustment effect on LEXS1 (with t-values of -8.12 and -5.20, respectively), both exhibiting negative corrections, which aligns with the error correction mechanism. In contrast, the adjustment intensity for LEXS2 is relatively weak and not significant. </w:t>
      </w:r>
      <w:r>
        <w:rPr>
          <w:snapToGrid w:val="0"/>
          <w:color w:val="000000"/>
          <w:spacing w:val="4"/>
          <w:kern w:val="0"/>
          <w:sz w:val="19"/>
          <w:szCs w:val="19"/>
          <w:lang w:eastAsia="zh-CN"/>
        </w:rPr>
        <w:t xml:space="preserve">In the short-term dynamics, LEXS1 is significantly influenced by positive shocks from its own lag, as well as from the lags of LFDI and LGDP at the third lag. LEXS2, on the other hand, is primarily affected by the first lags of LFDI and LGDP. Due to space limitations, the equations for LFDI and LGDP are not presented here, and the entire </w:t>
      </w:r>
      <w:proofErr w:type="gramStart"/>
      <w:r>
        <w:rPr>
          <w:snapToGrid w:val="0"/>
          <w:color w:val="000000"/>
          <w:spacing w:val="4"/>
          <w:kern w:val="0"/>
          <w:sz w:val="19"/>
          <w:szCs w:val="19"/>
          <w:lang w:eastAsia="zh-CN"/>
        </w:rPr>
        <w:t>VECM(</w:t>
      </w:r>
      <w:proofErr w:type="gramEnd"/>
      <w:r>
        <w:rPr>
          <w:snapToGrid w:val="0"/>
          <w:color w:val="000000"/>
          <w:spacing w:val="4"/>
          <w:kern w:val="0"/>
          <w:sz w:val="19"/>
          <w:szCs w:val="19"/>
          <w:lang w:eastAsia="zh-CN"/>
        </w:rPr>
        <w:t>3) system is stable.</w:t>
      </w:r>
    </w:p>
    <w:p w:rsidR="00AA78AE" w:rsidRDefault="00AA78AE">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p>
    <w:p w:rsidR="00AA78AE" w:rsidRDefault="000402E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4.5 Impulse Response Analysis</w:t>
      </w:r>
      <w:bookmarkEnd w:id="15"/>
    </w:p>
    <w:p w:rsidR="00AA78AE" w:rsidRDefault="000402EC">
      <w:pPr>
        <w:widowControl/>
        <w:spacing w:after="120"/>
        <w:ind w:left="-360"/>
        <w:jc w:val="center"/>
        <w:textAlignment w:val="baseline"/>
        <w:rPr>
          <w:rFonts w:ascii="Times New Roman" w:hAnsi="Times New Roman"/>
        </w:rPr>
      </w:pPr>
      <w:r>
        <w:rPr>
          <w:rFonts w:ascii="SimSun" w:eastAsia="SimSun" w:hAnsi="SimSun" w:cs="SimSun"/>
          <w:noProof/>
          <w:sz w:val="24"/>
        </w:rPr>
        <w:drawing>
          <wp:inline distT="0" distB="0" distL="114300" distR="114300">
            <wp:extent cx="2386330" cy="2529840"/>
            <wp:effectExtent l="0" t="0" r="1270" b="1016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9"/>
                    <a:stretch>
                      <a:fillRect/>
                    </a:stretch>
                  </pic:blipFill>
                  <pic:spPr>
                    <a:xfrm>
                      <a:off x="0" y="0"/>
                      <a:ext cx="2386330" cy="2529840"/>
                    </a:xfrm>
                    <a:prstGeom prst="rect">
                      <a:avLst/>
                    </a:prstGeom>
                    <a:noFill/>
                    <a:ln w="9525">
                      <a:noFill/>
                    </a:ln>
                  </pic:spPr>
                </pic:pic>
              </a:graphicData>
            </a:graphic>
          </wp:inline>
        </w:drawing>
      </w:r>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Fig.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图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2</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Impulse Response Functions</w:t>
      </w:r>
    </w:p>
    <w:p w:rsidR="00AA78AE" w:rsidRDefault="00AA78AE">
      <w:pPr>
        <w:pStyle w:val="BodyText"/>
        <w:widowControl/>
        <w:kinsoku w:val="0"/>
        <w:autoSpaceDE w:val="0"/>
        <w:autoSpaceDN w:val="0"/>
        <w:adjustRightInd w:val="0"/>
        <w:snapToGrid w:val="0"/>
        <w:spacing w:before="225" w:line="480" w:lineRule="auto"/>
        <w:ind w:left="2"/>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p>
    <w:p w:rsidR="00AA78AE" w:rsidRDefault="000402E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Impact Effect on LEXS1: FDI inflows have a significant positive impact on the share of high-tech products in the short term (periods 1-3), peaking at approximately +0.4 in period 3. This is followed by a rapid reversal, turning significantly negative from periods 4 to 6 and reaching a trough of about -0.65 in period 6. The long-term effect tends to be insignificant. This "rise first, then fall" pattern suggests that the impact of FDI on the technological structure of exports exhibits stage-specific differences. </w:t>
      </w:r>
    </w:p>
    <w:p w:rsidR="00AA78AE" w:rsidRDefault="000402E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Impact Effect on LEXS2: FDI inflows exert a sustained and stable positive impact on the share of general trade. The response curve rises continuously from period 1, stabilizing within the range of +0.05 to +0.10 after period 3, with the 95% confidence interval consistently above the zero line. This indicates that FDI serves as a persistent driving force behind the transformation of the trade model.</w:t>
      </w:r>
    </w:p>
    <w:p w:rsidR="00AA78AE" w:rsidRDefault="000402E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Comparative Analysis: The impact of FDI on the two indicators shows a clear divergence—its effect on the high-tech product share is </w:t>
      </w:r>
      <w:r>
        <w:rPr>
          <w:rFonts w:hint="eastAsia"/>
          <w:snapToGrid w:val="0"/>
          <w:color w:val="000000"/>
          <w:spacing w:val="4"/>
          <w:kern w:val="0"/>
          <w:sz w:val="19"/>
          <w:szCs w:val="19"/>
          <w:lang w:eastAsia="zh-CN"/>
        </w:rPr>
        <w:lastRenderedPageBreak/>
        <w:t xml:space="preserve">"positive in the short term, negative in the medium term, and convergent in the long term," while its effect on the general trade share is "consistently positive and gradually stabilizing." This finding corroborates the results of the cointegration equation and </w:t>
      </w:r>
      <w:r>
        <w:rPr>
          <w:rFonts w:hint="eastAsia"/>
          <w:snapToGrid w:val="0"/>
          <w:color w:val="000000"/>
          <w:spacing w:val="4"/>
          <w:kern w:val="0"/>
          <w:sz w:val="19"/>
          <w:szCs w:val="19"/>
          <w:lang w:eastAsia="zh-CN"/>
        </w:rPr>
        <w:t>Granger causality test: the positive effect of FDI on the general trade share is primarily realized through the long-term equilibrium mechanism, whereas its impact on the high-tech product share is more reflected in short-term fluctuations.</w:t>
      </w:r>
    </w:p>
    <w:p w:rsidR="00AA78AE" w:rsidRDefault="00AA78AE">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bookmarkStart w:id="16" w:name="_Toc24012"/>
    </w:p>
    <w:p w:rsidR="00AA78AE" w:rsidRDefault="000402E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4.6 Variance Decomposition</w:t>
      </w:r>
      <w:bookmarkEnd w:id="16"/>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表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4</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Variance Decomposition Results</w:t>
      </w:r>
      <w:r w:rsidR="005824B4">
        <w:rPr>
          <w:b/>
          <w:bCs/>
          <w:snapToGrid w:val="0"/>
          <w:color w:val="000000"/>
          <w:spacing w:val="3"/>
          <w:kern w:val="0"/>
          <w:sz w:val="19"/>
          <w:szCs w:val="19"/>
          <w:lang w:eastAsia="zh-CN"/>
        </w:rPr>
        <w:t xml:space="preserve"> (Comparative analysis 1)</w:t>
      </w:r>
    </w:p>
    <w:tbl>
      <w:tblPr>
        <w:tblW w:w="0" w:type="auto"/>
        <w:jc w:val="center"/>
        <w:tblBorders>
          <w:top w:val="single" w:sz="4" w:space="0" w:color="000000" w:themeColor="text1"/>
          <w:bottom w:val="single" w:sz="4" w:space="0" w:color="000000" w:themeColor="text1"/>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300"/>
        <w:gridCol w:w="1300"/>
        <w:gridCol w:w="1300"/>
        <w:gridCol w:w="1300"/>
        <w:gridCol w:w="1300"/>
      </w:tblGrid>
      <w:tr w:rsidR="00AA78AE">
        <w:trPr>
          <w:trHeight w:val="209"/>
          <w:tblHeader/>
          <w:jc w:val="center"/>
        </w:trPr>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Period</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S.E.</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LEXS1</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LEXS2</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LFDI</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LGDP</w:t>
            </w:r>
          </w:p>
        </w:tc>
      </w:tr>
      <w:tr w:rsidR="00AA78AE">
        <w:trPr>
          <w:trHeight w:val="91"/>
          <w:jc w:val="center"/>
        </w:trPr>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w:t>
            </w:r>
          </w:p>
        </w:tc>
        <w:tc>
          <w:tcPr>
            <w:tcW w:w="1265" w:type="dxa"/>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snapToGrid w:val="0"/>
                <w:color w:val="000000"/>
                <w:spacing w:val="2"/>
                <w:kern w:val="0"/>
                <w:lang w:eastAsia="zh-CN"/>
              </w:rPr>
              <w:t>0.</w:t>
            </w:r>
            <w:r>
              <w:rPr>
                <w:rFonts w:hint="eastAsia"/>
                <w:snapToGrid w:val="0"/>
                <w:color w:val="000000"/>
                <w:spacing w:val="2"/>
                <w:kern w:val="0"/>
                <w:lang w:eastAsia="zh-CN"/>
              </w:rPr>
              <w:t>556312</w:t>
            </w:r>
          </w:p>
        </w:tc>
        <w:tc>
          <w:tcPr>
            <w:tcW w:w="1265" w:type="dxa"/>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94.15668</w:t>
            </w:r>
          </w:p>
        </w:tc>
        <w:tc>
          <w:tcPr>
            <w:tcW w:w="1265" w:type="dxa"/>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0.000000</w:t>
            </w:r>
          </w:p>
        </w:tc>
        <w:tc>
          <w:tcPr>
            <w:tcW w:w="1265" w:type="dxa"/>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5.843319</w:t>
            </w:r>
          </w:p>
        </w:tc>
        <w:tc>
          <w:tcPr>
            <w:tcW w:w="1265" w:type="dxa"/>
            <w:tcBorders>
              <w:top w:val="single" w:sz="4" w:space="0" w:color="000000" w:themeColor="text1"/>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0.000000</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snapToGrid w:val="0"/>
                <w:color w:val="000000"/>
                <w:spacing w:val="2"/>
                <w:kern w:val="0"/>
                <w:lang w:eastAsia="zh-CN"/>
              </w:rPr>
              <w:t>0.</w:t>
            </w:r>
            <w:r>
              <w:rPr>
                <w:rFonts w:hint="eastAsia"/>
                <w:snapToGrid w:val="0"/>
                <w:color w:val="000000"/>
                <w:spacing w:val="2"/>
                <w:kern w:val="0"/>
                <w:lang w:eastAsia="zh-CN"/>
              </w:rPr>
              <w:t>915075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68.30265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14.32682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17.34372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0.026816</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1.169516</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55.11872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19.24412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25.21318</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0.423979</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1.353413</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42.39914</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17.26475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19.46950</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20.86660</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1.460701</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43.83153</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17.87881</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18.37098</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19.91868</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1.882425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39.00582</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23.65395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24.91771</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12.42252</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7</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2.157959</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38.19539</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31.52083</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19.32517</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10.95861</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8</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2.248757</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37.75769</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30.01360</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22.04913</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10.17957</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9</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2.314600</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35.70204</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28.49828</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26.16755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9.632126</w:t>
            </w:r>
          </w:p>
        </w:tc>
      </w:tr>
      <w:tr w:rsidR="00AA78AE">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10</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2.343275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35.15255</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28.91851</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26.38759</w:t>
            </w:r>
          </w:p>
        </w:tc>
        <w:tc>
          <w:tcPr>
            <w:tcW w:w="1265" w:type="dxa"/>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3"/>
                <w:kern w:val="0"/>
                <w:lang w:eastAsia="zh-CN"/>
              </w:rPr>
            </w:pPr>
            <w:r>
              <w:rPr>
                <w:rFonts w:hint="eastAsia"/>
                <w:snapToGrid w:val="0"/>
                <w:color w:val="000000"/>
                <w:spacing w:val="2"/>
                <w:kern w:val="0"/>
                <w:lang w:eastAsia="zh-CN"/>
              </w:rPr>
              <w:t>9.541356</w:t>
            </w:r>
          </w:p>
        </w:tc>
      </w:tr>
    </w:tbl>
    <w:p w:rsidR="00AA78AE" w:rsidRDefault="000402EC">
      <w:pPr>
        <w:pStyle w:val="BodyText"/>
        <w:spacing w:before="37" w:line="196" w:lineRule="auto"/>
        <w:ind w:left="2981"/>
        <w:rPr>
          <w:snapToGrid w:val="0"/>
          <w:color w:val="000000"/>
          <w:spacing w:val="4"/>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rsidR="00AA78AE" w:rsidRDefault="00AA78AE">
      <w:pPr>
        <w:pStyle w:val="BodyText"/>
        <w:widowControl/>
        <w:kinsoku w:val="0"/>
        <w:autoSpaceDE w:val="0"/>
        <w:autoSpaceDN w:val="0"/>
        <w:adjustRightInd w:val="0"/>
        <w:snapToGrid w:val="0"/>
        <w:spacing w:before="37" w:line="250" w:lineRule="auto"/>
        <w:ind w:right="51" w:firstLine="8"/>
        <w:textAlignment w:val="baseline"/>
        <w:rPr>
          <w:snapToGrid w:val="0"/>
          <w:color w:val="000000"/>
          <w:spacing w:val="4"/>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p>
    <w:p w:rsidR="00AA78AE" w:rsidRDefault="000402EC">
      <w:pPr>
        <w:pStyle w:val="BodyText"/>
        <w:widowControl/>
        <w:kinsoku w:val="0"/>
        <w:autoSpaceDE w:val="0"/>
        <w:autoSpaceDN w:val="0"/>
        <w:adjustRightInd w:val="0"/>
        <w:snapToGrid w:val="0"/>
        <w:spacing w:before="37" w:line="250" w:lineRule="auto"/>
        <w:ind w:right="51" w:firstLine="8"/>
        <w:textAlignment w:val="baseline"/>
        <w:rPr>
          <w:rFonts w:ascii="Times New Roman" w:eastAsia="SimSun" w:hAnsi="Times New Roman" w:cs="SimSun"/>
          <w:sz w:val="21"/>
          <w:szCs w:val="21"/>
          <w:lang w:eastAsia="zh-CN"/>
        </w:rPr>
      </w:pPr>
      <w:r>
        <w:rPr>
          <w:snapToGrid w:val="0"/>
          <w:color w:val="000000"/>
          <w:spacing w:val="4"/>
          <w:kern w:val="0"/>
          <w:sz w:val="19"/>
          <w:szCs w:val="19"/>
          <w:lang w:eastAsia="zh-CN"/>
        </w:rPr>
        <w:t xml:space="preserve">The fluctuation in the export share of high-tech products is primarily driven by its own inertia in the short term (94.16% in Period 1), but its own contribution gradually declines to 35.15% by Period 10. The contribution rate of FDI shows a clear upward trend, increasing from 5.84% in Period 1 to 25.21% in Period 3, and stabilizing at 26.39% by Period 10, </w:t>
      </w:r>
      <w:r>
        <w:rPr>
          <w:snapToGrid w:val="0"/>
          <w:color w:val="000000"/>
          <w:spacing w:val="4"/>
          <w:kern w:val="0"/>
          <w:sz w:val="19"/>
          <w:szCs w:val="19"/>
          <w:lang w:eastAsia="zh-CN"/>
        </w:rPr>
        <w:t>surpassing LGDP (9.54%) to become the second most influential factor. Meanwhile, the contribution of LEXS2 also gradually rises to 28.92%. This indicates that although the short-term adjustment of the high-tech product structure is relatively slow, FDI and the transformation of the trade model serve as important explanatory sources for its fluctuations in the medium to long term.</w:t>
      </w:r>
    </w:p>
    <w:p w:rsidR="00AA78AE" w:rsidRDefault="00AA78AE">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pPr>
    </w:p>
    <w:p w:rsidR="00AA78AE" w:rsidRDefault="000402E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表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5</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xml:space="preserve"> Variance Decomposition Results</w:t>
      </w:r>
      <w:r w:rsidR="005824B4">
        <w:rPr>
          <w:b/>
          <w:bCs/>
          <w:snapToGrid w:val="0"/>
          <w:color w:val="000000"/>
          <w:spacing w:val="3"/>
          <w:kern w:val="0"/>
          <w:sz w:val="19"/>
          <w:szCs w:val="19"/>
          <w:lang w:eastAsia="zh-CN"/>
        </w:rPr>
        <w:t xml:space="preserve"> (</w:t>
      </w:r>
      <w:bookmarkStart w:id="17" w:name="_GoBack"/>
      <w:bookmarkEnd w:id="17"/>
      <w:r w:rsidR="005824B4">
        <w:rPr>
          <w:b/>
          <w:bCs/>
          <w:snapToGrid w:val="0"/>
          <w:color w:val="000000"/>
          <w:spacing w:val="3"/>
          <w:kern w:val="0"/>
          <w:sz w:val="19"/>
          <w:szCs w:val="19"/>
          <w:lang w:eastAsia="zh-CN"/>
        </w:rPr>
        <w:t xml:space="preserve">Comparative analysis </w:t>
      </w:r>
      <w:r w:rsidR="005824B4">
        <w:rPr>
          <w:b/>
          <w:bCs/>
          <w:snapToGrid w:val="0"/>
          <w:color w:val="000000"/>
          <w:spacing w:val="3"/>
          <w:kern w:val="0"/>
          <w:sz w:val="19"/>
          <w:szCs w:val="19"/>
          <w:lang w:eastAsia="zh-CN"/>
        </w:rPr>
        <w:t>2)</w:t>
      </w:r>
    </w:p>
    <w:tbl>
      <w:tblPr>
        <w:tblW w:w="0" w:type="auto"/>
        <w:jc w:val="center"/>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300"/>
        <w:gridCol w:w="1300"/>
        <w:gridCol w:w="1300"/>
        <w:gridCol w:w="1300"/>
        <w:gridCol w:w="1300"/>
      </w:tblGrid>
      <w:tr w:rsidR="00AA78AE">
        <w:trPr>
          <w:trHeight w:hRule="exact" w:val="384"/>
          <w:tblHeader/>
          <w:jc w:val="center"/>
        </w:trPr>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Period</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S.E.</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LEXS1</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LEXS2</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LFDI</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LGDP</w:t>
            </w:r>
          </w:p>
        </w:tc>
      </w:tr>
      <w:tr w:rsidR="00AA78AE">
        <w:trPr>
          <w:trHeight w:val="196"/>
          <w:jc w:val="center"/>
        </w:trPr>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w:t>
            </w:r>
            <w:r>
              <w:rPr>
                <w:rFonts w:hint="eastAsia"/>
                <w:snapToGrid w:val="0"/>
                <w:color w:val="000000"/>
                <w:spacing w:val="2"/>
                <w:kern w:val="0"/>
                <w:lang w:eastAsia="zh-CN"/>
              </w:rPr>
              <w:t>114839</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23.52465</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73.31670</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3.158647</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0.000000</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w:t>
            </w:r>
            <w:r>
              <w:rPr>
                <w:rFonts w:hint="eastAsia"/>
                <w:snapToGrid w:val="0"/>
                <w:color w:val="000000"/>
                <w:spacing w:val="2"/>
                <w:kern w:val="0"/>
                <w:lang w:eastAsia="zh-CN"/>
              </w:rPr>
              <w:t>212517</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17.55924</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70.25475</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9.528427</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2.657584</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3</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0.273843</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15.43581</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64.86211</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15.16420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4.537885</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0.325996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15.92218</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61.66296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17.12176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5.293100</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5</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0.420166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16.08927</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60.62569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17.34883</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5.936213</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0.534415</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16.25124</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61.27490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16.82259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5.651275</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lastRenderedPageBreak/>
              <w:t>7</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0.636399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16.24889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61.93244</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16.33834</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5.480339</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8</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0.736389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15.93726</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61.40418</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16.62642</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6.032146</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0.830621</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15.71460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60.93233</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16.95617</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6.396907</w:t>
            </w:r>
          </w:p>
        </w:tc>
      </w:tr>
      <w:tr w:rsidR="00AA78AE">
        <w:trPr>
          <w:jc w:val="center"/>
        </w:trPr>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0.927519</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15.61500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61.27280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16.58450</w:t>
            </w:r>
          </w:p>
        </w:tc>
        <w:tc>
          <w:tcPr>
            <w:tcW w:w="0" w:type="auto"/>
            <w:tcBorders>
              <w:tl2br w:val="nil"/>
              <w:tr2bl w:val="nil"/>
            </w:tcBorders>
            <w:shd w:val="clear" w:color="auto" w:fill="FFFFFF"/>
            <w:tcMar>
              <w:top w:w="120" w:type="dxa"/>
              <w:left w:w="180" w:type="dxa"/>
              <w:bottom w:w="120" w:type="dxa"/>
              <w:right w:w="180" w:type="dxa"/>
            </w:tcMar>
            <w:vAlign w:val="center"/>
          </w:tcPr>
          <w:p w:rsidR="00AA78AE" w:rsidRDefault="000402E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6.527696</w:t>
            </w:r>
          </w:p>
        </w:tc>
      </w:tr>
    </w:tbl>
    <w:p w:rsidR="00AA78AE" w:rsidRDefault="000402EC">
      <w:pPr>
        <w:pStyle w:val="BodyText"/>
        <w:spacing w:before="37" w:line="196" w:lineRule="auto"/>
        <w:ind w:left="2981"/>
        <w:rPr>
          <w:snapToGrid w:val="0"/>
          <w:color w:val="000000"/>
          <w:spacing w:val="3"/>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rsidR="00AA78AE" w:rsidRDefault="00AA78AE">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sectPr w:rsidR="00AA78AE">
          <w:type w:val="continuous"/>
          <w:pgSz w:w="11906" w:h="16838"/>
          <w:pgMar w:top="1440" w:right="1800" w:bottom="1440" w:left="1800" w:header="851" w:footer="992" w:gutter="0"/>
          <w:pgNumType w:start="1"/>
          <w:cols w:space="425"/>
          <w:docGrid w:type="lines" w:linePitch="312"/>
        </w:sectPr>
      </w:pP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The fluctuation in the export share of general trade demonstrates stronger path dependence. Although its own contribution gradually declines from 73.32% in Period 1, it still accounts for 61.27% by Period 10. The contribution rate of FDI steadily rises from 3.16% in Period 1 to 16.58% in Period 10, becoming the primary source among external shocks. The contributions of LEXS1 and LGDP are relatively limited (15.62% and 6.53%, respectively). This indicates that while the evolution of the general trade share is mainly driven by historical inertia, FDI inflow serves as an indispensable external driving force for its structural transformation.</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FDI has medium- to long-term impacts on both types of export structure indicators, but its explanatory power for the share of high-tech products (26.39%) is higher than that for the share of general trade (16.58%), with the former showing a continuous upward trend while the latter tends to stabilize. This finding complements the impulse response results: although the short-term effects of FDI on LEXS1 fluctuate considerably, its medium- to long-term contribution is significant; whereas for LEXS2, the short-term effects are robust, but the medium- to long-term contribution is relatively limited</w:t>
      </w:r>
      <w:r>
        <w:rPr>
          <w:rFonts w:hint="eastAsia"/>
          <w:snapToGrid w:val="0"/>
          <w:color w:val="000000"/>
          <w:spacing w:val="3"/>
          <w:kern w:val="0"/>
          <w:sz w:val="19"/>
          <w:szCs w:val="19"/>
          <w:lang w:eastAsia="zh-CN"/>
        </w:rPr>
        <w:t>.</w:t>
      </w:r>
    </w:p>
    <w:p w:rsidR="00AA78AE" w:rsidRDefault="000402EC">
      <w:pPr>
        <w:pStyle w:val="BodyText"/>
        <w:widowControl/>
        <w:numPr>
          <w:ilvl w:val="0"/>
          <w:numId w:val="2"/>
        </w:numPr>
        <w:kinsoku w:val="0"/>
        <w:wordWrap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18" w:name="_Toc20135"/>
      <w:r>
        <w:rPr>
          <w:rFonts w:hint="eastAsia"/>
          <w:b/>
          <w:bCs/>
          <w:snapToGrid w:val="0"/>
          <w:color w:val="000000"/>
          <w:spacing w:val="-2"/>
          <w:kern w:val="0"/>
          <w:sz w:val="22"/>
          <w:szCs w:val="22"/>
          <w:lang w:eastAsia="zh-CN"/>
        </w:rPr>
        <w:t>Conclusions and Policy Recommendations</w:t>
      </w:r>
      <w:bookmarkEnd w:id="18"/>
    </w:p>
    <w:p w:rsidR="00AA78AE" w:rsidRDefault="000402EC">
      <w:pPr>
        <w:pStyle w:val="BodyText"/>
        <w:widowControl/>
        <w:kinsoku w:val="0"/>
        <w:wordWrap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bookmarkStart w:id="19" w:name="_Toc14251"/>
      <w:r>
        <w:rPr>
          <w:rFonts w:hint="eastAsia"/>
          <w:b/>
          <w:bCs/>
          <w:snapToGrid w:val="0"/>
          <w:color w:val="000000"/>
          <w:spacing w:val="-2"/>
          <w:kern w:val="0"/>
          <w:sz w:val="22"/>
          <w:szCs w:val="22"/>
          <w:lang w:eastAsia="zh-CN"/>
        </w:rPr>
        <w:t>5.1 Research Conclusions</w:t>
      </w:r>
      <w:bookmarkEnd w:id="19"/>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Based on the empirical analysis of Dongguan’s data from 1995 to 2024 using the VECM model, this paper draws the following core conclusions: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5.1.1 </w:t>
      </w:r>
      <w:r>
        <w:rPr>
          <w:snapToGrid w:val="0"/>
          <w:color w:val="000000"/>
          <w:spacing w:val="3"/>
          <w:kern w:val="0"/>
          <w:sz w:val="19"/>
          <w:szCs w:val="19"/>
          <w:lang w:eastAsia="zh-CN"/>
        </w:rPr>
        <w:t>Existence of Long-run Equilibrium Relationship with Structurally Divergent Effects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A stable long-run cointegrating relationship exists among FDI, the proportion of high-tech product exports, the proportion of general trade exports, and the regional GDP. Specifically, a 1% increase in FDI is associated with a 1.80 percentage point decrease in the proportion of high-tech product exports (t=3.80) and a 0.97 percentage point increase in the proportion of general trade exports (t=-6.15). This indicates that the impact of FDI on the export structure is not uniform but exhibits significant domain heterogeneity: while it promotes the transformation of the trade mode, its effect on optimizing the technological structure of exports is more complex.</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5.1.2 </w:t>
      </w:r>
      <w:r>
        <w:rPr>
          <w:snapToGrid w:val="0"/>
          <w:color w:val="000000"/>
          <w:spacing w:val="3"/>
          <w:kern w:val="0"/>
          <w:sz w:val="19"/>
          <w:szCs w:val="19"/>
          <w:lang w:eastAsia="zh-CN"/>
        </w:rPr>
        <w:t>Significant Differences in Short-term Dynamic Adjustments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The error correction mechanism reveals that the adjustment speed of the high-tech product proportion to deviations from the long-run equilibrium is -1.27 (t=-8.12), exhibiting an overshooting characteristic with a relatively vigorous correction back to equilibrium. In contrast, the adjustment coefficient for the general trade proportion is -0.15 (t=-1.54), indicating a relatively slower and statistically insignificant correction speed. This suggests fundamental differences in the response mechanisms of the two indicators to external shocks.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5.1.3 Impulse Responses Display Time-varying Characteristics and Domain Divergence</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 xml:space="preserve">An FDI shock generates an inverted U-shaped trajectory on the high-tech product proportion—"positive in the short term, negative in the medium term, and convergent in the long term"—peaking at approximately +0.4 in period 3, reaching a trough of about -0.65 in period 6, </w:t>
      </w:r>
      <w:r>
        <w:rPr>
          <w:snapToGrid w:val="0"/>
          <w:color w:val="000000"/>
          <w:spacing w:val="3"/>
          <w:kern w:val="0"/>
          <w:sz w:val="19"/>
          <w:szCs w:val="19"/>
          <w:lang w:eastAsia="zh-CN"/>
        </w:rPr>
        <w:lastRenderedPageBreak/>
        <w:t>with the long-term effect tending towards insignificance. Conversely, it exerts a sustained and stable positive impact on the general trade proportion, stabilizing within the range of +0.05 to +0.10 after period 3, with the 95% confidence interval remaining consistently significant. This finding corroborates the Granger causality test results: the positive effect of FDI on the general trade proportion is primarily realized through the long-run equilibrium mechanism, whereas its impact on the high-tech product proportion is more reflected in short-term fluctuations.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5.1.4 Increasing but Not Yet Dominant Contribution of FDI</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Variance decomposition results show that the contribution rate of FDI to the fluctuation in the high-tech product proportion increases from 5.84% in period 1 to 26.39% in period 10, surpassing LGDP to become the second most influential factor. Its contribution rate to the general trade proportion steadily rises from 3.16% to 16.58%, becoming the primary source among external shocks. However, the self-inertia of the two indicators themselves still accounts for 35% to 61% of the variance, indicating that the evolution of the export structure results from the interplay of internal and external factors, highlighting that fostering endogenous development drivers is equally crucial.</w:t>
      </w:r>
    </w:p>
    <w:p w:rsidR="00AA78AE" w:rsidRDefault="000402EC">
      <w:pPr>
        <w:pStyle w:val="BodyText"/>
        <w:widowControl/>
        <w:kinsoku w:val="0"/>
        <w:wordWrap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bookmarkStart w:id="20" w:name="_Toc16660"/>
      <w:r>
        <w:rPr>
          <w:rFonts w:hint="eastAsia"/>
          <w:b/>
          <w:bCs/>
          <w:snapToGrid w:val="0"/>
          <w:color w:val="000000"/>
          <w:spacing w:val="-2"/>
          <w:kern w:val="0"/>
          <w:sz w:val="22"/>
          <w:szCs w:val="22"/>
          <w:lang w:eastAsia="zh-CN"/>
        </w:rPr>
        <w:t xml:space="preserve">5.2 </w:t>
      </w:r>
      <w:r>
        <w:rPr>
          <w:b/>
          <w:bCs/>
          <w:snapToGrid w:val="0"/>
          <w:color w:val="000000"/>
          <w:spacing w:val="-2"/>
          <w:kern w:val="0"/>
          <w:sz w:val="22"/>
          <w:szCs w:val="22"/>
          <w:lang w:eastAsia="zh-CN"/>
        </w:rPr>
        <w:t>Policy Recommendations</w:t>
      </w:r>
      <w:bookmarkEnd w:id="20"/>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5.2.1</w:t>
      </w:r>
      <w:r>
        <w:rPr>
          <w:snapToGrid w:val="0"/>
          <w:color w:val="000000"/>
          <w:spacing w:val="3"/>
          <w:kern w:val="0"/>
          <w:sz w:val="19"/>
          <w:szCs w:val="19"/>
          <w:lang w:eastAsia="zh-CN"/>
        </w:rPr>
        <w:t xml:space="preserve"> Optimizing the Quality Orientation of Foreign Capital to Resolve </w:t>
      </w:r>
      <w:proofErr w:type="spellStart"/>
      <w:r>
        <w:rPr>
          <w:snapToGrid w:val="0"/>
          <w:color w:val="000000"/>
          <w:spacing w:val="3"/>
          <w:kern w:val="0"/>
          <w:sz w:val="19"/>
          <w:szCs w:val="19"/>
          <w:lang w:eastAsia="zh-CN"/>
        </w:rPr>
        <w:t>StructuralDivergence</w:t>
      </w:r>
      <w:proofErr w:type="spellEnd"/>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Establish an evaluation system for assessing the technological contribution of foreign investment, providing policy incentives for "chain-supplementing" foreign-invested projects while gradually phasing out universal preferential policies for processing and assembly projects. Implement a "Core Technology Breakthrough Partner" program to encourage foreign-invested enterprises to open up non-core R&amp;D segments, thereby facilitating technology spillovers and overcoming the technology lock-in associated with high-tech product exports.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5.2.2 Cultivating Endogenous Drivers to Mitigate Path Dependence</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Deepen the integrated development of "General Trade+" by supporting the digital transformation of enterprises and the construction of overseas warehouses. Establish a dynamic evaluation system for foreign investment policies and improve contingency plans for investment exit risks to ensure the smooth transition of critical production capacities and reduce excessive dependence on single sources of foreign capital.</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5.2.3 Broadening Technology Channels and Building Collaborative Networks</w:t>
      </w:r>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Leverage the Guangdong-Hong Kong-Macao Greater Bay Area to promote the establishment of joint R&amp;D centers with universities and laboratories in Hong Kong and Macao. Explore a "reverse incubation" model, supporting local enterprises in setting up overseas facilities to access cutting-</w:t>
      </w:r>
      <w:proofErr w:type="spellStart"/>
      <w:r>
        <w:rPr>
          <w:snapToGrid w:val="0"/>
          <w:color w:val="000000"/>
          <w:spacing w:val="3"/>
          <w:kern w:val="0"/>
          <w:sz w:val="19"/>
          <w:szCs w:val="19"/>
          <w:lang w:eastAsia="zh-CN"/>
        </w:rPr>
        <w:t>edgetechnologies</w:t>
      </w:r>
      <w:proofErr w:type="spellEnd"/>
      <w:r>
        <w:rPr>
          <w:snapToGrid w:val="0"/>
          <w:color w:val="000000"/>
          <w:spacing w:val="3"/>
          <w:kern w:val="0"/>
          <w:sz w:val="19"/>
          <w:szCs w:val="19"/>
          <w:lang w:eastAsia="zh-CN"/>
        </w:rPr>
        <w:t>, thereby building a diversified technology supply system encompassing "FDI spillovers + indigenous innovation + international engagement."</w:t>
      </w:r>
    </w:p>
    <w:p w:rsidR="00AA78AE" w:rsidRDefault="000402EC">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Disclaimer (Artificial Intelligence)</w:t>
      </w:r>
    </w:p>
    <w:p w:rsidR="00AA78AE" w:rsidRDefault="000402EC">
      <w:pPr>
        <w:pStyle w:val="BodyText"/>
        <w:widowControl/>
        <w:kinsoku w:val="0"/>
        <w:wordWrap w:val="0"/>
        <w:autoSpaceDE w:val="0"/>
        <w:autoSpaceDN w:val="0"/>
        <w:adjustRightInd w:val="0"/>
        <w:snapToGrid w:val="0"/>
        <w:spacing w:before="227" w:line="247" w:lineRule="auto"/>
        <w:ind w:right="137"/>
        <w:textAlignment w:val="baseline"/>
        <w:rPr>
          <w:snapToGrid w:val="0"/>
          <w:color w:val="000000"/>
          <w:spacing w:val="4"/>
          <w:kern w:val="0"/>
          <w:sz w:val="19"/>
          <w:szCs w:val="19"/>
        </w:rPr>
      </w:pPr>
      <w:r>
        <w:rPr>
          <w:snapToGrid w:val="0"/>
          <w:color w:val="000000"/>
          <w:spacing w:val="4"/>
          <w:kern w:val="0"/>
          <w:sz w:val="19"/>
          <w:szCs w:val="19"/>
        </w:rPr>
        <w:t>Artificial intelligence tools (</w:t>
      </w:r>
      <w:proofErr w:type="spellStart"/>
      <w:r>
        <w:rPr>
          <w:snapToGrid w:val="0"/>
          <w:color w:val="000000"/>
          <w:spacing w:val="4"/>
          <w:kern w:val="0"/>
          <w:sz w:val="19"/>
          <w:szCs w:val="19"/>
        </w:rPr>
        <w:t>ChatGPT</w:t>
      </w:r>
      <w:proofErr w:type="spellEnd"/>
      <w:r>
        <w:rPr>
          <w:snapToGrid w:val="0"/>
          <w:color w:val="000000"/>
          <w:spacing w:val="4"/>
          <w:kern w:val="0"/>
          <w:sz w:val="19"/>
          <w:szCs w:val="19"/>
        </w:rPr>
        <w:t xml:space="preserve"> &amp; </w:t>
      </w:r>
      <w:proofErr w:type="spellStart"/>
      <w:r>
        <w:rPr>
          <w:snapToGrid w:val="0"/>
          <w:color w:val="000000"/>
          <w:spacing w:val="4"/>
          <w:kern w:val="0"/>
          <w:sz w:val="19"/>
          <w:szCs w:val="19"/>
        </w:rPr>
        <w:t>Deepseek</w:t>
      </w:r>
      <w:proofErr w:type="spellEnd"/>
      <w:r>
        <w:rPr>
          <w:snapToGrid w:val="0"/>
          <w:color w:val="000000"/>
          <w:spacing w:val="4"/>
          <w:kern w:val="0"/>
          <w:sz w:val="19"/>
          <w:szCs w:val="19"/>
        </w:rPr>
        <w:t xml:space="preserve">) </w:t>
      </w:r>
      <w:proofErr w:type="gramStart"/>
      <w:r>
        <w:rPr>
          <w:snapToGrid w:val="0"/>
          <w:color w:val="000000"/>
          <w:spacing w:val="4"/>
          <w:kern w:val="0"/>
          <w:sz w:val="19"/>
          <w:szCs w:val="19"/>
        </w:rPr>
        <w:t>were  used</w:t>
      </w:r>
      <w:proofErr w:type="gramEnd"/>
      <w:r>
        <w:rPr>
          <w:snapToGrid w:val="0"/>
          <w:color w:val="000000"/>
          <w:spacing w:val="4"/>
          <w:kern w:val="0"/>
          <w:sz w:val="19"/>
          <w:szCs w:val="19"/>
        </w:rPr>
        <w:t xml:space="preserve"> exclusively for language editing and stylistic improvement. No AI system contributed to the study design, data analysis, interpretation, or conclusions. Responsibility for the content of this manuscript rests entirely with the authors.</w:t>
      </w:r>
    </w:p>
    <w:p w:rsidR="00AA78AE" w:rsidRDefault="00AA78AE">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bookmarkStart w:id="21" w:name="_Toc12780"/>
    </w:p>
    <w:p w:rsidR="00AA78AE" w:rsidRDefault="000402EC">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References</w:t>
      </w:r>
      <w:bookmarkEnd w:id="21"/>
    </w:p>
    <w:p w:rsidR="00AA78AE" w:rsidRDefault="000402E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Abdikafi</w:t>
      </w:r>
      <w:proofErr w:type="spellEnd"/>
      <w:r>
        <w:rPr>
          <w:rFonts w:hint="eastAsia"/>
          <w:snapToGrid w:val="0"/>
          <w:color w:val="000000"/>
          <w:spacing w:val="3"/>
          <w:kern w:val="0"/>
          <w:sz w:val="19"/>
          <w:szCs w:val="19"/>
          <w:lang w:eastAsia="zh-CN"/>
        </w:rPr>
        <w:t xml:space="preserve"> Hassan Abdi &amp; Amir Mohamud </w:t>
      </w:r>
      <w:proofErr w:type="gramStart"/>
      <w:r>
        <w:rPr>
          <w:rFonts w:hint="eastAsia"/>
          <w:snapToGrid w:val="0"/>
          <w:color w:val="000000"/>
          <w:spacing w:val="3"/>
          <w:kern w:val="0"/>
          <w:sz w:val="19"/>
          <w:szCs w:val="19"/>
          <w:lang w:eastAsia="zh-CN"/>
        </w:rPr>
        <w:t>Mohamed.(</w:t>
      </w:r>
      <w:proofErr w:type="gramEnd"/>
      <w:r>
        <w:rPr>
          <w:rFonts w:hint="eastAsia"/>
          <w:snapToGrid w:val="0"/>
          <w:color w:val="000000"/>
          <w:spacing w:val="3"/>
          <w:kern w:val="0"/>
          <w:sz w:val="19"/>
          <w:szCs w:val="19"/>
          <w:lang w:eastAsia="zh-CN"/>
        </w:rPr>
        <w:t xml:space="preserve">2025).Determinants of agricultural exports in Somalia: the impacts of exchange rates, foreign direct investment, and institutional </w:t>
      </w:r>
      <w:proofErr w:type="spellStart"/>
      <w:r>
        <w:rPr>
          <w:rFonts w:hint="eastAsia"/>
          <w:snapToGrid w:val="0"/>
          <w:color w:val="000000"/>
          <w:spacing w:val="3"/>
          <w:kern w:val="0"/>
          <w:sz w:val="19"/>
          <w:szCs w:val="19"/>
          <w:lang w:eastAsia="zh-CN"/>
        </w:rPr>
        <w:t>quality.Cogent</w:t>
      </w:r>
      <w:proofErr w:type="spellEnd"/>
      <w:r>
        <w:rPr>
          <w:rFonts w:hint="eastAsia"/>
          <w:snapToGrid w:val="0"/>
          <w:color w:val="000000"/>
          <w:spacing w:val="3"/>
          <w:kern w:val="0"/>
          <w:sz w:val="19"/>
          <w:szCs w:val="19"/>
          <w:lang w:eastAsia="zh-CN"/>
        </w:rPr>
        <w:t xml:space="preserve"> Economics &amp; Finance,13(1), https://doi.org/10.1080/23322039.2024.2445755.</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Stein </w:t>
      </w:r>
      <w:proofErr w:type="spellStart"/>
      <w:proofErr w:type="gramStart"/>
      <w:r>
        <w:rPr>
          <w:rFonts w:hint="eastAsia"/>
          <w:snapToGrid w:val="0"/>
          <w:color w:val="000000"/>
          <w:spacing w:val="3"/>
          <w:kern w:val="0"/>
          <w:sz w:val="19"/>
          <w:szCs w:val="19"/>
          <w:lang w:eastAsia="zh-CN"/>
        </w:rPr>
        <w:t>Masunda,Amanda</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Rudo</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Chiweshe</w:t>
      </w:r>
      <w:proofErr w:type="spellEnd"/>
      <w:r>
        <w:rPr>
          <w:rFonts w:hint="eastAsia"/>
          <w:snapToGrid w:val="0"/>
          <w:color w:val="000000"/>
          <w:spacing w:val="3"/>
          <w:kern w:val="0"/>
          <w:sz w:val="19"/>
          <w:szCs w:val="19"/>
          <w:lang w:eastAsia="zh-CN"/>
        </w:rPr>
        <w:t xml:space="preserve"> &amp; Gabriel </w:t>
      </w:r>
      <w:proofErr w:type="spellStart"/>
      <w:r>
        <w:rPr>
          <w:rFonts w:hint="eastAsia"/>
          <w:snapToGrid w:val="0"/>
          <w:color w:val="000000"/>
          <w:spacing w:val="3"/>
          <w:kern w:val="0"/>
          <w:sz w:val="19"/>
          <w:szCs w:val="19"/>
          <w:lang w:eastAsia="zh-CN"/>
        </w:rPr>
        <w:t>Mhonyera</w:t>
      </w:r>
      <w:proofErr w:type="spellEnd"/>
      <w:r>
        <w:rPr>
          <w:rFonts w:hint="eastAsia"/>
          <w:snapToGrid w:val="0"/>
          <w:color w:val="000000"/>
          <w:spacing w:val="3"/>
          <w:kern w:val="0"/>
          <w:sz w:val="19"/>
          <w:szCs w:val="19"/>
          <w:lang w:eastAsia="zh-CN"/>
        </w:rPr>
        <w:t xml:space="preserve">.(2025).Impact of foreign direct investment on export sophistication in Sub-Saharan Africa: the moderating role of human capital and institutional </w:t>
      </w:r>
      <w:proofErr w:type="spellStart"/>
      <w:r>
        <w:rPr>
          <w:rFonts w:hint="eastAsia"/>
          <w:snapToGrid w:val="0"/>
          <w:color w:val="000000"/>
          <w:spacing w:val="3"/>
          <w:kern w:val="0"/>
          <w:sz w:val="19"/>
          <w:szCs w:val="19"/>
          <w:lang w:eastAsia="zh-CN"/>
        </w:rPr>
        <w:t>quality.International</w:t>
      </w:r>
      <w:proofErr w:type="spellEnd"/>
      <w:r>
        <w:rPr>
          <w:rFonts w:hint="eastAsia"/>
          <w:snapToGrid w:val="0"/>
          <w:color w:val="000000"/>
          <w:spacing w:val="3"/>
          <w:kern w:val="0"/>
          <w:sz w:val="19"/>
          <w:szCs w:val="19"/>
          <w:lang w:eastAsia="zh-CN"/>
        </w:rPr>
        <w:t xml:space="preserve"> Trade, Politics and Developmen</w:t>
      </w:r>
      <w:r>
        <w:rPr>
          <w:rFonts w:hint="eastAsia"/>
          <w:snapToGrid w:val="0"/>
          <w:color w:val="000000"/>
          <w:spacing w:val="3"/>
          <w:kern w:val="0"/>
          <w:sz w:val="19"/>
          <w:szCs w:val="19"/>
          <w:lang w:eastAsia="zh-CN"/>
        </w:rPr>
        <w:lastRenderedPageBreak/>
        <w:t>t,9(3),180-190. https://doi.org/10.1108/ITPD-05-2025-0017.</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Safet</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Kurtovic,Nehat</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Maxhuni,Blerim</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Halili</w:t>
      </w:r>
      <w:proofErr w:type="spellEnd"/>
      <w:r>
        <w:rPr>
          <w:rFonts w:hint="eastAsia"/>
          <w:snapToGrid w:val="0"/>
          <w:color w:val="000000"/>
          <w:spacing w:val="3"/>
          <w:kern w:val="0"/>
          <w:sz w:val="19"/>
          <w:szCs w:val="19"/>
          <w:lang w:eastAsia="zh-CN"/>
        </w:rPr>
        <w:t xml:space="preserve"> &amp; Arta </w:t>
      </w:r>
      <w:proofErr w:type="spellStart"/>
      <w:r>
        <w:rPr>
          <w:rFonts w:hint="eastAsia"/>
          <w:snapToGrid w:val="0"/>
          <w:color w:val="000000"/>
          <w:spacing w:val="3"/>
          <w:kern w:val="0"/>
          <w:sz w:val="19"/>
          <w:szCs w:val="19"/>
          <w:lang w:eastAsia="zh-CN"/>
        </w:rPr>
        <w:t>Maxhuni</w:t>
      </w:r>
      <w:proofErr w:type="spellEnd"/>
      <w:r>
        <w:rPr>
          <w:rFonts w:hint="eastAsia"/>
          <w:snapToGrid w:val="0"/>
          <w:color w:val="000000"/>
          <w:spacing w:val="3"/>
          <w:kern w:val="0"/>
          <w:sz w:val="19"/>
          <w:szCs w:val="19"/>
          <w:lang w:eastAsia="zh-CN"/>
        </w:rPr>
        <w:t xml:space="preserve">.(2025).Is There an Asymmetric Effect Due to Foreign Direct Investment on the Exports of the Manufacturing and Service Sectors of Central, Eastern, and South-Eastern European </w:t>
      </w:r>
      <w:proofErr w:type="spellStart"/>
      <w:r>
        <w:rPr>
          <w:rFonts w:hint="eastAsia"/>
          <w:snapToGrid w:val="0"/>
          <w:color w:val="000000"/>
          <w:spacing w:val="3"/>
          <w:kern w:val="0"/>
          <w:sz w:val="19"/>
          <w:szCs w:val="19"/>
          <w:lang w:eastAsia="zh-CN"/>
        </w:rPr>
        <w:t>Countries?.Eastern</w:t>
      </w:r>
      <w:proofErr w:type="spellEnd"/>
      <w:r>
        <w:rPr>
          <w:rFonts w:hint="eastAsia"/>
          <w:snapToGrid w:val="0"/>
          <w:color w:val="000000"/>
          <w:spacing w:val="3"/>
          <w:kern w:val="0"/>
          <w:sz w:val="19"/>
          <w:szCs w:val="19"/>
          <w:lang w:eastAsia="zh-CN"/>
        </w:rPr>
        <w:t xml:space="preserve"> European Economics,63(6),875-924. https://doi.org/10.1080/00128775.2024.2368683.</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Shah </w:t>
      </w:r>
      <w:proofErr w:type="spellStart"/>
      <w:r>
        <w:rPr>
          <w:rFonts w:hint="eastAsia"/>
          <w:snapToGrid w:val="0"/>
          <w:color w:val="000000"/>
          <w:spacing w:val="3"/>
          <w:kern w:val="0"/>
          <w:sz w:val="19"/>
          <w:szCs w:val="19"/>
          <w:lang w:eastAsia="zh-CN"/>
        </w:rPr>
        <w:t>Alam</w:t>
      </w:r>
      <w:proofErr w:type="spellEnd"/>
      <w:r>
        <w:rPr>
          <w:rFonts w:hint="eastAsia"/>
          <w:snapToGrid w:val="0"/>
          <w:color w:val="000000"/>
          <w:spacing w:val="3"/>
          <w:kern w:val="0"/>
          <w:sz w:val="19"/>
          <w:szCs w:val="19"/>
          <w:lang w:eastAsia="zh-CN"/>
        </w:rPr>
        <w:t xml:space="preserve"> Mukul &amp; Wahid </w:t>
      </w:r>
      <w:proofErr w:type="spellStart"/>
      <w:proofErr w:type="gramStart"/>
      <w:r>
        <w:rPr>
          <w:rFonts w:hint="eastAsia"/>
          <w:snapToGrid w:val="0"/>
          <w:color w:val="000000"/>
          <w:spacing w:val="3"/>
          <w:kern w:val="0"/>
          <w:sz w:val="19"/>
          <w:szCs w:val="19"/>
          <w:lang w:eastAsia="zh-CN"/>
        </w:rPr>
        <w:t>Soruar</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2025).Foreign Direct Investment and Export Growth: Time-series Evidence from Bangladesh's Garment </w:t>
      </w:r>
      <w:proofErr w:type="spellStart"/>
      <w:r>
        <w:rPr>
          <w:rFonts w:hint="eastAsia"/>
          <w:snapToGrid w:val="0"/>
          <w:color w:val="000000"/>
          <w:spacing w:val="3"/>
          <w:kern w:val="0"/>
          <w:sz w:val="19"/>
          <w:szCs w:val="19"/>
          <w:lang w:eastAsia="zh-CN"/>
        </w:rPr>
        <w:t>Sector.Asian</w:t>
      </w:r>
      <w:proofErr w:type="spellEnd"/>
      <w:r>
        <w:rPr>
          <w:rFonts w:hint="eastAsia"/>
          <w:snapToGrid w:val="0"/>
          <w:color w:val="000000"/>
          <w:spacing w:val="3"/>
          <w:kern w:val="0"/>
          <w:sz w:val="19"/>
          <w:szCs w:val="19"/>
          <w:lang w:eastAsia="zh-CN"/>
        </w:rPr>
        <w:t xml:space="preserve"> Journal of Economics, Business and Accounting,25(8),1-12. https://doi.org/10.9734/AJEBA/2025/V25I81911.</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Jinhai</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Shi,Lili</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Kang,Fei</w:t>
      </w:r>
      <w:proofErr w:type="spellEnd"/>
      <w:r>
        <w:rPr>
          <w:rFonts w:hint="eastAsia"/>
          <w:snapToGrid w:val="0"/>
          <w:color w:val="000000"/>
          <w:spacing w:val="3"/>
          <w:kern w:val="0"/>
          <w:sz w:val="19"/>
          <w:szCs w:val="19"/>
          <w:lang w:eastAsia="zh-CN"/>
        </w:rPr>
        <w:t xml:space="preserve"> Peng &amp; Sajid Anwar.(2025).Belt and road initiative and export sophistication: The role of China’s outward foreign direct </w:t>
      </w:r>
      <w:proofErr w:type="spellStart"/>
      <w:r>
        <w:rPr>
          <w:rFonts w:hint="eastAsia"/>
          <w:snapToGrid w:val="0"/>
          <w:color w:val="000000"/>
          <w:spacing w:val="3"/>
          <w:kern w:val="0"/>
          <w:sz w:val="19"/>
          <w:szCs w:val="19"/>
          <w:lang w:eastAsia="zh-CN"/>
        </w:rPr>
        <w:t>investment.The</w:t>
      </w:r>
      <w:proofErr w:type="spellEnd"/>
      <w:r>
        <w:rPr>
          <w:rFonts w:hint="eastAsia"/>
          <w:snapToGrid w:val="0"/>
          <w:color w:val="000000"/>
          <w:spacing w:val="3"/>
          <w:kern w:val="0"/>
          <w:sz w:val="19"/>
          <w:szCs w:val="19"/>
          <w:lang w:eastAsia="zh-CN"/>
        </w:rPr>
        <w:t xml:space="preserve"> Journal of International Trade &amp; Economic Development,34(5),1094-1113. https://doi.org/10.1080/09638199.2024.2369757.</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Joseph Owusu </w:t>
      </w:r>
      <w:proofErr w:type="spellStart"/>
      <w:proofErr w:type="gramStart"/>
      <w:r>
        <w:rPr>
          <w:rFonts w:hint="eastAsia"/>
          <w:snapToGrid w:val="0"/>
          <w:color w:val="000000"/>
          <w:spacing w:val="3"/>
          <w:kern w:val="0"/>
          <w:sz w:val="19"/>
          <w:szCs w:val="19"/>
          <w:lang w:eastAsia="zh-CN"/>
        </w:rPr>
        <w:t>Amoah,Imhotep</w:t>
      </w:r>
      <w:proofErr w:type="spellEnd"/>
      <w:proofErr w:type="gramEnd"/>
      <w:r>
        <w:rPr>
          <w:rFonts w:hint="eastAsia"/>
          <w:snapToGrid w:val="0"/>
          <w:color w:val="000000"/>
          <w:spacing w:val="3"/>
          <w:kern w:val="0"/>
          <w:sz w:val="19"/>
          <w:szCs w:val="19"/>
          <w:lang w:eastAsia="zh-CN"/>
        </w:rPr>
        <w:t xml:space="preserve"> Paul </w:t>
      </w:r>
      <w:proofErr w:type="spellStart"/>
      <w:r>
        <w:rPr>
          <w:rFonts w:hint="eastAsia"/>
          <w:snapToGrid w:val="0"/>
          <w:color w:val="000000"/>
          <w:spacing w:val="3"/>
          <w:kern w:val="0"/>
          <w:sz w:val="19"/>
          <w:szCs w:val="19"/>
          <w:lang w:eastAsia="zh-CN"/>
        </w:rPr>
        <w:t>Alagidede</w:t>
      </w:r>
      <w:proofErr w:type="spellEnd"/>
      <w:r>
        <w:rPr>
          <w:rFonts w:hint="eastAsia"/>
          <w:snapToGrid w:val="0"/>
          <w:color w:val="000000"/>
          <w:spacing w:val="3"/>
          <w:kern w:val="0"/>
          <w:sz w:val="19"/>
          <w:szCs w:val="19"/>
          <w:lang w:eastAsia="zh-CN"/>
        </w:rPr>
        <w:t xml:space="preserve"> &amp; Yakubu </w:t>
      </w:r>
      <w:proofErr w:type="spellStart"/>
      <w:r>
        <w:rPr>
          <w:rFonts w:hint="eastAsia"/>
          <w:snapToGrid w:val="0"/>
          <w:color w:val="000000"/>
          <w:spacing w:val="3"/>
          <w:kern w:val="0"/>
          <w:sz w:val="19"/>
          <w:szCs w:val="19"/>
          <w:lang w:eastAsia="zh-CN"/>
        </w:rPr>
        <w:t>Awudu</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Sare</w:t>
      </w:r>
      <w:proofErr w:type="spellEnd"/>
      <w:r>
        <w:rPr>
          <w:rFonts w:hint="eastAsia"/>
          <w:snapToGrid w:val="0"/>
          <w:color w:val="000000"/>
          <w:spacing w:val="3"/>
          <w:kern w:val="0"/>
          <w:sz w:val="19"/>
          <w:szCs w:val="19"/>
          <w:lang w:eastAsia="zh-CN"/>
        </w:rPr>
        <w:t xml:space="preserve">.(2025).Dynamic Effect of Foreign Direct Investment on Export Growth in Ghana: Does Financial Development </w:t>
      </w:r>
      <w:proofErr w:type="spellStart"/>
      <w:r>
        <w:rPr>
          <w:rFonts w:hint="eastAsia"/>
          <w:snapToGrid w:val="0"/>
          <w:color w:val="000000"/>
          <w:spacing w:val="3"/>
          <w:kern w:val="0"/>
          <w:sz w:val="19"/>
          <w:szCs w:val="19"/>
          <w:lang w:eastAsia="zh-CN"/>
        </w:rPr>
        <w:t>Matter?.Transnational</w:t>
      </w:r>
      <w:proofErr w:type="spellEnd"/>
      <w:r>
        <w:rPr>
          <w:rFonts w:hint="eastAsia"/>
          <w:snapToGrid w:val="0"/>
          <w:color w:val="000000"/>
          <w:spacing w:val="3"/>
          <w:kern w:val="0"/>
          <w:sz w:val="19"/>
          <w:szCs w:val="19"/>
          <w:lang w:eastAsia="zh-CN"/>
        </w:rPr>
        <w:t xml:space="preserve"> Corporations Review,17(2),200129-200129. https://doi.org/10.1016/J.TNCR.2025.200129.</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Parveen </w:t>
      </w:r>
      <w:proofErr w:type="spellStart"/>
      <w:proofErr w:type="gramStart"/>
      <w:r>
        <w:rPr>
          <w:rFonts w:hint="eastAsia"/>
          <w:snapToGrid w:val="0"/>
          <w:color w:val="000000"/>
          <w:spacing w:val="3"/>
          <w:kern w:val="0"/>
          <w:sz w:val="19"/>
          <w:szCs w:val="19"/>
          <w:lang w:eastAsia="zh-CN"/>
        </w:rPr>
        <w:t>Kumar,Ali</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Moridian,Magdalena</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Radulescu</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Ilinca</w:t>
      </w:r>
      <w:proofErr w:type="spellEnd"/>
      <w:r>
        <w:rPr>
          <w:rFonts w:hint="eastAsia"/>
          <w:snapToGrid w:val="0"/>
          <w:color w:val="000000"/>
          <w:spacing w:val="3"/>
          <w:kern w:val="0"/>
          <w:sz w:val="19"/>
          <w:szCs w:val="19"/>
          <w:lang w:eastAsia="zh-CN"/>
        </w:rPr>
        <w:t xml:space="preserve"> Margarita.(2025).The Impact of Foreign Direct Investment on Exports: A Study of Selected Countries in the CESEE Region.Economies,13(6),150-150. https://doi.org/10.3390/ECONOMIES13060150.</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Vidyasagar Selvaraj </w:t>
      </w:r>
      <w:proofErr w:type="spellStart"/>
      <w:proofErr w:type="gramStart"/>
      <w:r>
        <w:rPr>
          <w:rFonts w:hint="eastAsia"/>
          <w:snapToGrid w:val="0"/>
          <w:color w:val="000000"/>
          <w:spacing w:val="3"/>
          <w:kern w:val="0"/>
          <w:sz w:val="19"/>
          <w:szCs w:val="19"/>
          <w:lang w:eastAsia="zh-CN"/>
        </w:rPr>
        <w:t>Singaram,Waseem</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Ahmad,Mohammad</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Shareef,Shakeel</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Akther</w:t>
      </w:r>
      <w:proofErr w:type="spellEnd"/>
      <w:r>
        <w:rPr>
          <w:rFonts w:hint="eastAsia"/>
          <w:snapToGrid w:val="0"/>
          <w:color w:val="000000"/>
          <w:spacing w:val="3"/>
          <w:kern w:val="0"/>
          <w:sz w:val="19"/>
          <w:szCs w:val="19"/>
          <w:lang w:eastAsia="zh-CN"/>
        </w:rPr>
        <w:t xml:space="preserve"> &amp; Nargis Akhter </w:t>
      </w:r>
      <w:proofErr w:type="spellStart"/>
      <w:r>
        <w:rPr>
          <w:rFonts w:hint="eastAsia"/>
          <w:snapToGrid w:val="0"/>
          <w:color w:val="000000"/>
          <w:spacing w:val="3"/>
          <w:kern w:val="0"/>
          <w:sz w:val="19"/>
          <w:szCs w:val="19"/>
          <w:lang w:eastAsia="zh-CN"/>
        </w:rPr>
        <w:t>Wani</w:t>
      </w:r>
      <w:proofErr w:type="spellEnd"/>
      <w:r>
        <w:rPr>
          <w:rFonts w:hint="eastAsia"/>
          <w:snapToGrid w:val="0"/>
          <w:color w:val="000000"/>
          <w:spacing w:val="3"/>
          <w:kern w:val="0"/>
          <w:sz w:val="19"/>
          <w:szCs w:val="19"/>
          <w:lang w:eastAsia="zh-CN"/>
        </w:rPr>
        <w:t xml:space="preserve">.(2025).Impact of Foreign Direct Investment, Export, Import and Inflation on Economics Growth in India: An Empirical </w:t>
      </w:r>
      <w:proofErr w:type="spellStart"/>
      <w:r>
        <w:rPr>
          <w:rFonts w:hint="eastAsia"/>
          <w:snapToGrid w:val="0"/>
          <w:color w:val="000000"/>
          <w:spacing w:val="3"/>
          <w:kern w:val="0"/>
          <w:sz w:val="19"/>
          <w:szCs w:val="19"/>
          <w:lang w:eastAsia="zh-CN"/>
        </w:rPr>
        <w:t>Analysis.South</w:t>
      </w:r>
      <w:proofErr w:type="spellEnd"/>
      <w:r>
        <w:rPr>
          <w:rFonts w:hint="eastAsia"/>
          <w:snapToGrid w:val="0"/>
          <w:color w:val="000000"/>
          <w:spacing w:val="3"/>
          <w:kern w:val="0"/>
          <w:sz w:val="19"/>
          <w:szCs w:val="19"/>
          <w:lang w:eastAsia="zh-CN"/>
        </w:rPr>
        <w:t xml:space="preserve"> Asian Journal of Social Studies and Economics,22(3),13-21. https://doi.org/10.9734/SAJSSE/2025/V22I3965.</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Muhammad Ikram &amp; Rabie </w:t>
      </w:r>
      <w:proofErr w:type="spellStart"/>
      <w:proofErr w:type="gramStart"/>
      <w:r>
        <w:rPr>
          <w:rFonts w:hint="eastAsia"/>
          <w:snapToGrid w:val="0"/>
          <w:color w:val="000000"/>
          <w:spacing w:val="3"/>
          <w:kern w:val="0"/>
          <w:sz w:val="19"/>
          <w:szCs w:val="19"/>
          <w:lang w:eastAsia="zh-CN"/>
        </w:rPr>
        <w:t>Nahdi</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2025).Toward sustainable development: Unfolding the nexus among exports, foreign direct investment, capital formation, natural resource rent, unemployment, and low-carbon transition in </w:t>
      </w:r>
      <w:proofErr w:type="spellStart"/>
      <w:r>
        <w:rPr>
          <w:rFonts w:hint="eastAsia"/>
          <w:snapToGrid w:val="0"/>
          <w:color w:val="000000"/>
          <w:spacing w:val="3"/>
          <w:kern w:val="0"/>
          <w:sz w:val="19"/>
          <w:szCs w:val="19"/>
          <w:lang w:eastAsia="zh-CN"/>
        </w:rPr>
        <w:t>Morocco.Resources</w:t>
      </w:r>
      <w:proofErr w:type="spellEnd"/>
      <w:r>
        <w:rPr>
          <w:rFonts w:hint="eastAsia"/>
          <w:snapToGrid w:val="0"/>
          <w:color w:val="000000"/>
          <w:spacing w:val="3"/>
          <w:kern w:val="0"/>
          <w:sz w:val="19"/>
          <w:szCs w:val="19"/>
          <w:lang w:eastAsia="zh-CN"/>
        </w:rPr>
        <w:t xml:space="preserve"> Policy,102,105490-105490. https://doi.org/10.1016/J.RESOURPOL.2025.105490.</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Yang </w:t>
      </w:r>
      <w:proofErr w:type="spellStart"/>
      <w:proofErr w:type="gramStart"/>
      <w:r>
        <w:rPr>
          <w:rFonts w:hint="eastAsia"/>
          <w:snapToGrid w:val="0"/>
          <w:color w:val="000000"/>
          <w:spacing w:val="3"/>
          <w:kern w:val="0"/>
          <w:sz w:val="19"/>
          <w:szCs w:val="19"/>
          <w:lang w:eastAsia="zh-CN"/>
        </w:rPr>
        <w:t>Yi,Zhao</w:t>
      </w:r>
      <w:proofErr w:type="spellEnd"/>
      <w:proofErr w:type="gramEnd"/>
      <w:r>
        <w:rPr>
          <w:rFonts w:hint="eastAsia"/>
          <w:snapToGrid w:val="0"/>
          <w:color w:val="000000"/>
          <w:spacing w:val="3"/>
          <w:kern w:val="0"/>
          <w:sz w:val="19"/>
          <w:szCs w:val="19"/>
          <w:lang w:eastAsia="zh-CN"/>
        </w:rPr>
        <w:t xml:space="preserve"> Jing &amp; Yang Young Soo.(2025).Foreign direct investment and ex</w:t>
      </w:r>
      <w:r>
        <w:rPr>
          <w:rFonts w:hint="eastAsia"/>
          <w:snapToGrid w:val="0"/>
          <w:color w:val="000000"/>
          <w:spacing w:val="3"/>
          <w:kern w:val="0"/>
          <w:sz w:val="19"/>
          <w:szCs w:val="19"/>
          <w:lang w:eastAsia="zh-CN"/>
        </w:rPr>
        <w:t xml:space="preserve">port expansion: political connection and innovative </w:t>
      </w:r>
      <w:proofErr w:type="spellStart"/>
      <w:r>
        <w:rPr>
          <w:rFonts w:hint="eastAsia"/>
          <w:snapToGrid w:val="0"/>
          <w:color w:val="000000"/>
          <w:spacing w:val="3"/>
          <w:kern w:val="0"/>
          <w:sz w:val="19"/>
          <w:szCs w:val="19"/>
          <w:lang w:eastAsia="zh-CN"/>
        </w:rPr>
        <w:t>performance.Management</w:t>
      </w:r>
      <w:proofErr w:type="spellEnd"/>
      <w:r>
        <w:rPr>
          <w:rFonts w:hint="eastAsia"/>
          <w:snapToGrid w:val="0"/>
          <w:color w:val="000000"/>
          <w:spacing w:val="3"/>
          <w:kern w:val="0"/>
          <w:sz w:val="19"/>
          <w:szCs w:val="19"/>
          <w:lang w:eastAsia="zh-CN"/>
        </w:rPr>
        <w:t xml:space="preserve"> Decision,63(1),368-386. https://doi.org/10.1108/MD-02-2024-0238.</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Joshua </w:t>
      </w:r>
      <w:proofErr w:type="spellStart"/>
      <w:proofErr w:type="gramStart"/>
      <w:r>
        <w:rPr>
          <w:rFonts w:hint="eastAsia"/>
          <w:snapToGrid w:val="0"/>
          <w:color w:val="000000"/>
          <w:spacing w:val="3"/>
          <w:kern w:val="0"/>
          <w:sz w:val="19"/>
          <w:szCs w:val="19"/>
          <w:lang w:eastAsia="zh-CN"/>
        </w:rPr>
        <w:t>Mabeta,Lubo</w:t>
      </w:r>
      <w:proofErr w:type="spellEnd"/>
      <w:r>
        <w:rPr>
          <w:rFonts w:hint="eastAsia"/>
          <w:snapToGrid w:val="0"/>
          <w:color w:val="000000"/>
          <w:spacing w:val="3"/>
          <w:kern w:val="0"/>
          <w:sz w:val="19"/>
          <w:szCs w:val="19"/>
          <w:lang w:eastAsia="zh-CN"/>
        </w:rPr>
        <w:t>š</w:t>
      </w:r>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Smutka</w:t>
      </w:r>
      <w:proofErr w:type="spellEnd"/>
      <w:r>
        <w:rPr>
          <w:rFonts w:hint="eastAsia"/>
          <w:snapToGrid w:val="0"/>
          <w:color w:val="000000"/>
          <w:spacing w:val="3"/>
          <w:kern w:val="0"/>
          <w:sz w:val="19"/>
          <w:szCs w:val="19"/>
          <w:lang w:eastAsia="zh-CN"/>
        </w:rPr>
        <w:t xml:space="preserve"> &amp; Tomáš </w:t>
      </w:r>
      <w:proofErr w:type="spellStart"/>
      <w:r>
        <w:rPr>
          <w:rFonts w:hint="eastAsia"/>
          <w:snapToGrid w:val="0"/>
          <w:color w:val="000000"/>
          <w:spacing w:val="3"/>
          <w:kern w:val="0"/>
          <w:sz w:val="19"/>
          <w:szCs w:val="19"/>
          <w:lang w:eastAsia="zh-CN"/>
        </w:rPr>
        <w:t>Mrkvi</w:t>
      </w:r>
      <w:proofErr w:type="spellEnd"/>
      <w:r>
        <w:rPr>
          <w:rFonts w:hint="eastAsia"/>
          <w:snapToGrid w:val="0"/>
          <w:color w:val="000000"/>
          <w:spacing w:val="3"/>
          <w:kern w:val="0"/>
          <w:sz w:val="19"/>
          <w:szCs w:val="19"/>
          <w:lang w:eastAsia="zh-CN"/>
        </w:rPr>
        <w:t xml:space="preserve">čka.(2025).Impact of foreign direct investment on agricultural production and exports of SADC </w:t>
      </w:r>
      <w:proofErr w:type="spellStart"/>
      <w:r>
        <w:rPr>
          <w:rFonts w:hint="eastAsia"/>
          <w:snapToGrid w:val="0"/>
          <w:color w:val="000000"/>
          <w:spacing w:val="3"/>
          <w:kern w:val="0"/>
          <w:sz w:val="19"/>
          <w:szCs w:val="19"/>
          <w:lang w:eastAsia="zh-CN"/>
        </w:rPr>
        <w:t>countries.Social</w:t>
      </w:r>
      <w:proofErr w:type="spellEnd"/>
      <w:r>
        <w:rPr>
          <w:rFonts w:hint="eastAsia"/>
          <w:snapToGrid w:val="0"/>
          <w:color w:val="000000"/>
          <w:spacing w:val="3"/>
          <w:kern w:val="0"/>
          <w:sz w:val="19"/>
          <w:szCs w:val="19"/>
          <w:lang w:eastAsia="zh-CN"/>
        </w:rPr>
        <w:t xml:space="preserve"> Sciences &amp; Humanities Open,11,101499-101499. https://doi.org/10.1016/J.SSAHO.2025.101499.</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proofErr w:type="gramStart"/>
      <w:r>
        <w:rPr>
          <w:rFonts w:hint="eastAsia"/>
          <w:snapToGrid w:val="0"/>
          <w:color w:val="000000"/>
          <w:spacing w:val="3"/>
          <w:kern w:val="0"/>
          <w:sz w:val="19"/>
          <w:szCs w:val="19"/>
          <w:lang w:eastAsia="zh-CN"/>
        </w:rPr>
        <w:t>NavruzKhotamov</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2024).Exports and foreign direct investment in the presence of downside </w:t>
      </w:r>
      <w:proofErr w:type="spellStart"/>
      <w:r>
        <w:rPr>
          <w:rFonts w:hint="eastAsia"/>
          <w:snapToGrid w:val="0"/>
          <w:color w:val="000000"/>
          <w:spacing w:val="3"/>
          <w:kern w:val="0"/>
          <w:sz w:val="19"/>
          <w:szCs w:val="19"/>
          <w:lang w:eastAsia="zh-CN"/>
        </w:rPr>
        <w:t>risk.The</w:t>
      </w:r>
      <w:proofErr w:type="spellEnd"/>
      <w:r>
        <w:rPr>
          <w:rFonts w:hint="eastAsia"/>
          <w:snapToGrid w:val="0"/>
          <w:color w:val="000000"/>
          <w:spacing w:val="3"/>
          <w:kern w:val="0"/>
          <w:sz w:val="19"/>
          <w:szCs w:val="19"/>
          <w:lang w:eastAsia="zh-CN"/>
        </w:rPr>
        <w:t xml:space="preserve"> World Economy,48(3),500-534. https://doi.org/10.1111/TWEC.13651.</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Qing </w:t>
      </w:r>
      <w:proofErr w:type="spellStart"/>
      <w:proofErr w:type="gramStart"/>
      <w:r>
        <w:rPr>
          <w:rFonts w:hint="eastAsia"/>
          <w:snapToGrid w:val="0"/>
          <w:color w:val="000000"/>
          <w:spacing w:val="3"/>
          <w:kern w:val="0"/>
          <w:sz w:val="19"/>
          <w:szCs w:val="19"/>
          <w:lang w:eastAsia="zh-CN"/>
        </w:rPr>
        <w:t>Liu,Larry</w:t>
      </w:r>
      <w:proofErr w:type="spellEnd"/>
      <w:proofErr w:type="gramEnd"/>
      <w:r>
        <w:rPr>
          <w:rFonts w:hint="eastAsia"/>
          <w:snapToGrid w:val="0"/>
          <w:color w:val="000000"/>
          <w:spacing w:val="3"/>
          <w:kern w:val="0"/>
          <w:sz w:val="19"/>
          <w:szCs w:val="19"/>
          <w:lang w:eastAsia="zh-CN"/>
        </w:rPr>
        <w:t xml:space="preserve"> D. </w:t>
      </w:r>
      <w:proofErr w:type="spellStart"/>
      <w:r>
        <w:rPr>
          <w:rFonts w:hint="eastAsia"/>
          <w:snapToGrid w:val="0"/>
          <w:color w:val="000000"/>
          <w:spacing w:val="3"/>
          <w:kern w:val="0"/>
          <w:sz w:val="19"/>
          <w:szCs w:val="19"/>
          <w:lang w:eastAsia="zh-CN"/>
        </w:rPr>
        <w:t>Qiu</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Chaoqun</w:t>
      </w:r>
      <w:proofErr w:type="spellEnd"/>
      <w:r>
        <w:rPr>
          <w:rFonts w:hint="eastAsia"/>
          <w:snapToGrid w:val="0"/>
          <w:color w:val="000000"/>
          <w:spacing w:val="3"/>
          <w:kern w:val="0"/>
          <w:sz w:val="19"/>
          <w:szCs w:val="19"/>
          <w:lang w:eastAsia="zh-CN"/>
        </w:rPr>
        <w:t xml:space="preserve"> Zhan.(2024).FDI inflows and export quality: Domestic competition and within-firm </w:t>
      </w:r>
      <w:proofErr w:type="spellStart"/>
      <w:r>
        <w:rPr>
          <w:rFonts w:hint="eastAsia"/>
          <w:snapToGrid w:val="0"/>
          <w:color w:val="000000"/>
          <w:spacing w:val="3"/>
          <w:kern w:val="0"/>
          <w:sz w:val="19"/>
          <w:szCs w:val="19"/>
          <w:lang w:eastAsia="zh-CN"/>
        </w:rPr>
        <w:t>adjustment.Journal</w:t>
      </w:r>
      <w:proofErr w:type="spellEnd"/>
      <w:r>
        <w:rPr>
          <w:rFonts w:hint="eastAsia"/>
          <w:snapToGrid w:val="0"/>
          <w:color w:val="000000"/>
          <w:spacing w:val="3"/>
          <w:kern w:val="0"/>
          <w:sz w:val="19"/>
          <w:szCs w:val="19"/>
          <w:lang w:eastAsia="zh-CN"/>
        </w:rPr>
        <w:t xml:space="preserve"> of Development Economics,170,103293-. https://doi.org/10.1016/J.JDEVECO.2024.103293.</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He </w:t>
      </w:r>
      <w:proofErr w:type="spellStart"/>
      <w:proofErr w:type="gramStart"/>
      <w:r>
        <w:rPr>
          <w:rFonts w:hint="eastAsia"/>
          <w:snapToGrid w:val="0"/>
          <w:color w:val="000000"/>
          <w:spacing w:val="3"/>
          <w:kern w:val="0"/>
          <w:sz w:val="19"/>
          <w:szCs w:val="19"/>
          <w:lang w:eastAsia="zh-CN"/>
        </w:rPr>
        <w:t>Yugang</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2024).E-commerce and foreign direct investment: pioneering a new era of trade </w:t>
      </w:r>
      <w:proofErr w:type="spellStart"/>
      <w:r>
        <w:rPr>
          <w:rFonts w:hint="eastAsia"/>
          <w:snapToGrid w:val="0"/>
          <w:color w:val="000000"/>
          <w:spacing w:val="3"/>
          <w:kern w:val="0"/>
          <w:sz w:val="19"/>
          <w:szCs w:val="19"/>
          <w:lang w:eastAsia="zh-CN"/>
        </w:rPr>
        <w:t>strategies.Humanities</w:t>
      </w:r>
      <w:proofErr w:type="spellEnd"/>
      <w:r>
        <w:rPr>
          <w:rFonts w:hint="eastAsia"/>
          <w:snapToGrid w:val="0"/>
          <w:color w:val="000000"/>
          <w:spacing w:val="3"/>
          <w:kern w:val="0"/>
          <w:sz w:val="19"/>
          <w:szCs w:val="19"/>
          <w:lang w:eastAsia="zh-CN"/>
        </w:rPr>
        <w:t xml:space="preserve"> and Social Sciences Communications,11(1), https://doi.org/10.1057/S41599-024-03062-W.</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Xianke</w:t>
      </w:r>
      <w:proofErr w:type="spellEnd"/>
      <w:r>
        <w:rPr>
          <w:rFonts w:hint="eastAsia"/>
          <w:snapToGrid w:val="0"/>
          <w:color w:val="000000"/>
          <w:spacing w:val="3"/>
          <w:kern w:val="0"/>
          <w:sz w:val="19"/>
          <w:szCs w:val="19"/>
          <w:lang w:eastAsia="zh-CN"/>
        </w:rPr>
        <w:t xml:space="preserve"> Li &amp; </w:t>
      </w:r>
      <w:proofErr w:type="spellStart"/>
      <w:r>
        <w:rPr>
          <w:rFonts w:hint="eastAsia"/>
          <w:snapToGrid w:val="0"/>
          <w:color w:val="000000"/>
          <w:spacing w:val="3"/>
          <w:kern w:val="0"/>
          <w:sz w:val="19"/>
          <w:szCs w:val="19"/>
          <w:lang w:eastAsia="zh-CN"/>
        </w:rPr>
        <w:t>Chongyan</w:t>
      </w:r>
      <w:proofErr w:type="spellEnd"/>
      <w:r>
        <w:rPr>
          <w:rFonts w:hint="eastAsia"/>
          <w:snapToGrid w:val="0"/>
          <w:color w:val="000000"/>
          <w:spacing w:val="3"/>
          <w:kern w:val="0"/>
          <w:sz w:val="19"/>
          <w:szCs w:val="19"/>
          <w:lang w:eastAsia="zh-CN"/>
        </w:rPr>
        <w:t xml:space="preserve"> </w:t>
      </w:r>
      <w:proofErr w:type="gramStart"/>
      <w:r>
        <w:rPr>
          <w:rFonts w:hint="eastAsia"/>
          <w:snapToGrid w:val="0"/>
          <w:color w:val="000000"/>
          <w:spacing w:val="3"/>
          <w:kern w:val="0"/>
          <w:sz w:val="19"/>
          <w:szCs w:val="19"/>
          <w:lang w:eastAsia="zh-CN"/>
        </w:rPr>
        <w:t>Li.(</w:t>
      </w:r>
      <w:proofErr w:type="gramEnd"/>
      <w:r>
        <w:rPr>
          <w:rFonts w:hint="eastAsia"/>
          <w:snapToGrid w:val="0"/>
          <w:color w:val="000000"/>
          <w:spacing w:val="3"/>
          <w:kern w:val="0"/>
          <w:sz w:val="19"/>
          <w:szCs w:val="19"/>
          <w:lang w:eastAsia="zh-CN"/>
        </w:rPr>
        <w:t>2024).Interaction Effect of Export Trade, Foreign Direct Investment and Technological Independent Innovation in China.Sustainability,16(8), https://doi.org/10.3390/SU16083211.</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Zhang </w:t>
      </w:r>
      <w:proofErr w:type="spellStart"/>
      <w:proofErr w:type="gramStart"/>
      <w:r>
        <w:rPr>
          <w:rFonts w:hint="eastAsia"/>
          <w:snapToGrid w:val="0"/>
          <w:color w:val="000000"/>
          <w:spacing w:val="3"/>
          <w:kern w:val="0"/>
          <w:sz w:val="19"/>
          <w:szCs w:val="19"/>
          <w:lang w:eastAsia="zh-CN"/>
        </w:rPr>
        <w:t>Song,Kalirajan</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Kaliappa</w:t>
      </w:r>
      <w:proofErr w:type="spellEnd"/>
      <w:r>
        <w:rPr>
          <w:rFonts w:hint="eastAsia"/>
          <w:snapToGrid w:val="0"/>
          <w:color w:val="000000"/>
          <w:spacing w:val="3"/>
          <w:kern w:val="0"/>
          <w:sz w:val="19"/>
          <w:szCs w:val="19"/>
          <w:lang w:eastAsia="zh-CN"/>
        </w:rPr>
        <w:t xml:space="preserve"> &amp; Chen </w:t>
      </w:r>
      <w:proofErr w:type="spellStart"/>
      <w:r>
        <w:rPr>
          <w:rFonts w:hint="eastAsia"/>
          <w:snapToGrid w:val="0"/>
          <w:color w:val="000000"/>
          <w:spacing w:val="3"/>
          <w:kern w:val="0"/>
          <w:sz w:val="19"/>
          <w:szCs w:val="19"/>
          <w:lang w:eastAsia="zh-CN"/>
        </w:rPr>
        <w:t>Chunlai</w:t>
      </w:r>
      <w:proofErr w:type="spellEnd"/>
      <w:r>
        <w:rPr>
          <w:rFonts w:hint="eastAsia"/>
          <w:snapToGrid w:val="0"/>
          <w:color w:val="000000"/>
          <w:spacing w:val="3"/>
          <w:kern w:val="0"/>
          <w:sz w:val="19"/>
          <w:szCs w:val="19"/>
          <w:lang w:eastAsia="zh-CN"/>
        </w:rPr>
        <w:t xml:space="preserve">.(2024).The impact of outward foreign direct investment on China’s export: an analysis using two-tier stochastic frontier gravity </w:t>
      </w:r>
      <w:proofErr w:type="spellStart"/>
      <w:r>
        <w:rPr>
          <w:rFonts w:hint="eastAsia"/>
          <w:snapToGrid w:val="0"/>
          <w:color w:val="000000"/>
          <w:spacing w:val="3"/>
          <w:kern w:val="0"/>
          <w:sz w:val="19"/>
          <w:szCs w:val="19"/>
          <w:lang w:eastAsia="zh-CN"/>
        </w:rPr>
        <w:t>model.Journal</w:t>
      </w:r>
      <w:proofErr w:type="spellEnd"/>
      <w:r>
        <w:rPr>
          <w:rFonts w:hint="eastAsia"/>
          <w:snapToGrid w:val="0"/>
          <w:color w:val="000000"/>
          <w:spacing w:val="3"/>
          <w:kern w:val="0"/>
          <w:sz w:val="19"/>
          <w:szCs w:val="19"/>
          <w:lang w:eastAsia="zh-CN"/>
        </w:rPr>
        <w:t xml:space="preserve"> of the Asia Pacific Economy,29(2),545-565. https://doi.org/10.1080/13547860.2022.2029048.</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proofErr w:type="gramStart"/>
      <w:r>
        <w:rPr>
          <w:rFonts w:hint="eastAsia"/>
          <w:snapToGrid w:val="0"/>
          <w:color w:val="000000"/>
          <w:spacing w:val="3"/>
          <w:kern w:val="0"/>
          <w:sz w:val="19"/>
          <w:szCs w:val="19"/>
          <w:lang w:eastAsia="zh-CN"/>
        </w:rPr>
        <w:t>YangLiang,Mary</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E.Lovely</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HongshengZhang</w:t>
      </w:r>
      <w:proofErr w:type="spellEnd"/>
      <w:r>
        <w:rPr>
          <w:rFonts w:hint="eastAsia"/>
          <w:snapToGrid w:val="0"/>
          <w:color w:val="000000"/>
          <w:spacing w:val="3"/>
          <w:kern w:val="0"/>
          <w:sz w:val="19"/>
          <w:szCs w:val="19"/>
          <w:lang w:eastAsia="zh-CN"/>
        </w:rPr>
        <w:t xml:space="preserve">.(2024).Targeted Liberalization: China's foreign investment regulation reform and its post‐WTO‐accession export </w:t>
      </w:r>
      <w:proofErr w:type="spellStart"/>
      <w:r>
        <w:rPr>
          <w:rFonts w:hint="eastAsia"/>
          <w:snapToGrid w:val="0"/>
          <w:color w:val="000000"/>
          <w:spacing w:val="3"/>
          <w:kern w:val="0"/>
          <w:sz w:val="19"/>
          <w:szCs w:val="19"/>
          <w:lang w:eastAsia="zh-CN"/>
        </w:rPr>
        <w:t>surge.Review</w:t>
      </w:r>
      <w:proofErr w:type="spellEnd"/>
      <w:r>
        <w:rPr>
          <w:rFonts w:hint="eastAsia"/>
          <w:snapToGrid w:val="0"/>
          <w:color w:val="000000"/>
          <w:spacing w:val="3"/>
          <w:kern w:val="0"/>
          <w:sz w:val="19"/>
          <w:szCs w:val="19"/>
          <w:lang w:eastAsia="zh-CN"/>
        </w:rPr>
        <w:t xml:space="preserve"> of International Economics,33(1),166-206. https://doi.org/10.1111/ROIE.12737.</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gramStart"/>
      <w:r>
        <w:rPr>
          <w:rFonts w:hint="eastAsia"/>
          <w:snapToGrid w:val="0"/>
          <w:color w:val="000000"/>
          <w:spacing w:val="3"/>
          <w:kern w:val="0"/>
          <w:sz w:val="19"/>
          <w:szCs w:val="19"/>
          <w:lang w:eastAsia="zh-CN"/>
        </w:rPr>
        <w:t>]</w:t>
      </w:r>
      <w:proofErr w:type="spellStart"/>
      <w:r>
        <w:rPr>
          <w:rFonts w:hint="eastAsia"/>
          <w:snapToGrid w:val="0"/>
          <w:color w:val="000000"/>
          <w:spacing w:val="3"/>
          <w:kern w:val="0"/>
          <w:sz w:val="19"/>
          <w:szCs w:val="19"/>
          <w:lang w:eastAsia="zh-CN"/>
        </w:rPr>
        <w:t>Kastratovi</w:t>
      </w:r>
      <w:proofErr w:type="spellEnd"/>
      <w:r>
        <w:rPr>
          <w:rFonts w:hint="eastAsia"/>
          <w:snapToGrid w:val="0"/>
          <w:color w:val="000000"/>
          <w:spacing w:val="3"/>
          <w:kern w:val="0"/>
          <w:sz w:val="19"/>
          <w:szCs w:val="19"/>
          <w:lang w:eastAsia="zh-CN"/>
        </w:rPr>
        <w:t>ć</w:t>
      </w:r>
      <w:proofErr w:type="gramEnd"/>
      <w:r>
        <w:rPr>
          <w:rFonts w:hint="eastAsia"/>
          <w:snapToGrid w:val="0"/>
          <w:color w:val="000000"/>
          <w:spacing w:val="3"/>
          <w:kern w:val="0"/>
          <w:sz w:val="19"/>
          <w:szCs w:val="19"/>
          <w:lang w:eastAsia="zh-CN"/>
        </w:rPr>
        <w:t xml:space="preserve"> Radovan.(2024).The impact of foreign direct investment on agricultural exports: The evidence from developing </w:t>
      </w:r>
      <w:proofErr w:type="spellStart"/>
      <w:r>
        <w:rPr>
          <w:rFonts w:hint="eastAsia"/>
          <w:snapToGrid w:val="0"/>
          <w:color w:val="000000"/>
          <w:spacing w:val="3"/>
          <w:kern w:val="0"/>
          <w:sz w:val="19"/>
          <w:szCs w:val="19"/>
          <w:lang w:eastAsia="zh-CN"/>
        </w:rPr>
        <w:t>countries.The</w:t>
      </w:r>
      <w:proofErr w:type="spellEnd"/>
      <w:r>
        <w:rPr>
          <w:rFonts w:hint="eastAsia"/>
          <w:snapToGrid w:val="0"/>
          <w:color w:val="000000"/>
          <w:spacing w:val="3"/>
          <w:kern w:val="0"/>
          <w:sz w:val="19"/>
          <w:szCs w:val="19"/>
          <w:lang w:eastAsia="zh-CN"/>
        </w:rPr>
        <w:t xml:space="preserve"> Journal of International Trade &amp; Economic Development,33(2),276-293. https://doi.org/10.1080/09638199.2023.2175306.</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Sun </w:t>
      </w:r>
      <w:proofErr w:type="spellStart"/>
      <w:proofErr w:type="gramStart"/>
      <w:r>
        <w:rPr>
          <w:rFonts w:hint="eastAsia"/>
          <w:snapToGrid w:val="0"/>
          <w:color w:val="000000"/>
          <w:spacing w:val="3"/>
          <w:kern w:val="0"/>
          <w:sz w:val="19"/>
          <w:szCs w:val="19"/>
          <w:lang w:eastAsia="zh-CN"/>
        </w:rPr>
        <w:t>Yanyan,Zhang</w:t>
      </w:r>
      <w:proofErr w:type="spellEnd"/>
      <w:proofErr w:type="gramEnd"/>
      <w:r>
        <w:rPr>
          <w:rFonts w:hint="eastAsia"/>
          <w:snapToGrid w:val="0"/>
          <w:color w:val="000000"/>
          <w:spacing w:val="3"/>
          <w:kern w:val="0"/>
          <w:sz w:val="19"/>
          <w:szCs w:val="19"/>
          <w:lang w:eastAsia="zh-CN"/>
        </w:rPr>
        <w:t xml:space="preserve"> Song &amp; Zhang </w:t>
      </w:r>
      <w:proofErr w:type="spellStart"/>
      <w:r>
        <w:rPr>
          <w:rFonts w:hint="eastAsia"/>
          <w:snapToGrid w:val="0"/>
          <w:color w:val="000000"/>
          <w:spacing w:val="3"/>
          <w:kern w:val="0"/>
          <w:sz w:val="19"/>
          <w:szCs w:val="19"/>
          <w:lang w:eastAsia="zh-CN"/>
        </w:rPr>
        <w:t>Kunling</w:t>
      </w:r>
      <w:proofErr w:type="spellEnd"/>
      <w:r>
        <w:rPr>
          <w:rFonts w:hint="eastAsia"/>
          <w:snapToGrid w:val="0"/>
          <w:color w:val="000000"/>
          <w:spacing w:val="3"/>
          <w:kern w:val="0"/>
          <w:sz w:val="19"/>
          <w:szCs w:val="19"/>
          <w:lang w:eastAsia="zh-CN"/>
        </w:rPr>
        <w:t xml:space="preserve">.(2024).The impact of China’s outward foreign direct investment on its export similarity with belt and road </w:t>
      </w:r>
      <w:proofErr w:type="spellStart"/>
      <w:r>
        <w:rPr>
          <w:rFonts w:hint="eastAsia"/>
          <w:snapToGrid w:val="0"/>
          <w:color w:val="000000"/>
          <w:spacing w:val="3"/>
          <w:kern w:val="0"/>
          <w:sz w:val="19"/>
          <w:szCs w:val="19"/>
          <w:lang w:eastAsia="zh-CN"/>
        </w:rPr>
        <w:t>countries.The</w:t>
      </w:r>
      <w:proofErr w:type="spellEnd"/>
      <w:r>
        <w:rPr>
          <w:rFonts w:hint="eastAsia"/>
          <w:snapToGrid w:val="0"/>
          <w:color w:val="000000"/>
          <w:spacing w:val="3"/>
          <w:kern w:val="0"/>
          <w:sz w:val="19"/>
          <w:szCs w:val="19"/>
          <w:lang w:eastAsia="zh-CN"/>
        </w:rPr>
        <w:t xml:space="preserve"> Journal of International Trade &amp; Economic Development,33(</w:t>
      </w:r>
      <w:r>
        <w:rPr>
          <w:rFonts w:hint="eastAsia"/>
          <w:snapToGrid w:val="0"/>
          <w:color w:val="000000"/>
          <w:spacing w:val="3"/>
          <w:kern w:val="0"/>
          <w:sz w:val="19"/>
          <w:szCs w:val="19"/>
          <w:lang w:eastAsia="zh-CN"/>
        </w:rPr>
        <w:lastRenderedPageBreak/>
        <w:t>1),76-117. https://doi.org/10.1080/09638199.2022.2159057.</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Yongrong</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Xin,Aftab</w:t>
      </w:r>
      <w:proofErr w:type="spellEnd"/>
      <w:proofErr w:type="gramEnd"/>
      <w:r>
        <w:rPr>
          <w:rFonts w:hint="eastAsia"/>
          <w:snapToGrid w:val="0"/>
          <w:color w:val="000000"/>
          <w:spacing w:val="3"/>
          <w:kern w:val="0"/>
          <w:sz w:val="19"/>
          <w:szCs w:val="19"/>
          <w:lang w:eastAsia="zh-CN"/>
        </w:rPr>
        <w:t xml:space="preserve"> Hussain </w:t>
      </w:r>
      <w:proofErr w:type="spellStart"/>
      <w:r>
        <w:rPr>
          <w:rFonts w:hint="eastAsia"/>
          <w:snapToGrid w:val="0"/>
          <w:color w:val="000000"/>
          <w:spacing w:val="3"/>
          <w:kern w:val="0"/>
          <w:sz w:val="19"/>
          <w:szCs w:val="19"/>
          <w:lang w:eastAsia="zh-CN"/>
        </w:rPr>
        <w:t>Tabasam,Zhenling</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Chen,Aysha</w:t>
      </w:r>
      <w:proofErr w:type="spellEnd"/>
      <w:r>
        <w:rPr>
          <w:rFonts w:hint="eastAsia"/>
          <w:snapToGrid w:val="0"/>
          <w:color w:val="000000"/>
          <w:spacing w:val="3"/>
          <w:kern w:val="0"/>
          <w:sz w:val="19"/>
          <w:szCs w:val="19"/>
          <w:lang w:eastAsia="zh-CN"/>
        </w:rPr>
        <w:t xml:space="preserve"> Zamir &amp; Carlos Samuel Ramos Meza.(2023).Correction: Analyzing the Impact of Foreign Direct Investment, Energy Consumption on Services Exports, and Growth of the Services Sector: Evidence from SAARC </w:t>
      </w:r>
      <w:proofErr w:type="spellStart"/>
      <w:r>
        <w:rPr>
          <w:rFonts w:hint="eastAsia"/>
          <w:snapToGrid w:val="0"/>
          <w:color w:val="000000"/>
          <w:spacing w:val="3"/>
          <w:kern w:val="0"/>
          <w:sz w:val="19"/>
          <w:szCs w:val="19"/>
          <w:lang w:eastAsia="zh-CN"/>
        </w:rPr>
        <w:t>Countries.Journal</w:t>
      </w:r>
      <w:proofErr w:type="spellEnd"/>
      <w:r>
        <w:rPr>
          <w:rFonts w:hint="eastAsia"/>
          <w:snapToGrid w:val="0"/>
          <w:color w:val="000000"/>
          <w:spacing w:val="3"/>
          <w:kern w:val="0"/>
          <w:sz w:val="19"/>
          <w:szCs w:val="19"/>
          <w:lang w:eastAsia="zh-CN"/>
        </w:rPr>
        <w:t xml:space="preserve"> of the Knowledge Economy,15(3),15450-15451. https://doi.org/10.1007/S13132-023-01488-2.</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Yasin Mohammad </w:t>
      </w:r>
      <w:proofErr w:type="spellStart"/>
      <w:r>
        <w:rPr>
          <w:rFonts w:hint="eastAsia"/>
          <w:snapToGrid w:val="0"/>
          <w:color w:val="000000"/>
          <w:spacing w:val="3"/>
          <w:kern w:val="0"/>
          <w:sz w:val="19"/>
          <w:szCs w:val="19"/>
          <w:lang w:eastAsia="zh-CN"/>
        </w:rPr>
        <w:t>Zeqi</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Esquivias</w:t>
      </w:r>
      <w:proofErr w:type="spellEnd"/>
      <w:r>
        <w:rPr>
          <w:rFonts w:hint="eastAsia"/>
          <w:snapToGrid w:val="0"/>
          <w:color w:val="000000"/>
          <w:spacing w:val="3"/>
          <w:kern w:val="0"/>
          <w:sz w:val="19"/>
          <w:szCs w:val="19"/>
          <w:lang w:eastAsia="zh-CN"/>
        </w:rPr>
        <w:t xml:space="preserve"> Miguel </w:t>
      </w:r>
      <w:proofErr w:type="gramStart"/>
      <w:r>
        <w:rPr>
          <w:rFonts w:hint="eastAsia"/>
          <w:snapToGrid w:val="0"/>
          <w:color w:val="000000"/>
          <w:spacing w:val="3"/>
          <w:kern w:val="0"/>
          <w:sz w:val="19"/>
          <w:szCs w:val="19"/>
          <w:lang w:eastAsia="zh-CN"/>
        </w:rPr>
        <w:t>Angel.(</w:t>
      </w:r>
      <w:proofErr w:type="gramEnd"/>
      <w:r>
        <w:rPr>
          <w:rFonts w:hint="eastAsia"/>
          <w:snapToGrid w:val="0"/>
          <w:color w:val="000000"/>
          <w:spacing w:val="3"/>
          <w:kern w:val="0"/>
          <w:sz w:val="19"/>
          <w:szCs w:val="19"/>
          <w:lang w:eastAsia="zh-CN"/>
        </w:rPr>
        <w:t xml:space="preserve">2023).Spillover effects of foreign direct investment on manufacturing exports and imports in </w:t>
      </w:r>
      <w:proofErr w:type="spellStart"/>
      <w:r>
        <w:rPr>
          <w:rFonts w:hint="eastAsia"/>
          <w:snapToGrid w:val="0"/>
          <w:color w:val="000000"/>
          <w:spacing w:val="3"/>
          <w:kern w:val="0"/>
          <w:sz w:val="19"/>
          <w:szCs w:val="19"/>
          <w:lang w:eastAsia="zh-CN"/>
        </w:rPr>
        <w:t>Indonesia.Studies</w:t>
      </w:r>
      <w:proofErr w:type="spellEnd"/>
      <w:r>
        <w:rPr>
          <w:rFonts w:hint="eastAsia"/>
          <w:snapToGrid w:val="0"/>
          <w:color w:val="000000"/>
          <w:spacing w:val="3"/>
          <w:kern w:val="0"/>
          <w:sz w:val="19"/>
          <w:szCs w:val="19"/>
          <w:lang w:eastAsia="zh-CN"/>
        </w:rPr>
        <w:t xml:space="preserve"> in Economics and Finance,40(4),625-646. https://doi.org/10.1108/SEF-12-2022-0551.</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Mohammad </w:t>
      </w:r>
      <w:proofErr w:type="spellStart"/>
      <w:r>
        <w:rPr>
          <w:rFonts w:hint="eastAsia"/>
          <w:snapToGrid w:val="0"/>
          <w:color w:val="000000"/>
          <w:spacing w:val="3"/>
          <w:kern w:val="0"/>
          <w:sz w:val="19"/>
          <w:szCs w:val="19"/>
          <w:lang w:eastAsia="zh-CN"/>
        </w:rPr>
        <w:t>Mohidul</w:t>
      </w:r>
      <w:proofErr w:type="spellEnd"/>
      <w:r>
        <w:rPr>
          <w:rFonts w:hint="eastAsia"/>
          <w:snapToGrid w:val="0"/>
          <w:color w:val="000000"/>
          <w:spacing w:val="3"/>
          <w:kern w:val="0"/>
          <w:sz w:val="19"/>
          <w:szCs w:val="19"/>
          <w:lang w:eastAsia="zh-CN"/>
        </w:rPr>
        <w:t xml:space="preserve"> </w:t>
      </w:r>
      <w:proofErr w:type="gramStart"/>
      <w:r>
        <w:rPr>
          <w:rFonts w:hint="eastAsia"/>
          <w:snapToGrid w:val="0"/>
          <w:color w:val="000000"/>
          <w:spacing w:val="3"/>
          <w:kern w:val="0"/>
          <w:sz w:val="19"/>
          <w:szCs w:val="19"/>
          <w:lang w:eastAsia="zh-CN"/>
        </w:rPr>
        <w:t>Islam.(</w:t>
      </w:r>
      <w:proofErr w:type="gramEnd"/>
      <w:r>
        <w:rPr>
          <w:rFonts w:hint="eastAsia"/>
          <w:snapToGrid w:val="0"/>
          <w:color w:val="000000"/>
          <w:spacing w:val="3"/>
          <w:kern w:val="0"/>
          <w:sz w:val="19"/>
          <w:szCs w:val="19"/>
          <w:lang w:eastAsia="zh-CN"/>
        </w:rPr>
        <w:t xml:space="preserve">2022).The Role of Foreign Direct Investment (FDI) Inflows on Export </w:t>
      </w:r>
      <w:proofErr w:type="spellStart"/>
      <w:r>
        <w:rPr>
          <w:rFonts w:hint="eastAsia"/>
          <w:snapToGrid w:val="0"/>
          <w:color w:val="000000"/>
          <w:spacing w:val="3"/>
          <w:kern w:val="0"/>
          <w:sz w:val="19"/>
          <w:szCs w:val="19"/>
          <w:lang w:eastAsia="zh-CN"/>
        </w:rPr>
        <w:t>Performancein</w:t>
      </w:r>
      <w:proofErr w:type="spellEnd"/>
      <w:r>
        <w:rPr>
          <w:rFonts w:hint="eastAsia"/>
          <w:snapToGrid w:val="0"/>
          <w:color w:val="000000"/>
          <w:spacing w:val="3"/>
          <w:kern w:val="0"/>
          <w:sz w:val="19"/>
          <w:szCs w:val="19"/>
          <w:lang w:eastAsia="zh-CN"/>
        </w:rPr>
        <w:t xml:space="preserve"> Developing </w:t>
      </w:r>
      <w:proofErr w:type="spellStart"/>
      <w:r>
        <w:rPr>
          <w:rFonts w:hint="eastAsia"/>
          <w:snapToGrid w:val="0"/>
          <w:color w:val="000000"/>
          <w:spacing w:val="3"/>
          <w:kern w:val="0"/>
          <w:sz w:val="19"/>
          <w:szCs w:val="19"/>
          <w:lang w:eastAsia="zh-CN"/>
        </w:rPr>
        <w:t>Economies:Evidence</w:t>
      </w:r>
      <w:proofErr w:type="spellEnd"/>
      <w:r>
        <w:rPr>
          <w:rFonts w:hint="eastAsia"/>
          <w:snapToGrid w:val="0"/>
          <w:color w:val="000000"/>
          <w:spacing w:val="3"/>
          <w:kern w:val="0"/>
          <w:sz w:val="19"/>
          <w:szCs w:val="19"/>
          <w:lang w:eastAsia="zh-CN"/>
        </w:rPr>
        <w:t xml:space="preserve"> from </w:t>
      </w:r>
      <w:proofErr w:type="spellStart"/>
      <w:r>
        <w:rPr>
          <w:rFonts w:hint="eastAsia"/>
          <w:snapToGrid w:val="0"/>
          <w:color w:val="000000"/>
          <w:spacing w:val="3"/>
          <w:kern w:val="0"/>
          <w:sz w:val="19"/>
          <w:szCs w:val="19"/>
          <w:lang w:eastAsia="zh-CN"/>
        </w:rPr>
        <w:t>Bangladesh.South</w:t>
      </w:r>
      <w:proofErr w:type="spellEnd"/>
      <w:r>
        <w:rPr>
          <w:rFonts w:hint="eastAsia"/>
          <w:snapToGrid w:val="0"/>
          <w:color w:val="000000"/>
          <w:spacing w:val="3"/>
          <w:kern w:val="0"/>
          <w:sz w:val="19"/>
          <w:szCs w:val="19"/>
          <w:lang w:eastAsia="zh-CN"/>
        </w:rPr>
        <w:t xml:space="preserve"> Asian Journal of Social Studies and Economics,49-57. https://doi.org/10.9734/SAJSSE/2022/V16I3615.</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Ren </w:t>
      </w:r>
      <w:proofErr w:type="spellStart"/>
      <w:proofErr w:type="gramStart"/>
      <w:r>
        <w:rPr>
          <w:rFonts w:hint="eastAsia"/>
          <w:snapToGrid w:val="0"/>
          <w:color w:val="000000"/>
          <w:spacing w:val="3"/>
          <w:kern w:val="0"/>
          <w:sz w:val="19"/>
          <w:szCs w:val="19"/>
          <w:lang w:eastAsia="zh-CN"/>
        </w:rPr>
        <w:t>Jiazhen,Sarkar</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Apurbo,Li</w:t>
      </w:r>
      <w:proofErr w:type="spellEnd"/>
      <w:r>
        <w:rPr>
          <w:rFonts w:hint="eastAsia"/>
          <w:snapToGrid w:val="0"/>
          <w:color w:val="000000"/>
          <w:spacing w:val="3"/>
          <w:kern w:val="0"/>
          <w:sz w:val="19"/>
          <w:szCs w:val="19"/>
          <w:lang w:eastAsia="zh-CN"/>
        </w:rPr>
        <w:t xml:space="preserve"> Hong &amp; Li </w:t>
      </w:r>
      <w:proofErr w:type="spellStart"/>
      <w:r>
        <w:rPr>
          <w:rFonts w:hint="eastAsia"/>
          <w:snapToGrid w:val="0"/>
          <w:color w:val="000000"/>
          <w:spacing w:val="3"/>
          <w:kern w:val="0"/>
          <w:sz w:val="19"/>
          <w:szCs w:val="19"/>
          <w:lang w:eastAsia="zh-CN"/>
        </w:rPr>
        <w:t>Xiaojing</w:t>
      </w:r>
      <w:proofErr w:type="spellEnd"/>
      <w:r>
        <w:rPr>
          <w:rFonts w:hint="eastAsia"/>
          <w:snapToGrid w:val="0"/>
          <w:color w:val="000000"/>
          <w:spacing w:val="3"/>
          <w:kern w:val="0"/>
          <w:sz w:val="19"/>
          <w:szCs w:val="19"/>
          <w:lang w:eastAsia="zh-CN"/>
        </w:rPr>
        <w:t>.(2022).Does the Host Country’s Foreign Direct Investment (FDI) Restrictiveness Inhibit the Export Sophistication of the Home Country? Evidence from China’s Manufacturing Data.Sustainability,14(22),15218-15218. https://doi.org/10.3390/SU142215218.</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Liu </w:t>
      </w:r>
      <w:proofErr w:type="spellStart"/>
      <w:r>
        <w:rPr>
          <w:rFonts w:hint="eastAsia"/>
          <w:snapToGrid w:val="0"/>
          <w:color w:val="000000"/>
          <w:spacing w:val="3"/>
          <w:kern w:val="0"/>
          <w:sz w:val="19"/>
          <w:szCs w:val="19"/>
          <w:lang w:eastAsia="zh-CN"/>
        </w:rPr>
        <w:t>Haiyun</w:t>
      </w:r>
      <w:proofErr w:type="spellEnd"/>
      <w:r>
        <w:rPr>
          <w:rFonts w:hint="eastAsia"/>
          <w:snapToGrid w:val="0"/>
          <w:color w:val="000000"/>
          <w:spacing w:val="3"/>
          <w:kern w:val="0"/>
          <w:sz w:val="19"/>
          <w:szCs w:val="19"/>
          <w:lang w:eastAsia="zh-CN"/>
        </w:rPr>
        <w:t xml:space="preserve"> &amp; Wang </w:t>
      </w:r>
      <w:proofErr w:type="spellStart"/>
      <w:proofErr w:type="gramStart"/>
      <w:r>
        <w:rPr>
          <w:rFonts w:hint="eastAsia"/>
          <w:snapToGrid w:val="0"/>
          <w:color w:val="000000"/>
          <w:spacing w:val="3"/>
          <w:kern w:val="0"/>
          <w:sz w:val="19"/>
          <w:szCs w:val="19"/>
          <w:lang w:eastAsia="zh-CN"/>
        </w:rPr>
        <w:t>Xuefeng</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2022).Spillover Effects of Foreign Direct Investment on Export Sophistication: Evidence from Chinese Domestic Manufacturing </w:t>
      </w:r>
      <w:proofErr w:type="spellStart"/>
      <w:r>
        <w:rPr>
          <w:rFonts w:hint="eastAsia"/>
          <w:snapToGrid w:val="0"/>
          <w:color w:val="000000"/>
          <w:spacing w:val="3"/>
          <w:kern w:val="0"/>
          <w:sz w:val="19"/>
          <w:szCs w:val="19"/>
          <w:lang w:eastAsia="zh-CN"/>
        </w:rPr>
        <w:t>Firms.The</w:t>
      </w:r>
      <w:proofErr w:type="spellEnd"/>
      <w:r>
        <w:rPr>
          <w:rFonts w:hint="eastAsia"/>
          <w:snapToGrid w:val="0"/>
          <w:color w:val="000000"/>
          <w:spacing w:val="3"/>
          <w:kern w:val="0"/>
          <w:sz w:val="19"/>
          <w:szCs w:val="19"/>
          <w:lang w:eastAsia="zh-CN"/>
        </w:rPr>
        <w:t xml:space="preserve"> Journal of Development Studies,58(11),2393-2408. https://doi.org/10.1080/00220388.2022.2094254.</w:t>
      </w:r>
    </w:p>
    <w:p w:rsidR="00AA78AE" w:rsidRDefault="000402E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Xiong</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Tingting</w:t>
      </w:r>
      <w:proofErr w:type="spellEnd"/>
      <w:r>
        <w:rPr>
          <w:rFonts w:hint="eastAsia"/>
          <w:snapToGrid w:val="0"/>
          <w:color w:val="000000"/>
          <w:spacing w:val="3"/>
          <w:kern w:val="0"/>
          <w:sz w:val="19"/>
          <w:szCs w:val="19"/>
          <w:lang w:eastAsia="zh-CN"/>
        </w:rPr>
        <w:t xml:space="preserve"> &amp; Sun </w:t>
      </w:r>
      <w:proofErr w:type="gramStart"/>
      <w:r>
        <w:rPr>
          <w:rFonts w:hint="eastAsia"/>
          <w:snapToGrid w:val="0"/>
          <w:color w:val="000000"/>
          <w:spacing w:val="3"/>
          <w:kern w:val="0"/>
          <w:sz w:val="19"/>
          <w:szCs w:val="19"/>
          <w:lang w:eastAsia="zh-CN"/>
        </w:rPr>
        <w:t>Hao.(</w:t>
      </w:r>
      <w:proofErr w:type="gramEnd"/>
      <w:r>
        <w:rPr>
          <w:rFonts w:hint="eastAsia"/>
          <w:snapToGrid w:val="0"/>
          <w:color w:val="000000"/>
          <w:spacing w:val="3"/>
          <w:kern w:val="0"/>
          <w:sz w:val="19"/>
          <w:szCs w:val="19"/>
          <w:lang w:eastAsia="zh-CN"/>
        </w:rPr>
        <w:t>2019).Structure and dynamics of global capital and international trade: Analysis of the relationship between exports and foreign direct investment (FDI) from 2001 to 2006.International Journal of Finance &amp; Economics,26(1),542-559. https://doi.org/10.1002/ijfe.1803.</w:t>
      </w:r>
    </w:p>
    <w:sectPr w:rsidR="00AA78AE">
      <w:type w:val="continuous"/>
      <w:pgSz w:w="11906" w:h="16838"/>
      <w:pgMar w:top="1440" w:right="1800" w:bottom="1440" w:left="1800" w:header="851" w:footer="992" w:gutter="0"/>
      <w:pgNumType w:start="1"/>
      <w:cols w:num="2" w:space="720" w:equalWidth="0">
        <w:col w:w="3940" w:space="425"/>
        <w:col w:w="394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2EC" w:rsidRDefault="000402EC">
      <w:r>
        <w:separator/>
      </w:r>
    </w:p>
  </w:endnote>
  <w:endnote w:type="continuationSeparator" w:id="0">
    <w:p w:rsidR="000402EC" w:rsidRDefault="0004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TeX_Math">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AA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AA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AA78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AA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2EC" w:rsidRDefault="000402EC">
      <w:r>
        <w:separator/>
      </w:r>
    </w:p>
  </w:footnote>
  <w:footnote w:type="continuationSeparator" w:id="0">
    <w:p w:rsidR="000402EC" w:rsidRDefault="0004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2" o:spid="_x0000_s2050"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3" o:spid="_x0000_s2051" type="#_x0000_t136" style="position:absolute;left:0;text-align:left;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1" o:spid="_x0000_s2049"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5" o:spid="_x0000_s2053" type="#_x0000_t136" style="position:absolute;left:0;text-align:left;margin-left:0;margin-top:0;width:493.05pt;height:92.4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6" o:spid="_x0000_s2054" type="#_x0000_t136" style="position:absolute;left:0;text-align:left;margin-left:0;margin-top:0;width:493.05pt;height:92.45pt;rotation:315;z-index:-25165107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E" w:rsidRDefault="005824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4" o:spid="_x0000_s2052" type="#_x0000_t136" style="position:absolute;left:0;text-align:left;margin-left:0;margin-top:0;width:493.05pt;height:92.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34FE38"/>
    <w:multiLevelType w:val="singleLevel"/>
    <w:tmpl w:val="EA34FE38"/>
    <w:lvl w:ilvl="0">
      <w:start w:val="2"/>
      <w:numFmt w:val="decimal"/>
      <w:suff w:val="space"/>
      <w:lvlText w:val="%1."/>
      <w:lvlJc w:val="left"/>
    </w:lvl>
  </w:abstractNum>
  <w:abstractNum w:abstractNumId="1" w15:restartNumberingAfterBreak="0">
    <w:nsid w:val="0A8B68B7"/>
    <w:multiLevelType w:val="singleLevel"/>
    <w:tmpl w:val="0A8B68B7"/>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A75A12"/>
    <w:rsid w:val="00010C81"/>
    <w:rsid w:val="00032A3C"/>
    <w:rsid w:val="000402EC"/>
    <w:rsid w:val="001D0FAE"/>
    <w:rsid w:val="002F771E"/>
    <w:rsid w:val="00423FF2"/>
    <w:rsid w:val="004351B1"/>
    <w:rsid w:val="004352F2"/>
    <w:rsid w:val="005268EE"/>
    <w:rsid w:val="005824B4"/>
    <w:rsid w:val="008B5077"/>
    <w:rsid w:val="00AA78AE"/>
    <w:rsid w:val="00C21812"/>
    <w:rsid w:val="00C51F4A"/>
    <w:rsid w:val="00D43FD2"/>
    <w:rsid w:val="00DB3EEA"/>
    <w:rsid w:val="00E258C4"/>
    <w:rsid w:val="00FE5FF8"/>
    <w:rsid w:val="018502B5"/>
    <w:rsid w:val="0192652E"/>
    <w:rsid w:val="07660241"/>
    <w:rsid w:val="0B275F39"/>
    <w:rsid w:val="0B8E61F5"/>
    <w:rsid w:val="0BA75A12"/>
    <w:rsid w:val="0CA21406"/>
    <w:rsid w:val="0F9D344C"/>
    <w:rsid w:val="0FE25B64"/>
    <w:rsid w:val="12963A53"/>
    <w:rsid w:val="130E3DC3"/>
    <w:rsid w:val="13531FC1"/>
    <w:rsid w:val="184F4743"/>
    <w:rsid w:val="1AF421A0"/>
    <w:rsid w:val="23607DE2"/>
    <w:rsid w:val="25D158D5"/>
    <w:rsid w:val="29D17BBA"/>
    <w:rsid w:val="2A351A9A"/>
    <w:rsid w:val="2A9E7283"/>
    <w:rsid w:val="2AD40022"/>
    <w:rsid w:val="2D1A4C77"/>
    <w:rsid w:val="2F2F5C1D"/>
    <w:rsid w:val="31474DE7"/>
    <w:rsid w:val="3D1006C3"/>
    <w:rsid w:val="3D4D2F19"/>
    <w:rsid w:val="3D711112"/>
    <w:rsid w:val="498C34BA"/>
    <w:rsid w:val="4CC7777A"/>
    <w:rsid w:val="5483524D"/>
    <w:rsid w:val="563A6625"/>
    <w:rsid w:val="58AA4A10"/>
    <w:rsid w:val="5C0937DC"/>
    <w:rsid w:val="5EDF3CD6"/>
    <w:rsid w:val="65BE38A7"/>
    <w:rsid w:val="670B7470"/>
    <w:rsid w:val="68164CB5"/>
    <w:rsid w:val="77D7713A"/>
    <w:rsid w:val="78AD4606"/>
    <w:rsid w:val="7A70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49174BE"/>
  <w15:docId w15:val="{E69E4178-39D3-482A-8CB7-F7AA0986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link w:val="Heading2Char"/>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sz w:val="20"/>
    </w:rPr>
  </w:style>
  <w:style w:type="paragraph" w:styleId="BodyText">
    <w:name w:val="Body Text"/>
    <w:basedOn w:val="Normal"/>
    <w:semiHidden/>
    <w:qFormat/>
    <w:rPr>
      <w:rFonts w:ascii="Arial" w:eastAsia="Arial" w:hAnsi="Arial" w:cs="Arial"/>
      <w:sz w:val="16"/>
      <w:szCs w:val="16"/>
      <w:lang w:eastAsia="en-US"/>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HTMLPreformatted">
    <w:name w:val="HTML Preformatted"/>
    <w:basedOn w:val="Normal"/>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qFormat/>
    <w:rPr>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rPr>
      <w:color w:val="0026E5" w:themeColor="hyperlink"/>
      <w:u w:val="single"/>
    </w:rPr>
  </w:style>
  <w:style w:type="character" w:customStyle="1" w:styleId="Heading2Char">
    <w:name w:val="Heading 2 Char"/>
    <w:link w:val="Heading2"/>
    <w:qFormat/>
    <w:rPr>
      <w:rFonts w:ascii="SimSun" w:eastAsia="SimSun" w:hAnsi="SimSun" w:cs="SimSun" w:hint="eastAsia"/>
      <w:b/>
      <w:bCs/>
      <w:kern w:val="0"/>
      <w:sz w:val="36"/>
      <w:szCs w:val="36"/>
      <w:lang w:val="en-US" w:eastAsia="zh-CN" w:bidi="ar"/>
    </w:rPr>
  </w:style>
  <w:style w:type="paragraph" w:customStyle="1" w:styleId="TableText">
    <w:name w:val="Table Text"/>
    <w:basedOn w:val="Normal"/>
    <w:semiHidden/>
    <w:qFormat/>
    <w:rPr>
      <w:rFonts w:ascii="Arial" w:eastAsia="Arial" w:hAnsi="Arial" w:cs="Arial"/>
      <w:sz w:val="19"/>
      <w:szCs w:val="19"/>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paragraph" w:customStyle="1" w:styleId="Affiliation">
    <w:name w:val="Affiliation"/>
    <w:basedOn w:val="Normal"/>
    <w:qFormat/>
    <w:pPr>
      <w:spacing w:after="240" w:line="240" w:lineRule="exact"/>
      <w:jc w:val="right"/>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5650</Words>
  <Characters>32209</Characters>
  <Application>Microsoft Office Word</Application>
  <DocSecurity>0</DocSecurity>
  <Lines>268</Lines>
  <Paragraphs>75</Paragraphs>
  <ScaleCrop>false</ScaleCrop>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SDI PC New 16</cp:lastModifiedBy>
  <cp:revision>19</cp:revision>
  <dcterms:created xsi:type="dcterms:W3CDTF">2025-07-02T07:44:00Z</dcterms:created>
  <dcterms:modified xsi:type="dcterms:W3CDTF">2026-03-04T11:12:00Z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D47D013D6C21448AB32BAB2E5D0589F7_13</vt:lpwstr>
  </property>
  <property fmtid="{D5CDD505-2E9C-101B-9397-08002B2CF9AE}" pid="4" name="KSOTemplateDocerSaveRecord">
    <vt:lpwstr>eyJoZGlkIjoiYTc2ZGZiNzZiNDVlOGViOWVmM2JhOTY0NGJkNjUyYzgiLCJ1c2VySWQiOiIxMDY3ODk5NTQ4In0=</vt:lpwstr>
  </property>
</Properties>
</file>