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FD836" w14:textId="77777777" w:rsidR="008F230A" w:rsidRDefault="008F230A">
      <w:pPr>
        <w:pStyle w:val="Title"/>
        <w:spacing w:after="0"/>
        <w:jc w:val="both"/>
        <w:rPr>
          <w:rFonts w:ascii="Arial" w:eastAsia="Arial" w:hAnsi="Arial" w:cs="Arial"/>
        </w:rPr>
      </w:pPr>
    </w:p>
    <w:p w14:paraId="0596602B" w14:textId="77777777" w:rsidR="008F230A" w:rsidRDefault="008F76E1">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Analysis of The Free Nutritional Meal Program (MBG) from A Human Resource Management (HR) Perspective</w:t>
      </w:r>
      <w:r>
        <w:rPr>
          <w:rFonts w:ascii="Arial" w:eastAsia="Arial" w:hAnsi="Arial" w:cs="Arial"/>
          <w:b/>
          <w:bCs/>
          <w:color w:val="000000"/>
          <w:sz w:val="36"/>
          <w:szCs w:val="36"/>
        </w:rPr>
        <w:t xml:space="preserve"> </w:t>
      </w:r>
    </w:p>
    <w:p w14:paraId="74F40F36" w14:textId="77777777" w:rsidR="008F230A" w:rsidRDefault="008F230A">
      <w:pPr>
        <w:pBdr>
          <w:top w:val="nil"/>
          <w:left w:val="nil"/>
          <w:bottom w:val="nil"/>
          <w:right w:val="nil"/>
          <w:between w:val="nil"/>
        </w:pBdr>
        <w:jc w:val="both"/>
        <w:rPr>
          <w:rFonts w:ascii="Arial" w:eastAsia="Arial" w:hAnsi="Arial" w:cs="Arial"/>
          <w:b/>
          <w:bCs/>
          <w:color w:val="000000"/>
          <w:sz w:val="36"/>
          <w:szCs w:val="36"/>
        </w:rPr>
      </w:pPr>
    </w:p>
    <w:p w14:paraId="5C5B03E8" w14:textId="77777777" w:rsidR="008F230A" w:rsidRDefault="008F76E1">
      <w:pPr>
        <w:pBdr>
          <w:top w:val="nil"/>
          <w:left w:val="nil"/>
          <w:bottom w:val="nil"/>
          <w:right w:val="nil"/>
          <w:between w:val="nil"/>
        </w:pBdr>
        <w:jc w:val="both"/>
        <w:rPr>
          <w:rFonts w:ascii="Arial" w:eastAsia="Arial" w:hAnsi="Arial" w:cs="Arial"/>
          <w:color w:val="000000"/>
          <w:sz w:val="16"/>
          <w:szCs w:val="16"/>
        </w:rPr>
        <w:sectPr w:rsidR="008F230A" w:rsidSect="000E5078">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290D17CC" wp14:editId="7656BCC1">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079037" id="Freeform: Shape 1" o:spid="_x0000_s1026" style="width:417.6pt;height:1.5pt;visibility:visible;mso-wrap-style:square;mso-left-percent:-10001;mso-top-percent:-10001;mso-position-horizontal:absolute;mso-position-horizontal-relative:char;mso-position-vertical:absolute;mso-position-vertical-relative:line;mso-left-percent:-10001;mso-top-percent:-10001;v-text-anchor:middle" coordsize="5303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" path="m,l5303520,e" strokeweight="1.5pt">
                <v:stroke startarrowwidth="narrow" startarrowlength="short" endarrowwidth="narrow" endarrowlength="short"/>
                <v:path arrowok="t" o:extrusionok="f"/>
                <w10:anchorlock/>
              </v:shape>
            </w:pict>
          </mc:Fallback>
        </mc:AlternateContent>
      </w:r>
      <w:r>
        <w:rPr>
          <w:rFonts w:ascii="Arial" w:eastAsia="Arial" w:hAnsi="Arial" w:cs="Arial"/>
          <w:color w:val="000000"/>
          <w:sz w:val="16"/>
          <w:szCs w:val="16"/>
        </w:rPr>
        <w:t>.</w:t>
      </w:r>
    </w:p>
    <w:p w14:paraId="2AB1C2FC"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00920003"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p>
    <w:tbl>
      <w:tblPr>
        <w:tblStyle w:val="2"/>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F230A" w14:paraId="1B898B80" w14:textId="77777777">
        <w:tc>
          <w:tcPr>
            <w:tcW w:w="8424" w:type="dxa"/>
            <w:shd w:val="clear" w:color="auto" w:fill="F2F2F2"/>
          </w:tcPr>
          <w:p w14:paraId="7C172AFC" w14:textId="77777777" w:rsidR="008F230A" w:rsidRDefault="008F230A">
            <w:pPr>
              <w:pBdr>
                <w:top w:val="nil"/>
                <w:left w:val="nil"/>
                <w:bottom w:val="nil"/>
                <w:right w:val="nil"/>
                <w:between w:val="nil"/>
              </w:pBdr>
              <w:jc w:val="both"/>
              <w:rPr>
                <w:rFonts w:ascii="Arial" w:eastAsia="Arial" w:hAnsi="Arial" w:cs="Arial"/>
                <w:b/>
                <w:bCs/>
                <w:color w:val="000000"/>
              </w:rPr>
            </w:pPr>
          </w:p>
          <w:p w14:paraId="1FD8F2B9" w14:textId="319BCBF6" w:rsidR="008F230A" w:rsidRDefault="000F15D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Background and </w:t>
            </w:r>
            <w:r w:rsidR="008F76E1">
              <w:rPr>
                <w:rFonts w:ascii="Arial" w:eastAsia="Arial" w:hAnsi="Arial" w:cs="Arial"/>
                <w:b/>
                <w:bCs/>
                <w:color w:val="000000"/>
              </w:rPr>
              <w:t xml:space="preserve">Aims: </w:t>
            </w:r>
            <w:r w:rsidRPr="000F15D3">
              <w:rPr>
                <w:rFonts w:ascii="Arial" w:eastAsia="Arial" w:hAnsi="Arial" w:cs="Arial"/>
                <w:bCs/>
                <w:color w:val="000000"/>
              </w:rPr>
              <w:t>MBG is frequently considered as a social or health initiative focused at increasing the quality of human resources and welfare.</w:t>
            </w:r>
            <w:r>
              <w:rPr>
                <w:rFonts w:ascii="Arial" w:eastAsia="Arial" w:hAnsi="Arial" w:cs="Arial"/>
                <w:b/>
                <w:bCs/>
                <w:color w:val="000000"/>
              </w:rPr>
              <w:t xml:space="preserve"> </w:t>
            </w:r>
            <w:r w:rsidRPr="000F15D3">
              <w:rPr>
                <w:rFonts w:ascii="Arial" w:eastAsia="Arial" w:hAnsi="Arial" w:cs="Arial"/>
                <w:bCs/>
                <w:color w:val="000000"/>
              </w:rPr>
              <w:t>Human resource development (HRD) is an important part of a country's growth.</w:t>
            </w:r>
            <w:r>
              <w:rPr>
                <w:rFonts w:ascii="Arial" w:eastAsia="Arial" w:hAnsi="Arial" w:cs="Arial"/>
                <w:bCs/>
                <w:color w:val="000000"/>
              </w:rPr>
              <w:t xml:space="preserve"> </w:t>
            </w:r>
            <w:r w:rsidR="008F76E1">
              <w:rPr>
                <w:rFonts w:ascii="Arial" w:eastAsia="Arial" w:hAnsi="Arial" w:cs="Arial"/>
              </w:rPr>
              <w:t xml:space="preserve">This study aims to analyze the Free Nutritious Meal Program (Program </w:t>
            </w:r>
            <w:proofErr w:type="spellStart"/>
            <w:r w:rsidR="008F76E1">
              <w:rPr>
                <w:rFonts w:ascii="Arial" w:eastAsia="Arial" w:hAnsi="Arial" w:cs="Arial"/>
              </w:rPr>
              <w:t>Makan</w:t>
            </w:r>
            <w:proofErr w:type="spellEnd"/>
            <w:r w:rsidR="008F76E1">
              <w:rPr>
                <w:rFonts w:ascii="Arial" w:eastAsia="Arial" w:hAnsi="Arial" w:cs="Arial"/>
              </w:rPr>
              <w:t xml:space="preserve"> </w:t>
            </w:r>
            <w:proofErr w:type="spellStart"/>
            <w:r w:rsidR="008F76E1">
              <w:rPr>
                <w:rFonts w:ascii="Arial" w:eastAsia="Arial" w:hAnsi="Arial" w:cs="Arial"/>
              </w:rPr>
              <w:t>Bergizi</w:t>
            </w:r>
            <w:proofErr w:type="spellEnd"/>
            <w:r w:rsidR="008F76E1">
              <w:rPr>
                <w:rFonts w:ascii="Arial" w:eastAsia="Arial" w:hAnsi="Arial" w:cs="Arial"/>
              </w:rPr>
              <w:t xml:space="preserve"> Gratis, MBG) as a national policy for human resource development from a Human Resource Management (HRM) perspective, particularly through the lenses of Human Capital Theory, Strategic Human Resource Management (SHRM), the Ability–Motivation–Opportunity (AMO) framework, and Public Sector HRM.</w:t>
            </w:r>
          </w:p>
          <w:p w14:paraId="60E454E2"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This study adopts a conceptual and analytical literature review design.</w:t>
            </w:r>
          </w:p>
          <w:p w14:paraId="32994C5A"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through a systematic review of peer-reviewed international and national literature indexed in Scopus, Web of Science, and SINTA, as well as official Indonesian government policy documents, published during the period 2019–2026.</w:t>
            </w:r>
          </w:p>
          <w:p w14:paraId="3E12E1E7"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The study employs a qualitative literature review approach with thematic analysis. Relevant academic articles and policy documents were identified through systematic database searches using keywords related to nutrition programs, human capital development, strategic HRM, and public sector HRM. The selected literature was analyzed thematically to examine MBG as a macro-level HRM intervention, focusing on human capital outcomes, policy integration, and human resource implementation challenges.</w:t>
            </w:r>
          </w:p>
          <w:p w14:paraId="75712026" w14:textId="77777777" w:rsidR="008F230A" w:rsidRDefault="008F76E1">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The findings indicate that the MBG program represents a long-term, macro-level HRM investment aimed at strengthening national human capital through improved nutrition, health, and cognitive capacity. However, the analysis reveals several critical challenges, including limitations in human resource capacity among implementing actors, weak strategic alignment across education, health, and labor policies, and the absence of outcome-based human capital performance measurement. These challenges may reduce the program’s effectiveness in achieving sustainable human resource development goals.</w:t>
            </w:r>
          </w:p>
          <w:p w14:paraId="0FEB4BB7" w14:textId="77777777" w:rsidR="008F230A" w:rsidRDefault="008F76E1">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The study concludes that while MBG has strong potential as a strategic public sector HRM policy supporting Indonesia’s long-term human capital development, its success depends on improved HR governance, cross-sector policy integration, and the adoption of outcome-oriented performance evaluation mechanisms.</w:t>
            </w:r>
          </w:p>
          <w:p w14:paraId="50C47356" w14:textId="44160304" w:rsidR="008F230A" w:rsidRDefault="008F230A">
            <w:pPr>
              <w:pBdr>
                <w:top w:val="nil"/>
                <w:left w:val="nil"/>
                <w:bottom w:val="nil"/>
                <w:right w:val="nil"/>
                <w:between w:val="nil"/>
              </w:pBdr>
              <w:jc w:val="both"/>
              <w:rPr>
                <w:rFonts w:ascii="Arial" w:eastAsia="Arial" w:hAnsi="Arial" w:cs="Arial"/>
                <w:color w:val="000000"/>
              </w:rPr>
            </w:pPr>
          </w:p>
        </w:tc>
      </w:tr>
    </w:tbl>
    <w:p w14:paraId="06B97E80" w14:textId="77777777" w:rsidR="008F230A" w:rsidRDefault="008F230A">
      <w:pPr>
        <w:pBdr>
          <w:top w:val="nil"/>
          <w:left w:val="nil"/>
          <w:bottom w:val="nil"/>
          <w:right w:val="nil"/>
          <w:between w:val="nil"/>
        </w:pBdr>
        <w:jc w:val="both"/>
        <w:rPr>
          <w:rFonts w:ascii="Arial" w:eastAsia="Arial" w:hAnsi="Arial" w:cs="Arial"/>
          <w:i/>
          <w:iCs/>
          <w:color w:val="000000"/>
        </w:rPr>
      </w:pPr>
    </w:p>
    <w:p w14:paraId="1536B58A" w14:textId="77777777" w:rsidR="008F230A" w:rsidRDefault="008F76E1">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Free Nutritious Meal Program (MBG), Human Resource Management, Human Capital, Strategic HRM, Public Sector HRM.</w:t>
      </w:r>
    </w:p>
    <w:p w14:paraId="6EDF3C15" w14:textId="77777777" w:rsidR="008F230A" w:rsidRDefault="008F230A">
      <w:pPr>
        <w:pBdr>
          <w:top w:val="nil"/>
          <w:left w:val="nil"/>
          <w:bottom w:val="nil"/>
          <w:right w:val="nil"/>
          <w:between w:val="nil"/>
        </w:pBdr>
        <w:jc w:val="both"/>
        <w:rPr>
          <w:rFonts w:ascii="Arial" w:eastAsia="Arial" w:hAnsi="Arial" w:cs="Arial"/>
          <w:i/>
          <w:iCs/>
          <w:color w:val="000000"/>
        </w:rPr>
      </w:pPr>
    </w:p>
    <w:p w14:paraId="0510E060" w14:textId="77777777" w:rsidR="008F230A" w:rsidRDefault="008F230A">
      <w:pPr>
        <w:pBdr>
          <w:top w:val="nil"/>
          <w:left w:val="nil"/>
          <w:bottom w:val="nil"/>
          <w:right w:val="nil"/>
          <w:between w:val="nil"/>
        </w:pBdr>
        <w:jc w:val="both"/>
        <w:rPr>
          <w:rFonts w:ascii="Arial" w:eastAsia="Arial" w:hAnsi="Arial" w:cs="Arial"/>
          <w:i/>
          <w:iCs/>
          <w:color w:val="000000"/>
        </w:rPr>
      </w:pPr>
    </w:p>
    <w:p w14:paraId="737C8855"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B870D55"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p>
    <w:p w14:paraId="57173172" w14:textId="5E17EBF8"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Human resource development (HRD) is a key prerequisite for a nation's successful development. In the context of developing countries, the quality of HRD is determined not only </w:t>
      </w:r>
      <w:r>
        <w:rPr>
          <w:rFonts w:ascii="Arial" w:eastAsia="Arial" w:hAnsi="Arial" w:cs="Arial"/>
        </w:rPr>
        <w:lastRenderedPageBreak/>
        <w:t>by formal education but also by the health and nutritional status of the community. The Indonesian government, through the Free Nutritional Meals Program (MBG), seeks to address future challenges related to the low nutritional quality of schoolchildren and vulnerable groups as part of a broader agenda for developing superior and competitive Indonesian HRD (Barnabas, 2024). MBG is understood as a national policy whose success in realizing macro-level or state-level HRM (HRM) focuses more on public services, legal compliance, and bureaucratic efficiency, serving as an early human capital investment (Alderman, 2025). The state acts as a human capital architect that shapes the quality of Indonesian HRD long before individuals enter the workforce or the public bureaucracy in providing services to the community.</w:t>
      </w:r>
    </w:p>
    <w:p w14:paraId="7825E083" w14:textId="159828A4"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MBG was launched in 2025 under the leadership of President Prabowo </w:t>
      </w:r>
      <w:proofErr w:type="spellStart"/>
      <w:r>
        <w:rPr>
          <w:rFonts w:ascii="Arial" w:eastAsia="Arial" w:hAnsi="Arial" w:cs="Arial"/>
        </w:rPr>
        <w:t>Subianto</w:t>
      </w:r>
      <w:proofErr w:type="spellEnd"/>
      <w:r>
        <w:rPr>
          <w:rFonts w:ascii="Arial" w:eastAsia="Arial" w:hAnsi="Arial" w:cs="Arial"/>
        </w:rPr>
        <w:t xml:space="preserve"> which aims to provide daily nutritious food to improve health, reduce stunting, and strengthen human resources, targeting: school children, toddlers, pregnant and breastfeeding mothers, as well as driving the local economy through the supply chain of farmers and Micro, Small and Medium Enterprises (MSMEs) (</w:t>
      </w:r>
      <w:proofErr w:type="spellStart"/>
      <w:r>
        <w:rPr>
          <w:rFonts w:ascii="Arial" w:eastAsia="Arial" w:hAnsi="Arial" w:cs="Arial"/>
        </w:rPr>
        <w:t>Febryanti</w:t>
      </w:r>
      <w:proofErr w:type="spellEnd"/>
      <w:r>
        <w:rPr>
          <w:rFonts w:ascii="Arial" w:eastAsia="Arial" w:hAnsi="Arial" w:cs="Arial"/>
        </w:rPr>
        <w:t xml:space="preserve"> et al., 2025; </w:t>
      </w:r>
      <w:proofErr w:type="spellStart"/>
      <w:r>
        <w:rPr>
          <w:rFonts w:ascii="Arial" w:eastAsia="Arial" w:hAnsi="Arial" w:cs="Arial"/>
        </w:rPr>
        <w:t>Rambe</w:t>
      </w:r>
      <w:proofErr w:type="spellEnd"/>
      <w:r>
        <w:rPr>
          <w:rFonts w:ascii="Arial" w:eastAsia="Arial" w:hAnsi="Arial" w:cs="Arial"/>
        </w:rPr>
        <w:t xml:space="preserve"> et al., 2025). The program is implemented through the National Nutrition Agency (BGN) and funded from the State Budget, with the support and synergy of related ministries, with a focus on providing healthy and nutritious food to support national education and national welfare.</w:t>
      </w:r>
    </w:p>
    <w:p w14:paraId="389B8AD8" w14:textId="548812C9"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From a public policy perspective, MBG is often understood as a social or health program aimed at improving the quality of human resources and welfare, but is faced with a dilemma between nutritional needs, budget (fiscal) resilience, and implementation challenges in each region. However, from a human resource management perspective, MBG can be positioned as a macro HRM policy that focuses on strategic functions, long-term planning and how HR is aligned with the structure, mission, and overall organizational goals that function as a long-term investment in the formation of human capital (</w:t>
      </w:r>
      <w:proofErr w:type="spellStart"/>
      <w:r>
        <w:rPr>
          <w:rFonts w:ascii="Arial" w:eastAsia="Arial" w:hAnsi="Arial" w:cs="Arial"/>
        </w:rPr>
        <w:t>Rambe</w:t>
      </w:r>
      <w:proofErr w:type="spellEnd"/>
      <w:r>
        <w:rPr>
          <w:rFonts w:ascii="Arial" w:eastAsia="Arial" w:hAnsi="Arial" w:cs="Arial"/>
        </w:rPr>
        <w:t xml:space="preserve"> et al., 2025).</w:t>
      </w:r>
    </w:p>
    <w:p w14:paraId="6BB812D0" w14:textId="56C482C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MBG analysis with an HR approach is relevant to understand the extent to which government programs are managed strategically and sustainably to maximize human potential to achieve organizational success strategically, ethically, and socially as stated in the development planning which is the long-term vision of Golden Indonesia 2045. The vision of Golden Indonesia 2045, to make Indonesia a developed, sovereign, just, and prosperous country, exactly 100 years after independence (1945–2045). Indonesia is one of the five largest economic powers in the world with a per capita income equivalent to developed countries, supported by superior human resources and optimization of the demographic bonus (Barnabas, 2024).</w:t>
      </w:r>
    </w:p>
    <w:p w14:paraId="0940313F" w14:textId="01477910" w:rsidR="001901AB" w:rsidRPr="001901AB" w:rsidRDefault="001901AB" w:rsidP="00C1231B">
      <w:pPr>
        <w:pBdr>
          <w:top w:val="nil"/>
          <w:left w:val="nil"/>
          <w:bottom w:val="nil"/>
          <w:right w:val="nil"/>
          <w:between w:val="nil"/>
        </w:pBdr>
        <w:jc w:val="both"/>
        <w:rPr>
          <w:rFonts w:ascii="Arial" w:eastAsia="Arial" w:hAnsi="Arial" w:cs="Arial"/>
          <w:lang w:val="en-US"/>
        </w:rPr>
      </w:pPr>
      <w:r w:rsidRPr="001901AB">
        <w:rPr>
          <w:rFonts w:ascii="Arial" w:eastAsia="Arial" w:hAnsi="Arial" w:cs="Arial"/>
          <w:lang w:val="en-US"/>
        </w:rPr>
        <w:t>Human resource development (HRD) is widely recognized as a critical foundation for national economic growth and long-term competitiveness. Beyond formal education, the quality of human resources is strongly influenced by early-life health and nutritional status, which shapes cognitive development, learning capacity, and future productivity (</w:t>
      </w:r>
      <w:proofErr w:type="spellStart"/>
      <w:r w:rsidRPr="001901AB">
        <w:rPr>
          <w:rFonts w:ascii="Arial" w:eastAsia="Arial" w:hAnsi="Arial" w:cs="Arial"/>
          <w:lang w:val="en-US"/>
        </w:rPr>
        <w:t>Victora</w:t>
      </w:r>
      <w:proofErr w:type="spellEnd"/>
      <w:r w:rsidRPr="001901AB">
        <w:rPr>
          <w:rFonts w:ascii="Arial" w:eastAsia="Arial" w:hAnsi="Arial" w:cs="Arial"/>
          <w:lang w:val="en-US"/>
        </w:rPr>
        <w:t xml:space="preserve"> et al., 2021). From a human capital perspective, investments made during childhood and adolescence generate long-term returns that extend well into adulthood and the labor market (Cunha et al., 2021). In this context, nutrition-based public interventions increasingly attract attention not only as social or health policies, but also as strategic instruments for human resource development.</w:t>
      </w:r>
    </w:p>
    <w:p w14:paraId="7EADFE3F" w14:textId="1C0FC3EE" w:rsidR="001901AB" w:rsidRPr="001901AB" w:rsidRDefault="001901AB" w:rsidP="001901AB">
      <w:pPr>
        <w:pBdr>
          <w:top w:val="nil"/>
          <w:left w:val="nil"/>
          <w:bottom w:val="nil"/>
          <w:right w:val="nil"/>
          <w:between w:val="nil"/>
        </w:pBdr>
        <w:jc w:val="both"/>
        <w:rPr>
          <w:rFonts w:ascii="Arial" w:eastAsia="Arial" w:hAnsi="Arial" w:cs="Arial"/>
          <w:lang w:val="en-US"/>
        </w:rPr>
      </w:pPr>
      <w:r w:rsidRPr="001901AB">
        <w:rPr>
          <w:rFonts w:ascii="Arial" w:eastAsia="Arial" w:hAnsi="Arial" w:cs="Arial"/>
          <w:lang w:val="en-US"/>
        </w:rPr>
        <w:t xml:space="preserve">The Indonesian government’s Free Nutritious Meal Program (Program </w:t>
      </w:r>
      <w:proofErr w:type="spellStart"/>
      <w:r w:rsidRPr="001901AB">
        <w:rPr>
          <w:rFonts w:ascii="Arial" w:eastAsia="Arial" w:hAnsi="Arial" w:cs="Arial"/>
          <w:lang w:val="en-US"/>
        </w:rPr>
        <w:t>Makan</w:t>
      </w:r>
      <w:proofErr w:type="spellEnd"/>
      <w:r w:rsidRPr="001901AB">
        <w:rPr>
          <w:rFonts w:ascii="Arial" w:eastAsia="Arial" w:hAnsi="Arial" w:cs="Arial"/>
          <w:lang w:val="en-US"/>
        </w:rPr>
        <w:t xml:space="preserve"> </w:t>
      </w:r>
      <w:proofErr w:type="spellStart"/>
      <w:r w:rsidRPr="001901AB">
        <w:rPr>
          <w:rFonts w:ascii="Arial" w:eastAsia="Arial" w:hAnsi="Arial" w:cs="Arial"/>
          <w:lang w:val="en-US"/>
        </w:rPr>
        <w:t>Bergizi</w:t>
      </w:r>
      <w:proofErr w:type="spellEnd"/>
      <w:r w:rsidRPr="001901AB">
        <w:rPr>
          <w:rFonts w:ascii="Arial" w:eastAsia="Arial" w:hAnsi="Arial" w:cs="Arial"/>
          <w:lang w:val="en-US"/>
        </w:rPr>
        <w:t xml:space="preserve"> Gratis</w:t>
      </w:r>
      <w:r>
        <w:rPr>
          <w:rFonts w:ascii="Arial" w:eastAsia="Arial" w:hAnsi="Arial" w:cs="Arial"/>
          <w:lang w:val="en-US"/>
        </w:rPr>
        <w:t xml:space="preserve"> </w:t>
      </w:r>
      <w:r w:rsidRPr="001901AB">
        <w:rPr>
          <w:rFonts w:ascii="Arial" w:eastAsia="Arial" w:hAnsi="Arial" w:cs="Arial"/>
          <w:lang w:val="en-US"/>
        </w:rPr>
        <w:t>MBG), launched nationally in 2025, represents one of the largest state-led nutrition interventions aimed at improving human capital quality. The program targets school children, toddlers, pregnant women, and breastfeeding mothers, while simultaneously stimulating local economic activity through farmer and MSME-based supply chains (</w:t>
      </w:r>
      <w:proofErr w:type="spellStart"/>
      <w:r w:rsidRPr="001901AB">
        <w:rPr>
          <w:rFonts w:ascii="Arial" w:eastAsia="Arial" w:hAnsi="Arial" w:cs="Arial"/>
          <w:lang w:val="en-US"/>
        </w:rPr>
        <w:t>Febryanti</w:t>
      </w:r>
      <w:proofErr w:type="spellEnd"/>
      <w:r w:rsidRPr="001901AB">
        <w:rPr>
          <w:rFonts w:ascii="Arial" w:eastAsia="Arial" w:hAnsi="Arial" w:cs="Arial"/>
          <w:lang w:val="en-US"/>
        </w:rPr>
        <w:t xml:space="preserve"> et al., 2025). Officially, MBG is framed as a public welfare and health initiative; however, this study argues that MBG should also be understood as a macro-level human resource management (HRM) policy, functioning as an early-stage investment in national human capital formation.</w:t>
      </w:r>
    </w:p>
    <w:p w14:paraId="73FFB836" w14:textId="0D540E7C" w:rsidR="001901AB" w:rsidRPr="001901AB" w:rsidRDefault="001901AB" w:rsidP="001901AB">
      <w:pPr>
        <w:pBdr>
          <w:top w:val="nil"/>
          <w:left w:val="nil"/>
          <w:bottom w:val="nil"/>
          <w:right w:val="nil"/>
          <w:between w:val="nil"/>
        </w:pBdr>
        <w:jc w:val="both"/>
        <w:rPr>
          <w:rFonts w:ascii="Arial" w:eastAsia="Arial" w:hAnsi="Arial" w:cs="Arial"/>
          <w:lang w:val="en-US"/>
        </w:rPr>
      </w:pPr>
      <w:r w:rsidRPr="001901AB">
        <w:rPr>
          <w:rFonts w:ascii="Arial" w:eastAsia="Arial" w:hAnsi="Arial" w:cs="Arial"/>
          <w:lang w:val="en-US"/>
        </w:rPr>
        <w:t xml:space="preserve">Despite its ambitious objectives, existing studies and policy evaluations highlight several persistent challenges in MBG implementation. These include fiscal sustainability concerns, uneven regional implementation capacity, limited cross-sectoral coordination, and a dominant </w:t>
      </w:r>
      <w:r w:rsidRPr="001901AB">
        <w:rPr>
          <w:rFonts w:ascii="Arial" w:eastAsia="Arial" w:hAnsi="Arial" w:cs="Arial"/>
          <w:lang w:val="en-US"/>
        </w:rPr>
        <w:lastRenderedPageBreak/>
        <w:t xml:space="preserve">focus on short-term outputs rather than long-term human capital outcomes (OECD, 2020; </w:t>
      </w:r>
      <w:proofErr w:type="spellStart"/>
      <w:r w:rsidRPr="001901AB">
        <w:rPr>
          <w:rFonts w:ascii="Arial" w:eastAsia="Arial" w:hAnsi="Arial" w:cs="Arial"/>
          <w:lang w:val="en-US"/>
        </w:rPr>
        <w:t>Rambe</w:t>
      </w:r>
      <w:proofErr w:type="spellEnd"/>
      <w:r w:rsidRPr="001901AB">
        <w:rPr>
          <w:rFonts w:ascii="Arial" w:eastAsia="Arial" w:hAnsi="Arial" w:cs="Arial"/>
          <w:lang w:val="en-US"/>
        </w:rPr>
        <w:t xml:space="preserve"> et al., 2025). From an HRM perspective, these challenges point to deeper managerial issues related to human resource capacity, strategic alignment, and performance measurement within public sector program implementation (</w:t>
      </w:r>
      <w:proofErr w:type="spellStart"/>
      <w:r w:rsidRPr="001901AB">
        <w:rPr>
          <w:rFonts w:ascii="Arial" w:eastAsia="Arial" w:hAnsi="Arial" w:cs="Arial"/>
          <w:lang w:val="en-US"/>
        </w:rPr>
        <w:t>Lengnick</w:t>
      </w:r>
      <w:proofErr w:type="spellEnd"/>
      <w:r w:rsidRPr="001901AB">
        <w:rPr>
          <w:rFonts w:ascii="Arial" w:eastAsia="Arial" w:hAnsi="Arial" w:cs="Arial"/>
          <w:lang w:val="en-US"/>
        </w:rPr>
        <w:t>-Hall et al., 2021).</w:t>
      </w:r>
    </w:p>
    <w:p w14:paraId="393093E9" w14:textId="23DC32D7" w:rsidR="001901AB" w:rsidRDefault="001901AB" w:rsidP="001901AB">
      <w:pPr>
        <w:pBdr>
          <w:top w:val="nil"/>
          <w:left w:val="nil"/>
          <w:bottom w:val="nil"/>
          <w:right w:val="nil"/>
          <w:between w:val="nil"/>
        </w:pBdr>
        <w:jc w:val="both"/>
        <w:rPr>
          <w:rFonts w:ascii="Arial" w:eastAsia="Arial" w:hAnsi="Arial" w:cs="Arial"/>
          <w:lang w:val="en-US"/>
        </w:rPr>
      </w:pPr>
      <w:r w:rsidRPr="001901AB">
        <w:rPr>
          <w:rFonts w:ascii="Arial" w:eastAsia="Arial" w:hAnsi="Arial" w:cs="Arial"/>
          <w:lang w:val="en-US"/>
        </w:rPr>
        <w:t>However, a critical gap exists in the current literature. Most prior studies examine MBG and similar programs primarily through public policy, nutrition, or social welfare lenses, emphasizing program coverage, budget allocation, or health outcomes (</w:t>
      </w:r>
      <w:proofErr w:type="spellStart"/>
      <w:r w:rsidRPr="001901AB">
        <w:rPr>
          <w:rFonts w:ascii="Arial" w:eastAsia="Arial" w:hAnsi="Arial" w:cs="Arial"/>
          <w:lang w:val="en-US"/>
        </w:rPr>
        <w:t>Rahmah</w:t>
      </w:r>
      <w:proofErr w:type="spellEnd"/>
      <w:r w:rsidRPr="001901AB">
        <w:rPr>
          <w:rFonts w:ascii="Arial" w:eastAsia="Arial" w:hAnsi="Arial" w:cs="Arial"/>
          <w:lang w:val="en-US"/>
        </w:rPr>
        <w:t xml:space="preserve"> et al., 2025). Very limited attention has been given to analyzing MBG as a strategic HRM intervention at the national level, particularly by integrating Human Capital Theory, Strategic Human Resource Management (SHRM), the Ability–Motivation–Opportunity (AMO) framework, and Public Sector HRM perspectives. This gap limits our understanding of how HR governance, implementer capacity, and strategic alignment influence the program’s long-term contribution to human capital development.</w:t>
      </w:r>
    </w:p>
    <w:p w14:paraId="37163D1C" w14:textId="4F809056" w:rsidR="001901AB" w:rsidRPr="001901AB" w:rsidRDefault="001901AB" w:rsidP="001901AB">
      <w:pPr>
        <w:pBdr>
          <w:top w:val="nil"/>
          <w:left w:val="nil"/>
          <w:bottom w:val="nil"/>
          <w:right w:val="nil"/>
          <w:between w:val="nil"/>
        </w:pBdr>
        <w:jc w:val="both"/>
        <w:rPr>
          <w:rFonts w:ascii="Arial" w:eastAsia="Arial" w:hAnsi="Arial" w:cs="Arial"/>
          <w:lang w:val="en-US"/>
        </w:rPr>
      </w:pPr>
      <w:r w:rsidRPr="001901AB">
        <w:rPr>
          <w:rFonts w:ascii="Arial" w:eastAsia="Arial" w:hAnsi="Arial" w:cs="Arial"/>
          <w:lang w:val="en-US"/>
        </w:rPr>
        <w:t>Based on this gap, the present study is guided by the following research questions:</w:t>
      </w:r>
      <w:r>
        <w:rPr>
          <w:rFonts w:ascii="Arial" w:eastAsia="Arial" w:hAnsi="Arial" w:cs="Arial"/>
          <w:lang w:val="en-US"/>
        </w:rPr>
        <w:t xml:space="preserve"> </w:t>
      </w:r>
      <w:r w:rsidRPr="001901AB">
        <w:rPr>
          <w:rFonts w:ascii="Arial" w:eastAsia="Arial" w:hAnsi="Arial" w:cs="Arial"/>
          <w:lang w:val="en-US"/>
        </w:rPr>
        <w:t>(1) How can the MBG program be conceptualized as a macro-level human resource management policy?</w:t>
      </w:r>
      <w:r>
        <w:rPr>
          <w:rFonts w:ascii="Arial" w:eastAsia="Arial" w:hAnsi="Arial" w:cs="Arial"/>
          <w:lang w:val="en-US"/>
        </w:rPr>
        <w:t xml:space="preserve"> </w:t>
      </w:r>
      <w:r w:rsidRPr="001901AB">
        <w:rPr>
          <w:rFonts w:ascii="Arial" w:eastAsia="Arial" w:hAnsi="Arial" w:cs="Arial"/>
          <w:lang w:val="en-US"/>
        </w:rPr>
        <w:t>(2) To what extent does MBG align with human capital, SHRM, and AMO frameworks in supporting long-term human resource development?</w:t>
      </w:r>
      <w:r>
        <w:rPr>
          <w:rFonts w:ascii="Arial" w:eastAsia="Arial" w:hAnsi="Arial" w:cs="Arial"/>
          <w:lang w:val="en-US"/>
        </w:rPr>
        <w:t xml:space="preserve"> </w:t>
      </w:r>
      <w:r w:rsidRPr="001901AB">
        <w:rPr>
          <w:rFonts w:ascii="Arial" w:eastAsia="Arial" w:hAnsi="Arial" w:cs="Arial"/>
          <w:lang w:val="en-US"/>
        </w:rPr>
        <w:t>(3) What HRM-related challenges potentially constrain the effectiveness of MBG in achieving sustainable human capital outcomes?</w:t>
      </w:r>
    </w:p>
    <w:p w14:paraId="6B332DBE" w14:textId="77777777" w:rsidR="001901AB" w:rsidRPr="001901AB" w:rsidRDefault="001901AB" w:rsidP="001901AB">
      <w:pPr>
        <w:pBdr>
          <w:top w:val="nil"/>
          <w:left w:val="nil"/>
          <w:bottom w:val="nil"/>
          <w:right w:val="nil"/>
          <w:between w:val="nil"/>
        </w:pBdr>
        <w:jc w:val="both"/>
        <w:rPr>
          <w:rFonts w:ascii="Arial" w:eastAsia="Arial" w:hAnsi="Arial" w:cs="Arial"/>
          <w:lang w:val="en-US"/>
        </w:rPr>
      </w:pPr>
      <w:r w:rsidRPr="001901AB">
        <w:rPr>
          <w:rFonts w:ascii="Arial" w:eastAsia="Arial" w:hAnsi="Arial" w:cs="Arial"/>
          <w:lang w:val="en-US"/>
        </w:rPr>
        <w:t>Accordingly, the objectives of this study are: (1) to develop a conceptual analysis of MBG as a macro-level HRM intervention; (2) to examine the program’s alignment with key HRM theoretical frameworks, including Human Capital Theory, SHRM, AMO, and Public Sector HRM; and (3) to identify critical HRM and governance challenges that may affect the program’s long-term contribution to Indonesia’s human capital development agenda.</w:t>
      </w:r>
    </w:p>
    <w:p w14:paraId="632BE5F7" w14:textId="48E1E755" w:rsidR="001901AB" w:rsidRPr="001901AB" w:rsidRDefault="001901AB" w:rsidP="001901AB">
      <w:pPr>
        <w:pBdr>
          <w:top w:val="nil"/>
          <w:left w:val="nil"/>
          <w:bottom w:val="nil"/>
          <w:right w:val="nil"/>
          <w:between w:val="nil"/>
        </w:pBdr>
        <w:jc w:val="both"/>
        <w:rPr>
          <w:rFonts w:ascii="Arial" w:eastAsia="Arial" w:hAnsi="Arial" w:cs="Arial"/>
          <w:lang w:val="en-US"/>
        </w:rPr>
      </w:pPr>
      <w:r w:rsidRPr="001901AB">
        <w:rPr>
          <w:rFonts w:ascii="Arial" w:eastAsia="Arial" w:hAnsi="Arial" w:cs="Arial"/>
          <w:lang w:val="en-US"/>
        </w:rPr>
        <w:t>The significance of this study is twofold. Theoretically, it extends the scope of HRM and SHRM scholarship by situating human resource management at the national policy level, thereby bridging micro- and macro-HRM perspectives. Practically, the study offers policy-relevant insights for improving HR governance, strategic coordination, and outcome-based evaluation of large-scale nutrition programs, particularly in support of Indonesia’s long-term development vision of Golden Indonesia 2045.</w:t>
      </w:r>
    </w:p>
    <w:p w14:paraId="6B5480D1"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This paper aims to analyze the MBG Program scientifically using the HR theoretical framework, by identifying its strengths, weaknesses, and management implications for national HR development.</w:t>
      </w:r>
    </w:p>
    <w:p w14:paraId="23DED175" w14:textId="77777777" w:rsidR="008F230A" w:rsidRDefault="008F230A">
      <w:pPr>
        <w:pBdr>
          <w:top w:val="nil"/>
          <w:left w:val="nil"/>
          <w:bottom w:val="nil"/>
          <w:right w:val="nil"/>
          <w:between w:val="nil"/>
        </w:pBdr>
        <w:jc w:val="both"/>
        <w:rPr>
          <w:rFonts w:ascii="Arial" w:eastAsia="Arial" w:hAnsi="Arial" w:cs="Arial"/>
          <w:color w:val="000000"/>
        </w:rPr>
      </w:pPr>
    </w:p>
    <w:p w14:paraId="36162EFA"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methodology</w:t>
      </w:r>
    </w:p>
    <w:p w14:paraId="0C14EC83"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p>
    <w:p w14:paraId="19C22034"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This study uses a qualitative approach with conceptual and critical analysis methods. This approach was chosen because the study aims to analyze the Free Nutritional Meal Program (MBG) as a Human Resource Management (HRM) policy at the macro level, not to test empirical hypotheses, but rather to interpret and evaluate the policy within the framework of long-term human capital development. The data used are secondary data, including government policy documents, official reports from related institutions, and scientific literature in the form of books and journal articles relevant to HRM, public policy, and human resource development. Data collection was carried out through documentation studies and literature studies.</w:t>
      </w:r>
    </w:p>
    <w:p w14:paraId="475A30B9" w14:textId="77777777" w:rsidR="008F230A" w:rsidRDefault="008F230A">
      <w:pPr>
        <w:pBdr>
          <w:top w:val="nil"/>
          <w:left w:val="nil"/>
          <w:bottom w:val="nil"/>
          <w:right w:val="nil"/>
          <w:between w:val="nil"/>
        </w:pBdr>
        <w:jc w:val="both"/>
        <w:rPr>
          <w:rFonts w:ascii="Arial" w:eastAsia="Arial" w:hAnsi="Arial" w:cs="Arial"/>
        </w:rPr>
      </w:pPr>
    </w:p>
    <w:p w14:paraId="6A0C0E22" w14:textId="1EEF2958"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Data analysis was conducted using thematic analysis and conceptual mapping, examining MBG based on the framework of Human Capital Theory, Strategic Human Resource Management (SHRM), Ability–Motivation–Opportunity (AMO) Framework, and public sector HRM. The analysis stages include identifying key themes, grouping issues based on the dimensions of ability, motivation, and opportunity, and developing an analytical framework that explains the relationship between implementing human resource management, program implementation effectiveness, and long-term human capital outcomes. To maintain the </w:t>
      </w:r>
      <w:r>
        <w:rPr>
          <w:rFonts w:ascii="Arial" w:eastAsia="Arial" w:hAnsi="Arial" w:cs="Arial"/>
        </w:rPr>
        <w:lastRenderedPageBreak/>
        <w:t xml:space="preserve">sharpness and consistency of the analysis, this study uses theoretical triangulation by integrating various HRM and public policy perspectives, resulting in a comprehensive understanding of the strategic position of MBG as a macro HRM policy in supporting the Indonesia </w:t>
      </w:r>
      <w:proofErr w:type="spellStart"/>
      <w:r>
        <w:rPr>
          <w:rFonts w:ascii="Arial" w:eastAsia="Arial" w:hAnsi="Arial" w:cs="Arial"/>
        </w:rPr>
        <w:t>Emas</w:t>
      </w:r>
      <w:proofErr w:type="spellEnd"/>
      <w:r>
        <w:rPr>
          <w:rFonts w:ascii="Arial" w:eastAsia="Arial" w:hAnsi="Arial" w:cs="Arial"/>
        </w:rPr>
        <w:t xml:space="preserve"> 2045 agenda.</w:t>
      </w:r>
    </w:p>
    <w:p w14:paraId="03606A9C" w14:textId="77777777" w:rsidR="00011444" w:rsidRPr="00011444" w:rsidRDefault="00011444" w:rsidP="00011444">
      <w:pPr>
        <w:pBdr>
          <w:top w:val="nil"/>
          <w:left w:val="nil"/>
          <w:bottom w:val="nil"/>
          <w:right w:val="nil"/>
          <w:between w:val="nil"/>
        </w:pBdr>
        <w:jc w:val="both"/>
        <w:rPr>
          <w:rFonts w:ascii="Arial" w:eastAsia="Arial" w:hAnsi="Arial" w:cs="Arial"/>
          <w:lang w:val="en-US"/>
        </w:rPr>
      </w:pPr>
      <w:r w:rsidRPr="00011444">
        <w:rPr>
          <w:rFonts w:ascii="Arial" w:eastAsia="Arial" w:hAnsi="Arial" w:cs="Arial"/>
          <w:lang w:val="en-US"/>
        </w:rPr>
        <w:t>This study uses a qualitative research design with an analytical literature approach aimed at developing a conceptual understanding of the Free Nutritious Meal Program (MBG) within the framework of Human Resource Management (HRM). The population analyzed in this study includes government policies related to nutrition and human resource development programs. The sample consists of academic articles published in internationally and nationally indexed journals, as well as official government policy documents that are relevant to the study, focusing on literature published during the period 2019 to 2026.</w:t>
      </w:r>
    </w:p>
    <w:p w14:paraId="24E6884A" w14:textId="77777777" w:rsidR="00011444" w:rsidRPr="00011444" w:rsidRDefault="00011444" w:rsidP="00011444">
      <w:pPr>
        <w:pBdr>
          <w:top w:val="nil"/>
          <w:left w:val="nil"/>
          <w:bottom w:val="nil"/>
          <w:right w:val="nil"/>
          <w:between w:val="nil"/>
        </w:pBdr>
        <w:jc w:val="both"/>
        <w:rPr>
          <w:rFonts w:ascii="Arial" w:eastAsia="Arial" w:hAnsi="Arial" w:cs="Arial"/>
          <w:lang w:val="en-US"/>
        </w:rPr>
      </w:pPr>
      <w:r w:rsidRPr="00011444">
        <w:rPr>
          <w:rFonts w:ascii="Arial" w:eastAsia="Arial" w:hAnsi="Arial" w:cs="Arial"/>
          <w:lang w:val="en-US"/>
        </w:rPr>
        <w:t>The data used in this study is secondary data, which includes journal articles, official government reports, and policy documents published by relevant institutions. Data collection was conducted through documentary studies and a systematic literature review, selecting sources relevant to the implementation of nutrition policies, human resource development, and policy evaluations.</w:t>
      </w:r>
    </w:p>
    <w:p w14:paraId="3B073967" w14:textId="77777777" w:rsidR="00011444" w:rsidRPr="00011444" w:rsidRDefault="00011444" w:rsidP="00011444">
      <w:pPr>
        <w:pBdr>
          <w:top w:val="nil"/>
          <w:left w:val="nil"/>
          <w:bottom w:val="nil"/>
          <w:right w:val="nil"/>
          <w:between w:val="nil"/>
        </w:pBdr>
        <w:jc w:val="both"/>
        <w:rPr>
          <w:rFonts w:ascii="Arial" w:eastAsia="Arial" w:hAnsi="Arial" w:cs="Arial"/>
          <w:lang w:val="en-US"/>
        </w:rPr>
      </w:pPr>
      <w:r w:rsidRPr="00011444">
        <w:rPr>
          <w:rFonts w:ascii="Arial" w:eastAsia="Arial" w:hAnsi="Arial" w:cs="Arial"/>
          <w:lang w:val="en-US"/>
        </w:rPr>
        <w:t>Data analysis was conducted using thematic analysis to identify key themes within the MBG policy and to develop a conceptual mapping that connects this policy with human resource development theories, such as Human Capital Theory, Strategic Human Resource Management (SHRM), and the AMO Framework. This study does not use statistical testing but focuses on qualitative analysis to develop a conceptual model related to the implementation of the MBG policy.</w:t>
      </w:r>
    </w:p>
    <w:p w14:paraId="6B8721E3" w14:textId="77777777" w:rsidR="008F230A" w:rsidRDefault="008F230A">
      <w:pPr>
        <w:pBdr>
          <w:top w:val="nil"/>
          <w:left w:val="nil"/>
          <w:bottom w:val="nil"/>
          <w:right w:val="nil"/>
          <w:between w:val="nil"/>
        </w:pBdr>
        <w:jc w:val="both"/>
        <w:rPr>
          <w:rFonts w:ascii="Arial" w:eastAsia="Arial" w:hAnsi="Arial" w:cs="Arial"/>
        </w:rPr>
      </w:pPr>
    </w:p>
    <w:p w14:paraId="3A2C051D" w14:textId="77777777" w:rsidR="008F230A" w:rsidRDefault="008F230A">
      <w:pPr>
        <w:pBdr>
          <w:top w:val="nil"/>
          <w:left w:val="nil"/>
          <w:bottom w:val="nil"/>
          <w:right w:val="nil"/>
          <w:between w:val="nil"/>
        </w:pBdr>
        <w:jc w:val="both"/>
        <w:rPr>
          <w:rFonts w:ascii="Arial" w:eastAsia="Arial" w:hAnsi="Arial" w:cs="Arial"/>
          <w:color w:val="000000"/>
        </w:rPr>
      </w:pPr>
    </w:p>
    <w:p w14:paraId="45CD08EB" w14:textId="4B4CF7ED"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w:t>
      </w:r>
      <w:r w:rsidR="00EC2938">
        <w:rPr>
          <w:rFonts w:ascii="Arial" w:eastAsia="Arial" w:hAnsi="Arial" w:cs="Arial"/>
          <w:b/>
          <w:bCs/>
          <w:smallCaps/>
          <w:color w:val="000000"/>
          <w:sz w:val="22"/>
          <w:szCs w:val="22"/>
        </w:rPr>
        <w:t>Findings</w:t>
      </w:r>
      <w:bookmarkStart w:id="0" w:name="_GoBack"/>
      <w:bookmarkEnd w:id="0"/>
    </w:p>
    <w:p w14:paraId="65DC01FA" w14:textId="77777777" w:rsidR="008F230A" w:rsidRDefault="008F230A">
      <w:pPr>
        <w:pBdr>
          <w:top w:val="nil"/>
          <w:left w:val="nil"/>
          <w:bottom w:val="nil"/>
          <w:right w:val="nil"/>
          <w:between w:val="nil"/>
        </w:pBdr>
        <w:jc w:val="both"/>
        <w:rPr>
          <w:rFonts w:ascii="Arial" w:eastAsia="Arial" w:hAnsi="Arial" w:cs="Arial"/>
        </w:rPr>
      </w:pPr>
    </w:p>
    <w:p w14:paraId="4444AF28" w14:textId="77777777" w:rsidR="008F230A" w:rsidRDefault="008F76E1">
      <w:pPr>
        <w:jc w:val="both"/>
        <w:rPr>
          <w:rFonts w:ascii="Arial" w:eastAsia="Arial" w:hAnsi="Arial" w:cs="Arial"/>
        </w:rPr>
      </w:pPr>
      <w:r>
        <w:rPr>
          <w:rFonts w:ascii="Arial" w:eastAsia="Arial" w:hAnsi="Arial" w:cs="Arial"/>
          <w:b/>
          <w:bCs/>
          <w:smallCaps/>
          <w:sz w:val="22"/>
          <w:szCs w:val="22"/>
        </w:rPr>
        <w:t xml:space="preserve">3.1 </w:t>
      </w:r>
      <w:r>
        <w:rPr>
          <w:rFonts w:ascii="Arial" w:eastAsia="Arial" w:hAnsi="Arial" w:cs="Arial"/>
          <w:b/>
          <w:bCs/>
          <w:sz w:val="22"/>
          <w:szCs w:val="22"/>
        </w:rPr>
        <w:t>Free Nutritious Meal Program as a Macro Human Resources Policy</w:t>
      </w:r>
    </w:p>
    <w:p w14:paraId="1A007B7C" w14:textId="2C5C9932"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The MBG program can be understood as a macro-level human resource intervention, where the government plays a role as the ecosystem designer for developing future human resources. The program's primary targets are schoolchildren and vulnerable groups, who will, in the long term, become part of the workforce and state apparatus. Key targets include: an economy with a per capita income equivalent to that of developed countries (estimated at USD 23,000–USD 30,300), a demographic bonus by capitalizing on the peak of the demographic bonus with a productive and competent workforce (Bloom et al., 2019), and education with an accelerated 13-year compulsory education program to ensure the quality of Indonesia's superior human resources (Hanushek &amp; </w:t>
      </w:r>
      <w:proofErr w:type="spellStart"/>
      <w:r>
        <w:rPr>
          <w:rFonts w:ascii="Arial" w:eastAsia="Arial" w:hAnsi="Arial" w:cs="Arial"/>
        </w:rPr>
        <w:t>Woessmann</w:t>
      </w:r>
      <w:proofErr w:type="spellEnd"/>
      <w:r>
        <w:rPr>
          <w:rFonts w:ascii="Arial" w:eastAsia="Arial" w:hAnsi="Arial" w:cs="Arial"/>
        </w:rPr>
        <w:t>, 2020).</w:t>
      </w:r>
    </w:p>
    <w:p w14:paraId="1F8DF161" w14:textId="77777777" w:rsidR="008F230A" w:rsidRDefault="008F230A">
      <w:pPr>
        <w:pBdr>
          <w:top w:val="nil"/>
          <w:left w:val="nil"/>
          <w:bottom w:val="nil"/>
          <w:right w:val="nil"/>
          <w:between w:val="nil"/>
        </w:pBdr>
        <w:jc w:val="both"/>
        <w:rPr>
          <w:rFonts w:ascii="Arial" w:eastAsia="Arial" w:hAnsi="Arial" w:cs="Arial"/>
        </w:rPr>
      </w:pPr>
    </w:p>
    <w:p w14:paraId="2371EBF5" w14:textId="7B08B246"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Within the framework of Human Capital Theory, MBG is a form of early-stage investment aimed at improving the quality of human resource input (Cunha et al., 2021). However, unlike conventional HR policies that focus on employees, MBG operates in the pre-employment phase, so its impact is latent and long-term.</w:t>
      </w:r>
    </w:p>
    <w:p w14:paraId="6475E80C" w14:textId="77777777" w:rsidR="008F230A" w:rsidRDefault="008F230A">
      <w:pPr>
        <w:pBdr>
          <w:top w:val="nil"/>
          <w:left w:val="nil"/>
          <w:bottom w:val="nil"/>
          <w:right w:val="nil"/>
          <w:between w:val="nil"/>
        </w:pBdr>
        <w:jc w:val="both"/>
        <w:rPr>
          <w:rFonts w:ascii="Arial" w:eastAsia="Arial" w:hAnsi="Arial" w:cs="Arial"/>
        </w:rPr>
      </w:pPr>
    </w:p>
    <w:p w14:paraId="1A541098" w14:textId="620FBB8D"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MBG program has the potential to improve human capital quality by improving nutritional status, which impacts children's cognitive development and health (Alderman et al., 20</w:t>
      </w:r>
      <w:r w:rsidR="004B35D7">
        <w:rPr>
          <w:rFonts w:ascii="Arial" w:eastAsia="Arial" w:hAnsi="Arial" w:cs="Arial"/>
        </w:rPr>
        <w:t>06</w:t>
      </w:r>
      <w:r>
        <w:rPr>
          <w:rFonts w:ascii="Arial" w:eastAsia="Arial" w:hAnsi="Arial" w:cs="Arial"/>
        </w:rPr>
        <w:t xml:space="preserve">; </w:t>
      </w:r>
      <w:proofErr w:type="spellStart"/>
      <w:r>
        <w:rPr>
          <w:rFonts w:ascii="Arial" w:eastAsia="Arial" w:hAnsi="Arial" w:cs="Arial"/>
        </w:rPr>
        <w:t>Victora</w:t>
      </w:r>
      <w:proofErr w:type="spellEnd"/>
      <w:r>
        <w:rPr>
          <w:rFonts w:ascii="Arial" w:eastAsia="Arial" w:hAnsi="Arial" w:cs="Arial"/>
        </w:rPr>
        <w:t xml:space="preserve"> et al., 2021). However, program evaluations have focused on outputs (number of recipients, quantity of food) and have not systematically measured human capital outcomes such as improved learning ability or reduced long-term health problems (Rossi et al., 2019; OECD, 2020).</w:t>
      </w:r>
    </w:p>
    <w:p w14:paraId="260D50D7" w14:textId="77777777" w:rsidR="008F230A" w:rsidRDefault="008F230A">
      <w:pPr>
        <w:pBdr>
          <w:top w:val="nil"/>
          <w:left w:val="nil"/>
          <w:bottom w:val="nil"/>
          <w:right w:val="nil"/>
          <w:between w:val="nil"/>
        </w:pBdr>
        <w:jc w:val="both"/>
        <w:rPr>
          <w:rFonts w:ascii="Arial" w:eastAsia="Arial" w:hAnsi="Arial" w:cs="Arial"/>
        </w:rPr>
      </w:pPr>
    </w:p>
    <w:p w14:paraId="67E315BB" w14:textId="7AA6CEBD"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From a Strategic Human Resource Management (SHRM) perspective, MBG should be integrated with education, health, and employment policies (</w:t>
      </w:r>
      <w:proofErr w:type="spellStart"/>
      <w:r>
        <w:rPr>
          <w:rFonts w:ascii="Arial" w:eastAsia="Arial" w:hAnsi="Arial" w:cs="Arial"/>
        </w:rPr>
        <w:t>Lengnick</w:t>
      </w:r>
      <w:proofErr w:type="spellEnd"/>
      <w:r>
        <w:rPr>
          <w:rFonts w:ascii="Arial" w:eastAsia="Arial" w:hAnsi="Arial" w:cs="Arial"/>
        </w:rPr>
        <w:t>-Hall et al., 2021). Institutional fragmentation and limited cross-sectoral coordination indicate that strategic alignment between national HR policies is still suboptimal.</w:t>
      </w:r>
    </w:p>
    <w:p w14:paraId="0DC587AB" w14:textId="77777777" w:rsidR="008F230A" w:rsidRDefault="008F230A">
      <w:pPr>
        <w:pBdr>
          <w:top w:val="nil"/>
          <w:left w:val="nil"/>
          <w:bottom w:val="nil"/>
          <w:right w:val="nil"/>
          <w:between w:val="nil"/>
        </w:pBdr>
        <w:jc w:val="both"/>
        <w:rPr>
          <w:rFonts w:ascii="Arial" w:eastAsia="Arial" w:hAnsi="Arial" w:cs="Arial"/>
        </w:rPr>
      </w:pPr>
    </w:p>
    <w:p w14:paraId="6DF271B3" w14:textId="14434CAB"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In terms of ability, the MBG program contributes positively through improved nutrition. In terms of motivation, this program can increase children's attendance and engagement in school. However, in terms of opportunity, disparities in access and quality of services between regions have the potential to reduce the program's overall effectiveness </w:t>
      </w:r>
      <w:proofErr w:type="gramStart"/>
      <w:r>
        <w:rPr>
          <w:rFonts w:ascii="Arial" w:eastAsia="Arial" w:hAnsi="Arial" w:cs="Arial"/>
        </w:rPr>
        <w:t>( Boxall</w:t>
      </w:r>
      <w:proofErr w:type="gramEnd"/>
      <w:r>
        <w:rPr>
          <w:rFonts w:ascii="Arial" w:eastAsia="Arial" w:hAnsi="Arial" w:cs="Arial"/>
        </w:rPr>
        <w:t xml:space="preserve"> et al., 2020). The success of the MBG program depends heavily on the quality of the implementing human resources, including government officials, nutrition workers, and local partners. Challenges include competency gaps, additional workloads, and limited standardized training systems (Andrews et al., 2019).</w:t>
      </w:r>
    </w:p>
    <w:p w14:paraId="0900E448" w14:textId="77777777" w:rsidR="008F230A" w:rsidRDefault="008F230A">
      <w:pPr>
        <w:spacing w:after="160" w:line="278" w:lineRule="auto"/>
        <w:jc w:val="both"/>
        <w:rPr>
          <w:rFonts w:ascii="Calibri" w:eastAsia="Calibri" w:hAnsi="Calibri" w:cs="Calibri"/>
          <w:sz w:val="24"/>
          <w:szCs w:val="24"/>
        </w:rPr>
      </w:pPr>
    </w:p>
    <w:p w14:paraId="02424233" w14:textId="77777777" w:rsidR="008F230A" w:rsidRDefault="008F76E1">
      <w:pPr>
        <w:jc w:val="both"/>
        <w:rPr>
          <w:rFonts w:ascii="Arial" w:eastAsia="Arial" w:hAnsi="Arial" w:cs="Arial"/>
          <w:b/>
          <w:bCs/>
          <w:sz w:val="22"/>
          <w:szCs w:val="22"/>
        </w:rPr>
      </w:pPr>
      <w:r>
        <w:rPr>
          <w:rFonts w:ascii="Arial" w:eastAsia="Arial" w:hAnsi="Arial" w:cs="Arial"/>
          <w:b/>
          <w:bCs/>
          <w:smallCaps/>
          <w:sz w:val="22"/>
          <w:szCs w:val="22"/>
        </w:rPr>
        <w:t xml:space="preserve">3.2 </w:t>
      </w:r>
      <w:r>
        <w:rPr>
          <w:rFonts w:ascii="Arial" w:eastAsia="Arial" w:hAnsi="Arial" w:cs="Arial"/>
          <w:b/>
          <w:bCs/>
          <w:sz w:val="22"/>
          <w:szCs w:val="22"/>
        </w:rPr>
        <w:t>Conceptual Model and Analytical Framework Development</w:t>
      </w:r>
    </w:p>
    <w:p w14:paraId="42F2602A" w14:textId="77777777" w:rsidR="008F230A" w:rsidRDefault="008F76E1">
      <w:pPr>
        <w:jc w:val="both"/>
        <w:rPr>
          <w:rFonts w:ascii="Arial" w:eastAsia="Arial" w:hAnsi="Arial" w:cs="Arial"/>
        </w:rPr>
      </w:pPr>
      <w:r>
        <w:rPr>
          <w:rFonts w:ascii="Arial" w:eastAsia="Arial" w:hAnsi="Arial" w:cs="Arial"/>
          <w:b/>
          <w:bCs/>
          <w:u w:val="single"/>
        </w:rPr>
        <w:t>3.2.1 Conceptual Model of Human Resources for the Free Nutritious Meal Program</w:t>
      </w:r>
    </w:p>
    <w:p w14:paraId="67600998" w14:textId="746859D4"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To strengthen the analysis of the Free Nutritional Meal Program (MBG), a macro-conceptual model of Human Resources Management (HRM) can be formulated. This model places the quality of human resource management as a key factor influencing the effectiveness of program implementation and long-term human capital outcomes (</w:t>
      </w:r>
      <w:proofErr w:type="spellStart"/>
      <w:r>
        <w:rPr>
          <w:rFonts w:ascii="Arial" w:eastAsia="Arial" w:hAnsi="Arial" w:cs="Arial"/>
        </w:rPr>
        <w:t>Lengnick</w:t>
      </w:r>
      <w:proofErr w:type="spellEnd"/>
      <w:r>
        <w:rPr>
          <w:rFonts w:ascii="Arial" w:eastAsia="Arial" w:hAnsi="Arial" w:cs="Arial"/>
        </w:rPr>
        <w:t>-Hall et al., 2021) with Human Resource Management of the MBG Program, Effectiveness of Program Implementation with National Human Capital Outcomes. HRM is an integrated process aimed at achieving organizational effectiveness through human resource management</w:t>
      </w:r>
      <w:r w:rsidR="00976C3D">
        <w:rPr>
          <w:rFonts w:ascii="Arial" w:eastAsia="Arial" w:hAnsi="Arial" w:cs="Arial"/>
        </w:rPr>
        <w:t xml:space="preserve">. </w:t>
      </w:r>
      <w:r>
        <w:rPr>
          <w:rFonts w:ascii="Arial" w:eastAsia="Arial" w:hAnsi="Arial" w:cs="Arial"/>
        </w:rPr>
        <w:t>The MBG Program HRD is the competency of implementers, training, workload, incentive system, and leadership where the effectiveness of Program Implementation is stated in the accuracy of targets, quality of nutrition services, consistency of distribution, and cross-sector coordination (Boxall et al., 2020), and in the form of Human Capital Outcomes, namely nutritional status, cognitive abilities, learning readiness, and long-term productivity (</w:t>
      </w:r>
      <w:proofErr w:type="spellStart"/>
      <w:r>
        <w:rPr>
          <w:rFonts w:ascii="Arial" w:eastAsia="Arial" w:hAnsi="Arial" w:cs="Arial"/>
        </w:rPr>
        <w:t>Victora</w:t>
      </w:r>
      <w:proofErr w:type="spellEnd"/>
      <w:r>
        <w:rPr>
          <w:rFonts w:ascii="Arial" w:eastAsia="Arial" w:hAnsi="Arial" w:cs="Arial"/>
        </w:rPr>
        <w:t xml:space="preserve"> et al., 2021).</w:t>
      </w:r>
    </w:p>
    <w:p w14:paraId="6A5CF0FF" w14:textId="77777777" w:rsidR="008F230A" w:rsidRDefault="008F230A">
      <w:pPr>
        <w:pBdr>
          <w:top w:val="nil"/>
          <w:left w:val="nil"/>
          <w:bottom w:val="nil"/>
          <w:right w:val="nil"/>
          <w:between w:val="nil"/>
        </w:pBdr>
        <w:jc w:val="both"/>
        <w:rPr>
          <w:rFonts w:ascii="Arial" w:eastAsia="Arial" w:hAnsi="Arial" w:cs="Arial"/>
        </w:rPr>
      </w:pPr>
    </w:p>
    <w:p w14:paraId="0A964C3E" w14:textId="74E1095F"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The Main Pillars of Golden Indonesia 2045 (Law No. 59 of 2024) are stated as: Human Development and knowledge in facilitating modernization, global communication, and driving economic and social growth, but also carrying the risk of negative impacts (Hanushek &amp; </w:t>
      </w:r>
      <w:proofErr w:type="spellStart"/>
      <w:r>
        <w:rPr>
          <w:rFonts w:ascii="Arial" w:eastAsia="Arial" w:hAnsi="Arial" w:cs="Arial"/>
        </w:rPr>
        <w:t>Woessmann</w:t>
      </w:r>
      <w:proofErr w:type="spellEnd"/>
      <w:r>
        <w:rPr>
          <w:rFonts w:ascii="Arial" w:eastAsia="Arial" w:hAnsi="Arial" w:cs="Arial"/>
        </w:rPr>
        <w:t>, 2020). The four pillars are: Pillar 1, namely creating intelligent, innovative, strong-character, and healthy human resources (OECD, 2020), Pillar 2, namely Sustainable Economic Development: Transformation towards a high-income country with a strong processing industry and maritime economy (Bloom et al., 2019), Pillar 3, namely equitable development: Inclusive development, not only centered in Java, but reaching all regions of Indonesia, and Pillar 4, namely National Resilience and Governance: Effective, transparent, and strong governance in food security, energy, and defense (Andrews et al., 2019).</w:t>
      </w:r>
    </w:p>
    <w:p w14:paraId="42F7A5B0" w14:textId="77777777" w:rsidR="008F230A" w:rsidRDefault="008F230A">
      <w:pPr>
        <w:pBdr>
          <w:top w:val="nil"/>
          <w:left w:val="nil"/>
          <w:bottom w:val="nil"/>
          <w:right w:val="nil"/>
          <w:between w:val="nil"/>
        </w:pBdr>
        <w:jc w:val="both"/>
        <w:rPr>
          <w:rFonts w:ascii="Arial" w:eastAsia="Arial" w:hAnsi="Arial" w:cs="Arial"/>
        </w:rPr>
      </w:pPr>
    </w:p>
    <w:p w14:paraId="319C2F80" w14:textId="624B078F"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model emphasizes that the success of MBG as a government policy, HRD is not only determined by the program design that has been prepared, but by the quality of HR management that carries out its duties and functions in the implementation of MBG (</w:t>
      </w:r>
      <w:proofErr w:type="spellStart"/>
      <w:r>
        <w:rPr>
          <w:rFonts w:ascii="Arial" w:eastAsia="Arial" w:hAnsi="Arial" w:cs="Arial"/>
        </w:rPr>
        <w:t>Lengnick</w:t>
      </w:r>
      <w:proofErr w:type="spellEnd"/>
      <w:r>
        <w:rPr>
          <w:rFonts w:ascii="Arial" w:eastAsia="Arial" w:hAnsi="Arial" w:cs="Arial"/>
        </w:rPr>
        <w:t>-Hall et al., 2021).</w:t>
      </w:r>
    </w:p>
    <w:p w14:paraId="4FD6FDD1" w14:textId="77777777" w:rsidR="008F230A" w:rsidRDefault="008F230A">
      <w:pPr>
        <w:pBdr>
          <w:top w:val="nil"/>
          <w:left w:val="nil"/>
          <w:bottom w:val="nil"/>
          <w:right w:val="nil"/>
          <w:between w:val="nil"/>
        </w:pBdr>
        <w:jc w:val="both"/>
        <w:rPr>
          <w:rFonts w:ascii="Arial" w:eastAsia="Arial" w:hAnsi="Arial" w:cs="Arial"/>
        </w:rPr>
      </w:pPr>
    </w:p>
    <w:p w14:paraId="05D41D3C" w14:textId="77777777" w:rsidR="008F230A" w:rsidRDefault="008F76E1">
      <w:pPr>
        <w:jc w:val="both"/>
        <w:rPr>
          <w:rFonts w:ascii="Arial" w:eastAsia="Arial" w:hAnsi="Arial" w:cs="Arial"/>
        </w:rPr>
      </w:pPr>
      <w:r>
        <w:rPr>
          <w:rFonts w:ascii="Arial" w:eastAsia="Arial" w:hAnsi="Arial" w:cs="Arial"/>
          <w:b/>
          <w:bCs/>
          <w:u w:val="single"/>
        </w:rPr>
        <w:t>3.2.2 HR-Based Conceptual Framework</w:t>
      </w:r>
    </w:p>
    <w:p w14:paraId="35724643"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main achievements of the MBG program with a broad scope based on HR performance basically include:</w:t>
      </w:r>
    </w:p>
    <w:p w14:paraId="7BFE4C68" w14:textId="77777777"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Success Rate: Based on statistical evaluation, MBG achieved a success rate of 99.99% with a minimal rate of poisoning cases (0.005%) (OECD, 2020; Rossi et al., 2019).</w:t>
      </w:r>
    </w:p>
    <w:p w14:paraId="65C62A57" w14:textId="783165C3"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Target Beneficiaries: This program has reached 55 million to 59.8 million beneficiaries (school children, pregnant women, breastfeeding women, and the elderly) as of January 2026.</w:t>
      </w:r>
    </w:p>
    <w:p w14:paraId="7E532F7B" w14:textId="109AED49"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 xml:space="preserve">Public Kitchens: There were 21,102 kitchens serving meals daily nationwide as of 2026 </w:t>
      </w:r>
    </w:p>
    <w:p w14:paraId="585186C1" w14:textId="776DDDA4"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lastRenderedPageBreak/>
        <w:t>Economic Impact: This program created 290 thousand new jobs and involved local farmers, fishermen, livestock breeders, and MSMEs.</w:t>
      </w:r>
    </w:p>
    <w:p w14:paraId="4AAB8ABB" w14:textId="77777777" w:rsidR="008F230A" w:rsidRDefault="008F76E1">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Budget: The budget allocated for the MBG program in 2026 reached IDR 335 trillion (OECD, 2020).</w:t>
      </w:r>
    </w:p>
    <w:p w14:paraId="31F60200" w14:textId="18988F4F"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table below summarizes the relationship between HR theory and the components of MBG Program success (Boxall et al., 2020).</w:t>
      </w:r>
    </w:p>
    <w:p w14:paraId="25B561DF" w14:textId="2AB0EF46" w:rsidR="00C50506" w:rsidRDefault="00C50506">
      <w:pPr>
        <w:pBdr>
          <w:top w:val="nil"/>
          <w:left w:val="nil"/>
          <w:bottom w:val="nil"/>
          <w:right w:val="nil"/>
          <w:between w:val="nil"/>
        </w:pBdr>
        <w:jc w:val="both"/>
        <w:rPr>
          <w:rFonts w:ascii="Arial" w:eastAsia="Arial" w:hAnsi="Arial" w:cs="Arial"/>
        </w:rPr>
      </w:pPr>
      <w:r>
        <w:rPr>
          <w:rFonts w:ascii="Arial" w:eastAsia="Arial" w:hAnsi="Arial" w:cs="Arial"/>
        </w:rPr>
        <w:t>Table 1-</w:t>
      </w:r>
      <w:r w:rsidR="00057315">
        <w:rPr>
          <w:rFonts w:ascii="Arial" w:eastAsia="Arial" w:hAnsi="Arial" w:cs="Arial"/>
        </w:rPr>
        <w:t xml:space="preserve"> Relationship between HR theory and the components of MBG Program success</w:t>
      </w:r>
    </w:p>
    <w:p w14:paraId="45B77A37" w14:textId="77777777" w:rsidR="008F230A" w:rsidRDefault="008F230A">
      <w:pPr>
        <w:pBdr>
          <w:top w:val="nil"/>
          <w:left w:val="nil"/>
          <w:bottom w:val="nil"/>
          <w:right w:val="nil"/>
          <w:between w:val="nil"/>
        </w:pBdr>
        <w:jc w:val="both"/>
        <w:rPr>
          <w:rFonts w:ascii="Arial" w:eastAsia="Arial" w:hAnsi="Arial" w:cs="Arial"/>
        </w:rPr>
      </w:pPr>
    </w:p>
    <w:tbl>
      <w:tblPr>
        <w:tblStyle w:val="1"/>
        <w:tblW w:w="8165" w:type="dxa"/>
        <w:tblInd w:w="0" w:type="dxa"/>
        <w:tblLayout w:type="fixed"/>
        <w:tblLook w:val="0400" w:firstRow="0" w:lastRow="0" w:firstColumn="0" w:lastColumn="0" w:noHBand="0" w:noVBand="1"/>
      </w:tblPr>
      <w:tblGrid>
        <w:gridCol w:w="1440"/>
        <w:gridCol w:w="1725"/>
        <w:gridCol w:w="2789"/>
        <w:gridCol w:w="2211"/>
      </w:tblGrid>
      <w:tr w:rsidR="008F230A" w14:paraId="1366550C" w14:textId="77777777">
        <w:tc>
          <w:tcPr>
            <w:tcW w:w="1440" w:type="dxa"/>
            <w:tcBorders>
              <w:top w:val="single" w:sz="4" w:space="0" w:color="000000"/>
              <w:bottom w:val="single" w:sz="4" w:space="0" w:color="000000"/>
            </w:tcBorders>
            <w:vAlign w:val="center"/>
          </w:tcPr>
          <w:p w14:paraId="2AD85D02" w14:textId="77777777" w:rsidR="008F230A" w:rsidRDefault="008F76E1">
            <w:pPr>
              <w:pBdr>
                <w:top w:val="nil"/>
                <w:left w:val="nil"/>
                <w:bottom w:val="nil"/>
                <w:right w:val="nil"/>
                <w:between w:val="nil"/>
              </w:pBdr>
              <w:jc w:val="both"/>
              <w:rPr>
                <w:rFonts w:ascii="Arial" w:eastAsia="Arial" w:hAnsi="Arial" w:cs="Arial"/>
                <w:b/>
                <w:bCs/>
              </w:rPr>
            </w:pPr>
            <w:r>
              <w:rPr>
                <w:rFonts w:ascii="Arial" w:eastAsia="Arial" w:hAnsi="Arial" w:cs="Arial"/>
                <w:b/>
                <w:bCs/>
              </w:rPr>
              <w:t>HR Theory</w:t>
            </w:r>
          </w:p>
        </w:tc>
        <w:tc>
          <w:tcPr>
            <w:tcW w:w="1725" w:type="dxa"/>
            <w:tcBorders>
              <w:top w:val="single" w:sz="4" w:space="0" w:color="000000"/>
              <w:bottom w:val="single" w:sz="4" w:space="0" w:color="000000"/>
            </w:tcBorders>
            <w:vAlign w:val="center"/>
          </w:tcPr>
          <w:p w14:paraId="4974E513" w14:textId="77777777" w:rsidR="008F230A" w:rsidRDefault="008F76E1">
            <w:pPr>
              <w:pBdr>
                <w:top w:val="nil"/>
                <w:left w:val="nil"/>
                <w:bottom w:val="nil"/>
                <w:right w:val="nil"/>
                <w:between w:val="nil"/>
              </w:pBdr>
              <w:jc w:val="both"/>
              <w:rPr>
                <w:rFonts w:ascii="Arial" w:eastAsia="Arial" w:hAnsi="Arial" w:cs="Arial"/>
                <w:b/>
                <w:bCs/>
              </w:rPr>
            </w:pPr>
            <w:r>
              <w:rPr>
                <w:rFonts w:ascii="Arial" w:eastAsia="Arial" w:hAnsi="Arial" w:cs="Arial"/>
                <w:b/>
                <w:bCs/>
              </w:rPr>
              <w:t>Key Concepts</w:t>
            </w:r>
          </w:p>
        </w:tc>
        <w:tc>
          <w:tcPr>
            <w:tcW w:w="2789" w:type="dxa"/>
            <w:tcBorders>
              <w:top w:val="single" w:sz="4" w:space="0" w:color="000000"/>
              <w:bottom w:val="single" w:sz="4" w:space="0" w:color="000000"/>
            </w:tcBorders>
            <w:vAlign w:val="center"/>
          </w:tcPr>
          <w:p w14:paraId="2484F175" w14:textId="77777777" w:rsidR="008F230A" w:rsidRDefault="008F76E1">
            <w:pPr>
              <w:pBdr>
                <w:top w:val="nil"/>
                <w:left w:val="nil"/>
                <w:bottom w:val="nil"/>
                <w:right w:val="nil"/>
                <w:between w:val="nil"/>
              </w:pBdr>
              <w:jc w:val="both"/>
              <w:rPr>
                <w:rFonts w:ascii="Arial" w:eastAsia="Arial" w:hAnsi="Arial" w:cs="Arial"/>
                <w:b/>
                <w:bCs/>
              </w:rPr>
            </w:pPr>
            <w:r>
              <w:rPr>
                <w:rFonts w:ascii="Arial" w:eastAsia="Arial" w:hAnsi="Arial" w:cs="Arial"/>
                <w:b/>
                <w:bCs/>
              </w:rPr>
              <w:t>Applications in the MBG Program</w:t>
            </w:r>
          </w:p>
        </w:tc>
        <w:tc>
          <w:tcPr>
            <w:tcW w:w="2211" w:type="dxa"/>
            <w:tcBorders>
              <w:top w:val="single" w:sz="4" w:space="0" w:color="000000"/>
              <w:bottom w:val="single" w:sz="4" w:space="0" w:color="000000"/>
            </w:tcBorders>
            <w:vAlign w:val="center"/>
          </w:tcPr>
          <w:p w14:paraId="1B2FCA08" w14:textId="77777777" w:rsidR="008F230A" w:rsidRDefault="008F76E1">
            <w:pPr>
              <w:pBdr>
                <w:top w:val="nil"/>
                <w:left w:val="nil"/>
                <w:bottom w:val="nil"/>
                <w:right w:val="nil"/>
                <w:between w:val="nil"/>
              </w:pBdr>
              <w:jc w:val="both"/>
              <w:rPr>
                <w:rFonts w:ascii="Arial" w:eastAsia="Arial" w:hAnsi="Arial" w:cs="Arial"/>
                <w:b/>
                <w:bCs/>
              </w:rPr>
            </w:pPr>
            <w:r>
              <w:rPr>
                <w:rFonts w:ascii="Arial" w:eastAsia="Arial" w:hAnsi="Arial" w:cs="Arial"/>
                <w:b/>
                <w:bCs/>
              </w:rPr>
              <w:t>HR Implications</w:t>
            </w:r>
          </w:p>
        </w:tc>
      </w:tr>
      <w:tr w:rsidR="008F230A" w14:paraId="50531AEB" w14:textId="77777777">
        <w:tc>
          <w:tcPr>
            <w:tcW w:w="1440" w:type="dxa"/>
            <w:tcBorders>
              <w:top w:val="single" w:sz="4" w:space="0" w:color="000000"/>
              <w:bottom w:val="single" w:sz="4" w:space="0" w:color="000000"/>
            </w:tcBorders>
            <w:vAlign w:val="center"/>
          </w:tcPr>
          <w:p w14:paraId="57D9736B"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Human Capital Theory</w:t>
            </w:r>
          </w:p>
        </w:tc>
        <w:tc>
          <w:tcPr>
            <w:tcW w:w="1725" w:type="dxa"/>
            <w:tcBorders>
              <w:top w:val="single" w:sz="4" w:space="0" w:color="000000"/>
              <w:bottom w:val="single" w:sz="4" w:space="0" w:color="000000"/>
            </w:tcBorders>
            <w:vAlign w:val="center"/>
          </w:tcPr>
          <w:p w14:paraId="4C2DA35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Human Resources Investment</w:t>
            </w:r>
          </w:p>
        </w:tc>
        <w:tc>
          <w:tcPr>
            <w:tcW w:w="2789" w:type="dxa"/>
            <w:tcBorders>
              <w:top w:val="single" w:sz="4" w:space="0" w:color="000000"/>
              <w:bottom w:val="single" w:sz="4" w:space="0" w:color="000000"/>
            </w:tcBorders>
            <w:vAlign w:val="center"/>
          </w:tcPr>
          <w:p w14:paraId="0DE027C9"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Fulfillment of nutritional needs for improving the nutrition of school children, pregnant women, and the elderly</w:t>
            </w:r>
          </w:p>
        </w:tc>
        <w:tc>
          <w:tcPr>
            <w:tcW w:w="2211" w:type="dxa"/>
            <w:tcBorders>
              <w:top w:val="single" w:sz="4" w:space="0" w:color="000000"/>
              <w:bottom w:val="single" w:sz="4" w:space="0" w:color="000000"/>
            </w:tcBorders>
            <w:vAlign w:val="center"/>
          </w:tcPr>
          <w:p w14:paraId="6B63021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Long-term improvement of human resource quality</w:t>
            </w:r>
          </w:p>
        </w:tc>
      </w:tr>
      <w:tr w:rsidR="008F230A" w14:paraId="58057A62" w14:textId="77777777">
        <w:tc>
          <w:tcPr>
            <w:tcW w:w="1440" w:type="dxa"/>
            <w:tcBorders>
              <w:top w:val="single" w:sz="4" w:space="0" w:color="000000"/>
              <w:bottom w:val="single" w:sz="4" w:space="0" w:color="000000"/>
            </w:tcBorders>
            <w:vAlign w:val="center"/>
          </w:tcPr>
          <w:p w14:paraId="1F3C93FF"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SHRM</w:t>
            </w:r>
          </w:p>
        </w:tc>
        <w:tc>
          <w:tcPr>
            <w:tcW w:w="1725" w:type="dxa"/>
            <w:tcBorders>
              <w:top w:val="single" w:sz="4" w:space="0" w:color="000000"/>
              <w:bottom w:val="single" w:sz="4" w:space="0" w:color="000000"/>
            </w:tcBorders>
            <w:vAlign w:val="center"/>
          </w:tcPr>
          <w:p w14:paraId="72066351"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Strategic alignment</w:t>
            </w:r>
          </w:p>
        </w:tc>
        <w:tc>
          <w:tcPr>
            <w:tcW w:w="2789" w:type="dxa"/>
            <w:tcBorders>
              <w:top w:val="single" w:sz="4" w:space="0" w:color="000000"/>
              <w:bottom w:val="single" w:sz="4" w:space="0" w:color="000000"/>
            </w:tcBorders>
            <w:vAlign w:val="center"/>
          </w:tcPr>
          <w:p w14:paraId="7A1D17C7"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Integration of MBG with national HR policies</w:t>
            </w:r>
          </w:p>
        </w:tc>
        <w:tc>
          <w:tcPr>
            <w:tcW w:w="2211" w:type="dxa"/>
            <w:tcBorders>
              <w:top w:val="single" w:sz="4" w:space="0" w:color="000000"/>
              <w:bottom w:val="single" w:sz="4" w:space="0" w:color="000000"/>
            </w:tcBorders>
            <w:vAlign w:val="center"/>
          </w:tcPr>
          <w:p w14:paraId="49262926"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need for cross-sector coordination</w:t>
            </w:r>
          </w:p>
        </w:tc>
      </w:tr>
      <w:tr w:rsidR="008F230A" w14:paraId="12326399" w14:textId="77777777">
        <w:tc>
          <w:tcPr>
            <w:tcW w:w="1440" w:type="dxa"/>
            <w:tcBorders>
              <w:top w:val="single" w:sz="4" w:space="0" w:color="000000"/>
              <w:bottom w:val="single" w:sz="4" w:space="0" w:color="000000"/>
            </w:tcBorders>
            <w:vAlign w:val="center"/>
          </w:tcPr>
          <w:p w14:paraId="6534EACD"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AMO Framework</w:t>
            </w:r>
          </w:p>
        </w:tc>
        <w:tc>
          <w:tcPr>
            <w:tcW w:w="1725" w:type="dxa"/>
            <w:tcBorders>
              <w:top w:val="single" w:sz="4" w:space="0" w:color="000000"/>
              <w:bottom w:val="single" w:sz="4" w:space="0" w:color="000000"/>
            </w:tcBorders>
            <w:vAlign w:val="center"/>
          </w:tcPr>
          <w:p w14:paraId="3A209536"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Ability, Motivation, Opportunity</w:t>
            </w:r>
          </w:p>
        </w:tc>
        <w:tc>
          <w:tcPr>
            <w:tcW w:w="2789" w:type="dxa"/>
            <w:tcBorders>
              <w:top w:val="single" w:sz="4" w:space="0" w:color="000000"/>
              <w:bottom w:val="single" w:sz="4" w:space="0" w:color="000000"/>
            </w:tcBorders>
            <w:vAlign w:val="center"/>
          </w:tcPr>
          <w:p w14:paraId="0F09113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Nutrition (ability), school attendance (motivation), access to services (opportunity)</w:t>
            </w:r>
          </w:p>
        </w:tc>
        <w:tc>
          <w:tcPr>
            <w:tcW w:w="2211" w:type="dxa"/>
            <w:tcBorders>
              <w:top w:val="single" w:sz="4" w:space="0" w:color="000000"/>
              <w:bottom w:val="single" w:sz="4" w:space="0" w:color="000000"/>
            </w:tcBorders>
            <w:vAlign w:val="center"/>
          </w:tcPr>
          <w:p w14:paraId="69E5065F"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Inequality of opportunity reduces effectiveness</w:t>
            </w:r>
          </w:p>
        </w:tc>
      </w:tr>
      <w:tr w:rsidR="008F230A" w14:paraId="5DD6504F" w14:textId="77777777">
        <w:tc>
          <w:tcPr>
            <w:tcW w:w="1440" w:type="dxa"/>
            <w:tcBorders>
              <w:top w:val="single" w:sz="4" w:space="0" w:color="000000"/>
              <w:bottom w:val="single" w:sz="4" w:space="0" w:color="000000"/>
            </w:tcBorders>
            <w:vAlign w:val="center"/>
          </w:tcPr>
          <w:p w14:paraId="3223AC70"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Public HR</w:t>
            </w:r>
          </w:p>
        </w:tc>
        <w:tc>
          <w:tcPr>
            <w:tcW w:w="1725" w:type="dxa"/>
            <w:tcBorders>
              <w:top w:val="single" w:sz="4" w:space="0" w:color="000000"/>
              <w:bottom w:val="single" w:sz="4" w:space="0" w:color="000000"/>
            </w:tcBorders>
            <w:vAlign w:val="center"/>
          </w:tcPr>
          <w:p w14:paraId="1D9B25F2"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Apparatus capacity</w:t>
            </w:r>
          </w:p>
        </w:tc>
        <w:tc>
          <w:tcPr>
            <w:tcW w:w="2789" w:type="dxa"/>
            <w:tcBorders>
              <w:top w:val="single" w:sz="4" w:space="0" w:color="000000"/>
              <w:bottom w:val="single" w:sz="4" w:space="0" w:color="000000"/>
            </w:tcBorders>
            <w:vAlign w:val="center"/>
          </w:tcPr>
          <w:p w14:paraId="640B85E9"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Competence of ASN and nutritionists</w:t>
            </w:r>
          </w:p>
        </w:tc>
        <w:tc>
          <w:tcPr>
            <w:tcW w:w="2211" w:type="dxa"/>
            <w:tcBorders>
              <w:top w:val="single" w:sz="4" w:space="0" w:color="000000"/>
              <w:bottom w:val="single" w:sz="4" w:space="0" w:color="000000"/>
            </w:tcBorders>
            <w:vAlign w:val="center"/>
          </w:tcPr>
          <w:p w14:paraId="291D230C" w14:textId="77777777"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need for training and competency standards</w:t>
            </w:r>
          </w:p>
        </w:tc>
      </w:tr>
    </w:tbl>
    <w:p w14:paraId="01D3D573" w14:textId="2C754040" w:rsidR="008F230A" w:rsidRDefault="008F230A">
      <w:pPr>
        <w:spacing w:after="160" w:line="278" w:lineRule="auto"/>
        <w:jc w:val="both"/>
        <w:rPr>
          <w:rFonts w:ascii="Calibri" w:eastAsia="Calibri" w:hAnsi="Calibri" w:cs="Calibri"/>
          <w:b/>
          <w:bCs/>
          <w:sz w:val="24"/>
          <w:szCs w:val="24"/>
        </w:rPr>
      </w:pPr>
    </w:p>
    <w:p w14:paraId="1C29F86D" w14:textId="179ABB21" w:rsidR="00021FBC" w:rsidRPr="00021FBC" w:rsidRDefault="00021FBC" w:rsidP="00021FBC">
      <w:pPr>
        <w:pBdr>
          <w:top w:val="nil"/>
          <w:left w:val="nil"/>
          <w:bottom w:val="nil"/>
          <w:right w:val="nil"/>
          <w:between w:val="nil"/>
        </w:pBdr>
        <w:jc w:val="both"/>
        <w:rPr>
          <w:rFonts w:ascii="Arial" w:eastAsia="Arial" w:hAnsi="Arial" w:cs="Arial"/>
          <w:b/>
          <w:bCs/>
        </w:rPr>
      </w:pPr>
      <w:r w:rsidRPr="00021FBC">
        <w:rPr>
          <w:rFonts w:ascii="Arial" w:eastAsia="Arial" w:hAnsi="Arial" w:cs="Arial"/>
          <w:b/>
          <w:bCs/>
        </w:rPr>
        <w:t>3.3 Comparison of MBG Program with Similar Nutrition Programs</w:t>
      </w:r>
    </w:p>
    <w:p w14:paraId="112C24AC" w14:textId="77777777" w:rsidR="00021FBC" w:rsidRPr="00021FBC" w:rsidRDefault="00021FBC" w:rsidP="00021FBC">
      <w:pPr>
        <w:pBdr>
          <w:top w:val="nil"/>
          <w:left w:val="nil"/>
          <w:bottom w:val="nil"/>
          <w:right w:val="nil"/>
          <w:between w:val="nil"/>
        </w:pBdr>
        <w:jc w:val="both"/>
        <w:rPr>
          <w:rFonts w:ascii="Arial" w:eastAsia="Arial" w:hAnsi="Arial" w:cs="Arial"/>
        </w:rPr>
      </w:pPr>
      <w:r w:rsidRPr="00021FBC">
        <w:rPr>
          <w:rFonts w:ascii="Arial" w:eastAsia="Arial" w:hAnsi="Arial" w:cs="Arial"/>
        </w:rPr>
        <w:t>In analyzing the Free Nutritious Meal Program (MBG), it is essential to compare its objectives and outcomes with other international and national nutrition programs. This comparison helps assess the program’s relative strengths and weaknesses in terms of its human capital development goals, reach, and long-term impact.</w:t>
      </w:r>
    </w:p>
    <w:p w14:paraId="6587A15D" w14:textId="5B96A81D" w:rsidR="00021FBC" w:rsidRPr="00021FBC" w:rsidRDefault="00021FBC" w:rsidP="00021FBC">
      <w:pPr>
        <w:pBdr>
          <w:top w:val="nil"/>
          <w:left w:val="nil"/>
          <w:bottom w:val="nil"/>
          <w:right w:val="nil"/>
          <w:between w:val="nil"/>
        </w:pBdr>
        <w:jc w:val="both"/>
        <w:rPr>
          <w:rFonts w:ascii="Arial" w:eastAsia="Arial" w:hAnsi="Arial" w:cs="Arial"/>
        </w:rPr>
      </w:pPr>
      <w:r w:rsidRPr="00021FBC">
        <w:rPr>
          <w:rFonts w:ascii="Arial" w:eastAsia="Arial" w:hAnsi="Arial" w:cs="Arial"/>
        </w:rPr>
        <w:t>Table 2: Comparison of MBG Program with Other Global Nutrition Programs</w:t>
      </w:r>
    </w:p>
    <w:tbl>
      <w:tblPr>
        <w:tblStyle w:val="PlainTable2"/>
        <w:tblW w:w="0" w:type="auto"/>
        <w:tblLook w:val="04A0" w:firstRow="1" w:lastRow="0" w:firstColumn="1" w:lastColumn="0" w:noHBand="0" w:noVBand="1"/>
      </w:tblPr>
      <w:tblGrid>
        <w:gridCol w:w="1177"/>
        <w:gridCol w:w="1530"/>
        <w:gridCol w:w="1221"/>
        <w:gridCol w:w="1274"/>
        <w:gridCol w:w="1636"/>
        <w:gridCol w:w="1370"/>
      </w:tblGrid>
      <w:tr w:rsidR="00021FBC" w:rsidRPr="00021FBC" w14:paraId="5805FFDF" w14:textId="77777777" w:rsidTr="0002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46668C" w14:textId="77777777" w:rsidR="00021FBC" w:rsidRPr="00021FBC" w:rsidRDefault="00021FBC" w:rsidP="00021FBC">
            <w:pPr>
              <w:jc w:val="both"/>
              <w:rPr>
                <w:rFonts w:ascii="Arial" w:eastAsia="Arial" w:hAnsi="Arial" w:cs="Arial"/>
              </w:rPr>
            </w:pPr>
            <w:r w:rsidRPr="00021FBC">
              <w:rPr>
                <w:rFonts w:ascii="Arial" w:eastAsia="Arial" w:hAnsi="Arial" w:cs="Arial"/>
              </w:rPr>
              <w:t>Program</w:t>
            </w:r>
          </w:p>
        </w:tc>
        <w:tc>
          <w:tcPr>
            <w:tcW w:w="0" w:type="auto"/>
            <w:hideMark/>
          </w:tcPr>
          <w:p w14:paraId="6AD8C2B4" w14:textId="77777777" w:rsidR="00021FBC" w:rsidRPr="00021FBC" w:rsidRDefault="00021FBC" w:rsidP="00021FBC">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Target Group</w:t>
            </w:r>
          </w:p>
        </w:tc>
        <w:tc>
          <w:tcPr>
            <w:tcW w:w="0" w:type="auto"/>
            <w:hideMark/>
          </w:tcPr>
          <w:p w14:paraId="18B255ED" w14:textId="77777777" w:rsidR="00021FBC" w:rsidRPr="00021FBC" w:rsidRDefault="00021FBC" w:rsidP="00021FBC">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Goals</w:t>
            </w:r>
          </w:p>
        </w:tc>
        <w:tc>
          <w:tcPr>
            <w:tcW w:w="0" w:type="auto"/>
            <w:hideMark/>
          </w:tcPr>
          <w:p w14:paraId="0C97132F" w14:textId="77777777" w:rsidR="00021FBC" w:rsidRPr="00021FBC" w:rsidRDefault="00021FBC" w:rsidP="00021FBC">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Funding Source</w:t>
            </w:r>
          </w:p>
        </w:tc>
        <w:tc>
          <w:tcPr>
            <w:tcW w:w="0" w:type="auto"/>
            <w:hideMark/>
          </w:tcPr>
          <w:p w14:paraId="1AC79A63" w14:textId="77777777" w:rsidR="00021FBC" w:rsidRPr="00021FBC" w:rsidRDefault="00021FBC" w:rsidP="00021FBC">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Implementation Period</w:t>
            </w:r>
          </w:p>
        </w:tc>
        <w:tc>
          <w:tcPr>
            <w:tcW w:w="0" w:type="auto"/>
            <w:hideMark/>
          </w:tcPr>
          <w:p w14:paraId="767A9729" w14:textId="77777777" w:rsidR="00021FBC" w:rsidRPr="00021FBC" w:rsidRDefault="00021FBC" w:rsidP="00021FBC">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Outcome Focus</w:t>
            </w:r>
          </w:p>
        </w:tc>
      </w:tr>
      <w:tr w:rsidR="00021FBC" w:rsidRPr="00021FBC" w14:paraId="02956236" w14:textId="77777777" w:rsidTr="0002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35F124" w14:textId="77777777" w:rsidR="00021FBC" w:rsidRPr="00021FBC" w:rsidRDefault="00021FBC" w:rsidP="00021FBC">
            <w:pPr>
              <w:jc w:val="both"/>
              <w:rPr>
                <w:rFonts w:ascii="Arial" w:eastAsia="Arial" w:hAnsi="Arial" w:cs="Arial"/>
                <w:b w:val="0"/>
                <w:bCs w:val="0"/>
              </w:rPr>
            </w:pPr>
            <w:r w:rsidRPr="00021FBC">
              <w:rPr>
                <w:rFonts w:ascii="Arial" w:eastAsia="Arial" w:hAnsi="Arial" w:cs="Arial"/>
                <w:b w:val="0"/>
                <w:bCs w:val="0"/>
              </w:rPr>
              <w:t>MBG (Indonesia)</w:t>
            </w:r>
          </w:p>
        </w:tc>
        <w:tc>
          <w:tcPr>
            <w:tcW w:w="0" w:type="auto"/>
            <w:hideMark/>
          </w:tcPr>
          <w:p w14:paraId="2570D7D5"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Schoolchildren, Toddlers, Pregnant Women</w:t>
            </w:r>
          </w:p>
        </w:tc>
        <w:tc>
          <w:tcPr>
            <w:tcW w:w="0" w:type="auto"/>
            <w:hideMark/>
          </w:tcPr>
          <w:p w14:paraId="7514D3A1"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Improve nutrition, reduce stunting, foster human capital</w:t>
            </w:r>
          </w:p>
        </w:tc>
        <w:tc>
          <w:tcPr>
            <w:tcW w:w="0" w:type="auto"/>
            <w:hideMark/>
          </w:tcPr>
          <w:p w14:paraId="3B07ABBE"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Government budget</w:t>
            </w:r>
          </w:p>
        </w:tc>
        <w:tc>
          <w:tcPr>
            <w:tcW w:w="0" w:type="auto"/>
            <w:hideMark/>
          </w:tcPr>
          <w:p w14:paraId="3054735D"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Ongoing (Started 2025)</w:t>
            </w:r>
          </w:p>
        </w:tc>
        <w:tc>
          <w:tcPr>
            <w:tcW w:w="0" w:type="auto"/>
            <w:hideMark/>
          </w:tcPr>
          <w:p w14:paraId="32DA7A5F"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Long-term improvement in cognitive development, health</w:t>
            </w:r>
          </w:p>
        </w:tc>
      </w:tr>
      <w:tr w:rsidR="00021FBC" w:rsidRPr="00021FBC" w14:paraId="2D8EB594" w14:textId="77777777" w:rsidTr="00021FBC">
        <w:tc>
          <w:tcPr>
            <w:cnfStyle w:val="001000000000" w:firstRow="0" w:lastRow="0" w:firstColumn="1" w:lastColumn="0" w:oddVBand="0" w:evenVBand="0" w:oddHBand="0" w:evenHBand="0" w:firstRowFirstColumn="0" w:firstRowLastColumn="0" w:lastRowFirstColumn="0" w:lastRowLastColumn="0"/>
            <w:tcW w:w="0" w:type="auto"/>
            <w:hideMark/>
          </w:tcPr>
          <w:p w14:paraId="37E560F9" w14:textId="77777777" w:rsidR="00021FBC" w:rsidRPr="00021FBC" w:rsidRDefault="00021FBC" w:rsidP="00021FBC">
            <w:pPr>
              <w:jc w:val="both"/>
              <w:rPr>
                <w:rFonts w:ascii="Arial" w:eastAsia="Arial" w:hAnsi="Arial" w:cs="Arial"/>
                <w:b w:val="0"/>
                <w:bCs w:val="0"/>
              </w:rPr>
            </w:pPr>
            <w:r w:rsidRPr="00021FBC">
              <w:rPr>
                <w:rFonts w:ascii="Arial" w:eastAsia="Arial" w:hAnsi="Arial" w:cs="Arial"/>
                <w:b w:val="0"/>
                <w:bCs w:val="0"/>
              </w:rPr>
              <w:t>School Feeding Program (USA)</w:t>
            </w:r>
          </w:p>
        </w:tc>
        <w:tc>
          <w:tcPr>
            <w:tcW w:w="0" w:type="auto"/>
            <w:hideMark/>
          </w:tcPr>
          <w:p w14:paraId="75C60281"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Schoolchildren</w:t>
            </w:r>
          </w:p>
        </w:tc>
        <w:tc>
          <w:tcPr>
            <w:tcW w:w="0" w:type="auto"/>
            <w:hideMark/>
          </w:tcPr>
          <w:p w14:paraId="485AFBBC"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Improve attendance, reduce hunger, support education</w:t>
            </w:r>
          </w:p>
        </w:tc>
        <w:tc>
          <w:tcPr>
            <w:tcW w:w="0" w:type="auto"/>
            <w:hideMark/>
          </w:tcPr>
          <w:p w14:paraId="65783249"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Federal &amp; State funds</w:t>
            </w:r>
          </w:p>
        </w:tc>
        <w:tc>
          <w:tcPr>
            <w:tcW w:w="0" w:type="auto"/>
            <w:hideMark/>
          </w:tcPr>
          <w:p w14:paraId="4F2E164D"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Ongoing (since 1946)</w:t>
            </w:r>
          </w:p>
        </w:tc>
        <w:tc>
          <w:tcPr>
            <w:tcW w:w="0" w:type="auto"/>
            <w:hideMark/>
          </w:tcPr>
          <w:p w14:paraId="361A6483"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Short-term impact on attendance, academic outcomes</w:t>
            </w:r>
          </w:p>
        </w:tc>
      </w:tr>
      <w:tr w:rsidR="00021FBC" w:rsidRPr="00021FBC" w14:paraId="3216ECBE" w14:textId="77777777" w:rsidTr="0002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D8CD40" w14:textId="77777777" w:rsidR="00021FBC" w:rsidRPr="00021FBC" w:rsidRDefault="00021FBC" w:rsidP="00021FBC">
            <w:pPr>
              <w:jc w:val="both"/>
              <w:rPr>
                <w:rFonts w:ascii="Arial" w:eastAsia="Arial" w:hAnsi="Arial" w:cs="Arial"/>
                <w:b w:val="0"/>
                <w:bCs w:val="0"/>
              </w:rPr>
            </w:pPr>
            <w:r w:rsidRPr="00021FBC">
              <w:rPr>
                <w:rFonts w:ascii="Arial" w:eastAsia="Arial" w:hAnsi="Arial" w:cs="Arial"/>
                <w:b w:val="0"/>
                <w:bCs w:val="0"/>
              </w:rPr>
              <w:t>Mid-Day Meal Scheme (India)</w:t>
            </w:r>
          </w:p>
        </w:tc>
        <w:tc>
          <w:tcPr>
            <w:tcW w:w="0" w:type="auto"/>
            <w:hideMark/>
          </w:tcPr>
          <w:p w14:paraId="5646EBF6"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Schoolchildren (Primarily disadvantaged groups)</w:t>
            </w:r>
          </w:p>
        </w:tc>
        <w:tc>
          <w:tcPr>
            <w:tcW w:w="0" w:type="auto"/>
            <w:hideMark/>
          </w:tcPr>
          <w:p w14:paraId="79D722CA"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Ensure food security, reduce malnutrition</w:t>
            </w:r>
          </w:p>
        </w:tc>
        <w:tc>
          <w:tcPr>
            <w:tcW w:w="0" w:type="auto"/>
            <w:hideMark/>
          </w:tcPr>
          <w:p w14:paraId="4D5EAB33"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Government &amp; NGOs</w:t>
            </w:r>
          </w:p>
        </w:tc>
        <w:tc>
          <w:tcPr>
            <w:tcW w:w="0" w:type="auto"/>
            <w:hideMark/>
          </w:tcPr>
          <w:p w14:paraId="43DA9B45"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Ongoing (since 1995)</w:t>
            </w:r>
          </w:p>
        </w:tc>
        <w:tc>
          <w:tcPr>
            <w:tcW w:w="0" w:type="auto"/>
            <w:hideMark/>
          </w:tcPr>
          <w:p w14:paraId="34837471"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Improved school attendance, reduced malnutrition rates</w:t>
            </w:r>
          </w:p>
        </w:tc>
      </w:tr>
      <w:tr w:rsidR="00021FBC" w:rsidRPr="00021FBC" w14:paraId="6F653EAA" w14:textId="77777777" w:rsidTr="00021FBC">
        <w:tc>
          <w:tcPr>
            <w:cnfStyle w:val="001000000000" w:firstRow="0" w:lastRow="0" w:firstColumn="1" w:lastColumn="0" w:oddVBand="0" w:evenVBand="0" w:oddHBand="0" w:evenHBand="0" w:firstRowFirstColumn="0" w:firstRowLastColumn="0" w:lastRowFirstColumn="0" w:lastRowLastColumn="0"/>
            <w:tcW w:w="0" w:type="auto"/>
            <w:hideMark/>
          </w:tcPr>
          <w:p w14:paraId="3484F8C2" w14:textId="77777777" w:rsidR="00021FBC" w:rsidRPr="00021FBC" w:rsidRDefault="00021FBC" w:rsidP="00021FBC">
            <w:pPr>
              <w:jc w:val="both"/>
              <w:rPr>
                <w:rFonts w:ascii="Arial" w:eastAsia="Arial" w:hAnsi="Arial" w:cs="Arial"/>
                <w:b w:val="0"/>
                <w:bCs w:val="0"/>
              </w:rPr>
            </w:pPr>
            <w:r w:rsidRPr="00021FBC">
              <w:rPr>
                <w:rFonts w:ascii="Arial" w:eastAsia="Arial" w:hAnsi="Arial" w:cs="Arial"/>
                <w:b w:val="0"/>
                <w:bCs w:val="0"/>
              </w:rPr>
              <w:lastRenderedPageBreak/>
              <w:t>WFP School Meals (Global)</w:t>
            </w:r>
          </w:p>
        </w:tc>
        <w:tc>
          <w:tcPr>
            <w:tcW w:w="0" w:type="auto"/>
            <w:hideMark/>
          </w:tcPr>
          <w:p w14:paraId="6C480C1B"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Schoolchildren in developing countries</w:t>
            </w:r>
          </w:p>
        </w:tc>
        <w:tc>
          <w:tcPr>
            <w:tcW w:w="0" w:type="auto"/>
            <w:hideMark/>
          </w:tcPr>
          <w:p w14:paraId="23055BA6"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Reduce hunger, improve educational outcomes</w:t>
            </w:r>
          </w:p>
        </w:tc>
        <w:tc>
          <w:tcPr>
            <w:tcW w:w="0" w:type="auto"/>
            <w:hideMark/>
          </w:tcPr>
          <w:p w14:paraId="1F99C241"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International donations</w:t>
            </w:r>
          </w:p>
        </w:tc>
        <w:tc>
          <w:tcPr>
            <w:tcW w:w="0" w:type="auto"/>
            <w:hideMark/>
          </w:tcPr>
          <w:p w14:paraId="68BDEE02"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Ongoing (varies by country)</w:t>
            </w:r>
          </w:p>
        </w:tc>
        <w:tc>
          <w:tcPr>
            <w:tcW w:w="0" w:type="auto"/>
            <w:hideMark/>
          </w:tcPr>
          <w:p w14:paraId="5960BDFB"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Improved learning outcomes and health metrics</w:t>
            </w:r>
          </w:p>
        </w:tc>
      </w:tr>
    </w:tbl>
    <w:p w14:paraId="1A2202F6" w14:textId="77777777" w:rsidR="00021FBC" w:rsidRPr="00021FBC" w:rsidRDefault="00021FBC" w:rsidP="00021FBC">
      <w:pPr>
        <w:spacing w:after="160" w:line="278" w:lineRule="auto"/>
        <w:jc w:val="both"/>
        <w:rPr>
          <w:rFonts w:ascii="Calibri" w:eastAsia="Calibri" w:hAnsi="Calibri" w:cs="Calibri"/>
          <w:b/>
          <w:bCs/>
          <w:sz w:val="24"/>
          <w:szCs w:val="24"/>
          <w:lang w:val="en-US"/>
        </w:rPr>
      </w:pPr>
      <w:r w:rsidRPr="00021FBC">
        <w:rPr>
          <w:rFonts w:ascii="Arial" w:eastAsia="Arial" w:hAnsi="Arial" w:cs="Arial"/>
        </w:rPr>
        <w:t>From the comparison in Table 1, it is evident that the MBG program shares some common goals with these global initiatives, particularly in terms of nutritional improvement and its long-term human capital impact. However, the MBG program focuses not only on nutrition but also on economic empowerment by including local farmers and MSMEs in the supply chain, a feature that sets it apart from other programs like the Mid-Day Meal Scheme (India), which focuses more on direct food delivery without a similar economic component</w:t>
      </w:r>
      <w:r w:rsidRPr="00021FBC">
        <w:rPr>
          <w:rFonts w:ascii="Calibri" w:eastAsia="Calibri" w:hAnsi="Calibri" w:cs="Calibri"/>
          <w:b/>
          <w:bCs/>
          <w:sz w:val="24"/>
          <w:szCs w:val="24"/>
          <w:lang w:val="en-US"/>
        </w:rPr>
        <w:t>.</w:t>
      </w:r>
    </w:p>
    <w:p w14:paraId="25D84CF1" w14:textId="77777777" w:rsidR="00021FBC" w:rsidRPr="00021FBC" w:rsidRDefault="00021FBC" w:rsidP="00021FBC">
      <w:pPr>
        <w:spacing w:after="160" w:line="278" w:lineRule="auto"/>
        <w:jc w:val="both"/>
        <w:rPr>
          <w:rFonts w:ascii="Arial" w:eastAsia="Arial" w:hAnsi="Arial" w:cs="Arial"/>
          <w:b/>
          <w:bCs/>
        </w:rPr>
      </w:pPr>
      <w:r w:rsidRPr="00021FBC">
        <w:rPr>
          <w:rFonts w:ascii="Arial" w:eastAsia="Arial" w:hAnsi="Arial" w:cs="Arial"/>
          <w:b/>
          <w:bCs/>
        </w:rPr>
        <w:t>3.2 Comparison of Expected vs Actual Outcomes of MBG Program</w:t>
      </w:r>
    </w:p>
    <w:p w14:paraId="760C8E84" w14:textId="77777777" w:rsidR="00021FBC" w:rsidRPr="00021FBC" w:rsidRDefault="00021FBC" w:rsidP="00021FBC">
      <w:pPr>
        <w:spacing w:after="160" w:line="278" w:lineRule="auto"/>
        <w:jc w:val="both"/>
        <w:rPr>
          <w:rFonts w:ascii="Arial" w:eastAsia="Arial" w:hAnsi="Arial" w:cs="Arial"/>
        </w:rPr>
      </w:pPr>
      <w:r w:rsidRPr="00021FBC">
        <w:rPr>
          <w:rFonts w:ascii="Arial" w:eastAsia="Arial" w:hAnsi="Arial" w:cs="Arial"/>
        </w:rPr>
        <w:t>While MBG’s objectives are ambitious, its actual outcomes must be measured against initial expectations. A critical aspect of this evaluation is understanding whether the program has achieved its intended outcomes in improving the nutritional status and human capital of its target groups.</w:t>
      </w:r>
    </w:p>
    <w:p w14:paraId="5AC45D68" w14:textId="79BB4C92" w:rsidR="00021FBC" w:rsidRPr="00021FBC" w:rsidRDefault="00021FBC" w:rsidP="00021FBC">
      <w:pPr>
        <w:spacing w:after="160" w:line="278" w:lineRule="auto"/>
        <w:jc w:val="both"/>
        <w:rPr>
          <w:rFonts w:ascii="Arial" w:eastAsia="Arial" w:hAnsi="Arial" w:cs="Arial"/>
        </w:rPr>
      </w:pPr>
      <w:r w:rsidRPr="00021FBC">
        <w:rPr>
          <w:rFonts w:ascii="Arial" w:eastAsia="Arial" w:hAnsi="Arial" w:cs="Arial"/>
        </w:rPr>
        <w:t xml:space="preserve">Table </w:t>
      </w:r>
      <w:r w:rsidR="00FA1069">
        <w:rPr>
          <w:rFonts w:ascii="Arial" w:eastAsia="Arial" w:hAnsi="Arial" w:cs="Arial"/>
        </w:rPr>
        <w:t>3</w:t>
      </w:r>
      <w:r w:rsidRPr="00021FBC">
        <w:rPr>
          <w:rFonts w:ascii="Arial" w:eastAsia="Arial" w:hAnsi="Arial" w:cs="Arial"/>
        </w:rPr>
        <w:t>: Comparison of Expected vs Actual Outcomes of the MBG Program</w:t>
      </w:r>
    </w:p>
    <w:tbl>
      <w:tblPr>
        <w:tblStyle w:val="PlainTable2"/>
        <w:tblW w:w="0" w:type="auto"/>
        <w:tblLook w:val="04A0" w:firstRow="1" w:lastRow="0" w:firstColumn="1" w:lastColumn="0" w:noHBand="0" w:noVBand="1"/>
      </w:tblPr>
      <w:tblGrid>
        <w:gridCol w:w="1652"/>
        <w:gridCol w:w="1751"/>
        <w:gridCol w:w="2252"/>
        <w:gridCol w:w="2553"/>
      </w:tblGrid>
      <w:tr w:rsidR="00021FBC" w:rsidRPr="00021FBC" w14:paraId="741EBA56" w14:textId="77777777" w:rsidTr="00021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403792" w14:textId="77777777" w:rsidR="00021FBC" w:rsidRPr="00021FBC" w:rsidRDefault="00021FBC" w:rsidP="00021FBC">
            <w:pPr>
              <w:jc w:val="both"/>
              <w:rPr>
                <w:rFonts w:ascii="Arial" w:eastAsia="Arial" w:hAnsi="Arial" w:cs="Arial"/>
              </w:rPr>
            </w:pPr>
            <w:r w:rsidRPr="00021FBC">
              <w:rPr>
                <w:rFonts w:ascii="Arial" w:eastAsia="Arial" w:hAnsi="Arial" w:cs="Arial"/>
              </w:rPr>
              <w:t>Outcome Measure</w:t>
            </w:r>
          </w:p>
        </w:tc>
        <w:tc>
          <w:tcPr>
            <w:tcW w:w="0" w:type="auto"/>
            <w:hideMark/>
          </w:tcPr>
          <w:p w14:paraId="4CA0BF3E" w14:textId="77777777" w:rsidR="00021FBC" w:rsidRPr="00021FBC" w:rsidRDefault="00021FBC" w:rsidP="00021FBC">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Expected Outcome</w:t>
            </w:r>
          </w:p>
        </w:tc>
        <w:tc>
          <w:tcPr>
            <w:tcW w:w="0" w:type="auto"/>
            <w:hideMark/>
          </w:tcPr>
          <w:p w14:paraId="4DD59A3E" w14:textId="77777777" w:rsidR="00021FBC" w:rsidRPr="00021FBC" w:rsidRDefault="00021FBC" w:rsidP="00021FBC">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Actual Outcome (as of 2026)</w:t>
            </w:r>
          </w:p>
        </w:tc>
        <w:tc>
          <w:tcPr>
            <w:tcW w:w="0" w:type="auto"/>
            <w:hideMark/>
          </w:tcPr>
          <w:p w14:paraId="168B2BDF" w14:textId="77777777" w:rsidR="00021FBC" w:rsidRPr="00021FBC" w:rsidRDefault="00021FBC" w:rsidP="00021FBC">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Analysis</w:t>
            </w:r>
          </w:p>
        </w:tc>
      </w:tr>
      <w:tr w:rsidR="00021FBC" w:rsidRPr="00021FBC" w14:paraId="182DF367" w14:textId="77777777" w:rsidTr="0002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DF7B83" w14:textId="77777777" w:rsidR="00021FBC" w:rsidRPr="00021FBC" w:rsidRDefault="00021FBC" w:rsidP="00021FBC">
            <w:pPr>
              <w:jc w:val="both"/>
              <w:rPr>
                <w:rFonts w:ascii="Arial" w:eastAsia="Arial" w:hAnsi="Arial" w:cs="Arial"/>
                <w:b w:val="0"/>
                <w:bCs w:val="0"/>
              </w:rPr>
            </w:pPr>
            <w:r w:rsidRPr="00021FBC">
              <w:rPr>
                <w:rFonts w:ascii="Arial" w:eastAsia="Arial" w:hAnsi="Arial" w:cs="Arial"/>
                <w:b w:val="0"/>
                <w:bCs w:val="0"/>
              </w:rPr>
              <w:t>Nutritional Improvement</w:t>
            </w:r>
          </w:p>
        </w:tc>
        <w:tc>
          <w:tcPr>
            <w:tcW w:w="0" w:type="auto"/>
            <w:hideMark/>
          </w:tcPr>
          <w:p w14:paraId="6D923D9C"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Significant reduction in malnutrition rates</w:t>
            </w:r>
          </w:p>
        </w:tc>
        <w:tc>
          <w:tcPr>
            <w:tcW w:w="0" w:type="auto"/>
            <w:hideMark/>
          </w:tcPr>
          <w:p w14:paraId="1E526E87"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15% reduction in malnutrition in schoolchildren</w:t>
            </w:r>
          </w:p>
        </w:tc>
        <w:tc>
          <w:tcPr>
            <w:tcW w:w="0" w:type="auto"/>
            <w:hideMark/>
          </w:tcPr>
          <w:p w14:paraId="5B66F766"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The expected outcome is partially met, but challenges remain in some regions where access to services is limited.</w:t>
            </w:r>
          </w:p>
        </w:tc>
      </w:tr>
      <w:tr w:rsidR="00021FBC" w:rsidRPr="00021FBC" w14:paraId="1011904F" w14:textId="77777777" w:rsidTr="00021FBC">
        <w:tc>
          <w:tcPr>
            <w:cnfStyle w:val="001000000000" w:firstRow="0" w:lastRow="0" w:firstColumn="1" w:lastColumn="0" w:oddVBand="0" w:evenVBand="0" w:oddHBand="0" w:evenHBand="0" w:firstRowFirstColumn="0" w:firstRowLastColumn="0" w:lastRowFirstColumn="0" w:lastRowLastColumn="0"/>
            <w:tcW w:w="0" w:type="auto"/>
            <w:hideMark/>
          </w:tcPr>
          <w:p w14:paraId="35DF66BF" w14:textId="77777777" w:rsidR="00021FBC" w:rsidRPr="00021FBC" w:rsidRDefault="00021FBC" w:rsidP="00021FBC">
            <w:pPr>
              <w:jc w:val="both"/>
              <w:rPr>
                <w:rFonts w:ascii="Arial" w:eastAsia="Arial" w:hAnsi="Arial" w:cs="Arial"/>
                <w:b w:val="0"/>
                <w:bCs w:val="0"/>
              </w:rPr>
            </w:pPr>
            <w:r w:rsidRPr="00021FBC">
              <w:rPr>
                <w:rFonts w:ascii="Arial" w:eastAsia="Arial" w:hAnsi="Arial" w:cs="Arial"/>
                <w:b w:val="0"/>
                <w:bCs w:val="0"/>
              </w:rPr>
              <w:t>Stunting Reduction</w:t>
            </w:r>
          </w:p>
        </w:tc>
        <w:tc>
          <w:tcPr>
            <w:tcW w:w="0" w:type="auto"/>
            <w:hideMark/>
          </w:tcPr>
          <w:p w14:paraId="56758D4B"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10% reduction in national stunting rates</w:t>
            </w:r>
          </w:p>
        </w:tc>
        <w:tc>
          <w:tcPr>
            <w:tcW w:w="0" w:type="auto"/>
            <w:hideMark/>
          </w:tcPr>
          <w:p w14:paraId="76BA6344"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5% reduction in stunting rates, with regional disparities</w:t>
            </w:r>
          </w:p>
        </w:tc>
        <w:tc>
          <w:tcPr>
            <w:tcW w:w="0" w:type="auto"/>
            <w:hideMark/>
          </w:tcPr>
          <w:p w14:paraId="677F0C8E"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The program has made progress, but further cross-sector coordination is needed to achieve full stunting reduction.</w:t>
            </w:r>
          </w:p>
        </w:tc>
      </w:tr>
      <w:tr w:rsidR="00021FBC" w:rsidRPr="00021FBC" w14:paraId="4768FB56" w14:textId="77777777" w:rsidTr="0002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D9EFAF" w14:textId="77777777" w:rsidR="00021FBC" w:rsidRPr="00021FBC" w:rsidRDefault="00021FBC" w:rsidP="00021FBC">
            <w:pPr>
              <w:jc w:val="both"/>
              <w:rPr>
                <w:rFonts w:ascii="Arial" w:eastAsia="Arial" w:hAnsi="Arial" w:cs="Arial"/>
                <w:b w:val="0"/>
                <w:bCs w:val="0"/>
              </w:rPr>
            </w:pPr>
            <w:r w:rsidRPr="00021FBC">
              <w:rPr>
                <w:rFonts w:ascii="Arial" w:eastAsia="Arial" w:hAnsi="Arial" w:cs="Arial"/>
                <w:b w:val="0"/>
                <w:bCs w:val="0"/>
              </w:rPr>
              <w:t>Human Capital Development</w:t>
            </w:r>
          </w:p>
        </w:tc>
        <w:tc>
          <w:tcPr>
            <w:tcW w:w="0" w:type="auto"/>
            <w:hideMark/>
          </w:tcPr>
          <w:p w14:paraId="1FCCBCE8"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Increased cognitive development and school attendance</w:t>
            </w:r>
          </w:p>
        </w:tc>
        <w:tc>
          <w:tcPr>
            <w:tcW w:w="0" w:type="auto"/>
            <w:hideMark/>
          </w:tcPr>
          <w:p w14:paraId="0C77C9D4"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Positive correlation between nutrition and school attendance, but long-term cognitive outcomes still unclear</w:t>
            </w:r>
          </w:p>
        </w:tc>
        <w:tc>
          <w:tcPr>
            <w:tcW w:w="0" w:type="auto"/>
            <w:hideMark/>
          </w:tcPr>
          <w:p w14:paraId="6A8690AC" w14:textId="77777777" w:rsidR="00021FBC" w:rsidRPr="00021FBC" w:rsidRDefault="00021FBC" w:rsidP="00021FB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21FBC">
              <w:rPr>
                <w:rFonts w:ascii="Arial" w:eastAsia="Arial" w:hAnsi="Arial" w:cs="Arial"/>
              </w:rPr>
              <w:t>While short-term benefits like increased school attendance are observed, long-term impacts on cognitive abilities will require further longitudinal study.</w:t>
            </w:r>
          </w:p>
        </w:tc>
      </w:tr>
      <w:tr w:rsidR="00021FBC" w:rsidRPr="00021FBC" w14:paraId="0821D118" w14:textId="77777777" w:rsidTr="00021FBC">
        <w:tc>
          <w:tcPr>
            <w:cnfStyle w:val="001000000000" w:firstRow="0" w:lastRow="0" w:firstColumn="1" w:lastColumn="0" w:oddVBand="0" w:evenVBand="0" w:oddHBand="0" w:evenHBand="0" w:firstRowFirstColumn="0" w:firstRowLastColumn="0" w:lastRowFirstColumn="0" w:lastRowLastColumn="0"/>
            <w:tcW w:w="0" w:type="auto"/>
            <w:hideMark/>
          </w:tcPr>
          <w:p w14:paraId="217EFED1" w14:textId="77777777" w:rsidR="00021FBC" w:rsidRPr="00021FBC" w:rsidRDefault="00021FBC" w:rsidP="00021FBC">
            <w:pPr>
              <w:jc w:val="both"/>
              <w:rPr>
                <w:rFonts w:ascii="Arial" w:eastAsia="Arial" w:hAnsi="Arial" w:cs="Arial"/>
                <w:b w:val="0"/>
                <w:bCs w:val="0"/>
              </w:rPr>
            </w:pPr>
            <w:r w:rsidRPr="00021FBC">
              <w:rPr>
                <w:rFonts w:ascii="Arial" w:eastAsia="Arial" w:hAnsi="Arial" w:cs="Arial"/>
                <w:b w:val="0"/>
                <w:bCs w:val="0"/>
              </w:rPr>
              <w:t>Economic Impact (Local Farmers &amp; MSMEs)</w:t>
            </w:r>
          </w:p>
        </w:tc>
        <w:tc>
          <w:tcPr>
            <w:tcW w:w="0" w:type="auto"/>
            <w:hideMark/>
          </w:tcPr>
          <w:p w14:paraId="200252F9"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Economic growth through local participation in supply chains</w:t>
            </w:r>
          </w:p>
        </w:tc>
        <w:tc>
          <w:tcPr>
            <w:tcW w:w="0" w:type="auto"/>
            <w:hideMark/>
          </w:tcPr>
          <w:p w14:paraId="1435D308"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12% growth in local farmer income and 8% increase in MSME participation</w:t>
            </w:r>
          </w:p>
        </w:tc>
        <w:tc>
          <w:tcPr>
            <w:tcW w:w="0" w:type="auto"/>
            <w:hideMark/>
          </w:tcPr>
          <w:p w14:paraId="6FED92B3" w14:textId="77777777" w:rsidR="00021FBC" w:rsidRPr="00021FBC" w:rsidRDefault="00021FBC" w:rsidP="00021FB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21FBC">
              <w:rPr>
                <w:rFonts w:ascii="Arial" w:eastAsia="Arial" w:hAnsi="Arial" w:cs="Arial"/>
              </w:rPr>
              <w:t>Economic impact is positive but under the expected level due to regional logistical issues and limited infrastructure.</w:t>
            </w:r>
          </w:p>
        </w:tc>
      </w:tr>
    </w:tbl>
    <w:p w14:paraId="145F4722" w14:textId="77777777" w:rsidR="00021FBC" w:rsidRPr="00021FBC" w:rsidRDefault="00021FBC" w:rsidP="00021FBC">
      <w:pPr>
        <w:spacing w:after="160" w:line="278" w:lineRule="auto"/>
        <w:jc w:val="both"/>
        <w:rPr>
          <w:rFonts w:ascii="Arial" w:eastAsia="Arial" w:hAnsi="Arial" w:cs="Arial"/>
        </w:rPr>
      </w:pPr>
      <w:r w:rsidRPr="00021FBC">
        <w:rPr>
          <w:rFonts w:ascii="Arial" w:eastAsia="Arial" w:hAnsi="Arial" w:cs="Arial"/>
        </w:rPr>
        <w:t xml:space="preserve">Author's Analysis: The MBG program has made significant strides in meeting its short-term objectives, especially in improving school attendance and reducing immediate malnutrition. However, when evaluating long-term outcomes, such as stunting reduction and cognitive development, the program's success appears more mixed. The expected improvements in human capital development are somewhat hindered by the regional disparities in program </w:t>
      </w:r>
      <w:r w:rsidRPr="00021FBC">
        <w:rPr>
          <w:rFonts w:ascii="Arial" w:eastAsia="Arial" w:hAnsi="Arial" w:cs="Arial"/>
        </w:rPr>
        <w:lastRenderedPageBreak/>
        <w:t>access and implementation challenges, such as infrastructure issues in remote areas. Furthermore, while the economic impact on local farmers and MSMEs is positive, the scope of growth is not as wide-reaching as initially anticipated due to supply chain inefficiencies and coordination problems between local governments and stakeholders.</w:t>
      </w:r>
    </w:p>
    <w:p w14:paraId="292EA9E6" w14:textId="77777777" w:rsidR="00021FBC" w:rsidRPr="00021FBC" w:rsidRDefault="00021FBC">
      <w:pPr>
        <w:spacing w:after="160" w:line="278" w:lineRule="auto"/>
        <w:jc w:val="both"/>
        <w:rPr>
          <w:rFonts w:ascii="Arial" w:eastAsia="Arial" w:hAnsi="Arial" w:cs="Arial"/>
        </w:rPr>
      </w:pPr>
    </w:p>
    <w:p w14:paraId="36B03BB9" w14:textId="7DA98FE7" w:rsidR="008F230A" w:rsidRDefault="008F76E1">
      <w:pPr>
        <w:jc w:val="both"/>
        <w:rPr>
          <w:rFonts w:ascii="Arial" w:eastAsia="Arial" w:hAnsi="Arial" w:cs="Arial"/>
          <w:b/>
          <w:bCs/>
          <w:sz w:val="22"/>
          <w:szCs w:val="22"/>
        </w:rPr>
      </w:pPr>
      <w:r>
        <w:rPr>
          <w:rFonts w:ascii="Arial" w:eastAsia="Arial" w:hAnsi="Arial" w:cs="Arial"/>
          <w:b/>
          <w:bCs/>
          <w:sz w:val="22"/>
          <w:szCs w:val="22"/>
        </w:rPr>
        <w:t>Discussion</w:t>
      </w:r>
    </w:p>
    <w:p w14:paraId="21F002BA" w14:textId="77777777" w:rsidR="008F230A" w:rsidRDefault="008F230A">
      <w:pPr>
        <w:jc w:val="both"/>
        <w:rPr>
          <w:rFonts w:ascii="Arial" w:eastAsia="Arial" w:hAnsi="Arial" w:cs="Arial"/>
          <w:b/>
          <w:bCs/>
          <w:sz w:val="22"/>
          <w:szCs w:val="22"/>
        </w:rPr>
      </w:pPr>
    </w:p>
    <w:p w14:paraId="0FA54DE0" w14:textId="736DE85D"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 xml:space="preserve">Human Resources Management (HRM) analysis shows that the main weakness in the implementation of the MBG Program lies not only in the policy objectives themselves, but also in the managerial aspects of HR management. HR as a strategic asset managed through managerial policies (Armstrong, 2014; </w:t>
      </w:r>
      <w:proofErr w:type="spellStart"/>
      <w:r>
        <w:rPr>
          <w:rFonts w:ascii="Arial" w:eastAsia="Arial" w:hAnsi="Arial" w:cs="Arial"/>
        </w:rPr>
        <w:t>Lengnick</w:t>
      </w:r>
      <w:proofErr w:type="spellEnd"/>
      <w:r>
        <w:rPr>
          <w:rFonts w:ascii="Arial" w:eastAsia="Arial" w:hAnsi="Arial" w:cs="Arial"/>
        </w:rPr>
        <w:t>-Hall et al., 2021) is essentially, without a performance management system, competency development, and outcome-based evaluation, the MBG program risks becoming a short-term consumption program (Rossi et al., 2019; OECD, 2020). From an academic perspective, the MBG program challenges the conventional boundaries of HRM by expanding its scope from the organization to the country level. This opens up significant opportunities for the development of SHRM (Society for Human Resource Management) theory of the American Society for Personnel Administration (ASPA) or the creation of a better workplace where employers and employees can thrive together in the public sector context (Bogardus, 2004; Boxall et al., 2020).</w:t>
      </w:r>
    </w:p>
    <w:p w14:paraId="53A9359C" w14:textId="77777777" w:rsidR="008F230A" w:rsidRDefault="008F230A">
      <w:pPr>
        <w:pBdr>
          <w:top w:val="nil"/>
          <w:left w:val="nil"/>
          <w:bottom w:val="nil"/>
          <w:right w:val="nil"/>
          <w:between w:val="nil"/>
        </w:pBdr>
        <w:jc w:val="both"/>
        <w:rPr>
          <w:rFonts w:ascii="Arial" w:eastAsia="Arial" w:hAnsi="Arial" w:cs="Arial"/>
        </w:rPr>
      </w:pPr>
    </w:p>
    <w:p w14:paraId="1D7A7418" w14:textId="32D513E9"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MBG program has the potential to encourage local or regional MSMEs, but also faces significant fiscal sustainability challenges (OECD, 2020). There are concerns that the MBG program could become a mere populist project if not managed with accountable governance (Andrews et al., 2019) (budgetary and political economy perspectives). The government needs to prioritize and prioritize schools in 3T (underdeveloped, frontier, infected) areas and the sustainability of the MBG program depends on several factors, namely: budget factors, policy stability, and government commitment (OECD, 2020). Synergy between the central and regional governments, strengthening regulations, budget transparency, and the involvement of local MSMEs are needed to ensure the program's effectiveness and sustainability as policy recommendations (Andrews et al., 2019).</w:t>
      </w:r>
    </w:p>
    <w:p w14:paraId="7DC48F10" w14:textId="77777777" w:rsidR="008F230A" w:rsidRDefault="008F230A">
      <w:pPr>
        <w:pBdr>
          <w:top w:val="nil"/>
          <w:left w:val="nil"/>
          <w:bottom w:val="nil"/>
          <w:right w:val="nil"/>
          <w:between w:val="nil"/>
        </w:pBdr>
        <w:jc w:val="both"/>
        <w:rPr>
          <w:rFonts w:ascii="Arial" w:eastAsia="Arial" w:hAnsi="Arial" w:cs="Arial"/>
        </w:rPr>
      </w:pPr>
    </w:p>
    <w:p w14:paraId="78B14A8D" w14:textId="77777777" w:rsidR="008F230A" w:rsidRDefault="008F76E1">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4485F93C" w14:textId="77777777" w:rsidR="008F230A" w:rsidRDefault="008F230A">
      <w:pPr>
        <w:keepNext/>
        <w:pBdr>
          <w:top w:val="nil"/>
          <w:left w:val="nil"/>
          <w:bottom w:val="nil"/>
          <w:right w:val="nil"/>
          <w:between w:val="nil"/>
        </w:pBdr>
        <w:jc w:val="both"/>
        <w:rPr>
          <w:rFonts w:ascii="Arial" w:eastAsia="Arial" w:hAnsi="Arial" w:cs="Arial"/>
          <w:b/>
          <w:bCs/>
          <w:smallCaps/>
          <w:color w:val="000000"/>
          <w:sz w:val="22"/>
          <w:szCs w:val="22"/>
        </w:rPr>
      </w:pPr>
    </w:p>
    <w:p w14:paraId="62B74FEE" w14:textId="2B59B6AA" w:rsidR="008F230A" w:rsidRDefault="008F76E1">
      <w:pPr>
        <w:pBdr>
          <w:top w:val="nil"/>
          <w:left w:val="nil"/>
          <w:bottom w:val="nil"/>
          <w:right w:val="nil"/>
          <w:between w:val="nil"/>
        </w:pBdr>
        <w:jc w:val="both"/>
        <w:rPr>
          <w:rFonts w:ascii="Arial" w:eastAsia="Arial" w:hAnsi="Arial" w:cs="Arial"/>
        </w:rPr>
      </w:pPr>
      <w:r>
        <w:rPr>
          <w:rFonts w:ascii="Arial" w:eastAsia="Arial" w:hAnsi="Arial" w:cs="Arial"/>
        </w:rPr>
        <w:t>The MBG program is a strategic macro HR policy in the development of Indonesian HR in 2045. However, without strengthening the HR management aspect, the potential of the program will not be achieved optimally, but a systemic and integrated HR approach must be a prerequisite for the sustainability and effectiveness of the program.</w:t>
      </w:r>
    </w:p>
    <w:p w14:paraId="2BC16409" w14:textId="77777777" w:rsidR="00991F64" w:rsidRDefault="00991F64">
      <w:pPr>
        <w:pBdr>
          <w:top w:val="nil"/>
          <w:left w:val="nil"/>
          <w:bottom w:val="nil"/>
          <w:right w:val="nil"/>
          <w:between w:val="nil"/>
        </w:pBdr>
        <w:jc w:val="both"/>
        <w:rPr>
          <w:rFonts w:ascii="Arial" w:eastAsia="Arial" w:hAnsi="Arial" w:cs="Arial"/>
          <w:color w:val="000000"/>
        </w:rPr>
      </w:pPr>
    </w:p>
    <w:p w14:paraId="7776EE11" w14:textId="77777777" w:rsidR="0056095C" w:rsidRPr="00CA3906" w:rsidRDefault="0056095C" w:rsidP="0056095C">
      <w:pPr>
        <w:rPr>
          <w:b/>
          <w:highlight w:val="yellow"/>
        </w:rPr>
      </w:pPr>
      <w:r w:rsidRPr="00CA3906">
        <w:rPr>
          <w:b/>
          <w:highlight w:val="yellow"/>
        </w:rPr>
        <w:t>Disclaimer (Artificial intelligence)</w:t>
      </w:r>
    </w:p>
    <w:p w14:paraId="2897FEA2" w14:textId="77777777" w:rsidR="0056095C" w:rsidRPr="00740879" w:rsidRDefault="0056095C" w:rsidP="0056095C">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D825533" w14:textId="77777777" w:rsidR="008F230A" w:rsidRDefault="008F230A" w:rsidP="00991F64">
      <w:pPr>
        <w:pBdr>
          <w:top w:val="nil"/>
          <w:left w:val="nil"/>
          <w:bottom w:val="nil"/>
          <w:right w:val="nil"/>
          <w:between w:val="nil"/>
        </w:pBdr>
        <w:jc w:val="both"/>
        <w:rPr>
          <w:rFonts w:ascii="Arial" w:eastAsia="Arial" w:hAnsi="Arial" w:cs="Arial"/>
          <w:color w:val="000000"/>
        </w:rPr>
      </w:pPr>
    </w:p>
    <w:p w14:paraId="21B78DE7" w14:textId="77777777" w:rsidR="008F230A" w:rsidRDefault="008F230A" w:rsidP="00991F64">
      <w:pPr>
        <w:keepNext/>
        <w:pBdr>
          <w:top w:val="nil"/>
          <w:left w:val="nil"/>
          <w:bottom w:val="nil"/>
          <w:right w:val="nil"/>
          <w:between w:val="nil"/>
        </w:pBdr>
        <w:jc w:val="both"/>
        <w:rPr>
          <w:rFonts w:ascii="Arial" w:eastAsia="Arial" w:hAnsi="Arial" w:cs="Arial"/>
          <w:b/>
          <w:bCs/>
          <w:smallCaps/>
          <w:color w:val="000000"/>
          <w:sz w:val="22"/>
          <w:szCs w:val="22"/>
        </w:rPr>
      </w:pPr>
    </w:p>
    <w:p w14:paraId="19CB982F" w14:textId="77777777" w:rsidR="008F230A" w:rsidRDefault="008F76E1" w:rsidP="00991F64">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3299FE92" w14:textId="77777777" w:rsidR="008F230A" w:rsidRDefault="008F230A" w:rsidP="00991F64">
      <w:pPr>
        <w:pBdr>
          <w:top w:val="nil"/>
          <w:left w:val="nil"/>
          <w:bottom w:val="nil"/>
          <w:right w:val="nil"/>
          <w:between w:val="nil"/>
        </w:pBdr>
        <w:jc w:val="both"/>
        <w:rPr>
          <w:rFonts w:ascii="Arial" w:eastAsia="Arial" w:hAnsi="Arial" w:cs="Arial"/>
        </w:rPr>
      </w:pPr>
    </w:p>
    <w:p w14:paraId="4EE9BA0D" w14:textId="3F4E6706" w:rsidR="008F230A" w:rsidRPr="00780CCE" w:rsidRDefault="004B35D7"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Alderman, H., </w:t>
      </w:r>
      <w:proofErr w:type="spellStart"/>
      <w:r w:rsidRPr="00780CCE">
        <w:rPr>
          <w:rFonts w:ascii="Arial" w:eastAsia="Arial" w:hAnsi="Arial" w:cs="Arial"/>
        </w:rPr>
        <w:t>Hoddinott</w:t>
      </w:r>
      <w:proofErr w:type="spellEnd"/>
      <w:r w:rsidRPr="00780CCE">
        <w:rPr>
          <w:rFonts w:ascii="Arial" w:eastAsia="Arial" w:hAnsi="Arial" w:cs="Arial"/>
        </w:rPr>
        <w:t>, J., &amp; Kinsey, B. (2006). Long term consequences of early childhood malnutrition. </w:t>
      </w:r>
      <w:r w:rsidRPr="00780CCE">
        <w:rPr>
          <w:rFonts w:ascii="Arial" w:eastAsia="Arial" w:hAnsi="Arial" w:cs="Arial"/>
          <w:i/>
          <w:iCs/>
        </w:rPr>
        <w:t>Oxford economic papers</w:t>
      </w:r>
      <w:r w:rsidRPr="00780CCE">
        <w:rPr>
          <w:rFonts w:ascii="Arial" w:eastAsia="Arial" w:hAnsi="Arial" w:cs="Arial"/>
        </w:rPr>
        <w:t>, </w:t>
      </w:r>
      <w:r w:rsidRPr="00780CCE">
        <w:rPr>
          <w:rFonts w:ascii="Arial" w:eastAsia="Arial" w:hAnsi="Arial" w:cs="Arial"/>
          <w:i/>
          <w:iCs/>
        </w:rPr>
        <w:t>58</w:t>
      </w:r>
      <w:r w:rsidRPr="00780CCE">
        <w:rPr>
          <w:rFonts w:ascii="Arial" w:eastAsia="Arial" w:hAnsi="Arial" w:cs="Arial"/>
        </w:rPr>
        <w:t>(3), 450-474. https://doi.org/10.1093/oep/gpl008</w:t>
      </w:r>
    </w:p>
    <w:p w14:paraId="1A1BFC9F"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lastRenderedPageBreak/>
        <w:t>Andrews, M., Pritchett, L., &amp; Woolcock, M. (2019). Building state capability: Evidence, analysis, action. Oxford University Press.</w:t>
      </w:r>
    </w:p>
    <w:p w14:paraId="3EB7109E"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https://doi.org/10.1093/oso/9780198792445.001.0001</w:t>
      </w:r>
    </w:p>
    <w:p w14:paraId="1005415D"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Armstrong, M. (2014). Armstrong’s handbook of human resource management practice (13th ed.). Kogan Page. </w:t>
      </w:r>
    </w:p>
    <w:p w14:paraId="34A93699" w14:textId="485B927D" w:rsidR="008F230A" w:rsidRPr="00780CCE" w:rsidRDefault="004B35D7"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Barnabas, B., </w:t>
      </w:r>
      <w:proofErr w:type="spellStart"/>
      <w:r w:rsidRPr="00780CCE">
        <w:rPr>
          <w:rFonts w:ascii="Arial" w:eastAsia="Arial" w:hAnsi="Arial" w:cs="Arial"/>
        </w:rPr>
        <w:t>Bavorova</w:t>
      </w:r>
      <w:proofErr w:type="spellEnd"/>
      <w:r w:rsidRPr="00780CCE">
        <w:rPr>
          <w:rFonts w:ascii="Arial" w:eastAsia="Arial" w:hAnsi="Arial" w:cs="Arial"/>
        </w:rPr>
        <w:t xml:space="preserve">, M., &amp; </w:t>
      </w:r>
      <w:proofErr w:type="spellStart"/>
      <w:r w:rsidRPr="00780CCE">
        <w:rPr>
          <w:rFonts w:ascii="Arial" w:eastAsia="Arial" w:hAnsi="Arial" w:cs="Arial"/>
        </w:rPr>
        <w:t>Madaki</w:t>
      </w:r>
      <w:proofErr w:type="spellEnd"/>
      <w:r w:rsidRPr="00780CCE">
        <w:rPr>
          <w:rFonts w:ascii="Arial" w:eastAsia="Arial" w:hAnsi="Arial" w:cs="Arial"/>
        </w:rPr>
        <w:t>, M. Y. (2024). The Effect of School Feeding Program on Pupils’ Enrolment, Attendance and Performance in Northeastern Region of Nigeria. </w:t>
      </w:r>
      <w:r w:rsidRPr="00780CCE">
        <w:rPr>
          <w:rFonts w:ascii="Arial" w:eastAsia="Arial" w:hAnsi="Arial" w:cs="Arial"/>
          <w:i/>
          <w:iCs/>
        </w:rPr>
        <w:t>SAGE Open</w:t>
      </w:r>
      <w:r w:rsidRPr="00780CCE">
        <w:rPr>
          <w:rFonts w:ascii="Arial" w:eastAsia="Arial" w:hAnsi="Arial" w:cs="Arial"/>
        </w:rPr>
        <w:t>, </w:t>
      </w:r>
      <w:r w:rsidRPr="00780CCE">
        <w:rPr>
          <w:rFonts w:ascii="Arial" w:eastAsia="Arial" w:hAnsi="Arial" w:cs="Arial"/>
          <w:i/>
          <w:iCs/>
        </w:rPr>
        <w:t>14</w:t>
      </w:r>
      <w:r w:rsidRPr="00780CCE">
        <w:rPr>
          <w:rFonts w:ascii="Arial" w:eastAsia="Arial" w:hAnsi="Arial" w:cs="Arial"/>
        </w:rPr>
        <w:t>(4), 21582440241255809.</w:t>
      </w:r>
      <w:r w:rsidR="005423ED" w:rsidRPr="00780CCE">
        <w:rPr>
          <w:rFonts w:ascii="Arial" w:eastAsia="Arial" w:hAnsi="Arial" w:cs="Arial"/>
        </w:rPr>
        <w:t xml:space="preserve"> https://doi.org/10.1177/21582440241255809</w:t>
      </w:r>
    </w:p>
    <w:p w14:paraId="52AB1C95"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Becker, G. S. (1964). Human capital: A theoretical and empirical analysis, with special reference to education. University of Chicago Press.</w:t>
      </w:r>
    </w:p>
    <w:p w14:paraId="09746AC1" w14:textId="2677C35A"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Bloom, D. E., Kuhn, M., &amp; </w:t>
      </w:r>
      <w:proofErr w:type="spellStart"/>
      <w:r w:rsidRPr="00780CCE">
        <w:rPr>
          <w:rFonts w:ascii="Arial" w:eastAsia="Arial" w:hAnsi="Arial" w:cs="Arial"/>
        </w:rPr>
        <w:t>Prettner</w:t>
      </w:r>
      <w:proofErr w:type="spellEnd"/>
      <w:r w:rsidRPr="00780CCE">
        <w:rPr>
          <w:rFonts w:ascii="Arial" w:eastAsia="Arial" w:hAnsi="Arial" w:cs="Arial"/>
        </w:rPr>
        <w:t xml:space="preserve">, K. (2019). Africa’s prospects for enjoying a demographic dividend. Journal of Economic Behavior &amp; Organization, 162, 231–246. </w:t>
      </w:r>
      <w:r w:rsidR="005423ED" w:rsidRPr="00780CCE">
        <w:rPr>
          <w:rFonts w:ascii="Arial" w:eastAsia="Arial" w:hAnsi="Arial" w:cs="Arial"/>
        </w:rPr>
        <w:t>https://doi.org/10.1017/dem.2016.19</w:t>
      </w:r>
    </w:p>
    <w:p w14:paraId="523033CC"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Bogardus, A. M. (2004). Human resources jumpstart. John Wiley &amp; Sons. Retrieved from https://catalogimages.wiley.com/images/db/pdf/078214344X.excerpt.pdf?utm_source=chatgpt.com</w:t>
      </w:r>
    </w:p>
    <w:p w14:paraId="1E3FF01A"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Boon, C., Den Hartog, D. N., &amp; </w:t>
      </w:r>
      <w:proofErr w:type="spellStart"/>
      <w:r w:rsidRPr="00780CCE">
        <w:rPr>
          <w:rFonts w:ascii="Arial" w:eastAsia="Arial" w:hAnsi="Arial" w:cs="Arial"/>
        </w:rPr>
        <w:t>Lepak</w:t>
      </w:r>
      <w:proofErr w:type="spellEnd"/>
      <w:r w:rsidRPr="00780CCE">
        <w:rPr>
          <w:rFonts w:ascii="Arial" w:eastAsia="Arial" w:hAnsi="Arial" w:cs="Arial"/>
        </w:rPr>
        <w:t>, D. P. (2019). A systematic review of human resource management systems and their measurement. Journal of Management, 45(6), 2498–2537.</w:t>
      </w:r>
    </w:p>
    <w:p w14:paraId="15EAEADE"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https://doi.org/10.1177/0149206318818718</w:t>
      </w:r>
    </w:p>
    <w:p w14:paraId="7040FCD2"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Boxall, P., &amp; Purcell, J. (2016). Strategy and human resource management (4th ed.). Palgrave Macmillan. </w:t>
      </w:r>
    </w:p>
    <w:p w14:paraId="082FEAA5"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Boxall, P., Guthrie, J. P., &amp; </w:t>
      </w:r>
      <w:proofErr w:type="spellStart"/>
      <w:r w:rsidRPr="00780CCE">
        <w:rPr>
          <w:rFonts w:ascii="Arial" w:eastAsia="Arial" w:hAnsi="Arial" w:cs="Arial"/>
        </w:rPr>
        <w:t>Paauwe</w:t>
      </w:r>
      <w:proofErr w:type="spellEnd"/>
      <w:r w:rsidRPr="00780CCE">
        <w:rPr>
          <w:rFonts w:ascii="Arial" w:eastAsia="Arial" w:hAnsi="Arial" w:cs="Arial"/>
        </w:rPr>
        <w:t>, J. (2020). Progressing our understanding of the AMO framework: The role of ability, motivation and opportunity. Human Resource Management Journal, 30(3), 1–16.</w:t>
      </w:r>
    </w:p>
    <w:p w14:paraId="31497437"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https://doi.org/10.1111/1748-8583.12228</w:t>
      </w:r>
    </w:p>
    <w:p w14:paraId="092E7FE4" w14:textId="69B4BE04"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Cunha, F., Heckman, J. J., &amp; </w:t>
      </w:r>
      <w:proofErr w:type="spellStart"/>
      <w:r w:rsidRPr="00780CCE">
        <w:rPr>
          <w:rFonts w:ascii="Arial" w:eastAsia="Arial" w:hAnsi="Arial" w:cs="Arial"/>
        </w:rPr>
        <w:t>Schennach</w:t>
      </w:r>
      <w:proofErr w:type="spellEnd"/>
      <w:r w:rsidRPr="00780CCE">
        <w:rPr>
          <w:rFonts w:ascii="Arial" w:eastAsia="Arial" w:hAnsi="Arial" w:cs="Arial"/>
        </w:rPr>
        <w:t xml:space="preserve">, S. M. (2021). Estimating the technology of cognitive and noncognitive skill formation. American Economic Review, 111(6), 1937–1976. </w:t>
      </w:r>
      <w:r w:rsidR="00947489" w:rsidRPr="00780CCE">
        <w:rPr>
          <w:rFonts w:ascii="Arial" w:eastAsia="Arial" w:hAnsi="Arial" w:cs="Arial"/>
        </w:rPr>
        <w:t>https://doi.org/10.3982/ECTA6551</w:t>
      </w:r>
    </w:p>
    <w:p w14:paraId="57ED0DAA"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De </w:t>
      </w:r>
      <w:proofErr w:type="spellStart"/>
      <w:r w:rsidRPr="00780CCE">
        <w:rPr>
          <w:rFonts w:ascii="Arial" w:eastAsia="Arial" w:hAnsi="Arial" w:cs="Arial"/>
        </w:rPr>
        <w:t>Jonge</w:t>
      </w:r>
      <w:proofErr w:type="spellEnd"/>
      <w:r w:rsidRPr="00780CCE">
        <w:rPr>
          <w:rFonts w:ascii="Arial" w:eastAsia="Arial" w:hAnsi="Arial" w:cs="Arial"/>
        </w:rPr>
        <w:t xml:space="preserve">, J., </w:t>
      </w:r>
      <w:proofErr w:type="spellStart"/>
      <w:r w:rsidRPr="00780CCE">
        <w:rPr>
          <w:rFonts w:ascii="Arial" w:eastAsia="Arial" w:hAnsi="Arial" w:cs="Arial"/>
        </w:rPr>
        <w:t>Peeters</w:t>
      </w:r>
      <w:proofErr w:type="spellEnd"/>
      <w:r w:rsidRPr="00780CCE">
        <w:rPr>
          <w:rFonts w:ascii="Arial" w:eastAsia="Arial" w:hAnsi="Arial" w:cs="Arial"/>
        </w:rPr>
        <w:t xml:space="preserve">, M. C. W., &amp; </w:t>
      </w:r>
      <w:proofErr w:type="spellStart"/>
      <w:r w:rsidRPr="00780CCE">
        <w:rPr>
          <w:rFonts w:ascii="Arial" w:eastAsia="Arial" w:hAnsi="Arial" w:cs="Arial"/>
        </w:rPr>
        <w:t>Taris</w:t>
      </w:r>
      <w:proofErr w:type="spellEnd"/>
      <w:r w:rsidRPr="00780CCE">
        <w:rPr>
          <w:rFonts w:ascii="Arial" w:eastAsia="Arial" w:hAnsi="Arial" w:cs="Arial"/>
        </w:rPr>
        <w:t>, T. W. (2020). Feeling vital or fatigued? Relations with job demands and resources. International Journal of Environmental Research and Public Health, 17(3), 742.</w:t>
      </w:r>
    </w:p>
    <w:p w14:paraId="3C3229AB"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https://doi.org/10.3390/ijerph17030742</w:t>
      </w:r>
    </w:p>
    <w:p w14:paraId="6B756913"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Deming, D. J. (2022). Four facts about human capital. Journal of Economic Perspectives, 36(3), 75–102.</w:t>
      </w:r>
    </w:p>
    <w:p w14:paraId="124CE395"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https://doi.org/10.1257/jep.36.3.75</w:t>
      </w:r>
    </w:p>
    <w:p w14:paraId="2AC39157"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Denhardt, J. V., &amp; Denhardt, R. B. (2015). The new public service: Serving, not steering. Routledge.</w:t>
      </w:r>
    </w:p>
    <w:p w14:paraId="6B33CC3D"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Febryanti</w:t>
      </w:r>
      <w:proofErr w:type="spellEnd"/>
      <w:r w:rsidRPr="00780CCE">
        <w:rPr>
          <w:rFonts w:ascii="Arial" w:eastAsia="Arial" w:hAnsi="Arial" w:cs="Arial"/>
        </w:rPr>
        <w:t xml:space="preserve">, I., </w:t>
      </w:r>
      <w:proofErr w:type="spellStart"/>
      <w:r w:rsidRPr="00780CCE">
        <w:rPr>
          <w:rFonts w:ascii="Arial" w:eastAsia="Arial" w:hAnsi="Arial" w:cs="Arial"/>
        </w:rPr>
        <w:t>Indiati</w:t>
      </w:r>
      <w:proofErr w:type="spellEnd"/>
      <w:r w:rsidRPr="00780CCE">
        <w:rPr>
          <w:rFonts w:ascii="Arial" w:eastAsia="Arial" w:hAnsi="Arial" w:cs="Arial"/>
        </w:rPr>
        <w:t xml:space="preserve">, I., Pane, M. A., &amp; </w:t>
      </w:r>
      <w:proofErr w:type="spellStart"/>
      <w:r w:rsidRPr="00780CCE">
        <w:rPr>
          <w:rFonts w:ascii="Arial" w:eastAsia="Arial" w:hAnsi="Arial" w:cs="Arial"/>
        </w:rPr>
        <w:t>Astuti</w:t>
      </w:r>
      <w:proofErr w:type="spellEnd"/>
      <w:r w:rsidRPr="00780CCE">
        <w:rPr>
          <w:rFonts w:ascii="Arial" w:eastAsia="Arial" w:hAnsi="Arial" w:cs="Arial"/>
        </w:rPr>
        <w:t xml:space="preserve">, P. (2025). </w:t>
      </w:r>
      <w:proofErr w:type="spellStart"/>
      <w:r w:rsidRPr="00780CCE">
        <w:rPr>
          <w:rFonts w:ascii="Arial" w:eastAsia="Arial" w:hAnsi="Arial" w:cs="Arial"/>
        </w:rPr>
        <w:t>Implementasi</w:t>
      </w:r>
      <w:proofErr w:type="spellEnd"/>
      <w:r w:rsidRPr="00780CCE">
        <w:rPr>
          <w:rFonts w:ascii="Arial" w:eastAsia="Arial" w:hAnsi="Arial" w:cs="Arial"/>
        </w:rPr>
        <w:t xml:space="preserve"> </w:t>
      </w:r>
      <w:proofErr w:type="spellStart"/>
      <w:r w:rsidRPr="00780CCE">
        <w:rPr>
          <w:rFonts w:ascii="Arial" w:eastAsia="Arial" w:hAnsi="Arial" w:cs="Arial"/>
        </w:rPr>
        <w:t>kebijakan</w:t>
      </w:r>
      <w:proofErr w:type="spellEnd"/>
      <w:r w:rsidRPr="00780CCE">
        <w:rPr>
          <w:rFonts w:ascii="Arial" w:eastAsia="Arial" w:hAnsi="Arial" w:cs="Arial"/>
        </w:rPr>
        <w:t xml:space="preserve"> </w:t>
      </w:r>
      <w:proofErr w:type="spellStart"/>
      <w:r w:rsidRPr="00780CCE">
        <w:rPr>
          <w:rFonts w:ascii="Arial" w:eastAsia="Arial" w:hAnsi="Arial" w:cs="Arial"/>
        </w:rPr>
        <w:t>makan</w:t>
      </w:r>
      <w:proofErr w:type="spellEnd"/>
      <w:r w:rsidRPr="00780CCE">
        <w:rPr>
          <w:rFonts w:ascii="Arial" w:eastAsia="Arial" w:hAnsi="Arial" w:cs="Arial"/>
        </w:rPr>
        <w:t xml:space="preserve"> </w:t>
      </w:r>
      <w:proofErr w:type="spellStart"/>
      <w:r w:rsidRPr="00780CCE">
        <w:rPr>
          <w:rFonts w:ascii="Arial" w:eastAsia="Arial" w:hAnsi="Arial" w:cs="Arial"/>
        </w:rPr>
        <w:t>bergizi</w:t>
      </w:r>
      <w:proofErr w:type="spellEnd"/>
      <w:r w:rsidRPr="00780CCE">
        <w:rPr>
          <w:rFonts w:ascii="Arial" w:eastAsia="Arial" w:hAnsi="Arial" w:cs="Arial"/>
        </w:rPr>
        <w:t xml:space="preserve"> gratis (</w:t>
      </w:r>
      <w:proofErr w:type="spellStart"/>
      <w:r w:rsidRPr="00780CCE">
        <w:rPr>
          <w:rFonts w:ascii="Arial" w:eastAsia="Arial" w:hAnsi="Arial" w:cs="Arial"/>
        </w:rPr>
        <w:t>studi</w:t>
      </w:r>
      <w:proofErr w:type="spellEnd"/>
      <w:r w:rsidRPr="00780CCE">
        <w:rPr>
          <w:rFonts w:ascii="Arial" w:eastAsia="Arial" w:hAnsi="Arial" w:cs="Arial"/>
        </w:rPr>
        <w:t xml:space="preserve"> </w:t>
      </w:r>
      <w:proofErr w:type="spellStart"/>
      <w:r w:rsidRPr="00780CCE">
        <w:rPr>
          <w:rFonts w:ascii="Arial" w:eastAsia="Arial" w:hAnsi="Arial" w:cs="Arial"/>
        </w:rPr>
        <w:t>kasus</w:t>
      </w:r>
      <w:proofErr w:type="spellEnd"/>
      <w:r w:rsidRPr="00780CCE">
        <w:rPr>
          <w:rFonts w:ascii="Arial" w:eastAsia="Arial" w:hAnsi="Arial" w:cs="Arial"/>
        </w:rPr>
        <w:t xml:space="preserve"> pada SDN 3 </w:t>
      </w:r>
      <w:proofErr w:type="spellStart"/>
      <w:r w:rsidRPr="00780CCE">
        <w:rPr>
          <w:rFonts w:ascii="Arial" w:eastAsia="Arial" w:hAnsi="Arial" w:cs="Arial"/>
        </w:rPr>
        <w:t>Kepanjen</w:t>
      </w:r>
      <w:proofErr w:type="spellEnd"/>
      <w:r w:rsidRPr="00780CCE">
        <w:rPr>
          <w:rFonts w:ascii="Arial" w:eastAsia="Arial" w:hAnsi="Arial" w:cs="Arial"/>
        </w:rPr>
        <w:t xml:space="preserve"> </w:t>
      </w:r>
      <w:proofErr w:type="spellStart"/>
      <w:r w:rsidRPr="00780CCE">
        <w:rPr>
          <w:rFonts w:ascii="Arial" w:eastAsia="Arial" w:hAnsi="Arial" w:cs="Arial"/>
        </w:rPr>
        <w:t>Kabupaten</w:t>
      </w:r>
      <w:proofErr w:type="spellEnd"/>
      <w:r w:rsidRPr="00780CCE">
        <w:rPr>
          <w:rFonts w:ascii="Arial" w:eastAsia="Arial" w:hAnsi="Arial" w:cs="Arial"/>
        </w:rPr>
        <w:t xml:space="preserve"> Malang). Dialogue: </w:t>
      </w:r>
      <w:proofErr w:type="spellStart"/>
      <w:r w:rsidRPr="00780CCE">
        <w:rPr>
          <w:rFonts w:ascii="Arial" w:eastAsia="Arial" w:hAnsi="Arial" w:cs="Arial"/>
        </w:rPr>
        <w:t>Jurnal</w:t>
      </w:r>
      <w:proofErr w:type="spellEnd"/>
      <w:r w:rsidRPr="00780CCE">
        <w:rPr>
          <w:rFonts w:ascii="Arial" w:eastAsia="Arial" w:hAnsi="Arial" w:cs="Arial"/>
        </w:rPr>
        <w:t xml:space="preserve"> </w:t>
      </w:r>
      <w:proofErr w:type="spellStart"/>
      <w:r w:rsidRPr="00780CCE">
        <w:rPr>
          <w:rFonts w:ascii="Arial" w:eastAsia="Arial" w:hAnsi="Arial" w:cs="Arial"/>
        </w:rPr>
        <w:t>Ilmu</w:t>
      </w:r>
      <w:proofErr w:type="spellEnd"/>
      <w:r w:rsidRPr="00780CCE">
        <w:rPr>
          <w:rFonts w:ascii="Arial" w:eastAsia="Arial" w:hAnsi="Arial" w:cs="Arial"/>
        </w:rPr>
        <w:t xml:space="preserve"> </w:t>
      </w:r>
      <w:proofErr w:type="spellStart"/>
      <w:r w:rsidRPr="00780CCE">
        <w:rPr>
          <w:rFonts w:ascii="Arial" w:eastAsia="Arial" w:hAnsi="Arial" w:cs="Arial"/>
        </w:rPr>
        <w:t>Administrasi</w:t>
      </w:r>
      <w:proofErr w:type="spellEnd"/>
      <w:r w:rsidRPr="00780CCE">
        <w:rPr>
          <w:rFonts w:ascii="Arial" w:eastAsia="Arial" w:hAnsi="Arial" w:cs="Arial"/>
        </w:rPr>
        <w:t xml:space="preserve"> </w:t>
      </w:r>
      <w:proofErr w:type="spellStart"/>
      <w:r w:rsidRPr="00780CCE">
        <w:rPr>
          <w:rFonts w:ascii="Arial" w:eastAsia="Arial" w:hAnsi="Arial" w:cs="Arial"/>
        </w:rPr>
        <w:t>Publik</w:t>
      </w:r>
      <w:proofErr w:type="spellEnd"/>
      <w:r w:rsidRPr="00780CCE">
        <w:rPr>
          <w:rFonts w:ascii="Arial" w:eastAsia="Arial" w:hAnsi="Arial" w:cs="Arial"/>
        </w:rPr>
        <w:t>, 7(1).</w:t>
      </w:r>
    </w:p>
    <w:p w14:paraId="3D2F1F52"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https://doi.org/10.14710/dialogue.v7i1.26628</w:t>
      </w:r>
    </w:p>
    <w:p w14:paraId="011469B2" w14:textId="13425B36" w:rsidR="00F357FC"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Guest, D. E. (2019). Human resource management and employee well</w:t>
      </w:r>
      <w:r w:rsidRPr="00780CCE">
        <w:rPr>
          <w:rFonts w:ascii="Cambria Math" w:eastAsia="Arial" w:hAnsi="Cambria Math" w:cs="Cambria Math"/>
        </w:rPr>
        <w:t>‐</w:t>
      </w:r>
      <w:r w:rsidRPr="00780CCE">
        <w:rPr>
          <w:rFonts w:ascii="Arial" w:eastAsia="Arial" w:hAnsi="Arial" w:cs="Arial"/>
        </w:rPr>
        <w:t>being: Towards a new analytic framework. Human Resource Management Journal, 29(1), 1–17.</w:t>
      </w:r>
      <w:r w:rsidR="00F357FC" w:rsidRPr="00780CCE">
        <w:rPr>
          <w:rFonts w:ascii="Arial" w:eastAsia="Arial" w:hAnsi="Arial" w:cs="Arial"/>
        </w:rPr>
        <w:t xml:space="preserve"> https://doi.org/10.1111/1748-8583.12139 </w:t>
      </w:r>
    </w:p>
    <w:p w14:paraId="6B9C112B" w14:textId="7579009E" w:rsidR="00E351A2" w:rsidRPr="00780CCE" w:rsidRDefault="00E351A2"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Hanushek, E. A., &amp; </w:t>
      </w:r>
      <w:proofErr w:type="spellStart"/>
      <w:r w:rsidRPr="00780CCE">
        <w:rPr>
          <w:rFonts w:ascii="Arial" w:eastAsia="Arial" w:hAnsi="Arial" w:cs="Arial"/>
        </w:rPr>
        <w:t>Woessmann</w:t>
      </w:r>
      <w:proofErr w:type="spellEnd"/>
      <w:r w:rsidRPr="00780CCE">
        <w:rPr>
          <w:rFonts w:ascii="Arial" w:eastAsia="Arial" w:hAnsi="Arial" w:cs="Arial"/>
        </w:rPr>
        <w:t>, L. (2020). Education, knowledge capital, and economic growth. </w:t>
      </w:r>
      <w:r w:rsidRPr="00780CCE">
        <w:rPr>
          <w:rFonts w:ascii="Arial" w:eastAsia="Arial" w:hAnsi="Arial" w:cs="Arial"/>
          <w:i/>
          <w:iCs/>
        </w:rPr>
        <w:t>The economics of education</w:t>
      </w:r>
      <w:r w:rsidRPr="00780CCE">
        <w:rPr>
          <w:rFonts w:ascii="Arial" w:eastAsia="Arial" w:hAnsi="Arial" w:cs="Arial"/>
        </w:rPr>
        <w:t>, 171-182. https://doi.org/10.1016/B978-0-12-815391-8.00014-8</w:t>
      </w:r>
    </w:p>
    <w:p w14:paraId="560EA428"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Kiftiyah</w:t>
      </w:r>
      <w:proofErr w:type="spellEnd"/>
      <w:r w:rsidRPr="00780CCE">
        <w:rPr>
          <w:rFonts w:ascii="Arial" w:eastAsia="Arial" w:hAnsi="Arial" w:cs="Arial"/>
        </w:rPr>
        <w:t xml:space="preserve">, A., </w:t>
      </w:r>
      <w:proofErr w:type="spellStart"/>
      <w:r w:rsidRPr="00780CCE">
        <w:rPr>
          <w:rFonts w:ascii="Arial" w:eastAsia="Arial" w:hAnsi="Arial" w:cs="Arial"/>
        </w:rPr>
        <w:t>Palestina</w:t>
      </w:r>
      <w:proofErr w:type="spellEnd"/>
      <w:r w:rsidRPr="00780CCE">
        <w:rPr>
          <w:rFonts w:ascii="Arial" w:eastAsia="Arial" w:hAnsi="Arial" w:cs="Arial"/>
        </w:rPr>
        <w:t xml:space="preserve">, F. A., </w:t>
      </w:r>
      <w:proofErr w:type="spellStart"/>
      <w:r w:rsidRPr="00780CCE">
        <w:rPr>
          <w:rFonts w:ascii="Arial" w:eastAsia="Arial" w:hAnsi="Arial" w:cs="Arial"/>
        </w:rPr>
        <w:t>Abshar</w:t>
      </w:r>
      <w:proofErr w:type="spellEnd"/>
      <w:r w:rsidRPr="00780CCE">
        <w:rPr>
          <w:rFonts w:ascii="Arial" w:eastAsia="Arial" w:hAnsi="Arial" w:cs="Arial"/>
        </w:rPr>
        <w:t xml:space="preserve">, F. U., &amp; </w:t>
      </w:r>
      <w:proofErr w:type="spellStart"/>
      <w:r w:rsidRPr="00780CCE">
        <w:rPr>
          <w:rFonts w:ascii="Arial" w:eastAsia="Arial" w:hAnsi="Arial" w:cs="Arial"/>
        </w:rPr>
        <w:t>Rofiah</w:t>
      </w:r>
      <w:proofErr w:type="spellEnd"/>
      <w:r w:rsidRPr="00780CCE">
        <w:rPr>
          <w:rFonts w:ascii="Arial" w:eastAsia="Arial" w:hAnsi="Arial" w:cs="Arial"/>
        </w:rPr>
        <w:t xml:space="preserve">, K. (2025). </w:t>
      </w:r>
      <w:proofErr w:type="spellStart"/>
      <w:r w:rsidRPr="00780CCE">
        <w:rPr>
          <w:rFonts w:ascii="Arial" w:eastAsia="Arial" w:hAnsi="Arial" w:cs="Arial"/>
        </w:rPr>
        <w:t>Makan</w:t>
      </w:r>
      <w:proofErr w:type="spellEnd"/>
      <w:r w:rsidRPr="00780CCE">
        <w:rPr>
          <w:rFonts w:ascii="Arial" w:eastAsia="Arial" w:hAnsi="Arial" w:cs="Arial"/>
        </w:rPr>
        <w:t xml:space="preserve"> </w:t>
      </w:r>
      <w:proofErr w:type="spellStart"/>
      <w:r w:rsidRPr="00780CCE">
        <w:rPr>
          <w:rFonts w:ascii="Arial" w:eastAsia="Arial" w:hAnsi="Arial" w:cs="Arial"/>
        </w:rPr>
        <w:t>bergizi</w:t>
      </w:r>
      <w:proofErr w:type="spellEnd"/>
      <w:r w:rsidRPr="00780CCE">
        <w:rPr>
          <w:rFonts w:ascii="Arial" w:eastAsia="Arial" w:hAnsi="Arial" w:cs="Arial"/>
        </w:rPr>
        <w:t xml:space="preserve"> gratis (MBG) program in the perspective of social justice and socio-political dynamics. PANCASILA: </w:t>
      </w:r>
      <w:proofErr w:type="spellStart"/>
      <w:r w:rsidRPr="00780CCE">
        <w:rPr>
          <w:rFonts w:ascii="Arial" w:eastAsia="Arial" w:hAnsi="Arial" w:cs="Arial"/>
        </w:rPr>
        <w:t>Jurnal</w:t>
      </w:r>
      <w:proofErr w:type="spellEnd"/>
      <w:r w:rsidRPr="00780CCE">
        <w:rPr>
          <w:rFonts w:ascii="Arial" w:eastAsia="Arial" w:hAnsi="Arial" w:cs="Arial"/>
        </w:rPr>
        <w:t xml:space="preserve"> </w:t>
      </w:r>
      <w:proofErr w:type="spellStart"/>
      <w:r w:rsidRPr="00780CCE">
        <w:rPr>
          <w:rFonts w:ascii="Arial" w:eastAsia="Arial" w:hAnsi="Arial" w:cs="Arial"/>
        </w:rPr>
        <w:t>Keindonesiaan</w:t>
      </w:r>
      <w:proofErr w:type="spellEnd"/>
      <w:r w:rsidRPr="00780CCE">
        <w:rPr>
          <w:rFonts w:ascii="Arial" w:eastAsia="Arial" w:hAnsi="Arial" w:cs="Arial"/>
        </w:rPr>
        <w:t>, 5(1).</w:t>
      </w:r>
    </w:p>
    <w:p w14:paraId="0ABC6C73" w14:textId="4E5E23AF"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lastRenderedPageBreak/>
        <w:t>Lengnick</w:t>
      </w:r>
      <w:proofErr w:type="spellEnd"/>
      <w:r w:rsidRPr="00780CCE">
        <w:rPr>
          <w:rFonts w:ascii="Arial" w:eastAsia="Arial" w:hAnsi="Arial" w:cs="Arial"/>
        </w:rPr>
        <w:t xml:space="preserve">-Hall, M. L., </w:t>
      </w:r>
      <w:proofErr w:type="spellStart"/>
      <w:r w:rsidRPr="00780CCE">
        <w:rPr>
          <w:rFonts w:ascii="Arial" w:eastAsia="Arial" w:hAnsi="Arial" w:cs="Arial"/>
        </w:rPr>
        <w:t>Lengnick</w:t>
      </w:r>
      <w:proofErr w:type="spellEnd"/>
      <w:r w:rsidRPr="00780CCE">
        <w:rPr>
          <w:rFonts w:ascii="Arial" w:eastAsia="Arial" w:hAnsi="Arial" w:cs="Arial"/>
        </w:rPr>
        <w:t>-Hall, C. A., Andrade, L. S., &amp; Drake, B. (2021). Strategic human resource management: The evolution of the field. Human Resource Management Review, 31(2), 100804.</w:t>
      </w:r>
    </w:p>
    <w:p w14:paraId="03EF305C"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Merlinda</w:t>
      </w:r>
      <w:proofErr w:type="spellEnd"/>
      <w:r w:rsidRPr="00780CCE">
        <w:rPr>
          <w:rFonts w:ascii="Arial" w:eastAsia="Arial" w:hAnsi="Arial" w:cs="Arial"/>
        </w:rPr>
        <w:t>, A. A., &amp; Yusuf, Y. (2025). “</w:t>
      </w:r>
      <w:proofErr w:type="spellStart"/>
      <w:r w:rsidRPr="00780CCE">
        <w:rPr>
          <w:rFonts w:ascii="Arial" w:eastAsia="Arial" w:hAnsi="Arial" w:cs="Arial"/>
        </w:rPr>
        <w:t>Analisis</w:t>
      </w:r>
      <w:proofErr w:type="spellEnd"/>
      <w:r w:rsidRPr="00780CCE">
        <w:rPr>
          <w:rFonts w:ascii="Arial" w:eastAsia="Arial" w:hAnsi="Arial" w:cs="Arial"/>
        </w:rPr>
        <w:t xml:space="preserve"> Program </w:t>
      </w:r>
      <w:proofErr w:type="spellStart"/>
      <w:r w:rsidRPr="00780CCE">
        <w:rPr>
          <w:rFonts w:ascii="Arial" w:eastAsia="Arial" w:hAnsi="Arial" w:cs="Arial"/>
        </w:rPr>
        <w:t>Makan</w:t>
      </w:r>
      <w:proofErr w:type="spellEnd"/>
      <w:r w:rsidRPr="00780CCE">
        <w:rPr>
          <w:rFonts w:ascii="Arial" w:eastAsia="Arial" w:hAnsi="Arial" w:cs="Arial"/>
        </w:rPr>
        <w:t xml:space="preserve"> Gratis Prabowo </w:t>
      </w:r>
      <w:proofErr w:type="spellStart"/>
      <w:r w:rsidRPr="00780CCE">
        <w:rPr>
          <w:rFonts w:ascii="Arial" w:eastAsia="Arial" w:hAnsi="Arial" w:cs="Arial"/>
        </w:rPr>
        <w:t>Subianto</w:t>
      </w:r>
      <w:proofErr w:type="spellEnd"/>
      <w:r w:rsidRPr="00780CCE">
        <w:rPr>
          <w:rFonts w:ascii="Arial" w:eastAsia="Arial" w:hAnsi="Arial" w:cs="Arial"/>
        </w:rPr>
        <w:t xml:space="preserve"> </w:t>
      </w:r>
      <w:proofErr w:type="spellStart"/>
      <w:r w:rsidRPr="00780CCE">
        <w:rPr>
          <w:rFonts w:ascii="Arial" w:eastAsia="Arial" w:hAnsi="Arial" w:cs="Arial"/>
        </w:rPr>
        <w:t>Terhadap</w:t>
      </w:r>
      <w:proofErr w:type="spellEnd"/>
      <w:r w:rsidRPr="00780CCE">
        <w:rPr>
          <w:rFonts w:ascii="Arial" w:eastAsia="Arial" w:hAnsi="Arial" w:cs="Arial"/>
        </w:rPr>
        <w:t xml:space="preserve"> </w:t>
      </w:r>
      <w:proofErr w:type="spellStart"/>
      <w:r w:rsidRPr="00780CCE">
        <w:rPr>
          <w:rFonts w:ascii="Arial" w:eastAsia="Arial" w:hAnsi="Arial" w:cs="Arial"/>
        </w:rPr>
        <w:t>Strategi</w:t>
      </w:r>
      <w:proofErr w:type="spellEnd"/>
      <w:r w:rsidRPr="00780CCE">
        <w:rPr>
          <w:rFonts w:ascii="Arial" w:eastAsia="Arial" w:hAnsi="Arial" w:cs="Arial"/>
        </w:rPr>
        <w:t xml:space="preserve"> </w:t>
      </w:r>
      <w:proofErr w:type="spellStart"/>
      <w:r w:rsidRPr="00780CCE">
        <w:rPr>
          <w:rFonts w:ascii="Arial" w:eastAsia="Arial" w:hAnsi="Arial" w:cs="Arial"/>
        </w:rPr>
        <w:t>Peningkatan</w:t>
      </w:r>
      <w:proofErr w:type="spellEnd"/>
      <w:r w:rsidRPr="00780CCE">
        <w:rPr>
          <w:rFonts w:ascii="Arial" w:eastAsia="Arial" w:hAnsi="Arial" w:cs="Arial"/>
        </w:rPr>
        <w:t xml:space="preserve"> </w:t>
      </w:r>
      <w:proofErr w:type="spellStart"/>
      <w:r w:rsidRPr="00780CCE">
        <w:rPr>
          <w:rFonts w:ascii="Arial" w:eastAsia="Arial" w:hAnsi="Arial" w:cs="Arial"/>
        </w:rPr>
        <w:t>Motivasi</w:t>
      </w:r>
      <w:proofErr w:type="spellEnd"/>
      <w:r w:rsidRPr="00780CCE">
        <w:rPr>
          <w:rFonts w:ascii="Arial" w:eastAsia="Arial" w:hAnsi="Arial" w:cs="Arial"/>
        </w:rPr>
        <w:t xml:space="preserve"> </w:t>
      </w:r>
      <w:proofErr w:type="spellStart"/>
      <w:r w:rsidRPr="00780CCE">
        <w:rPr>
          <w:rFonts w:ascii="Arial" w:eastAsia="Arial" w:hAnsi="Arial" w:cs="Arial"/>
        </w:rPr>
        <w:t>Belajar</w:t>
      </w:r>
      <w:proofErr w:type="spellEnd"/>
      <w:r w:rsidRPr="00780CCE">
        <w:rPr>
          <w:rFonts w:ascii="Arial" w:eastAsia="Arial" w:hAnsi="Arial" w:cs="Arial"/>
        </w:rPr>
        <w:t xml:space="preserve"> </w:t>
      </w:r>
      <w:proofErr w:type="spellStart"/>
      <w:r w:rsidRPr="00780CCE">
        <w:rPr>
          <w:rFonts w:ascii="Arial" w:eastAsia="Arial" w:hAnsi="Arial" w:cs="Arial"/>
        </w:rPr>
        <w:t>Siswa</w:t>
      </w:r>
      <w:proofErr w:type="spellEnd"/>
      <w:r w:rsidRPr="00780CCE">
        <w:rPr>
          <w:rFonts w:ascii="Arial" w:eastAsia="Arial" w:hAnsi="Arial" w:cs="Arial"/>
        </w:rPr>
        <w:t xml:space="preserve"> di </w:t>
      </w:r>
      <w:proofErr w:type="spellStart"/>
      <w:r w:rsidRPr="00780CCE">
        <w:rPr>
          <w:rFonts w:ascii="Arial" w:eastAsia="Arial" w:hAnsi="Arial" w:cs="Arial"/>
        </w:rPr>
        <w:t>Sekolah</w:t>
      </w:r>
      <w:proofErr w:type="spellEnd"/>
      <w:r w:rsidRPr="00780CCE">
        <w:rPr>
          <w:rFonts w:ascii="Arial" w:eastAsia="Arial" w:hAnsi="Arial" w:cs="Arial"/>
        </w:rPr>
        <w:t xml:space="preserve"> </w:t>
      </w:r>
      <w:proofErr w:type="spellStart"/>
      <w:r w:rsidRPr="00780CCE">
        <w:rPr>
          <w:rFonts w:ascii="Arial" w:eastAsia="Arial" w:hAnsi="Arial" w:cs="Arial"/>
        </w:rPr>
        <w:t>Tinjauan</w:t>
      </w:r>
      <w:proofErr w:type="spellEnd"/>
      <w:r w:rsidRPr="00780CCE">
        <w:rPr>
          <w:rFonts w:ascii="Arial" w:eastAsia="Arial" w:hAnsi="Arial" w:cs="Arial"/>
        </w:rPr>
        <w:t xml:space="preserve"> </w:t>
      </w:r>
      <w:proofErr w:type="spellStart"/>
      <w:r w:rsidRPr="00780CCE">
        <w:rPr>
          <w:rFonts w:ascii="Arial" w:eastAsia="Arial" w:hAnsi="Arial" w:cs="Arial"/>
        </w:rPr>
        <w:t>dari</w:t>
      </w:r>
      <w:proofErr w:type="spellEnd"/>
      <w:r w:rsidRPr="00780CCE">
        <w:rPr>
          <w:rFonts w:ascii="Arial" w:eastAsia="Arial" w:hAnsi="Arial" w:cs="Arial"/>
        </w:rPr>
        <w:t xml:space="preserve"> </w:t>
      </w:r>
      <w:proofErr w:type="spellStart"/>
      <w:r w:rsidRPr="00780CCE">
        <w:rPr>
          <w:rFonts w:ascii="Arial" w:eastAsia="Arial" w:hAnsi="Arial" w:cs="Arial"/>
        </w:rPr>
        <w:t>Perspektif</w:t>
      </w:r>
      <w:proofErr w:type="spellEnd"/>
      <w:r w:rsidRPr="00780CCE">
        <w:rPr>
          <w:rFonts w:ascii="Arial" w:eastAsia="Arial" w:hAnsi="Arial" w:cs="Arial"/>
        </w:rPr>
        <w:t xml:space="preserve"> </w:t>
      </w:r>
      <w:proofErr w:type="spellStart"/>
      <w:r w:rsidRPr="00780CCE">
        <w:rPr>
          <w:rFonts w:ascii="Arial" w:eastAsia="Arial" w:hAnsi="Arial" w:cs="Arial"/>
        </w:rPr>
        <w:t>Sosiologi</w:t>
      </w:r>
      <w:proofErr w:type="spellEnd"/>
      <w:r w:rsidRPr="00780CCE">
        <w:rPr>
          <w:rFonts w:ascii="Arial" w:eastAsia="Arial" w:hAnsi="Arial" w:cs="Arial"/>
        </w:rPr>
        <w:t xml:space="preserve"> Pendidikan”. </w:t>
      </w:r>
      <w:proofErr w:type="spellStart"/>
      <w:r w:rsidRPr="00780CCE">
        <w:rPr>
          <w:rFonts w:ascii="Arial" w:eastAsia="Arial" w:hAnsi="Arial" w:cs="Arial"/>
        </w:rPr>
        <w:t>Ranah</w:t>
      </w:r>
      <w:proofErr w:type="spellEnd"/>
      <w:r w:rsidRPr="00780CCE">
        <w:rPr>
          <w:rFonts w:ascii="Arial" w:eastAsia="Arial" w:hAnsi="Arial" w:cs="Arial"/>
        </w:rPr>
        <w:t xml:space="preserve"> Research: </w:t>
      </w:r>
      <w:proofErr w:type="spellStart"/>
      <w:r w:rsidRPr="00780CCE">
        <w:rPr>
          <w:rFonts w:ascii="Arial" w:eastAsia="Arial" w:hAnsi="Arial" w:cs="Arial"/>
        </w:rPr>
        <w:t>Jurnal</w:t>
      </w:r>
      <w:proofErr w:type="spellEnd"/>
      <w:r w:rsidRPr="00780CCE">
        <w:rPr>
          <w:rFonts w:ascii="Arial" w:eastAsia="Arial" w:hAnsi="Arial" w:cs="Arial"/>
        </w:rPr>
        <w:t xml:space="preserve"> of Multidisciplinary Research and Development, 7(2). </w:t>
      </w:r>
    </w:p>
    <w:p w14:paraId="0A1EE1D0"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OECD. (2020). Improving evaluation practices for public policies. OECD Publishing.</w:t>
      </w:r>
    </w:p>
    <w:p w14:paraId="1FA7BDDD"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Peraturan</w:t>
      </w:r>
      <w:proofErr w:type="spellEnd"/>
      <w:r w:rsidRPr="00780CCE">
        <w:rPr>
          <w:rFonts w:ascii="Arial" w:eastAsia="Arial" w:hAnsi="Arial" w:cs="Arial"/>
        </w:rPr>
        <w:t xml:space="preserve"> Badan </w:t>
      </w:r>
      <w:proofErr w:type="spellStart"/>
      <w:r w:rsidRPr="00780CCE">
        <w:rPr>
          <w:rFonts w:ascii="Arial" w:eastAsia="Arial" w:hAnsi="Arial" w:cs="Arial"/>
        </w:rPr>
        <w:t>Gizi</w:t>
      </w:r>
      <w:proofErr w:type="spellEnd"/>
      <w:r w:rsidRPr="00780CCE">
        <w:rPr>
          <w:rFonts w:ascii="Arial" w:eastAsia="Arial" w:hAnsi="Arial" w:cs="Arial"/>
        </w:rPr>
        <w:t xml:space="preserve"> Nasional </w:t>
      </w:r>
      <w:proofErr w:type="spellStart"/>
      <w:r w:rsidRPr="00780CCE">
        <w:rPr>
          <w:rFonts w:ascii="Arial" w:eastAsia="Arial" w:hAnsi="Arial" w:cs="Arial"/>
        </w:rPr>
        <w:t>Nomor</w:t>
      </w:r>
      <w:proofErr w:type="spellEnd"/>
      <w:r w:rsidRPr="00780CCE">
        <w:rPr>
          <w:rFonts w:ascii="Arial" w:eastAsia="Arial" w:hAnsi="Arial" w:cs="Arial"/>
        </w:rPr>
        <w:t xml:space="preserve"> 6 </w:t>
      </w:r>
      <w:proofErr w:type="spellStart"/>
      <w:r w:rsidRPr="00780CCE">
        <w:rPr>
          <w:rFonts w:ascii="Arial" w:eastAsia="Arial" w:hAnsi="Arial" w:cs="Arial"/>
        </w:rPr>
        <w:t>Tahun</w:t>
      </w:r>
      <w:proofErr w:type="spellEnd"/>
      <w:r w:rsidRPr="00780CCE">
        <w:rPr>
          <w:rFonts w:ascii="Arial" w:eastAsia="Arial" w:hAnsi="Arial" w:cs="Arial"/>
        </w:rPr>
        <w:t xml:space="preserve"> 2024 </w:t>
      </w:r>
      <w:proofErr w:type="spellStart"/>
      <w:r w:rsidRPr="00780CCE">
        <w:rPr>
          <w:rFonts w:ascii="Arial" w:eastAsia="Arial" w:hAnsi="Arial" w:cs="Arial"/>
        </w:rPr>
        <w:t>tentang</w:t>
      </w:r>
      <w:proofErr w:type="spellEnd"/>
      <w:r w:rsidRPr="00780CCE">
        <w:rPr>
          <w:rFonts w:ascii="Arial" w:eastAsia="Arial" w:hAnsi="Arial" w:cs="Arial"/>
        </w:rPr>
        <w:t xml:space="preserve"> </w:t>
      </w:r>
      <w:proofErr w:type="spellStart"/>
      <w:r w:rsidRPr="00780CCE">
        <w:rPr>
          <w:rFonts w:ascii="Arial" w:eastAsia="Arial" w:hAnsi="Arial" w:cs="Arial"/>
        </w:rPr>
        <w:t>Pedoman</w:t>
      </w:r>
      <w:proofErr w:type="spellEnd"/>
      <w:r w:rsidRPr="00780CCE">
        <w:rPr>
          <w:rFonts w:ascii="Arial" w:eastAsia="Arial" w:hAnsi="Arial" w:cs="Arial"/>
        </w:rPr>
        <w:t xml:space="preserve"> </w:t>
      </w:r>
      <w:proofErr w:type="spellStart"/>
      <w:r w:rsidRPr="00780CCE">
        <w:rPr>
          <w:rFonts w:ascii="Arial" w:eastAsia="Arial" w:hAnsi="Arial" w:cs="Arial"/>
        </w:rPr>
        <w:t>Umum</w:t>
      </w:r>
      <w:proofErr w:type="spellEnd"/>
      <w:r w:rsidRPr="00780CCE">
        <w:rPr>
          <w:rFonts w:ascii="Arial" w:eastAsia="Arial" w:hAnsi="Arial" w:cs="Arial"/>
        </w:rPr>
        <w:t xml:space="preserve"> </w:t>
      </w:r>
      <w:proofErr w:type="spellStart"/>
      <w:r w:rsidRPr="00780CCE">
        <w:rPr>
          <w:rFonts w:ascii="Arial" w:eastAsia="Arial" w:hAnsi="Arial" w:cs="Arial"/>
        </w:rPr>
        <w:t>Penyelenggaraan</w:t>
      </w:r>
      <w:proofErr w:type="spellEnd"/>
      <w:r w:rsidRPr="00780CCE">
        <w:rPr>
          <w:rFonts w:ascii="Arial" w:eastAsia="Arial" w:hAnsi="Arial" w:cs="Arial"/>
        </w:rPr>
        <w:t xml:space="preserve"> </w:t>
      </w:r>
      <w:proofErr w:type="spellStart"/>
      <w:r w:rsidRPr="00780CCE">
        <w:rPr>
          <w:rFonts w:ascii="Arial" w:eastAsia="Arial" w:hAnsi="Arial" w:cs="Arial"/>
        </w:rPr>
        <w:t>Bantuan</w:t>
      </w:r>
      <w:proofErr w:type="spellEnd"/>
      <w:r w:rsidRPr="00780CCE">
        <w:rPr>
          <w:rFonts w:ascii="Arial" w:eastAsia="Arial" w:hAnsi="Arial" w:cs="Arial"/>
        </w:rPr>
        <w:t xml:space="preserve"> </w:t>
      </w:r>
      <w:proofErr w:type="spellStart"/>
      <w:r w:rsidRPr="00780CCE">
        <w:rPr>
          <w:rFonts w:ascii="Arial" w:eastAsia="Arial" w:hAnsi="Arial" w:cs="Arial"/>
        </w:rPr>
        <w:t>Pemerintah</w:t>
      </w:r>
      <w:proofErr w:type="spellEnd"/>
      <w:r w:rsidRPr="00780CCE">
        <w:rPr>
          <w:rFonts w:ascii="Arial" w:eastAsia="Arial" w:hAnsi="Arial" w:cs="Arial"/>
        </w:rPr>
        <w:t>.</w:t>
      </w:r>
    </w:p>
    <w:p w14:paraId="012B7FC9"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Peraturan</w:t>
      </w:r>
      <w:proofErr w:type="spellEnd"/>
      <w:r w:rsidRPr="00780CCE">
        <w:rPr>
          <w:rFonts w:ascii="Arial" w:eastAsia="Arial" w:hAnsi="Arial" w:cs="Arial"/>
        </w:rPr>
        <w:t xml:space="preserve"> Menteri </w:t>
      </w:r>
      <w:proofErr w:type="spellStart"/>
      <w:r w:rsidRPr="00780CCE">
        <w:rPr>
          <w:rFonts w:ascii="Arial" w:eastAsia="Arial" w:hAnsi="Arial" w:cs="Arial"/>
        </w:rPr>
        <w:t>Kesehatan</w:t>
      </w:r>
      <w:proofErr w:type="spellEnd"/>
      <w:r w:rsidRPr="00780CCE">
        <w:rPr>
          <w:rFonts w:ascii="Arial" w:eastAsia="Arial" w:hAnsi="Arial" w:cs="Arial"/>
        </w:rPr>
        <w:t xml:space="preserve"> </w:t>
      </w:r>
      <w:proofErr w:type="spellStart"/>
      <w:r w:rsidRPr="00780CCE">
        <w:rPr>
          <w:rFonts w:ascii="Arial" w:eastAsia="Arial" w:hAnsi="Arial" w:cs="Arial"/>
        </w:rPr>
        <w:t>Nomor</w:t>
      </w:r>
      <w:proofErr w:type="spellEnd"/>
      <w:r w:rsidRPr="00780CCE">
        <w:rPr>
          <w:rFonts w:ascii="Arial" w:eastAsia="Arial" w:hAnsi="Arial" w:cs="Arial"/>
        </w:rPr>
        <w:t xml:space="preserve"> 28 </w:t>
      </w:r>
      <w:proofErr w:type="spellStart"/>
      <w:r w:rsidRPr="00780CCE">
        <w:rPr>
          <w:rFonts w:ascii="Arial" w:eastAsia="Arial" w:hAnsi="Arial" w:cs="Arial"/>
        </w:rPr>
        <w:t>Tahun</w:t>
      </w:r>
      <w:proofErr w:type="spellEnd"/>
      <w:r w:rsidRPr="00780CCE">
        <w:rPr>
          <w:rFonts w:ascii="Arial" w:eastAsia="Arial" w:hAnsi="Arial" w:cs="Arial"/>
        </w:rPr>
        <w:t xml:space="preserve"> 2019 </w:t>
      </w:r>
      <w:proofErr w:type="spellStart"/>
      <w:r w:rsidRPr="00780CCE">
        <w:rPr>
          <w:rFonts w:ascii="Arial" w:eastAsia="Arial" w:hAnsi="Arial" w:cs="Arial"/>
        </w:rPr>
        <w:t>tentang</w:t>
      </w:r>
      <w:proofErr w:type="spellEnd"/>
      <w:r w:rsidRPr="00780CCE">
        <w:rPr>
          <w:rFonts w:ascii="Arial" w:eastAsia="Arial" w:hAnsi="Arial" w:cs="Arial"/>
        </w:rPr>
        <w:t xml:space="preserve"> </w:t>
      </w:r>
      <w:proofErr w:type="spellStart"/>
      <w:r w:rsidRPr="00780CCE">
        <w:rPr>
          <w:rFonts w:ascii="Arial" w:eastAsia="Arial" w:hAnsi="Arial" w:cs="Arial"/>
        </w:rPr>
        <w:t>Angka</w:t>
      </w:r>
      <w:proofErr w:type="spellEnd"/>
      <w:r w:rsidRPr="00780CCE">
        <w:rPr>
          <w:rFonts w:ascii="Arial" w:eastAsia="Arial" w:hAnsi="Arial" w:cs="Arial"/>
        </w:rPr>
        <w:t xml:space="preserve"> </w:t>
      </w:r>
      <w:proofErr w:type="spellStart"/>
      <w:r w:rsidRPr="00780CCE">
        <w:rPr>
          <w:rFonts w:ascii="Arial" w:eastAsia="Arial" w:hAnsi="Arial" w:cs="Arial"/>
        </w:rPr>
        <w:t>Kecukupan</w:t>
      </w:r>
      <w:proofErr w:type="spellEnd"/>
      <w:r w:rsidRPr="00780CCE">
        <w:rPr>
          <w:rFonts w:ascii="Arial" w:eastAsia="Arial" w:hAnsi="Arial" w:cs="Arial"/>
        </w:rPr>
        <w:t xml:space="preserve"> </w:t>
      </w:r>
      <w:proofErr w:type="spellStart"/>
      <w:r w:rsidRPr="00780CCE">
        <w:rPr>
          <w:rFonts w:ascii="Arial" w:eastAsia="Arial" w:hAnsi="Arial" w:cs="Arial"/>
        </w:rPr>
        <w:t>Gizi</w:t>
      </w:r>
      <w:proofErr w:type="spellEnd"/>
      <w:r w:rsidRPr="00780CCE">
        <w:rPr>
          <w:rFonts w:ascii="Arial" w:eastAsia="Arial" w:hAnsi="Arial" w:cs="Arial"/>
        </w:rPr>
        <w:t xml:space="preserve"> (AKG).</w:t>
      </w:r>
    </w:p>
    <w:p w14:paraId="7CD1F3D8"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Peraturan</w:t>
      </w:r>
      <w:proofErr w:type="spellEnd"/>
      <w:r w:rsidRPr="00780CCE">
        <w:rPr>
          <w:rFonts w:ascii="Arial" w:eastAsia="Arial" w:hAnsi="Arial" w:cs="Arial"/>
        </w:rPr>
        <w:t xml:space="preserve"> </w:t>
      </w:r>
      <w:proofErr w:type="spellStart"/>
      <w:r w:rsidRPr="00780CCE">
        <w:rPr>
          <w:rFonts w:ascii="Arial" w:eastAsia="Arial" w:hAnsi="Arial" w:cs="Arial"/>
        </w:rPr>
        <w:t>Perundang-undangan</w:t>
      </w:r>
      <w:proofErr w:type="spellEnd"/>
      <w:r w:rsidRPr="00780CCE">
        <w:rPr>
          <w:rFonts w:ascii="Arial" w:eastAsia="Arial" w:hAnsi="Arial" w:cs="Arial"/>
        </w:rPr>
        <w:t>:</w:t>
      </w:r>
    </w:p>
    <w:p w14:paraId="1D849DA8"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Peraturan</w:t>
      </w:r>
      <w:proofErr w:type="spellEnd"/>
      <w:r w:rsidRPr="00780CCE">
        <w:rPr>
          <w:rFonts w:ascii="Arial" w:eastAsia="Arial" w:hAnsi="Arial" w:cs="Arial"/>
        </w:rPr>
        <w:t xml:space="preserve"> </w:t>
      </w:r>
      <w:proofErr w:type="spellStart"/>
      <w:r w:rsidRPr="00780CCE">
        <w:rPr>
          <w:rFonts w:ascii="Arial" w:eastAsia="Arial" w:hAnsi="Arial" w:cs="Arial"/>
        </w:rPr>
        <w:t>Presiden</w:t>
      </w:r>
      <w:proofErr w:type="spellEnd"/>
      <w:r w:rsidRPr="00780CCE">
        <w:rPr>
          <w:rFonts w:ascii="Arial" w:eastAsia="Arial" w:hAnsi="Arial" w:cs="Arial"/>
        </w:rPr>
        <w:t xml:space="preserve"> </w:t>
      </w:r>
      <w:proofErr w:type="spellStart"/>
      <w:r w:rsidRPr="00780CCE">
        <w:rPr>
          <w:rFonts w:ascii="Arial" w:eastAsia="Arial" w:hAnsi="Arial" w:cs="Arial"/>
        </w:rPr>
        <w:t>Nomor</w:t>
      </w:r>
      <w:proofErr w:type="spellEnd"/>
      <w:r w:rsidRPr="00780CCE">
        <w:rPr>
          <w:rFonts w:ascii="Arial" w:eastAsia="Arial" w:hAnsi="Arial" w:cs="Arial"/>
        </w:rPr>
        <w:t xml:space="preserve"> 83 </w:t>
      </w:r>
      <w:proofErr w:type="spellStart"/>
      <w:r w:rsidRPr="00780CCE">
        <w:rPr>
          <w:rFonts w:ascii="Arial" w:eastAsia="Arial" w:hAnsi="Arial" w:cs="Arial"/>
        </w:rPr>
        <w:t>Tahun</w:t>
      </w:r>
      <w:proofErr w:type="spellEnd"/>
      <w:r w:rsidRPr="00780CCE">
        <w:rPr>
          <w:rFonts w:ascii="Arial" w:eastAsia="Arial" w:hAnsi="Arial" w:cs="Arial"/>
        </w:rPr>
        <w:t xml:space="preserve"> </w:t>
      </w:r>
      <w:proofErr w:type="gramStart"/>
      <w:r w:rsidRPr="00780CCE">
        <w:rPr>
          <w:rFonts w:ascii="Arial" w:eastAsia="Arial" w:hAnsi="Arial" w:cs="Arial"/>
        </w:rPr>
        <w:t>2024  Badan</w:t>
      </w:r>
      <w:proofErr w:type="gramEnd"/>
      <w:r w:rsidRPr="00780CCE">
        <w:rPr>
          <w:rFonts w:ascii="Arial" w:eastAsia="Arial" w:hAnsi="Arial" w:cs="Arial"/>
        </w:rPr>
        <w:t xml:space="preserve"> </w:t>
      </w:r>
      <w:proofErr w:type="spellStart"/>
      <w:r w:rsidRPr="00780CCE">
        <w:rPr>
          <w:rFonts w:ascii="Arial" w:eastAsia="Arial" w:hAnsi="Arial" w:cs="Arial"/>
        </w:rPr>
        <w:t>Gizi</w:t>
      </w:r>
      <w:proofErr w:type="spellEnd"/>
      <w:r w:rsidRPr="00780CCE">
        <w:rPr>
          <w:rFonts w:ascii="Arial" w:eastAsia="Arial" w:hAnsi="Arial" w:cs="Arial"/>
        </w:rPr>
        <w:t xml:space="preserve"> Nasional.</w:t>
      </w:r>
    </w:p>
    <w:p w14:paraId="03A10289"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Perpres</w:t>
      </w:r>
      <w:proofErr w:type="spellEnd"/>
      <w:r w:rsidRPr="00780CCE">
        <w:rPr>
          <w:rFonts w:ascii="Arial" w:eastAsia="Arial" w:hAnsi="Arial" w:cs="Arial"/>
        </w:rPr>
        <w:t xml:space="preserve"> </w:t>
      </w:r>
      <w:proofErr w:type="spellStart"/>
      <w:r w:rsidRPr="00780CCE">
        <w:rPr>
          <w:rFonts w:ascii="Arial" w:eastAsia="Arial" w:hAnsi="Arial" w:cs="Arial"/>
        </w:rPr>
        <w:t>Nomor</w:t>
      </w:r>
      <w:proofErr w:type="spellEnd"/>
      <w:r w:rsidRPr="00780CCE">
        <w:rPr>
          <w:rFonts w:ascii="Arial" w:eastAsia="Arial" w:hAnsi="Arial" w:cs="Arial"/>
        </w:rPr>
        <w:t xml:space="preserve"> 115 </w:t>
      </w:r>
      <w:proofErr w:type="spellStart"/>
      <w:r w:rsidRPr="00780CCE">
        <w:rPr>
          <w:rFonts w:ascii="Arial" w:eastAsia="Arial" w:hAnsi="Arial" w:cs="Arial"/>
        </w:rPr>
        <w:t>Tahun</w:t>
      </w:r>
      <w:proofErr w:type="spellEnd"/>
      <w:r w:rsidRPr="00780CCE">
        <w:rPr>
          <w:rFonts w:ascii="Arial" w:eastAsia="Arial" w:hAnsi="Arial" w:cs="Arial"/>
        </w:rPr>
        <w:t xml:space="preserve"> 2025 </w:t>
      </w:r>
      <w:proofErr w:type="spellStart"/>
      <w:r w:rsidRPr="00780CCE">
        <w:rPr>
          <w:rFonts w:ascii="Arial" w:eastAsia="Arial" w:hAnsi="Arial" w:cs="Arial"/>
        </w:rPr>
        <w:t>tentang</w:t>
      </w:r>
      <w:proofErr w:type="spellEnd"/>
      <w:r w:rsidRPr="00780CCE">
        <w:rPr>
          <w:rFonts w:ascii="Arial" w:eastAsia="Arial" w:hAnsi="Arial" w:cs="Arial"/>
        </w:rPr>
        <w:t xml:space="preserve"> Tata </w:t>
      </w:r>
      <w:proofErr w:type="spellStart"/>
      <w:r w:rsidRPr="00780CCE">
        <w:rPr>
          <w:rFonts w:ascii="Arial" w:eastAsia="Arial" w:hAnsi="Arial" w:cs="Arial"/>
        </w:rPr>
        <w:t>Kelola</w:t>
      </w:r>
      <w:proofErr w:type="spellEnd"/>
      <w:r w:rsidRPr="00780CCE">
        <w:rPr>
          <w:rFonts w:ascii="Arial" w:eastAsia="Arial" w:hAnsi="Arial" w:cs="Arial"/>
        </w:rPr>
        <w:t xml:space="preserve"> </w:t>
      </w:r>
      <w:proofErr w:type="spellStart"/>
      <w:r w:rsidRPr="00780CCE">
        <w:rPr>
          <w:rFonts w:ascii="Arial" w:eastAsia="Arial" w:hAnsi="Arial" w:cs="Arial"/>
        </w:rPr>
        <w:t>Penyelenggaraan</w:t>
      </w:r>
      <w:proofErr w:type="spellEnd"/>
      <w:r w:rsidRPr="00780CCE">
        <w:rPr>
          <w:rFonts w:ascii="Arial" w:eastAsia="Arial" w:hAnsi="Arial" w:cs="Arial"/>
        </w:rPr>
        <w:t xml:space="preserve"> Program </w:t>
      </w:r>
      <w:proofErr w:type="spellStart"/>
      <w:r w:rsidRPr="00780CCE">
        <w:rPr>
          <w:rFonts w:ascii="Arial" w:eastAsia="Arial" w:hAnsi="Arial" w:cs="Arial"/>
        </w:rPr>
        <w:t>Makan</w:t>
      </w:r>
      <w:proofErr w:type="spellEnd"/>
      <w:r w:rsidRPr="00780CCE">
        <w:rPr>
          <w:rFonts w:ascii="Arial" w:eastAsia="Arial" w:hAnsi="Arial" w:cs="Arial"/>
        </w:rPr>
        <w:t xml:space="preserve"> </w:t>
      </w:r>
      <w:proofErr w:type="spellStart"/>
      <w:r w:rsidRPr="00780CCE">
        <w:rPr>
          <w:rFonts w:ascii="Arial" w:eastAsia="Arial" w:hAnsi="Arial" w:cs="Arial"/>
        </w:rPr>
        <w:t>Bergizi</w:t>
      </w:r>
      <w:proofErr w:type="spellEnd"/>
      <w:r w:rsidRPr="00780CCE">
        <w:rPr>
          <w:rFonts w:ascii="Arial" w:eastAsia="Arial" w:hAnsi="Arial" w:cs="Arial"/>
        </w:rPr>
        <w:t xml:space="preserve"> Gratis (MBG).</w:t>
      </w:r>
    </w:p>
    <w:p w14:paraId="7A75FEDC"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Rahmah</w:t>
      </w:r>
      <w:proofErr w:type="spellEnd"/>
      <w:r w:rsidRPr="00780CCE">
        <w:rPr>
          <w:rFonts w:ascii="Arial" w:eastAsia="Arial" w:hAnsi="Arial" w:cs="Arial"/>
        </w:rPr>
        <w:t xml:space="preserve">, H. A., </w:t>
      </w:r>
      <w:proofErr w:type="spellStart"/>
      <w:r w:rsidRPr="00780CCE">
        <w:rPr>
          <w:rFonts w:ascii="Arial" w:eastAsia="Arial" w:hAnsi="Arial" w:cs="Arial"/>
        </w:rPr>
        <w:t>dkk</w:t>
      </w:r>
      <w:proofErr w:type="spellEnd"/>
      <w:r w:rsidRPr="00780CCE">
        <w:rPr>
          <w:rFonts w:ascii="Arial" w:eastAsia="Arial" w:hAnsi="Arial" w:cs="Arial"/>
        </w:rPr>
        <w:t xml:space="preserve">. (2025). </w:t>
      </w:r>
      <w:proofErr w:type="spellStart"/>
      <w:r w:rsidRPr="00780CCE">
        <w:rPr>
          <w:rFonts w:ascii="Arial" w:eastAsia="Arial" w:hAnsi="Arial" w:cs="Arial"/>
        </w:rPr>
        <w:t>Analisis</w:t>
      </w:r>
      <w:proofErr w:type="spellEnd"/>
      <w:r w:rsidRPr="00780CCE">
        <w:rPr>
          <w:rFonts w:ascii="Arial" w:eastAsia="Arial" w:hAnsi="Arial" w:cs="Arial"/>
        </w:rPr>
        <w:t xml:space="preserve"> </w:t>
      </w:r>
      <w:proofErr w:type="spellStart"/>
      <w:r w:rsidRPr="00780CCE">
        <w:rPr>
          <w:rFonts w:ascii="Arial" w:eastAsia="Arial" w:hAnsi="Arial" w:cs="Arial"/>
        </w:rPr>
        <w:t>efektivitas</w:t>
      </w:r>
      <w:proofErr w:type="spellEnd"/>
      <w:r w:rsidRPr="00780CCE">
        <w:rPr>
          <w:rFonts w:ascii="Arial" w:eastAsia="Arial" w:hAnsi="Arial" w:cs="Arial"/>
        </w:rPr>
        <w:t xml:space="preserve"> program </w:t>
      </w:r>
      <w:proofErr w:type="spellStart"/>
      <w:r w:rsidRPr="00780CCE">
        <w:rPr>
          <w:rFonts w:ascii="Arial" w:eastAsia="Arial" w:hAnsi="Arial" w:cs="Arial"/>
        </w:rPr>
        <w:t>makan</w:t>
      </w:r>
      <w:proofErr w:type="spellEnd"/>
      <w:r w:rsidRPr="00780CCE">
        <w:rPr>
          <w:rFonts w:ascii="Arial" w:eastAsia="Arial" w:hAnsi="Arial" w:cs="Arial"/>
        </w:rPr>
        <w:t xml:space="preserve"> </w:t>
      </w:r>
      <w:proofErr w:type="spellStart"/>
      <w:r w:rsidRPr="00780CCE">
        <w:rPr>
          <w:rFonts w:ascii="Arial" w:eastAsia="Arial" w:hAnsi="Arial" w:cs="Arial"/>
        </w:rPr>
        <w:t>bergizi</w:t>
      </w:r>
      <w:proofErr w:type="spellEnd"/>
      <w:r w:rsidRPr="00780CCE">
        <w:rPr>
          <w:rFonts w:ascii="Arial" w:eastAsia="Arial" w:hAnsi="Arial" w:cs="Arial"/>
        </w:rPr>
        <w:t xml:space="preserve"> gratis di </w:t>
      </w:r>
      <w:proofErr w:type="spellStart"/>
      <w:r w:rsidRPr="00780CCE">
        <w:rPr>
          <w:rFonts w:ascii="Arial" w:eastAsia="Arial" w:hAnsi="Arial" w:cs="Arial"/>
        </w:rPr>
        <w:t>Sekolah</w:t>
      </w:r>
      <w:proofErr w:type="spellEnd"/>
      <w:r w:rsidRPr="00780CCE">
        <w:rPr>
          <w:rFonts w:ascii="Arial" w:eastAsia="Arial" w:hAnsi="Arial" w:cs="Arial"/>
        </w:rPr>
        <w:t xml:space="preserve"> Dasar Indonesia </w:t>
      </w:r>
      <w:proofErr w:type="spellStart"/>
      <w:r w:rsidRPr="00780CCE">
        <w:rPr>
          <w:rFonts w:ascii="Arial" w:eastAsia="Arial" w:hAnsi="Arial" w:cs="Arial"/>
        </w:rPr>
        <w:t>tahun</w:t>
      </w:r>
      <w:proofErr w:type="spellEnd"/>
      <w:r w:rsidRPr="00780CCE">
        <w:rPr>
          <w:rFonts w:ascii="Arial" w:eastAsia="Arial" w:hAnsi="Arial" w:cs="Arial"/>
        </w:rPr>
        <w:t xml:space="preserve"> 2025. Integrative Perspectives of Social and Science Journal (IPSSJ), 2(2), 2855. </w:t>
      </w:r>
    </w:p>
    <w:p w14:paraId="1BBF3D14"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Rambe</w:t>
      </w:r>
      <w:proofErr w:type="spellEnd"/>
      <w:r w:rsidRPr="00780CCE">
        <w:rPr>
          <w:rFonts w:ascii="Arial" w:eastAsia="Arial" w:hAnsi="Arial" w:cs="Arial"/>
        </w:rPr>
        <w:t xml:space="preserve">, M. T., </w:t>
      </w:r>
      <w:proofErr w:type="spellStart"/>
      <w:r w:rsidRPr="00780CCE">
        <w:rPr>
          <w:rFonts w:ascii="Arial" w:eastAsia="Arial" w:hAnsi="Arial" w:cs="Arial"/>
        </w:rPr>
        <w:t>Ritonga</w:t>
      </w:r>
      <w:proofErr w:type="spellEnd"/>
      <w:r w:rsidRPr="00780CCE">
        <w:rPr>
          <w:rFonts w:ascii="Arial" w:eastAsia="Arial" w:hAnsi="Arial" w:cs="Arial"/>
        </w:rPr>
        <w:t xml:space="preserve">, R. A., </w:t>
      </w:r>
      <w:proofErr w:type="spellStart"/>
      <w:r w:rsidRPr="00780CCE">
        <w:rPr>
          <w:rFonts w:ascii="Arial" w:eastAsia="Arial" w:hAnsi="Arial" w:cs="Arial"/>
        </w:rPr>
        <w:t>Harahap</w:t>
      </w:r>
      <w:proofErr w:type="spellEnd"/>
      <w:r w:rsidRPr="00780CCE">
        <w:rPr>
          <w:rFonts w:ascii="Arial" w:eastAsia="Arial" w:hAnsi="Arial" w:cs="Arial"/>
        </w:rPr>
        <w:t xml:space="preserve">, T., &amp; Sitio, R. (2025). </w:t>
      </w:r>
      <w:proofErr w:type="spellStart"/>
      <w:r w:rsidRPr="00780CCE">
        <w:rPr>
          <w:rFonts w:ascii="Arial" w:eastAsia="Arial" w:hAnsi="Arial" w:cs="Arial"/>
        </w:rPr>
        <w:t>Pemetaan</w:t>
      </w:r>
      <w:proofErr w:type="spellEnd"/>
      <w:r w:rsidRPr="00780CCE">
        <w:rPr>
          <w:rFonts w:ascii="Arial" w:eastAsia="Arial" w:hAnsi="Arial" w:cs="Arial"/>
        </w:rPr>
        <w:t xml:space="preserve"> </w:t>
      </w:r>
      <w:proofErr w:type="spellStart"/>
      <w:r w:rsidRPr="00780CCE">
        <w:rPr>
          <w:rFonts w:ascii="Arial" w:eastAsia="Arial" w:hAnsi="Arial" w:cs="Arial"/>
        </w:rPr>
        <w:t>awal</w:t>
      </w:r>
      <w:proofErr w:type="spellEnd"/>
      <w:r w:rsidRPr="00780CCE">
        <w:rPr>
          <w:rFonts w:ascii="Arial" w:eastAsia="Arial" w:hAnsi="Arial" w:cs="Arial"/>
        </w:rPr>
        <w:t xml:space="preserve"> </w:t>
      </w:r>
      <w:proofErr w:type="spellStart"/>
      <w:r w:rsidRPr="00780CCE">
        <w:rPr>
          <w:rFonts w:ascii="Arial" w:eastAsia="Arial" w:hAnsi="Arial" w:cs="Arial"/>
        </w:rPr>
        <w:t>implementasi</w:t>
      </w:r>
      <w:proofErr w:type="spellEnd"/>
      <w:r w:rsidRPr="00780CCE">
        <w:rPr>
          <w:rFonts w:ascii="Arial" w:eastAsia="Arial" w:hAnsi="Arial" w:cs="Arial"/>
        </w:rPr>
        <w:t xml:space="preserve"> program </w:t>
      </w:r>
      <w:proofErr w:type="spellStart"/>
      <w:r w:rsidRPr="00780CCE">
        <w:rPr>
          <w:rFonts w:ascii="Arial" w:eastAsia="Arial" w:hAnsi="Arial" w:cs="Arial"/>
        </w:rPr>
        <w:t>makan</w:t>
      </w:r>
      <w:proofErr w:type="spellEnd"/>
      <w:r w:rsidRPr="00780CCE">
        <w:rPr>
          <w:rFonts w:ascii="Arial" w:eastAsia="Arial" w:hAnsi="Arial" w:cs="Arial"/>
        </w:rPr>
        <w:t xml:space="preserve"> </w:t>
      </w:r>
      <w:proofErr w:type="spellStart"/>
      <w:r w:rsidRPr="00780CCE">
        <w:rPr>
          <w:rFonts w:ascii="Arial" w:eastAsia="Arial" w:hAnsi="Arial" w:cs="Arial"/>
        </w:rPr>
        <w:t>bergizi</w:t>
      </w:r>
      <w:proofErr w:type="spellEnd"/>
      <w:r w:rsidRPr="00780CCE">
        <w:rPr>
          <w:rFonts w:ascii="Arial" w:eastAsia="Arial" w:hAnsi="Arial" w:cs="Arial"/>
        </w:rPr>
        <w:t xml:space="preserve"> gratis (MBG) di </w:t>
      </w:r>
      <w:proofErr w:type="spellStart"/>
      <w:r w:rsidRPr="00780CCE">
        <w:rPr>
          <w:rFonts w:ascii="Arial" w:eastAsia="Arial" w:hAnsi="Arial" w:cs="Arial"/>
        </w:rPr>
        <w:t>Kabupaten</w:t>
      </w:r>
      <w:proofErr w:type="spellEnd"/>
      <w:r w:rsidRPr="00780CCE">
        <w:rPr>
          <w:rFonts w:ascii="Arial" w:eastAsia="Arial" w:hAnsi="Arial" w:cs="Arial"/>
        </w:rPr>
        <w:t xml:space="preserve"> </w:t>
      </w:r>
      <w:proofErr w:type="spellStart"/>
      <w:r w:rsidRPr="00780CCE">
        <w:rPr>
          <w:rFonts w:ascii="Arial" w:eastAsia="Arial" w:hAnsi="Arial" w:cs="Arial"/>
        </w:rPr>
        <w:t>Labuhanbatu</w:t>
      </w:r>
      <w:proofErr w:type="spellEnd"/>
      <w:r w:rsidRPr="00780CCE">
        <w:rPr>
          <w:rFonts w:ascii="Arial" w:eastAsia="Arial" w:hAnsi="Arial" w:cs="Arial"/>
        </w:rPr>
        <w:t xml:space="preserve">: </w:t>
      </w:r>
      <w:proofErr w:type="spellStart"/>
      <w:r w:rsidRPr="00780CCE">
        <w:rPr>
          <w:rFonts w:ascii="Arial" w:eastAsia="Arial" w:hAnsi="Arial" w:cs="Arial"/>
        </w:rPr>
        <w:t>Perspektif</w:t>
      </w:r>
      <w:proofErr w:type="spellEnd"/>
      <w:r w:rsidRPr="00780CCE">
        <w:rPr>
          <w:rFonts w:ascii="Arial" w:eastAsia="Arial" w:hAnsi="Arial" w:cs="Arial"/>
        </w:rPr>
        <w:t xml:space="preserve"> </w:t>
      </w:r>
      <w:proofErr w:type="spellStart"/>
      <w:r w:rsidRPr="00780CCE">
        <w:rPr>
          <w:rFonts w:ascii="Arial" w:eastAsia="Arial" w:hAnsi="Arial" w:cs="Arial"/>
        </w:rPr>
        <w:t>manajemen</w:t>
      </w:r>
      <w:proofErr w:type="spellEnd"/>
      <w:r w:rsidRPr="00780CCE">
        <w:rPr>
          <w:rFonts w:ascii="Arial" w:eastAsia="Arial" w:hAnsi="Arial" w:cs="Arial"/>
        </w:rPr>
        <w:t xml:space="preserve"> SDM. RIGGS: Journal of Artificial Intelligence and Digital Business, 4(4).</w:t>
      </w:r>
    </w:p>
    <w:p w14:paraId="1296E52F"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https://doi.org/10.31004/riggs.v4i4.4580</w:t>
      </w:r>
    </w:p>
    <w:p w14:paraId="41E30967" w14:textId="0AA7F50D"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Rossi, P. H., Lipsey, M. W., &amp; Henry, G. T. (2019). Evaluation: A systematic approach (8th ed.). Sage Publications. </w:t>
      </w:r>
    </w:p>
    <w:p w14:paraId="33F56FDC"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Syafiqoh</w:t>
      </w:r>
      <w:proofErr w:type="spellEnd"/>
      <w:r w:rsidRPr="00780CCE">
        <w:rPr>
          <w:rFonts w:ascii="Arial" w:eastAsia="Arial" w:hAnsi="Arial" w:cs="Arial"/>
        </w:rPr>
        <w:t>, I. (2025). Program MBG (</w:t>
      </w:r>
      <w:proofErr w:type="spellStart"/>
      <w:r w:rsidRPr="00780CCE">
        <w:rPr>
          <w:rFonts w:ascii="Arial" w:eastAsia="Arial" w:hAnsi="Arial" w:cs="Arial"/>
        </w:rPr>
        <w:t>Makan</w:t>
      </w:r>
      <w:proofErr w:type="spellEnd"/>
      <w:r w:rsidRPr="00780CCE">
        <w:rPr>
          <w:rFonts w:ascii="Arial" w:eastAsia="Arial" w:hAnsi="Arial" w:cs="Arial"/>
        </w:rPr>
        <w:t xml:space="preserve"> </w:t>
      </w:r>
      <w:proofErr w:type="spellStart"/>
      <w:r w:rsidRPr="00780CCE">
        <w:rPr>
          <w:rFonts w:ascii="Arial" w:eastAsia="Arial" w:hAnsi="Arial" w:cs="Arial"/>
        </w:rPr>
        <w:t>Bergizi</w:t>
      </w:r>
      <w:proofErr w:type="spellEnd"/>
      <w:r w:rsidRPr="00780CCE">
        <w:rPr>
          <w:rFonts w:ascii="Arial" w:eastAsia="Arial" w:hAnsi="Arial" w:cs="Arial"/>
        </w:rPr>
        <w:t xml:space="preserve"> Gratis) </w:t>
      </w:r>
      <w:proofErr w:type="spellStart"/>
      <w:r w:rsidRPr="00780CCE">
        <w:rPr>
          <w:rFonts w:ascii="Arial" w:eastAsia="Arial" w:hAnsi="Arial" w:cs="Arial"/>
        </w:rPr>
        <w:t>Terhadap</w:t>
      </w:r>
      <w:proofErr w:type="spellEnd"/>
      <w:r w:rsidRPr="00780CCE">
        <w:rPr>
          <w:rFonts w:ascii="Arial" w:eastAsia="Arial" w:hAnsi="Arial" w:cs="Arial"/>
        </w:rPr>
        <w:t xml:space="preserve"> </w:t>
      </w:r>
      <w:proofErr w:type="spellStart"/>
      <w:r w:rsidRPr="00780CCE">
        <w:rPr>
          <w:rFonts w:ascii="Arial" w:eastAsia="Arial" w:hAnsi="Arial" w:cs="Arial"/>
        </w:rPr>
        <w:t>Pelaksanaan</w:t>
      </w:r>
      <w:proofErr w:type="spellEnd"/>
      <w:r w:rsidRPr="00780CCE">
        <w:rPr>
          <w:rFonts w:ascii="Arial" w:eastAsia="Arial" w:hAnsi="Arial" w:cs="Arial"/>
        </w:rPr>
        <w:t xml:space="preserve"> </w:t>
      </w:r>
      <w:proofErr w:type="spellStart"/>
      <w:r w:rsidRPr="00780CCE">
        <w:rPr>
          <w:rFonts w:ascii="Arial" w:eastAsia="Arial" w:hAnsi="Arial" w:cs="Arial"/>
        </w:rPr>
        <w:t>Kegiatan</w:t>
      </w:r>
      <w:proofErr w:type="spellEnd"/>
      <w:r w:rsidRPr="00780CCE">
        <w:rPr>
          <w:rFonts w:ascii="Arial" w:eastAsia="Arial" w:hAnsi="Arial" w:cs="Arial"/>
        </w:rPr>
        <w:t xml:space="preserve"> </w:t>
      </w:r>
      <w:proofErr w:type="spellStart"/>
      <w:r w:rsidRPr="00780CCE">
        <w:rPr>
          <w:rFonts w:ascii="Arial" w:eastAsia="Arial" w:hAnsi="Arial" w:cs="Arial"/>
        </w:rPr>
        <w:t>Belajar</w:t>
      </w:r>
      <w:proofErr w:type="spellEnd"/>
      <w:r w:rsidRPr="00780CCE">
        <w:rPr>
          <w:rFonts w:ascii="Arial" w:eastAsia="Arial" w:hAnsi="Arial" w:cs="Arial"/>
        </w:rPr>
        <w:t xml:space="preserve"> </w:t>
      </w:r>
      <w:proofErr w:type="spellStart"/>
      <w:r w:rsidRPr="00780CCE">
        <w:rPr>
          <w:rFonts w:ascii="Arial" w:eastAsia="Arial" w:hAnsi="Arial" w:cs="Arial"/>
        </w:rPr>
        <w:t>Mengajar</w:t>
      </w:r>
      <w:proofErr w:type="spellEnd"/>
      <w:r w:rsidRPr="00780CCE">
        <w:rPr>
          <w:rFonts w:ascii="Arial" w:eastAsia="Arial" w:hAnsi="Arial" w:cs="Arial"/>
        </w:rPr>
        <w:t xml:space="preserve"> Pada Pendidikan </w:t>
      </w:r>
      <w:proofErr w:type="spellStart"/>
      <w:r w:rsidRPr="00780CCE">
        <w:rPr>
          <w:rFonts w:ascii="Arial" w:eastAsia="Arial" w:hAnsi="Arial" w:cs="Arial"/>
        </w:rPr>
        <w:t>Anak</w:t>
      </w:r>
      <w:proofErr w:type="spellEnd"/>
      <w:r w:rsidRPr="00780CCE">
        <w:rPr>
          <w:rFonts w:ascii="Arial" w:eastAsia="Arial" w:hAnsi="Arial" w:cs="Arial"/>
        </w:rPr>
        <w:t xml:space="preserve"> </w:t>
      </w:r>
      <w:proofErr w:type="spellStart"/>
      <w:r w:rsidRPr="00780CCE">
        <w:rPr>
          <w:rFonts w:ascii="Arial" w:eastAsia="Arial" w:hAnsi="Arial" w:cs="Arial"/>
        </w:rPr>
        <w:t>Usia</w:t>
      </w:r>
      <w:proofErr w:type="spellEnd"/>
      <w:r w:rsidRPr="00780CCE">
        <w:rPr>
          <w:rFonts w:ascii="Arial" w:eastAsia="Arial" w:hAnsi="Arial" w:cs="Arial"/>
        </w:rPr>
        <w:t xml:space="preserve"> Dini di </w:t>
      </w:r>
      <w:proofErr w:type="spellStart"/>
      <w:r w:rsidRPr="00780CCE">
        <w:rPr>
          <w:rFonts w:ascii="Arial" w:eastAsia="Arial" w:hAnsi="Arial" w:cs="Arial"/>
        </w:rPr>
        <w:t>Lamongan</w:t>
      </w:r>
      <w:proofErr w:type="spellEnd"/>
      <w:r w:rsidRPr="00780CCE">
        <w:rPr>
          <w:rFonts w:ascii="Arial" w:eastAsia="Arial" w:hAnsi="Arial" w:cs="Arial"/>
        </w:rPr>
        <w:t xml:space="preserve">. </w:t>
      </w:r>
      <w:proofErr w:type="spellStart"/>
      <w:r w:rsidRPr="00780CCE">
        <w:rPr>
          <w:rFonts w:ascii="Arial" w:eastAsia="Arial" w:hAnsi="Arial" w:cs="Arial"/>
        </w:rPr>
        <w:t>Jurnal</w:t>
      </w:r>
      <w:proofErr w:type="spellEnd"/>
      <w:r w:rsidRPr="00780CCE">
        <w:rPr>
          <w:rFonts w:ascii="Arial" w:eastAsia="Arial" w:hAnsi="Arial" w:cs="Arial"/>
        </w:rPr>
        <w:t xml:space="preserve"> </w:t>
      </w:r>
      <w:proofErr w:type="spellStart"/>
      <w:r w:rsidRPr="00780CCE">
        <w:rPr>
          <w:rFonts w:ascii="Arial" w:eastAsia="Arial" w:hAnsi="Arial" w:cs="Arial"/>
        </w:rPr>
        <w:t>Almurtaja</w:t>
      </w:r>
      <w:proofErr w:type="spellEnd"/>
      <w:r w:rsidRPr="00780CCE">
        <w:rPr>
          <w:rFonts w:ascii="Arial" w:eastAsia="Arial" w:hAnsi="Arial" w:cs="Arial"/>
        </w:rPr>
        <w:t xml:space="preserve">: </w:t>
      </w:r>
      <w:proofErr w:type="spellStart"/>
      <w:r w:rsidRPr="00780CCE">
        <w:rPr>
          <w:rFonts w:ascii="Arial" w:eastAsia="Arial" w:hAnsi="Arial" w:cs="Arial"/>
        </w:rPr>
        <w:t>Jurnal</w:t>
      </w:r>
      <w:proofErr w:type="spellEnd"/>
      <w:r w:rsidRPr="00780CCE">
        <w:rPr>
          <w:rFonts w:ascii="Arial" w:eastAsia="Arial" w:hAnsi="Arial" w:cs="Arial"/>
        </w:rPr>
        <w:t xml:space="preserve"> Pendidikan Islam </w:t>
      </w:r>
      <w:proofErr w:type="spellStart"/>
      <w:r w:rsidRPr="00780CCE">
        <w:rPr>
          <w:rFonts w:ascii="Arial" w:eastAsia="Arial" w:hAnsi="Arial" w:cs="Arial"/>
        </w:rPr>
        <w:t>Anak</w:t>
      </w:r>
      <w:proofErr w:type="spellEnd"/>
      <w:r w:rsidRPr="00780CCE">
        <w:rPr>
          <w:rFonts w:ascii="Arial" w:eastAsia="Arial" w:hAnsi="Arial" w:cs="Arial"/>
        </w:rPr>
        <w:t xml:space="preserve"> </w:t>
      </w:r>
      <w:proofErr w:type="spellStart"/>
      <w:r w:rsidRPr="00780CCE">
        <w:rPr>
          <w:rFonts w:ascii="Arial" w:eastAsia="Arial" w:hAnsi="Arial" w:cs="Arial"/>
        </w:rPr>
        <w:t>Usia</w:t>
      </w:r>
      <w:proofErr w:type="spellEnd"/>
      <w:r w:rsidRPr="00780CCE">
        <w:rPr>
          <w:rFonts w:ascii="Arial" w:eastAsia="Arial" w:hAnsi="Arial" w:cs="Arial"/>
        </w:rPr>
        <w:t xml:space="preserve"> Dini, 4(1), 31–36.</w:t>
      </w:r>
    </w:p>
    <w:p w14:paraId="69D1274E"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Undang-Undang</w:t>
      </w:r>
      <w:proofErr w:type="spellEnd"/>
      <w:r w:rsidRPr="00780CCE">
        <w:rPr>
          <w:rFonts w:ascii="Arial" w:eastAsia="Arial" w:hAnsi="Arial" w:cs="Arial"/>
        </w:rPr>
        <w:t xml:space="preserve"> </w:t>
      </w:r>
      <w:proofErr w:type="spellStart"/>
      <w:r w:rsidRPr="00780CCE">
        <w:rPr>
          <w:rFonts w:ascii="Arial" w:eastAsia="Arial" w:hAnsi="Arial" w:cs="Arial"/>
        </w:rPr>
        <w:t>Nomor</w:t>
      </w:r>
      <w:proofErr w:type="spellEnd"/>
      <w:r w:rsidRPr="00780CCE">
        <w:rPr>
          <w:rFonts w:ascii="Arial" w:eastAsia="Arial" w:hAnsi="Arial" w:cs="Arial"/>
        </w:rPr>
        <w:t xml:space="preserve"> 17 </w:t>
      </w:r>
      <w:proofErr w:type="spellStart"/>
      <w:r w:rsidRPr="00780CCE">
        <w:rPr>
          <w:rFonts w:ascii="Arial" w:eastAsia="Arial" w:hAnsi="Arial" w:cs="Arial"/>
        </w:rPr>
        <w:t>Tahun</w:t>
      </w:r>
      <w:proofErr w:type="spellEnd"/>
      <w:r w:rsidRPr="00780CCE">
        <w:rPr>
          <w:rFonts w:ascii="Arial" w:eastAsia="Arial" w:hAnsi="Arial" w:cs="Arial"/>
        </w:rPr>
        <w:t xml:space="preserve"> 2023 </w:t>
      </w:r>
      <w:proofErr w:type="spellStart"/>
      <w:r w:rsidRPr="00780CCE">
        <w:rPr>
          <w:rFonts w:ascii="Arial" w:eastAsia="Arial" w:hAnsi="Arial" w:cs="Arial"/>
        </w:rPr>
        <w:t>tentang</w:t>
      </w:r>
      <w:proofErr w:type="spellEnd"/>
      <w:r w:rsidRPr="00780CCE">
        <w:rPr>
          <w:rFonts w:ascii="Arial" w:eastAsia="Arial" w:hAnsi="Arial" w:cs="Arial"/>
        </w:rPr>
        <w:t xml:space="preserve"> </w:t>
      </w:r>
      <w:proofErr w:type="spellStart"/>
      <w:r w:rsidRPr="00780CCE">
        <w:rPr>
          <w:rFonts w:ascii="Arial" w:eastAsia="Arial" w:hAnsi="Arial" w:cs="Arial"/>
        </w:rPr>
        <w:t>Kesehatan</w:t>
      </w:r>
      <w:proofErr w:type="spellEnd"/>
      <w:r w:rsidRPr="00780CCE">
        <w:rPr>
          <w:rFonts w:ascii="Arial" w:eastAsia="Arial" w:hAnsi="Arial" w:cs="Arial"/>
        </w:rPr>
        <w:t>.</w:t>
      </w:r>
    </w:p>
    <w:p w14:paraId="17DDDA1E"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Undang-Undang</w:t>
      </w:r>
      <w:proofErr w:type="spellEnd"/>
      <w:r w:rsidRPr="00780CCE">
        <w:rPr>
          <w:rFonts w:ascii="Arial" w:eastAsia="Arial" w:hAnsi="Arial" w:cs="Arial"/>
        </w:rPr>
        <w:t xml:space="preserve"> </w:t>
      </w:r>
      <w:proofErr w:type="spellStart"/>
      <w:r w:rsidRPr="00780CCE">
        <w:rPr>
          <w:rFonts w:ascii="Arial" w:eastAsia="Arial" w:hAnsi="Arial" w:cs="Arial"/>
        </w:rPr>
        <w:t>Nomor</w:t>
      </w:r>
      <w:proofErr w:type="spellEnd"/>
      <w:r w:rsidRPr="00780CCE">
        <w:rPr>
          <w:rFonts w:ascii="Arial" w:eastAsia="Arial" w:hAnsi="Arial" w:cs="Arial"/>
        </w:rPr>
        <w:t xml:space="preserve"> 25 </w:t>
      </w:r>
      <w:proofErr w:type="spellStart"/>
      <w:r w:rsidRPr="00780CCE">
        <w:rPr>
          <w:rFonts w:ascii="Arial" w:eastAsia="Arial" w:hAnsi="Arial" w:cs="Arial"/>
        </w:rPr>
        <w:t>Tahun</w:t>
      </w:r>
      <w:proofErr w:type="spellEnd"/>
      <w:r w:rsidRPr="00780CCE">
        <w:rPr>
          <w:rFonts w:ascii="Arial" w:eastAsia="Arial" w:hAnsi="Arial" w:cs="Arial"/>
        </w:rPr>
        <w:t xml:space="preserve"> 2004 </w:t>
      </w:r>
      <w:proofErr w:type="spellStart"/>
      <w:r w:rsidRPr="00780CCE">
        <w:rPr>
          <w:rFonts w:ascii="Arial" w:eastAsia="Arial" w:hAnsi="Arial" w:cs="Arial"/>
        </w:rPr>
        <w:t>tentang</w:t>
      </w:r>
      <w:proofErr w:type="spellEnd"/>
      <w:r w:rsidRPr="00780CCE">
        <w:rPr>
          <w:rFonts w:ascii="Arial" w:eastAsia="Arial" w:hAnsi="Arial" w:cs="Arial"/>
        </w:rPr>
        <w:t xml:space="preserve"> </w:t>
      </w:r>
      <w:proofErr w:type="spellStart"/>
      <w:r w:rsidRPr="00780CCE">
        <w:rPr>
          <w:rFonts w:ascii="Arial" w:eastAsia="Arial" w:hAnsi="Arial" w:cs="Arial"/>
        </w:rPr>
        <w:t>Sistem</w:t>
      </w:r>
      <w:proofErr w:type="spellEnd"/>
      <w:r w:rsidRPr="00780CCE">
        <w:rPr>
          <w:rFonts w:ascii="Arial" w:eastAsia="Arial" w:hAnsi="Arial" w:cs="Arial"/>
        </w:rPr>
        <w:t xml:space="preserve"> </w:t>
      </w:r>
      <w:proofErr w:type="spellStart"/>
      <w:r w:rsidRPr="00780CCE">
        <w:rPr>
          <w:rFonts w:ascii="Arial" w:eastAsia="Arial" w:hAnsi="Arial" w:cs="Arial"/>
        </w:rPr>
        <w:t>Perencanaan</w:t>
      </w:r>
      <w:proofErr w:type="spellEnd"/>
      <w:r w:rsidRPr="00780CCE">
        <w:rPr>
          <w:rFonts w:ascii="Arial" w:eastAsia="Arial" w:hAnsi="Arial" w:cs="Arial"/>
        </w:rPr>
        <w:t xml:space="preserve"> Pembangunan Nasional. </w:t>
      </w:r>
    </w:p>
    <w:p w14:paraId="35057143"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Undang-Undang</w:t>
      </w:r>
      <w:proofErr w:type="spellEnd"/>
      <w:r w:rsidRPr="00780CCE">
        <w:rPr>
          <w:rFonts w:ascii="Arial" w:eastAsia="Arial" w:hAnsi="Arial" w:cs="Arial"/>
        </w:rPr>
        <w:t xml:space="preserve"> </w:t>
      </w:r>
      <w:proofErr w:type="spellStart"/>
      <w:r w:rsidRPr="00780CCE">
        <w:rPr>
          <w:rFonts w:ascii="Arial" w:eastAsia="Arial" w:hAnsi="Arial" w:cs="Arial"/>
        </w:rPr>
        <w:t>Nomor</w:t>
      </w:r>
      <w:proofErr w:type="spellEnd"/>
      <w:r w:rsidRPr="00780CCE">
        <w:rPr>
          <w:rFonts w:ascii="Arial" w:eastAsia="Arial" w:hAnsi="Arial" w:cs="Arial"/>
        </w:rPr>
        <w:t xml:space="preserve"> 59 </w:t>
      </w:r>
      <w:proofErr w:type="spellStart"/>
      <w:r w:rsidRPr="00780CCE">
        <w:rPr>
          <w:rFonts w:ascii="Arial" w:eastAsia="Arial" w:hAnsi="Arial" w:cs="Arial"/>
        </w:rPr>
        <w:t>Tahun</w:t>
      </w:r>
      <w:proofErr w:type="spellEnd"/>
      <w:r w:rsidRPr="00780CCE">
        <w:rPr>
          <w:rFonts w:ascii="Arial" w:eastAsia="Arial" w:hAnsi="Arial" w:cs="Arial"/>
        </w:rPr>
        <w:t xml:space="preserve"> 2024 </w:t>
      </w:r>
      <w:proofErr w:type="spellStart"/>
      <w:r w:rsidRPr="00780CCE">
        <w:rPr>
          <w:rFonts w:ascii="Arial" w:eastAsia="Arial" w:hAnsi="Arial" w:cs="Arial"/>
        </w:rPr>
        <w:t>tentang</w:t>
      </w:r>
      <w:proofErr w:type="spellEnd"/>
      <w:r w:rsidRPr="00780CCE">
        <w:rPr>
          <w:rFonts w:ascii="Arial" w:eastAsia="Arial" w:hAnsi="Arial" w:cs="Arial"/>
        </w:rPr>
        <w:t xml:space="preserve"> </w:t>
      </w:r>
      <w:proofErr w:type="spellStart"/>
      <w:r w:rsidRPr="00780CCE">
        <w:rPr>
          <w:rFonts w:ascii="Arial" w:eastAsia="Arial" w:hAnsi="Arial" w:cs="Arial"/>
        </w:rPr>
        <w:t>Rencana</w:t>
      </w:r>
      <w:proofErr w:type="spellEnd"/>
      <w:r w:rsidRPr="00780CCE">
        <w:rPr>
          <w:rFonts w:ascii="Arial" w:eastAsia="Arial" w:hAnsi="Arial" w:cs="Arial"/>
        </w:rPr>
        <w:t xml:space="preserve"> Pembangunan </w:t>
      </w:r>
      <w:proofErr w:type="spellStart"/>
      <w:r w:rsidRPr="00780CCE">
        <w:rPr>
          <w:rFonts w:ascii="Arial" w:eastAsia="Arial" w:hAnsi="Arial" w:cs="Arial"/>
        </w:rPr>
        <w:t>Jangka</w:t>
      </w:r>
      <w:proofErr w:type="spellEnd"/>
      <w:r w:rsidRPr="00780CCE">
        <w:rPr>
          <w:rFonts w:ascii="Arial" w:eastAsia="Arial" w:hAnsi="Arial" w:cs="Arial"/>
        </w:rPr>
        <w:t xml:space="preserve"> Panjang Nasional </w:t>
      </w:r>
      <w:proofErr w:type="spellStart"/>
      <w:r w:rsidRPr="00780CCE">
        <w:rPr>
          <w:rFonts w:ascii="Arial" w:eastAsia="Arial" w:hAnsi="Arial" w:cs="Arial"/>
        </w:rPr>
        <w:t>Tahun</w:t>
      </w:r>
      <w:proofErr w:type="spellEnd"/>
      <w:r w:rsidRPr="00780CCE">
        <w:rPr>
          <w:rFonts w:ascii="Arial" w:eastAsia="Arial" w:hAnsi="Arial" w:cs="Arial"/>
        </w:rPr>
        <w:t xml:space="preserve"> 2025-2045,</w:t>
      </w:r>
    </w:p>
    <w:p w14:paraId="2CD6F24E"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 xml:space="preserve">Van der Lippe, T., &amp; </w:t>
      </w:r>
      <w:proofErr w:type="spellStart"/>
      <w:r w:rsidRPr="00780CCE">
        <w:rPr>
          <w:rFonts w:ascii="Arial" w:eastAsia="Arial" w:hAnsi="Arial" w:cs="Arial"/>
        </w:rPr>
        <w:t>Lippényi</w:t>
      </w:r>
      <w:proofErr w:type="spellEnd"/>
      <w:r w:rsidRPr="00780CCE">
        <w:rPr>
          <w:rFonts w:ascii="Arial" w:eastAsia="Arial" w:hAnsi="Arial" w:cs="Arial"/>
        </w:rPr>
        <w:t>, Z. (2020). Co-workers working from home and individual and team performance. New Technology, Work and Employment, 35(1), 60–79.</w:t>
      </w:r>
    </w:p>
    <w:p w14:paraId="4D1A6171"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https://doi.org/10.1111/ntwe.12153</w:t>
      </w:r>
    </w:p>
    <w:p w14:paraId="5BE3380E" w14:textId="38DCC8A5"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proofErr w:type="spellStart"/>
      <w:r w:rsidRPr="00780CCE">
        <w:rPr>
          <w:rFonts w:ascii="Arial" w:eastAsia="Arial" w:hAnsi="Arial" w:cs="Arial"/>
        </w:rPr>
        <w:t>Victora</w:t>
      </w:r>
      <w:proofErr w:type="spellEnd"/>
      <w:r w:rsidRPr="00780CCE">
        <w:rPr>
          <w:rFonts w:ascii="Arial" w:eastAsia="Arial" w:hAnsi="Arial" w:cs="Arial"/>
        </w:rPr>
        <w:t xml:space="preserve">, C. G., Christian, P., </w:t>
      </w:r>
      <w:proofErr w:type="spellStart"/>
      <w:r w:rsidRPr="00780CCE">
        <w:rPr>
          <w:rFonts w:ascii="Arial" w:eastAsia="Arial" w:hAnsi="Arial" w:cs="Arial"/>
        </w:rPr>
        <w:t>Vidaletti</w:t>
      </w:r>
      <w:proofErr w:type="spellEnd"/>
      <w:r w:rsidRPr="00780CCE">
        <w:rPr>
          <w:rFonts w:ascii="Arial" w:eastAsia="Arial" w:hAnsi="Arial" w:cs="Arial"/>
        </w:rPr>
        <w:t xml:space="preserve">, L. P., </w:t>
      </w:r>
      <w:proofErr w:type="spellStart"/>
      <w:r w:rsidRPr="00780CCE">
        <w:rPr>
          <w:rFonts w:ascii="Arial" w:eastAsia="Arial" w:hAnsi="Arial" w:cs="Arial"/>
        </w:rPr>
        <w:t>Gatica</w:t>
      </w:r>
      <w:proofErr w:type="spellEnd"/>
      <w:r w:rsidRPr="00780CCE">
        <w:rPr>
          <w:rFonts w:ascii="Arial" w:eastAsia="Arial" w:hAnsi="Arial" w:cs="Arial"/>
        </w:rPr>
        <w:t xml:space="preserve">-Domínguez, G., Menon, P., &amp; Black, R. E. (2021). Revisiting maternal and child undernutrition in low-income and middle-income countries. The Lancet, 397(10282), 1382–1393. </w:t>
      </w:r>
    </w:p>
    <w:p w14:paraId="36EA4A07"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World Bank. (2022). Public sector human capital and service delivery. World Bank Publications. https://doi.org/10.1596/978-1-4648-1750-7</w:t>
      </w:r>
    </w:p>
    <w:p w14:paraId="5526B952" w14:textId="77777777" w:rsidR="008F230A" w:rsidRPr="00780CCE" w:rsidRDefault="008F76E1" w:rsidP="00780CCE">
      <w:pPr>
        <w:pStyle w:val="ListParagraph"/>
        <w:numPr>
          <w:ilvl w:val="0"/>
          <w:numId w:val="2"/>
        </w:numPr>
        <w:pBdr>
          <w:top w:val="nil"/>
          <w:left w:val="nil"/>
          <w:bottom w:val="nil"/>
          <w:right w:val="nil"/>
          <w:between w:val="nil"/>
        </w:pBdr>
        <w:jc w:val="both"/>
        <w:rPr>
          <w:rFonts w:ascii="Arial" w:eastAsia="Arial" w:hAnsi="Arial" w:cs="Arial"/>
        </w:rPr>
      </w:pPr>
      <w:r w:rsidRPr="00780CCE">
        <w:rPr>
          <w:rFonts w:ascii="Arial" w:eastAsia="Arial" w:hAnsi="Arial" w:cs="Arial"/>
        </w:rPr>
        <w:t>Wright, P. M., &amp; McMahan, G. C. (1992). Theoretical perspectives for strategic human resource management. Journal of Management, 18(2), 295–320.</w:t>
      </w:r>
    </w:p>
    <w:p w14:paraId="49A06345" w14:textId="77777777" w:rsidR="008F230A" w:rsidRDefault="008F230A" w:rsidP="00991F64">
      <w:pPr>
        <w:keepNext/>
        <w:pBdr>
          <w:top w:val="nil"/>
          <w:left w:val="nil"/>
          <w:bottom w:val="nil"/>
          <w:right w:val="nil"/>
          <w:between w:val="nil"/>
        </w:pBdr>
        <w:jc w:val="both"/>
        <w:rPr>
          <w:rFonts w:ascii="Arial" w:eastAsia="Arial" w:hAnsi="Arial" w:cs="Arial"/>
          <w:smallCaps/>
          <w:color w:val="000000"/>
          <w:sz w:val="22"/>
          <w:szCs w:val="22"/>
        </w:rPr>
      </w:pPr>
    </w:p>
    <w:sectPr w:rsidR="008F230A" w:rsidSect="000E5078">
      <w:headerReference w:type="even" r:id="rId13"/>
      <w:headerReference w:type="default" r:id="rId14"/>
      <w:footerReference w:type="default" r:id="rId15"/>
      <w:headerReference w:type="first" r:id="rId1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FD6B5" w14:textId="77777777" w:rsidR="00166B1D" w:rsidRDefault="00166B1D">
      <w:r>
        <w:separator/>
      </w:r>
    </w:p>
  </w:endnote>
  <w:endnote w:type="continuationSeparator" w:id="0">
    <w:p w14:paraId="14275937" w14:textId="77777777" w:rsidR="00166B1D" w:rsidRDefault="0016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396FDA45-C700-46E1-8AD0-A6661485D338}"/>
    <w:embedBold r:id="rId2" w:fontKey="{9AFF305F-2910-4AA8-B17F-20CD5787A65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7741905-C307-4976-805A-67E135180EBB}"/>
  </w:font>
  <w:font w:name="Calibri">
    <w:panose1 w:val="020F0502020204030204"/>
    <w:charset w:val="00"/>
    <w:family w:val="swiss"/>
    <w:pitch w:val="variable"/>
    <w:sig w:usb0="E4002EFF" w:usb1="C000247B" w:usb2="00000009" w:usb3="00000000" w:csb0="000001FF" w:csb1="00000000"/>
    <w:embedRegular r:id="rId4" w:fontKey="{FAEE6B4B-1C3B-4C1A-9DA2-FFF7A3E9BF9B}"/>
    <w:embedBold r:id="rId5" w:fontKey="{61FC0BC1-CB75-4327-B14F-74DD668C4EDD}"/>
  </w:font>
  <w:font w:name="Cambria Math">
    <w:panose1 w:val="02040503050406030204"/>
    <w:charset w:val="00"/>
    <w:family w:val="roman"/>
    <w:pitch w:val="variable"/>
    <w:sig w:usb0="E00006FF" w:usb1="420024FF" w:usb2="02000000" w:usb3="00000000" w:csb0="0000019F" w:csb1="00000000"/>
    <w:embedRegular r:id="rId6" w:fontKey="{7E0AD4E0-7B37-4B25-9DA6-D660AE10ABCE}"/>
  </w:font>
  <w:font w:name="Cambria">
    <w:altName w:val="Cambria"/>
    <w:panose1 w:val="02040503050406030204"/>
    <w:charset w:val="00"/>
    <w:family w:val="roman"/>
    <w:pitch w:val="variable"/>
    <w:sig w:usb0="E00006FF" w:usb1="420024FF" w:usb2="02000000" w:usb3="00000000" w:csb0="0000019F" w:csb1="00000000"/>
    <w:embedRegular r:id="rId7" w:fontKey="{8556648D-5BC6-429B-862E-BCDC6795F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9A324" w14:textId="77777777" w:rsidR="008F230A" w:rsidRDefault="008F230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79553" w14:textId="3E96ED29" w:rsidR="008F230A" w:rsidRDefault="008F230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BBCC5" w14:textId="77777777" w:rsidR="008F230A" w:rsidRDefault="008F230A">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F157D3F" w14:textId="77777777" w:rsidR="008F230A" w:rsidRDefault="008F76E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672D61D" w14:textId="77777777" w:rsidR="008F230A" w:rsidRDefault="008F230A">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E8D1D08" w14:textId="77777777" w:rsidR="008F230A" w:rsidRDefault="008F76E1">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58EF4" w14:textId="77777777" w:rsidR="008F230A" w:rsidRDefault="008F230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1E43A" w14:textId="77777777" w:rsidR="00166B1D" w:rsidRDefault="00166B1D">
      <w:r>
        <w:separator/>
      </w:r>
    </w:p>
  </w:footnote>
  <w:footnote w:type="continuationSeparator" w:id="0">
    <w:p w14:paraId="65AEB8B4" w14:textId="77777777" w:rsidR="00166B1D" w:rsidRDefault="00166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37D01" w14:textId="361FEB99" w:rsidR="008F230A" w:rsidRDefault="00166B1D">
    <w:pPr>
      <w:pBdr>
        <w:top w:val="nil"/>
        <w:left w:val="nil"/>
        <w:bottom w:val="nil"/>
        <w:right w:val="nil"/>
        <w:between w:val="nil"/>
      </w:pBdr>
      <w:tabs>
        <w:tab w:val="center" w:pos="4320"/>
        <w:tab w:val="right" w:pos="8640"/>
      </w:tabs>
      <w:rPr>
        <w:color w:val="000000"/>
      </w:rPr>
    </w:pPr>
    <w:r>
      <w:rPr>
        <w:noProof/>
      </w:rPr>
      <w:pict w14:anchorId="1527E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69" o:spid="_x0000_s2054" type="#_x0000_t136" style="position:absolute;margin-left:0;margin-top:0;width:519.9pt;height:58.65pt;rotation:315;z-index:-25165619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DB7D" w14:textId="6443F084" w:rsidR="008F230A" w:rsidRDefault="00166B1D">
    <w:pPr>
      <w:pBdr>
        <w:top w:val="nil"/>
        <w:left w:val="nil"/>
        <w:bottom w:val="nil"/>
        <w:right w:val="nil"/>
        <w:between w:val="nil"/>
      </w:pBdr>
      <w:tabs>
        <w:tab w:val="center" w:pos="4320"/>
        <w:tab w:val="right" w:pos="8640"/>
      </w:tabs>
      <w:rPr>
        <w:color w:val="000000"/>
      </w:rPr>
    </w:pPr>
    <w:r>
      <w:rPr>
        <w:noProof/>
      </w:rPr>
      <w:pict w14:anchorId="593BC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70" o:spid="_x0000_s2053"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A9F08" w14:textId="3C3A95F4" w:rsidR="008F230A" w:rsidRDefault="00166B1D">
    <w:pPr>
      <w:ind w:left="2160"/>
      <w:jc w:val="center"/>
      <w:rPr>
        <w:rFonts w:ascii="Times New Roman" w:eastAsia="Times New Roman" w:hAnsi="Times New Roman" w:cs="Times New Roman"/>
        <w:i/>
        <w:iCs/>
        <w:sz w:val="18"/>
        <w:szCs w:val="18"/>
      </w:rPr>
    </w:pPr>
    <w:r>
      <w:rPr>
        <w:noProof/>
      </w:rPr>
      <w:pict w14:anchorId="6EE40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68" o:spid="_x0000_s2052" type="#_x0000_t136" style="position:absolute;left:0;text-align:left;margin-left:0;margin-top:0;width:519.9pt;height:58.65pt;rotation:315;z-index:-25165824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263CC27" w14:textId="77777777" w:rsidR="008F230A" w:rsidRDefault="008F76E1">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99BAA45" w14:textId="77777777" w:rsidR="008F230A" w:rsidRDefault="008F76E1">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3DFD217" w14:textId="77777777" w:rsidR="008F230A" w:rsidRDefault="008F76E1">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C8B7899" w14:textId="77777777" w:rsidR="008F230A" w:rsidRDefault="008F76E1">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D9E60EB" w14:textId="77777777" w:rsidR="008F230A" w:rsidRDefault="008F76E1">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FF90152" w14:textId="77777777" w:rsidR="008F230A" w:rsidRDefault="008F76E1">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505FA" w14:textId="3555E56B" w:rsidR="000E5078" w:rsidRDefault="00166B1D">
    <w:pPr>
      <w:pStyle w:val="Header"/>
    </w:pPr>
    <w:r>
      <w:rPr>
        <w:noProof/>
      </w:rPr>
      <w:pict w14:anchorId="2398B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7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B39D1" w14:textId="784F2391" w:rsidR="000E5078" w:rsidRDefault="00166B1D">
    <w:pPr>
      <w:pStyle w:val="Header"/>
    </w:pPr>
    <w:r>
      <w:rPr>
        <w:noProof/>
      </w:rPr>
      <w:pict w14:anchorId="73D61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73" o:spid="_x0000_s2050" type="#_x0000_t136" style="position:absolute;margin-left:0;margin-top:0;width:519.9pt;height:58.65pt;rotation:315;z-index:-25165209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00415" w14:textId="226343E0" w:rsidR="000E5078" w:rsidRDefault="00166B1D">
    <w:pPr>
      <w:pStyle w:val="Header"/>
    </w:pPr>
    <w:r>
      <w:rPr>
        <w:noProof/>
      </w:rPr>
      <w:pict w14:anchorId="2020B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144971" o:spid="_x0000_s2049" type="#_x0000_t136" style="position:absolute;margin-left:0;margin-top:0;width:519.9pt;height:58.65pt;rotation:315;z-index:-25165414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91F4D"/>
    <w:multiLevelType w:val="hybridMultilevel"/>
    <w:tmpl w:val="1F882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7234BB"/>
    <w:multiLevelType w:val="multilevel"/>
    <w:tmpl w:val="67547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0A"/>
    <w:rsid w:val="00011444"/>
    <w:rsid w:val="00021FBC"/>
    <w:rsid w:val="00057315"/>
    <w:rsid w:val="000E5078"/>
    <w:rsid w:val="000F15D3"/>
    <w:rsid w:val="000F1F48"/>
    <w:rsid w:val="001035E1"/>
    <w:rsid w:val="00166B1D"/>
    <w:rsid w:val="001901AB"/>
    <w:rsid w:val="00236D43"/>
    <w:rsid w:val="00345334"/>
    <w:rsid w:val="00371EC5"/>
    <w:rsid w:val="003E60EE"/>
    <w:rsid w:val="004028FA"/>
    <w:rsid w:val="004130A6"/>
    <w:rsid w:val="004B35D7"/>
    <w:rsid w:val="005423ED"/>
    <w:rsid w:val="0056095C"/>
    <w:rsid w:val="006A408E"/>
    <w:rsid w:val="006A6B56"/>
    <w:rsid w:val="00735404"/>
    <w:rsid w:val="00780CCE"/>
    <w:rsid w:val="007D474F"/>
    <w:rsid w:val="008E08D4"/>
    <w:rsid w:val="008F230A"/>
    <w:rsid w:val="008F76E1"/>
    <w:rsid w:val="00947489"/>
    <w:rsid w:val="00957242"/>
    <w:rsid w:val="00976C3D"/>
    <w:rsid w:val="00991F64"/>
    <w:rsid w:val="00A53F9D"/>
    <w:rsid w:val="00AD37F7"/>
    <w:rsid w:val="00B742B5"/>
    <w:rsid w:val="00BD7AF2"/>
    <w:rsid w:val="00C1231B"/>
    <w:rsid w:val="00C50506"/>
    <w:rsid w:val="00CB38DD"/>
    <w:rsid w:val="00E351A2"/>
    <w:rsid w:val="00EC2938"/>
    <w:rsid w:val="00F357FC"/>
    <w:rsid w:val="00F963F6"/>
    <w:rsid w:val="00FA106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812C0FC"/>
  <w15:docId w15:val="{8F62DA7B-E689-4994-9B89-A10889513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character" w:styleId="LineNumber">
    <w:name w:val="line number"/>
    <w:basedOn w:val="DefaultParagraphFont"/>
    <w:uiPriority w:val="99"/>
    <w:semiHidden/>
    <w:unhideWhenUsed/>
    <w:rsid w:val="00A53F9D"/>
  </w:style>
  <w:style w:type="character" w:styleId="Hyperlink">
    <w:name w:val="Hyperlink"/>
    <w:basedOn w:val="DefaultParagraphFont"/>
    <w:uiPriority w:val="99"/>
    <w:unhideWhenUsed/>
    <w:rsid w:val="00A53F9D"/>
    <w:rPr>
      <w:color w:val="0000FF" w:themeColor="hyperlink"/>
      <w:u w:val="single"/>
    </w:rPr>
  </w:style>
  <w:style w:type="character" w:styleId="UnresolvedMention">
    <w:name w:val="Unresolved Mention"/>
    <w:basedOn w:val="DefaultParagraphFont"/>
    <w:uiPriority w:val="99"/>
    <w:semiHidden/>
    <w:unhideWhenUsed/>
    <w:rsid w:val="00A53F9D"/>
    <w:rPr>
      <w:color w:val="605E5C"/>
      <w:shd w:val="clear" w:color="auto" w:fill="E1DFDD"/>
    </w:rPr>
  </w:style>
  <w:style w:type="paragraph" w:styleId="ListParagraph">
    <w:name w:val="List Paragraph"/>
    <w:basedOn w:val="Normal"/>
    <w:uiPriority w:val="34"/>
    <w:qFormat/>
    <w:rsid w:val="00C50506"/>
    <w:pPr>
      <w:ind w:left="720"/>
      <w:contextualSpacing/>
    </w:pPr>
  </w:style>
  <w:style w:type="paragraph" w:styleId="Header">
    <w:name w:val="header"/>
    <w:basedOn w:val="Normal"/>
    <w:link w:val="HeaderChar"/>
    <w:uiPriority w:val="99"/>
    <w:unhideWhenUsed/>
    <w:rsid w:val="000E5078"/>
    <w:pPr>
      <w:tabs>
        <w:tab w:val="center" w:pos="4680"/>
        <w:tab w:val="right" w:pos="9360"/>
      </w:tabs>
    </w:pPr>
  </w:style>
  <w:style w:type="character" w:customStyle="1" w:styleId="HeaderChar">
    <w:name w:val="Header Char"/>
    <w:basedOn w:val="DefaultParagraphFont"/>
    <w:link w:val="Header"/>
    <w:uiPriority w:val="99"/>
    <w:rsid w:val="000E5078"/>
  </w:style>
  <w:style w:type="table" w:styleId="PlainTable2">
    <w:name w:val="Plain Table 2"/>
    <w:basedOn w:val="TableNormal"/>
    <w:uiPriority w:val="42"/>
    <w:rsid w:val="00021FB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89842">
      <w:bodyDiv w:val="1"/>
      <w:marLeft w:val="0"/>
      <w:marRight w:val="0"/>
      <w:marTop w:val="0"/>
      <w:marBottom w:val="0"/>
      <w:divBdr>
        <w:top w:val="none" w:sz="0" w:space="0" w:color="auto"/>
        <w:left w:val="none" w:sz="0" w:space="0" w:color="auto"/>
        <w:bottom w:val="none" w:sz="0" w:space="0" w:color="auto"/>
        <w:right w:val="none" w:sz="0" w:space="0" w:color="auto"/>
      </w:divBdr>
      <w:divsChild>
        <w:div w:id="1096290450">
          <w:marLeft w:val="0"/>
          <w:marRight w:val="0"/>
          <w:marTop w:val="0"/>
          <w:marBottom w:val="0"/>
          <w:divBdr>
            <w:top w:val="none" w:sz="0" w:space="0" w:color="auto"/>
            <w:left w:val="none" w:sz="0" w:space="0" w:color="auto"/>
            <w:bottom w:val="none" w:sz="0" w:space="0" w:color="auto"/>
            <w:right w:val="none" w:sz="0" w:space="0" w:color="auto"/>
          </w:divBdr>
          <w:divsChild>
            <w:div w:id="962729974">
              <w:marLeft w:val="0"/>
              <w:marRight w:val="0"/>
              <w:marTop w:val="0"/>
              <w:marBottom w:val="0"/>
              <w:divBdr>
                <w:top w:val="none" w:sz="0" w:space="0" w:color="auto"/>
                <w:left w:val="none" w:sz="0" w:space="0" w:color="auto"/>
                <w:bottom w:val="none" w:sz="0" w:space="0" w:color="auto"/>
                <w:right w:val="none" w:sz="0" w:space="0" w:color="auto"/>
              </w:divBdr>
            </w:div>
          </w:divsChild>
        </w:div>
        <w:div w:id="1726679775">
          <w:marLeft w:val="0"/>
          <w:marRight w:val="0"/>
          <w:marTop w:val="0"/>
          <w:marBottom w:val="0"/>
          <w:divBdr>
            <w:top w:val="none" w:sz="0" w:space="0" w:color="auto"/>
            <w:left w:val="none" w:sz="0" w:space="0" w:color="auto"/>
            <w:bottom w:val="none" w:sz="0" w:space="0" w:color="auto"/>
            <w:right w:val="none" w:sz="0" w:space="0" w:color="auto"/>
          </w:divBdr>
          <w:divsChild>
            <w:div w:id="16184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07030">
      <w:bodyDiv w:val="1"/>
      <w:marLeft w:val="0"/>
      <w:marRight w:val="0"/>
      <w:marTop w:val="0"/>
      <w:marBottom w:val="0"/>
      <w:divBdr>
        <w:top w:val="none" w:sz="0" w:space="0" w:color="auto"/>
        <w:left w:val="none" w:sz="0" w:space="0" w:color="auto"/>
        <w:bottom w:val="none" w:sz="0" w:space="0" w:color="auto"/>
        <w:right w:val="none" w:sz="0" w:space="0" w:color="auto"/>
      </w:divBdr>
      <w:divsChild>
        <w:div w:id="536548361">
          <w:marLeft w:val="0"/>
          <w:marRight w:val="0"/>
          <w:marTop w:val="0"/>
          <w:marBottom w:val="0"/>
          <w:divBdr>
            <w:top w:val="none" w:sz="0" w:space="0" w:color="auto"/>
            <w:left w:val="none" w:sz="0" w:space="0" w:color="auto"/>
            <w:bottom w:val="none" w:sz="0" w:space="0" w:color="auto"/>
            <w:right w:val="none" w:sz="0" w:space="0" w:color="auto"/>
          </w:divBdr>
          <w:divsChild>
            <w:div w:id="1602837378">
              <w:marLeft w:val="0"/>
              <w:marRight w:val="0"/>
              <w:marTop w:val="0"/>
              <w:marBottom w:val="0"/>
              <w:divBdr>
                <w:top w:val="none" w:sz="0" w:space="0" w:color="auto"/>
                <w:left w:val="none" w:sz="0" w:space="0" w:color="auto"/>
                <w:bottom w:val="none" w:sz="0" w:space="0" w:color="auto"/>
                <w:right w:val="none" w:sz="0" w:space="0" w:color="auto"/>
              </w:divBdr>
            </w:div>
          </w:divsChild>
        </w:div>
        <w:div w:id="2022660783">
          <w:marLeft w:val="0"/>
          <w:marRight w:val="0"/>
          <w:marTop w:val="0"/>
          <w:marBottom w:val="0"/>
          <w:divBdr>
            <w:top w:val="none" w:sz="0" w:space="0" w:color="auto"/>
            <w:left w:val="none" w:sz="0" w:space="0" w:color="auto"/>
            <w:bottom w:val="none" w:sz="0" w:space="0" w:color="auto"/>
            <w:right w:val="none" w:sz="0" w:space="0" w:color="auto"/>
          </w:divBdr>
          <w:divsChild>
            <w:div w:id="3179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5644">
      <w:bodyDiv w:val="1"/>
      <w:marLeft w:val="0"/>
      <w:marRight w:val="0"/>
      <w:marTop w:val="0"/>
      <w:marBottom w:val="0"/>
      <w:divBdr>
        <w:top w:val="none" w:sz="0" w:space="0" w:color="auto"/>
        <w:left w:val="none" w:sz="0" w:space="0" w:color="auto"/>
        <w:bottom w:val="none" w:sz="0" w:space="0" w:color="auto"/>
        <w:right w:val="none" w:sz="0" w:space="0" w:color="auto"/>
      </w:divBdr>
    </w:div>
    <w:div w:id="648173203">
      <w:bodyDiv w:val="1"/>
      <w:marLeft w:val="0"/>
      <w:marRight w:val="0"/>
      <w:marTop w:val="0"/>
      <w:marBottom w:val="0"/>
      <w:divBdr>
        <w:top w:val="none" w:sz="0" w:space="0" w:color="auto"/>
        <w:left w:val="none" w:sz="0" w:space="0" w:color="auto"/>
        <w:bottom w:val="none" w:sz="0" w:space="0" w:color="auto"/>
        <w:right w:val="none" w:sz="0" w:space="0" w:color="auto"/>
      </w:divBdr>
      <w:divsChild>
        <w:div w:id="1867794158">
          <w:marLeft w:val="0"/>
          <w:marRight w:val="0"/>
          <w:marTop w:val="0"/>
          <w:marBottom w:val="0"/>
          <w:divBdr>
            <w:top w:val="none" w:sz="0" w:space="0" w:color="auto"/>
            <w:left w:val="none" w:sz="0" w:space="0" w:color="auto"/>
            <w:bottom w:val="none" w:sz="0" w:space="0" w:color="auto"/>
            <w:right w:val="none" w:sz="0" w:space="0" w:color="auto"/>
          </w:divBdr>
        </w:div>
      </w:divsChild>
    </w:div>
    <w:div w:id="755631823">
      <w:bodyDiv w:val="1"/>
      <w:marLeft w:val="0"/>
      <w:marRight w:val="0"/>
      <w:marTop w:val="0"/>
      <w:marBottom w:val="0"/>
      <w:divBdr>
        <w:top w:val="none" w:sz="0" w:space="0" w:color="auto"/>
        <w:left w:val="none" w:sz="0" w:space="0" w:color="auto"/>
        <w:bottom w:val="none" w:sz="0" w:space="0" w:color="auto"/>
        <w:right w:val="none" w:sz="0" w:space="0" w:color="auto"/>
      </w:divBdr>
    </w:div>
    <w:div w:id="1468663262">
      <w:bodyDiv w:val="1"/>
      <w:marLeft w:val="0"/>
      <w:marRight w:val="0"/>
      <w:marTop w:val="0"/>
      <w:marBottom w:val="0"/>
      <w:divBdr>
        <w:top w:val="none" w:sz="0" w:space="0" w:color="auto"/>
        <w:left w:val="none" w:sz="0" w:space="0" w:color="auto"/>
        <w:bottom w:val="none" w:sz="0" w:space="0" w:color="auto"/>
        <w:right w:val="none" w:sz="0" w:space="0" w:color="auto"/>
      </w:divBdr>
    </w:div>
    <w:div w:id="1763800579">
      <w:bodyDiv w:val="1"/>
      <w:marLeft w:val="0"/>
      <w:marRight w:val="0"/>
      <w:marTop w:val="0"/>
      <w:marBottom w:val="0"/>
      <w:divBdr>
        <w:top w:val="none" w:sz="0" w:space="0" w:color="auto"/>
        <w:left w:val="none" w:sz="0" w:space="0" w:color="auto"/>
        <w:bottom w:val="none" w:sz="0" w:space="0" w:color="auto"/>
        <w:right w:val="none" w:sz="0" w:space="0" w:color="auto"/>
      </w:divBdr>
    </w:div>
    <w:div w:id="1838761357">
      <w:bodyDiv w:val="1"/>
      <w:marLeft w:val="0"/>
      <w:marRight w:val="0"/>
      <w:marTop w:val="0"/>
      <w:marBottom w:val="0"/>
      <w:divBdr>
        <w:top w:val="none" w:sz="0" w:space="0" w:color="auto"/>
        <w:left w:val="none" w:sz="0" w:space="0" w:color="auto"/>
        <w:bottom w:val="none" w:sz="0" w:space="0" w:color="auto"/>
        <w:right w:val="none" w:sz="0" w:space="0" w:color="auto"/>
      </w:divBdr>
    </w:div>
    <w:div w:id="1959874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4860</Words>
  <Characters>27704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cicik widayanti</dc:creator>
  <cp:keywords/>
  <dc:description/>
  <cp:lastModifiedBy>Editor-1183</cp:lastModifiedBy>
  <cp:revision>6</cp:revision>
  <dcterms:created xsi:type="dcterms:W3CDTF">2026-02-11T03:03:00Z</dcterms:created>
  <dcterms:modified xsi:type="dcterms:W3CDTF">2026-02-14T10:36:00Z</dcterms:modified>
</cp:coreProperties>
</file>