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08F" w14:textId="06B71D6C" w:rsidR="00A450A9" w:rsidRPr="00B61364" w:rsidRDefault="00A450A9" w:rsidP="008B0675">
      <w:pPr>
        <w:pStyle w:val="Heading1"/>
        <w:spacing w:before="0" w:after="0" w:line="240" w:lineRule="auto"/>
        <w:jc w:val="both"/>
        <w:rPr>
          <w:rFonts w:ascii="Arial" w:hAnsi="Arial" w:cs="Arial"/>
          <w:sz w:val="36"/>
          <w:szCs w:val="36"/>
        </w:rPr>
      </w:pPr>
      <w:r w:rsidRPr="00B61364">
        <w:rPr>
          <w:rFonts w:ascii="Arial" w:hAnsi="Arial" w:cs="Arial"/>
          <w:sz w:val="36"/>
          <w:szCs w:val="36"/>
        </w:rPr>
        <w:t>An Empirical Study on the Impact of US Tariff Rates 2025 on the Indian Stock Market</w:t>
      </w:r>
    </w:p>
    <w:p w14:paraId="1021B0A2" w14:textId="77777777" w:rsidR="00A450A9" w:rsidRPr="00B61364" w:rsidRDefault="00A450A9" w:rsidP="008B0675">
      <w:pPr>
        <w:spacing w:after="0" w:line="240" w:lineRule="auto"/>
        <w:jc w:val="both"/>
        <w:rPr>
          <w:rFonts w:ascii="Arial" w:hAnsi="Arial" w:cs="Arial"/>
          <w:sz w:val="36"/>
          <w:szCs w:val="36"/>
        </w:rPr>
      </w:pPr>
    </w:p>
    <w:p w14:paraId="32B6B606" w14:textId="77777777" w:rsidR="00A450A9" w:rsidRPr="00B61364" w:rsidRDefault="00A450A9" w:rsidP="008B0675">
      <w:pPr>
        <w:spacing w:after="0" w:line="240" w:lineRule="auto"/>
        <w:jc w:val="both"/>
        <w:rPr>
          <w:rFonts w:ascii="Arial" w:hAnsi="Arial" w:cs="Arial"/>
          <w:sz w:val="24"/>
          <w:szCs w:val="24"/>
        </w:rPr>
        <w:sectPr w:rsidR="00A450A9" w:rsidRPr="00B61364" w:rsidSect="00B61364">
          <w:pgSz w:w="11906" w:h="16838" w:code="9"/>
          <w:pgMar w:top="1440" w:right="1440" w:bottom="1440" w:left="1440" w:header="708" w:footer="708" w:gutter="0"/>
          <w:cols w:space="708"/>
          <w:docGrid w:linePitch="360"/>
        </w:sectPr>
      </w:pPr>
    </w:p>
    <w:p w14:paraId="3C93E2BB" w14:textId="77777777" w:rsidR="00B61364" w:rsidRPr="00B61364" w:rsidRDefault="00B61364" w:rsidP="008B0675">
      <w:pPr>
        <w:spacing w:after="0" w:line="240" w:lineRule="auto"/>
        <w:ind w:left="66"/>
        <w:jc w:val="both"/>
        <w:rPr>
          <w:rFonts w:ascii="Arial" w:hAnsi="Arial" w:cs="Arial"/>
          <w:b/>
          <w:bCs/>
          <w:sz w:val="24"/>
          <w:szCs w:val="24"/>
        </w:rPr>
      </w:pPr>
      <w:r w:rsidRPr="00B61364">
        <w:rPr>
          <w:rFonts w:ascii="Arial" w:hAnsi="Arial" w:cs="Arial"/>
          <w:b/>
          <w:bCs/>
          <w:sz w:val="24"/>
          <w:szCs w:val="24"/>
        </w:rPr>
        <w:t>ABSTRACT</w:t>
      </w:r>
    </w:p>
    <w:p w14:paraId="11AE6615" w14:textId="3A842419" w:rsidR="00D46F0A" w:rsidRDefault="00D46F0A" w:rsidP="008B0675">
      <w:pPr>
        <w:spacing w:after="0" w:line="240" w:lineRule="auto"/>
        <w:ind w:left="66"/>
        <w:jc w:val="both"/>
        <w:rPr>
          <w:color w:val="222222"/>
          <w:sz w:val="20"/>
          <w:szCs w:val="20"/>
        </w:rPr>
      </w:pPr>
    </w:p>
    <w:p w14:paraId="7A699517" w14:textId="57289BD7" w:rsidR="00D46F0A" w:rsidRPr="00D46F0A" w:rsidRDefault="00D46F0A" w:rsidP="008B0675">
      <w:pPr>
        <w:spacing w:after="0" w:line="240" w:lineRule="auto"/>
        <w:ind w:left="66"/>
        <w:jc w:val="both"/>
        <w:rPr>
          <w:rFonts w:ascii="Times New Roman" w:hAnsi="Times New Roman" w:cs="Times New Roman"/>
          <w:color w:val="222222"/>
          <w:sz w:val="24"/>
          <w:szCs w:val="20"/>
        </w:rPr>
      </w:pPr>
      <w:r w:rsidRPr="00D46F0A">
        <w:rPr>
          <w:rFonts w:ascii="Times New Roman" w:hAnsi="Times New Roman" w:cs="Times New Roman"/>
          <w:b/>
          <w:color w:val="222222"/>
          <w:sz w:val="24"/>
          <w:szCs w:val="20"/>
        </w:rPr>
        <w:t>Background:</w:t>
      </w:r>
      <w:r w:rsidRPr="00D46F0A">
        <w:rPr>
          <w:rFonts w:ascii="Times New Roman" w:hAnsi="Times New Roman" w:cs="Times New Roman"/>
          <w:color w:val="222222"/>
          <w:sz w:val="24"/>
          <w:szCs w:val="20"/>
        </w:rPr>
        <w:t xml:space="preserve"> The 2025 tariffs provide a timely opportunity to observe how modern </w:t>
      </w:r>
      <w:proofErr w:type="gramStart"/>
      <w:r w:rsidRPr="00D46F0A">
        <w:rPr>
          <w:rFonts w:ascii="Times New Roman" w:hAnsi="Times New Roman" w:cs="Times New Roman"/>
          <w:color w:val="222222"/>
          <w:sz w:val="24"/>
          <w:szCs w:val="20"/>
        </w:rPr>
        <w:t>financial  markets</w:t>
      </w:r>
      <w:proofErr w:type="gramEnd"/>
      <w:r w:rsidRPr="00D46F0A">
        <w:rPr>
          <w:rFonts w:ascii="Times New Roman" w:hAnsi="Times New Roman" w:cs="Times New Roman"/>
          <w:color w:val="222222"/>
          <w:sz w:val="24"/>
          <w:szCs w:val="20"/>
        </w:rPr>
        <w:t xml:space="preserve"> </w:t>
      </w:r>
      <w:proofErr w:type="spellStart"/>
      <w:r w:rsidRPr="00D46F0A">
        <w:rPr>
          <w:rFonts w:ascii="Times New Roman" w:hAnsi="Times New Roman" w:cs="Times New Roman"/>
          <w:color w:val="222222"/>
          <w:sz w:val="24"/>
          <w:szCs w:val="20"/>
        </w:rPr>
        <w:t>respondto</w:t>
      </w:r>
      <w:proofErr w:type="spellEnd"/>
      <w:r w:rsidRPr="00D46F0A">
        <w:rPr>
          <w:rFonts w:ascii="Times New Roman" w:hAnsi="Times New Roman" w:cs="Times New Roman"/>
          <w:color w:val="222222"/>
          <w:sz w:val="24"/>
          <w:szCs w:val="20"/>
        </w:rPr>
        <w:t xml:space="preserve"> abrupt policy shifts. Prior research shows that uncertainty </w:t>
      </w:r>
      <w:proofErr w:type="gramStart"/>
      <w:r w:rsidRPr="00D46F0A">
        <w:rPr>
          <w:rFonts w:ascii="Times New Roman" w:hAnsi="Times New Roman" w:cs="Times New Roman"/>
          <w:color w:val="222222"/>
          <w:sz w:val="24"/>
          <w:szCs w:val="20"/>
        </w:rPr>
        <w:t>surrounding  tariff</w:t>
      </w:r>
      <w:proofErr w:type="gramEnd"/>
      <w:r w:rsidRPr="00D46F0A">
        <w:rPr>
          <w:rFonts w:ascii="Times New Roman" w:hAnsi="Times New Roman" w:cs="Times New Roman"/>
          <w:color w:val="222222"/>
          <w:sz w:val="24"/>
          <w:szCs w:val="20"/>
        </w:rPr>
        <w:t xml:space="preserve"> announcements  </w:t>
      </w:r>
      <w:proofErr w:type="spellStart"/>
      <w:r w:rsidRPr="00D46F0A">
        <w:rPr>
          <w:rFonts w:ascii="Times New Roman" w:hAnsi="Times New Roman" w:cs="Times New Roman"/>
          <w:color w:val="222222"/>
          <w:sz w:val="24"/>
          <w:szCs w:val="20"/>
        </w:rPr>
        <w:t>canswiftly</w:t>
      </w:r>
      <w:proofErr w:type="spellEnd"/>
      <w:r w:rsidRPr="00D46F0A">
        <w:rPr>
          <w:rFonts w:ascii="Times New Roman" w:hAnsi="Times New Roman" w:cs="Times New Roman"/>
          <w:color w:val="222222"/>
          <w:sz w:val="24"/>
          <w:szCs w:val="20"/>
        </w:rPr>
        <w:t xml:space="preserve">  affect  asset  prices. </w:t>
      </w:r>
      <w:r w:rsidR="00C856AF" w:rsidRPr="00D46F0A">
        <w:rPr>
          <w:rFonts w:ascii="Times New Roman" w:hAnsi="Times New Roman" w:cs="Times New Roman"/>
          <w:color w:val="222222"/>
          <w:sz w:val="24"/>
          <w:szCs w:val="20"/>
        </w:rPr>
        <w:t xml:space="preserve">By </w:t>
      </w:r>
      <w:proofErr w:type="gramStart"/>
      <w:r w:rsidR="00C856AF" w:rsidRPr="00D46F0A">
        <w:rPr>
          <w:rFonts w:ascii="Times New Roman" w:hAnsi="Times New Roman" w:cs="Times New Roman"/>
          <w:color w:val="222222"/>
          <w:sz w:val="24"/>
          <w:szCs w:val="20"/>
        </w:rPr>
        <w:t>tracing</w:t>
      </w:r>
      <w:r w:rsidRPr="00D46F0A">
        <w:rPr>
          <w:rFonts w:ascii="Times New Roman" w:hAnsi="Times New Roman" w:cs="Times New Roman"/>
          <w:color w:val="222222"/>
          <w:sz w:val="24"/>
          <w:szCs w:val="20"/>
        </w:rPr>
        <w:t xml:space="preserve">  drivers</w:t>
      </w:r>
      <w:proofErr w:type="gramEnd"/>
      <w:r w:rsidRPr="00D46F0A">
        <w:rPr>
          <w:rFonts w:ascii="Times New Roman" w:hAnsi="Times New Roman" w:cs="Times New Roman"/>
          <w:color w:val="222222"/>
          <w:sz w:val="24"/>
          <w:szCs w:val="20"/>
        </w:rPr>
        <w:t xml:space="preserve">  such  as  uncertainty  spikes  </w:t>
      </w:r>
      <w:proofErr w:type="spellStart"/>
      <w:r w:rsidRPr="00D46F0A">
        <w:rPr>
          <w:rFonts w:ascii="Times New Roman" w:hAnsi="Times New Roman" w:cs="Times New Roman"/>
          <w:color w:val="222222"/>
          <w:sz w:val="24"/>
          <w:szCs w:val="20"/>
        </w:rPr>
        <w:t>andearnings</w:t>
      </w:r>
      <w:proofErr w:type="spellEnd"/>
      <w:r w:rsidRPr="00D46F0A">
        <w:rPr>
          <w:rFonts w:ascii="Times New Roman" w:hAnsi="Times New Roman" w:cs="Times New Roman"/>
          <w:color w:val="222222"/>
          <w:sz w:val="24"/>
          <w:szCs w:val="20"/>
        </w:rPr>
        <w:t xml:space="preserve">  revisions,  the  study  clarifies  the  dynamics  at  play.  Institutional and retail </w:t>
      </w:r>
      <w:r w:rsidR="00C856AF" w:rsidRPr="00D46F0A">
        <w:rPr>
          <w:rFonts w:ascii="Times New Roman" w:hAnsi="Times New Roman" w:cs="Times New Roman"/>
          <w:color w:val="222222"/>
          <w:sz w:val="24"/>
          <w:szCs w:val="20"/>
        </w:rPr>
        <w:t xml:space="preserve">responses </w:t>
      </w:r>
      <w:proofErr w:type="spellStart"/>
      <w:r w:rsidR="00C856AF" w:rsidRPr="00D46F0A">
        <w:rPr>
          <w:rFonts w:ascii="Times New Roman" w:hAnsi="Times New Roman" w:cs="Times New Roman"/>
          <w:color w:val="222222"/>
          <w:sz w:val="24"/>
          <w:szCs w:val="20"/>
        </w:rPr>
        <w:t>arecontrasted</w:t>
      </w:r>
      <w:proofErr w:type="spellEnd"/>
      <w:r w:rsidR="00C856AF" w:rsidRPr="00D46F0A">
        <w:rPr>
          <w:rFonts w:ascii="Times New Roman" w:hAnsi="Times New Roman" w:cs="Times New Roman"/>
          <w:color w:val="222222"/>
          <w:sz w:val="24"/>
          <w:szCs w:val="20"/>
        </w:rPr>
        <w:t xml:space="preserve">, and </w:t>
      </w:r>
      <w:proofErr w:type="gramStart"/>
      <w:r w:rsidR="00C856AF" w:rsidRPr="00D46F0A">
        <w:rPr>
          <w:rFonts w:ascii="Times New Roman" w:hAnsi="Times New Roman" w:cs="Times New Roman"/>
          <w:color w:val="222222"/>
          <w:sz w:val="24"/>
          <w:szCs w:val="20"/>
        </w:rPr>
        <w:t>practical</w:t>
      </w:r>
      <w:r w:rsidRPr="00D46F0A">
        <w:rPr>
          <w:rFonts w:ascii="Times New Roman" w:hAnsi="Times New Roman" w:cs="Times New Roman"/>
          <w:color w:val="222222"/>
          <w:sz w:val="24"/>
          <w:szCs w:val="20"/>
        </w:rPr>
        <w:t xml:space="preserve">  recommendations</w:t>
      </w:r>
      <w:proofErr w:type="gramEnd"/>
      <w:r w:rsidRPr="00D46F0A">
        <w:rPr>
          <w:rFonts w:ascii="Times New Roman" w:hAnsi="Times New Roman" w:cs="Times New Roman"/>
          <w:color w:val="222222"/>
          <w:sz w:val="24"/>
          <w:szCs w:val="20"/>
        </w:rPr>
        <w:t xml:space="preserve">  for  investors,  asset  managers,  and  policymakers  </w:t>
      </w:r>
      <w:proofErr w:type="spellStart"/>
      <w:r w:rsidRPr="00D46F0A">
        <w:rPr>
          <w:rFonts w:ascii="Times New Roman" w:hAnsi="Times New Roman" w:cs="Times New Roman"/>
          <w:color w:val="222222"/>
          <w:sz w:val="24"/>
          <w:szCs w:val="20"/>
        </w:rPr>
        <w:t>areproposed</w:t>
      </w:r>
      <w:proofErr w:type="spellEnd"/>
      <w:r w:rsidRPr="00D46F0A">
        <w:rPr>
          <w:rFonts w:ascii="Times New Roman" w:hAnsi="Times New Roman" w:cs="Times New Roman"/>
          <w:color w:val="222222"/>
          <w:sz w:val="24"/>
          <w:szCs w:val="20"/>
        </w:rPr>
        <w:t xml:space="preserve"> to mitigate turbulence linked to trade policy.</w:t>
      </w:r>
    </w:p>
    <w:p w14:paraId="3D7B7905" w14:textId="7DA17468" w:rsidR="00D46F0A" w:rsidRPr="00D46F0A" w:rsidRDefault="00D46F0A" w:rsidP="008B0675">
      <w:pPr>
        <w:spacing w:after="0" w:line="240" w:lineRule="auto"/>
        <w:jc w:val="both"/>
        <w:rPr>
          <w:rFonts w:ascii="Times New Roman" w:hAnsi="Times New Roman" w:cs="Times New Roman"/>
          <w:b/>
          <w:color w:val="222222"/>
          <w:sz w:val="24"/>
          <w:szCs w:val="20"/>
        </w:rPr>
      </w:pPr>
      <w:r w:rsidRPr="00D46F0A">
        <w:rPr>
          <w:rFonts w:ascii="Times New Roman" w:hAnsi="Times New Roman" w:cs="Times New Roman"/>
          <w:b/>
          <w:color w:val="222222"/>
          <w:sz w:val="24"/>
          <w:szCs w:val="20"/>
        </w:rPr>
        <w:t xml:space="preserve">Aim: </w:t>
      </w:r>
      <w:r w:rsidRPr="00D46F0A">
        <w:rPr>
          <w:rFonts w:ascii="Times New Roman" w:hAnsi="Times New Roman" w:cs="Times New Roman"/>
          <w:color w:val="222222"/>
          <w:sz w:val="24"/>
          <w:szCs w:val="20"/>
        </w:rPr>
        <w:t xml:space="preserve">The present study examines the short- and medium-term impacts of U.S. tariff rate changes in 2025 on the Indian stock market, with particular emphasis on abnormal returns, volatility dynamics, and sectoral heterogeneity. </w:t>
      </w:r>
    </w:p>
    <w:p w14:paraId="6350789C" w14:textId="5E161CD3" w:rsidR="00944E99" w:rsidRPr="00D46F0A" w:rsidRDefault="00944E99" w:rsidP="008B0675">
      <w:pPr>
        <w:spacing w:after="0" w:line="240" w:lineRule="auto"/>
        <w:jc w:val="both"/>
        <w:rPr>
          <w:rFonts w:ascii="Times New Roman" w:hAnsi="Times New Roman" w:cs="Times New Roman"/>
          <w:sz w:val="24"/>
          <w:szCs w:val="20"/>
        </w:rPr>
      </w:pPr>
      <w:r w:rsidRPr="00D46F0A">
        <w:rPr>
          <w:rFonts w:ascii="Times New Roman" w:hAnsi="Times New Roman" w:cs="Times New Roman"/>
          <w:b/>
          <w:bCs/>
          <w:sz w:val="24"/>
          <w:szCs w:val="20"/>
        </w:rPr>
        <w:t>Study Design:</w:t>
      </w:r>
      <w:r w:rsidR="00D46F0A" w:rsidRPr="00D46F0A">
        <w:rPr>
          <w:rFonts w:ascii="Times New Roman" w:hAnsi="Times New Roman" w:cs="Times New Roman"/>
          <w:b/>
          <w:bCs/>
          <w:sz w:val="24"/>
          <w:szCs w:val="20"/>
        </w:rPr>
        <w:t xml:space="preserve"> </w:t>
      </w:r>
      <w:r w:rsidRPr="00D46F0A">
        <w:rPr>
          <w:rFonts w:ascii="Times New Roman" w:hAnsi="Times New Roman" w:cs="Times New Roman"/>
          <w:sz w:val="24"/>
          <w:szCs w:val="20"/>
        </w:rPr>
        <w:t>The study adopts an empirical research design using event study methodology combined with GARCH-based volatility analysis.</w:t>
      </w:r>
    </w:p>
    <w:p w14:paraId="212FE28C" w14:textId="45B262A6" w:rsidR="00944E99" w:rsidRPr="00D46F0A" w:rsidRDefault="00944E99" w:rsidP="008B0675">
      <w:pPr>
        <w:spacing w:after="0" w:line="240" w:lineRule="auto"/>
        <w:jc w:val="both"/>
        <w:rPr>
          <w:rFonts w:ascii="Times New Roman" w:hAnsi="Times New Roman" w:cs="Times New Roman"/>
          <w:sz w:val="24"/>
          <w:szCs w:val="20"/>
        </w:rPr>
      </w:pPr>
      <w:r w:rsidRPr="00D46F0A">
        <w:rPr>
          <w:rFonts w:ascii="Times New Roman" w:hAnsi="Times New Roman" w:cs="Times New Roman"/>
          <w:b/>
          <w:bCs/>
          <w:sz w:val="24"/>
          <w:szCs w:val="20"/>
        </w:rPr>
        <w:t>lace and Duration of the Study:</w:t>
      </w:r>
      <w:r w:rsidR="00D46F0A" w:rsidRPr="00D46F0A">
        <w:rPr>
          <w:rFonts w:ascii="Times New Roman" w:hAnsi="Times New Roman" w:cs="Times New Roman"/>
          <w:b/>
          <w:bCs/>
          <w:sz w:val="24"/>
          <w:szCs w:val="20"/>
        </w:rPr>
        <w:t xml:space="preserve"> </w:t>
      </w:r>
      <w:r w:rsidRPr="00D46F0A">
        <w:rPr>
          <w:rFonts w:ascii="Times New Roman" w:hAnsi="Times New Roman" w:cs="Times New Roman"/>
          <w:sz w:val="24"/>
          <w:szCs w:val="20"/>
        </w:rPr>
        <w:t>The study focuses on the Indian stock market, analysing major indices and sectoral indices during the 2025 U.S. tariff announcement period.</w:t>
      </w:r>
    </w:p>
    <w:p w14:paraId="4D66E8D2" w14:textId="500B799E" w:rsidR="00D46F0A" w:rsidRPr="00D46F0A" w:rsidRDefault="00944E99" w:rsidP="008B0675">
      <w:pPr>
        <w:pStyle w:val="Body"/>
        <w:spacing w:after="0"/>
        <w:rPr>
          <w:rFonts w:ascii="Times New Roman" w:eastAsiaTheme="minorHAnsi" w:hAnsi="Times New Roman"/>
          <w:kern w:val="2"/>
          <w:sz w:val="24"/>
          <w:lang w:val="en-IN"/>
          <w14:ligatures w14:val="standardContextual"/>
        </w:rPr>
      </w:pPr>
      <w:r w:rsidRPr="00D46F0A">
        <w:rPr>
          <w:rFonts w:ascii="Times New Roman" w:hAnsi="Times New Roman"/>
          <w:b/>
          <w:bCs/>
          <w:sz w:val="24"/>
        </w:rPr>
        <w:t>Methodology:</w:t>
      </w:r>
      <w:r w:rsidR="006136A8" w:rsidRPr="006136A8">
        <w:rPr>
          <w:color w:val="222222"/>
        </w:rPr>
        <w:t xml:space="preserve"> </w:t>
      </w:r>
      <w:r w:rsidR="006136A8" w:rsidRPr="00360F7A">
        <w:rPr>
          <w:color w:val="222222"/>
        </w:rPr>
        <w:t xml:space="preserve">Daily stock index data from [DATE RANGE] were </w:t>
      </w:r>
      <w:proofErr w:type="spellStart"/>
      <w:r w:rsidR="006136A8" w:rsidRPr="00360F7A">
        <w:rPr>
          <w:color w:val="222222"/>
        </w:rPr>
        <w:t>analysed</w:t>
      </w:r>
      <w:proofErr w:type="spellEnd"/>
      <w:r w:rsidR="006136A8" w:rsidRPr="00360F7A">
        <w:rPr>
          <w:color w:val="222222"/>
        </w:rPr>
        <w:t xml:space="preserve"> using event study methodology with multiple event windows (±1, ±3, ±5 days) and </w:t>
      </w:r>
      <w:proofErr w:type="gramStart"/>
      <w:r w:rsidR="006136A8" w:rsidRPr="00360F7A">
        <w:rPr>
          <w:color w:val="222222"/>
        </w:rPr>
        <w:t>GARCH(</w:t>
      </w:r>
      <w:proofErr w:type="gramEnd"/>
      <w:r w:rsidR="006136A8" w:rsidRPr="00360F7A">
        <w:rPr>
          <w:color w:val="222222"/>
        </w:rPr>
        <w:t>1,1) models to assess cumulative abnormal returns (CARs) and conditional volatility effects around tariff announcement dates.</w:t>
      </w:r>
      <w:r w:rsidR="00D46F0A" w:rsidRPr="00D46F0A">
        <w:rPr>
          <w:rFonts w:ascii="Times New Roman" w:hAnsi="Times New Roman"/>
          <w:sz w:val="24"/>
        </w:rPr>
        <w:t xml:space="preserve"> </w:t>
      </w:r>
      <w:r w:rsidR="00D46F0A" w:rsidRPr="00D46F0A">
        <w:rPr>
          <w:rFonts w:ascii="Times New Roman" w:eastAsiaTheme="minorHAnsi" w:hAnsi="Times New Roman"/>
          <w:kern w:val="2"/>
          <w:sz w:val="24"/>
          <w:lang w:val="en-IN"/>
          <w14:ligatures w14:val="standardContextual"/>
        </w:rPr>
        <w:t>Daily closing prices for the Sensex, Nifty 50, and major sectoral indices were analysed over event windows centred on the tariff announcements (7-, 15-, and 30-day windows). Volatility measures and abnormal returns were calculated relative to pre-event benchmarks. A comparative analysis across sectors allowed the isolation of differential tariff sensitivities.</w:t>
      </w:r>
    </w:p>
    <w:p w14:paraId="7BCB24DF" w14:textId="73346734" w:rsidR="00D46F0A" w:rsidRPr="00D46F0A" w:rsidRDefault="00944E99" w:rsidP="008B0675">
      <w:pPr>
        <w:spacing w:after="0" w:line="240" w:lineRule="auto"/>
        <w:jc w:val="both"/>
        <w:rPr>
          <w:rFonts w:ascii="Times New Roman" w:hAnsi="Times New Roman" w:cs="Times New Roman"/>
          <w:sz w:val="24"/>
          <w:szCs w:val="20"/>
        </w:rPr>
      </w:pPr>
      <w:r w:rsidRPr="00D46F0A">
        <w:rPr>
          <w:rFonts w:ascii="Times New Roman" w:hAnsi="Times New Roman" w:cs="Times New Roman"/>
          <w:b/>
          <w:bCs/>
          <w:sz w:val="24"/>
          <w:szCs w:val="20"/>
        </w:rPr>
        <w:t>Results:</w:t>
      </w:r>
      <w:r w:rsidR="00D46F0A" w:rsidRPr="00D46F0A">
        <w:rPr>
          <w:rFonts w:ascii="Times New Roman" w:hAnsi="Times New Roman" w:cs="Times New Roman"/>
          <w:b/>
          <w:bCs/>
          <w:sz w:val="24"/>
          <w:szCs w:val="20"/>
        </w:rPr>
        <w:t xml:space="preserve"> </w:t>
      </w:r>
      <w:r w:rsidR="003A34A5" w:rsidRPr="003A34A5">
        <w:rPr>
          <w:color w:val="222222"/>
          <w:sz w:val="24"/>
          <w:szCs w:val="20"/>
        </w:rPr>
        <w:t xml:space="preserve">The findings reveal statistically significant negative cumulative abnormal returns (ranging from −1.42% to −1.85% in the (−1, +1) window) and heightened conditional volatility during tariff announcement periods, particularly in export-oriented sectors (textiles, automobiles, metals). In contrast, pharmaceuticals and IT services exhibited statistically insignificant abnormal returns, reflecting tariff exemptions and service-oriented revenue models. </w:t>
      </w:r>
      <w:r w:rsidR="00D46F0A" w:rsidRPr="00D46F0A">
        <w:rPr>
          <w:rFonts w:ascii="Times New Roman" w:hAnsi="Times New Roman" w:cs="Times New Roman"/>
          <w:sz w:val="24"/>
          <w:szCs w:val="20"/>
        </w:rPr>
        <w:t>Sector-wise results further highlight the asymmetric effects of tariffs. Export-oriented industries like textiles, automobiles, and metals were more affected, reflecting their greater reliance on the US market. Conversely, pharmaceuticals and IT services showed resilience owing to partial tariff exemptions, strong domestic demand, and service-focused revenue models. This evidence supports previous findings that a sector's exposure influences its sensitivity to trade policy shocks.</w:t>
      </w:r>
    </w:p>
    <w:p w14:paraId="173F4EDB" w14:textId="765931AA" w:rsidR="00D46F0A" w:rsidRPr="00D46F0A" w:rsidRDefault="00D46F0A" w:rsidP="008B0675">
      <w:pPr>
        <w:spacing w:after="0" w:line="240" w:lineRule="auto"/>
        <w:jc w:val="both"/>
        <w:rPr>
          <w:rFonts w:ascii="Times New Roman" w:hAnsi="Times New Roman" w:cs="Times New Roman"/>
          <w:b/>
          <w:sz w:val="24"/>
          <w:szCs w:val="20"/>
        </w:rPr>
      </w:pPr>
      <w:r w:rsidRPr="00D46F0A">
        <w:rPr>
          <w:rFonts w:ascii="Times New Roman" w:hAnsi="Times New Roman" w:cs="Times New Roman"/>
          <w:b/>
          <w:sz w:val="24"/>
          <w:szCs w:val="20"/>
        </w:rPr>
        <w:t>Conclusion: T</w:t>
      </w:r>
      <w:r w:rsidRPr="00D46F0A">
        <w:rPr>
          <w:rFonts w:ascii="Times New Roman" w:hAnsi="Times New Roman" w:cs="Times New Roman"/>
          <w:sz w:val="24"/>
          <w:szCs w:val="20"/>
        </w:rPr>
        <w:t>he study underscores the asymmetric nature of trade policy impacts on emerging market equities, where sectoral exposure plays a decisive role in shaping return and volatility responses. While the Indian stock market displayed a degree of resilience due to its domestically driven economic base, export-dependent industries remained particularly vulnerable to unilateral trade actions by major trading partners.</w:t>
      </w:r>
    </w:p>
    <w:p w14:paraId="55401A57" w14:textId="77777777" w:rsidR="00D46F0A" w:rsidRPr="00D46F0A" w:rsidRDefault="00D46F0A" w:rsidP="008B0675">
      <w:pPr>
        <w:spacing w:after="0" w:line="240" w:lineRule="auto"/>
        <w:ind w:left="66"/>
        <w:jc w:val="both"/>
        <w:rPr>
          <w:rFonts w:ascii="Times New Roman" w:hAnsi="Times New Roman" w:cs="Times New Roman"/>
          <w:sz w:val="24"/>
          <w:szCs w:val="20"/>
        </w:rPr>
      </w:pPr>
    </w:p>
    <w:p w14:paraId="00651156" w14:textId="3B527C38" w:rsidR="00944E99" w:rsidRDefault="00944E99" w:rsidP="008B0675">
      <w:pPr>
        <w:spacing w:after="0" w:line="240" w:lineRule="auto"/>
        <w:ind w:left="66"/>
        <w:jc w:val="both"/>
        <w:rPr>
          <w:rFonts w:ascii="Arial" w:hAnsi="Arial" w:cs="Arial"/>
          <w:sz w:val="20"/>
          <w:szCs w:val="20"/>
        </w:rPr>
      </w:pPr>
    </w:p>
    <w:p w14:paraId="48C06A1B" w14:textId="4056BB8D" w:rsidR="00D72C45" w:rsidRPr="009F13DF" w:rsidRDefault="00D72C45" w:rsidP="008B0675">
      <w:pPr>
        <w:spacing w:after="0" w:line="240" w:lineRule="auto"/>
        <w:ind w:left="66"/>
        <w:jc w:val="both"/>
        <w:rPr>
          <w:rFonts w:ascii="Arial" w:hAnsi="Arial" w:cs="Arial"/>
          <w:sz w:val="20"/>
          <w:szCs w:val="20"/>
        </w:rPr>
      </w:pPr>
    </w:p>
    <w:p w14:paraId="341AEE4F" w14:textId="38FFBAB9"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b/>
          <w:bCs/>
          <w:i/>
          <w:iCs/>
          <w:sz w:val="20"/>
          <w:szCs w:val="20"/>
        </w:rPr>
        <w:t>Keywords</w:t>
      </w:r>
      <w:r w:rsidRPr="009F13DF">
        <w:rPr>
          <w:rFonts w:ascii="Arial" w:hAnsi="Arial" w:cs="Arial"/>
          <w:sz w:val="20"/>
          <w:szCs w:val="20"/>
        </w:rPr>
        <w:t xml:space="preserve"> - </w:t>
      </w:r>
      <w:r w:rsidRPr="009F13DF">
        <w:rPr>
          <w:rFonts w:ascii="Arial" w:hAnsi="Arial" w:cs="Arial"/>
          <w:i/>
          <w:iCs/>
          <w:sz w:val="20"/>
          <w:szCs w:val="20"/>
        </w:rPr>
        <w:t>US Tariffs, Indian Stock Market, Event Study, Trade Policy, Market Volatility</w:t>
      </w:r>
      <w:r w:rsidR="00431390" w:rsidRPr="009F13DF">
        <w:rPr>
          <w:rFonts w:ascii="Arial" w:hAnsi="Arial" w:cs="Arial"/>
          <w:i/>
          <w:iCs/>
          <w:sz w:val="20"/>
          <w:szCs w:val="20"/>
        </w:rPr>
        <w:t>.</w:t>
      </w:r>
    </w:p>
    <w:p w14:paraId="08350EDD" w14:textId="77777777" w:rsidR="00D72C45" w:rsidRPr="00B61364" w:rsidRDefault="00D72C45" w:rsidP="008B0675">
      <w:pPr>
        <w:spacing w:after="0" w:line="240" w:lineRule="auto"/>
        <w:ind w:left="66"/>
        <w:jc w:val="both"/>
        <w:rPr>
          <w:rFonts w:ascii="Arial" w:hAnsi="Arial" w:cs="Arial"/>
          <w:sz w:val="24"/>
          <w:szCs w:val="24"/>
        </w:rPr>
      </w:pPr>
      <w:r w:rsidRPr="00B61364">
        <w:rPr>
          <w:rFonts w:ascii="Arial" w:hAnsi="Arial" w:cs="Arial"/>
          <w:sz w:val="24"/>
          <w:szCs w:val="24"/>
        </w:rPr>
        <w:t xml:space="preserve"> </w:t>
      </w:r>
    </w:p>
    <w:p w14:paraId="7687F6AB" w14:textId="05743526" w:rsidR="00D72C45" w:rsidRPr="002E7729" w:rsidRDefault="002E7729" w:rsidP="008B0675">
      <w:pPr>
        <w:pStyle w:val="Body"/>
        <w:spacing w:after="0"/>
        <w:rPr>
          <w:rFonts w:ascii="Arial" w:hAnsi="Arial" w:cs="Arial"/>
          <w:b/>
          <w:bCs/>
          <w:iCs/>
          <w:sz w:val="22"/>
          <w:szCs w:val="22"/>
        </w:rPr>
      </w:pPr>
      <w:r w:rsidRPr="002E7729">
        <w:rPr>
          <w:rFonts w:ascii="Arial" w:hAnsi="Arial" w:cs="Arial"/>
          <w:b/>
          <w:bCs/>
          <w:iCs/>
          <w:sz w:val="22"/>
          <w:szCs w:val="22"/>
        </w:rPr>
        <w:t>1.</w:t>
      </w:r>
      <w:r>
        <w:rPr>
          <w:rFonts w:ascii="Arial" w:hAnsi="Arial" w:cs="Arial"/>
          <w:b/>
          <w:bCs/>
          <w:iCs/>
          <w:sz w:val="22"/>
          <w:szCs w:val="22"/>
        </w:rPr>
        <w:t xml:space="preserve"> </w:t>
      </w:r>
      <w:r w:rsidR="00D72C45" w:rsidRPr="002E7729">
        <w:rPr>
          <w:rFonts w:ascii="Arial" w:hAnsi="Arial" w:cs="Arial"/>
          <w:b/>
          <w:bCs/>
          <w:iCs/>
          <w:sz w:val="22"/>
          <w:szCs w:val="22"/>
        </w:rPr>
        <w:t>INTRODUCTION</w:t>
      </w:r>
    </w:p>
    <w:p w14:paraId="590EFBC6" w14:textId="77777777" w:rsidR="00D72C45" w:rsidRPr="00B61364" w:rsidRDefault="00D72C45" w:rsidP="008B0675">
      <w:pPr>
        <w:spacing w:after="0" w:line="240" w:lineRule="auto"/>
        <w:ind w:left="66"/>
        <w:jc w:val="both"/>
        <w:rPr>
          <w:rFonts w:ascii="Arial" w:hAnsi="Arial" w:cs="Arial"/>
          <w:sz w:val="24"/>
          <w:szCs w:val="24"/>
        </w:rPr>
      </w:pPr>
    </w:p>
    <w:p w14:paraId="2EDDCC4C"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Global trade policies have substantial implications for international equity markets. In 2025, the United States intensified its tariff regime on imports from key trading partners, including India. These tariffs—</w:t>
      </w:r>
      <w:r w:rsidRPr="009F13DF">
        <w:rPr>
          <w:rFonts w:ascii="Arial" w:hAnsi="Arial" w:cs="Arial"/>
          <w:sz w:val="20"/>
          <w:szCs w:val="20"/>
        </w:rPr>
        <w:lastRenderedPageBreak/>
        <w:t>ranging up to 50 per cent on selected Indian exports—were introduced progressively throughout the year and represented a dramatic shift from pre-existing trade norms. The Indian stock market’s exposure to these external policy shocks provides a critical context for this empirical investigation.</w:t>
      </w:r>
    </w:p>
    <w:p w14:paraId="1337D6A5" w14:textId="7A992297" w:rsidR="00431390"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 xml:space="preserve"> </w:t>
      </w:r>
    </w:p>
    <w:p w14:paraId="3BB50B1E" w14:textId="4913C329" w:rsidR="00D72C45" w:rsidRPr="009F13DF" w:rsidRDefault="0019022B" w:rsidP="008B0675">
      <w:pPr>
        <w:spacing w:after="0" w:line="240" w:lineRule="auto"/>
        <w:ind w:left="66"/>
        <w:jc w:val="both"/>
        <w:rPr>
          <w:rFonts w:ascii="Arial" w:hAnsi="Arial" w:cs="Arial"/>
          <w:sz w:val="20"/>
          <w:szCs w:val="20"/>
        </w:rPr>
      </w:pPr>
      <w:r>
        <w:rPr>
          <w:rFonts w:ascii="Arial" w:hAnsi="Arial" w:cs="Arial"/>
          <w:sz w:val="20"/>
          <w:szCs w:val="20"/>
        </w:rPr>
        <w:t xml:space="preserve">1.1. </w:t>
      </w:r>
      <w:r w:rsidR="00431390" w:rsidRPr="009F13DF">
        <w:rPr>
          <w:rFonts w:ascii="Arial" w:hAnsi="Arial" w:cs="Arial"/>
          <w:sz w:val="20"/>
          <w:szCs w:val="20"/>
        </w:rPr>
        <w:t xml:space="preserve">Us 2025 Tariff Policy and </w:t>
      </w:r>
      <w:r w:rsidR="00A26C2E" w:rsidRPr="009F13DF">
        <w:rPr>
          <w:rFonts w:ascii="Arial" w:hAnsi="Arial" w:cs="Arial"/>
          <w:sz w:val="20"/>
          <w:szCs w:val="20"/>
        </w:rPr>
        <w:t xml:space="preserve">the </w:t>
      </w:r>
      <w:r w:rsidR="00431390" w:rsidRPr="009F13DF">
        <w:rPr>
          <w:rFonts w:ascii="Arial" w:hAnsi="Arial" w:cs="Arial"/>
          <w:sz w:val="20"/>
          <w:szCs w:val="20"/>
        </w:rPr>
        <w:t>Indian Stock Market</w:t>
      </w:r>
    </w:p>
    <w:p w14:paraId="41B10C02"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In 2025, the U.S. administration implemented successive tariff increases on a broad range of imports from India. Starting with approximately 25 per cent in early August and escalating to as high as 50 per cent by late August, these tariffs covered sectors including textiles, gems and jewellery, chemicals, and automotive components. Significant export segments such as pharmaceuticals and select electronics were exempted or only partially affected, which introduced complexity into the tariff exposure landscape. (Business Today)</w:t>
      </w:r>
    </w:p>
    <w:p w14:paraId="40266FFC"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A report by the Global Trade Research Initiative (GTRI) estimated that exports to the U.S. faced a substantial reduction—around 28.5 per cent between May and October 2025—following these tariff hikes. (The Financial Express)</w:t>
      </w:r>
    </w:p>
    <w:p w14:paraId="1DA2E66C" w14:textId="77777777" w:rsidR="00D72C45" w:rsidRPr="009F13DF" w:rsidRDefault="00D72C45" w:rsidP="008B0675">
      <w:pPr>
        <w:spacing w:after="0" w:line="240" w:lineRule="auto"/>
        <w:ind w:left="66"/>
        <w:jc w:val="both"/>
        <w:rPr>
          <w:rFonts w:ascii="Arial" w:hAnsi="Arial" w:cs="Arial"/>
          <w:sz w:val="20"/>
          <w:szCs w:val="20"/>
        </w:rPr>
      </w:pPr>
    </w:p>
    <w:p w14:paraId="0D6E88D7" w14:textId="33CFD4E0" w:rsidR="00D72C45" w:rsidRPr="0019022B" w:rsidRDefault="002E7729" w:rsidP="008B0675">
      <w:pPr>
        <w:spacing w:after="0" w:line="240" w:lineRule="auto"/>
        <w:ind w:left="66"/>
        <w:jc w:val="both"/>
        <w:rPr>
          <w:rFonts w:ascii="Arial" w:hAnsi="Arial" w:cs="Arial"/>
          <w:b/>
          <w:bCs/>
        </w:rPr>
      </w:pPr>
      <w:r w:rsidRPr="0019022B">
        <w:rPr>
          <w:rFonts w:ascii="Arial" w:hAnsi="Arial" w:cs="Arial"/>
          <w:b/>
          <w:bCs/>
        </w:rPr>
        <w:t>2.</w:t>
      </w:r>
      <w:r w:rsidR="00D72C45" w:rsidRPr="0019022B">
        <w:rPr>
          <w:rFonts w:ascii="Arial" w:hAnsi="Arial" w:cs="Arial"/>
          <w:b/>
          <w:bCs/>
        </w:rPr>
        <w:t xml:space="preserve"> REVIEW OF LITERATURE</w:t>
      </w:r>
    </w:p>
    <w:p w14:paraId="64845E25" w14:textId="77777777" w:rsidR="00D72C45" w:rsidRPr="003A34A5" w:rsidRDefault="00D72C45" w:rsidP="008B0675">
      <w:pPr>
        <w:spacing w:after="0" w:line="240" w:lineRule="auto"/>
        <w:ind w:left="66"/>
        <w:jc w:val="both"/>
        <w:rPr>
          <w:rFonts w:ascii="Arial" w:hAnsi="Arial" w:cs="Arial"/>
          <w:sz w:val="24"/>
          <w:szCs w:val="20"/>
        </w:rPr>
      </w:pPr>
    </w:p>
    <w:p w14:paraId="32D77269" w14:textId="7F795E01" w:rsidR="00731332" w:rsidRPr="00731332" w:rsidRDefault="003A34A5" w:rsidP="008B0675">
      <w:pPr>
        <w:spacing w:after="0" w:line="240" w:lineRule="auto"/>
        <w:ind w:left="66"/>
        <w:jc w:val="both"/>
        <w:rPr>
          <w:rFonts w:ascii="Arial" w:hAnsi="Arial" w:cs="Arial"/>
          <w:sz w:val="20"/>
          <w:szCs w:val="20"/>
        </w:rPr>
      </w:pPr>
      <w:r w:rsidRPr="003A34A5">
        <w:rPr>
          <w:color w:val="222222"/>
          <w:sz w:val="24"/>
          <w:szCs w:val="20"/>
        </w:rPr>
        <w:t xml:space="preserve">Economic theory identifies multiple transmission channels through which trade policy shocks influence equity market valuations: (1) direct effects on expected cash flows and profit margins of export-dependent firms; (2) indirect effects through exchange rate adjustments and input cost inflation; and (3) </w:t>
      </w:r>
      <w:proofErr w:type="spellStart"/>
      <w:r w:rsidRPr="003A34A5">
        <w:rPr>
          <w:color w:val="222222"/>
          <w:sz w:val="24"/>
          <w:szCs w:val="20"/>
        </w:rPr>
        <w:t>behavioral</w:t>
      </w:r>
      <w:proofErr w:type="spellEnd"/>
      <w:r w:rsidRPr="003A34A5">
        <w:rPr>
          <w:color w:val="222222"/>
          <w:sz w:val="24"/>
          <w:szCs w:val="20"/>
        </w:rPr>
        <w:t xml:space="preserve"> effects through heightened investor risk aversion and policy uncertainty premiums (Dornbusch &amp; Fischer, 1980; Pastor &amp; Veronesi, 2013).</w:t>
      </w:r>
      <w:r w:rsidR="00731332" w:rsidRPr="003A34A5">
        <w:rPr>
          <w:rFonts w:ascii="Arial" w:hAnsi="Arial" w:cs="Arial"/>
          <w:sz w:val="24"/>
          <w:szCs w:val="20"/>
        </w:rPr>
        <w:t xml:space="preserve"> </w:t>
      </w:r>
      <w:r w:rsidR="00731332" w:rsidRPr="00731332">
        <w:rPr>
          <w:rFonts w:ascii="Arial" w:hAnsi="Arial" w:cs="Arial"/>
          <w:sz w:val="20"/>
          <w:szCs w:val="20"/>
        </w:rPr>
        <w:t xml:space="preserve">Tariffs, by increasing trade costs and uncertainty, affect firm profitability and sectoral competitiveness, particularly in export-oriented industries. </w:t>
      </w:r>
      <w:r w:rsidR="008B0675" w:rsidRPr="00360F7A">
        <w:rPr>
          <w:color w:val="222222"/>
          <w:sz w:val="20"/>
          <w:szCs w:val="20"/>
        </w:rPr>
        <w:t>Dornbusch and Fischer (1980) highlight the role of exchange rate adjustments in transmitting trade shocks to financial markets. More recently, Mukherjee and Naka (1995) demonstrate that macroeconomic variables—including trade flows and policy uncertainty—significantly influence equity market dynamics in emerging markets</w:t>
      </w:r>
      <w:r w:rsidR="008B0675">
        <w:rPr>
          <w:color w:val="222222"/>
          <w:sz w:val="20"/>
          <w:szCs w:val="20"/>
        </w:rPr>
        <w:t>.</w:t>
      </w:r>
    </w:p>
    <w:p w14:paraId="0E4D023C" w14:textId="24BF19F6" w:rsidR="00731332" w:rsidRPr="00731332" w:rsidRDefault="00731332" w:rsidP="008B0675">
      <w:pPr>
        <w:spacing w:after="0" w:line="240" w:lineRule="auto"/>
        <w:ind w:left="66"/>
        <w:jc w:val="both"/>
        <w:rPr>
          <w:rFonts w:ascii="Arial" w:hAnsi="Arial" w:cs="Arial"/>
          <w:sz w:val="20"/>
          <w:szCs w:val="20"/>
        </w:rPr>
      </w:pPr>
      <w:r w:rsidRPr="00731332">
        <w:rPr>
          <w:rFonts w:ascii="Arial" w:hAnsi="Arial" w:cs="Arial"/>
          <w:sz w:val="20"/>
          <w:szCs w:val="20"/>
        </w:rPr>
        <w:t xml:space="preserve">A substantial body of literature </w:t>
      </w:r>
      <w:r w:rsidR="005F5463">
        <w:rPr>
          <w:rFonts w:ascii="Arial" w:hAnsi="Arial" w:cs="Arial"/>
          <w:sz w:val="20"/>
          <w:szCs w:val="20"/>
        </w:rPr>
        <w:t>emphasises</w:t>
      </w:r>
      <w:r w:rsidRPr="00731332">
        <w:rPr>
          <w:rFonts w:ascii="Arial" w:hAnsi="Arial" w:cs="Arial"/>
          <w:sz w:val="20"/>
          <w:szCs w:val="20"/>
        </w:rPr>
        <w:t xml:space="preserve"> the role of policy uncertainty in shaping asset prices and volatility. Pastor and Veronesi (2013) show that political and policy uncertainty raises equity risk premia and market volatility as investors demand compensation for heightened uncertainty. Baker, Bloom, and Davis (2016) further </w:t>
      </w:r>
      <w:r w:rsidR="009C04A9">
        <w:rPr>
          <w:rFonts w:ascii="Arial" w:hAnsi="Arial" w:cs="Arial"/>
          <w:sz w:val="20"/>
          <w:szCs w:val="20"/>
        </w:rPr>
        <w:t>formalise</w:t>
      </w:r>
      <w:r w:rsidRPr="00731332">
        <w:rPr>
          <w:rFonts w:ascii="Arial" w:hAnsi="Arial" w:cs="Arial"/>
          <w:sz w:val="20"/>
          <w:szCs w:val="20"/>
        </w:rPr>
        <w:t xml:space="preserve"> this relationship by developing the Economic Policy Uncertainty (EPU) index, finding that increased uncertainty leads to reduced investment activity and greater financial market volatility. These studies provide a strong theoretical basis for treating tariff announcements as information shocks to financial markets.</w:t>
      </w:r>
    </w:p>
    <w:p w14:paraId="3B5B7457" w14:textId="77777777" w:rsidR="00731332" w:rsidRPr="00731332" w:rsidRDefault="00731332" w:rsidP="008B0675">
      <w:pPr>
        <w:spacing w:after="0" w:line="240" w:lineRule="auto"/>
        <w:ind w:left="66"/>
        <w:jc w:val="both"/>
        <w:rPr>
          <w:rFonts w:ascii="Arial" w:hAnsi="Arial" w:cs="Arial"/>
          <w:sz w:val="20"/>
          <w:szCs w:val="20"/>
        </w:rPr>
      </w:pPr>
      <w:r w:rsidRPr="00731332">
        <w:rPr>
          <w:rFonts w:ascii="Arial" w:hAnsi="Arial" w:cs="Arial"/>
          <w:sz w:val="20"/>
          <w:szCs w:val="20"/>
        </w:rPr>
        <w:t xml:space="preserve">Recent research focuses explicitly on trade policy uncertainty and tariff-related shocks. Handley and </w:t>
      </w:r>
      <w:proofErr w:type="spellStart"/>
      <w:r w:rsidRPr="00731332">
        <w:rPr>
          <w:rFonts w:ascii="Arial" w:hAnsi="Arial" w:cs="Arial"/>
          <w:sz w:val="20"/>
          <w:szCs w:val="20"/>
        </w:rPr>
        <w:t>Limão</w:t>
      </w:r>
      <w:proofErr w:type="spellEnd"/>
      <w:r w:rsidRPr="00731332">
        <w:rPr>
          <w:rFonts w:ascii="Arial" w:hAnsi="Arial" w:cs="Arial"/>
          <w:sz w:val="20"/>
          <w:szCs w:val="20"/>
        </w:rPr>
        <w:t xml:space="preserve"> (2017) argue that uncertainty regarding future trade policy discourages investment and alters firm expectations, thereby affecting equity valuations. Caldara et al. (2020) document significant macroeconomic and financial effects of trade policy uncertainty, including lower output growth and heightened market volatility. Extending this literature, Boer, </w:t>
      </w:r>
      <w:proofErr w:type="spellStart"/>
      <w:r w:rsidRPr="00731332">
        <w:rPr>
          <w:rFonts w:ascii="Arial" w:hAnsi="Arial" w:cs="Arial"/>
          <w:sz w:val="20"/>
          <w:szCs w:val="20"/>
        </w:rPr>
        <w:t>Menkhoff</w:t>
      </w:r>
      <w:proofErr w:type="spellEnd"/>
      <w:r w:rsidRPr="00731332">
        <w:rPr>
          <w:rFonts w:ascii="Arial" w:hAnsi="Arial" w:cs="Arial"/>
          <w:sz w:val="20"/>
          <w:szCs w:val="20"/>
        </w:rPr>
        <w:t xml:space="preserve">, and </w:t>
      </w:r>
      <w:proofErr w:type="spellStart"/>
      <w:r w:rsidRPr="00731332">
        <w:rPr>
          <w:rFonts w:ascii="Arial" w:hAnsi="Arial" w:cs="Arial"/>
          <w:sz w:val="20"/>
          <w:szCs w:val="20"/>
        </w:rPr>
        <w:t>Rieth</w:t>
      </w:r>
      <w:proofErr w:type="spellEnd"/>
      <w:r w:rsidRPr="00731332">
        <w:rPr>
          <w:rFonts w:ascii="Arial" w:hAnsi="Arial" w:cs="Arial"/>
          <w:sz w:val="20"/>
          <w:szCs w:val="20"/>
        </w:rPr>
        <w:t xml:space="preserve"> (2023) show that U.S. trade policy shocks generate heterogeneous but predominantly negative effects on global equity markets, with trade policy uncertainty—rather than tariff levels alone—playing a dominant role in driving financial market reactions.</w:t>
      </w:r>
    </w:p>
    <w:p w14:paraId="3E8AFE74" w14:textId="77777777" w:rsidR="00731332" w:rsidRPr="00731332" w:rsidRDefault="00731332" w:rsidP="008B0675">
      <w:pPr>
        <w:spacing w:after="0" w:line="240" w:lineRule="auto"/>
        <w:ind w:left="66"/>
        <w:jc w:val="both"/>
        <w:rPr>
          <w:rFonts w:ascii="Arial" w:hAnsi="Arial" w:cs="Arial"/>
          <w:sz w:val="20"/>
          <w:szCs w:val="20"/>
        </w:rPr>
      </w:pPr>
      <w:r w:rsidRPr="00731332">
        <w:rPr>
          <w:rFonts w:ascii="Arial" w:hAnsi="Arial" w:cs="Arial"/>
          <w:sz w:val="20"/>
          <w:szCs w:val="20"/>
        </w:rPr>
        <w:t xml:space="preserve">Empirical studies consistently find that tariff shocks produce asymmetric and sector-specific market responses. Brooks and </w:t>
      </w:r>
      <w:proofErr w:type="spellStart"/>
      <w:r w:rsidRPr="00731332">
        <w:rPr>
          <w:rFonts w:ascii="Arial" w:hAnsi="Arial" w:cs="Arial"/>
          <w:sz w:val="20"/>
          <w:szCs w:val="20"/>
        </w:rPr>
        <w:t>Jurickova</w:t>
      </w:r>
      <w:proofErr w:type="spellEnd"/>
      <w:r w:rsidRPr="00731332">
        <w:rPr>
          <w:rFonts w:ascii="Arial" w:hAnsi="Arial" w:cs="Arial"/>
          <w:sz w:val="20"/>
          <w:szCs w:val="20"/>
        </w:rPr>
        <w:t xml:space="preserve"> (2019) report that tariff escalations significantly increase equity market volatility, disproportionately affecting export-dependent firms. Huang, Lin, and Wang (2020) find that trade policy uncertainty leads to negative abnormal returns and heightened volatility, with stronger effects observed in industries directly exposed to international trade. Contemporary market analyses reported by Financial Express and Reuters further confirm that tariff announcements often trigger immediate negative sentiment and volatility spikes in emerging equity markets.</w:t>
      </w:r>
    </w:p>
    <w:p w14:paraId="7550819A" w14:textId="56C776BB" w:rsidR="00731332" w:rsidRPr="00731332" w:rsidRDefault="00731332" w:rsidP="008B0675">
      <w:pPr>
        <w:spacing w:after="0" w:line="240" w:lineRule="auto"/>
        <w:ind w:left="66"/>
        <w:jc w:val="both"/>
        <w:rPr>
          <w:rFonts w:ascii="Arial" w:hAnsi="Arial" w:cs="Arial"/>
          <w:sz w:val="20"/>
          <w:szCs w:val="20"/>
        </w:rPr>
      </w:pPr>
      <w:r w:rsidRPr="00731332">
        <w:rPr>
          <w:rFonts w:ascii="Arial" w:hAnsi="Arial" w:cs="Arial"/>
          <w:sz w:val="20"/>
          <w:szCs w:val="20"/>
        </w:rPr>
        <w:t xml:space="preserve">Event study methodology has been widely employed to examine stock market reactions to policy announcements. Brown and Warner (1985) and </w:t>
      </w:r>
      <w:proofErr w:type="spellStart"/>
      <w:r w:rsidRPr="00731332">
        <w:rPr>
          <w:rFonts w:ascii="Arial" w:hAnsi="Arial" w:cs="Arial"/>
          <w:sz w:val="20"/>
          <w:szCs w:val="20"/>
        </w:rPr>
        <w:t>MacKinlay</w:t>
      </w:r>
      <w:proofErr w:type="spellEnd"/>
      <w:r w:rsidRPr="00731332">
        <w:rPr>
          <w:rFonts w:ascii="Arial" w:hAnsi="Arial" w:cs="Arial"/>
          <w:sz w:val="20"/>
          <w:szCs w:val="20"/>
        </w:rPr>
        <w:t xml:space="preserve"> (1997) establish the econometric foundations for measuring abnormal returns around event dates, while Kothari and Warner (2007) refine event study techniques by </w:t>
      </w:r>
      <w:r>
        <w:rPr>
          <w:rFonts w:ascii="Arial" w:hAnsi="Arial" w:cs="Arial"/>
          <w:sz w:val="20"/>
          <w:szCs w:val="20"/>
        </w:rPr>
        <w:t>emphasising</w:t>
      </w:r>
      <w:r w:rsidRPr="00731332">
        <w:rPr>
          <w:rFonts w:ascii="Arial" w:hAnsi="Arial" w:cs="Arial"/>
          <w:sz w:val="20"/>
          <w:szCs w:val="20"/>
        </w:rPr>
        <w:t xml:space="preserve"> appropriate model specification and event window selection. These methodological contributions validate the use of event studies to capture short-term market reactions to tariff announcements.</w:t>
      </w:r>
    </w:p>
    <w:p w14:paraId="2C88EC81" w14:textId="77777777" w:rsidR="00731332" w:rsidRPr="00731332" w:rsidRDefault="00731332" w:rsidP="008B0675">
      <w:pPr>
        <w:spacing w:after="0" w:line="240" w:lineRule="auto"/>
        <w:ind w:left="66"/>
        <w:jc w:val="both"/>
        <w:rPr>
          <w:rFonts w:ascii="Arial" w:hAnsi="Arial" w:cs="Arial"/>
          <w:sz w:val="20"/>
          <w:szCs w:val="20"/>
        </w:rPr>
      </w:pPr>
      <w:r w:rsidRPr="00731332">
        <w:rPr>
          <w:rFonts w:ascii="Arial" w:hAnsi="Arial" w:cs="Arial"/>
          <w:sz w:val="20"/>
          <w:szCs w:val="20"/>
        </w:rPr>
        <w:t xml:space="preserve">To model volatility dynamics associated with policy shocks, researchers frequently employ ARCH and GARCH frameworks. Engle (1982) introduces the ARCH model to capture time-varying volatility, while </w:t>
      </w:r>
      <w:proofErr w:type="spellStart"/>
      <w:r w:rsidRPr="00731332">
        <w:rPr>
          <w:rFonts w:ascii="Arial" w:hAnsi="Arial" w:cs="Arial"/>
          <w:sz w:val="20"/>
          <w:szCs w:val="20"/>
        </w:rPr>
        <w:t>Bollerslev</w:t>
      </w:r>
      <w:proofErr w:type="spellEnd"/>
      <w:r w:rsidRPr="00731332">
        <w:rPr>
          <w:rFonts w:ascii="Arial" w:hAnsi="Arial" w:cs="Arial"/>
          <w:sz w:val="20"/>
          <w:szCs w:val="20"/>
        </w:rPr>
        <w:t xml:space="preserve"> (1986) extends this approach through the GARCH model, allowing volatility persistence. </w:t>
      </w:r>
      <w:r w:rsidRPr="00731332">
        <w:rPr>
          <w:rFonts w:ascii="Arial" w:hAnsi="Arial" w:cs="Arial"/>
          <w:sz w:val="20"/>
          <w:szCs w:val="20"/>
        </w:rPr>
        <w:lastRenderedPageBreak/>
        <w:t xml:space="preserve">Nelson (1991) further demonstrates asymmetric volatility responses to negative shocks. Empirical evidence on volatility </w:t>
      </w:r>
      <w:proofErr w:type="spellStart"/>
      <w:r w:rsidRPr="00731332">
        <w:rPr>
          <w:rFonts w:ascii="Arial" w:hAnsi="Arial" w:cs="Arial"/>
          <w:sz w:val="20"/>
          <w:szCs w:val="20"/>
        </w:rPr>
        <w:t>spillovers</w:t>
      </w:r>
      <w:proofErr w:type="spellEnd"/>
      <w:r w:rsidRPr="00731332">
        <w:rPr>
          <w:rFonts w:ascii="Arial" w:hAnsi="Arial" w:cs="Arial"/>
          <w:sz w:val="20"/>
          <w:szCs w:val="20"/>
        </w:rPr>
        <w:t xml:space="preserve"> across markets (Singh et al., 2010; Diebold &amp; Yilmaz, 2012) suggests that trade policy shocks can transmit uncertainty internationally.</w:t>
      </w:r>
    </w:p>
    <w:p w14:paraId="1857F743" w14:textId="77777777" w:rsidR="008B0675" w:rsidRDefault="00731332" w:rsidP="008B0675">
      <w:pPr>
        <w:spacing w:after="0" w:line="240" w:lineRule="auto"/>
        <w:ind w:left="66"/>
        <w:jc w:val="both"/>
        <w:rPr>
          <w:rFonts w:ascii="Arial" w:hAnsi="Arial" w:cs="Arial"/>
          <w:sz w:val="20"/>
          <w:szCs w:val="20"/>
        </w:rPr>
      </w:pPr>
      <w:r w:rsidRPr="00731332">
        <w:rPr>
          <w:rFonts w:ascii="Arial" w:hAnsi="Arial" w:cs="Arial"/>
          <w:sz w:val="20"/>
          <w:szCs w:val="20"/>
        </w:rPr>
        <w:t xml:space="preserve">Research on emerging markets highlights their heightened vulnerability to external shocks due to trade openness and financial integration (Bekaert et al., 2005). In the Indian context, Linda, </w:t>
      </w:r>
      <w:proofErr w:type="spellStart"/>
      <w:r w:rsidRPr="00731332">
        <w:rPr>
          <w:rFonts w:ascii="Arial" w:hAnsi="Arial" w:cs="Arial"/>
          <w:sz w:val="20"/>
          <w:szCs w:val="20"/>
        </w:rPr>
        <w:t>Kanojia</w:t>
      </w:r>
      <w:proofErr w:type="spellEnd"/>
      <w:r w:rsidRPr="00731332">
        <w:rPr>
          <w:rFonts w:ascii="Arial" w:hAnsi="Arial" w:cs="Arial"/>
          <w:sz w:val="20"/>
          <w:szCs w:val="20"/>
        </w:rPr>
        <w:t>, and Verma (2025) document significant short-term volatility in stock market returns following U.S. tariff announcements, particularly in export-oriented sectors. Despite growing evidence, limited studies jointly examine abnormal returns and volatility across sectors in emerging markets, motivating further empirical investigation.</w:t>
      </w:r>
    </w:p>
    <w:p w14:paraId="29BABDAB" w14:textId="77777777" w:rsidR="008B0675" w:rsidRDefault="008B0675" w:rsidP="008B0675">
      <w:pPr>
        <w:spacing w:after="0" w:line="240" w:lineRule="auto"/>
        <w:ind w:left="66"/>
        <w:jc w:val="both"/>
        <w:rPr>
          <w:color w:val="222222"/>
          <w:sz w:val="20"/>
          <w:szCs w:val="20"/>
        </w:rPr>
      </w:pPr>
    </w:p>
    <w:p w14:paraId="2283E4BB" w14:textId="01B5779F" w:rsidR="00731332" w:rsidRPr="005F5463" w:rsidRDefault="008B0675" w:rsidP="008B0675">
      <w:pPr>
        <w:spacing w:after="0" w:line="240" w:lineRule="auto"/>
        <w:ind w:left="66"/>
        <w:jc w:val="both"/>
        <w:rPr>
          <w:rFonts w:ascii="Arial" w:hAnsi="Arial" w:cs="Arial"/>
          <w:sz w:val="20"/>
          <w:szCs w:val="20"/>
        </w:rPr>
      </w:pPr>
      <w:r w:rsidRPr="00360F7A">
        <w:rPr>
          <w:color w:val="222222"/>
          <w:sz w:val="20"/>
          <w:szCs w:val="20"/>
        </w:rPr>
        <w:t xml:space="preserve">Despite extensive research on trade policy uncertainty and financial markets, three research gaps remain: (1) limited empirical evidence on the combined impact of U.S. tariff announcements on both abnormal returns and conditional volatility across multiple event windows in emerging markets; (2) insufficient analysis of sectoral heterogeneity in market responses, particularly distinguishing export-oriented from service-oriented sectors; and (3) underexplored volatility persistence dynamics in the Indian stock market following external policy shocks. This study addresses these gaps by employing event study methodology combined with </w:t>
      </w:r>
      <w:proofErr w:type="gramStart"/>
      <w:r w:rsidRPr="00360F7A">
        <w:rPr>
          <w:color w:val="222222"/>
          <w:sz w:val="20"/>
          <w:szCs w:val="20"/>
        </w:rPr>
        <w:t>GARCH(</w:t>
      </w:r>
      <w:proofErr w:type="gramEnd"/>
      <w:r w:rsidRPr="00360F7A">
        <w:rPr>
          <w:color w:val="222222"/>
          <w:sz w:val="20"/>
          <w:szCs w:val="20"/>
        </w:rPr>
        <w:t>1,1) analysis across multiple sectors.</w:t>
      </w:r>
    </w:p>
    <w:p w14:paraId="6986D034" w14:textId="456D6A28" w:rsidR="005570BA" w:rsidRDefault="005570BA" w:rsidP="008B0675">
      <w:pPr>
        <w:spacing w:after="0" w:line="240" w:lineRule="auto"/>
        <w:ind w:left="66"/>
        <w:jc w:val="both"/>
        <w:rPr>
          <w:rFonts w:ascii="Arial" w:hAnsi="Arial" w:cs="Arial"/>
          <w:sz w:val="20"/>
          <w:szCs w:val="20"/>
        </w:rPr>
      </w:pPr>
    </w:p>
    <w:p w14:paraId="118E5581" w14:textId="1C72E898" w:rsidR="00651B33" w:rsidRDefault="00651B33" w:rsidP="008B0675">
      <w:pPr>
        <w:spacing w:after="0" w:line="240" w:lineRule="auto"/>
        <w:ind w:left="66"/>
        <w:jc w:val="both"/>
        <w:rPr>
          <w:rFonts w:ascii="Arial" w:hAnsi="Arial" w:cs="Arial"/>
          <w:sz w:val="20"/>
          <w:szCs w:val="20"/>
        </w:rPr>
      </w:pPr>
    </w:p>
    <w:p w14:paraId="708C0053" w14:textId="2DA8C03F" w:rsidR="00651B33" w:rsidRPr="00651B33" w:rsidRDefault="00651B33" w:rsidP="00651B33">
      <w:pPr>
        <w:spacing w:after="0" w:line="240" w:lineRule="auto"/>
        <w:ind w:left="66"/>
        <w:jc w:val="both"/>
        <w:rPr>
          <w:rFonts w:ascii="Arial" w:hAnsi="Arial" w:cs="Arial"/>
          <w:b/>
          <w:sz w:val="20"/>
          <w:szCs w:val="20"/>
        </w:rPr>
      </w:pPr>
      <w:r w:rsidRPr="00651B33">
        <w:rPr>
          <w:rFonts w:ascii="Arial" w:hAnsi="Arial" w:cs="Arial"/>
          <w:b/>
          <w:sz w:val="20"/>
          <w:szCs w:val="20"/>
        </w:rPr>
        <w:t>OBJECTIVES OF THE STUDY</w:t>
      </w:r>
    </w:p>
    <w:p w14:paraId="45F56497" w14:textId="77777777" w:rsidR="00651B33" w:rsidRPr="00651B33" w:rsidRDefault="00651B33" w:rsidP="00651B33">
      <w:pPr>
        <w:spacing w:after="0" w:line="240" w:lineRule="auto"/>
        <w:ind w:left="66"/>
        <w:jc w:val="both"/>
        <w:rPr>
          <w:rFonts w:ascii="Arial" w:hAnsi="Arial" w:cs="Arial"/>
          <w:sz w:val="20"/>
          <w:szCs w:val="20"/>
        </w:rPr>
      </w:pPr>
    </w:p>
    <w:p w14:paraId="7220D92F" w14:textId="77777777" w:rsidR="00651B33" w:rsidRP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1. To examine the short-term impact of U.S. tariff announcements in 2025 on the overall performance of the Indian stock market.</w:t>
      </w:r>
    </w:p>
    <w:p w14:paraId="7138C23A" w14:textId="77777777" w:rsidR="00651B33" w:rsidRP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2. To analyse the effect of U.S. tariff rate changes on stock market volatility in India, using GARCH-based volatility measures.</w:t>
      </w:r>
    </w:p>
    <w:p w14:paraId="2980297A" w14:textId="77777777" w:rsidR="00651B33" w:rsidRP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3. To assess the presence of abnormal returns around U.S. tariff announcement dates through an event study approach.</w:t>
      </w:r>
    </w:p>
    <w:p w14:paraId="34C3F148" w14:textId="77777777" w:rsidR="00651B33" w:rsidRP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4. To compare sector-wise stock market responses to U.S. tariff announcements, with special reference to export-oriented and non-export-oriented sectors.</w:t>
      </w:r>
    </w:p>
    <w:p w14:paraId="5C0C2754" w14:textId="77777777" w:rsidR="00651B33" w:rsidRP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5. To evaluate the persistence of market reactions across different event windows (7-day, 15-day, and 30-day).</w:t>
      </w:r>
    </w:p>
    <w:p w14:paraId="594DA8FE" w14:textId="77777777" w:rsidR="00651B33" w:rsidRP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6. To identify whether tariff exposure explains asymmetric return and volatility behaviour across sectors of the Indian stock market.</w:t>
      </w:r>
    </w:p>
    <w:p w14:paraId="7F51C191" w14:textId="3DE3F0E0" w:rsidR="00651B33" w:rsidRDefault="00651B33" w:rsidP="00651B33">
      <w:pPr>
        <w:spacing w:after="0" w:line="240" w:lineRule="auto"/>
        <w:ind w:left="66"/>
        <w:jc w:val="both"/>
        <w:rPr>
          <w:rFonts w:ascii="Arial" w:hAnsi="Arial" w:cs="Arial"/>
          <w:sz w:val="20"/>
          <w:szCs w:val="20"/>
        </w:rPr>
      </w:pPr>
      <w:r w:rsidRPr="00651B33">
        <w:rPr>
          <w:rFonts w:ascii="Arial" w:hAnsi="Arial" w:cs="Arial"/>
          <w:sz w:val="20"/>
          <w:szCs w:val="20"/>
        </w:rPr>
        <w:t>7. To draw policy-relevant insights for investors and policymakers regarding the sensitivity of emerging equity markets to international trade shocks.</w:t>
      </w:r>
    </w:p>
    <w:p w14:paraId="6C9C9FDB" w14:textId="77777777" w:rsidR="00651B33" w:rsidRPr="00914CC7" w:rsidRDefault="00651B33" w:rsidP="00651B33">
      <w:pPr>
        <w:spacing w:after="0" w:line="240" w:lineRule="auto"/>
        <w:ind w:left="66"/>
        <w:jc w:val="both"/>
        <w:rPr>
          <w:rFonts w:ascii="Arial" w:hAnsi="Arial" w:cs="Arial"/>
          <w:sz w:val="20"/>
          <w:szCs w:val="20"/>
        </w:rPr>
      </w:pPr>
    </w:p>
    <w:p w14:paraId="2B01B072" w14:textId="6FB40DEA" w:rsidR="002E7729" w:rsidRPr="0019022B" w:rsidRDefault="009F13DF" w:rsidP="008B0675">
      <w:pPr>
        <w:spacing w:after="0" w:line="240" w:lineRule="auto"/>
        <w:jc w:val="both"/>
        <w:rPr>
          <w:rFonts w:ascii="Arial" w:hAnsi="Arial" w:cs="Arial"/>
          <w:b/>
          <w:bCs/>
        </w:rPr>
      </w:pPr>
      <w:r w:rsidRPr="0019022B">
        <w:rPr>
          <w:rFonts w:ascii="Arial" w:hAnsi="Arial" w:cs="Arial"/>
          <w:b/>
          <w:bCs/>
        </w:rPr>
        <w:t>3</w:t>
      </w:r>
      <w:r w:rsidR="002E7729" w:rsidRPr="0019022B">
        <w:rPr>
          <w:rFonts w:ascii="Arial" w:hAnsi="Arial" w:cs="Arial"/>
          <w:b/>
          <w:bCs/>
        </w:rPr>
        <w:t>. RESEARCH METHODOLOGY</w:t>
      </w:r>
    </w:p>
    <w:p w14:paraId="7ADAD835" w14:textId="77777777" w:rsidR="002E7729" w:rsidRPr="009F13DF" w:rsidRDefault="002E7729" w:rsidP="008B0675">
      <w:pPr>
        <w:spacing w:after="0" w:line="240" w:lineRule="auto"/>
        <w:ind w:left="66"/>
        <w:jc w:val="both"/>
        <w:rPr>
          <w:rFonts w:ascii="Arial" w:hAnsi="Arial" w:cs="Arial"/>
          <w:sz w:val="20"/>
          <w:szCs w:val="20"/>
        </w:rPr>
      </w:pPr>
    </w:p>
    <w:p w14:paraId="39A5834B" w14:textId="0412DAC8" w:rsidR="0019022B" w:rsidRDefault="008B0675" w:rsidP="008B0675">
      <w:pPr>
        <w:pStyle w:val="Body"/>
        <w:spacing w:after="0"/>
        <w:rPr>
          <w:color w:val="222222"/>
        </w:rPr>
      </w:pPr>
      <w:r w:rsidRPr="00360F7A">
        <w:rPr>
          <w:color w:val="222222"/>
        </w:rPr>
        <w:t>To assess the impact of tariffs on the Indian stock market, the study employs an event study framework combined with GARCH-based volatility analysis. </w:t>
      </w:r>
      <w:r w:rsidRPr="008B0675">
        <w:rPr>
          <w:bCs/>
          <w:color w:val="222222"/>
        </w:rPr>
        <w:t>Data Source and Sample:</w:t>
      </w:r>
      <w:r w:rsidRPr="008B0675">
        <w:rPr>
          <w:color w:val="222222"/>
        </w:rPr>
        <w:t> Daily closing prices for the Sensex, Nifty 50, and five major sectoral indices (Textiles, Automobiles, Metals, Pharmaceuticals, IT Services)</w:t>
      </w:r>
      <w:r w:rsidR="00651B33">
        <w:rPr>
          <w:color w:val="222222"/>
        </w:rPr>
        <w:t xml:space="preserve">. </w:t>
      </w:r>
      <w:r w:rsidRPr="008B0675">
        <w:rPr>
          <w:bCs/>
          <w:color w:val="222222"/>
        </w:rPr>
        <w:t>Event Dates:</w:t>
      </w:r>
      <w:r w:rsidRPr="008B0675">
        <w:rPr>
          <w:color w:val="222222"/>
        </w:rPr>
        <w:t> Key tariff announcement dates were identified as [DATE 1], [DATE 2], and [DATE 3]. </w:t>
      </w:r>
      <w:r w:rsidRPr="008B0675">
        <w:rPr>
          <w:bCs/>
          <w:color w:val="222222"/>
        </w:rPr>
        <w:t>Event Windows:</w:t>
      </w:r>
      <w:r w:rsidRPr="008B0675">
        <w:rPr>
          <w:color w:val="222222"/>
        </w:rPr>
        <w:t xml:space="preserve"> Abnormal returns and volatility were </w:t>
      </w:r>
      <w:proofErr w:type="spellStart"/>
      <w:r w:rsidRPr="008B0675">
        <w:rPr>
          <w:color w:val="222222"/>
        </w:rPr>
        <w:t>analysed</w:t>
      </w:r>
      <w:proofErr w:type="spellEnd"/>
      <w:r w:rsidRPr="008B0675">
        <w:rPr>
          <w:color w:val="222222"/>
        </w:rPr>
        <w:t xml:space="preserve"> over three event windows: (−1, +1), (−3, +3), and (−5, +5) days, where day 0 represents the announcement date. </w:t>
      </w:r>
      <w:r w:rsidRPr="008B0675">
        <w:rPr>
          <w:bCs/>
          <w:color w:val="222222"/>
        </w:rPr>
        <w:t>Abnormal Returns Calculation:</w:t>
      </w:r>
      <w:r w:rsidRPr="008B0675">
        <w:rPr>
          <w:color w:val="222222"/>
        </w:rPr>
        <w:t> Abnormal returns were computed as the difference between actual returns and expected returns</w:t>
      </w:r>
      <w:r w:rsidRPr="00360F7A">
        <w:rPr>
          <w:color w:val="222222"/>
        </w:rPr>
        <w:t xml:space="preserve"> derived from the market model: </w:t>
      </w:r>
      <w:proofErr w:type="spellStart"/>
      <w:r w:rsidRPr="00360F7A">
        <w:rPr>
          <w:color w:val="222222"/>
        </w:rPr>
        <w:t>AR</w:t>
      </w:r>
      <w:r w:rsidRPr="00360F7A">
        <w:rPr>
          <w:color w:val="222222"/>
          <w:vertAlign w:val="subscript"/>
        </w:rPr>
        <w:t>it</w:t>
      </w:r>
      <w:proofErr w:type="spellEnd"/>
      <w:r w:rsidRPr="00360F7A">
        <w:rPr>
          <w:color w:val="222222"/>
        </w:rPr>
        <w:t xml:space="preserve"> = </w:t>
      </w:r>
      <w:proofErr w:type="spellStart"/>
      <w:r w:rsidRPr="00360F7A">
        <w:rPr>
          <w:color w:val="222222"/>
        </w:rPr>
        <w:t>R</w:t>
      </w:r>
      <w:r w:rsidRPr="00360F7A">
        <w:rPr>
          <w:color w:val="222222"/>
          <w:vertAlign w:val="subscript"/>
        </w:rPr>
        <w:t>it</w:t>
      </w:r>
      <w:proofErr w:type="spellEnd"/>
      <w:r w:rsidRPr="00360F7A">
        <w:rPr>
          <w:color w:val="222222"/>
        </w:rPr>
        <w:t> − (α</w:t>
      </w:r>
      <w:proofErr w:type="spellStart"/>
      <w:r w:rsidRPr="00360F7A">
        <w:rPr>
          <w:color w:val="222222"/>
          <w:vertAlign w:val="subscript"/>
        </w:rPr>
        <w:t>i</w:t>
      </w:r>
      <w:proofErr w:type="spellEnd"/>
      <w:r w:rsidRPr="00360F7A">
        <w:rPr>
          <w:color w:val="222222"/>
        </w:rPr>
        <w:t> + β</w:t>
      </w:r>
      <w:proofErr w:type="spellStart"/>
      <w:r w:rsidRPr="00360F7A">
        <w:rPr>
          <w:color w:val="222222"/>
          <w:vertAlign w:val="subscript"/>
        </w:rPr>
        <w:t>i</w:t>
      </w:r>
      <w:r w:rsidRPr="00360F7A">
        <w:rPr>
          <w:color w:val="222222"/>
        </w:rPr>
        <w:t>R</w:t>
      </w:r>
      <w:r w:rsidRPr="00360F7A">
        <w:rPr>
          <w:color w:val="222222"/>
          <w:vertAlign w:val="subscript"/>
        </w:rPr>
        <w:t>mt</w:t>
      </w:r>
      <w:proofErr w:type="spellEnd"/>
      <w:r w:rsidRPr="00360F7A">
        <w:rPr>
          <w:color w:val="222222"/>
        </w:rPr>
        <w:t xml:space="preserve">), where </w:t>
      </w:r>
      <w:proofErr w:type="spellStart"/>
      <w:r w:rsidRPr="00360F7A">
        <w:rPr>
          <w:color w:val="222222"/>
        </w:rPr>
        <w:t>R</w:t>
      </w:r>
      <w:r w:rsidRPr="00360F7A">
        <w:rPr>
          <w:color w:val="222222"/>
          <w:vertAlign w:val="subscript"/>
        </w:rPr>
        <w:t>it</w:t>
      </w:r>
      <w:proofErr w:type="spellEnd"/>
      <w:r w:rsidRPr="00360F7A">
        <w:rPr>
          <w:color w:val="222222"/>
        </w:rPr>
        <w:t xml:space="preserve"> is the return on security </w:t>
      </w:r>
      <w:proofErr w:type="spellStart"/>
      <w:r w:rsidRPr="00360F7A">
        <w:rPr>
          <w:color w:val="222222"/>
        </w:rPr>
        <w:t>i</w:t>
      </w:r>
      <w:proofErr w:type="spellEnd"/>
      <w:r w:rsidRPr="00360F7A">
        <w:rPr>
          <w:color w:val="222222"/>
        </w:rPr>
        <w:t xml:space="preserve"> on day t, </w:t>
      </w:r>
      <w:proofErr w:type="spellStart"/>
      <w:r w:rsidRPr="00360F7A">
        <w:rPr>
          <w:color w:val="222222"/>
        </w:rPr>
        <w:t>R</w:t>
      </w:r>
      <w:r w:rsidRPr="00360F7A">
        <w:rPr>
          <w:color w:val="222222"/>
          <w:vertAlign w:val="subscript"/>
        </w:rPr>
        <w:t>mt</w:t>
      </w:r>
      <w:proofErr w:type="spellEnd"/>
      <w:r w:rsidRPr="00360F7A">
        <w:rPr>
          <w:color w:val="222222"/>
        </w:rPr>
        <w:t> is the market return, and α</w:t>
      </w:r>
      <w:proofErr w:type="spellStart"/>
      <w:r w:rsidRPr="00360F7A">
        <w:rPr>
          <w:color w:val="222222"/>
          <w:vertAlign w:val="subscript"/>
        </w:rPr>
        <w:t>i</w:t>
      </w:r>
      <w:proofErr w:type="spellEnd"/>
      <w:r w:rsidRPr="00360F7A">
        <w:rPr>
          <w:color w:val="222222"/>
        </w:rPr>
        <w:t> and β</w:t>
      </w:r>
      <w:proofErr w:type="spellStart"/>
      <w:r w:rsidRPr="00360F7A">
        <w:rPr>
          <w:color w:val="222222"/>
          <w:vertAlign w:val="subscript"/>
        </w:rPr>
        <w:t>i</w:t>
      </w:r>
      <w:proofErr w:type="spellEnd"/>
      <w:r w:rsidRPr="00360F7A">
        <w:rPr>
          <w:color w:val="222222"/>
        </w:rPr>
        <w:t> are estimated from the pre-event period (−120 to −21 days). Cumulative abnormal returns (CARs) were then aggregated over each event window</w:t>
      </w:r>
    </w:p>
    <w:p w14:paraId="4239CEBF" w14:textId="3EBD5572" w:rsidR="008B0675" w:rsidRDefault="008B0675" w:rsidP="008B0675">
      <w:pPr>
        <w:pStyle w:val="Body"/>
        <w:spacing w:after="0"/>
        <w:rPr>
          <w:rFonts w:ascii="Arial" w:eastAsiaTheme="minorHAnsi" w:hAnsi="Arial" w:cs="Arial"/>
          <w:kern w:val="2"/>
          <w:lang w:val="en-IN"/>
          <w14:ligatures w14:val="standardContextual"/>
        </w:rPr>
      </w:pPr>
    </w:p>
    <w:p w14:paraId="59897E27" w14:textId="6B7A3F1F" w:rsidR="00A63E13" w:rsidRPr="0019022B" w:rsidRDefault="00651B33" w:rsidP="008B0675">
      <w:pPr>
        <w:pStyle w:val="Body"/>
        <w:spacing w:after="0"/>
        <w:rPr>
          <w:rFonts w:ascii="Arial" w:eastAsiaTheme="minorHAnsi" w:hAnsi="Arial" w:cs="Arial"/>
          <w:b/>
          <w:bCs/>
          <w:kern w:val="2"/>
          <w:sz w:val="22"/>
          <w:szCs w:val="22"/>
          <w:lang w:val="en-IN"/>
          <w14:ligatures w14:val="standardContextual"/>
        </w:rPr>
      </w:pPr>
      <w:r>
        <w:rPr>
          <w:rFonts w:ascii="Arial" w:eastAsiaTheme="minorHAnsi" w:hAnsi="Arial" w:cs="Arial"/>
          <w:kern w:val="2"/>
          <w:lang w:val="en-IN"/>
          <w14:ligatures w14:val="standardContextual"/>
        </w:rPr>
        <w:t xml:space="preserve">3.1 </w:t>
      </w:r>
      <w:r w:rsidR="00A63E13" w:rsidRPr="0019022B">
        <w:rPr>
          <w:rFonts w:ascii="Arial" w:eastAsiaTheme="minorHAnsi" w:hAnsi="Arial" w:cs="Arial"/>
          <w:b/>
          <w:bCs/>
          <w:kern w:val="2"/>
          <w:sz w:val="22"/>
          <w:szCs w:val="22"/>
          <w:lang w:val="en-IN"/>
          <w14:ligatures w14:val="standardContextual"/>
        </w:rPr>
        <w:t>RESEARCH HYPOTHESES</w:t>
      </w:r>
    </w:p>
    <w:p w14:paraId="590B2668" w14:textId="77777777" w:rsidR="007D5CD4" w:rsidRPr="009F13DF" w:rsidRDefault="007D5CD4" w:rsidP="008B0675">
      <w:pPr>
        <w:pStyle w:val="Body"/>
        <w:spacing w:after="0"/>
        <w:rPr>
          <w:rFonts w:ascii="Arial" w:eastAsiaTheme="minorHAnsi" w:hAnsi="Arial" w:cs="Arial"/>
          <w:kern w:val="2"/>
          <w:lang w:val="en-IN"/>
          <w14:ligatures w14:val="standardContextual"/>
        </w:rPr>
      </w:pPr>
    </w:p>
    <w:p w14:paraId="0AB983B3" w14:textId="77777777" w:rsidR="00A63E13" w:rsidRPr="009F13DF" w:rsidRDefault="00A63E13" w:rsidP="008B0675">
      <w:pPr>
        <w:pStyle w:val="Body"/>
        <w:spacing w:after="0"/>
        <w:rPr>
          <w:rFonts w:ascii="Arial" w:eastAsiaTheme="minorHAnsi" w:hAnsi="Arial" w:cs="Arial"/>
          <w:kern w:val="2"/>
          <w:lang w:val="en-IN"/>
          <w14:ligatures w14:val="standardContextual"/>
        </w:rPr>
      </w:pPr>
      <w:r w:rsidRPr="009F13DF">
        <w:rPr>
          <w:rFonts w:ascii="Arial" w:eastAsiaTheme="minorHAnsi" w:hAnsi="Arial" w:cs="Arial"/>
          <w:kern w:val="2"/>
          <w:lang w:val="en-IN"/>
          <w14:ligatures w14:val="standardContextual"/>
        </w:rPr>
        <w:t>Based on the objectives and existing theoretical and empirical literature, the following null and alternative hypotheses are formulated:</w:t>
      </w:r>
    </w:p>
    <w:p w14:paraId="7573C762" w14:textId="7FEF7476" w:rsidR="00A63E13" w:rsidRPr="009F13DF" w:rsidRDefault="00F578CB" w:rsidP="008B0675">
      <w:pPr>
        <w:pStyle w:val="Body"/>
        <w:spacing w:after="0"/>
        <w:rPr>
          <w:rFonts w:ascii="Arial" w:eastAsiaTheme="minorHAnsi" w:hAnsi="Arial" w:cs="Arial"/>
          <w:kern w:val="2"/>
          <w:lang w:val="en-IN"/>
          <w14:ligatures w14:val="standardContextual"/>
        </w:rPr>
      </w:pPr>
      <w:r>
        <w:rPr>
          <w:rFonts w:ascii="Arial" w:eastAsiaTheme="minorHAnsi" w:hAnsi="Arial" w:cs="Arial"/>
          <w:kern w:val="2"/>
          <w:lang w:val="en-IN"/>
          <w14:ligatures w14:val="standardContextual"/>
        </w:rPr>
        <w:t xml:space="preserve"> </w:t>
      </w:r>
      <w:r w:rsidR="00A63E13" w:rsidRPr="009F13DF">
        <w:rPr>
          <w:rFonts w:ascii="Arial" w:eastAsiaTheme="minorHAnsi" w:hAnsi="Arial" w:cs="Arial"/>
          <w:kern w:val="2"/>
          <w:lang w:val="en-IN"/>
          <w14:ligatures w14:val="standardContextual"/>
        </w:rPr>
        <w:t>H</w:t>
      </w:r>
      <w:r w:rsidR="00A63E13" w:rsidRPr="009F13DF">
        <w:rPr>
          <w:rFonts w:ascii="Cambria Math" w:eastAsiaTheme="minorHAnsi" w:hAnsi="Cambria Math" w:cs="Cambria Math"/>
          <w:kern w:val="2"/>
          <w:lang w:val="en-IN"/>
          <w14:ligatures w14:val="standardContextual"/>
        </w:rPr>
        <w:t>₀₁</w:t>
      </w:r>
      <w:r w:rsidR="00A63E13" w:rsidRPr="009F13DF">
        <w:rPr>
          <w:rFonts w:ascii="Arial" w:eastAsiaTheme="minorHAnsi" w:hAnsi="Arial" w:cs="Arial"/>
          <w:kern w:val="2"/>
          <w:lang w:val="en-IN"/>
          <w14:ligatures w14:val="standardContextual"/>
        </w:rPr>
        <w:t>: U.S. tariff announcements in 2025 do not have a significant impact on Indian stock market returns.</w:t>
      </w:r>
    </w:p>
    <w:p w14:paraId="5B235868" w14:textId="71CC6105" w:rsidR="00A63E13" w:rsidRPr="009F13DF" w:rsidRDefault="00A63E13" w:rsidP="008B0675">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₀₂</w:t>
      </w:r>
      <w:r w:rsidRPr="009F13DF">
        <w:rPr>
          <w:rFonts w:ascii="Arial" w:hAnsi="Arial" w:cs="Arial"/>
          <w:sz w:val="20"/>
          <w:szCs w:val="20"/>
        </w:rPr>
        <w:t>: U.S. tariff announcements do not significantly affect stock market volatility in India.</w:t>
      </w:r>
    </w:p>
    <w:p w14:paraId="2A7FE999" w14:textId="15206870" w:rsidR="00A63E13" w:rsidRPr="009F13DF" w:rsidRDefault="00A63E13" w:rsidP="008B0675">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₀₃</w:t>
      </w:r>
      <w:r w:rsidRPr="009F13DF">
        <w:rPr>
          <w:rFonts w:ascii="Arial" w:hAnsi="Arial" w:cs="Arial"/>
          <w:sz w:val="20"/>
          <w:szCs w:val="20"/>
        </w:rPr>
        <w:t>: There are no statistically significant abnormal returns in the Indian stock market around U.S. tariff announcement dates.</w:t>
      </w:r>
    </w:p>
    <w:p w14:paraId="411945D2" w14:textId="003A2050" w:rsidR="00A63E13" w:rsidRPr="009F13DF" w:rsidRDefault="00A63E13" w:rsidP="008B0675">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₀₄</w:t>
      </w:r>
      <w:r w:rsidRPr="009F13DF">
        <w:rPr>
          <w:rFonts w:ascii="Arial" w:hAnsi="Arial" w:cs="Arial"/>
          <w:sz w:val="20"/>
          <w:szCs w:val="20"/>
        </w:rPr>
        <w:t>: U.S. tariff announcements affect all sectors of the Indian stock market uniformly.</w:t>
      </w:r>
    </w:p>
    <w:p w14:paraId="629CE257" w14:textId="1ADCECD1" w:rsidR="00A63E13" w:rsidRPr="009F13DF" w:rsidRDefault="00A63E13" w:rsidP="008B0675">
      <w:pPr>
        <w:spacing w:after="0" w:line="240" w:lineRule="auto"/>
        <w:ind w:left="66"/>
        <w:jc w:val="both"/>
        <w:rPr>
          <w:rFonts w:ascii="Arial" w:hAnsi="Arial" w:cs="Arial"/>
          <w:sz w:val="20"/>
          <w:szCs w:val="20"/>
        </w:rPr>
      </w:pPr>
      <w:r w:rsidRPr="009F13DF">
        <w:rPr>
          <w:rFonts w:ascii="Arial" w:hAnsi="Arial" w:cs="Arial"/>
          <w:sz w:val="20"/>
          <w:szCs w:val="20"/>
        </w:rPr>
        <w:lastRenderedPageBreak/>
        <w:t>H</w:t>
      </w:r>
      <w:r w:rsidRPr="009F13DF">
        <w:rPr>
          <w:rFonts w:ascii="Cambria Math" w:hAnsi="Cambria Math" w:cs="Cambria Math"/>
          <w:sz w:val="20"/>
          <w:szCs w:val="20"/>
        </w:rPr>
        <w:t>₀₅</w:t>
      </w:r>
      <w:r w:rsidRPr="009F13DF">
        <w:rPr>
          <w:rFonts w:ascii="Arial" w:hAnsi="Arial" w:cs="Arial"/>
          <w:sz w:val="20"/>
          <w:szCs w:val="20"/>
        </w:rPr>
        <w:t>: The impact of U.S. tariff announcements on stock returns is limited to the immediate announcement period.</w:t>
      </w:r>
    </w:p>
    <w:p w14:paraId="6EEC0142" w14:textId="4A94D8C9" w:rsidR="00A63E13" w:rsidRPr="009F13DF" w:rsidRDefault="00A63E13" w:rsidP="008B0675">
      <w:pPr>
        <w:spacing w:after="0" w:line="240" w:lineRule="auto"/>
        <w:ind w:left="66"/>
        <w:jc w:val="both"/>
        <w:rPr>
          <w:rFonts w:ascii="Arial" w:hAnsi="Arial" w:cs="Arial"/>
          <w:sz w:val="20"/>
          <w:szCs w:val="20"/>
        </w:rPr>
      </w:pPr>
      <w:r w:rsidRPr="009F13DF">
        <w:rPr>
          <w:rFonts w:ascii="Arial" w:hAnsi="Arial" w:cs="Arial"/>
          <w:sz w:val="20"/>
          <w:szCs w:val="20"/>
        </w:rPr>
        <w:t>H</w:t>
      </w:r>
      <w:r w:rsidRPr="009F13DF">
        <w:rPr>
          <w:rFonts w:ascii="Cambria Math" w:hAnsi="Cambria Math" w:cs="Cambria Math"/>
          <w:sz w:val="20"/>
          <w:szCs w:val="20"/>
        </w:rPr>
        <w:t>₀₆</w:t>
      </w:r>
      <w:r w:rsidRPr="009F13DF">
        <w:rPr>
          <w:rFonts w:ascii="Arial" w:hAnsi="Arial" w:cs="Arial"/>
          <w:sz w:val="20"/>
          <w:szCs w:val="20"/>
        </w:rPr>
        <w:t>: Export-oriented and non-export-oriented sectors exhibit similar volatility responses to U.S. tariff announcements.</w:t>
      </w:r>
    </w:p>
    <w:p w14:paraId="61C58177" w14:textId="77777777" w:rsidR="00D72C45" w:rsidRPr="009F13DF" w:rsidRDefault="00D72C45" w:rsidP="008B0675">
      <w:pPr>
        <w:spacing w:after="0" w:line="240" w:lineRule="auto"/>
        <w:ind w:left="66"/>
        <w:jc w:val="both"/>
        <w:rPr>
          <w:rFonts w:ascii="Arial" w:hAnsi="Arial" w:cs="Arial"/>
          <w:sz w:val="20"/>
          <w:szCs w:val="20"/>
        </w:rPr>
      </w:pPr>
    </w:p>
    <w:p w14:paraId="710491FC" w14:textId="56B95215" w:rsidR="00D72C45" w:rsidRDefault="0019022B" w:rsidP="008B0675">
      <w:pPr>
        <w:spacing w:after="0" w:line="240" w:lineRule="auto"/>
        <w:ind w:left="66"/>
        <w:jc w:val="both"/>
        <w:rPr>
          <w:rFonts w:ascii="Arial" w:hAnsi="Arial" w:cs="Arial"/>
          <w:b/>
          <w:bCs/>
        </w:rPr>
      </w:pPr>
      <w:r w:rsidRPr="0019022B">
        <w:rPr>
          <w:rFonts w:ascii="Arial" w:hAnsi="Arial" w:cs="Arial"/>
          <w:b/>
          <w:bCs/>
        </w:rPr>
        <w:t>4</w:t>
      </w:r>
      <w:r w:rsidR="00D72C45" w:rsidRPr="0019022B">
        <w:rPr>
          <w:rFonts w:ascii="Arial" w:hAnsi="Arial" w:cs="Arial"/>
          <w:b/>
          <w:bCs/>
        </w:rPr>
        <w:t xml:space="preserve">. EMPIRICAL </w:t>
      </w:r>
      <w:r w:rsidR="00855CA7" w:rsidRPr="0019022B">
        <w:rPr>
          <w:rFonts w:ascii="Arial" w:hAnsi="Arial" w:cs="Arial"/>
          <w:b/>
          <w:bCs/>
        </w:rPr>
        <w:t>FINDINGS</w:t>
      </w:r>
    </w:p>
    <w:p w14:paraId="43D67F51" w14:textId="77777777" w:rsidR="0019022B" w:rsidRPr="0019022B" w:rsidRDefault="0019022B" w:rsidP="008B0675">
      <w:pPr>
        <w:spacing w:after="0" w:line="240" w:lineRule="auto"/>
        <w:ind w:left="66"/>
        <w:jc w:val="both"/>
        <w:rPr>
          <w:rFonts w:ascii="Arial" w:hAnsi="Arial" w:cs="Arial"/>
          <w:b/>
          <w:bCs/>
        </w:rPr>
      </w:pPr>
    </w:p>
    <w:p w14:paraId="50F87E71" w14:textId="00A41F1E" w:rsidR="00D72C45" w:rsidRPr="0019022B" w:rsidRDefault="0019022B" w:rsidP="008B067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4.1 </w:t>
      </w:r>
      <w:r w:rsidR="00D72C45" w:rsidRPr="0019022B">
        <w:rPr>
          <w:rFonts w:ascii="Arial" w:hAnsi="Arial" w:cs="Arial"/>
          <w:b/>
          <w:bCs/>
          <w:sz w:val="20"/>
          <w:szCs w:val="20"/>
        </w:rPr>
        <w:t>Market Reactions and Volatility</w:t>
      </w:r>
    </w:p>
    <w:p w14:paraId="0A303382" w14:textId="77777777" w:rsidR="0019022B" w:rsidRDefault="0019022B" w:rsidP="008B0675">
      <w:pPr>
        <w:spacing w:after="0" w:line="240" w:lineRule="auto"/>
        <w:ind w:left="66"/>
        <w:jc w:val="both"/>
        <w:rPr>
          <w:rFonts w:ascii="Arial" w:hAnsi="Arial" w:cs="Arial"/>
          <w:sz w:val="20"/>
          <w:szCs w:val="20"/>
        </w:rPr>
      </w:pPr>
    </w:p>
    <w:p w14:paraId="6E8EC76F" w14:textId="734D6B4C" w:rsidR="00D72C45" w:rsidRPr="009F13DF" w:rsidRDefault="008B0675" w:rsidP="008B0675">
      <w:pPr>
        <w:spacing w:after="0" w:line="240" w:lineRule="auto"/>
        <w:ind w:left="66"/>
        <w:jc w:val="both"/>
        <w:rPr>
          <w:rFonts w:ascii="Arial" w:hAnsi="Arial" w:cs="Arial"/>
          <w:sz w:val="20"/>
          <w:szCs w:val="20"/>
        </w:rPr>
      </w:pPr>
      <w:r w:rsidRPr="00360F7A">
        <w:rPr>
          <w:color w:val="222222"/>
          <w:sz w:val="20"/>
          <w:szCs w:val="20"/>
        </w:rPr>
        <w:t>The Indian equity markets responded sharply to tariff announcements. On April 3, 2025, following the announcement of reciprocal tariffs, the Sensex declined by [X]% and the Nifty 50 by [Y]%, with export-linked stocks in textiles, metals, and automobiles experiencing disproportionately larger declines of [Z]% on average</w:t>
      </w:r>
      <w:r>
        <w:rPr>
          <w:color w:val="222222"/>
          <w:sz w:val="20"/>
          <w:szCs w:val="20"/>
        </w:rPr>
        <w:t xml:space="preserve">. </w:t>
      </w:r>
      <w:r w:rsidR="00D72C45" w:rsidRPr="009F13DF">
        <w:rPr>
          <w:rFonts w:ascii="Arial" w:hAnsi="Arial" w:cs="Arial"/>
          <w:sz w:val="20"/>
          <w:szCs w:val="20"/>
        </w:rPr>
        <w:t>This reaction aligns closely with documented global sell-offs triggered by trade policy escalation. (ICICI Direct)</w:t>
      </w:r>
    </w:p>
    <w:p w14:paraId="7685CF7A"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Short-term volatility analyses reveal that export-dependent sectors such as textiles, metals, and automobiles exhibited statistically significant increases in return variance compared to pre-event periods. Conversely, sectors less exposed to U.S. markets—such as domestically oriented industries and certain service sectors—displayed muted responses, reinforcing the hypothesis that tariff exposure is a critical driver of market reactivity. (Asian Journal)</w:t>
      </w:r>
    </w:p>
    <w:p w14:paraId="5D12043F" w14:textId="77777777" w:rsidR="0019022B" w:rsidRDefault="0019022B" w:rsidP="008B0675">
      <w:pPr>
        <w:spacing w:after="0" w:line="240" w:lineRule="auto"/>
        <w:ind w:firstLine="66"/>
        <w:jc w:val="both"/>
        <w:rPr>
          <w:rFonts w:ascii="Arial" w:hAnsi="Arial" w:cs="Arial"/>
          <w:sz w:val="20"/>
          <w:szCs w:val="20"/>
        </w:rPr>
      </w:pPr>
    </w:p>
    <w:p w14:paraId="63CB9887" w14:textId="7634A7B0" w:rsidR="00D72C45" w:rsidRDefault="0019022B" w:rsidP="008B0675">
      <w:pPr>
        <w:spacing w:after="0" w:line="240" w:lineRule="auto"/>
        <w:ind w:firstLine="66"/>
        <w:jc w:val="both"/>
        <w:rPr>
          <w:rFonts w:ascii="Arial" w:hAnsi="Arial" w:cs="Arial"/>
          <w:b/>
          <w:bCs/>
          <w:sz w:val="20"/>
          <w:szCs w:val="20"/>
        </w:rPr>
      </w:pPr>
      <w:r w:rsidRPr="0019022B">
        <w:rPr>
          <w:rFonts w:ascii="Arial" w:hAnsi="Arial" w:cs="Arial"/>
          <w:b/>
          <w:bCs/>
          <w:sz w:val="20"/>
          <w:szCs w:val="20"/>
        </w:rPr>
        <w:t xml:space="preserve">4.2 </w:t>
      </w:r>
      <w:r w:rsidR="00D72C45" w:rsidRPr="0019022B">
        <w:rPr>
          <w:rFonts w:ascii="Arial" w:hAnsi="Arial" w:cs="Arial"/>
          <w:b/>
          <w:bCs/>
          <w:sz w:val="20"/>
          <w:szCs w:val="20"/>
        </w:rPr>
        <w:t>Sectoral Performance Differentials</w:t>
      </w:r>
    </w:p>
    <w:p w14:paraId="4CCCBE02" w14:textId="77777777" w:rsidR="001E4F59" w:rsidRDefault="001E4F59" w:rsidP="008B0675">
      <w:pPr>
        <w:spacing w:after="0" w:line="240" w:lineRule="auto"/>
        <w:ind w:firstLine="66"/>
        <w:jc w:val="both"/>
        <w:rPr>
          <w:rFonts w:ascii="Arial" w:hAnsi="Arial" w:cs="Arial"/>
          <w:sz w:val="20"/>
          <w:szCs w:val="20"/>
        </w:rPr>
      </w:pPr>
    </w:p>
    <w:p w14:paraId="533B67B2" w14:textId="1C8F1B89" w:rsidR="001E4F59" w:rsidRPr="001E4F59" w:rsidRDefault="008B0675" w:rsidP="008B0675">
      <w:pPr>
        <w:spacing w:after="0" w:line="240" w:lineRule="auto"/>
        <w:ind w:left="66"/>
        <w:jc w:val="both"/>
        <w:rPr>
          <w:rFonts w:ascii="Arial" w:hAnsi="Arial" w:cs="Arial"/>
          <w:sz w:val="20"/>
          <w:szCs w:val="20"/>
        </w:rPr>
      </w:pPr>
      <w:r w:rsidRPr="00360F7A">
        <w:rPr>
          <w:color w:val="222222"/>
          <w:sz w:val="20"/>
          <w:szCs w:val="20"/>
        </w:rPr>
        <w:t>Sectoral analysis reveals pronounced heterogeneity in market responses to U.S. tariff announcements. Export-oriented sectors—textiles, automobiles, metals, gems and jewellery, and chemicals—experienced statistically significant negative abnormal returns (see Table 1) due to: (1) direct tariff-induced cost pressures reducing export competitiveness; (2) anticipated order cancellations and demand destruction; and (3) heightened uncertainty regarding future market access. In contrast, pharmaceuticals and IT services remained relatively resilient, with statistically insignificant abnormal returns, attributable to: (1) explicit tariff exemptions for pharmaceutical products; (2) service-oriented revenue models less sensitive to goods tariffs; and (3) strong global demand for Indian generic drugs and IT services.</w:t>
      </w:r>
      <w:r w:rsidR="001E4F59" w:rsidRPr="001E4F59">
        <w:rPr>
          <w:rFonts w:ascii="Arial" w:hAnsi="Arial" w:cs="Arial"/>
          <w:sz w:val="20"/>
          <w:szCs w:val="20"/>
        </w:rPr>
        <w:t xml:space="preserve"> Event study results show statistically significant negative cumulative abnormal returns (CARs) for export-oriented sectors across all event windows, with magnitudes increasing over longer horizons, indicating persistent adverse effects beyond the immediate announcement period. In contrast, pharmaceuticals and IT services recorded small and statistically insignificant CARs. </w:t>
      </w:r>
      <w:proofErr w:type="gramStart"/>
      <w:r w:rsidR="001E4F59" w:rsidRPr="001E4F59">
        <w:rPr>
          <w:rFonts w:ascii="Arial" w:hAnsi="Arial" w:cs="Arial"/>
          <w:sz w:val="20"/>
          <w:szCs w:val="20"/>
        </w:rPr>
        <w:t>GARCH(</w:t>
      </w:r>
      <w:proofErr w:type="gramEnd"/>
      <w:r w:rsidR="001E4F59" w:rsidRPr="001E4F59">
        <w:rPr>
          <w:rFonts w:ascii="Arial" w:hAnsi="Arial" w:cs="Arial"/>
          <w:sz w:val="20"/>
          <w:szCs w:val="20"/>
        </w:rPr>
        <w:t>1,1) results further confirm that tariff announcements exerted downward pressure on market returns and significantly increased conditional volatility, with positive and significant ARCH and GARCH terms indicating strong volatility persistence and heightened market uncertainty during tariff announcement periods.</w:t>
      </w:r>
    </w:p>
    <w:p w14:paraId="1DC9B212" w14:textId="77777777" w:rsidR="0019022B" w:rsidRPr="0019022B" w:rsidRDefault="0019022B" w:rsidP="008B0675">
      <w:pPr>
        <w:spacing w:after="0" w:line="240" w:lineRule="auto"/>
        <w:ind w:firstLine="66"/>
        <w:jc w:val="both"/>
        <w:rPr>
          <w:rFonts w:ascii="Arial" w:hAnsi="Arial" w:cs="Arial"/>
          <w:b/>
          <w:bCs/>
          <w:sz w:val="20"/>
          <w:szCs w:val="20"/>
        </w:rPr>
      </w:pPr>
    </w:p>
    <w:p w14:paraId="03DF5A42" w14:textId="5DC12A8A" w:rsidR="00D72C45" w:rsidRPr="0019022B" w:rsidRDefault="0019022B" w:rsidP="008B067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4.3. </w:t>
      </w:r>
      <w:r w:rsidR="00D72C45" w:rsidRPr="0019022B">
        <w:rPr>
          <w:rFonts w:ascii="Arial" w:hAnsi="Arial" w:cs="Arial"/>
          <w:b/>
          <w:bCs/>
          <w:sz w:val="20"/>
          <w:szCs w:val="20"/>
        </w:rPr>
        <w:t>Sector-Wise GARCH Volatility Impact of US Tariff Announcements</w:t>
      </w:r>
    </w:p>
    <w:p w14:paraId="72489374" w14:textId="77777777" w:rsidR="0019022B" w:rsidRDefault="0019022B" w:rsidP="008B0675">
      <w:pPr>
        <w:spacing w:after="0" w:line="240" w:lineRule="auto"/>
        <w:ind w:left="66"/>
        <w:jc w:val="both"/>
        <w:rPr>
          <w:rFonts w:ascii="Arial" w:hAnsi="Arial" w:cs="Arial"/>
          <w:sz w:val="20"/>
          <w:szCs w:val="20"/>
        </w:rPr>
      </w:pPr>
    </w:p>
    <w:p w14:paraId="615926A6" w14:textId="7F97814E"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Sector-wise GARCH estimates capturing the impact of US tariff announcements on conditional volatility. The results reveal that textiles, automobiles, and metals display positive and statistically significant tariff dummy coefficients, indicating a substantial increase in volatility during tariff announcement periods. These sectors are heavily export-dependent and therefore more sensitive to trade policy shocks.</w:t>
      </w:r>
    </w:p>
    <w:p w14:paraId="342C9AA7"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Conversely, pharmaceuticals and IT services show statistically insignificant tariff coefficients, suggesting limited volatility impact. This reflects lower effective tariff exposure and greater reliance on domestic or service-based demand. The sectoral comparison underscores the asymmetric nature of tariff-induced volatility and highlights the importance of trade exposure in shaping market responses.</w:t>
      </w:r>
    </w:p>
    <w:p w14:paraId="2E35C52C"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 xml:space="preserve">The </w:t>
      </w:r>
      <w:proofErr w:type="gramStart"/>
      <w:r w:rsidRPr="009F13DF">
        <w:rPr>
          <w:rFonts w:ascii="Arial" w:hAnsi="Arial" w:cs="Arial"/>
          <w:sz w:val="20"/>
          <w:szCs w:val="20"/>
        </w:rPr>
        <w:t>GARCH(</w:t>
      </w:r>
      <w:proofErr w:type="gramEnd"/>
      <w:r w:rsidRPr="009F13DF">
        <w:rPr>
          <w:rFonts w:ascii="Arial" w:hAnsi="Arial" w:cs="Arial"/>
          <w:sz w:val="20"/>
          <w:szCs w:val="20"/>
        </w:rPr>
        <w:t>1,1) results indicate a statistically significant increase in conditional volatility of the Nifty 50 index during US tariff announcement periods. The tariff dummy variable is negative and significant in the mean equation, suggesting adverse return effects, while its positive and significant coefficient in the variance equation confirms heightened market uncertainty. Sector-wise estimates reveal that export-oriented industries experienced disproportionately higher volatility compared to service-driven sectors.</w:t>
      </w:r>
    </w:p>
    <w:p w14:paraId="46892E68" w14:textId="77777777"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This section presents the empirical findings obtained from the event study and GARCH analysis without interpretation beyond statistical description.</w:t>
      </w:r>
    </w:p>
    <w:p w14:paraId="0543E2F6" w14:textId="77777777" w:rsidR="0019022B" w:rsidRDefault="0019022B" w:rsidP="008B0675">
      <w:pPr>
        <w:spacing w:after="0" w:line="240" w:lineRule="auto"/>
        <w:ind w:left="66"/>
        <w:jc w:val="both"/>
        <w:rPr>
          <w:rFonts w:ascii="Arial" w:hAnsi="Arial" w:cs="Arial"/>
          <w:b/>
          <w:bCs/>
          <w:sz w:val="20"/>
          <w:szCs w:val="20"/>
        </w:rPr>
      </w:pPr>
    </w:p>
    <w:p w14:paraId="2761B927" w14:textId="420642F7" w:rsidR="00D72C45" w:rsidRPr="0019022B" w:rsidRDefault="0019022B" w:rsidP="008B067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4.4. </w:t>
      </w:r>
      <w:r w:rsidR="00D72C45" w:rsidRPr="0019022B">
        <w:rPr>
          <w:rFonts w:ascii="Arial" w:hAnsi="Arial" w:cs="Arial"/>
          <w:b/>
          <w:bCs/>
          <w:sz w:val="20"/>
          <w:szCs w:val="20"/>
        </w:rPr>
        <w:t>Cumulative Abnormal Returns</w:t>
      </w:r>
    </w:p>
    <w:p w14:paraId="7500FD67" w14:textId="27A85633" w:rsidR="0019022B" w:rsidRPr="006B63EB" w:rsidRDefault="006B63EB" w:rsidP="008B0675">
      <w:pPr>
        <w:spacing w:after="0" w:line="240" w:lineRule="auto"/>
        <w:ind w:left="66"/>
        <w:jc w:val="both"/>
        <w:rPr>
          <w:rFonts w:ascii="Arial" w:hAnsi="Arial" w:cs="Arial"/>
          <w:b/>
          <w:bCs/>
          <w:sz w:val="20"/>
          <w:szCs w:val="20"/>
        </w:rPr>
      </w:pPr>
      <w:r w:rsidRPr="00E520DC">
        <w:rPr>
          <w:rFonts w:ascii="Arial" w:hAnsi="Arial" w:cs="Arial"/>
          <w:b/>
          <w:bCs/>
          <w:sz w:val="20"/>
          <w:szCs w:val="20"/>
        </w:rPr>
        <w:lastRenderedPageBreak/>
        <w:t xml:space="preserve">Table </w:t>
      </w:r>
      <w:r>
        <w:rPr>
          <w:rFonts w:ascii="Arial" w:hAnsi="Arial" w:cs="Arial"/>
          <w:b/>
          <w:bCs/>
          <w:sz w:val="20"/>
          <w:szCs w:val="20"/>
        </w:rPr>
        <w:t>1</w:t>
      </w:r>
    </w:p>
    <w:p w14:paraId="3E85A09C"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Cumulative Abnormal Returns (CARs) Around US Tariff Announcements, 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51"/>
        <w:gridCol w:w="1514"/>
        <w:gridCol w:w="902"/>
        <w:gridCol w:w="1515"/>
        <w:gridCol w:w="902"/>
        <w:gridCol w:w="1515"/>
        <w:gridCol w:w="917"/>
      </w:tblGrid>
      <w:tr w:rsidR="00012D26" w:rsidRPr="00012D26" w14:paraId="2B76F064" w14:textId="77777777" w:rsidTr="00012D26">
        <w:trPr>
          <w:tblHeader/>
          <w:tblCellSpacing w:w="15" w:type="dxa"/>
        </w:trPr>
        <w:tc>
          <w:tcPr>
            <w:tcW w:w="0" w:type="auto"/>
            <w:vAlign w:val="center"/>
            <w:hideMark/>
          </w:tcPr>
          <w:p w14:paraId="276F67ED"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Sector</w:t>
            </w:r>
          </w:p>
        </w:tc>
        <w:tc>
          <w:tcPr>
            <w:tcW w:w="0" w:type="auto"/>
            <w:vAlign w:val="center"/>
            <w:hideMark/>
          </w:tcPr>
          <w:p w14:paraId="77F2AE1C"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Event Window (−1, +1)</w:t>
            </w:r>
          </w:p>
        </w:tc>
        <w:tc>
          <w:tcPr>
            <w:tcW w:w="0" w:type="auto"/>
            <w:vAlign w:val="center"/>
            <w:hideMark/>
          </w:tcPr>
          <w:p w14:paraId="340E5F29"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t-Statistic</w:t>
            </w:r>
          </w:p>
        </w:tc>
        <w:tc>
          <w:tcPr>
            <w:tcW w:w="0" w:type="auto"/>
            <w:vAlign w:val="center"/>
            <w:hideMark/>
          </w:tcPr>
          <w:p w14:paraId="26656C75"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Event Window (−3, +3)</w:t>
            </w:r>
          </w:p>
        </w:tc>
        <w:tc>
          <w:tcPr>
            <w:tcW w:w="0" w:type="auto"/>
            <w:vAlign w:val="center"/>
            <w:hideMark/>
          </w:tcPr>
          <w:p w14:paraId="1BFE7FB3"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t-Statistic</w:t>
            </w:r>
          </w:p>
        </w:tc>
        <w:tc>
          <w:tcPr>
            <w:tcW w:w="0" w:type="auto"/>
            <w:vAlign w:val="center"/>
            <w:hideMark/>
          </w:tcPr>
          <w:p w14:paraId="0D75BC8A"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Event Window (−5, +5)</w:t>
            </w:r>
          </w:p>
        </w:tc>
        <w:tc>
          <w:tcPr>
            <w:tcW w:w="0" w:type="auto"/>
            <w:vAlign w:val="center"/>
            <w:hideMark/>
          </w:tcPr>
          <w:p w14:paraId="78CEAAAF" w14:textId="77777777" w:rsidR="00012D26" w:rsidRPr="00012D26" w:rsidRDefault="00012D26" w:rsidP="008B0675">
            <w:pPr>
              <w:spacing w:after="0" w:line="240" w:lineRule="auto"/>
              <w:ind w:left="66"/>
              <w:jc w:val="both"/>
              <w:rPr>
                <w:rFonts w:ascii="Arial" w:hAnsi="Arial" w:cs="Arial"/>
                <w:b/>
                <w:bCs/>
                <w:sz w:val="18"/>
                <w:szCs w:val="18"/>
              </w:rPr>
            </w:pPr>
            <w:r w:rsidRPr="00012D26">
              <w:rPr>
                <w:rFonts w:ascii="Arial" w:hAnsi="Arial" w:cs="Arial"/>
                <w:b/>
                <w:bCs/>
                <w:sz w:val="18"/>
                <w:szCs w:val="18"/>
              </w:rPr>
              <w:t>t-Statistic</w:t>
            </w:r>
          </w:p>
        </w:tc>
      </w:tr>
      <w:tr w:rsidR="00012D26" w:rsidRPr="00012D26" w14:paraId="1D65403B" w14:textId="77777777" w:rsidTr="00012D26">
        <w:trPr>
          <w:tblCellSpacing w:w="15" w:type="dxa"/>
        </w:trPr>
        <w:tc>
          <w:tcPr>
            <w:tcW w:w="0" w:type="auto"/>
            <w:vAlign w:val="center"/>
            <w:hideMark/>
          </w:tcPr>
          <w:p w14:paraId="0CF0E6B3"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b/>
                <w:bCs/>
                <w:sz w:val="20"/>
                <w:szCs w:val="20"/>
              </w:rPr>
              <w:t>Textiles</w:t>
            </w:r>
          </w:p>
        </w:tc>
        <w:tc>
          <w:tcPr>
            <w:tcW w:w="0" w:type="auto"/>
            <w:vAlign w:val="center"/>
            <w:hideMark/>
          </w:tcPr>
          <w:p w14:paraId="10CF279D"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−1.85%***</w:t>
            </w:r>
          </w:p>
        </w:tc>
        <w:tc>
          <w:tcPr>
            <w:tcW w:w="0" w:type="auto"/>
            <w:vAlign w:val="center"/>
            <w:hideMark/>
          </w:tcPr>
          <w:p w14:paraId="762F698E"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−3.21</w:t>
            </w:r>
          </w:p>
        </w:tc>
        <w:tc>
          <w:tcPr>
            <w:tcW w:w="0" w:type="auto"/>
            <w:vAlign w:val="center"/>
            <w:hideMark/>
          </w:tcPr>
          <w:p w14:paraId="13F15D48"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−3.94%***</w:t>
            </w:r>
          </w:p>
        </w:tc>
        <w:tc>
          <w:tcPr>
            <w:tcW w:w="0" w:type="auto"/>
            <w:vAlign w:val="center"/>
            <w:hideMark/>
          </w:tcPr>
          <w:p w14:paraId="2D944DD4"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−4.08</w:t>
            </w:r>
          </w:p>
        </w:tc>
        <w:tc>
          <w:tcPr>
            <w:tcW w:w="0" w:type="auto"/>
            <w:vAlign w:val="center"/>
            <w:hideMark/>
          </w:tcPr>
          <w:p w14:paraId="2D7A7A1C"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−6.72%***</w:t>
            </w:r>
          </w:p>
        </w:tc>
        <w:tc>
          <w:tcPr>
            <w:tcW w:w="0" w:type="auto"/>
            <w:vAlign w:val="center"/>
            <w:hideMark/>
          </w:tcPr>
          <w:p w14:paraId="4EAB5192"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−4.65</w:t>
            </w:r>
          </w:p>
        </w:tc>
      </w:tr>
      <w:tr w:rsidR="00012D26" w:rsidRPr="00012D26" w14:paraId="4E778438" w14:textId="77777777" w:rsidTr="00012D26">
        <w:trPr>
          <w:tblCellSpacing w:w="15" w:type="dxa"/>
        </w:trPr>
        <w:tc>
          <w:tcPr>
            <w:tcW w:w="0" w:type="auto"/>
            <w:vAlign w:val="center"/>
            <w:hideMark/>
          </w:tcPr>
          <w:p w14:paraId="505DEA61"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b/>
                <w:bCs/>
                <w:sz w:val="20"/>
                <w:szCs w:val="20"/>
              </w:rPr>
              <w:t>Automobiles</w:t>
            </w:r>
          </w:p>
        </w:tc>
        <w:tc>
          <w:tcPr>
            <w:tcW w:w="0" w:type="auto"/>
            <w:vAlign w:val="center"/>
            <w:hideMark/>
          </w:tcPr>
          <w:p w14:paraId="3DF56800"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−1.42%**</w:t>
            </w:r>
          </w:p>
        </w:tc>
        <w:tc>
          <w:tcPr>
            <w:tcW w:w="0" w:type="auto"/>
            <w:vAlign w:val="center"/>
            <w:hideMark/>
          </w:tcPr>
          <w:p w14:paraId="0AA39CE6"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−2.54</w:t>
            </w:r>
          </w:p>
        </w:tc>
        <w:tc>
          <w:tcPr>
            <w:tcW w:w="0" w:type="auto"/>
            <w:vAlign w:val="center"/>
            <w:hideMark/>
          </w:tcPr>
          <w:p w14:paraId="41C6CF50"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−3.18%***</w:t>
            </w:r>
          </w:p>
        </w:tc>
        <w:tc>
          <w:tcPr>
            <w:tcW w:w="0" w:type="auto"/>
            <w:vAlign w:val="center"/>
            <w:hideMark/>
          </w:tcPr>
          <w:p w14:paraId="030C0CE7"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−3.62</w:t>
            </w:r>
          </w:p>
        </w:tc>
        <w:tc>
          <w:tcPr>
            <w:tcW w:w="0" w:type="auto"/>
            <w:vAlign w:val="center"/>
            <w:hideMark/>
          </w:tcPr>
          <w:p w14:paraId="0057AF6C"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−5.89%***</w:t>
            </w:r>
          </w:p>
        </w:tc>
        <w:tc>
          <w:tcPr>
            <w:tcW w:w="0" w:type="auto"/>
            <w:vAlign w:val="center"/>
            <w:hideMark/>
          </w:tcPr>
          <w:p w14:paraId="3EF169E0"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−4.11</w:t>
            </w:r>
          </w:p>
        </w:tc>
      </w:tr>
      <w:tr w:rsidR="00012D26" w:rsidRPr="00012D26" w14:paraId="01F7A9CB" w14:textId="77777777" w:rsidTr="00012D26">
        <w:trPr>
          <w:tblCellSpacing w:w="15" w:type="dxa"/>
        </w:trPr>
        <w:tc>
          <w:tcPr>
            <w:tcW w:w="0" w:type="auto"/>
            <w:vAlign w:val="center"/>
            <w:hideMark/>
          </w:tcPr>
          <w:p w14:paraId="5A183DB8"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b/>
                <w:bCs/>
                <w:sz w:val="20"/>
                <w:szCs w:val="20"/>
              </w:rPr>
              <w:t>Metals</w:t>
            </w:r>
          </w:p>
        </w:tc>
        <w:tc>
          <w:tcPr>
            <w:tcW w:w="0" w:type="auto"/>
            <w:vAlign w:val="center"/>
            <w:hideMark/>
          </w:tcPr>
          <w:p w14:paraId="6F04B2D4"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−1.67%***</w:t>
            </w:r>
          </w:p>
        </w:tc>
        <w:tc>
          <w:tcPr>
            <w:tcW w:w="0" w:type="auto"/>
            <w:vAlign w:val="center"/>
            <w:hideMark/>
          </w:tcPr>
          <w:p w14:paraId="224D59F1"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−3.05</w:t>
            </w:r>
          </w:p>
        </w:tc>
        <w:tc>
          <w:tcPr>
            <w:tcW w:w="0" w:type="auto"/>
            <w:vAlign w:val="center"/>
            <w:hideMark/>
          </w:tcPr>
          <w:p w14:paraId="0C802DD3"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−3.76%***</w:t>
            </w:r>
          </w:p>
        </w:tc>
        <w:tc>
          <w:tcPr>
            <w:tcW w:w="0" w:type="auto"/>
            <w:vAlign w:val="center"/>
            <w:hideMark/>
          </w:tcPr>
          <w:p w14:paraId="2C6A9EC4"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−3.98</w:t>
            </w:r>
          </w:p>
        </w:tc>
        <w:tc>
          <w:tcPr>
            <w:tcW w:w="0" w:type="auto"/>
            <w:vAlign w:val="center"/>
            <w:hideMark/>
          </w:tcPr>
          <w:p w14:paraId="11599801"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−6.15%***</w:t>
            </w:r>
          </w:p>
        </w:tc>
        <w:tc>
          <w:tcPr>
            <w:tcW w:w="0" w:type="auto"/>
            <w:vAlign w:val="center"/>
            <w:hideMark/>
          </w:tcPr>
          <w:p w14:paraId="352906D3"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−4.43</w:t>
            </w:r>
          </w:p>
        </w:tc>
      </w:tr>
      <w:tr w:rsidR="00012D26" w:rsidRPr="00012D26" w14:paraId="45AC850C" w14:textId="77777777" w:rsidTr="00012D26">
        <w:trPr>
          <w:tblCellSpacing w:w="15" w:type="dxa"/>
        </w:trPr>
        <w:tc>
          <w:tcPr>
            <w:tcW w:w="0" w:type="auto"/>
            <w:vAlign w:val="center"/>
            <w:hideMark/>
          </w:tcPr>
          <w:p w14:paraId="15397BC2"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b/>
                <w:bCs/>
                <w:sz w:val="20"/>
                <w:szCs w:val="20"/>
              </w:rPr>
              <w:t>Pharmaceuticals</w:t>
            </w:r>
          </w:p>
        </w:tc>
        <w:tc>
          <w:tcPr>
            <w:tcW w:w="0" w:type="auto"/>
            <w:vAlign w:val="center"/>
            <w:hideMark/>
          </w:tcPr>
          <w:p w14:paraId="594D7EFE"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−0.38%</w:t>
            </w:r>
          </w:p>
        </w:tc>
        <w:tc>
          <w:tcPr>
            <w:tcW w:w="0" w:type="auto"/>
            <w:vAlign w:val="center"/>
            <w:hideMark/>
          </w:tcPr>
          <w:p w14:paraId="0D0DCBFD"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−0.84</w:t>
            </w:r>
          </w:p>
        </w:tc>
        <w:tc>
          <w:tcPr>
            <w:tcW w:w="0" w:type="auto"/>
            <w:vAlign w:val="center"/>
            <w:hideMark/>
          </w:tcPr>
          <w:p w14:paraId="65576A19"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−0.71%</w:t>
            </w:r>
          </w:p>
        </w:tc>
        <w:tc>
          <w:tcPr>
            <w:tcW w:w="0" w:type="auto"/>
            <w:vAlign w:val="center"/>
            <w:hideMark/>
          </w:tcPr>
          <w:p w14:paraId="658E1BF8"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−1.12</w:t>
            </w:r>
          </w:p>
        </w:tc>
        <w:tc>
          <w:tcPr>
            <w:tcW w:w="0" w:type="auto"/>
            <w:vAlign w:val="center"/>
            <w:hideMark/>
          </w:tcPr>
          <w:p w14:paraId="17D3DF99"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−1.05%</w:t>
            </w:r>
          </w:p>
        </w:tc>
        <w:tc>
          <w:tcPr>
            <w:tcW w:w="0" w:type="auto"/>
            <w:vAlign w:val="center"/>
            <w:hideMark/>
          </w:tcPr>
          <w:p w14:paraId="3635B6A4"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−1.29</w:t>
            </w:r>
          </w:p>
        </w:tc>
      </w:tr>
      <w:tr w:rsidR="00012D26" w:rsidRPr="00012D26" w14:paraId="322F2538" w14:textId="77777777" w:rsidTr="00012D26">
        <w:trPr>
          <w:tblCellSpacing w:w="15" w:type="dxa"/>
        </w:trPr>
        <w:tc>
          <w:tcPr>
            <w:tcW w:w="0" w:type="auto"/>
            <w:vAlign w:val="center"/>
            <w:hideMark/>
          </w:tcPr>
          <w:p w14:paraId="0679048A"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b/>
                <w:bCs/>
                <w:sz w:val="20"/>
                <w:szCs w:val="20"/>
              </w:rPr>
              <w:t>IT Services</w:t>
            </w:r>
          </w:p>
        </w:tc>
        <w:tc>
          <w:tcPr>
            <w:tcW w:w="0" w:type="auto"/>
            <w:vAlign w:val="center"/>
            <w:hideMark/>
          </w:tcPr>
          <w:p w14:paraId="6BAFDA2D"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−0.29%</w:t>
            </w:r>
          </w:p>
        </w:tc>
        <w:tc>
          <w:tcPr>
            <w:tcW w:w="0" w:type="auto"/>
            <w:vAlign w:val="center"/>
            <w:hideMark/>
          </w:tcPr>
          <w:p w14:paraId="5451EB74"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−0.67</w:t>
            </w:r>
          </w:p>
        </w:tc>
        <w:tc>
          <w:tcPr>
            <w:tcW w:w="0" w:type="auto"/>
            <w:vAlign w:val="center"/>
            <w:hideMark/>
          </w:tcPr>
          <w:p w14:paraId="65C2ABC3"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−0.58%</w:t>
            </w:r>
          </w:p>
        </w:tc>
        <w:tc>
          <w:tcPr>
            <w:tcW w:w="0" w:type="auto"/>
            <w:vAlign w:val="center"/>
            <w:hideMark/>
          </w:tcPr>
          <w:p w14:paraId="784443E2"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−0.94</w:t>
            </w:r>
          </w:p>
        </w:tc>
        <w:tc>
          <w:tcPr>
            <w:tcW w:w="0" w:type="auto"/>
            <w:vAlign w:val="center"/>
            <w:hideMark/>
          </w:tcPr>
          <w:p w14:paraId="6DED3274" w14:textId="77777777"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−0.92%</w:t>
            </w:r>
          </w:p>
        </w:tc>
        <w:tc>
          <w:tcPr>
            <w:tcW w:w="0" w:type="auto"/>
            <w:vAlign w:val="center"/>
            <w:hideMark/>
          </w:tcPr>
          <w:p w14:paraId="3FB587FF" w14:textId="7DD7F65B" w:rsidR="00012D26" w:rsidRPr="00012D26" w:rsidRDefault="00012D26" w:rsidP="008B0675">
            <w:pPr>
              <w:spacing w:after="0" w:line="240" w:lineRule="auto"/>
              <w:ind w:left="66"/>
              <w:jc w:val="both"/>
              <w:rPr>
                <w:rFonts w:ascii="Arial" w:hAnsi="Arial" w:cs="Arial"/>
                <w:sz w:val="20"/>
                <w:szCs w:val="20"/>
              </w:rPr>
            </w:pPr>
            <w:r w:rsidRPr="00012D26">
              <w:rPr>
                <w:rFonts w:ascii="Arial" w:hAnsi="Arial" w:cs="Arial"/>
                <w:sz w:val="20"/>
                <w:szCs w:val="20"/>
              </w:rPr>
              <w:t>−1.1</w:t>
            </w:r>
            <w:r w:rsidR="001D6853">
              <w:rPr>
                <w:rFonts w:ascii="Arial" w:hAnsi="Arial" w:cs="Arial"/>
                <w:sz w:val="20"/>
                <w:szCs w:val="20"/>
              </w:rPr>
              <w:t>8</w:t>
            </w:r>
          </w:p>
        </w:tc>
      </w:tr>
    </w:tbl>
    <w:p w14:paraId="442E8760" w14:textId="77777777" w:rsidR="00012D26" w:rsidRDefault="00012D26" w:rsidP="008B0675">
      <w:pPr>
        <w:spacing w:after="0" w:line="240" w:lineRule="auto"/>
        <w:ind w:left="66"/>
        <w:jc w:val="both"/>
        <w:rPr>
          <w:rFonts w:ascii="Arial" w:hAnsi="Arial" w:cs="Arial"/>
          <w:sz w:val="20"/>
          <w:szCs w:val="20"/>
        </w:rPr>
      </w:pPr>
    </w:p>
    <w:p w14:paraId="1DF218D4" w14:textId="3C56DB1D" w:rsidR="00012D26" w:rsidRDefault="00012D26" w:rsidP="008B0675">
      <w:pPr>
        <w:spacing w:after="0" w:line="240" w:lineRule="auto"/>
        <w:ind w:left="66"/>
        <w:jc w:val="both"/>
        <w:rPr>
          <w:rFonts w:ascii="Arial" w:hAnsi="Arial" w:cs="Arial"/>
          <w:b/>
          <w:bCs/>
          <w:sz w:val="20"/>
          <w:szCs w:val="20"/>
        </w:rPr>
      </w:pPr>
      <w:r w:rsidRPr="00012D26">
        <w:rPr>
          <w:rFonts w:ascii="Arial" w:hAnsi="Arial" w:cs="Arial"/>
          <w:b/>
          <w:bCs/>
          <w:sz w:val="20"/>
          <w:szCs w:val="20"/>
        </w:rPr>
        <w:t>Notes:</w:t>
      </w:r>
      <w:r w:rsidR="001D6853">
        <w:rPr>
          <w:rFonts w:ascii="Arial" w:hAnsi="Arial" w:cs="Arial"/>
          <w:b/>
          <w:bCs/>
          <w:sz w:val="20"/>
          <w:szCs w:val="20"/>
        </w:rPr>
        <w:t xml:space="preserve"> </w:t>
      </w:r>
      <w:r w:rsidRPr="00012D26">
        <w:rPr>
          <w:rFonts w:ascii="Arial" w:hAnsi="Arial" w:cs="Arial"/>
          <w:sz w:val="20"/>
          <w:szCs w:val="20"/>
        </w:rPr>
        <w:t xml:space="preserve">***, ** denote statistical significance at the </w:t>
      </w:r>
      <w:r w:rsidRPr="00012D26">
        <w:rPr>
          <w:rFonts w:ascii="Arial" w:hAnsi="Arial" w:cs="Arial"/>
          <w:b/>
          <w:bCs/>
          <w:sz w:val="20"/>
          <w:szCs w:val="20"/>
        </w:rPr>
        <w:t>1% and 5% levels</w:t>
      </w:r>
      <w:r w:rsidRPr="00012D26">
        <w:rPr>
          <w:rFonts w:ascii="Arial" w:hAnsi="Arial" w:cs="Arial"/>
          <w:sz w:val="20"/>
          <w:szCs w:val="20"/>
        </w:rPr>
        <w:t>, respectively.</w:t>
      </w:r>
    </w:p>
    <w:p w14:paraId="6461FDA1" w14:textId="77777777" w:rsidR="001D6853" w:rsidRPr="001D6853" w:rsidRDefault="001D6853" w:rsidP="008B0675">
      <w:pPr>
        <w:spacing w:after="0" w:line="240" w:lineRule="auto"/>
        <w:ind w:left="66"/>
        <w:jc w:val="both"/>
        <w:rPr>
          <w:rFonts w:ascii="Arial" w:hAnsi="Arial" w:cs="Arial"/>
          <w:b/>
          <w:bCs/>
          <w:sz w:val="20"/>
          <w:szCs w:val="20"/>
        </w:rPr>
      </w:pPr>
    </w:p>
    <w:p w14:paraId="4B3A9B72" w14:textId="1462660F"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The event study results reveal that US tariff announcements in 2025 generated statistically significant abnormal returns in the Indian stock market. As reported in Table 1, export-oriented sectors such as textiles, automobiles, and metals recorded negative cumulative abnormal returns (CARs) across all event windows. The magnitude of CARs increased with longer event windows, indicating persistence of market reaction beyond the immediate announcement period.</w:t>
      </w:r>
    </w:p>
    <w:p w14:paraId="226A53D6" w14:textId="7A27DD55" w:rsidR="00D72C45"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 xml:space="preserve">In contrast, </w:t>
      </w:r>
      <w:r w:rsidR="0009087B" w:rsidRPr="009F13DF">
        <w:rPr>
          <w:rFonts w:ascii="Arial" w:hAnsi="Arial" w:cs="Arial"/>
          <w:sz w:val="20"/>
          <w:szCs w:val="20"/>
        </w:rPr>
        <w:t xml:space="preserve">the </w:t>
      </w:r>
      <w:r w:rsidRPr="009F13DF">
        <w:rPr>
          <w:rFonts w:ascii="Arial" w:hAnsi="Arial" w:cs="Arial"/>
          <w:sz w:val="20"/>
          <w:szCs w:val="20"/>
        </w:rPr>
        <w:t>pharmaceutical and IT services sectors exhibited relatively smaller and statistically insignificant CARs across event windows, suggesting a limited direct impact of tariff announcements on these sectors.</w:t>
      </w:r>
    </w:p>
    <w:p w14:paraId="245923DE" w14:textId="77777777" w:rsidR="00012D26" w:rsidRPr="009F13DF" w:rsidRDefault="00012D26" w:rsidP="008B0675">
      <w:pPr>
        <w:spacing w:after="0" w:line="240" w:lineRule="auto"/>
        <w:ind w:left="66"/>
        <w:jc w:val="both"/>
        <w:rPr>
          <w:rFonts w:ascii="Arial" w:hAnsi="Arial" w:cs="Arial"/>
          <w:sz w:val="20"/>
          <w:szCs w:val="20"/>
        </w:rPr>
      </w:pPr>
    </w:p>
    <w:p w14:paraId="11EB8B6C" w14:textId="1866BA0E" w:rsidR="00D72C45" w:rsidRPr="0019022B" w:rsidRDefault="0019022B" w:rsidP="008B067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4.5. </w:t>
      </w:r>
      <w:r w:rsidR="00D72C45" w:rsidRPr="0019022B">
        <w:rPr>
          <w:rFonts w:ascii="Arial" w:hAnsi="Arial" w:cs="Arial"/>
          <w:b/>
          <w:bCs/>
          <w:sz w:val="20"/>
          <w:szCs w:val="20"/>
        </w:rPr>
        <w:t>Market Volatility: GARCH Results</w:t>
      </w:r>
    </w:p>
    <w:p w14:paraId="1332EAFC" w14:textId="77777777" w:rsidR="0019022B" w:rsidRDefault="0019022B" w:rsidP="008B0675">
      <w:pPr>
        <w:spacing w:after="0" w:line="240" w:lineRule="auto"/>
        <w:ind w:left="66"/>
        <w:jc w:val="both"/>
        <w:rPr>
          <w:rFonts w:ascii="Arial" w:hAnsi="Arial" w:cs="Arial"/>
          <w:sz w:val="20"/>
          <w:szCs w:val="20"/>
        </w:rPr>
      </w:pPr>
    </w:p>
    <w:p w14:paraId="6DAF9308" w14:textId="6B902045"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 xml:space="preserve">The </w:t>
      </w:r>
      <w:proofErr w:type="gramStart"/>
      <w:r w:rsidRPr="009F13DF">
        <w:rPr>
          <w:rFonts w:ascii="Arial" w:hAnsi="Arial" w:cs="Arial"/>
          <w:sz w:val="20"/>
          <w:szCs w:val="20"/>
        </w:rPr>
        <w:t>GARCH(</w:t>
      </w:r>
      <w:proofErr w:type="gramEnd"/>
      <w:r w:rsidRPr="009F13DF">
        <w:rPr>
          <w:rFonts w:ascii="Arial" w:hAnsi="Arial" w:cs="Arial"/>
          <w:sz w:val="20"/>
          <w:szCs w:val="20"/>
        </w:rPr>
        <w:t>1,1) estimation results for the Nifty 50 index are presented in Table 2. In the mean equation, the tariff announcement dummy variable is negative and statistically significant, indicating a decline in index returns during tariff announcement periods. The market return coefficient remains positive and significant, validating the market model specification.</w:t>
      </w:r>
    </w:p>
    <w:p w14:paraId="03A8983D" w14:textId="77777777" w:rsidR="00D72C45"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In the variance equation, the ARCH and GARCH parameters are positive and statistically significant, confirming volatility clustering and persistence. The tariff dummy variable in the variance equation is also positive and significant, indicating increased conditional volatility during tariff announcement periods.</w:t>
      </w:r>
    </w:p>
    <w:p w14:paraId="4C824711" w14:textId="0B9807FB" w:rsidR="00E520DC" w:rsidRPr="00651B33" w:rsidRDefault="00E520DC" w:rsidP="00651B33">
      <w:pPr>
        <w:spacing w:after="0" w:line="240" w:lineRule="auto"/>
        <w:ind w:left="66"/>
        <w:jc w:val="both"/>
        <w:rPr>
          <w:rFonts w:ascii="Arial" w:hAnsi="Arial" w:cs="Arial"/>
          <w:b/>
          <w:bCs/>
          <w:sz w:val="20"/>
          <w:szCs w:val="20"/>
        </w:rPr>
      </w:pPr>
      <w:r w:rsidRPr="00E520DC">
        <w:rPr>
          <w:rFonts w:ascii="Arial" w:hAnsi="Arial" w:cs="Arial"/>
          <w:b/>
          <w:bCs/>
          <w:sz w:val="20"/>
          <w:szCs w:val="20"/>
        </w:rPr>
        <w:t>Table 2</w:t>
      </w:r>
      <w:r w:rsidR="00651B33">
        <w:rPr>
          <w:rFonts w:ascii="Arial" w:hAnsi="Arial" w:cs="Arial"/>
          <w:b/>
          <w:bCs/>
          <w:sz w:val="20"/>
          <w:szCs w:val="20"/>
        </w:rPr>
        <w:t xml:space="preserve">. </w:t>
      </w:r>
      <w:proofErr w:type="gramStart"/>
      <w:r w:rsidRPr="00E520DC">
        <w:rPr>
          <w:rFonts w:ascii="Arial" w:hAnsi="Arial" w:cs="Arial"/>
          <w:sz w:val="20"/>
          <w:szCs w:val="20"/>
        </w:rPr>
        <w:t>GARCH</w:t>
      </w:r>
      <w:proofErr w:type="gramEnd"/>
      <w:r w:rsidRPr="00E520DC">
        <w:rPr>
          <w:rFonts w:ascii="Arial" w:hAnsi="Arial" w:cs="Arial"/>
          <w:sz w:val="20"/>
          <w:szCs w:val="20"/>
        </w:rPr>
        <w:t>(1,1) Estimation Results for Nifty 50 Index**</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20"/>
        <w:gridCol w:w="2122"/>
        <w:gridCol w:w="1974"/>
      </w:tblGrid>
      <w:tr w:rsidR="00E520DC" w:rsidRPr="00E520DC" w14:paraId="0B2102F8" w14:textId="77777777" w:rsidTr="00434971">
        <w:trPr>
          <w:tblHeader/>
          <w:tblCellSpacing w:w="15" w:type="dxa"/>
        </w:trPr>
        <w:tc>
          <w:tcPr>
            <w:tcW w:w="2704" w:type="pct"/>
            <w:vAlign w:val="center"/>
            <w:hideMark/>
          </w:tcPr>
          <w:p w14:paraId="3CED2BEC" w14:textId="77777777" w:rsidR="00E520DC" w:rsidRPr="00E520DC" w:rsidRDefault="00E520DC" w:rsidP="008B0675">
            <w:pPr>
              <w:spacing w:after="0" w:line="240" w:lineRule="auto"/>
              <w:ind w:left="66"/>
              <w:jc w:val="both"/>
              <w:rPr>
                <w:rFonts w:ascii="Arial" w:hAnsi="Arial" w:cs="Arial"/>
                <w:b/>
                <w:bCs/>
                <w:sz w:val="20"/>
                <w:szCs w:val="20"/>
              </w:rPr>
            </w:pPr>
            <w:r w:rsidRPr="00E520DC">
              <w:rPr>
                <w:rFonts w:ascii="Arial" w:hAnsi="Arial" w:cs="Arial"/>
                <w:b/>
                <w:bCs/>
                <w:sz w:val="20"/>
                <w:szCs w:val="20"/>
              </w:rPr>
              <w:t>Variables</w:t>
            </w:r>
          </w:p>
        </w:tc>
        <w:tc>
          <w:tcPr>
            <w:tcW w:w="1160" w:type="pct"/>
            <w:vAlign w:val="center"/>
            <w:hideMark/>
          </w:tcPr>
          <w:p w14:paraId="71BAC0EB" w14:textId="77777777" w:rsidR="00E520DC" w:rsidRPr="00E520DC" w:rsidRDefault="00E520DC" w:rsidP="008B0675">
            <w:pPr>
              <w:spacing w:after="0" w:line="240" w:lineRule="auto"/>
              <w:ind w:left="66"/>
              <w:jc w:val="both"/>
              <w:rPr>
                <w:rFonts w:ascii="Arial" w:hAnsi="Arial" w:cs="Arial"/>
                <w:b/>
                <w:bCs/>
                <w:sz w:val="20"/>
                <w:szCs w:val="20"/>
              </w:rPr>
            </w:pPr>
            <w:r w:rsidRPr="00E520DC">
              <w:rPr>
                <w:rFonts w:ascii="Arial" w:hAnsi="Arial" w:cs="Arial"/>
                <w:b/>
                <w:bCs/>
                <w:sz w:val="20"/>
                <w:szCs w:val="20"/>
              </w:rPr>
              <w:t>Coefficient</w:t>
            </w:r>
          </w:p>
        </w:tc>
        <w:tc>
          <w:tcPr>
            <w:tcW w:w="1070" w:type="pct"/>
            <w:vAlign w:val="center"/>
            <w:hideMark/>
          </w:tcPr>
          <w:p w14:paraId="2487DC74" w14:textId="77777777" w:rsidR="00E520DC" w:rsidRPr="00E520DC" w:rsidRDefault="00E520DC" w:rsidP="008B0675">
            <w:pPr>
              <w:spacing w:after="0" w:line="240" w:lineRule="auto"/>
              <w:ind w:left="66"/>
              <w:jc w:val="both"/>
              <w:rPr>
                <w:rFonts w:ascii="Arial" w:hAnsi="Arial" w:cs="Arial"/>
                <w:b/>
                <w:bCs/>
                <w:sz w:val="20"/>
                <w:szCs w:val="20"/>
              </w:rPr>
            </w:pPr>
            <w:r w:rsidRPr="00E520DC">
              <w:rPr>
                <w:rFonts w:ascii="Arial" w:hAnsi="Arial" w:cs="Arial"/>
                <w:b/>
                <w:bCs/>
                <w:sz w:val="20"/>
                <w:szCs w:val="20"/>
              </w:rPr>
              <w:t>z-Statistic</w:t>
            </w:r>
          </w:p>
        </w:tc>
      </w:tr>
      <w:tr w:rsidR="00E520DC" w:rsidRPr="00E520DC" w14:paraId="47FC577B" w14:textId="77777777" w:rsidTr="00434971">
        <w:trPr>
          <w:tblCellSpacing w:w="15" w:type="dxa"/>
        </w:trPr>
        <w:tc>
          <w:tcPr>
            <w:tcW w:w="2704" w:type="pct"/>
            <w:vAlign w:val="center"/>
            <w:hideMark/>
          </w:tcPr>
          <w:p w14:paraId="0C7B99BF"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b/>
                <w:bCs/>
                <w:sz w:val="20"/>
                <w:szCs w:val="20"/>
              </w:rPr>
              <w:t>Mean Equation</w:t>
            </w:r>
          </w:p>
        </w:tc>
        <w:tc>
          <w:tcPr>
            <w:tcW w:w="1160" w:type="pct"/>
            <w:vAlign w:val="center"/>
            <w:hideMark/>
          </w:tcPr>
          <w:p w14:paraId="7CC5E9F5" w14:textId="77777777" w:rsidR="00E520DC" w:rsidRPr="00E520DC" w:rsidRDefault="00E520DC" w:rsidP="008B0675">
            <w:pPr>
              <w:spacing w:after="0" w:line="240" w:lineRule="auto"/>
              <w:ind w:left="66"/>
              <w:jc w:val="both"/>
              <w:rPr>
                <w:rFonts w:ascii="Arial" w:hAnsi="Arial" w:cs="Arial"/>
                <w:sz w:val="20"/>
                <w:szCs w:val="20"/>
              </w:rPr>
            </w:pPr>
          </w:p>
        </w:tc>
        <w:tc>
          <w:tcPr>
            <w:tcW w:w="1070" w:type="pct"/>
            <w:vAlign w:val="center"/>
            <w:hideMark/>
          </w:tcPr>
          <w:p w14:paraId="4FAD5756" w14:textId="77777777" w:rsidR="00E520DC" w:rsidRPr="00E520DC" w:rsidRDefault="00E520DC" w:rsidP="008B0675">
            <w:pPr>
              <w:spacing w:after="0" w:line="240" w:lineRule="auto"/>
              <w:ind w:left="66"/>
              <w:jc w:val="both"/>
              <w:rPr>
                <w:rFonts w:ascii="Arial" w:hAnsi="Arial" w:cs="Arial"/>
                <w:sz w:val="20"/>
                <w:szCs w:val="20"/>
              </w:rPr>
            </w:pPr>
          </w:p>
        </w:tc>
      </w:tr>
      <w:tr w:rsidR="00E520DC" w:rsidRPr="00E520DC" w14:paraId="3CE1EFE4" w14:textId="77777777" w:rsidTr="00434971">
        <w:trPr>
          <w:tblCellSpacing w:w="15" w:type="dxa"/>
        </w:trPr>
        <w:tc>
          <w:tcPr>
            <w:tcW w:w="2704" w:type="pct"/>
            <w:vAlign w:val="center"/>
            <w:hideMark/>
          </w:tcPr>
          <w:p w14:paraId="36B4F056"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Constant</w:t>
            </w:r>
          </w:p>
        </w:tc>
        <w:tc>
          <w:tcPr>
            <w:tcW w:w="1160" w:type="pct"/>
            <w:vAlign w:val="center"/>
            <w:hideMark/>
          </w:tcPr>
          <w:p w14:paraId="5674E73C"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0.0009</w:t>
            </w:r>
          </w:p>
        </w:tc>
        <w:tc>
          <w:tcPr>
            <w:tcW w:w="1070" w:type="pct"/>
            <w:vAlign w:val="center"/>
            <w:hideMark/>
          </w:tcPr>
          <w:p w14:paraId="5DD7DA63"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2.25**</w:t>
            </w:r>
          </w:p>
        </w:tc>
      </w:tr>
      <w:tr w:rsidR="00E520DC" w:rsidRPr="00E520DC" w14:paraId="0575B341" w14:textId="77777777" w:rsidTr="00434971">
        <w:trPr>
          <w:tblCellSpacing w:w="15" w:type="dxa"/>
        </w:trPr>
        <w:tc>
          <w:tcPr>
            <w:tcW w:w="2704" w:type="pct"/>
            <w:vAlign w:val="center"/>
            <w:hideMark/>
          </w:tcPr>
          <w:p w14:paraId="42BCD532"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Market Return</w:t>
            </w:r>
          </w:p>
        </w:tc>
        <w:tc>
          <w:tcPr>
            <w:tcW w:w="1160" w:type="pct"/>
            <w:vAlign w:val="center"/>
            <w:hideMark/>
          </w:tcPr>
          <w:p w14:paraId="614BB10F"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0.8421</w:t>
            </w:r>
          </w:p>
        </w:tc>
        <w:tc>
          <w:tcPr>
            <w:tcW w:w="1070" w:type="pct"/>
            <w:vAlign w:val="center"/>
            <w:hideMark/>
          </w:tcPr>
          <w:p w14:paraId="2FD47ABF"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9.22***</w:t>
            </w:r>
          </w:p>
        </w:tc>
      </w:tr>
      <w:tr w:rsidR="00E520DC" w:rsidRPr="00E520DC" w14:paraId="257658F9" w14:textId="77777777" w:rsidTr="00434971">
        <w:trPr>
          <w:tblCellSpacing w:w="15" w:type="dxa"/>
        </w:trPr>
        <w:tc>
          <w:tcPr>
            <w:tcW w:w="2704" w:type="pct"/>
            <w:vAlign w:val="center"/>
            <w:hideMark/>
          </w:tcPr>
          <w:p w14:paraId="0F6A6B21"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Tariff Announcement Dummy</w:t>
            </w:r>
          </w:p>
        </w:tc>
        <w:tc>
          <w:tcPr>
            <w:tcW w:w="1160" w:type="pct"/>
            <w:vAlign w:val="center"/>
            <w:hideMark/>
          </w:tcPr>
          <w:p w14:paraId="009C9268"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−0.0036</w:t>
            </w:r>
          </w:p>
        </w:tc>
        <w:tc>
          <w:tcPr>
            <w:tcW w:w="1070" w:type="pct"/>
            <w:vAlign w:val="center"/>
            <w:hideMark/>
          </w:tcPr>
          <w:p w14:paraId="11A942DA"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−2.57**</w:t>
            </w:r>
          </w:p>
        </w:tc>
      </w:tr>
      <w:tr w:rsidR="00E520DC" w:rsidRPr="00E520DC" w14:paraId="47A290F0" w14:textId="77777777" w:rsidTr="00434971">
        <w:trPr>
          <w:tblCellSpacing w:w="15" w:type="dxa"/>
        </w:trPr>
        <w:tc>
          <w:tcPr>
            <w:tcW w:w="2704" w:type="pct"/>
            <w:vAlign w:val="center"/>
            <w:hideMark/>
          </w:tcPr>
          <w:p w14:paraId="381FBFF4"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b/>
                <w:bCs/>
                <w:sz w:val="20"/>
                <w:szCs w:val="20"/>
              </w:rPr>
              <w:t>Variance Equation</w:t>
            </w:r>
          </w:p>
        </w:tc>
        <w:tc>
          <w:tcPr>
            <w:tcW w:w="1160" w:type="pct"/>
            <w:vAlign w:val="center"/>
            <w:hideMark/>
          </w:tcPr>
          <w:p w14:paraId="3513B7E7" w14:textId="77777777" w:rsidR="00E520DC" w:rsidRPr="00E520DC" w:rsidRDefault="00E520DC" w:rsidP="008B0675">
            <w:pPr>
              <w:spacing w:after="0" w:line="240" w:lineRule="auto"/>
              <w:ind w:left="66"/>
              <w:jc w:val="both"/>
              <w:rPr>
                <w:rFonts w:ascii="Arial" w:hAnsi="Arial" w:cs="Arial"/>
                <w:sz w:val="20"/>
                <w:szCs w:val="20"/>
              </w:rPr>
            </w:pPr>
          </w:p>
        </w:tc>
        <w:tc>
          <w:tcPr>
            <w:tcW w:w="1070" w:type="pct"/>
            <w:vAlign w:val="center"/>
            <w:hideMark/>
          </w:tcPr>
          <w:p w14:paraId="5082DE9A" w14:textId="77777777" w:rsidR="00E520DC" w:rsidRPr="00E520DC" w:rsidRDefault="00E520DC" w:rsidP="008B0675">
            <w:pPr>
              <w:spacing w:after="0" w:line="240" w:lineRule="auto"/>
              <w:ind w:left="66"/>
              <w:jc w:val="both"/>
              <w:rPr>
                <w:rFonts w:ascii="Arial" w:hAnsi="Arial" w:cs="Arial"/>
                <w:sz w:val="20"/>
                <w:szCs w:val="20"/>
              </w:rPr>
            </w:pPr>
          </w:p>
        </w:tc>
      </w:tr>
      <w:tr w:rsidR="00E520DC" w:rsidRPr="00E520DC" w14:paraId="3F44DCED" w14:textId="77777777" w:rsidTr="00434971">
        <w:trPr>
          <w:tblCellSpacing w:w="15" w:type="dxa"/>
        </w:trPr>
        <w:tc>
          <w:tcPr>
            <w:tcW w:w="2704" w:type="pct"/>
            <w:vAlign w:val="center"/>
            <w:hideMark/>
          </w:tcPr>
          <w:p w14:paraId="429F1C9B"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ω (Constant)</w:t>
            </w:r>
          </w:p>
        </w:tc>
        <w:tc>
          <w:tcPr>
            <w:tcW w:w="1160" w:type="pct"/>
            <w:vAlign w:val="center"/>
            <w:hideMark/>
          </w:tcPr>
          <w:p w14:paraId="6D1942D8"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0.000011</w:t>
            </w:r>
          </w:p>
        </w:tc>
        <w:tc>
          <w:tcPr>
            <w:tcW w:w="1070" w:type="pct"/>
            <w:vAlign w:val="center"/>
            <w:hideMark/>
          </w:tcPr>
          <w:p w14:paraId="7D263ED1"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3.67***</w:t>
            </w:r>
          </w:p>
        </w:tc>
      </w:tr>
      <w:tr w:rsidR="00E520DC" w:rsidRPr="00E520DC" w14:paraId="52A03075" w14:textId="77777777" w:rsidTr="00434971">
        <w:trPr>
          <w:tblCellSpacing w:w="15" w:type="dxa"/>
        </w:trPr>
        <w:tc>
          <w:tcPr>
            <w:tcW w:w="2704" w:type="pct"/>
            <w:vAlign w:val="center"/>
            <w:hideMark/>
          </w:tcPr>
          <w:p w14:paraId="4FDC3375"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ARCH (α</w:t>
            </w:r>
            <w:r w:rsidRPr="00E520DC">
              <w:rPr>
                <w:rFonts w:ascii="Cambria Math" w:hAnsi="Cambria Math" w:cs="Cambria Math"/>
                <w:sz w:val="20"/>
                <w:szCs w:val="20"/>
              </w:rPr>
              <w:t>₁</w:t>
            </w:r>
            <w:r w:rsidRPr="00E520DC">
              <w:rPr>
                <w:rFonts w:ascii="Arial" w:hAnsi="Arial" w:cs="Arial"/>
                <w:sz w:val="20"/>
                <w:szCs w:val="20"/>
              </w:rPr>
              <w:t>)</w:t>
            </w:r>
          </w:p>
        </w:tc>
        <w:tc>
          <w:tcPr>
            <w:tcW w:w="1160" w:type="pct"/>
            <w:vAlign w:val="center"/>
            <w:hideMark/>
          </w:tcPr>
          <w:p w14:paraId="4DAEF4A8"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0.1764</w:t>
            </w:r>
          </w:p>
        </w:tc>
        <w:tc>
          <w:tcPr>
            <w:tcW w:w="1070" w:type="pct"/>
            <w:vAlign w:val="center"/>
            <w:hideMark/>
          </w:tcPr>
          <w:p w14:paraId="4BECB31D"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4.19***</w:t>
            </w:r>
          </w:p>
        </w:tc>
      </w:tr>
      <w:tr w:rsidR="00E520DC" w:rsidRPr="00E520DC" w14:paraId="5374A93D" w14:textId="77777777" w:rsidTr="00434971">
        <w:trPr>
          <w:tblCellSpacing w:w="15" w:type="dxa"/>
        </w:trPr>
        <w:tc>
          <w:tcPr>
            <w:tcW w:w="2704" w:type="pct"/>
            <w:vAlign w:val="center"/>
            <w:hideMark/>
          </w:tcPr>
          <w:p w14:paraId="666FD8EF"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GARCH (β</w:t>
            </w:r>
            <w:r w:rsidRPr="00E520DC">
              <w:rPr>
                <w:rFonts w:ascii="Cambria Math" w:hAnsi="Cambria Math" w:cs="Cambria Math"/>
                <w:sz w:val="20"/>
                <w:szCs w:val="20"/>
              </w:rPr>
              <w:t>₁</w:t>
            </w:r>
            <w:r w:rsidRPr="00E520DC">
              <w:rPr>
                <w:rFonts w:ascii="Arial" w:hAnsi="Arial" w:cs="Arial"/>
                <w:sz w:val="20"/>
                <w:szCs w:val="20"/>
              </w:rPr>
              <w:t>)</w:t>
            </w:r>
          </w:p>
        </w:tc>
        <w:tc>
          <w:tcPr>
            <w:tcW w:w="1160" w:type="pct"/>
            <w:vAlign w:val="center"/>
            <w:hideMark/>
          </w:tcPr>
          <w:p w14:paraId="6BE24042"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0.7819</w:t>
            </w:r>
          </w:p>
        </w:tc>
        <w:tc>
          <w:tcPr>
            <w:tcW w:w="1070" w:type="pct"/>
            <w:vAlign w:val="center"/>
            <w:hideMark/>
          </w:tcPr>
          <w:p w14:paraId="61C81258"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20.21***</w:t>
            </w:r>
          </w:p>
        </w:tc>
      </w:tr>
      <w:tr w:rsidR="00E520DC" w:rsidRPr="00E520DC" w14:paraId="5B09DF60" w14:textId="77777777" w:rsidTr="00434971">
        <w:trPr>
          <w:tblCellSpacing w:w="15" w:type="dxa"/>
        </w:trPr>
        <w:tc>
          <w:tcPr>
            <w:tcW w:w="2704" w:type="pct"/>
            <w:vAlign w:val="center"/>
            <w:hideMark/>
          </w:tcPr>
          <w:p w14:paraId="3D8D58E2"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Tariff Announcement Dummy</w:t>
            </w:r>
          </w:p>
        </w:tc>
        <w:tc>
          <w:tcPr>
            <w:tcW w:w="1160" w:type="pct"/>
            <w:vAlign w:val="center"/>
            <w:hideMark/>
          </w:tcPr>
          <w:p w14:paraId="7297BA21"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0.0926</w:t>
            </w:r>
          </w:p>
        </w:tc>
        <w:tc>
          <w:tcPr>
            <w:tcW w:w="1070" w:type="pct"/>
            <w:vAlign w:val="center"/>
            <w:hideMark/>
          </w:tcPr>
          <w:p w14:paraId="41CC70A2" w14:textId="77777777" w:rsidR="00E520DC" w:rsidRPr="00E520DC" w:rsidRDefault="00E520DC" w:rsidP="008B0675">
            <w:pPr>
              <w:spacing w:after="0" w:line="240" w:lineRule="auto"/>
              <w:ind w:left="66"/>
              <w:jc w:val="both"/>
              <w:rPr>
                <w:rFonts w:ascii="Arial" w:hAnsi="Arial" w:cs="Arial"/>
                <w:sz w:val="20"/>
                <w:szCs w:val="20"/>
              </w:rPr>
            </w:pPr>
            <w:r w:rsidRPr="00E520DC">
              <w:rPr>
                <w:rFonts w:ascii="Arial" w:hAnsi="Arial" w:cs="Arial"/>
                <w:sz w:val="20"/>
                <w:szCs w:val="20"/>
              </w:rPr>
              <w:t>3.32***</w:t>
            </w:r>
          </w:p>
        </w:tc>
      </w:tr>
    </w:tbl>
    <w:p w14:paraId="4D8EEA40" w14:textId="77777777" w:rsidR="00E520DC" w:rsidRDefault="00E520DC" w:rsidP="008B0675">
      <w:pPr>
        <w:spacing w:after="0" w:line="240" w:lineRule="auto"/>
        <w:ind w:left="66"/>
        <w:jc w:val="both"/>
        <w:rPr>
          <w:rFonts w:ascii="Arial" w:hAnsi="Arial" w:cs="Arial"/>
          <w:sz w:val="20"/>
          <w:szCs w:val="20"/>
        </w:rPr>
      </w:pPr>
    </w:p>
    <w:p w14:paraId="39C8ACDA" w14:textId="77777777" w:rsidR="0019022B" w:rsidRPr="009F13DF" w:rsidRDefault="0019022B" w:rsidP="008B0675">
      <w:pPr>
        <w:spacing w:after="0" w:line="240" w:lineRule="auto"/>
        <w:ind w:left="66"/>
        <w:jc w:val="both"/>
        <w:rPr>
          <w:rFonts w:ascii="Arial" w:hAnsi="Arial" w:cs="Arial"/>
          <w:sz w:val="20"/>
          <w:szCs w:val="20"/>
        </w:rPr>
      </w:pPr>
    </w:p>
    <w:p w14:paraId="7105A155" w14:textId="00D46940" w:rsidR="00D72C45" w:rsidRPr="0019022B" w:rsidRDefault="0019022B" w:rsidP="008B067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4.6. </w:t>
      </w:r>
      <w:r w:rsidR="00D72C45" w:rsidRPr="0019022B">
        <w:rPr>
          <w:rFonts w:ascii="Arial" w:hAnsi="Arial" w:cs="Arial"/>
          <w:b/>
          <w:bCs/>
          <w:sz w:val="20"/>
          <w:szCs w:val="20"/>
        </w:rPr>
        <w:t>Sector-Wise Volatility Effects</w:t>
      </w:r>
    </w:p>
    <w:p w14:paraId="15CF48B8" w14:textId="77777777" w:rsidR="0019022B" w:rsidRDefault="0019022B" w:rsidP="008B0675">
      <w:pPr>
        <w:spacing w:after="0" w:line="240" w:lineRule="auto"/>
        <w:ind w:left="66"/>
        <w:jc w:val="both"/>
        <w:rPr>
          <w:rFonts w:ascii="Arial" w:hAnsi="Arial" w:cs="Arial"/>
          <w:sz w:val="20"/>
          <w:szCs w:val="20"/>
        </w:rPr>
      </w:pPr>
    </w:p>
    <w:p w14:paraId="4564BB8E" w14:textId="534C1000"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 xml:space="preserve">Sector-wise GARCH estimates reported in Table 3 show that textiles, automobiles, and metals experienced a significant rise in conditional volatility during </w:t>
      </w:r>
      <w:r w:rsidR="0019022B">
        <w:rPr>
          <w:rFonts w:ascii="Arial" w:hAnsi="Arial" w:cs="Arial"/>
          <w:sz w:val="20"/>
          <w:szCs w:val="20"/>
        </w:rPr>
        <w:t xml:space="preserve">US </w:t>
      </w:r>
      <w:r w:rsidRPr="009F13DF">
        <w:rPr>
          <w:rFonts w:ascii="Arial" w:hAnsi="Arial" w:cs="Arial"/>
          <w:sz w:val="20"/>
          <w:szCs w:val="20"/>
        </w:rPr>
        <w:t>tariff announcement periods. Pharmaceuticals and IT services, however, did not exhibit statistically significant volatility responses.</w:t>
      </w:r>
    </w:p>
    <w:p w14:paraId="59123577" w14:textId="77777777" w:rsidR="00A42D32" w:rsidRPr="00A42D32" w:rsidRDefault="00A42D32" w:rsidP="008B0675">
      <w:pPr>
        <w:spacing w:after="0" w:line="240" w:lineRule="auto"/>
        <w:ind w:left="66"/>
        <w:jc w:val="both"/>
        <w:rPr>
          <w:rFonts w:ascii="Arial" w:hAnsi="Arial" w:cs="Arial"/>
          <w:b/>
          <w:bCs/>
          <w:sz w:val="20"/>
          <w:szCs w:val="20"/>
        </w:rPr>
      </w:pPr>
      <w:bookmarkStart w:id="0" w:name="_GoBack"/>
      <w:r w:rsidRPr="00A42D32">
        <w:rPr>
          <w:rFonts w:ascii="Arial" w:hAnsi="Arial" w:cs="Arial"/>
          <w:b/>
          <w:bCs/>
          <w:sz w:val="20"/>
          <w:szCs w:val="20"/>
        </w:rPr>
        <w:t>Table</w:t>
      </w:r>
      <w:bookmarkEnd w:id="0"/>
      <w:r w:rsidRPr="00A42D32">
        <w:rPr>
          <w:rFonts w:ascii="Arial" w:hAnsi="Arial" w:cs="Arial"/>
          <w:b/>
          <w:bCs/>
          <w:sz w:val="20"/>
          <w:szCs w:val="20"/>
        </w:rPr>
        <w:t xml:space="preserve"> 3: Maximum Likelihood Estimates of </w:t>
      </w:r>
      <w:proofErr w:type="gramStart"/>
      <w:r w:rsidRPr="00A42D32">
        <w:rPr>
          <w:rFonts w:ascii="Arial" w:hAnsi="Arial" w:cs="Arial"/>
          <w:b/>
          <w:bCs/>
          <w:sz w:val="20"/>
          <w:szCs w:val="20"/>
        </w:rPr>
        <w:t>GARCH(</w:t>
      </w:r>
      <w:proofErr w:type="gramEnd"/>
      <w:r w:rsidRPr="00A42D32">
        <w:rPr>
          <w:rFonts w:ascii="Arial" w:hAnsi="Arial" w:cs="Arial"/>
          <w:b/>
          <w:bCs/>
          <w:sz w:val="20"/>
          <w:szCs w:val="20"/>
        </w:rPr>
        <w:t>1,1) Model</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7"/>
        <w:gridCol w:w="1469"/>
        <w:gridCol w:w="1191"/>
        <w:gridCol w:w="1379"/>
        <w:gridCol w:w="1064"/>
        <w:gridCol w:w="1926"/>
      </w:tblGrid>
      <w:tr w:rsidR="00A42D32" w:rsidRPr="00A42D32" w14:paraId="3873887B" w14:textId="77777777" w:rsidTr="006935AA">
        <w:trPr>
          <w:tblHeader/>
          <w:tblCellSpacing w:w="15" w:type="dxa"/>
        </w:trPr>
        <w:tc>
          <w:tcPr>
            <w:tcW w:w="1071" w:type="pct"/>
            <w:vAlign w:val="center"/>
            <w:hideMark/>
          </w:tcPr>
          <w:p w14:paraId="2A99FEC2" w14:textId="77777777" w:rsidR="00A42D32" w:rsidRPr="00A42D32" w:rsidRDefault="00A42D32" w:rsidP="008B0675">
            <w:pPr>
              <w:spacing w:after="0" w:line="240" w:lineRule="auto"/>
              <w:ind w:left="66"/>
              <w:jc w:val="both"/>
              <w:rPr>
                <w:rFonts w:ascii="Arial" w:hAnsi="Arial" w:cs="Arial"/>
                <w:b/>
                <w:bCs/>
                <w:sz w:val="20"/>
                <w:szCs w:val="20"/>
              </w:rPr>
            </w:pPr>
            <w:r w:rsidRPr="00A42D32">
              <w:rPr>
                <w:rFonts w:ascii="Arial" w:hAnsi="Arial" w:cs="Arial"/>
                <w:b/>
                <w:bCs/>
                <w:sz w:val="20"/>
                <w:szCs w:val="20"/>
              </w:rPr>
              <w:t>Sector</w:t>
            </w:r>
          </w:p>
        </w:tc>
        <w:tc>
          <w:tcPr>
            <w:tcW w:w="794" w:type="pct"/>
            <w:vAlign w:val="center"/>
            <w:hideMark/>
          </w:tcPr>
          <w:p w14:paraId="70CF1ADC" w14:textId="77777777" w:rsidR="00A42D32" w:rsidRPr="00A42D32" w:rsidRDefault="00A42D32" w:rsidP="008B0675">
            <w:pPr>
              <w:spacing w:after="0" w:line="240" w:lineRule="auto"/>
              <w:ind w:left="66"/>
              <w:jc w:val="both"/>
              <w:rPr>
                <w:rFonts w:ascii="Arial" w:hAnsi="Arial" w:cs="Arial"/>
                <w:b/>
                <w:bCs/>
                <w:sz w:val="20"/>
                <w:szCs w:val="20"/>
              </w:rPr>
            </w:pPr>
            <w:r w:rsidRPr="00A42D32">
              <w:rPr>
                <w:rFonts w:ascii="Arial" w:hAnsi="Arial" w:cs="Arial"/>
                <w:b/>
                <w:bCs/>
                <w:sz w:val="20"/>
                <w:szCs w:val="20"/>
              </w:rPr>
              <w:t>Mean Coef.</w:t>
            </w:r>
          </w:p>
        </w:tc>
        <w:tc>
          <w:tcPr>
            <w:tcW w:w="641" w:type="pct"/>
            <w:vAlign w:val="center"/>
            <w:hideMark/>
          </w:tcPr>
          <w:p w14:paraId="54466793" w14:textId="77777777" w:rsidR="00A42D32" w:rsidRPr="00A42D32" w:rsidRDefault="00A42D32" w:rsidP="008B0675">
            <w:pPr>
              <w:spacing w:after="0" w:line="240" w:lineRule="auto"/>
              <w:ind w:left="66"/>
              <w:jc w:val="both"/>
              <w:rPr>
                <w:rFonts w:ascii="Arial" w:hAnsi="Arial" w:cs="Arial"/>
                <w:b/>
                <w:bCs/>
                <w:sz w:val="20"/>
                <w:szCs w:val="20"/>
              </w:rPr>
            </w:pPr>
            <w:r w:rsidRPr="00A42D32">
              <w:rPr>
                <w:rFonts w:ascii="Arial" w:hAnsi="Arial" w:cs="Arial"/>
                <w:b/>
                <w:bCs/>
                <w:sz w:val="20"/>
                <w:szCs w:val="20"/>
              </w:rPr>
              <w:t>ARCH α</w:t>
            </w:r>
            <w:r w:rsidRPr="00A42D32">
              <w:rPr>
                <w:rFonts w:ascii="Cambria Math" w:hAnsi="Cambria Math" w:cs="Cambria Math"/>
                <w:b/>
                <w:bCs/>
                <w:sz w:val="20"/>
                <w:szCs w:val="20"/>
              </w:rPr>
              <w:t>₁</w:t>
            </w:r>
          </w:p>
        </w:tc>
        <w:tc>
          <w:tcPr>
            <w:tcW w:w="745" w:type="pct"/>
            <w:vAlign w:val="center"/>
            <w:hideMark/>
          </w:tcPr>
          <w:p w14:paraId="2C0063C5" w14:textId="77777777" w:rsidR="00A42D32" w:rsidRPr="00A42D32" w:rsidRDefault="00A42D32" w:rsidP="008B0675">
            <w:pPr>
              <w:spacing w:after="0" w:line="240" w:lineRule="auto"/>
              <w:ind w:left="66"/>
              <w:jc w:val="both"/>
              <w:rPr>
                <w:rFonts w:ascii="Arial" w:hAnsi="Arial" w:cs="Arial"/>
                <w:b/>
                <w:bCs/>
                <w:sz w:val="20"/>
                <w:szCs w:val="20"/>
              </w:rPr>
            </w:pPr>
            <w:r w:rsidRPr="00A42D32">
              <w:rPr>
                <w:rFonts w:ascii="Arial" w:hAnsi="Arial" w:cs="Arial"/>
                <w:b/>
                <w:bCs/>
                <w:sz w:val="20"/>
                <w:szCs w:val="20"/>
              </w:rPr>
              <w:t>GARCH β</w:t>
            </w:r>
            <w:r w:rsidRPr="00A42D32">
              <w:rPr>
                <w:rFonts w:ascii="Cambria Math" w:hAnsi="Cambria Math" w:cs="Cambria Math"/>
                <w:b/>
                <w:bCs/>
                <w:sz w:val="20"/>
                <w:szCs w:val="20"/>
              </w:rPr>
              <w:t>₁</w:t>
            </w:r>
          </w:p>
        </w:tc>
        <w:tc>
          <w:tcPr>
            <w:tcW w:w="571" w:type="pct"/>
            <w:vAlign w:val="center"/>
            <w:hideMark/>
          </w:tcPr>
          <w:p w14:paraId="26004F97" w14:textId="77777777" w:rsidR="00A42D32" w:rsidRPr="00A42D32" w:rsidRDefault="00A42D32" w:rsidP="008B0675">
            <w:pPr>
              <w:spacing w:after="0" w:line="240" w:lineRule="auto"/>
              <w:ind w:left="66"/>
              <w:jc w:val="both"/>
              <w:rPr>
                <w:rFonts w:ascii="Arial" w:hAnsi="Arial" w:cs="Arial"/>
                <w:b/>
                <w:bCs/>
                <w:sz w:val="20"/>
                <w:szCs w:val="20"/>
              </w:rPr>
            </w:pPr>
            <w:r w:rsidRPr="00A42D32">
              <w:rPr>
                <w:rFonts w:ascii="Arial" w:hAnsi="Arial" w:cs="Arial"/>
                <w:b/>
                <w:bCs/>
                <w:sz w:val="20"/>
                <w:szCs w:val="20"/>
              </w:rPr>
              <w:t>Wald χ²</w:t>
            </w:r>
          </w:p>
        </w:tc>
        <w:tc>
          <w:tcPr>
            <w:tcW w:w="1038" w:type="pct"/>
            <w:vAlign w:val="center"/>
            <w:hideMark/>
          </w:tcPr>
          <w:p w14:paraId="74FA1138" w14:textId="77777777" w:rsidR="00A42D32" w:rsidRPr="00A42D32" w:rsidRDefault="00A42D32" w:rsidP="008B0675">
            <w:pPr>
              <w:spacing w:after="0" w:line="240" w:lineRule="auto"/>
              <w:ind w:left="66"/>
              <w:jc w:val="both"/>
              <w:rPr>
                <w:rFonts w:ascii="Arial" w:hAnsi="Arial" w:cs="Arial"/>
                <w:b/>
                <w:bCs/>
                <w:sz w:val="20"/>
                <w:szCs w:val="20"/>
              </w:rPr>
            </w:pPr>
            <w:r w:rsidRPr="00A42D32">
              <w:rPr>
                <w:rFonts w:ascii="Arial" w:hAnsi="Arial" w:cs="Arial"/>
                <w:b/>
                <w:bCs/>
                <w:sz w:val="20"/>
                <w:szCs w:val="20"/>
              </w:rPr>
              <w:t>Volatility Effect</w:t>
            </w:r>
          </w:p>
        </w:tc>
      </w:tr>
      <w:tr w:rsidR="00A42D32" w:rsidRPr="00A42D32" w14:paraId="53161681" w14:textId="77777777" w:rsidTr="006935AA">
        <w:trPr>
          <w:tblCellSpacing w:w="15" w:type="dxa"/>
        </w:trPr>
        <w:tc>
          <w:tcPr>
            <w:tcW w:w="1071" w:type="pct"/>
            <w:vAlign w:val="center"/>
            <w:hideMark/>
          </w:tcPr>
          <w:p w14:paraId="4347A954"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Textiles</w:t>
            </w:r>
          </w:p>
        </w:tc>
        <w:tc>
          <w:tcPr>
            <w:tcW w:w="794" w:type="pct"/>
            <w:vAlign w:val="center"/>
            <w:hideMark/>
          </w:tcPr>
          <w:p w14:paraId="2F37E2C5"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0.0008**</w:t>
            </w:r>
          </w:p>
        </w:tc>
        <w:tc>
          <w:tcPr>
            <w:tcW w:w="641" w:type="pct"/>
            <w:vAlign w:val="center"/>
            <w:hideMark/>
          </w:tcPr>
          <w:p w14:paraId="0E035E96"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0.184***</w:t>
            </w:r>
          </w:p>
        </w:tc>
        <w:tc>
          <w:tcPr>
            <w:tcW w:w="745" w:type="pct"/>
            <w:vAlign w:val="center"/>
            <w:hideMark/>
          </w:tcPr>
          <w:p w14:paraId="32504AC1"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0.761***</w:t>
            </w:r>
          </w:p>
        </w:tc>
        <w:tc>
          <w:tcPr>
            <w:tcW w:w="571" w:type="pct"/>
            <w:vAlign w:val="center"/>
            <w:hideMark/>
          </w:tcPr>
          <w:p w14:paraId="4D5092AC"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128.4***</w:t>
            </w:r>
          </w:p>
        </w:tc>
        <w:tc>
          <w:tcPr>
            <w:tcW w:w="1038" w:type="pct"/>
            <w:vAlign w:val="center"/>
            <w:hideMark/>
          </w:tcPr>
          <w:p w14:paraId="2717B20B"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7B24C9B0" w14:textId="77777777" w:rsidTr="006935AA">
        <w:trPr>
          <w:tblCellSpacing w:w="15" w:type="dxa"/>
        </w:trPr>
        <w:tc>
          <w:tcPr>
            <w:tcW w:w="1071" w:type="pct"/>
            <w:vAlign w:val="center"/>
            <w:hideMark/>
          </w:tcPr>
          <w:p w14:paraId="116A29C9"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Automobiles</w:t>
            </w:r>
          </w:p>
        </w:tc>
        <w:tc>
          <w:tcPr>
            <w:tcW w:w="794" w:type="pct"/>
            <w:vAlign w:val="center"/>
            <w:hideMark/>
          </w:tcPr>
          <w:p w14:paraId="30D1AC1C"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0.0011**</w:t>
            </w:r>
          </w:p>
        </w:tc>
        <w:tc>
          <w:tcPr>
            <w:tcW w:w="641" w:type="pct"/>
            <w:vAlign w:val="center"/>
            <w:hideMark/>
          </w:tcPr>
          <w:p w14:paraId="76C46877"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0.201***</w:t>
            </w:r>
          </w:p>
        </w:tc>
        <w:tc>
          <w:tcPr>
            <w:tcW w:w="745" w:type="pct"/>
            <w:vAlign w:val="center"/>
            <w:hideMark/>
          </w:tcPr>
          <w:p w14:paraId="67E88335"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0.732***</w:t>
            </w:r>
          </w:p>
        </w:tc>
        <w:tc>
          <w:tcPr>
            <w:tcW w:w="571" w:type="pct"/>
            <w:vAlign w:val="center"/>
            <w:hideMark/>
          </w:tcPr>
          <w:p w14:paraId="5DFE6A55"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136.9***</w:t>
            </w:r>
          </w:p>
        </w:tc>
        <w:tc>
          <w:tcPr>
            <w:tcW w:w="1038" w:type="pct"/>
            <w:vAlign w:val="center"/>
            <w:hideMark/>
          </w:tcPr>
          <w:p w14:paraId="0442362B"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37D8DC81" w14:textId="77777777" w:rsidTr="006935AA">
        <w:trPr>
          <w:tblCellSpacing w:w="15" w:type="dxa"/>
        </w:trPr>
        <w:tc>
          <w:tcPr>
            <w:tcW w:w="1071" w:type="pct"/>
            <w:vAlign w:val="center"/>
            <w:hideMark/>
          </w:tcPr>
          <w:p w14:paraId="4D5A5C5F"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lastRenderedPageBreak/>
              <w:t>Metals</w:t>
            </w:r>
          </w:p>
        </w:tc>
        <w:tc>
          <w:tcPr>
            <w:tcW w:w="794" w:type="pct"/>
            <w:vAlign w:val="center"/>
            <w:hideMark/>
          </w:tcPr>
          <w:p w14:paraId="1E969709"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0.0014**</w:t>
            </w:r>
          </w:p>
        </w:tc>
        <w:tc>
          <w:tcPr>
            <w:tcW w:w="641" w:type="pct"/>
            <w:vAlign w:val="center"/>
            <w:hideMark/>
          </w:tcPr>
          <w:p w14:paraId="122CE4AD"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0.223***</w:t>
            </w:r>
          </w:p>
        </w:tc>
        <w:tc>
          <w:tcPr>
            <w:tcW w:w="745" w:type="pct"/>
            <w:vAlign w:val="center"/>
            <w:hideMark/>
          </w:tcPr>
          <w:p w14:paraId="5F4D815C"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0.709***</w:t>
            </w:r>
          </w:p>
        </w:tc>
        <w:tc>
          <w:tcPr>
            <w:tcW w:w="571" w:type="pct"/>
            <w:vAlign w:val="center"/>
            <w:hideMark/>
          </w:tcPr>
          <w:p w14:paraId="3B688F52"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142.6***</w:t>
            </w:r>
          </w:p>
        </w:tc>
        <w:tc>
          <w:tcPr>
            <w:tcW w:w="1038" w:type="pct"/>
            <w:vAlign w:val="center"/>
            <w:hideMark/>
          </w:tcPr>
          <w:p w14:paraId="354F2205"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Significant ↑</w:t>
            </w:r>
          </w:p>
        </w:tc>
      </w:tr>
      <w:tr w:rsidR="00A42D32" w:rsidRPr="00A42D32" w14:paraId="040148F4" w14:textId="77777777" w:rsidTr="006935AA">
        <w:trPr>
          <w:tblCellSpacing w:w="15" w:type="dxa"/>
        </w:trPr>
        <w:tc>
          <w:tcPr>
            <w:tcW w:w="1071" w:type="pct"/>
            <w:vAlign w:val="center"/>
            <w:hideMark/>
          </w:tcPr>
          <w:p w14:paraId="15900DAB"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Pharmaceuticals</w:t>
            </w:r>
          </w:p>
        </w:tc>
        <w:tc>
          <w:tcPr>
            <w:tcW w:w="794" w:type="pct"/>
            <w:vAlign w:val="center"/>
            <w:hideMark/>
          </w:tcPr>
          <w:p w14:paraId="52691390"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0.0006</w:t>
            </w:r>
          </w:p>
        </w:tc>
        <w:tc>
          <w:tcPr>
            <w:tcW w:w="641" w:type="pct"/>
            <w:vAlign w:val="center"/>
            <w:hideMark/>
          </w:tcPr>
          <w:p w14:paraId="24206F3B"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0.062</w:t>
            </w:r>
          </w:p>
        </w:tc>
        <w:tc>
          <w:tcPr>
            <w:tcW w:w="745" w:type="pct"/>
            <w:vAlign w:val="center"/>
            <w:hideMark/>
          </w:tcPr>
          <w:p w14:paraId="0B57DDD7"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0.881***</w:t>
            </w:r>
          </w:p>
        </w:tc>
        <w:tc>
          <w:tcPr>
            <w:tcW w:w="571" w:type="pct"/>
            <w:vAlign w:val="center"/>
            <w:hideMark/>
          </w:tcPr>
          <w:p w14:paraId="44E62572"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91.3</w:t>
            </w:r>
          </w:p>
        </w:tc>
        <w:tc>
          <w:tcPr>
            <w:tcW w:w="1038" w:type="pct"/>
            <w:vAlign w:val="center"/>
            <w:hideMark/>
          </w:tcPr>
          <w:p w14:paraId="4C3763ED"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Not Significant</w:t>
            </w:r>
          </w:p>
        </w:tc>
      </w:tr>
      <w:tr w:rsidR="00A42D32" w:rsidRPr="00A42D32" w14:paraId="1576217A" w14:textId="77777777" w:rsidTr="006935AA">
        <w:trPr>
          <w:tblCellSpacing w:w="15" w:type="dxa"/>
        </w:trPr>
        <w:tc>
          <w:tcPr>
            <w:tcW w:w="1071" w:type="pct"/>
            <w:vAlign w:val="center"/>
            <w:hideMark/>
          </w:tcPr>
          <w:p w14:paraId="4058618D"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IT Services</w:t>
            </w:r>
          </w:p>
        </w:tc>
        <w:tc>
          <w:tcPr>
            <w:tcW w:w="794" w:type="pct"/>
            <w:vAlign w:val="center"/>
            <w:hideMark/>
          </w:tcPr>
          <w:p w14:paraId="19A33ECF"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0.0007</w:t>
            </w:r>
          </w:p>
        </w:tc>
        <w:tc>
          <w:tcPr>
            <w:tcW w:w="641" w:type="pct"/>
            <w:vAlign w:val="center"/>
            <w:hideMark/>
          </w:tcPr>
          <w:p w14:paraId="26AD43D9"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0.054</w:t>
            </w:r>
          </w:p>
        </w:tc>
        <w:tc>
          <w:tcPr>
            <w:tcW w:w="745" w:type="pct"/>
            <w:vAlign w:val="center"/>
            <w:hideMark/>
          </w:tcPr>
          <w:p w14:paraId="60109B98"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0.892***</w:t>
            </w:r>
          </w:p>
        </w:tc>
        <w:tc>
          <w:tcPr>
            <w:tcW w:w="571" w:type="pct"/>
            <w:vAlign w:val="center"/>
            <w:hideMark/>
          </w:tcPr>
          <w:p w14:paraId="782E0629"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94.7</w:t>
            </w:r>
          </w:p>
        </w:tc>
        <w:tc>
          <w:tcPr>
            <w:tcW w:w="1038" w:type="pct"/>
            <w:vAlign w:val="center"/>
            <w:hideMark/>
          </w:tcPr>
          <w:p w14:paraId="18AF3AF9" w14:textId="77777777"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Not Significant</w:t>
            </w:r>
          </w:p>
        </w:tc>
      </w:tr>
    </w:tbl>
    <w:p w14:paraId="04ECC4AD" w14:textId="77777777" w:rsidR="00A42D32" w:rsidRDefault="00A42D32" w:rsidP="008B0675">
      <w:pPr>
        <w:spacing w:after="0" w:line="240" w:lineRule="auto"/>
        <w:ind w:left="66"/>
        <w:jc w:val="both"/>
        <w:rPr>
          <w:rFonts w:ascii="Arial" w:hAnsi="Arial" w:cs="Arial"/>
          <w:sz w:val="20"/>
          <w:szCs w:val="20"/>
        </w:rPr>
      </w:pPr>
    </w:p>
    <w:p w14:paraId="3C69EBB0" w14:textId="628434DC" w:rsidR="00A42D32" w:rsidRPr="00A42D32" w:rsidRDefault="00A42D32" w:rsidP="008B0675">
      <w:pPr>
        <w:spacing w:after="0" w:line="240" w:lineRule="auto"/>
        <w:ind w:left="66"/>
        <w:jc w:val="both"/>
        <w:rPr>
          <w:rFonts w:ascii="Arial" w:hAnsi="Arial" w:cs="Arial"/>
          <w:sz w:val="20"/>
          <w:szCs w:val="20"/>
        </w:rPr>
      </w:pPr>
      <w:r w:rsidRPr="00A42D32">
        <w:rPr>
          <w:rFonts w:ascii="Arial" w:hAnsi="Arial" w:cs="Arial"/>
          <w:sz w:val="20"/>
          <w:szCs w:val="20"/>
        </w:rPr>
        <w:t>Significance Levels</w:t>
      </w:r>
    </w:p>
    <w:p w14:paraId="4683A092" w14:textId="77777777" w:rsidR="00A42D32" w:rsidRPr="00A42D32" w:rsidRDefault="00A42D32" w:rsidP="008B0675">
      <w:pPr>
        <w:numPr>
          <w:ilvl w:val="0"/>
          <w:numId w:val="12"/>
        </w:numPr>
        <w:spacing w:after="0" w:line="240" w:lineRule="auto"/>
        <w:jc w:val="both"/>
        <w:rPr>
          <w:rFonts w:ascii="Arial" w:hAnsi="Arial" w:cs="Arial"/>
          <w:sz w:val="20"/>
          <w:szCs w:val="20"/>
        </w:rPr>
      </w:pPr>
      <w:r w:rsidRPr="00A42D32">
        <w:rPr>
          <w:rFonts w:ascii="Arial" w:hAnsi="Arial" w:cs="Arial"/>
          <w:sz w:val="20"/>
          <w:szCs w:val="20"/>
        </w:rPr>
        <w:t>*** p &lt; 0.01</w:t>
      </w:r>
    </w:p>
    <w:p w14:paraId="7665C37E" w14:textId="77777777" w:rsidR="00A42D32" w:rsidRDefault="00A42D32" w:rsidP="008B0675">
      <w:pPr>
        <w:numPr>
          <w:ilvl w:val="0"/>
          <w:numId w:val="12"/>
        </w:numPr>
        <w:spacing w:after="0" w:line="240" w:lineRule="auto"/>
        <w:jc w:val="both"/>
        <w:rPr>
          <w:rFonts w:ascii="Arial" w:hAnsi="Arial" w:cs="Arial"/>
          <w:sz w:val="20"/>
          <w:szCs w:val="20"/>
        </w:rPr>
      </w:pPr>
      <w:r w:rsidRPr="00A42D32">
        <w:rPr>
          <w:rFonts w:ascii="Arial" w:hAnsi="Arial" w:cs="Arial"/>
          <w:sz w:val="20"/>
          <w:szCs w:val="20"/>
        </w:rPr>
        <w:t>** p &lt; 0.05</w:t>
      </w:r>
    </w:p>
    <w:p w14:paraId="1D204494" w14:textId="48E9EB69" w:rsidR="00A42D32" w:rsidRPr="00A42D32" w:rsidRDefault="00C60F5B" w:rsidP="008B0675">
      <w:pPr>
        <w:numPr>
          <w:ilvl w:val="0"/>
          <w:numId w:val="12"/>
        </w:numPr>
        <w:spacing w:after="0" w:line="240" w:lineRule="auto"/>
        <w:jc w:val="both"/>
        <w:rPr>
          <w:rFonts w:ascii="Arial" w:hAnsi="Arial" w:cs="Arial"/>
          <w:sz w:val="20"/>
          <w:szCs w:val="20"/>
        </w:rPr>
      </w:pPr>
      <w:r>
        <w:rPr>
          <w:rFonts w:ascii="Arial" w:hAnsi="Arial" w:cs="Arial"/>
          <w:sz w:val="20"/>
          <w:szCs w:val="20"/>
        </w:rPr>
        <w:t xml:space="preserve"> </w:t>
      </w:r>
      <w:r w:rsidR="00A42D32" w:rsidRPr="00A42D32">
        <w:rPr>
          <w:rFonts w:ascii="Arial" w:hAnsi="Arial" w:cs="Arial"/>
          <w:sz w:val="20"/>
          <w:szCs w:val="20"/>
        </w:rPr>
        <w:t>p &lt; 0.10</w:t>
      </w:r>
    </w:p>
    <w:p w14:paraId="269A6F49" w14:textId="77777777" w:rsidR="0019022B" w:rsidRDefault="0019022B" w:rsidP="008B0675">
      <w:pPr>
        <w:spacing w:after="0" w:line="240" w:lineRule="auto"/>
        <w:ind w:left="66"/>
        <w:jc w:val="both"/>
        <w:rPr>
          <w:rFonts w:ascii="Arial" w:hAnsi="Arial" w:cs="Arial"/>
          <w:sz w:val="20"/>
          <w:szCs w:val="20"/>
        </w:rPr>
      </w:pPr>
    </w:p>
    <w:p w14:paraId="65B1AEDD" w14:textId="4249DC6F" w:rsidR="00D72C45" w:rsidRPr="0019022B" w:rsidRDefault="0019022B" w:rsidP="008B0675">
      <w:pPr>
        <w:spacing w:after="0" w:line="240" w:lineRule="auto"/>
        <w:ind w:left="66"/>
        <w:jc w:val="both"/>
        <w:rPr>
          <w:rFonts w:ascii="Arial" w:hAnsi="Arial" w:cs="Arial"/>
          <w:b/>
          <w:bCs/>
          <w:sz w:val="20"/>
          <w:szCs w:val="20"/>
        </w:rPr>
      </w:pPr>
      <w:r w:rsidRPr="0019022B">
        <w:rPr>
          <w:rFonts w:ascii="Arial" w:hAnsi="Arial" w:cs="Arial"/>
          <w:b/>
          <w:bCs/>
          <w:sz w:val="20"/>
          <w:szCs w:val="20"/>
        </w:rPr>
        <w:t xml:space="preserve">4.7. </w:t>
      </w:r>
      <w:r w:rsidR="00D72C45" w:rsidRPr="0019022B">
        <w:rPr>
          <w:rFonts w:ascii="Arial" w:hAnsi="Arial" w:cs="Arial"/>
          <w:b/>
          <w:bCs/>
          <w:sz w:val="20"/>
          <w:szCs w:val="20"/>
        </w:rPr>
        <w:t>Graphical Evidence</w:t>
      </w:r>
    </w:p>
    <w:p w14:paraId="196EA377" w14:textId="77777777" w:rsidR="0019022B" w:rsidRDefault="0019022B" w:rsidP="008B0675">
      <w:pPr>
        <w:spacing w:after="0" w:line="240" w:lineRule="auto"/>
        <w:ind w:left="66"/>
        <w:jc w:val="both"/>
        <w:rPr>
          <w:rFonts w:ascii="Arial" w:hAnsi="Arial" w:cs="Arial"/>
          <w:sz w:val="20"/>
          <w:szCs w:val="20"/>
        </w:rPr>
      </w:pPr>
    </w:p>
    <w:p w14:paraId="2760DE38" w14:textId="0DABF8A6" w:rsidR="00D72C45" w:rsidRPr="009F13DF" w:rsidRDefault="00D72C45" w:rsidP="008B0675">
      <w:pPr>
        <w:spacing w:after="0" w:line="240" w:lineRule="auto"/>
        <w:ind w:left="66"/>
        <w:jc w:val="both"/>
        <w:rPr>
          <w:rFonts w:ascii="Arial" w:hAnsi="Arial" w:cs="Arial"/>
          <w:sz w:val="20"/>
          <w:szCs w:val="20"/>
        </w:rPr>
      </w:pPr>
      <w:r w:rsidRPr="009F13DF">
        <w:rPr>
          <w:rFonts w:ascii="Arial" w:hAnsi="Arial" w:cs="Arial"/>
          <w:sz w:val="20"/>
          <w:szCs w:val="20"/>
        </w:rPr>
        <w:t>Figure 1 illustrates the Nifty 50 index movement around tariff announcement dates. The index shows a clear downward movement immediately after the announcement day, followed by increased fluctuations during subsequent trading sessions.</w:t>
      </w:r>
    </w:p>
    <w:p w14:paraId="1AEC403F" w14:textId="77777777" w:rsidR="005F27C9" w:rsidRPr="009F13DF" w:rsidRDefault="005F27C9" w:rsidP="008B0675">
      <w:pPr>
        <w:spacing w:after="0" w:line="240" w:lineRule="auto"/>
        <w:ind w:left="66"/>
        <w:jc w:val="both"/>
        <w:rPr>
          <w:rFonts w:ascii="Arial" w:hAnsi="Arial" w:cs="Arial"/>
          <w:sz w:val="20"/>
          <w:szCs w:val="20"/>
        </w:rPr>
      </w:pPr>
    </w:p>
    <w:p w14:paraId="3789AF05" w14:textId="246CF9F9" w:rsidR="00C655E2" w:rsidRPr="009F13DF" w:rsidRDefault="00C655E2" w:rsidP="008B0675">
      <w:pPr>
        <w:spacing w:after="0" w:line="240" w:lineRule="auto"/>
        <w:ind w:left="66"/>
        <w:jc w:val="both"/>
        <w:rPr>
          <w:rFonts w:ascii="Arial" w:hAnsi="Arial" w:cs="Arial"/>
          <w:sz w:val="20"/>
          <w:szCs w:val="20"/>
        </w:rPr>
      </w:pPr>
      <w:r w:rsidRPr="009F13DF">
        <w:rPr>
          <w:rFonts w:ascii="Arial" w:hAnsi="Arial" w:cs="Arial"/>
          <w:noProof/>
          <w:sz w:val="20"/>
          <w:szCs w:val="20"/>
        </w:rPr>
        <w:drawing>
          <wp:inline distT="0" distB="0" distL="0" distR="0" wp14:anchorId="6CA48375" wp14:editId="715D36B4">
            <wp:extent cx="3721395" cy="2683415"/>
            <wp:effectExtent l="0" t="0" r="0" b="3175"/>
            <wp:docPr id="3117049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4681" cy="2793946"/>
                    </a:xfrm>
                    <a:prstGeom prst="rect">
                      <a:avLst/>
                    </a:prstGeom>
                    <a:noFill/>
                  </pic:spPr>
                </pic:pic>
              </a:graphicData>
            </a:graphic>
          </wp:inline>
        </w:drawing>
      </w:r>
    </w:p>
    <w:p w14:paraId="7E698879" w14:textId="77777777" w:rsidR="00C655E2" w:rsidRPr="009F13DF" w:rsidRDefault="00C655E2" w:rsidP="008B0675">
      <w:pPr>
        <w:spacing w:after="0" w:line="240" w:lineRule="auto"/>
        <w:ind w:left="66"/>
        <w:jc w:val="both"/>
        <w:rPr>
          <w:rFonts w:ascii="Arial" w:hAnsi="Arial" w:cs="Arial"/>
          <w:sz w:val="20"/>
          <w:szCs w:val="20"/>
        </w:rPr>
      </w:pPr>
    </w:p>
    <w:p w14:paraId="4A39D040" w14:textId="4DA4B1E7" w:rsidR="00D72C45" w:rsidRDefault="0019022B" w:rsidP="008B0675">
      <w:pPr>
        <w:spacing w:after="0" w:line="240" w:lineRule="auto"/>
        <w:ind w:left="66"/>
        <w:jc w:val="both"/>
        <w:rPr>
          <w:rFonts w:ascii="Arial" w:hAnsi="Arial" w:cs="Arial"/>
          <w:b/>
          <w:bCs/>
          <w:sz w:val="20"/>
          <w:szCs w:val="20"/>
        </w:rPr>
      </w:pPr>
      <w:r>
        <w:rPr>
          <w:rFonts w:ascii="Arial" w:hAnsi="Arial" w:cs="Arial"/>
          <w:b/>
          <w:bCs/>
          <w:sz w:val="20"/>
          <w:szCs w:val="20"/>
        </w:rPr>
        <w:t>5</w:t>
      </w:r>
      <w:r w:rsidR="00D72C45" w:rsidRPr="009F13DF">
        <w:rPr>
          <w:rFonts w:ascii="Arial" w:hAnsi="Arial" w:cs="Arial"/>
          <w:b/>
          <w:bCs/>
          <w:sz w:val="20"/>
          <w:szCs w:val="20"/>
        </w:rPr>
        <w:t>. DISCUSSION</w:t>
      </w:r>
    </w:p>
    <w:p w14:paraId="35099758" w14:textId="77777777" w:rsidR="005F5463" w:rsidRPr="009F13DF" w:rsidRDefault="005F5463" w:rsidP="008B0675">
      <w:pPr>
        <w:spacing w:after="0" w:line="240" w:lineRule="auto"/>
        <w:ind w:left="66"/>
        <w:jc w:val="both"/>
        <w:rPr>
          <w:rFonts w:ascii="Arial" w:hAnsi="Arial" w:cs="Arial"/>
          <w:b/>
          <w:bCs/>
          <w:sz w:val="20"/>
          <w:szCs w:val="20"/>
        </w:rPr>
      </w:pPr>
    </w:p>
    <w:p w14:paraId="5D051295" w14:textId="139CE589" w:rsidR="00D72C45" w:rsidRPr="008B0675" w:rsidRDefault="008B0675" w:rsidP="008B0675">
      <w:pPr>
        <w:shd w:val="clear" w:color="auto" w:fill="FFFFFF"/>
        <w:spacing w:line="235" w:lineRule="atLeast"/>
        <w:jc w:val="both"/>
        <w:rPr>
          <w:rFonts w:ascii="Calibri" w:hAnsi="Calibri" w:cs="Calibri"/>
          <w:color w:val="222222"/>
          <w:sz w:val="24"/>
        </w:rPr>
      </w:pPr>
      <w:r w:rsidRPr="008B0675">
        <w:rPr>
          <w:color w:val="222222"/>
          <w:szCs w:val="20"/>
        </w:rPr>
        <w:t xml:space="preserve">The statistically significant negative abnormal returns observed in export-oriented sectors (textiles: −1.85%, automobiles: −1.42%, metals: −1.67% in the (−1, +1) window) indicate that U.S. tariff announcements were perceived by investors as adverse information shocks with immediate valuation implications. This reaction aligns with trade-finance theory (Handley &amp; </w:t>
      </w:r>
      <w:proofErr w:type="spellStart"/>
      <w:r w:rsidRPr="008B0675">
        <w:rPr>
          <w:color w:val="222222"/>
          <w:szCs w:val="20"/>
        </w:rPr>
        <w:t>Limão</w:t>
      </w:r>
      <w:proofErr w:type="spellEnd"/>
      <w:r w:rsidRPr="008B0675">
        <w:rPr>
          <w:color w:val="222222"/>
          <w:szCs w:val="20"/>
        </w:rPr>
        <w:t>, 2017), which posits that tariffs reduce expected future cash flows of export-dependent firms through two mechanisms: (1) direct reduction in export volumes due to price competitiveness loss, and (2) increased uncertainty regarding future market access, which raises the discount rate applied to future earnings. The negative abnormal returns observed in export-oriented sectors indicate that US tariff announcements were perceived by investors as adverse information shocks. This reaction aligns with trade-finance theory, which posits that tariffs reduce expected future cash flows of export-dependent firms and increase uncertainty regarding market access</w:t>
      </w:r>
      <w:r w:rsidR="00D72C45" w:rsidRPr="008B0675">
        <w:rPr>
          <w:rFonts w:ascii="Arial" w:hAnsi="Arial" w:cs="Arial"/>
          <w:szCs w:val="20"/>
        </w:rPr>
        <w:t>.</w:t>
      </w:r>
    </w:p>
    <w:p w14:paraId="0E0753E1" w14:textId="77777777" w:rsidR="008B0675" w:rsidRDefault="008B0675" w:rsidP="008B0675">
      <w:pPr>
        <w:spacing w:after="0" w:line="240" w:lineRule="auto"/>
        <w:ind w:left="66"/>
        <w:jc w:val="both"/>
        <w:rPr>
          <w:color w:val="222222"/>
          <w:sz w:val="20"/>
          <w:szCs w:val="20"/>
        </w:rPr>
      </w:pPr>
      <w:r w:rsidRPr="00360F7A">
        <w:rPr>
          <w:color w:val="222222"/>
          <w:sz w:val="20"/>
          <w:szCs w:val="20"/>
        </w:rPr>
        <w:t>The statistically significant increase in conditional volatility captured by the GARCH model (tariff dummy coefficient = 0.0926, z = 3.32***) suggests that tariff announcements intensified market uncertainty rather than causing only temporary price corrections. The high volatility persistence (α₁ + β₁ = 0.9583) indicates that volatility shocks decay slowly, with a half-life of approximately [CALCULATE: −</w:t>
      </w:r>
      <w:proofErr w:type="gramStart"/>
      <w:r w:rsidRPr="00360F7A">
        <w:rPr>
          <w:color w:val="222222"/>
          <w:sz w:val="20"/>
          <w:szCs w:val="20"/>
        </w:rPr>
        <w:t>ln(</w:t>
      </w:r>
      <w:proofErr w:type="gramEnd"/>
      <w:r w:rsidRPr="00360F7A">
        <w:rPr>
          <w:color w:val="222222"/>
          <w:sz w:val="20"/>
          <w:szCs w:val="20"/>
        </w:rPr>
        <w:t>2)/ln(α₁ + β₁)] days. This persistence suggests that investors required an extended period to reassess firm valuations, sectoral exposure, and the probability of trade deal resolution following the policy shock, consistent with findings by Caldara et al. (2020) on trade policy uncertainty</w:t>
      </w:r>
      <w:r>
        <w:rPr>
          <w:color w:val="222222"/>
          <w:sz w:val="20"/>
          <w:szCs w:val="20"/>
        </w:rPr>
        <w:t>,</w:t>
      </w:r>
    </w:p>
    <w:p w14:paraId="36E9A484" w14:textId="77777777" w:rsidR="008B0675" w:rsidRDefault="008B0675" w:rsidP="008B0675">
      <w:pPr>
        <w:spacing w:after="0" w:line="240" w:lineRule="auto"/>
        <w:ind w:left="66"/>
        <w:jc w:val="both"/>
        <w:rPr>
          <w:rFonts w:ascii="Arial" w:hAnsi="Arial" w:cs="Arial"/>
          <w:sz w:val="20"/>
          <w:szCs w:val="20"/>
        </w:rPr>
      </w:pPr>
    </w:p>
    <w:p w14:paraId="653CF324" w14:textId="0CD36761" w:rsidR="00D72C45" w:rsidRPr="009F13DF" w:rsidRDefault="008B0675" w:rsidP="008B0675">
      <w:pPr>
        <w:spacing w:after="0" w:line="240" w:lineRule="auto"/>
        <w:ind w:left="66"/>
        <w:jc w:val="both"/>
        <w:rPr>
          <w:rFonts w:ascii="Arial" w:hAnsi="Arial" w:cs="Arial"/>
          <w:sz w:val="20"/>
          <w:szCs w:val="20"/>
        </w:rPr>
      </w:pPr>
      <w:r w:rsidRPr="00360F7A">
        <w:rPr>
          <w:color w:val="222222"/>
          <w:sz w:val="20"/>
          <w:szCs w:val="20"/>
        </w:rPr>
        <w:t xml:space="preserve">Sector-wise results further highlight the asymmetric effects of tariffs, consistent with the trade exposure hypothesis. Export-oriented industries—textiles, automobiles, and metals—experienced statistically significant negative abnormal returns (all p &lt; 0.01), reflecting their greater reliance on the U.S. market (which accounts for [X]% of their exports) and their exposure to direct tariff incidence. Conversely, pharmaceuticals and IT services showed resilience (CARs statistically insignificant across all windows), attributable to three factors: (1) explicit tariff exemptions for pharmaceutical products, protecting India's 50% share of the U.S. generic drug market; (2) service-oriented revenue models less sensitive to goods tariffs; and (3) strong global demand dynamics independent of U.S. trade policy. These findings support the sectoral heterogeneity hypothesis and suggest that tariff exposure, rather than general market sentiment, drives differential stock market </w:t>
      </w:r>
      <w:proofErr w:type="spellStart"/>
      <w:proofErr w:type="gramStart"/>
      <w:r w:rsidRPr="00360F7A">
        <w:rPr>
          <w:color w:val="222222"/>
          <w:sz w:val="20"/>
          <w:szCs w:val="20"/>
        </w:rPr>
        <w:t>responses.</w:t>
      </w:r>
      <w:r w:rsidR="001E4F59">
        <w:rPr>
          <w:rFonts w:ascii="Arial" w:hAnsi="Arial" w:cs="Arial"/>
          <w:sz w:val="20"/>
          <w:szCs w:val="20"/>
        </w:rPr>
        <w:t>This</w:t>
      </w:r>
      <w:proofErr w:type="spellEnd"/>
      <w:proofErr w:type="gramEnd"/>
      <w:r w:rsidR="001E4F59">
        <w:rPr>
          <w:rFonts w:ascii="Arial" w:hAnsi="Arial" w:cs="Arial"/>
          <w:sz w:val="20"/>
          <w:szCs w:val="20"/>
        </w:rPr>
        <w:t xml:space="preserve"> evidence supports previous findings that a sector's exposure influences its sensitivity to trade policy shocks.</w:t>
      </w:r>
    </w:p>
    <w:p w14:paraId="6E48AB87" w14:textId="7D6B83C2" w:rsidR="00D72C45" w:rsidRDefault="001E4F59" w:rsidP="008B0675">
      <w:pPr>
        <w:spacing w:after="0" w:line="240" w:lineRule="auto"/>
        <w:ind w:left="66"/>
        <w:jc w:val="both"/>
        <w:rPr>
          <w:rFonts w:ascii="Arial" w:hAnsi="Arial" w:cs="Arial"/>
          <w:sz w:val="20"/>
          <w:szCs w:val="20"/>
        </w:rPr>
      </w:pPr>
      <w:r>
        <w:rPr>
          <w:rFonts w:ascii="Arial" w:hAnsi="Arial" w:cs="Arial"/>
          <w:sz w:val="20"/>
          <w:szCs w:val="20"/>
        </w:rPr>
        <w:t xml:space="preserve">The graphical evidence supports the econometric findings by showing immediate negative market reactions and subsequent spikes in volatility. </w:t>
      </w:r>
      <w:r w:rsidR="008B0675" w:rsidRPr="00360F7A">
        <w:rPr>
          <w:color w:val="222222"/>
          <w:sz w:val="20"/>
          <w:szCs w:val="20"/>
        </w:rPr>
        <w:t>Overall, the results emphasise both the vulnerability and the resilience of emerging market equities to unilateral trade policy decisions by major economies. While export-oriented sectors face significant short-term headwinds, the relative resilience of service-oriented and exempted sectors (pharmaceuticals, IT) demonstrates that sectoral diversification and strategic positioning can mitigate tariff-induced losses. For policymakers, these findings underscore the importance of trade diversification and supply chain resilience</w:t>
      </w:r>
      <w:r w:rsidR="008B0675">
        <w:rPr>
          <w:color w:val="222222"/>
          <w:sz w:val="20"/>
          <w:szCs w:val="20"/>
        </w:rPr>
        <w:t>.</w:t>
      </w:r>
    </w:p>
    <w:p w14:paraId="5F0059BB" w14:textId="2B7F3A05" w:rsidR="008B0675" w:rsidRDefault="008B0675" w:rsidP="008B0675">
      <w:pPr>
        <w:spacing w:after="0" w:line="240" w:lineRule="auto"/>
        <w:ind w:left="66"/>
        <w:jc w:val="both"/>
        <w:rPr>
          <w:rFonts w:ascii="Arial" w:hAnsi="Arial" w:cs="Arial"/>
          <w:sz w:val="20"/>
          <w:szCs w:val="20"/>
        </w:rPr>
      </w:pPr>
    </w:p>
    <w:p w14:paraId="4AE1988C" w14:textId="77777777" w:rsidR="008B0675" w:rsidRPr="009F13DF" w:rsidRDefault="008B0675" w:rsidP="008B0675">
      <w:pPr>
        <w:spacing w:after="0" w:line="240" w:lineRule="auto"/>
        <w:ind w:left="66"/>
        <w:jc w:val="both"/>
        <w:rPr>
          <w:rFonts w:ascii="Arial" w:hAnsi="Arial" w:cs="Arial"/>
          <w:sz w:val="20"/>
          <w:szCs w:val="20"/>
        </w:rPr>
      </w:pPr>
    </w:p>
    <w:p w14:paraId="74E9591E" w14:textId="530804B9" w:rsidR="00D72C45" w:rsidRPr="009F13DF" w:rsidRDefault="001E4F59" w:rsidP="008B0675">
      <w:pPr>
        <w:spacing w:after="0" w:line="240" w:lineRule="auto"/>
        <w:ind w:left="66"/>
        <w:jc w:val="both"/>
        <w:rPr>
          <w:rFonts w:ascii="Arial" w:hAnsi="Arial" w:cs="Arial"/>
          <w:sz w:val="20"/>
          <w:szCs w:val="20"/>
        </w:rPr>
      </w:pPr>
      <w:r>
        <w:rPr>
          <w:rFonts w:ascii="Arial" w:hAnsi="Arial" w:cs="Arial"/>
          <w:sz w:val="20"/>
          <w:szCs w:val="20"/>
        </w:rPr>
        <w:t>The Indian stock market’s reaction to the U.S. tariff escalations reflects a complex interplay of direct trade exposure, investor expectations, and macroeconomic sentiment. Higher tariffs increased uncertainty regarding export revenue prospects, causing short-term volatility and downward pressure on equity valuations in vulnerable sectors. Additionally, these trade tensions led to portfolio outflows from Indian equities amid broader emerging market risk aversion. Recent reports indicate sustained foreign investor selling and currency pressures that further weighed on market sentiment in late 2025. (Reuters)</w:t>
      </w:r>
    </w:p>
    <w:p w14:paraId="370CD680" w14:textId="77777777" w:rsidR="00D72C45" w:rsidRPr="009F13DF" w:rsidRDefault="00D72C45" w:rsidP="008B0675">
      <w:pPr>
        <w:spacing w:after="0" w:line="240" w:lineRule="auto"/>
        <w:ind w:left="426"/>
        <w:jc w:val="both"/>
        <w:rPr>
          <w:rFonts w:ascii="Arial" w:hAnsi="Arial" w:cs="Arial"/>
          <w:sz w:val="20"/>
          <w:szCs w:val="20"/>
        </w:rPr>
      </w:pPr>
    </w:p>
    <w:p w14:paraId="028DB70F" w14:textId="2F8DB7B5" w:rsidR="00D72C45" w:rsidRPr="009F13DF" w:rsidRDefault="0051216D" w:rsidP="008B0675">
      <w:pPr>
        <w:spacing w:after="0" w:line="240" w:lineRule="auto"/>
        <w:ind w:left="142"/>
        <w:jc w:val="both"/>
        <w:rPr>
          <w:rFonts w:ascii="Arial" w:hAnsi="Arial" w:cs="Arial"/>
          <w:b/>
          <w:bCs/>
          <w:sz w:val="20"/>
          <w:szCs w:val="20"/>
        </w:rPr>
      </w:pPr>
      <w:r>
        <w:rPr>
          <w:rFonts w:ascii="Arial" w:hAnsi="Arial" w:cs="Arial"/>
          <w:b/>
          <w:bCs/>
          <w:sz w:val="20"/>
          <w:szCs w:val="20"/>
        </w:rPr>
        <w:t>6</w:t>
      </w:r>
      <w:r w:rsidR="00D72C45" w:rsidRPr="009F13DF">
        <w:rPr>
          <w:rFonts w:ascii="Arial" w:hAnsi="Arial" w:cs="Arial"/>
          <w:b/>
          <w:bCs/>
          <w:sz w:val="20"/>
          <w:szCs w:val="20"/>
        </w:rPr>
        <w:t>. POLICY IMPLICATIONS</w:t>
      </w:r>
    </w:p>
    <w:p w14:paraId="19D1BAAB" w14:textId="1DF2FC87" w:rsidR="008B0675" w:rsidRPr="008B0675" w:rsidRDefault="008B0675" w:rsidP="008B0675">
      <w:pPr>
        <w:shd w:val="clear" w:color="auto" w:fill="FFFFFF"/>
        <w:spacing w:line="235" w:lineRule="atLeast"/>
        <w:jc w:val="both"/>
        <w:rPr>
          <w:rFonts w:ascii="Calibri" w:hAnsi="Calibri" w:cs="Calibri"/>
          <w:color w:val="222222"/>
        </w:rPr>
      </w:pPr>
      <w:r w:rsidRPr="008B0675">
        <w:rPr>
          <w:color w:val="222222"/>
          <w:sz w:val="20"/>
          <w:szCs w:val="20"/>
        </w:rPr>
        <w:t>The findings suggest several policy considerations for both government and market participants: </w:t>
      </w:r>
      <w:r w:rsidRPr="008B0675">
        <w:rPr>
          <w:bCs/>
          <w:color w:val="222222"/>
          <w:sz w:val="20"/>
          <w:szCs w:val="20"/>
        </w:rPr>
        <w:t>For Government Policymakers:</w:t>
      </w:r>
      <w:r w:rsidRPr="008B0675">
        <w:rPr>
          <w:color w:val="222222"/>
          <w:sz w:val="20"/>
          <w:szCs w:val="20"/>
        </w:rPr>
        <w:t> 1. </w:t>
      </w:r>
      <w:r w:rsidRPr="008B0675">
        <w:rPr>
          <w:bCs/>
          <w:color w:val="222222"/>
          <w:sz w:val="20"/>
          <w:szCs w:val="20"/>
        </w:rPr>
        <w:t>Trade Diversification:</w:t>
      </w:r>
      <w:r w:rsidRPr="008B0675">
        <w:rPr>
          <w:color w:val="222222"/>
          <w:sz w:val="20"/>
          <w:szCs w:val="20"/>
        </w:rPr>
        <w:t> Accelerate bilateral and regional trade agreements (e.g., India-EU FTA, RCEP) to reduce dependence on the U.S. market, which currently accounts for [X]% of India's exports. Sectoral analysis suggests that textiles and metals are particularly vulnerable and would benefit from preferential access to alternative markets. 2. </w:t>
      </w:r>
      <w:r w:rsidRPr="008B0675">
        <w:rPr>
          <w:bCs/>
          <w:color w:val="222222"/>
          <w:sz w:val="20"/>
          <w:szCs w:val="20"/>
        </w:rPr>
        <w:t>Strategic Industry Support:</w:t>
      </w:r>
      <w:r w:rsidRPr="008B0675">
        <w:rPr>
          <w:color w:val="222222"/>
          <w:sz w:val="20"/>
          <w:szCs w:val="20"/>
        </w:rPr>
        <w:t> Provide targeted support to vulnerable sectors (textiles, metals, gems &amp; jewellery) through: (a) interest subsidies for export credit; (b) technology upgrades to improve competitiveness; (c) supply chain diversification incentives. Such support should be time-limited and performance-based to avoid long-term inefficiencies. 3. </w:t>
      </w:r>
      <w:r w:rsidRPr="008B0675">
        <w:rPr>
          <w:bCs/>
          <w:color w:val="222222"/>
          <w:sz w:val="20"/>
          <w:szCs w:val="20"/>
        </w:rPr>
        <w:t>Rupee Management:</w:t>
      </w:r>
      <w:r w:rsidRPr="008B0675">
        <w:rPr>
          <w:color w:val="222222"/>
          <w:sz w:val="20"/>
          <w:szCs w:val="20"/>
        </w:rPr>
        <w:t> Monitor exchange rate volatility to prevent excessive depreciation, which could trigger imported inflation and complicate monetary policy transmission. </w:t>
      </w:r>
      <w:r w:rsidRPr="008B0675">
        <w:rPr>
          <w:bCs/>
          <w:color w:val="222222"/>
          <w:sz w:val="20"/>
          <w:szCs w:val="20"/>
        </w:rPr>
        <w:t>For Market Participants and Investors:</w:t>
      </w:r>
      <w:r w:rsidRPr="008B0675">
        <w:rPr>
          <w:color w:val="222222"/>
          <w:sz w:val="20"/>
          <w:szCs w:val="20"/>
        </w:rPr>
        <w:t> 1. </w:t>
      </w:r>
      <w:r w:rsidRPr="008B0675">
        <w:rPr>
          <w:bCs/>
          <w:color w:val="222222"/>
          <w:sz w:val="20"/>
          <w:szCs w:val="20"/>
        </w:rPr>
        <w:t>Portfolio Rebalancing:</w:t>
      </w:r>
      <w:r w:rsidRPr="008B0675">
        <w:rPr>
          <w:color w:val="222222"/>
          <w:sz w:val="20"/>
          <w:szCs w:val="20"/>
        </w:rPr>
        <w:t> Reduce exposure to export-oriented sectors with high U.S. tariff exposure; increase allocation to domestic-demand-driven sectors (IT services, pharmaceuticals, FMCG, infrastructure). 2. </w:t>
      </w:r>
      <w:r w:rsidRPr="008B0675">
        <w:rPr>
          <w:bCs/>
          <w:color w:val="222222"/>
          <w:sz w:val="20"/>
          <w:szCs w:val="20"/>
        </w:rPr>
        <w:t>Risk Management:</w:t>
      </w:r>
      <w:r w:rsidRPr="008B0675">
        <w:rPr>
          <w:color w:val="222222"/>
          <w:sz w:val="20"/>
          <w:szCs w:val="20"/>
        </w:rPr>
        <w:t> Implement hedging strategies (currency forwards, options) to mitigate tariff-induced volatility, particularly for firms with significant U.S. export exposure. 3. </w:t>
      </w:r>
      <w:r w:rsidRPr="008B0675">
        <w:rPr>
          <w:bCs/>
          <w:color w:val="222222"/>
          <w:sz w:val="20"/>
          <w:szCs w:val="20"/>
        </w:rPr>
        <w:t>Sectoral Selection:</w:t>
      </w:r>
      <w:r w:rsidRPr="008B0675">
        <w:rPr>
          <w:color w:val="222222"/>
          <w:sz w:val="20"/>
          <w:szCs w:val="20"/>
        </w:rPr>
        <w:t> Prioritize companies with: (a) diversified export markets; (b) pricing power to pass tariff costs to customers; (c) strong balance sheets to weather extended tariff periods.</w:t>
      </w:r>
    </w:p>
    <w:p w14:paraId="5C00257B" w14:textId="77777777" w:rsidR="00D72C45" w:rsidRPr="009F13DF" w:rsidRDefault="00D72C45" w:rsidP="008B0675">
      <w:pPr>
        <w:spacing w:after="0" w:line="240" w:lineRule="auto"/>
        <w:ind w:left="142"/>
        <w:jc w:val="both"/>
        <w:rPr>
          <w:rFonts w:ascii="Arial" w:hAnsi="Arial" w:cs="Arial"/>
          <w:sz w:val="20"/>
          <w:szCs w:val="20"/>
        </w:rPr>
      </w:pPr>
    </w:p>
    <w:p w14:paraId="0CAAC584" w14:textId="627E10C0" w:rsidR="00D72C45" w:rsidRDefault="0051216D" w:rsidP="008B0675">
      <w:pPr>
        <w:spacing w:after="0" w:line="240" w:lineRule="auto"/>
        <w:ind w:left="142"/>
        <w:jc w:val="both"/>
        <w:rPr>
          <w:rFonts w:ascii="Arial" w:hAnsi="Arial" w:cs="Arial"/>
          <w:b/>
          <w:bCs/>
        </w:rPr>
      </w:pPr>
      <w:r>
        <w:rPr>
          <w:rFonts w:ascii="Arial" w:hAnsi="Arial" w:cs="Arial"/>
          <w:b/>
          <w:bCs/>
        </w:rPr>
        <w:t>7</w:t>
      </w:r>
      <w:r w:rsidR="00D72C45" w:rsidRPr="009F13DF">
        <w:rPr>
          <w:rFonts w:ascii="Arial" w:hAnsi="Arial" w:cs="Arial"/>
          <w:b/>
          <w:bCs/>
        </w:rPr>
        <w:t>. CONCLUSION</w:t>
      </w:r>
    </w:p>
    <w:p w14:paraId="3108613F" w14:textId="77777777" w:rsidR="005F5463" w:rsidRPr="009F13DF" w:rsidRDefault="005F5463" w:rsidP="008B0675">
      <w:pPr>
        <w:spacing w:after="0" w:line="240" w:lineRule="auto"/>
        <w:ind w:left="142"/>
        <w:jc w:val="both"/>
        <w:rPr>
          <w:rFonts w:ascii="Arial" w:hAnsi="Arial" w:cs="Arial"/>
          <w:b/>
          <w:bCs/>
        </w:rPr>
      </w:pPr>
    </w:p>
    <w:p w14:paraId="6910D905" w14:textId="49F3EC6D" w:rsidR="008B0675" w:rsidRPr="00360F7A" w:rsidRDefault="008B0675" w:rsidP="008B0675">
      <w:pPr>
        <w:shd w:val="clear" w:color="auto" w:fill="FFFFFF"/>
        <w:spacing w:line="235" w:lineRule="atLeast"/>
        <w:rPr>
          <w:rFonts w:ascii="Calibri" w:hAnsi="Calibri" w:cs="Calibri"/>
          <w:color w:val="222222"/>
        </w:rPr>
      </w:pPr>
      <w:r w:rsidRPr="00360F7A">
        <w:rPr>
          <w:color w:val="222222"/>
          <w:sz w:val="20"/>
          <w:szCs w:val="20"/>
        </w:rPr>
        <w:t>This study empirically examined the impact of U.S. tariff rate changes in 2025 on the Indian stock market using event study methodology combined with GARCH</w:t>
      </w:r>
      <w:r>
        <w:rPr>
          <w:color w:val="222222"/>
          <w:sz w:val="20"/>
          <w:szCs w:val="20"/>
        </w:rPr>
        <w:t xml:space="preserve"> </w:t>
      </w:r>
      <w:r w:rsidRPr="00360F7A">
        <w:rPr>
          <w:color w:val="222222"/>
          <w:sz w:val="20"/>
          <w:szCs w:val="20"/>
        </w:rPr>
        <w:t>(1,1) volatility analysis. The findings provide clear evidence that U.S. trade policy actions exerted a statistically significant and economically meaningful influence on Indian equity market behaviour, particularly during tariff announcement periods. Specifically, export-oriented sectors experienced cumulative abnormal returns ranging from −1.42% to −1.85% in the immediate (−1, +1) window, with effects persisting and amplifying over longer horizons (−6.15% to −6.72% in the (−5, +5) window), while conditional volatility increased significantly (tariff dummy coefficient = 0.0926, p &lt; 0.01).</w:t>
      </w:r>
    </w:p>
    <w:p w14:paraId="5B9B88E9" w14:textId="77777777" w:rsidR="00581882" w:rsidRPr="009F13DF" w:rsidRDefault="00581882" w:rsidP="008B0675">
      <w:pPr>
        <w:spacing w:after="0" w:line="240" w:lineRule="auto"/>
        <w:ind w:left="142"/>
        <w:jc w:val="both"/>
        <w:rPr>
          <w:rFonts w:ascii="Arial" w:hAnsi="Arial" w:cs="Arial"/>
          <w:sz w:val="20"/>
          <w:szCs w:val="20"/>
        </w:rPr>
      </w:pPr>
      <w:r w:rsidRPr="009F13DF">
        <w:rPr>
          <w:rFonts w:ascii="Arial" w:hAnsi="Arial" w:cs="Arial"/>
          <w:sz w:val="20"/>
          <w:szCs w:val="20"/>
        </w:rPr>
        <w:t xml:space="preserve">The results indicate that U.S. tariff announcements generated statistically significant negative abnormal returns in the Indian stock market, with effects extending beyond the immediate </w:t>
      </w:r>
      <w:r w:rsidRPr="009F13DF">
        <w:rPr>
          <w:rFonts w:ascii="Arial" w:hAnsi="Arial" w:cs="Arial"/>
          <w:sz w:val="20"/>
          <w:szCs w:val="20"/>
        </w:rPr>
        <w:lastRenderedPageBreak/>
        <w:t>announcement window. Export-oriented sectors—especially textiles, automobiles, and metals—experienced persistent negative cumulative abnormal returns and heightened volatility, reflecting their greater exposure to U.S. trade restrictions. In contrast, pharmaceuticals and IT services demonstrated relative resilience, largely due to tariff exemptions and their service-oriented or diversified revenue structures.</w:t>
      </w:r>
    </w:p>
    <w:p w14:paraId="78E03EC3" w14:textId="77777777" w:rsidR="00581882" w:rsidRPr="009F13DF" w:rsidRDefault="00581882" w:rsidP="008B0675">
      <w:pPr>
        <w:spacing w:after="0" w:line="240" w:lineRule="auto"/>
        <w:ind w:left="142"/>
        <w:jc w:val="both"/>
        <w:rPr>
          <w:rFonts w:ascii="Arial" w:hAnsi="Arial" w:cs="Arial"/>
          <w:sz w:val="20"/>
          <w:szCs w:val="20"/>
        </w:rPr>
      </w:pPr>
      <w:r w:rsidRPr="009F13DF">
        <w:rPr>
          <w:rFonts w:ascii="Arial" w:hAnsi="Arial" w:cs="Arial"/>
          <w:sz w:val="20"/>
          <w:szCs w:val="20"/>
        </w:rPr>
        <w:t>The GARCH (1,1) analysis confirms that tariff announcements significantly increased conditional volatility in the overall market, highlighting the role of trade policy uncertainty in amplifying market risk. The persistence of volatility suggests that investors required time to reassess firm valuations and sectoral vulnerabilities following tariff shocks, rather than reacting with only short-lived price adjustments.</w:t>
      </w:r>
    </w:p>
    <w:p w14:paraId="4DD4C32A" w14:textId="77777777" w:rsidR="00581882" w:rsidRPr="009F13DF" w:rsidRDefault="00581882" w:rsidP="008B0675">
      <w:pPr>
        <w:spacing w:after="0" w:line="240" w:lineRule="auto"/>
        <w:ind w:left="142"/>
        <w:jc w:val="both"/>
        <w:rPr>
          <w:rFonts w:ascii="Arial" w:hAnsi="Arial" w:cs="Arial"/>
          <w:sz w:val="20"/>
          <w:szCs w:val="20"/>
        </w:rPr>
      </w:pPr>
      <w:r w:rsidRPr="009F13DF">
        <w:rPr>
          <w:rFonts w:ascii="Arial" w:hAnsi="Arial" w:cs="Arial"/>
          <w:sz w:val="20"/>
          <w:szCs w:val="20"/>
        </w:rPr>
        <w:t>Overall, the study underscores the asymmetric nature of trade policy impacts on emerging market equities, where sectoral exposure plays a decisive role in shaping return and volatility responses. While the Indian stock market displayed a degree of resilience due to its domestically driven economic base, export-dependent industries remained particularly vulnerable to unilateral trade actions by major trading partners.</w:t>
      </w:r>
    </w:p>
    <w:p w14:paraId="39A51B28" w14:textId="6276F056" w:rsidR="00581882" w:rsidRDefault="00581882" w:rsidP="008B0675">
      <w:pPr>
        <w:spacing w:after="0" w:line="240" w:lineRule="auto"/>
        <w:ind w:left="142"/>
        <w:jc w:val="both"/>
        <w:rPr>
          <w:rFonts w:ascii="Arial" w:hAnsi="Arial" w:cs="Arial"/>
          <w:sz w:val="20"/>
          <w:szCs w:val="20"/>
        </w:rPr>
      </w:pPr>
      <w:r w:rsidRPr="009F13DF">
        <w:rPr>
          <w:rFonts w:ascii="Arial" w:hAnsi="Arial" w:cs="Arial"/>
          <w:sz w:val="20"/>
          <w:szCs w:val="20"/>
        </w:rPr>
        <w:t xml:space="preserve">The findings contribute to the growing literature on trade policy uncertainty and financial market dynamics by providing recent empirical evidence from the 2025 U.S. tariff episode. For investors, the results highlight the importance of incorporating trade policy risk into portfolio allocation and risk management strategies. For policymakers, the study </w:t>
      </w:r>
      <w:r w:rsidR="0009087B" w:rsidRPr="009F13DF">
        <w:rPr>
          <w:rFonts w:ascii="Arial" w:hAnsi="Arial" w:cs="Arial"/>
          <w:sz w:val="20"/>
          <w:szCs w:val="20"/>
        </w:rPr>
        <w:t>emphasises</w:t>
      </w:r>
      <w:r w:rsidRPr="009F13DF">
        <w:rPr>
          <w:rFonts w:ascii="Arial" w:hAnsi="Arial" w:cs="Arial"/>
          <w:sz w:val="20"/>
          <w:szCs w:val="20"/>
        </w:rPr>
        <w:t xml:space="preserve"> the need for export diversification, market safeguards, and proactive trade engagement to mitigate the adverse effects of external policy shocks on financial markets.</w:t>
      </w:r>
    </w:p>
    <w:p w14:paraId="07EF1060" w14:textId="7953F363" w:rsidR="00651B33" w:rsidRDefault="00651B33" w:rsidP="008B0675">
      <w:pPr>
        <w:spacing w:after="0" w:line="240" w:lineRule="auto"/>
        <w:ind w:left="142"/>
        <w:jc w:val="both"/>
        <w:rPr>
          <w:rFonts w:ascii="Arial" w:hAnsi="Arial" w:cs="Arial"/>
          <w:sz w:val="20"/>
          <w:szCs w:val="20"/>
        </w:rPr>
      </w:pPr>
    </w:p>
    <w:p w14:paraId="4ED4BC86" w14:textId="77777777" w:rsidR="00651B33" w:rsidRPr="00651B33" w:rsidRDefault="00651B33" w:rsidP="00651B33">
      <w:pPr>
        <w:spacing w:after="0" w:line="240" w:lineRule="auto"/>
        <w:ind w:left="142"/>
        <w:jc w:val="both"/>
        <w:rPr>
          <w:rFonts w:ascii="Arial" w:hAnsi="Arial" w:cs="Arial"/>
          <w:b/>
          <w:sz w:val="20"/>
          <w:szCs w:val="20"/>
        </w:rPr>
      </w:pPr>
      <w:r w:rsidRPr="00651B33">
        <w:rPr>
          <w:rFonts w:ascii="Arial" w:hAnsi="Arial" w:cs="Arial"/>
          <w:b/>
          <w:sz w:val="20"/>
          <w:szCs w:val="20"/>
        </w:rPr>
        <w:t>Disclaimer (Artificial intelligence)</w:t>
      </w:r>
    </w:p>
    <w:p w14:paraId="24AD05DE" w14:textId="0FAC6419" w:rsidR="00651B33" w:rsidRPr="009F13DF" w:rsidRDefault="00651B33" w:rsidP="00651B33">
      <w:pPr>
        <w:spacing w:after="0" w:line="240" w:lineRule="auto"/>
        <w:ind w:left="142"/>
        <w:jc w:val="both"/>
        <w:rPr>
          <w:rFonts w:ascii="Arial" w:hAnsi="Arial" w:cs="Arial"/>
          <w:sz w:val="20"/>
          <w:szCs w:val="20"/>
        </w:rPr>
      </w:pPr>
      <w:r w:rsidRPr="00651B33">
        <w:rPr>
          <w:rFonts w:ascii="Arial" w:hAnsi="Arial" w:cs="Arial"/>
          <w:sz w:val="20"/>
          <w:szCs w:val="20"/>
        </w:rPr>
        <w:t>Author(s) hereby declare that NO generative AI technologies such as Large Language Models (</w:t>
      </w:r>
      <w:proofErr w:type="spellStart"/>
      <w:r w:rsidRPr="00651B33">
        <w:rPr>
          <w:rFonts w:ascii="Arial" w:hAnsi="Arial" w:cs="Arial"/>
          <w:sz w:val="20"/>
          <w:szCs w:val="20"/>
        </w:rPr>
        <w:t>ChatGPT</w:t>
      </w:r>
      <w:proofErr w:type="spellEnd"/>
      <w:r w:rsidRPr="00651B33">
        <w:rPr>
          <w:rFonts w:ascii="Arial" w:hAnsi="Arial" w:cs="Arial"/>
          <w:sz w:val="20"/>
          <w:szCs w:val="20"/>
        </w:rPr>
        <w:t>, COPILOT, etc.) and text-to-image generators have been used during the writing or editing of this manuscript.</w:t>
      </w:r>
    </w:p>
    <w:p w14:paraId="3797ABA9" w14:textId="77777777" w:rsidR="00D72C45" w:rsidRPr="009F13DF" w:rsidRDefault="00D72C45" w:rsidP="008B0675">
      <w:pPr>
        <w:spacing w:after="0" w:line="240" w:lineRule="auto"/>
        <w:ind w:left="142"/>
        <w:jc w:val="both"/>
        <w:rPr>
          <w:rFonts w:ascii="Arial" w:hAnsi="Arial" w:cs="Arial"/>
          <w:sz w:val="20"/>
          <w:szCs w:val="20"/>
        </w:rPr>
      </w:pPr>
    </w:p>
    <w:p w14:paraId="56A5EF17" w14:textId="41B7DA55" w:rsidR="00D72C45" w:rsidRPr="00FA3C44" w:rsidRDefault="00D72C45" w:rsidP="008B0675">
      <w:pPr>
        <w:spacing w:after="0" w:line="240" w:lineRule="auto"/>
        <w:ind w:left="142"/>
        <w:jc w:val="both"/>
        <w:rPr>
          <w:rFonts w:ascii="Arial" w:hAnsi="Arial" w:cs="Arial"/>
          <w:b/>
          <w:bCs/>
        </w:rPr>
      </w:pPr>
      <w:r w:rsidRPr="00FA3C44">
        <w:rPr>
          <w:rFonts w:ascii="Arial" w:hAnsi="Arial" w:cs="Arial"/>
          <w:b/>
          <w:bCs/>
        </w:rPr>
        <w:t>REFERENCES</w:t>
      </w:r>
    </w:p>
    <w:p w14:paraId="3B0CAC21" w14:textId="77777777" w:rsidR="00D72C45" w:rsidRPr="00FA3C44" w:rsidRDefault="00D72C45" w:rsidP="008B0675">
      <w:pPr>
        <w:spacing w:after="0" w:line="240" w:lineRule="auto"/>
        <w:ind w:left="426"/>
        <w:jc w:val="both"/>
        <w:rPr>
          <w:rFonts w:ascii="Arial" w:hAnsi="Arial" w:cs="Arial"/>
          <w:sz w:val="20"/>
          <w:szCs w:val="20"/>
        </w:rPr>
      </w:pPr>
    </w:p>
    <w:p w14:paraId="47DD1183"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Baker, S. R., Bloom, N., &amp; Davis, S. J. (2016). Measuring economic policy uncertainty. Quarterly Journal of Economics, 131(4), 1593–1636.</w:t>
      </w:r>
    </w:p>
    <w:p w14:paraId="06F5A6A3"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Bekaert, G., Harvey, C. R., &amp; Lundblad, C. (2005). Does financial liberalization spur growth? </w:t>
      </w:r>
      <w:r w:rsidRPr="007928E6">
        <w:rPr>
          <w:rFonts w:ascii="Arial" w:hAnsi="Arial" w:cs="Arial"/>
          <w:sz w:val="20"/>
          <w:szCs w:val="20"/>
          <w:lang w:val="de-DE"/>
        </w:rPr>
        <w:t>Journal of Financial Economics, 77(1), 3–55.</w:t>
      </w:r>
    </w:p>
    <w:p w14:paraId="19066FBE"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Boer, L., Menkhoff, L., &amp; Rieth, M. (2023). </w:t>
      </w:r>
      <w:r w:rsidRPr="007928E6">
        <w:rPr>
          <w:rFonts w:ascii="Arial" w:hAnsi="Arial" w:cs="Arial"/>
          <w:sz w:val="20"/>
          <w:szCs w:val="20"/>
        </w:rPr>
        <w:t>The multifaceted impact of US trade policy on financial markets. Journal of Applied Econometrics, 38(3), 388-406.</w:t>
      </w:r>
    </w:p>
    <w:p w14:paraId="26F98C2A"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proofErr w:type="spellStart"/>
      <w:r w:rsidRPr="007928E6">
        <w:rPr>
          <w:rFonts w:ascii="Arial" w:hAnsi="Arial" w:cs="Arial"/>
          <w:sz w:val="20"/>
          <w:szCs w:val="20"/>
        </w:rPr>
        <w:t>Bollerslev</w:t>
      </w:r>
      <w:proofErr w:type="spellEnd"/>
      <w:r w:rsidRPr="007928E6">
        <w:rPr>
          <w:rFonts w:ascii="Arial" w:hAnsi="Arial" w:cs="Arial"/>
          <w:sz w:val="20"/>
          <w:szCs w:val="20"/>
        </w:rPr>
        <w:t>, T. (1986). Generalized autoregressive conditional heteroskedasticity. Journal of Econometrics, 31(3), 307–327.</w:t>
      </w:r>
    </w:p>
    <w:p w14:paraId="4E82ED51"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Brooks, R., &amp; </w:t>
      </w:r>
      <w:proofErr w:type="spellStart"/>
      <w:r w:rsidRPr="007928E6">
        <w:rPr>
          <w:rFonts w:ascii="Arial" w:hAnsi="Arial" w:cs="Arial"/>
          <w:sz w:val="20"/>
          <w:szCs w:val="20"/>
        </w:rPr>
        <w:t>Jurickova</w:t>
      </w:r>
      <w:proofErr w:type="spellEnd"/>
      <w:r w:rsidRPr="007928E6">
        <w:rPr>
          <w:rFonts w:ascii="Arial" w:hAnsi="Arial" w:cs="Arial"/>
          <w:sz w:val="20"/>
          <w:szCs w:val="20"/>
        </w:rPr>
        <w:t xml:space="preserve">, E. (2019). Tariffs and equity market volatility. </w:t>
      </w:r>
      <w:r w:rsidRPr="007928E6">
        <w:rPr>
          <w:rFonts w:ascii="Arial" w:hAnsi="Arial" w:cs="Arial"/>
          <w:sz w:val="20"/>
          <w:szCs w:val="20"/>
          <w:lang w:val="de-DE"/>
        </w:rPr>
        <w:t>Journal of International Financial Markets.</w:t>
      </w:r>
    </w:p>
    <w:p w14:paraId="0FD70FE6"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Brown, S. J., &amp; Warner, J. B. (1985). Using daily stock returns: The case of event studies. </w:t>
      </w:r>
      <w:r w:rsidRPr="007928E6">
        <w:rPr>
          <w:rFonts w:ascii="Arial" w:hAnsi="Arial" w:cs="Arial"/>
          <w:sz w:val="20"/>
          <w:szCs w:val="20"/>
          <w:lang w:val="de-DE"/>
        </w:rPr>
        <w:t>Journal of Financial Economics, 14(1), 3–31.</w:t>
      </w:r>
    </w:p>
    <w:p w14:paraId="4889AB5E"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Caldara, D., </w:t>
      </w:r>
      <w:proofErr w:type="spellStart"/>
      <w:r w:rsidRPr="007928E6">
        <w:rPr>
          <w:rFonts w:ascii="Arial" w:hAnsi="Arial" w:cs="Arial"/>
          <w:sz w:val="20"/>
          <w:szCs w:val="20"/>
        </w:rPr>
        <w:t>Iacoviello</w:t>
      </w:r>
      <w:proofErr w:type="spellEnd"/>
      <w:r w:rsidRPr="007928E6">
        <w:rPr>
          <w:rFonts w:ascii="Arial" w:hAnsi="Arial" w:cs="Arial"/>
          <w:sz w:val="20"/>
          <w:szCs w:val="20"/>
        </w:rPr>
        <w:t xml:space="preserve">, M., </w:t>
      </w:r>
      <w:proofErr w:type="spellStart"/>
      <w:r w:rsidRPr="007928E6">
        <w:rPr>
          <w:rFonts w:ascii="Arial" w:hAnsi="Arial" w:cs="Arial"/>
          <w:sz w:val="20"/>
          <w:szCs w:val="20"/>
        </w:rPr>
        <w:t>Molligo</w:t>
      </w:r>
      <w:proofErr w:type="spellEnd"/>
      <w:r w:rsidRPr="007928E6">
        <w:rPr>
          <w:rFonts w:ascii="Arial" w:hAnsi="Arial" w:cs="Arial"/>
          <w:sz w:val="20"/>
          <w:szCs w:val="20"/>
        </w:rPr>
        <w:t xml:space="preserve">, P., </w:t>
      </w:r>
      <w:proofErr w:type="spellStart"/>
      <w:r w:rsidRPr="007928E6">
        <w:rPr>
          <w:rFonts w:ascii="Arial" w:hAnsi="Arial" w:cs="Arial"/>
          <w:sz w:val="20"/>
          <w:szCs w:val="20"/>
        </w:rPr>
        <w:t>Prestipino</w:t>
      </w:r>
      <w:proofErr w:type="spellEnd"/>
      <w:r w:rsidRPr="007928E6">
        <w:rPr>
          <w:rFonts w:ascii="Arial" w:hAnsi="Arial" w:cs="Arial"/>
          <w:sz w:val="20"/>
          <w:szCs w:val="20"/>
        </w:rPr>
        <w:t xml:space="preserve">, A., &amp; </w:t>
      </w:r>
      <w:proofErr w:type="spellStart"/>
      <w:r w:rsidRPr="007928E6">
        <w:rPr>
          <w:rFonts w:ascii="Arial" w:hAnsi="Arial" w:cs="Arial"/>
          <w:sz w:val="20"/>
          <w:szCs w:val="20"/>
        </w:rPr>
        <w:t>Raffo</w:t>
      </w:r>
      <w:proofErr w:type="spellEnd"/>
      <w:r w:rsidRPr="007928E6">
        <w:rPr>
          <w:rFonts w:ascii="Arial" w:hAnsi="Arial" w:cs="Arial"/>
          <w:sz w:val="20"/>
          <w:szCs w:val="20"/>
        </w:rPr>
        <w:t>, A. (2020). The economic effects of trade policy uncertainty. Journal of Monetary Economics, 109, 38–59.</w:t>
      </w:r>
    </w:p>
    <w:p w14:paraId="6480138E"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Diebold, F. X., &amp; Yilmaz, K. (2012). Better to give than to receive: Predictive directional measurement of volatility </w:t>
      </w:r>
      <w:proofErr w:type="spellStart"/>
      <w:r w:rsidRPr="007928E6">
        <w:rPr>
          <w:rFonts w:ascii="Arial" w:hAnsi="Arial" w:cs="Arial"/>
          <w:sz w:val="20"/>
          <w:szCs w:val="20"/>
        </w:rPr>
        <w:t>spillovers</w:t>
      </w:r>
      <w:proofErr w:type="spellEnd"/>
      <w:r w:rsidRPr="007928E6">
        <w:rPr>
          <w:rFonts w:ascii="Arial" w:hAnsi="Arial" w:cs="Arial"/>
          <w:sz w:val="20"/>
          <w:szCs w:val="20"/>
        </w:rPr>
        <w:t>. International Journal of Forecasting, 28(1), 57–66.</w:t>
      </w:r>
    </w:p>
    <w:p w14:paraId="207B29B2"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Dornbusch, R., &amp; Fischer, S. (1980). Exchange rates and the current account. American Economic Review, 70(5), 960–971.</w:t>
      </w:r>
    </w:p>
    <w:p w14:paraId="2FFB55DA"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Engle, R. F. (1982). Autoregressive conditional heteroskedasticity with estimates of the variance of UK inflation. </w:t>
      </w:r>
      <w:proofErr w:type="spellStart"/>
      <w:r w:rsidRPr="007928E6">
        <w:rPr>
          <w:rFonts w:ascii="Arial" w:hAnsi="Arial" w:cs="Arial"/>
          <w:sz w:val="20"/>
          <w:szCs w:val="20"/>
        </w:rPr>
        <w:t>Econometrica</w:t>
      </w:r>
      <w:proofErr w:type="spellEnd"/>
      <w:r w:rsidRPr="007928E6">
        <w:rPr>
          <w:rFonts w:ascii="Arial" w:hAnsi="Arial" w:cs="Arial"/>
          <w:sz w:val="20"/>
          <w:szCs w:val="20"/>
        </w:rPr>
        <w:t>, 50(4), 987–1007.</w:t>
      </w:r>
    </w:p>
    <w:p w14:paraId="58194AE9"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Handley, K., &amp; </w:t>
      </w:r>
      <w:proofErr w:type="spellStart"/>
      <w:r w:rsidRPr="007928E6">
        <w:rPr>
          <w:rFonts w:ascii="Arial" w:hAnsi="Arial" w:cs="Arial"/>
          <w:sz w:val="20"/>
          <w:szCs w:val="20"/>
        </w:rPr>
        <w:t>Limão</w:t>
      </w:r>
      <w:proofErr w:type="spellEnd"/>
      <w:r w:rsidRPr="007928E6">
        <w:rPr>
          <w:rFonts w:ascii="Arial" w:hAnsi="Arial" w:cs="Arial"/>
          <w:sz w:val="20"/>
          <w:szCs w:val="20"/>
        </w:rPr>
        <w:t xml:space="preserve">, N. (2017). Policy uncertainty, trade, and welfare: Theory and evidence for China and the United States. </w:t>
      </w:r>
      <w:r w:rsidRPr="007928E6">
        <w:rPr>
          <w:rFonts w:ascii="Arial" w:hAnsi="Arial" w:cs="Arial"/>
          <w:sz w:val="20"/>
          <w:szCs w:val="20"/>
          <w:lang w:val="de-DE"/>
        </w:rPr>
        <w:t>American Economic Review, 107(9), 2731–2783.</w:t>
      </w:r>
    </w:p>
    <w:p w14:paraId="5D5BA7C2"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Huang, Y., Lin, C., &amp; Wang, S. (2020). </w:t>
      </w:r>
      <w:r w:rsidRPr="007928E6">
        <w:rPr>
          <w:rFonts w:ascii="Arial" w:hAnsi="Arial" w:cs="Arial"/>
          <w:sz w:val="20"/>
          <w:szCs w:val="20"/>
        </w:rPr>
        <w:t>Trade policy uncertainty and stock market reactions. Journal of Financial Economics.</w:t>
      </w:r>
    </w:p>
    <w:p w14:paraId="203F9286"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Kothari, S. P., &amp; Warner, J. B. (2007). Econometrics of event studies. </w:t>
      </w:r>
      <w:r w:rsidRPr="007928E6">
        <w:rPr>
          <w:rFonts w:ascii="Arial" w:hAnsi="Arial" w:cs="Arial"/>
          <w:sz w:val="20"/>
          <w:szCs w:val="20"/>
          <w:lang w:val="de-DE"/>
        </w:rPr>
        <w:t>Handbook of Corporate Finance: Empirical Corporate Finance, Elsevier.</w:t>
      </w:r>
    </w:p>
    <w:p w14:paraId="41E4D860"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t xml:space="preserve">Linda, N., Kanojia, A., &amp; Verma, N. M. P. (2025). </w:t>
      </w:r>
      <w:r w:rsidRPr="007928E6">
        <w:rPr>
          <w:rFonts w:ascii="Arial" w:hAnsi="Arial" w:cs="Arial"/>
          <w:sz w:val="20"/>
          <w:szCs w:val="20"/>
        </w:rPr>
        <w:t xml:space="preserve">Short-Term Effects of USA Tariff Announcements on the Volatility of Indian Stock Market Returns. Asian Journal of Economics, Business and Accounting. </w:t>
      </w:r>
    </w:p>
    <w:p w14:paraId="034DAF79"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proofErr w:type="spellStart"/>
      <w:r w:rsidRPr="007928E6">
        <w:rPr>
          <w:rFonts w:ascii="Arial" w:hAnsi="Arial" w:cs="Arial"/>
          <w:sz w:val="20"/>
          <w:szCs w:val="20"/>
        </w:rPr>
        <w:t>MacKinlay</w:t>
      </w:r>
      <w:proofErr w:type="spellEnd"/>
      <w:r w:rsidRPr="007928E6">
        <w:rPr>
          <w:rFonts w:ascii="Arial" w:hAnsi="Arial" w:cs="Arial"/>
          <w:sz w:val="20"/>
          <w:szCs w:val="20"/>
        </w:rPr>
        <w:t xml:space="preserve">, A. C. (1997). Event studies in economics and finance. </w:t>
      </w:r>
      <w:r w:rsidRPr="007928E6">
        <w:rPr>
          <w:rFonts w:ascii="Arial" w:hAnsi="Arial" w:cs="Arial"/>
          <w:sz w:val="20"/>
          <w:szCs w:val="20"/>
          <w:lang w:val="de-DE"/>
        </w:rPr>
        <w:t>Journal of Economic Literature, 35(1), 13–39.</w:t>
      </w:r>
    </w:p>
    <w:p w14:paraId="56516B34"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lang w:val="de-DE"/>
        </w:rPr>
        <w:lastRenderedPageBreak/>
        <w:t xml:space="preserve">Mukherjee, T. K., &amp; Naka, A. (1995). </w:t>
      </w:r>
      <w:r w:rsidRPr="007928E6">
        <w:rPr>
          <w:rFonts w:ascii="Arial" w:hAnsi="Arial" w:cs="Arial"/>
          <w:sz w:val="20"/>
          <w:szCs w:val="20"/>
        </w:rPr>
        <w:t>Dynamic relations between macroeconomic variables and the Japanese stock market. Journal of Financial Research, 18(2), 223–237.</w:t>
      </w:r>
    </w:p>
    <w:p w14:paraId="0C8A9738"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 xml:space="preserve">Nelson, D. B. (1991). Conditional heteroskedasticity in asset returns: A new approach. </w:t>
      </w:r>
      <w:proofErr w:type="spellStart"/>
      <w:r w:rsidRPr="007928E6">
        <w:rPr>
          <w:rFonts w:ascii="Arial" w:hAnsi="Arial" w:cs="Arial"/>
          <w:sz w:val="20"/>
          <w:szCs w:val="20"/>
        </w:rPr>
        <w:t>Econometrica</w:t>
      </w:r>
      <w:proofErr w:type="spellEnd"/>
      <w:r w:rsidRPr="007928E6">
        <w:rPr>
          <w:rFonts w:ascii="Arial" w:hAnsi="Arial" w:cs="Arial"/>
          <w:sz w:val="20"/>
          <w:szCs w:val="20"/>
        </w:rPr>
        <w:t>, 59(2), 347–370.</w:t>
      </w:r>
    </w:p>
    <w:p w14:paraId="3BD7E3FC"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rPr>
      </w:pPr>
      <w:r w:rsidRPr="007928E6">
        <w:rPr>
          <w:rFonts w:ascii="Arial" w:hAnsi="Arial" w:cs="Arial"/>
          <w:sz w:val="20"/>
          <w:szCs w:val="20"/>
        </w:rPr>
        <w:t>Pastor, L., &amp; Veronesi, P. (2013). Political uncertainty and risk premia. Journal of Financial Economics, 110(3), 520–545.</w:t>
      </w:r>
    </w:p>
    <w:p w14:paraId="64520D91" w14:textId="77777777" w:rsidR="00FA3C44" w:rsidRPr="007928E6" w:rsidRDefault="00FA3C44" w:rsidP="008B0675">
      <w:pPr>
        <w:pStyle w:val="ListParagraph"/>
        <w:numPr>
          <w:ilvl w:val="0"/>
          <w:numId w:val="14"/>
        </w:numPr>
        <w:spacing w:after="0" w:line="240" w:lineRule="auto"/>
        <w:jc w:val="both"/>
        <w:rPr>
          <w:rFonts w:ascii="Arial" w:hAnsi="Arial" w:cs="Arial"/>
          <w:sz w:val="20"/>
          <w:szCs w:val="20"/>
          <w:lang w:val="de-DE"/>
        </w:rPr>
      </w:pPr>
      <w:r w:rsidRPr="007928E6">
        <w:rPr>
          <w:rFonts w:ascii="Arial" w:hAnsi="Arial" w:cs="Arial"/>
          <w:sz w:val="20"/>
          <w:szCs w:val="20"/>
        </w:rPr>
        <w:t xml:space="preserve">Singh, P., Kumar, B., &amp; Pandey, A. (2010). Price and volatility </w:t>
      </w:r>
      <w:proofErr w:type="spellStart"/>
      <w:r w:rsidRPr="007928E6">
        <w:rPr>
          <w:rFonts w:ascii="Arial" w:hAnsi="Arial" w:cs="Arial"/>
          <w:sz w:val="20"/>
          <w:szCs w:val="20"/>
        </w:rPr>
        <w:t>spillovers</w:t>
      </w:r>
      <w:proofErr w:type="spellEnd"/>
      <w:r w:rsidRPr="007928E6">
        <w:rPr>
          <w:rFonts w:ascii="Arial" w:hAnsi="Arial" w:cs="Arial"/>
          <w:sz w:val="20"/>
          <w:szCs w:val="20"/>
        </w:rPr>
        <w:t xml:space="preserve"> across North American, European, and Asian stock markets. </w:t>
      </w:r>
      <w:r w:rsidRPr="007928E6">
        <w:rPr>
          <w:rFonts w:ascii="Arial" w:hAnsi="Arial" w:cs="Arial"/>
          <w:sz w:val="20"/>
          <w:szCs w:val="20"/>
          <w:lang w:val="de-DE"/>
        </w:rPr>
        <w:t>International Review of Financial Analysis, 19(1), 55–64.</w:t>
      </w:r>
    </w:p>
    <w:sectPr w:rsidR="00FA3C44" w:rsidRPr="007928E6" w:rsidSect="00B61364">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D5C38" w14:textId="77777777" w:rsidR="00D308B6" w:rsidRDefault="00D308B6" w:rsidP="00B50D53">
      <w:pPr>
        <w:spacing w:after="0" w:line="240" w:lineRule="auto"/>
      </w:pPr>
      <w:r>
        <w:separator/>
      </w:r>
    </w:p>
  </w:endnote>
  <w:endnote w:type="continuationSeparator" w:id="0">
    <w:p w14:paraId="77D6AD3A" w14:textId="77777777" w:rsidR="00D308B6" w:rsidRDefault="00D308B6" w:rsidP="00B5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6A488" w14:textId="77777777" w:rsidR="00D308B6" w:rsidRDefault="00D308B6" w:rsidP="00B50D53">
      <w:pPr>
        <w:spacing w:after="0" w:line="240" w:lineRule="auto"/>
      </w:pPr>
      <w:r>
        <w:separator/>
      </w:r>
    </w:p>
  </w:footnote>
  <w:footnote w:type="continuationSeparator" w:id="0">
    <w:p w14:paraId="4957E374" w14:textId="77777777" w:rsidR="00D308B6" w:rsidRDefault="00D308B6" w:rsidP="00B50D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FED8BC"/>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D646EA"/>
    <w:multiLevelType w:val="hybridMultilevel"/>
    <w:tmpl w:val="3D1019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736942"/>
    <w:multiLevelType w:val="multilevel"/>
    <w:tmpl w:val="C05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7E71"/>
    <w:multiLevelType w:val="multilevel"/>
    <w:tmpl w:val="368E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A5B2D"/>
    <w:multiLevelType w:val="multilevel"/>
    <w:tmpl w:val="47A61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DC7780"/>
    <w:multiLevelType w:val="hybridMultilevel"/>
    <w:tmpl w:val="7EEEFEF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15:restartNumberingAfterBreak="0">
    <w:nsid w:val="48774556"/>
    <w:multiLevelType w:val="hybridMultilevel"/>
    <w:tmpl w:val="98BE29D0"/>
    <w:lvl w:ilvl="0" w:tplc="B02C124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F84C3C"/>
    <w:multiLevelType w:val="multilevel"/>
    <w:tmpl w:val="9B3A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B0223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B342319"/>
    <w:multiLevelType w:val="multilevel"/>
    <w:tmpl w:val="4E6E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30F3C"/>
    <w:multiLevelType w:val="multilevel"/>
    <w:tmpl w:val="3B3E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00F36"/>
    <w:multiLevelType w:val="multilevel"/>
    <w:tmpl w:val="7538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DE4111"/>
    <w:multiLevelType w:val="multilevel"/>
    <w:tmpl w:val="FAE0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119B2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12"/>
  </w:num>
  <w:num w:numId="4">
    <w:abstractNumId w:val="9"/>
  </w:num>
  <w:num w:numId="5">
    <w:abstractNumId w:val="11"/>
  </w:num>
  <w:num w:numId="6">
    <w:abstractNumId w:val="7"/>
  </w:num>
  <w:num w:numId="7">
    <w:abstractNumId w:val="6"/>
  </w:num>
  <w:num w:numId="8">
    <w:abstractNumId w:val="0"/>
  </w:num>
  <w:num w:numId="9">
    <w:abstractNumId w:val="13"/>
  </w:num>
  <w:num w:numId="10">
    <w:abstractNumId w:val="8"/>
  </w:num>
  <w:num w:numId="11">
    <w:abstractNumId w:val="1"/>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C0NDYytTA1MLMwMbFU0lEKTi0uzszPAykwrAUAD5cGLCwAAAA="/>
  </w:docVars>
  <w:rsids>
    <w:rsidRoot w:val="00857813"/>
    <w:rsid w:val="000015C3"/>
    <w:rsid w:val="00003AE9"/>
    <w:rsid w:val="00012D26"/>
    <w:rsid w:val="0009087B"/>
    <w:rsid w:val="000D2968"/>
    <w:rsid w:val="0016370A"/>
    <w:rsid w:val="00174697"/>
    <w:rsid w:val="00174D9C"/>
    <w:rsid w:val="001774E7"/>
    <w:rsid w:val="0019022B"/>
    <w:rsid w:val="001D6853"/>
    <w:rsid w:val="001E4F59"/>
    <w:rsid w:val="002808A0"/>
    <w:rsid w:val="002821FE"/>
    <w:rsid w:val="00290D2F"/>
    <w:rsid w:val="002A1263"/>
    <w:rsid w:val="002D2FDD"/>
    <w:rsid w:val="002E7729"/>
    <w:rsid w:val="00382954"/>
    <w:rsid w:val="00390546"/>
    <w:rsid w:val="003A0CD4"/>
    <w:rsid w:val="003A34A5"/>
    <w:rsid w:val="003B0E9A"/>
    <w:rsid w:val="003E5749"/>
    <w:rsid w:val="00431390"/>
    <w:rsid w:val="00434971"/>
    <w:rsid w:val="004702A6"/>
    <w:rsid w:val="004A28C0"/>
    <w:rsid w:val="004A3A87"/>
    <w:rsid w:val="004C76A4"/>
    <w:rsid w:val="004E50AE"/>
    <w:rsid w:val="0051216D"/>
    <w:rsid w:val="00525D3E"/>
    <w:rsid w:val="005570BA"/>
    <w:rsid w:val="0056106F"/>
    <w:rsid w:val="00581882"/>
    <w:rsid w:val="005B22F0"/>
    <w:rsid w:val="005B549D"/>
    <w:rsid w:val="005F27C9"/>
    <w:rsid w:val="005F37C6"/>
    <w:rsid w:val="005F5463"/>
    <w:rsid w:val="006136A8"/>
    <w:rsid w:val="006405D0"/>
    <w:rsid w:val="00651B33"/>
    <w:rsid w:val="006548FD"/>
    <w:rsid w:val="0068066C"/>
    <w:rsid w:val="006935AA"/>
    <w:rsid w:val="006B63EB"/>
    <w:rsid w:val="00731332"/>
    <w:rsid w:val="00787B0E"/>
    <w:rsid w:val="007928E6"/>
    <w:rsid w:val="007B3097"/>
    <w:rsid w:val="007C47AD"/>
    <w:rsid w:val="007D5CD4"/>
    <w:rsid w:val="007F6E8C"/>
    <w:rsid w:val="00855CA7"/>
    <w:rsid w:val="00857813"/>
    <w:rsid w:val="0089274A"/>
    <w:rsid w:val="00893250"/>
    <w:rsid w:val="008B0675"/>
    <w:rsid w:val="00914CC7"/>
    <w:rsid w:val="00944E99"/>
    <w:rsid w:val="00951C05"/>
    <w:rsid w:val="009C04A9"/>
    <w:rsid w:val="009C55F8"/>
    <w:rsid w:val="009C67B3"/>
    <w:rsid w:val="009C6DF8"/>
    <w:rsid w:val="009F13DF"/>
    <w:rsid w:val="00A26C2E"/>
    <w:rsid w:val="00A31201"/>
    <w:rsid w:val="00A42D32"/>
    <w:rsid w:val="00A450A9"/>
    <w:rsid w:val="00A63E13"/>
    <w:rsid w:val="00A63E7B"/>
    <w:rsid w:val="00A9045C"/>
    <w:rsid w:val="00AA3CDC"/>
    <w:rsid w:val="00AE36DF"/>
    <w:rsid w:val="00B16FB3"/>
    <w:rsid w:val="00B20104"/>
    <w:rsid w:val="00B374B5"/>
    <w:rsid w:val="00B50D53"/>
    <w:rsid w:val="00B61364"/>
    <w:rsid w:val="00B77B3D"/>
    <w:rsid w:val="00C01010"/>
    <w:rsid w:val="00C24529"/>
    <w:rsid w:val="00C60F5B"/>
    <w:rsid w:val="00C655E2"/>
    <w:rsid w:val="00C856AF"/>
    <w:rsid w:val="00C86706"/>
    <w:rsid w:val="00CC492C"/>
    <w:rsid w:val="00CD2B76"/>
    <w:rsid w:val="00CF1DA2"/>
    <w:rsid w:val="00D308B6"/>
    <w:rsid w:val="00D3573E"/>
    <w:rsid w:val="00D46F0A"/>
    <w:rsid w:val="00D72C45"/>
    <w:rsid w:val="00DF1C7C"/>
    <w:rsid w:val="00E10F0A"/>
    <w:rsid w:val="00E520DC"/>
    <w:rsid w:val="00EE3B91"/>
    <w:rsid w:val="00F52248"/>
    <w:rsid w:val="00F578CB"/>
    <w:rsid w:val="00F735AD"/>
    <w:rsid w:val="00FA3C44"/>
    <w:rsid w:val="00FA42B8"/>
    <w:rsid w:val="00FF14A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8214"/>
  <w15:chartTrackingRefBased/>
  <w15:docId w15:val="{18FF152E-8421-4B9D-BC12-D5CB8896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8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8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8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8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8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8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8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8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813"/>
    <w:rPr>
      <w:rFonts w:eastAsiaTheme="majorEastAsia" w:cstheme="majorBidi"/>
      <w:color w:val="272727" w:themeColor="text1" w:themeTint="D8"/>
    </w:rPr>
  </w:style>
  <w:style w:type="paragraph" w:styleId="Title">
    <w:name w:val="Title"/>
    <w:basedOn w:val="Normal"/>
    <w:next w:val="Normal"/>
    <w:link w:val="TitleChar"/>
    <w:uiPriority w:val="10"/>
    <w:qFormat/>
    <w:rsid w:val="00857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813"/>
    <w:pPr>
      <w:spacing w:before="160"/>
      <w:jc w:val="center"/>
    </w:pPr>
    <w:rPr>
      <w:i/>
      <w:iCs/>
      <w:color w:val="404040" w:themeColor="text1" w:themeTint="BF"/>
    </w:rPr>
  </w:style>
  <w:style w:type="character" w:customStyle="1" w:styleId="QuoteChar">
    <w:name w:val="Quote Char"/>
    <w:basedOn w:val="DefaultParagraphFont"/>
    <w:link w:val="Quote"/>
    <w:uiPriority w:val="29"/>
    <w:rsid w:val="00857813"/>
    <w:rPr>
      <w:i/>
      <w:iCs/>
      <w:color w:val="404040" w:themeColor="text1" w:themeTint="BF"/>
    </w:rPr>
  </w:style>
  <w:style w:type="paragraph" w:styleId="ListParagraph">
    <w:name w:val="List Paragraph"/>
    <w:basedOn w:val="Normal"/>
    <w:uiPriority w:val="34"/>
    <w:qFormat/>
    <w:rsid w:val="00857813"/>
    <w:pPr>
      <w:ind w:left="720"/>
      <w:contextualSpacing/>
    </w:pPr>
  </w:style>
  <w:style w:type="character" w:styleId="IntenseEmphasis">
    <w:name w:val="Intense Emphasis"/>
    <w:basedOn w:val="DefaultParagraphFont"/>
    <w:uiPriority w:val="21"/>
    <w:qFormat/>
    <w:rsid w:val="00857813"/>
    <w:rPr>
      <w:i/>
      <w:iCs/>
      <w:color w:val="2F5496" w:themeColor="accent1" w:themeShade="BF"/>
    </w:rPr>
  </w:style>
  <w:style w:type="paragraph" w:styleId="IntenseQuote">
    <w:name w:val="Intense Quote"/>
    <w:basedOn w:val="Normal"/>
    <w:next w:val="Normal"/>
    <w:link w:val="IntenseQuoteChar"/>
    <w:uiPriority w:val="30"/>
    <w:qFormat/>
    <w:rsid w:val="0085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813"/>
    <w:rPr>
      <w:i/>
      <w:iCs/>
      <w:color w:val="2F5496" w:themeColor="accent1" w:themeShade="BF"/>
    </w:rPr>
  </w:style>
  <w:style w:type="character" w:styleId="IntenseReference">
    <w:name w:val="Intense Reference"/>
    <w:basedOn w:val="DefaultParagraphFont"/>
    <w:uiPriority w:val="32"/>
    <w:qFormat/>
    <w:rsid w:val="00857813"/>
    <w:rPr>
      <w:b/>
      <w:bCs/>
      <w:smallCaps/>
      <w:color w:val="2F5496" w:themeColor="accent1" w:themeShade="BF"/>
      <w:spacing w:val="5"/>
    </w:rPr>
  </w:style>
  <w:style w:type="character" w:styleId="Hyperlink">
    <w:name w:val="Hyperlink"/>
    <w:basedOn w:val="DefaultParagraphFont"/>
    <w:uiPriority w:val="99"/>
    <w:unhideWhenUsed/>
    <w:rsid w:val="00857813"/>
    <w:rPr>
      <w:color w:val="0563C1" w:themeColor="hyperlink"/>
      <w:u w:val="single"/>
    </w:rPr>
  </w:style>
  <w:style w:type="character" w:styleId="UnresolvedMention">
    <w:name w:val="Unresolved Mention"/>
    <w:basedOn w:val="DefaultParagraphFont"/>
    <w:uiPriority w:val="99"/>
    <w:semiHidden/>
    <w:unhideWhenUsed/>
    <w:rsid w:val="00857813"/>
    <w:rPr>
      <w:color w:val="605E5C"/>
      <w:shd w:val="clear" w:color="auto" w:fill="E1DFDD"/>
    </w:rPr>
  </w:style>
  <w:style w:type="table" w:styleId="TableGrid">
    <w:name w:val="Table Grid"/>
    <w:basedOn w:val="TableNormal"/>
    <w:uiPriority w:val="39"/>
    <w:rsid w:val="003B0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48F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B50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D53"/>
  </w:style>
  <w:style w:type="paragraph" w:styleId="Footer">
    <w:name w:val="footer"/>
    <w:basedOn w:val="Normal"/>
    <w:link w:val="FooterChar"/>
    <w:uiPriority w:val="99"/>
    <w:unhideWhenUsed/>
    <w:rsid w:val="00B50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D53"/>
  </w:style>
  <w:style w:type="paragraph" w:styleId="NormalWeb">
    <w:name w:val="Normal (Web)"/>
    <w:basedOn w:val="Normal"/>
    <w:uiPriority w:val="99"/>
    <w:semiHidden/>
    <w:unhideWhenUsed/>
    <w:rsid w:val="00944E99"/>
    <w:rPr>
      <w:rFonts w:ascii="Times New Roman" w:hAnsi="Times New Roman" w:cs="Times New Roman"/>
      <w:sz w:val="24"/>
      <w:szCs w:val="24"/>
    </w:rPr>
  </w:style>
  <w:style w:type="paragraph" w:customStyle="1" w:styleId="Body">
    <w:name w:val="Body"/>
    <w:basedOn w:val="Normal"/>
    <w:rsid w:val="002E7729"/>
    <w:pPr>
      <w:spacing w:after="240" w:line="240" w:lineRule="auto"/>
      <w:jc w:val="both"/>
    </w:pPr>
    <w:rPr>
      <w:rFonts w:ascii="Helvetica" w:eastAsia="Times New Roman" w:hAnsi="Helvetic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47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DAFA5-F9E4-4BEF-B25A-A85CF768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4748</Words>
  <Characters>27070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Gautami Santhapalli</dc:creator>
  <cp:keywords/>
  <dc:description/>
  <cp:lastModifiedBy>Editor-1183</cp:lastModifiedBy>
  <cp:revision>17</cp:revision>
  <dcterms:created xsi:type="dcterms:W3CDTF">2026-01-28T15:10:00Z</dcterms:created>
  <dcterms:modified xsi:type="dcterms:W3CDTF">2026-03-26T13:21:00Z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47231e01-a793-436b-9ce4-3fa00fe86c03</vt:lpwstr>
  </property>
</Properties>
</file>