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77281" w14:textId="77777777" w:rsidR="0080004B" w:rsidRDefault="00EC6D01" w:rsidP="0080004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Fixed Deposits, Fund Size and Performance of Unit Trust Funds in Kenya</w:t>
      </w:r>
    </w:p>
    <w:p w14:paraId="76135AA4" w14:textId="77777777" w:rsidR="00767081" w:rsidRDefault="00767081" w:rsidP="0029791C">
      <w:pPr>
        <w:spacing w:line="480" w:lineRule="auto"/>
        <w:jc w:val="both"/>
        <w:rPr>
          <w:rFonts w:ascii="Arial" w:hAnsi="Arial" w:cs="Arial"/>
          <w:b/>
        </w:rPr>
      </w:pPr>
    </w:p>
    <w:p w14:paraId="48FCFED6" w14:textId="5F894CD2" w:rsidR="0013031B" w:rsidRPr="00D32B8C" w:rsidRDefault="00196D32" w:rsidP="0029791C">
      <w:pPr>
        <w:spacing w:line="480" w:lineRule="auto"/>
        <w:jc w:val="both"/>
        <w:rPr>
          <w:rFonts w:ascii="Arial" w:hAnsi="Arial" w:cs="Arial"/>
          <w:b/>
        </w:rPr>
      </w:pPr>
      <w:r w:rsidRPr="00D32B8C">
        <w:rPr>
          <w:rFonts w:ascii="Arial" w:hAnsi="Arial" w:cs="Arial"/>
          <w:b/>
          <w:bCs/>
          <w:noProof/>
        </w:rPr>
        <mc:AlternateContent>
          <mc:Choice Requires="wps">
            <w:drawing>
              <wp:anchor distT="0" distB="0" distL="114300" distR="114300" simplePos="0" relativeHeight="251659264" behindDoc="0" locked="0" layoutInCell="1" allowOverlap="1" wp14:anchorId="08AB6EA6" wp14:editId="4A07B59D">
                <wp:simplePos x="0" y="0"/>
                <wp:positionH relativeFrom="column">
                  <wp:posOffset>26670</wp:posOffset>
                </wp:positionH>
                <wp:positionV relativeFrom="paragraph">
                  <wp:posOffset>320040</wp:posOffset>
                </wp:positionV>
                <wp:extent cx="5913120" cy="3832860"/>
                <wp:effectExtent l="57150" t="38100" r="68580" b="91440"/>
                <wp:wrapNone/>
                <wp:docPr id="1" name="Rectangle 1"/>
                <wp:cNvGraphicFramePr/>
                <a:graphic xmlns:a="http://schemas.openxmlformats.org/drawingml/2006/main">
                  <a:graphicData uri="http://schemas.microsoft.com/office/word/2010/wordprocessingShape">
                    <wps:wsp>
                      <wps:cNvSpPr/>
                      <wps:spPr>
                        <a:xfrm>
                          <a:off x="0" y="0"/>
                          <a:ext cx="5913120" cy="3832860"/>
                        </a:xfrm>
                        <a:prstGeom prst="rect">
                          <a:avLst/>
                        </a:prstGeom>
                      </wps:spPr>
                      <wps:style>
                        <a:lnRef idx="1">
                          <a:schemeClr val="dk1"/>
                        </a:lnRef>
                        <a:fillRef idx="2">
                          <a:schemeClr val="dk1"/>
                        </a:fillRef>
                        <a:effectRef idx="1">
                          <a:schemeClr val="dk1"/>
                        </a:effectRef>
                        <a:fontRef idx="minor">
                          <a:schemeClr val="dk1"/>
                        </a:fontRef>
                      </wps:style>
                      <wps:txbx>
                        <w:txbxContent>
                          <w:p w14:paraId="7920274E" w14:textId="1CA99F49" w:rsidR="00983F38" w:rsidRPr="00196D32" w:rsidRDefault="00983F38" w:rsidP="00196D32">
                            <w:pPr>
                              <w:spacing w:line="240" w:lineRule="auto"/>
                              <w:jc w:val="both"/>
                              <w:rPr>
                                <w:rFonts w:ascii="Arial" w:eastAsia="Times New Roman" w:hAnsi="Arial" w:cs="Arial"/>
                                <w:bCs/>
                                <w:sz w:val="20"/>
                                <w:szCs w:val="20"/>
                              </w:rPr>
                            </w:pPr>
                            <w:r w:rsidRPr="00196D32">
                              <w:rPr>
                                <w:rFonts w:ascii="Arial" w:hAnsi="Arial" w:cs="Arial"/>
                                <w:b/>
                                <w:bCs/>
                                <w:sz w:val="20"/>
                                <w:szCs w:val="20"/>
                              </w:rPr>
                              <w:t>Aim:</w:t>
                            </w:r>
                            <w:r w:rsidRPr="00196D32">
                              <w:rPr>
                                <w:rFonts w:ascii="Arial" w:hAnsi="Arial" w:cs="Arial"/>
                                <w:sz w:val="20"/>
                                <w:szCs w:val="20"/>
                              </w:rPr>
                              <w:t xml:space="preserve"> </w:t>
                            </w:r>
                            <w:r w:rsidRPr="00364502">
                              <w:rPr>
                                <w:rFonts w:ascii="Arial" w:hAnsi="Arial" w:cs="Arial"/>
                                <w:sz w:val="20"/>
                                <w:szCs w:val="20"/>
                              </w:rPr>
                              <w:t>T</w:t>
                            </w:r>
                            <w:r w:rsidRPr="00364502">
                              <w:rPr>
                                <w:rFonts w:ascii="Arial" w:eastAsia="Times New Roman" w:hAnsi="Arial" w:cs="Arial"/>
                                <w:bCs/>
                                <w:sz w:val="20"/>
                                <w:szCs w:val="20"/>
                              </w:rPr>
                              <w:t xml:space="preserve">o determine </w:t>
                            </w:r>
                            <w:r w:rsidRPr="00364502">
                              <w:rPr>
                                <w:rFonts w:ascii="Arial" w:eastAsia="Calibri" w:hAnsi="Arial" w:cs="Arial"/>
                                <w:color w:val="000000" w:themeColor="text1"/>
                                <w:kern w:val="24"/>
                                <w:sz w:val="20"/>
                                <w:szCs w:val="20"/>
                              </w:rPr>
                              <w:t>the moderating effect of fund size on the relationship between investing in fixed deposits and performance of unit trust funds in Kenya</w:t>
                            </w:r>
                            <w:r w:rsidRPr="00364502">
                              <w:rPr>
                                <w:rFonts w:ascii="Arial" w:eastAsia="Times New Roman" w:hAnsi="Arial" w:cs="Arial"/>
                                <w:bCs/>
                                <w:sz w:val="20"/>
                                <w:szCs w:val="20"/>
                              </w:rPr>
                              <w:t>.</w:t>
                            </w:r>
                            <w:r w:rsidRPr="00196D32">
                              <w:rPr>
                                <w:rFonts w:ascii="Arial" w:eastAsia="Times New Roman" w:hAnsi="Arial" w:cs="Arial"/>
                                <w:bCs/>
                                <w:sz w:val="20"/>
                                <w:szCs w:val="20"/>
                              </w:rPr>
                              <w:t xml:space="preserve"> </w:t>
                            </w:r>
                          </w:p>
                          <w:p w14:paraId="6190CA4E" w14:textId="38864521" w:rsidR="00983F38" w:rsidRPr="00196D32" w:rsidRDefault="00983F38" w:rsidP="00196D32">
                            <w:pPr>
                              <w:spacing w:line="240" w:lineRule="auto"/>
                              <w:jc w:val="both"/>
                              <w:rPr>
                                <w:rFonts w:ascii="Arial" w:hAnsi="Arial" w:cs="Arial"/>
                                <w:sz w:val="20"/>
                                <w:szCs w:val="20"/>
                              </w:rPr>
                            </w:pPr>
                            <w:r w:rsidRPr="00196D32">
                              <w:rPr>
                                <w:rFonts w:ascii="Arial" w:eastAsia="Times New Roman" w:hAnsi="Arial" w:cs="Arial"/>
                                <w:b/>
                                <w:sz w:val="20"/>
                                <w:szCs w:val="20"/>
                              </w:rPr>
                              <w:t>Study design:</w:t>
                            </w:r>
                            <w:r w:rsidRPr="00196D32">
                              <w:rPr>
                                <w:rFonts w:ascii="Arial" w:hAnsi="Arial" w:cs="Arial"/>
                                <w:sz w:val="20"/>
                                <w:szCs w:val="20"/>
                              </w:rPr>
                              <w:t xml:space="preserve"> </w:t>
                            </w:r>
                            <w:r>
                              <w:rPr>
                                <w:rFonts w:ascii="Arial" w:hAnsi="Arial" w:cs="Arial"/>
                                <w:sz w:val="20"/>
                                <w:szCs w:val="20"/>
                              </w:rPr>
                              <w:t>C</w:t>
                            </w:r>
                            <w:r w:rsidRPr="00196D32">
                              <w:rPr>
                                <w:rFonts w:ascii="Arial" w:hAnsi="Arial" w:cs="Arial"/>
                                <w:sz w:val="20"/>
                                <w:szCs w:val="20"/>
                              </w:rPr>
                              <w:t xml:space="preserve">ausal design. </w:t>
                            </w:r>
                          </w:p>
                          <w:p w14:paraId="2543DBDC" w14:textId="51785AC5" w:rsidR="00983F38" w:rsidRDefault="00983F38" w:rsidP="00196D32">
                            <w:pPr>
                              <w:spacing w:line="240" w:lineRule="auto"/>
                              <w:jc w:val="both"/>
                              <w:rPr>
                                <w:rFonts w:ascii="Arial" w:hAnsi="Arial" w:cs="Arial"/>
                                <w:b/>
                                <w:bCs/>
                                <w:sz w:val="20"/>
                                <w:szCs w:val="20"/>
                              </w:rPr>
                            </w:pPr>
                            <w:r w:rsidRPr="00C138F5">
                              <w:rPr>
                                <w:rFonts w:ascii="Arial" w:hAnsi="Arial" w:cs="Arial"/>
                                <w:b/>
                                <w:bCs/>
                                <w:sz w:val="20"/>
                                <w:szCs w:val="20"/>
                              </w:rPr>
                              <w:t>Place and Duration of Study:</w:t>
                            </w:r>
                            <w:r>
                              <w:rPr>
                                <w:rFonts w:ascii="Arial" w:hAnsi="Arial" w:cs="Arial"/>
                                <w:b/>
                                <w:bCs/>
                                <w:sz w:val="20"/>
                                <w:szCs w:val="20"/>
                              </w:rPr>
                              <w:t xml:space="preserve"> </w:t>
                            </w:r>
                            <w:r w:rsidRPr="00421556">
                              <w:rPr>
                                <w:rFonts w:ascii="Arial" w:hAnsi="Arial" w:cs="Arial"/>
                                <w:sz w:val="20"/>
                                <w:szCs w:val="20"/>
                              </w:rPr>
                              <w:t>Census:</w:t>
                            </w:r>
                            <w:r>
                              <w:rPr>
                                <w:rFonts w:ascii="Arial" w:hAnsi="Arial" w:cs="Arial"/>
                                <w:b/>
                                <w:bCs/>
                                <w:sz w:val="20"/>
                                <w:szCs w:val="20"/>
                              </w:rPr>
                              <w:t xml:space="preserve"> </w:t>
                            </w:r>
                            <w:r w:rsidRPr="00C138F5">
                              <w:rPr>
                                <w:rFonts w:ascii="Arial" w:hAnsi="Arial" w:cs="Arial"/>
                                <w:sz w:val="20"/>
                                <w:szCs w:val="20"/>
                              </w:rPr>
                              <w:t>Unit Trust Funds in Kenya for the period between January 2015 to</w:t>
                            </w:r>
                            <w:r>
                              <w:rPr>
                                <w:rFonts w:ascii="Arial" w:hAnsi="Arial" w:cs="Arial"/>
                                <w:sz w:val="20"/>
                                <w:szCs w:val="20"/>
                              </w:rPr>
                              <w:t xml:space="preserve"> </w:t>
                            </w:r>
                            <w:r w:rsidRPr="00C138F5">
                              <w:rPr>
                                <w:rFonts w:ascii="Arial" w:hAnsi="Arial" w:cs="Arial"/>
                                <w:sz w:val="20"/>
                                <w:szCs w:val="20"/>
                              </w:rPr>
                              <w:t>Decemb</w:t>
                            </w:r>
                            <w:r>
                              <w:rPr>
                                <w:rFonts w:ascii="Arial" w:hAnsi="Arial" w:cs="Arial"/>
                                <w:sz w:val="20"/>
                                <w:szCs w:val="20"/>
                              </w:rPr>
                              <w:t>e</w:t>
                            </w:r>
                            <w:r w:rsidRPr="00C138F5">
                              <w:rPr>
                                <w:rFonts w:ascii="Arial" w:hAnsi="Arial" w:cs="Arial"/>
                                <w:sz w:val="20"/>
                                <w:szCs w:val="20"/>
                              </w:rPr>
                              <w:t>r 2023.</w:t>
                            </w:r>
                          </w:p>
                          <w:p w14:paraId="4D5B8B3E" w14:textId="4A3E7F10" w:rsidR="00983F38" w:rsidRPr="00196D32" w:rsidRDefault="00983F38" w:rsidP="00196D32">
                            <w:pPr>
                              <w:spacing w:line="240" w:lineRule="auto"/>
                              <w:jc w:val="both"/>
                              <w:rPr>
                                <w:rFonts w:ascii="Arial" w:hAnsi="Arial" w:cs="Arial"/>
                                <w:sz w:val="20"/>
                                <w:szCs w:val="20"/>
                              </w:rPr>
                            </w:pPr>
                            <w:r w:rsidRPr="00C138F5">
                              <w:rPr>
                                <w:rFonts w:ascii="Arial" w:hAnsi="Arial" w:cs="Arial"/>
                                <w:b/>
                                <w:bCs/>
                                <w:sz w:val="20"/>
                                <w:szCs w:val="20"/>
                              </w:rPr>
                              <w:t>Methodology</w:t>
                            </w:r>
                            <w:r w:rsidRPr="00845B66">
                              <w:rPr>
                                <w:rFonts w:ascii="Arial" w:hAnsi="Arial" w:cs="Arial"/>
                                <w:b/>
                                <w:bCs/>
                                <w:sz w:val="20"/>
                                <w:szCs w:val="20"/>
                              </w:rPr>
                              <w:t>:</w:t>
                            </w:r>
                            <w:r w:rsidRPr="00845B66">
                              <w:rPr>
                                <w:rFonts w:ascii="Arial" w:hAnsi="Arial" w:cs="Arial"/>
                                <w:sz w:val="20"/>
                                <w:szCs w:val="20"/>
                              </w:rPr>
                              <w:t xml:space="preserve"> Target population was 37 approved Unit Trust Funds in Kenya.  Census survey was adopted where all the 37 approved unit trust funds in Kenya were studied. The study used secondary data which was collected using a secondary data collection sheet. Data collected was analyzed using Stata version 18.0. Both descriptive and inferential statistics was used in data analysis. Descriptive statistics that were adopted in this study include; mean, standard deviation, minimum and maximum while the inferential statistic tools that were used include both Pearson correlation and panel data analysis.</w:t>
                            </w:r>
                            <w:r w:rsidRPr="00196D32">
                              <w:rPr>
                                <w:rFonts w:ascii="Arial" w:hAnsi="Arial" w:cs="Arial"/>
                                <w:sz w:val="20"/>
                                <w:szCs w:val="20"/>
                              </w:rPr>
                              <w:t xml:space="preserve"> </w:t>
                            </w:r>
                          </w:p>
                          <w:p w14:paraId="4BF9B08D" w14:textId="77777777" w:rsidR="00983F38" w:rsidRPr="00196D32" w:rsidRDefault="00983F38" w:rsidP="00196D32">
                            <w:pPr>
                              <w:spacing w:line="240" w:lineRule="auto"/>
                              <w:jc w:val="both"/>
                              <w:rPr>
                                <w:rFonts w:ascii="Arial" w:hAnsi="Arial" w:cs="Arial"/>
                                <w:sz w:val="20"/>
                                <w:szCs w:val="20"/>
                              </w:rPr>
                            </w:pPr>
                            <w:r w:rsidRPr="00196D32">
                              <w:rPr>
                                <w:rFonts w:ascii="Arial" w:hAnsi="Arial" w:cs="Arial"/>
                                <w:b/>
                                <w:bCs/>
                                <w:sz w:val="20"/>
                                <w:szCs w:val="20"/>
                              </w:rPr>
                              <w:t>Results:</w:t>
                            </w:r>
                            <w:r w:rsidRPr="00196D32">
                              <w:rPr>
                                <w:rFonts w:ascii="Arial" w:hAnsi="Arial" w:cs="Arial"/>
                                <w:sz w:val="20"/>
                                <w:szCs w:val="20"/>
                              </w:rPr>
                              <w:t xml:space="preserve"> Findings revealed that investing in fixed deposits had a significant positive effect on performance with (β=0.200, p &lt; 0.05). Fund size had a significant moderating effect on the relationship between investment vehicles and performance of UTFs with (β= 0.345, p &lt; 0.05). </w:t>
                            </w:r>
                          </w:p>
                          <w:p w14:paraId="4E3D46A6" w14:textId="69E0360E" w:rsidR="00983F38" w:rsidRPr="00F57DD9" w:rsidRDefault="00983F38" w:rsidP="00196D32">
                            <w:pPr>
                              <w:spacing w:line="240" w:lineRule="auto"/>
                              <w:jc w:val="both"/>
                              <w:rPr>
                                <w:rFonts w:ascii="Arial" w:hAnsi="Arial" w:cs="Arial"/>
                                <w:sz w:val="20"/>
                                <w:szCs w:val="20"/>
                              </w:rPr>
                            </w:pPr>
                            <w:r w:rsidRPr="00196D32">
                              <w:rPr>
                                <w:rFonts w:ascii="Arial" w:hAnsi="Arial" w:cs="Arial"/>
                                <w:b/>
                                <w:bCs/>
                                <w:sz w:val="20"/>
                                <w:szCs w:val="20"/>
                              </w:rPr>
                              <w:t>Conclusion:</w:t>
                            </w:r>
                            <w:r w:rsidRPr="00196D32">
                              <w:rPr>
                                <w:rFonts w:ascii="Arial" w:hAnsi="Arial" w:cs="Arial"/>
                                <w:sz w:val="20"/>
                                <w:szCs w:val="20"/>
                              </w:rPr>
                              <w:t xml:space="preserve"> The study concluded that Unit trust funds that invest in fixed deposits have high chances of recording better asset returns. The study also concluded that fund size has a significant moderating effect on the relationship between investing in fixed deposits and performance of unit trust funds in Kenya. Unit trust funds with large fund size enjoy economies of scale, enjoy increased market power and chances of access to capital are high all which contributes to increase in asset returns. Fund managers of unit trust funds should increase the proportion on investment in fixed deposits as they improve investment returns. </w:t>
                            </w:r>
                          </w:p>
                          <w:p w14:paraId="78A8626D" w14:textId="77777777" w:rsidR="00983F38" w:rsidRDefault="00983F38" w:rsidP="00196D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B6EA6" id="Rectangle 1" o:spid="_x0000_s1026" style="position:absolute;left:0;text-align:left;margin-left:2.1pt;margin-top:25.2pt;width:465.6pt;height:30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" fillcolor="gray [1616]" strokecolor="black [3040]">
                <v:fill color2="#d9d9d9 [496]" rotate="t" angle="180" colors="0 #bcbcbc;22938f #d0d0d0;1 #ededed" focus="100%" type="gradient"/>
                <v:shadow on="t" color="black" opacity="24903f" origin=",.5" offset="0,.55556mm"/>
                <v:textbox>
                  <w:txbxContent>
                    <w:p w14:paraId="7920274E" w14:textId="1CA99F49" w:rsidR="00983F38" w:rsidRPr="00196D32" w:rsidRDefault="00983F38" w:rsidP="00196D32">
                      <w:pPr>
                        <w:spacing w:line="240" w:lineRule="auto"/>
                        <w:jc w:val="both"/>
                        <w:rPr>
                          <w:rFonts w:ascii="Arial" w:eastAsia="Times New Roman" w:hAnsi="Arial" w:cs="Arial"/>
                          <w:bCs/>
                          <w:sz w:val="20"/>
                          <w:szCs w:val="20"/>
                        </w:rPr>
                      </w:pPr>
                      <w:r w:rsidRPr="00196D32">
                        <w:rPr>
                          <w:rFonts w:ascii="Arial" w:hAnsi="Arial" w:cs="Arial"/>
                          <w:b/>
                          <w:bCs/>
                          <w:sz w:val="20"/>
                          <w:szCs w:val="20"/>
                        </w:rPr>
                        <w:t>Aim:</w:t>
                      </w:r>
                      <w:r w:rsidRPr="00196D32">
                        <w:rPr>
                          <w:rFonts w:ascii="Arial" w:hAnsi="Arial" w:cs="Arial"/>
                          <w:sz w:val="20"/>
                          <w:szCs w:val="20"/>
                        </w:rPr>
                        <w:t xml:space="preserve"> </w:t>
                      </w:r>
                      <w:r w:rsidRPr="00364502">
                        <w:rPr>
                          <w:rFonts w:ascii="Arial" w:hAnsi="Arial" w:cs="Arial"/>
                          <w:sz w:val="20"/>
                          <w:szCs w:val="20"/>
                        </w:rPr>
                        <w:t>T</w:t>
                      </w:r>
                      <w:r w:rsidRPr="00364502">
                        <w:rPr>
                          <w:rFonts w:ascii="Arial" w:eastAsia="Times New Roman" w:hAnsi="Arial" w:cs="Arial"/>
                          <w:bCs/>
                          <w:sz w:val="20"/>
                          <w:szCs w:val="20"/>
                        </w:rPr>
                        <w:t xml:space="preserve">o determine </w:t>
                      </w:r>
                      <w:r w:rsidRPr="00364502">
                        <w:rPr>
                          <w:rFonts w:ascii="Arial" w:eastAsia="Calibri" w:hAnsi="Arial" w:cs="Arial"/>
                          <w:color w:val="000000" w:themeColor="text1"/>
                          <w:kern w:val="24"/>
                          <w:sz w:val="20"/>
                          <w:szCs w:val="20"/>
                        </w:rPr>
                        <w:t>the moderating effect of fund size on the relationship between investing in fixed deposits and performance of unit trust funds in Kenya</w:t>
                      </w:r>
                      <w:r w:rsidRPr="00364502">
                        <w:rPr>
                          <w:rFonts w:ascii="Arial" w:eastAsia="Times New Roman" w:hAnsi="Arial" w:cs="Arial"/>
                          <w:bCs/>
                          <w:sz w:val="20"/>
                          <w:szCs w:val="20"/>
                        </w:rPr>
                        <w:t>.</w:t>
                      </w:r>
                      <w:r w:rsidRPr="00196D32">
                        <w:rPr>
                          <w:rFonts w:ascii="Arial" w:eastAsia="Times New Roman" w:hAnsi="Arial" w:cs="Arial"/>
                          <w:bCs/>
                          <w:sz w:val="20"/>
                          <w:szCs w:val="20"/>
                        </w:rPr>
                        <w:t xml:space="preserve"> </w:t>
                      </w:r>
                    </w:p>
                    <w:p w14:paraId="6190CA4E" w14:textId="38864521" w:rsidR="00983F38" w:rsidRPr="00196D32" w:rsidRDefault="00983F38" w:rsidP="00196D32">
                      <w:pPr>
                        <w:spacing w:line="240" w:lineRule="auto"/>
                        <w:jc w:val="both"/>
                        <w:rPr>
                          <w:rFonts w:ascii="Arial" w:hAnsi="Arial" w:cs="Arial"/>
                          <w:sz w:val="20"/>
                          <w:szCs w:val="20"/>
                        </w:rPr>
                      </w:pPr>
                      <w:r w:rsidRPr="00196D32">
                        <w:rPr>
                          <w:rFonts w:ascii="Arial" w:eastAsia="Times New Roman" w:hAnsi="Arial" w:cs="Arial"/>
                          <w:b/>
                          <w:sz w:val="20"/>
                          <w:szCs w:val="20"/>
                        </w:rPr>
                        <w:t>Study design:</w:t>
                      </w:r>
                      <w:r w:rsidRPr="00196D32">
                        <w:rPr>
                          <w:rFonts w:ascii="Arial" w:hAnsi="Arial" w:cs="Arial"/>
                          <w:sz w:val="20"/>
                          <w:szCs w:val="20"/>
                        </w:rPr>
                        <w:t xml:space="preserve"> </w:t>
                      </w:r>
                      <w:r>
                        <w:rPr>
                          <w:rFonts w:ascii="Arial" w:hAnsi="Arial" w:cs="Arial"/>
                          <w:sz w:val="20"/>
                          <w:szCs w:val="20"/>
                        </w:rPr>
                        <w:t>C</w:t>
                      </w:r>
                      <w:r w:rsidRPr="00196D32">
                        <w:rPr>
                          <w:rFonts w:ascii="Arial" w:hAnsi="Arial" w:cs="Arial"/>
                          <w:sz w:val="20"/>
                          <w:szCs w:val="20"/>
                        </w:rPr>
                        <w:t xml:space="preserve">ausal design. </w:t>
                      </w:r>
                    </w:p>
                    <w:p w14:paraId="2543DBDC" w14:textId="51785AC5" w:rsidR="00983F38" w:rsidRDefault="00983F38" w:rsidP="00196D32">
                      <w:pPr>
                        <w:spacing w:line="240" w:lineRule="auto"/>
                        <w:jc w:val="both"/>
                        <w:rPr>
                          <w:rFonts w:ascii="Arial" w:hAnsi="Arial" w:cs="Arial"/>
                          <w:b/>
                          <w:bCs/>
                          <w:sz w:val="20"/>
                          <w:szCs w:val="20"/>
                        </w:rPr>
                      </w:pPr>
                      <w:r w:rsidRPr="00C138F5">
                        <w:rPr>
                          <w:rFonts w:ascii="Arial" w:hAnsi="Arial" w:cs="Arial"/>
                          <w:b/>
                          <w:bCs/>
                          <w:sz w:val="20"/>
                          <w:szCs w:val="20"/>
                        </w:rPr>
                        <w:t>Place and Duration of Study:</w:t>
                      </w:r>
                      <w:r>
                        <w:rPr>
                          <w:rFonts w:ascii="Arial" w:hAnsi="Arial" w:cs="Arial"/>
                          <w:b/>
                          <w:bCs/>
                          <w:sz w:val="20"/>
                          <w:szCs w:val="20"/>
                        </w:rPr>
                        <w:t xml:space="preserve"> </w:t>
                      </w:r>
                      <w:r w:rsidRPr="00421556">
                        <w:rPr>
                          <w:rFonts w:ascii="Arial" w:hAnsi="Arial" w:cs="Arial"/>
                          <w:sz w:val="20"/>
                          <w:szCs w:val="20"/>
                        </w:rPr>
                        <w:t>Census:</w:t>
                      </w:r>
                      <w:r>
                        <w:rPr>
                          <w:rFonts w:ascii="Arial" w:hAnsi="Arial" w:cs="Arial"/>
                          <w:b/>
                          <w:bCs/>
                          <w:sz w:val="20"/>
                          <w:szCs w:val="20"/>
                        </w:rPr>
                        <w:t xml:space="preserve"> </w:t>
                      </w:r>
                      <w:r w:rsidRPr="00C138F5">
                        <w:rPr>
                          <w:rFonts w:ascii="Arial" w:hAnsi="Arial" w:cs="Arial"/>
                          <w:sz w:val="20"/>
                          <w:szCs w:val="20"/>
                        </w:rPr>
                        <w:t>Unit Trust Funds in Kenya for the period between January 2015 to</w:t>
                      </w:r>
                      <w:r>
                        <w:rPr>
                          <w:rFonts w:ascii="Arial" w:hAnsi="Arial" w:cs="Arial"/>
                          <w:sz w:val="20"/>
                          <w:szCs w:val="20"/>
                        </w:rPr>
                        <w:t xml:space="preserve"> </w:t>
                      </w:r>
                      <w:r w:rsidRPr="00C138F5">
                        <w:rPr>
                          <w:rFonts w:ascii="Arial" w:hAnsi="Arial" w:cs="Arial"/>
                          <w:sz w:val="20"/>
                          <w:szCs w:val="20"/>
                        </w:rPr>
                        <w:t>Decemb</w:t>
                      </w:r>
                      <w:r>
                        <w:rPr>
                          <w:rFonts w:ascii="Arial" w:hAnsi="Arial" w:cs="Arial"/>
                          <w:sz w:val="20"/>
                          <w:szCs w:val="20"/>
                        </w:rPr>
                        <w:t>e</w:t>
                      </w:r>
                      <w:r w:rsidRPr="00C138F5">
                        <w:rPr>
                          <w:rFonts w:ascii="Arial" w:hAnsi="Arial" w:cs="Arial"/>
                          <w:sz w:val="20"/>
                          <w:szCs w:val="20"/>
                        </w:rPr>
                        <w:t>r 2023.</w:t>
                      </w:r>
                    </w:p>
                    <w:p w14:paraId="4D5B8B3E" w14:textId="4A3E7F10" w:rsidR="00983F38" w:rsidRPr="00196D32" w:rsidRDefault="00983F38" w:rsidP="00196D32">
                      <w:pPr>
                        <w:spacing w:line="240" w:lineRule="auto"/>
                        <w:jc w:val="both"/>
                        <w:rPr>
                          <w:rFonts w:ascii="Arial" w:hAnsi="Arial" w:cs="Arial"/>
                          <w:sz w:val="20"/>
                          <w:szCs w:val="20"/>
                        </w:rPr>
                      </w:pPr>
                      <w:r w:rsidRPr="00C138F5">
                        <w:rPr>
                          <w:rFonts w:ascii="Arial" w:hAnsi="Arial" w:cs="Arial"/>
                          <w:b/>
                          <w:bCs/>
                          <w:sz w:val="20"/>
                          <w:szCs w:val="20"/>
                        </w:rPr>
                        <w:t>Methodology</w:t>
                      </w:r>
                      <w:r w:rsidRPr="00845B66">
                        <w:rPr>
                          <w:rFonts w:ascii="Arial" w:hAnsi="Arial" w:cs="Arial"/>
                          <w:b/>
                          <w:bCs/>
                          <w:sz w:val="20"/>
                          <w:szCs w:val="20"/>
                        </w:rPr>
                        <w:t>:</w:t>
                      </w:r>
                      <w:r w:rsidRPr="00845B66">
                        <w:rPr>
                          <w:rFonts w:ascii="Arial" w:hAnsi="Arial" w:cs="Arial"/>
                          <w:sz w:val="20"/>
                          <w:szCs w:val="20"/>
                        </w:rPr>
                        <w:t xml:space="preserve"> Target population was 37 approved Unit Trust Funds in Kenya.  Census survey was adopted where all the 37 approved unit trust funds in Kenya were studied. The study used secondary data which was collected using a secondary data collection sheet. Data collected was analyzed using Stata version 18.0. Both descriptive and inferential statistics was used in data analysis. Descriptive statistics that were adopted in this study include; mean, standard deviation, minimum and maximum while the inferential statistic tools that were used include both Pearson correlation and panel data analysis.</w:t>
                      </w:r>
                      <w:r w:rsidRPr="00196D32">
                        <w:rPr>
                          <w:rFonts w:ascii="Arial" w:hAnsi="Arial" w:cs="Arial"/>
                          <w:sz w:val="20"/>
                          <w:szCs w:val="20"/>
                        </w:rPr>
                        <w:t xml:space="preserve"> </w:t>
                      </w:r>
                    </w:p>
                    <w:p w14:paraId="4BF9B08D" w14:textId="77777777" w:rsidR="00983F38" w:rsidRPr="00196D32" w:rsidRDefault="00983F38" w:rsidP="00196D32">
                      <w:pPr>
                        <w:spacing w:line="240" w:lineRule="auto"/>
                        <w:jc w:val="both"/>
                        <w:rPr>
                          <w:rFonts w:ascii="Arial" w:hAnsi="Arial" w:cs="Arial"/>
                          <w:sz w:val="20"/>
                          <w:szCs w:val="20"/>
                        </w:rPr>
                      </w:pPr>
                      <w:r w:rsidRPr="00196D32">
                        <w:rPr>
                          <w:rFonts w:ascii="Arial" w:hAnsi="Arial" w:cs="Arial"/>
                          <w:b/>
                          <w:bCs/>
                          <w:sz w:val="20"/>
                          <w:szCs w:val="20"/>
                        </w:rPr>
                        <w:t>Results:</w:t>
                      </w:r>
                      <w:r w:rsidRPr="00196D32">
                        <w:rPr>
                          <w:rFonts w:ascii="Arial" w:hAnsi="Arial" w:cs="Arial"/>
                          <w:sz w:val="20"/>
                          <w:szCs w:val="20"/>
                        </w:rPr>
                        <w:t xml:space="preserve"> Findings revealed that investing in fixed deposits had a significant positive effect on performance with (β=0.200, p &lt; 0.05). Fund size had a significant moderating effect on the relationship between investment vehicles and performance of UTFs with (β= 0.345, p &lt; 0.05). </w:t>
                      </w:r>
                    </w:p>
                    <w:p w14:paraId="4E3D46A6" w14:textId="69E0360E" w:rsidR="00983F38" w:rsidRPr="00F57DD9" w:rsidRDefault="00983F38" w:rsidP="00196D32">
                      <w:pPr>
                        <w:spacing w:line="240" w:lineRule="auto"/>
                        <w:jc w:val="both"/>
                        <w:rPr>
                          <w:rFonts w:ascii="Arial" w:hAnsi="Arial" w:cs="Arial"/>
                          <w:sz w:val="20"/>
                          <w:szCs w:val="20"/>
                        </w:rPr>
                      </w:pPr>
                      <w:r w:rsidRPr="00196D32">
                        <w:rPr>
                          <w:rFonts w:ascii="Arial" w:hAnsi="Arial" w:cs="Arial"/>
                          <w:b/>
                          <w:bCs/>
                          <w:sz w:val="20"/>
                          <w:szCs w:val="20"/>
                        </w:rPr>
                        <w:t>Conclusion:</w:t>
                      </w:r>
                      <w:r w:rsidRPr="00196D32">
                        <w:rPr>
                          <w:rFonts w:ascii="Arial" w:hAnsi="Arial" w:cs="Arial"/>
                          <w:sz w:val="20"/>
                          <w:szCs w:val="20"/>
                        </w:rPr>
                        <w:t xml:space="preserve"> The study concluded that Unit trust funds that invest in fixed deposits have high chances of recording better asset returns. The study also concluded that fund size has a significant moderating effect on the relationship between investing in fixed deposits and performance of unit trust funds in Kenya. Unit trust funds with large fund size enjoy economies of scale, enjoy increased market power and chances of access to capital are high all which contributes to increase in asset returns. Fund managers of unit trust funds should increase the proportion on investment in fixed deposits as they improve investment returns. </w:t>
                      </w:r>
                    </w:p>
                    <w:p w14:paraId="78A8626D" w14:textId="77777777" w:rsidR="00983F38" w:rsidRDefault="00983F38" w:rsidP="00196D32">
                      <w:pPr>
                        <w:jc w:val="center"/>
                      </w:pPr>
                    </w:p>
                  </w:txbxContent>
                </v:textbox>
              </v:rect>
            </w:pict>
          </mc:Fallback>
        </mc:AlternateContent>
      </w:r>
      <w:r w:rsidR="0035063F" w:rsidRPr="00D32B8C">
        <w:rPr>
          <w:rFonts w:ascii="Arial" w:hAnsi="Arial" w:cs="Arial"/>
          <w:b/>
        </w:rPr>
        <w:t>ABSTRACT</w:t>
      </w:r>
    </w:p>
    <w:p w14:paraId="18459C09" w14:textId="77777777" w:rsidR="0029791C" w:rsidRDefault="0029791C" w:rsidP="0013031B">
      <w:pPr>
        <w:spacing w:line="240" w:lineRule="auto"/>
        <w:jc w:val="both"/>
        <w:rPr>
          <w:rFonts w:cstheme="minorHAnsi"/>
          <w:b/>
        </w:rPr>
      </w:pPr>
    </w:p>
    <w:p w14:paraId="0EA2F2AF" w14:textId="77777777" w:rsidR="0029791C" w:rsidRPr="0029791C" w:rsidRDefault="0029791C" w:rsidP="0013031B">
      <w:pPr>
        <w:spacing w:line="240" w:lineRule="auto"/>
        <w:jc w:val="both"/>
        <w:rPr>
          <w:rFonts w:cstheme="minorHAnsi"/>
          <w:b/>
        </w:rPr>
      </w:pPr>
    </w:p>
    <w:p w14:paraId="13AE6895" w14:textId="7B81BE27" w:rsidR="00196D32" w:rsidRDefault="00196D32" w:rsidP="00703349">
      <w:pPr>
        <w:spacing w:after="0" w:line="360" w:lineRule="auto"/>
        <w:rPr>
          <w:rFonts w:ascii="Arial" w:hAnsi="Arial" w:cs="Arial"/>
          <w:b/>
          <w:bCs/>
          <w:sz w:val="20"/>
          <w:szCs w:val="20"/>
        </w:rPr>
      </w:pPr>
    </w:p>
    <w:p w14:paraId="7AFDC3B0" w14:textId="77777777" w:rsidR="00196D32" w:rsidRDefault="00196D32" w:rsidP="00703349">
      <w:pPr>
        <w:spacing w:after="0" w:line="360" w:lineRule="auto"/>
        <w:rPr>
          <w:rFonts w:ascii="Arial" w:hAnsi="Arial" w:cs="Arial"/>
          <w:b/>
          <w:bCs/>
          <w:sz w:val="20"/>
          <w:szCs w:val="20"/>
        </w:rPr>
      </w:pPr>
    </w:p>
    <w:p w14:paraId="39AF7C69" w14:textId="77777777" w:rsidR="00196D32" w:rsidRDefault="00196D32" w:rsidP="00703349">
      <w:pPr>
        <w:spacing w:after="0" w:line="360" w:lineRule="auto"/>
        <w:rPr>
          <w:rFonts w:ascii="Arial" w:hAnsi="Arial" w:cs="Arial"/>
          <w:b/>
          <w:bCs/>
          <w:sz w:val="20"/>
          <w:szCs w:val="20"/>
        </w:rPr>
      </w:pPr>
    </w:p>
    <w:p w14:paraId="118E00A2" w14:textId="77777777" w:rsidR="00196D32" w:rsidRDefault="00196D32" w:rsidP="00703349">
      <w:pPr>
        <w:spacing w:after="0" w:line="360" w:lineRule="auto"/>
        <w:rPr>
          <w:rFonts w:ascii="Arial" w:hAnsi="Arial" w:cs="Arial"/>
          <w:b/>
          <w:bCs/>
          <w:sz w:val="20"/>
          <w:szCs w:val="20"/>
        </w:rPr>
      </w:pPr>
    </w:p>
    <w:p w14:paraId="154FE11A" w14:textId="77777777" w:rsidR="00196D32" w:rsidRDefault="00196D32" w:rsidP="00703349">
      <w:pPr>
        <w:spacing w:after="0" w:line="360" w:lineRule="auto"/>
        <w:rPr>
          <w:rFonts w:ascii="Arial" w:hAnsi="Arial" w:cs="Arial"/>
          <w:b/>
          <w:bCs/>
          <w:sz w:val="20"/>
          <w:szCs w:val="20"/>
        </w:rPr>
      </w:pPr>
    </w:p>
    <w:p w14:paraId="7B768693" w14:textId="77777777" w:rsidR="00196D32" w:rsidRDefault="00196D32" w:rsidP="00703349">
      <w:pPr>
        <w:spacing w:after="0" w:line="360" w:lineRule="auto"/>
        <w:rPr>
          <w:rFonts w:ascii="Arial" w:hAnsi="Arial" w:cs="Arial"/>
          <w:b/>
          <w:bCs/>
          <w:sz w:val="20"/>
          <w:szCs w:val="20"/>
        </w:rPr>
      </w:pPr>
    </w:p>
    <w:p w14:paraId="13E218B3" w14:textId="77777777" w:rsidR="00196D32" w:rsidRDefault="00196D32" w:rsidP="00703349">
      <w:pPr>
        <w:spacing w:after="0" w:line="360" w:lineRule="auto"/>
        <w:rPr>
          <w:rFonts w:ascii="Arial" w:hAnsi="Arial" w:cs="Arial"/>
          <w:b/>
          <w:bCs/>
          <w:sz w:val="20"/>
          <w:szCs w:val="20"/>
        </w:rPr>
      </w:pPr>
    </w:p>
    <w:p w14:paraId="45AE1745" w14:textId="77777777" w:rsidR="00196D32" w:rsidRDefault="00196D32" w:rsidP="00703349">
      <w:pPr>
        <w:spacing w:after="0" w:line="360" w:lineRule="auto"/>
        <w:rPr>
          <w:rFonts w:ascii="Arial" w:hAnsi="Arial" w:cs="Arial"/>
          <w:b/>
          <w:bCs/>
          <w:sz w:val="20"/>
          <w:szCs w:val="20"/>
        </w:rPr>
      </w:pPr>
    </w:p>
    <w:p w14:paraId="48DA3B4A" w14:textId="77777777" w:rsidR="00196D32" w:rsidRDefault="00196D32" w:rsidP="00703349">
      <w:pPr>
        <w:spacing w:after="0" w:line="360" w:lineRule="auto"/>
        <w:rPr>
          <w:rFonts w:ascii="Arial" w:hAnsi="Arial" w:cs="Arial"/>
          <w:b/>
          <w:bCs/>
          <w:sz w:val="20"/>
          <w:szCs w:val="20"/>
        </w:rPr>
      </w:pPr>
    </w:p>
    <w:p w14:paraId="57D4DD32" w14:textId="77777777" w:rsidR="00196D32" w:rsidRDefault="00196D32" w:rsidP="00703349">
      <w:pPr>
        <w:spacing w:after="0" w:line="360" w:lineRule="auto"/>
        <w:rPr>
          <w:rFonts w:ascii="Arial" w:hAnsi="Arial" w:cs="Arial"/>
          <w:b/>
          <w:bCs/>
          <w:sz w:val="20"/>
          <w:szCs w:val="20"/>
        </w:rPr>
      </w:pPr>
    </w:p>
    <w:p w14:paraId="778EEC3D" w14:textId="77777777" w:rsidR="00196D32" w:rsidRDefault="00196D32" w:rsidP="00703349">
      <w:pPr>
        <w:spacing w:after="0" w:line="360" w:lineRule="auto"/>
        <w:rPr>
          <w:rFonts w:ascii="Arial" w:hAnsi="Arial" w:cs="Arial"/>
          <w:b/>
          <w:bCs/>
          <w:sz w:val="20"/>
          <w:szCs w:val="20"/>
        </w:rPr>
      </w:pPr>
    </w:p>
    <w:p w14:paraId="311F767C" w14:textId="77777777" w:rsidR="00196D32" w:rsidRDefault="00196D32" w:rsidP="00703349">
      <w:pPr>
        <w:spacing w:after="0" w:line="360" w:lineRule="auto"/>
        <w:rPr>
          <w:rFonts w:ascii="Arial" w:hAnsi="Arial" w:cs="Arial"/>
          <w:b/>
          <w:bCs/>
          <w:sz w:val="20"/>
          <w:szCs w:val="20"/>
        </w:rPr>
      </w:pPr>
    </w:p>
    <w:p w14:paraId="7349EE75" w14:textId="77777777" w:rsidR="00196D32" w:rsidRDefault="00196D32" w:rsidP="00703349">
      <w:pPr>
        <w:spacing w:after="0" w:line="360" w:lineRule="auto"/>
        <w:rPr>
          <w:rFonts w:ascii="Arial" w:hAnsi="Arial" w:cs="Arial"/>
          <w:b/>
          <w:bCs/>
          <w:sz w:val="20"/>
          <w:szCs w:val="20"/>
        </w:rPr>
      </w:pPr>
    </w:p>
    <w:p w14:paraId="266577C8" w14:textId="77777777" w:rsidR="00196D32" w:rsidRDefault="00196D32" w:rsidP="00703349">
      <w:pPr>
        <w:spacing w:after="0" w:line="360" w:lineRule="auto"/>
        <w:rPr>
          <w:rFonts w:ascii="Arial" w:hAnsi="Arial" w:cs="Arial"/>
          <w:b/>
          <w:bCs/>
          <w:sz w:val="20"/>
          <w:szCs w:val="20"/>
        </w:rPr>
      </w:pPr>
    </w:p>
    <w:p w14:paraId="27354E4D" w14:textId="77777777" w:rsidR="00196D32" w:rsidRDefault="00196D32" w:rsidP="00703349">
      <w:pPr>
        <w:spacing w:after="0" w:line="360" w:lineRule="auto"/>
        <w:rPr>
          <w:rFonts w:ascii="Arial" w:hAnsi="Arial" w:cs="Arial"/>
          <w:b/>
          <w:bCs/>
          <w:sz w:val="20"/>
          <w:szCs w:val="20"/>
        </w:rPr>
      </w:pPr>
    </w:p>
    <w:p w14:paraId="3C801E50" w14:textId="2736C080" w:rsidR="00703349" w:rsidRDefault="00703349" w:rsidP="00703349">
      <w:pPr>
        <w:spacing w:after="0" w:line="360" w:lineRule="auto"/>
        <w:rPr>
          <w:rFonts w:ascii="Arial" w:hAnsi="Arial" w:cs="Arial"/>
          <w:bCs/>
          <w:i/>
          <w:sz w:val="20"/>
          <w:szCs w:val="20"/>
        </w:rPr>
      </w:pPr>
      <w:r w:rsidRPr="00196D32">
        <w:rPr>
          <w:rFonts w:ascii="Arial" w:hAnsi="Arial" w:cs="Arial"/>
          <w:bCs/>
          <w:i/>
          <w:sz w:val="20"/>
          <w:szCs w:val="20"/>
        </w:rPr>
        <w:t>Key words: Fixed de</w:t>
      </w:r>
      <w:r w:rsidR="00442903" w:rsidRPr="00196D32">
        <w:rPr>
          <w:rFonts w:ascii="Arial" w:hAnsi="Arial" w:cs="Arial"/>
          <w:bCs/>
          <w:i/>
          <w:sz w:val="20"/>
          <w:szCs w:val="20"/>
        </w:rPr>
        <w:t>posits</w:t>
      </w:r>
      <w:r w:rsidR="0029791C">
        <w:rPr>
          <w:rFonts w:ascii="Arial" w:hAnsi="Arial" w:cs="Arial"/>
          <w:bCs/>
          <w:i/>
          <w:sz w:val="20"/>
          <w:szCs w:val="20"/>
        </w:rPr>
        <w:t>;</w:t>
      </w:r>
      <w:r w:rsidR="00442903" w:rsidRPr="00196D32">
        <w:rPr>
          <w:rFonts w:ascii="Arial" w:hAnsi="Arial" w:cs="Arial"/>
          <w:bCs/>
          <w:i/>
          <w:sz w:val="20"/>
          <w:szCs w:val="20"/>
        </w:rPr>
        <w:t xml:space="preserve"> Fund size</w:t>
      </w:r>
      <w:r w:rsidR="0029791C">
        <w:rPr>
          <w:rFonts w:ascii="Arial" w:hAnsi="Arial" w:cs="Arial"/>
          <w:bCs/>
          <w:i/>
          <w:sz w:val="20"/>
          <w:szCs w:val="20"/>
        </w:rPr>
        <w:t>;</w:t>
      </w:r>
      <w:r w:rsidR="00442903" w:rsidRPr="00196D32">
        <w:rPr>
          <w:rFonts w:ascii="Arial" w:hAnsi="Arial" w:cs="Arial"/>
          <w:bCs/>
          <w:i/>
          <w:sz w:val="20"/>
          <w:szCs w:val="20"/>
        </w:rPr>
        <w:t xml:space="preserve"> </w:t>
      </w:r>
      <w:r w:rsidRPr="0029791C">
        <w:rPr>
          <w:rFonts w:ascii="Arial" w:hAnsi="Arial" w:cs="Arial"/>
          <w:bCs/>
          <w:i/>
          <w:sz w:val="20"/>
          <w:szCs w:val="20"/>
        </w:rPr>
        <w:t>Unit Trust Funds</w:t>
      </w:r>
      <w:r w:rsidR="0029791C" w:rsidRPr="0029791C">
        <w:rPr>
          <w:rFonts w:ascii="Arial" w:hAnsi="Arial" w:cs="Arial"/>
          <w:bCs/>
          <w:i/>
          <w:sz w:val="20"/>
          <w:szCs w:val="20"/>
        </w:rPr>
        <w:t>;</w:t>
      </w:r>
      <w:r w:rsidRPr="0029791C">
        <w:rPr>
          <w:rFonts w:ascii="Arial" w:hAnsi="Arial" w:cs="Arial"/>
          <w:bCs/>
          <w:i/>
          <w:sz w:val="20"/>
          <w:szCs w:val="20"/>
        </w:rPr>
        <w:t xml:space="preserve"> Kenya</w:t>
      </w:r>
    </w:p>
    <w:p w14:paraId="7B7F68F6" w14:textId="77777777" w:rsidR="0029791C" w:rsidRPr="00196D32" w:rsidRDefault="0029791C" w:rsidP="0029791C">
      <w:pPr>
        <w:spacing w:after="0" w:line="240" w:lineRule="auto"/>
        <w:rPr>
          <w:rFonts w:ascii="Arial" w:hAnsi="Arial" w:cs="Arial"/>
          <w:bCs/>
          <w:i/>
          <w:sz w:val="20"/>
          <w:szCs w:val="20"/>
        </w:rPr>
      </w:pPr>
    </w:p>
    <w:p w14:paraId="191EB977" w14:textId="6B7C6A06" w:rsidR="00076F0C" w:rsidRPr="00196D32" w:rsidRDefault="00196D32" w:rsidP="00196D32">
      <w:pPr>
        <w:spacing w:after="0" w:line="360" w:lineRule="auto"/>
        <w:jc w:val="both"/>
        <w:rPr>
          <w:rFonts w:ascii="Arial" w:hAnsi="Arial" w:cs="Arial"/>
          <w:b/>
        </w:rPr>
      </w:pPr>
      <w:r>
        <w:rPr>
          <w:rFonts w:ascii="Arial" w:hAnsi="Arial" w:cs="Arial"/>
          <w:b/>
        </w:rPr>
        <w:t xml:space="preserve">1. </w:t>
      </w:r>
      <w:r w:rsidRPr="00196D32">
        <w:rPr>
          <w:rFonts w:ascii="Arial" w:hAnsi="Arial" w:cs="Arial"/>
          <w:b/>
        </w:rPr>
        <w:t>INTRODUCTION</w:t>
      </w:r>
    </w:p>
    <w:p w14:paraId="4ABDDC80" w14:textId="7EEEABB7" w:rsidR="00F74923" w:rsidRPr="00196D32" w:rsidRDefault="00CA2B31" w:rsidP="00F74923">
      <w:pPr>
        <w:spacing w:line="240" w:lineRule="auto"/>
        <w:jc w:val="both"/>
        <w:rPr>
          <w:rFonts w:ascii="Arial" w:hAnsi="Arial" w:cs="Arial"/>
          <w:sz w:val="20"/>
          <w:szCs w:val="20"/>
          <w:shd w:val="clear" w:color="auto" w:fill="FFFFFF"/>
        </w:rPr>
      </w:pPr>
      <w:r w:rsidRPr="00196D32">
        <w:rPr>
          <w:rFonts w:ascii="Arial" w:hAnsi="Arial" w:cs="Arial"/>
          <w:sz w:val="20"/>
          <w:szCs w:val="20"/>
        </w:rPr>
        <w:t>P</w:t>
      </w:r>
      <w:r w:rsidR="00F74923" w:rsidRPr="00196D32">
        <w:rPr>
          <w:rFonts w:ascii="Arial" w:hAnsi="Arial" w:cs="Arial"/>
          <w:sz w:val="20"/>
          <w:szCs w:val="20"/>
        </w:rPr>
        <w:t xml:space="preserve">erformance </w:t>
      </w:r>
      <w:r w:rsidRPr="00196D32">
        <w:rPr>
          <w:rFonts w:ascii="Arial" w:hAnsi="Arial" w:cs="Arial"/>
          <w:sz w:val="20"/>
          <w:szCs w:val="20"/>
        </w:rPr>
        <w:t xml:space="preserve">evaluation </w:t>
      </w:r>
      <w:r w:rsidR="00F74923" w:rsidRPr="00196D32">
        <w:rPr>
          <w:rFonts w:ascii="Arial" w:hAnsi="Arial" w:cs="Arial"/>
          <w:sz w:val="20"/>
          <w:szCs w:val="20"/>
        </w:rPr>
        <w:t xml:space="preserve">of </w:t>
      </w:r>
      <w:r w:rsidRPr="00196D32">
        <w:rPr>
          <w:rFonts w:ascii="Arial" w:hAnsi="Arial" w:cs="Arial"/>
          <w:sz w:val="20"/>
          <w:szCs w:val="20"/>
        </w:rPr>
        <w:t>unit trust funds (</w:t>
      </w:r>
      <w:r w:rsidR="00F74923" w:rsidRPr="00196D32">
        <w:rPr>
          <w:rFonts w:ascii="Arial" w:hAnsi="Arial" w:cs="Arial"/>
          <w:sz w:val="20"/>
          <w:szCs w:val="20"/>
        </w:rPr>
        <w:t>UTFs</w:t>
      </w:r>
      <w:r w:rsidRPr="00196D32">
        <w:rPr>
          <w:rFonts w:ascii="Arial" w:hAnsi="Arial" w:cs="Arial"/>
          <w:sz w:val="20"/>
          <w:szCs w:val="20"/>
        </w:rPr>
        <w:t>)</w:t>
      </w:r>
      <w:r w:rsidR="00F74923" w:rsidRPr="00196D32">
        <w:rPr>
          <w:rFonts w:ascii="Arial" w:hAnsi="Arial" w:cs="Arial"/>
          <w:sz w:val="20"/>
          <w:szCs w:val="20"/>
        </w:rPr>
        <w:t xml:space="preserve"> is important </w:t>
      </w:r>
      <w:r w:rsidRPr="00196D32">
        <w:rPr>
          <w:rFonts w:ascii="Arial" w:hAnsi="Arial" w:cs="Arial"/>
          <w:sz w:val="20"/>
          <w:szCs w:val="20"/>
        </w:rPr>
        <w:t>to apprise</w:t>
      </w:r>
      <w:r w:rsidR="00F74923" w:rsidRPr="00196D32">
        <w:rPr>
          <w:rFonts w:ascii="Arial" w:hAnsi="Arial" w:cs="Arial"/>
          <w:sz w:val="20"/>
          <w:szCs w:val="20"/>
        </w:rPr>
        <w:t xml:space="preserve"> whether the investment vehicles adopted help UTFs achieve their investment goals or not. The performance of UTFs can be measured using Treynor ratio, Sharpe ratio and Jensen ratio (</w:t>
      </w:r>
      <w:r w:rsidR="00F74923" w:rsidRPr="00196D32">
        <w:rPr>
          <w:rFonts w:ascii="Arial" w:hAnsi="Arial" w:cs="Arial"/>
          <w:sz w:val="20"/>
          <w:szCs w:val="20"/>
          <w:shd w:val="clear" w:color="auto" w:fill="FFFFFF"/>
        </w:rPr>
        <w:t xml:space="preserve">Zabolotnyy &amp; Wasilewski, 2019). </w:t>
      </w:r>
      <w:r w:rsidR="00F74923" w:rsidRPr="00196D32">
        <w:rPr>
          <w:rFonts w:ascii="Arial" w:hAnsi="Arial" w:cs="Arial"/>
          <w:sz w:val="20"/>
          <w:szCs w:val="20"/>
        </w:rPr>
        <w:t xml:space="preserve">This study </w:t>
      </w:r>
      <w:r w:rsidR="009E23DC" w:rsidRPr="00196D32">
        <w:rPr>
          <w:rFonts w:ascii="Arial" w:hAnsi="Arial" w:cs="Arial"/>
          <w:sz w:val="20"/>
          <w:szCs w:val="20"/>
        </w:rPr>
        <w:t xml:space="preserve">was interested in the measurement of financial performance of UTFs and hence </w:t>
      </w:r>
      <w:r w:rsidR="00F74923" w:rsidRPr="00196D32">
        <w:rPr>
          <w:rFonts w:ascii="Arial" w:hAnsi="Arial" w:cs="Arial"/>
          <w:sz w:val="20"/>
          <w:szCs w:val="20"/>
        </w:rPr>
        <w:t xml:space="preserve">adopted </w:t>
      </w:r>
      <w:r w:rsidR="009E23DC" w:rsidRPr="00196D32">
        <w:rPr>
          <w:rFonts w:ascii="Arial" w:hAnsi="Arial" w:cs="Arial"/>
          <w:sz w:val="20"/>
          <w:szCs w:val="20"/>
        </w:rPr>
        <w:t>Return on Investment (RO1)</w:t>
      </w:r>
      <w:r w:rsidR="00F74923" w:rsidRPr="00196D32">
        <w:rPr>
          <w:rFonts w:ascii="Arial" w:hAnsi="Arial" w:cs="Arial"/>
          <w:sz w:val="20"/>
          <w:szCs w:val="20"/>
        </w:rPr>
        <w:t xml:space="preserve">. </w:t>
      </w:r>
      <w:r w:rsidR="00FB06DC" w:rsidRPr="00196D32">
        <w:rPr>
          <w:rFonts w:ascii="Arial" w:hAnsi="Arial" w:cs="Arial"/>
          <w:sz w:val="20"/>
          <w:szCs w:val="20"/>
        </w:rPr>
        <w:t>T</w:t>
      </w:r>
      <w:r w:rsidR="00F74923" w:rsidRPr="00196D32">
        <w:rPr>
          <w:rFonts w:ascii="Arial" w:hAnsi="Arial" w:cs="Arial"/>
          <w:sz w:val="20"/>
          <w:szCs w:val="20"/>
        </w:rPr>
        <w:t>he factors that might affect the performance of UTFs include; the kind of investments, investment vehicles adopted and inconsistent use of investment vehicles by managers</w:t>
      </w:r>
      <w:r w:rsidR="00FB06DC" w:rsidRPr="00196D32">
        <w:rPr>
          <w:rFonts w:ascii="Arial" w:hAnsi="Arial" w:cs="Arial"/>
          <w:spacing w:val="1"/>
          <w:sz w:val="20"/>
          <w:szCs w:val="20"/>
          <w:shd w:val="clear" w:color="auto" w:fill="FFFFFF"/>
        </w:rPr>
        <w:t xml:space="preserve"> (</w:t>
      </w:r>
      <w:r w:rsidR="00FB06DC" w:rsidRPr="00196D32">
        <w:rPr>
          <w:rFonts w:ascii="Arial" w:hAnsi="Arial" w:cs="Arial"/>
          <w:sz w:val="20"/>
          <w:szCs w:val="20"/>
        </w:rPr>
        <w:t>Kogi, 2019)</w:t>
      </w:r>
      <w:r w:rsidR="00F74923" w:rsidRPr="00196D32">
        <w:rPr>
          <w:rFonts w:ascii="Arial" w:hAnsi="Arial" w:cs="Arial"/>
          <w:sz w:val="20"/>
          <w:szCs w:val="20"/>
        </w:rPr>
        <w:t>. The study adopted investment vehicles (fixed deposits) which</w:t>
      </w:r>
      <w:bookmarkStart w:id="0" w:name="_Hlk162447382"/>
      <w:r w:rsidR="00F74923" w:rsidRPr="00196D32">
        <w:rPr>
          <w:rFonts w:ascii="Arial" w:hAnsi="Arial" w:cs="Arial"/>
          <w:sz w:val="20"/>
          <w:szCs w:val="20"/>
        </w:rPr>
        <w:t xml:space="preserve"> </w:t>
      </w:r>
      <w:r w:rsidR="00076F0C" w:rsidRPr="00196D32">
        <w:rPr>
          <w:rFonts w:ascii="Arial" w:hAnsi="Arial" w:cs="Arial"/>
          <w:sz w:val="20"/>
          <w:szCs w:val="20"/>
        </w:rPr>
        <w:t xml:space="preserve">connote </w:t>
      </w:r>
      <w:r w:rsidR="00076F0C" w:rsidRPr="00196D32">
        <w:rPr>
          <w:rFonts w:ascii="Arial" w:hAnsi="Arial" w:cs="Arial"/>
          <w:sz w:val="20"/>
          <w:szCs w:val="20"/>
          <w:shd w:val="clear" w:color="auto" w:fill="FFFFFF"/>
        </w:rPr>
        <w:t xml:space="preserve">a tenured deposit account that banks or other </w:t>
      </w:r>
      <w:hyperlink r:id="rId7" w:tooltip="Non-bank financial institution" w:history="1">
        <w:r w:rsidR="00076F0C" w:rsidRPr="00196D32">
          <w:rPr>
            <w:rFonts w:ascii="Arial" w:hAnsi="Arial" w:cs="Arial"/>
            <w:sz w:val="20"/>
            <w:szCs w:val="20"/>
            <w:shd w:val="clear" w:color="auto" w:fill="FFFFFF"/>
          </w:rPr>
          <w:t>non-bank financial institutions</w:t>
        </w:r>
      </w:hyperlink>
      <w:r w:rsidR="00076F0C" w:rsidRPr="00196D32">
        <w:rPr>
          <w:rFonts w:ascii="Arial" w:hAnsi="Arial" w:cs="Arial"/>
          <w:sz w:val="20"/>
          <w:szCs w:val="20"/>
          <w:shd w:val="clear" w:color="auto" w:fill="FFFFFF"/>
        </w:rPr>
        <w:t> provide and the deposit account provides investors a higher rate of </w:t>
      </w:r>
      <w:hyperlink r:id="rId8" w:tooltip="Interest" w:history="1">
        <w:r w:rsidR="00076F0C" w:rsidRPr="00196D32">
          <w:rPr>
            <w:rFonts w:ascii="Arial" w:hAnsi="Arial" w:cs="Arial"/>
            <w:sz w:val="20"/>
            <w:szCs w:val="20"/>
            <w:shd w:val="clear" w:color="auto" w:fill="FFFFFF"/>
          </w:rPr>
          <w:t>interest</w:t>
        </w:r>
      </w:hyperlink>
      <w:r w:rsidR="00076F0C" w:rsidRPr="00196D32">
        <w:rPr>
          <w:rFonts w:ascii="Arial" w:hAnsi="Arial" w:cs="Arial"/>
          <w:sz w:val="20"/>
          <w:szCs w:val="20"/>
          <w:shd w:val="clear" w:color="auto" w:fill="FFFFFF"/>
        </w:rPr>
        <w:t> than a regular </w:t>
      </w:r>
      <w:hyperlink r:id="rId9" w:tooltip="Savings account" w:history="1">
        <w:r w:rsidR="00076F0C" w:rsidRPr="00196D32">
          <w:rPr>
            <w:rFonts w:ascii="Arial" w:hAnsi="Arial" w:cs="Arial"/>
            <w:sz w:val="20"/>
            <w:szCs w:val="20"/>
            <w:shd w:val="clear" w:color="auto" w:fill="FFFFFF"/>
          </w:rPr>
          <w:t>savings account</w:t>
        </w:r>
      </w:hyperlink>
      <w:r w:rsidR="00076F0C" w:rsidRPr="00196D32">
        <w:rPr>
          <w:rFonts w:ascii="Arial" w:hAnsi="Arial" w:cs="Arial"/>
          <w:sz w:val="20"/>
          <w:szCs w:val="20"/>
          <w:shd w:val="clear" w:color="auto" w:fill="FFFFFF"/>
        </w:rPr>
        <w:t xml:space="preserve"> until the specified maturity date </w:t>
      </w:r>
      <w:r w:rsidR="00076F0C" w:rsidRPr="00196D32">
        <w:rPr>
          <w:rFonts w:ascii="Arial" w:hAnsi="Arial" w:cs="Arial"/>
          <w:sz w:val="20"/>
          <w:szCs w:val="20"/>
        </w:rPr>
        <w:t>(Raisch &amp; Birkinshaw, 2018).</w:t>
      </w:r>
      <w:bookmarkEnd w:id="0"/>
      <w:r w:rsidR="00076F0C" w:rsidRPr="00196D32">
        <w:rPr>
          <w:rFonts w:ascii="Arial" w:hAnsi="Arial" w:cs="Arial"/>
          <w:sz w:val="20"/>
          <w:szCs w:val="20"/>
        </w:rPr>
        <w:t xml:space="preserve"> It was operationalized using ratio of fixed deposits to total investments.</w:t>
      </w:r>
      <w:r w:rsidR="00F74923" w:rsidRPr="00196D32">
        <w:rPr>
          <w:rFonts w:ascii="Arial" w:hAnsi="Arial" w:cs="Arial"/>
          <w:b/>
          <w:sz w:val="20"/>
          <w:szCs w:val="20"/>
        </w:rPr>
        <w:t xml:space="preserve"> </w:t>
      </w:r>
      <w:r w:rsidR="00F74923" w:rsidRPr="00196D32">
        <w:rPr>
          <w:rFonts w:ascii="Arial" w:hAnsi="Arial" w:cs="Arial"/>
          <w:sz w:val="20"/>
          <w:szCs w:val="20"/>
          <w:shd w:val="clear" w:color="auto" w:fill="FFFFFF"/>
        </w:rPr>
        <w:t>In the UK, 80% of the fixed income investments used by UTFs include; bonds which are fixed term loans issued by companies and governments looking to raise money (Barnard, 2017).</w:t>
      </w:r>
    </w:p>
    <w:p w14:paraId="70C10545" w14:textId="390CA0C7" w:rsidR="00F74923" w:rsidRPr="00196D32" w:rsidRDefault="00F74923" w:rsidP="00F74923">
      <w:pPr>
        <w:spacing w:line="240" w:lineRule="auto"/>
        <w:jc w:val="both"/>
        <w:rPr>
          <w:rFonts w:ascii="Arial" w:hAnsi="Arial" w:cs="Arial"/>
          <w:sz w:val="20"/>
          <w:szCs w:val="20"/>
        </w:rPr>
      </w:pPr>
      <w:r w:rsidRPr="00196D32">
        <w:rPr>
          <w:rFonts w:ascii="Arial" w:hAnsi="Arial" w:cs="Arial"/>
          <w:sz w:val="20"/>
          <w:szCs w:val="20"/>
        </w:rPr>
        <w:t xml:space="preserve">Investment vehicles are adopted </w:t>
      </w:r>
      <w:r w:rsidRPr="00196D32">
        <w:rPr>
          <w:rFonts w:ascii="Arial" w:hAnsi="Arial" w:cs="Arial"/>
          <w:sz w:val="20"/>
          <w:szCs w:val="20"/>
          <w:shd w:val="clear" w:color="auto" w:fill="FFFFFF"/>
        </w:rPr>
        <w:t xml:space="preserve">by UTFs when </w:t>
      </w:r>
      <w:bookmarkStart w:id="1" w:name="_Hlk121786854"/>
      <w:r w:rsidRPr="00196D32">
        <w:rPr>
          <w:rFonts w:ascii="Arial" w:hAnsi="Arial" w:cs="Arial"/>
          <w:sz w:val="20"/>
          <w:szCs w:val="20"/>
          <w:shd w:val="clear" w:color="auto" w:fill="FFFFFF"/>
        </w:rPr>
        <w:t>investing in undertakings for collective investment in transferable securities (UCITS)</w:t>
      </w:r>
      <w:bookmarkEnd w:id="1"/>
      <w:r w:rsidRPr="00196D32">
        <w:rPr>
          <w:rFonts w:ascii="Arial" w:hAnsi="Arial" w:cs="Arial"/>
          <w:sz w:val="20"/>
          <w:szCs w:val="20"/>
          <w:shd w:val="clear" w:color="auto" w:fill="FFFFFF"/>
        </w:rPr>
        <w:t>, non-UCITS retail schemes (NURS) and qualified investment schemes (QIS) which are the legal forms of regulated CIS (Gleeson, 2020). Portfolio returns or asset returns varies</w:t>
      </w:r>
      <w:r w:rsidR="00F57DD9">
        <w:rPr>
          <w:rFonts w:ascii="Arial" w:hAnsi="Arial" w:cs="Arial"/>
          <w:sz w:val="20"/>
          <w:szCs w:val="20"/>
          <w:shd w:val="clear" w:color="auto" w:fill="FFFFFF"/>
        </w:rPr>
        <w:t xml:space="preserve"> </w:t>
      </w:r>
      <w:r w:rsidRPr="00196D32">
        <w:rPr>
          <w:rFonts w:ascii="Arial" w:hAnsi="Arial" w:cs="Arial"/>
          <w:sz w:val="20"/>
          <w:szCs w:val="20"/>
          <w:shd w:val="clear" w:color="auto" w:fill="FFFFFF"/>
        </w:rPr>
        <w:t xml:space="preserve">depending on the investment vehicles adopted. Funds that record a high portfolio return or asset return have high chances of becoming financially sustainable and vice versa.  Unit Trusts that perform better are </w:t>
      </w:r>
      <w:r w:rsidRPr="00196D32">
        <w:rPr>
          <w:rFonts w:ascii="Arial" w:hAnsi="Arial" w:cs="Arial"/>
          <w:sz w:val="20"/>
          <w:szCs w:val="20"/>
          <w:shd w:val="clear" w:color="auto" w:fill="FFFFFF"/>
        </w:rPr>
        <w:lastRenderedPageBreak/>
        <w:t>those that have succeeded in adopting investment vehicles that enhance high investment returns.</w:t>
      </w:r>
      <w:r w:rsidRPr="00196D32">
        <w:rPr>
          <w:rFonts w:ascii="Arial" w:hAnsi="Arial" w:cs="Arial"/>
          <w:sz w:val="20"/>
          <w:szCs w:val="20"/>
        </w:rPr>
        <w:t xml:space="preserve"> Fund size is an important factor that can affect financial performance of an investment firm (Oyelade, 2019).</w:t>
      </w:r>
      <w:bookmarkStart w:id="2" w:name="_Hlk121784340"/>
      <w:r w:rsidRPr="00196D32">
        <w:rPr>
          <w:rFonts w:ascii="Arial" w:hAnsi="Arial" w:cs="Arial"/>
          <w:sz w:val="20"/>
          <w:szCs w:val="20"/>
        </w:rPr>
        <w:t xml:space="preserve"> </w:t>
      </w:r>
      <w:bookmarkEnd w:id="2"/>
      <w:r w:rsidR="00FB06DC" w:rsidRPr="00196D32">
        <w:rPr>
          <w:rFonts w:ascii="Arial" w:hAnsi="Arial" w:cs="Arial"/>
          <w:sz w:val="20"/>
          <w:szCs w:val="20"/>
        </w:rPr>
        <w:t>I</w:t>
      </w:r>
      <w:r w:rsidRPr="00196D32">
        <w:rPr>
          <w:rFonts w:ascii="Arial" w:hAnsi="Arial" w:cs="Arial"/>
          <w:sz w:val="20"/>
          <w:szCs w:val="20"/>
        </w:rPr>
        <w:t>nvestors prefer investing in large companies as opposed to small companies</w:t>
      </w:r>
      <w:r w:rsidR="00FB06DC" w:rsidRPr="00196D32">
        <w:rPr>
          <w:rFonts w:ascii="Arial" w:hAnsi="Arial" w:cs="Arial"/>
          <w:sz w:val="20"/>
          <w:szCs w:val="20"/>
        </w:rPr>
        <w:t xml:space="preserve"> (Stinchombe, 2020)</w:t>
      </w:r>
      <w:r w:rsidRPr="00196D32">
        <w:rPr>
          <w:rFonts w:ascii="Arial" w:hAnsi="Arial" w:cs="Arial"/>
          <w:sz w:val="20"/>
          <w:szCs w:val="20"/>
        </w:rPr>
        <w:t>. This is because large companies have the ability to continuously improve their financial performance as well as enhance the quality of their earnings (Tangngisalu et al., 2020). Fund size also influences investment vehicles adopted (Maingi, 2018). It was operationalized as log size of the total assets.</w:t>
      </w:r>
      <w:r w:rsidRPr="00196D32">
        <w:rPr>
          <w:rFonts w:ascii="Arial" w:hAnsi="Arial" w:cs="Arial"/>
          <w:sz w:val="20"/>
          <w:szCs w:val="20"/>
          <w:shd w:val="clear" w:color="auto" w:fill="FFFFFF"/>
        </w:rPr>
        <w:t xml:space="preserve">  In Spain, 63</w:t>
      </w:r>
      <w:bookmarkStart w:id="3" w:name="_Hlk149552624"/>
      <w:r w:rsidRPr="00196D32">
        <w:rPr>
          <w:rFonts w:ascii="Arial" w:hAnsi="Arial" w:cs="Arial"/>
          <w:sz w:val="20"/>
          <w:szCs w:val="20"/>
          <w:shd w:val="clear" w:color="auto" w:fill="FFFFFF"/>
        </w:rPr>
        <w:t xml:space="preserve">% of the fixed income investments include investment in bonds, others equity </w:t>
      </w:r>
      <w:bookmarkEnd w:id="3"/>
      <w:r w:rsidRPr="00196D32">
        <w:rPr>
          <w:rFonts w:ascii="Arial" w:hAnsi="Arial" w:cs="Arial"/>
          <w:sz w:val="20"/>
          <w:szCs w:val="20"/>
          <w:shd w:val="clear" w:color="auto" w:fill="FFFFFF"/>
        </w:rPr>
        <w:t>and others invest in cash equivalents where they invest in liquid assets such as cash</w:t>
      </w:r>
      <w:r w:rsidRPr="00196D32">
        <w:rPr>
          <w:rFonts w:ascii="Arial" w:hAnsi="Arial" w:cs="Arial"/>
          <w:sz w:val="20"/>
          <w:szCs w:val="20"/>
        </w:rPr>
        <w:t xml:space="preserve"> (Murcia, 2021)</w:t>
      </w:r>
      <w:r w:rsidRPr="00196D32">
        <w:rPr>
          <w:rFonts w:ascii="Arial" w:hAnsi="Arial" w:cs="Arial"/>
          <w:sz w:val="20"/>
          <w:szCs w:val="20"/>
          <w:shd w:val="clear" w:color="auto" w:fill="FFFFFF"/>
        </w:rPr>
        <w:t xml:space="preserve">. Unit trust funds have been using fixed deposits, equities and cash equivalents as investment vehicles </w:t>
      </w:r>
      <w:r w:rsidRPr="00196D32">
        <w:rPr>
          <w:rFonts w:ascii="Arial" w:hAnsi="Arial" w:cs="Arial"/>
          <w:sz w:val="20"/>
          <w:szCs w:val="20"/>
        </w:rPr>
        <w:t>(Grinblatt &amp; Titman, 2019)</w:t>
      </w:r>
      <w:r w:rsidRPr="00196D32">
        <w:rPr>
          <w:rFonts w:ascii="Arial" w:hAnsi="Arial" w:cs="Arial"/>
          <w:sz w:val="20"/>
          <w:szCs w:val="20"/>
          <w:shd w:val="clear" w:color="auto" w:fill="FFFFFF"/>
        </w:rPr>
        <w:t>. These investment vehicles among others are the ones that unit trust funds use to achieve their investment objectives</w:t>
      </w:r>
      <w:r w:rsidRPr="00196D32">
        <w:rPr>
          <w:rFonts w:ascii="Arial" w:hAnsi="Arial" w:cs="Arial"/>
          <w:sz w:val="20"/>
          <w:szCs w:val="20"/>
        </w:rPr>
        <w:t xml:space="preserve"> (Ferruz et al., 2023)</w:t>
      </w:r>
      <w:r w:rsidRPr="00196D32">
        <w:rPr>
          <w:rFonts w:ascii="Arial" w:hAnsi="Arial" w:cs="Arial"/>
          <w:sz w:val="20"/>
          <w:szCs w:val="20"/>
          <w:shd w:val="clear" w:color="auto" w:fill="FFFFFF"/>
        </w:rPr>
        <w:t>. What varies among unit trust funds is the proportion of investments in fixed deposits, equity investments and cash equivalents. Unit trust funds that record good performance use an optimal mix in the amount invested in the different investment vehicles (</w:t>
      </w:r>
      <w:r w:rsidRPr="00196D32">
        <w:rPr>
          <w:rFonts w:ascii="Arial" w:hAnsi="Arial" w:cs="Arial"/>
          <w:sz w:val="20"/>
          <w:szCs w:val="20"/>
        </w:rPr>
        <w:t>Malkiel, 2023)</w:t>
      </w:r>
      <w:r w:rsidRPr="00196D32">
        <w:rPr>
          <w:rFonts w:ascii="Arial" w:hAnsi="Arial" w:cs="Arial"/>
          <w:sz w:val="20"/>
          <w:szCs w:val="20"/>
          <w:shd w:val="clear" w:color="auto" w:fill="FFFFFF"/>
        </w:rPr>
        <w:t xml:space="preserve">. </w:t>
      </w:r>
    </w:p>
    <w:p w14:paraId="37F4220D" w14:textId="77777777" w:rsidR="00F74923" w:rsidRPr="00196D32" w:rsidRDefault="00F74923" w:rsidP="00F74923">
      <w:pPr>
        <w:spacing w:after="0" w:line="240" w:lineRule="auto"/>
        <w:jc w:val="both"/>
        <w:rPr>
          <w:rFonts w:ascii="Arial" w:hAnsi="Arial" w:cs="Arial"/>
          <w:sz w:val="20"/>
          <w:szCs w:val="20"/>
          <w:shd w:val="clear" w:color="auto" w:fill="FFFFFF"/>
        </w:rPr>
      </w:pPr>
    </w:p>
    <w:p w14:paraId="2BCB1B79" w14:textId="1D4E73A1" w:rsidR="00FB06DC" w:rsidRPr="00196D32" w:rsidRDefault="00F74923" w:rsidP="00FB06DC">
      <w:pPr>
        <w:spacing w:after="0" w:line="240" w:lineRule="auto"/>
        <w:jc w:val="both"/>
        <w:rPr>
          <w:rFonts w:ascii="Arial" w:eastAsia="Calibri" w:hAnsi="Arial" w:cs="Arial"/>
          <w:color w:val="000000" w:themeColor="text1"/>
          <w:kern w:val="24"/>
          <w:sz w:val="20"/>
          <w:szCs w:val="20"/>
        </w:rPr>
      </w:pPr>
      <w:r w:rsidRPr="00196D32">
        <w:rPr>
          <w:rFonts w:ascii="Arial" w:hAnsi="Arial" w:cs="Arial"/>
          <w:sz w:val="20"/>
          <w:szCs w:val="20"/>
        </w:rPr>
        <w:t xml:space="preserve">In Uganda, seventy-eight of the investment funds are invested in fixed income assets which comprise of amongst others; treasury bills and bonds and corporate bonds </w:t>
      </w:r>
      <w:r w:rsidRPr="00196D32">
        <w:rPr>
          <w:rFonts w:ascii="Arial" w:hAnsi="Arial" w:cs="Arial"/>
          <w:sz w:val="20"/>
          <w:szCs w:val="20"/>
          <w:shd w:val="clear" w:color="auto" w:fill="FFFFFF"/>
        </w:rPr>
        <w:t>(Kagoda, 2018)</w:t>
      </w:r>
      <w:r w:rsidRPr="00196D32">
        <w:rPr>
          <w:rFonts w:ascii="Arial" w:hAnsi="Arial" w:cs="Arial"/>
          <w:sz w:val="20"/>
          <w:szCs w:val="20"/>
        </w:rPr>
        <w:t xml:space="preserve">. Fifteen percent (15%) of the investment funds are in equity securities. Real estate investments in 2020/21 accounted for 7% of all the investments made by the CISs (CMA-Uganda, 2020). In regards to returns, a 16% and 19% return was recorded from investments in fixed income and equities portfolio respectively in 2020/21 </w:t>
      </w:r>
      <w:r w:rsidRPr="00196D32">
        <w:rPr>
          <w:rFonts w:ascii="Arial" w:hAnsi="Arial" w:cs="Arial"/>
          <w:sz w:val="20"/>
          <w:szCs w:val="20"/>
          <w:shd w:val="clear" w:color="auto" w:fill="FFFFFF"/>
        </w:rPr>
        <w:t>(Uganda Investment Authority (UIA), 2022)</w:t>
      </w:r>
      <w:r w:rsidRPr="00196D32">
        <w:rPr>
          <w:rFonts w:ascii="Arial" w:hAnsi="Arial" w:cs="Arial"/>
          <w:sz w:val="20"/>
          <w:szCs w:val="20"/>
        </w:rPr>
        <w:t>.</w:t>
      </w:r>
      <w:r w:rsidRPr="00196D32">
        <w:rPr>
          <w:rFonts w:ascii="Arial" w:hAnsi="Arial" w:cs="Arial"/>
          <w:sz w:val="20"/>
          <w:szCs w:val="20"/>
          <w:shd w:val="clear" w:color="auto" w:fill="FFFFFF"/>
        </w:rPr>
        <w:t xml:space="preserve"> In 2020/21, the fund recorded a loss of Ushs. 300 billion </w:t>
      </w:r>
      <w:r w:rsidRPr="00196D32">
        <w:rPr>
          <w:rFonts w:ascii="Arial" w:hAnsi="Arial" w:cs="Arial"/>
          <w:bCs/>
          <w:sz w:val="20"/>
          <w:szCs w:val="20"/>
          <w:shd w:val="clear" w:color="auto" w:fill="FFFFFF"/>
        </w:rPr>
        <w:t>(</w:t>
      </w:r>
      <w:r w:rsidRPr="00196D32">
        <w:rPr>
          <w:rStyle w:val="Strong"/>
          <w:rFonts w:ascii="Arial" w:hAnsi="Arial" w:cs="Arial"/>
          <w:b w:val="0"/>
          <w:bCs w:val="0"/>
          <w:sz w:val="20"/>
          <w:szCs w:val="20"/>
          <w:shd w:val="clear" w:color="auto" w:fill="FFFFFF"/>
        </w:rPr>
        <w:t>Busuulwa, 2021)</w:t>
      </w:r>
      <w:r w:rsidRPr="00196D32">
        <w:rPr>
          <w:rFonts w:ascii="Arial" w:hAnsi="Arial" w:cs="Arial"/>
          <w:sz w:val="20"/>
          <w:szCs w:val="20"/>
          <w:shd w:val="clear" w:color="auto" w:fill="FFFFFF"/>
        </w:rPr>
        <w:t>. This shows that not all unit trust funds record good performance.</w:t>
      </w:r>
      <w:r w:rsidRPr="00196D32">
        <w:rPr>
          <w:rFonts w:ascii="Arial" w:hAnsi="Arial" w:cs="Arial"/>
          <w:b/>
          <w:sz w:val="20"/>
          <w:szCs w:val="20"/>
        </w:rPr>
        <w:t xml:space="preserve"> </w:t>
      </w:r>
      <w:r w:rsidRPr="00196D32">
        <w:rPr>
          <w:rFonts w:ascii="Arial" w:hAnsi="Arial" w:cs="Arial"/>
          <w:sz w:val="20"/>
          <w:szCs w:val="20"/>
          <w:shd w:val="clear" w:color="auto" w:fill="FFFFFF"/>
        </w:rPr>
        <w:t xml:space="preserve">The UTFs in Kenya invest in amongst others; government securities, fixed deposits and cash and demand deposits (Muiruri, 2024). </w:t>
      </w:r>
      <w:r w:rsidRPr="00196D32">
        <w:rPr>
          <w:rFonts w:ascii="Arial" w:hAnsi="Arial" w:cs="Arial"/>
          <w:sz w:val="20"/>
          <w:szCs w:val="20"/>
        </w:rPr>
        <w:t>Zimele (2020) opines that in Kenya, there has been a remarkable growth in UTFs but it is happening at a slow pace than expected. Over the years, the investment vehicles adopted include but not limited to fixed deposits, government bonds, other CIS, Unlisted securities and offshore investments and NSE Listed Securities-Excl GoK (CMA, 202</w:t>
      </w:r>
      <w:r w:rsidR="00162610" w:rsidRPr="00196D32">
        <w:rPr>
          <w:rFonts w:ascii="Arial" w:hAnsi="Arial" w:cs="Arial"/>
          <w:sz w:val="20"/>
          <w:szCs w:val="20"/>
        </w:rPr>
        <w:t>3</w:t>
      </w:r>
      <w:r w:rsidRPr="00196D32">
        <w:rPr>
          <w:rFonts w:ascii="Arial" w:hAnsi="Arial" w:cs="Arial"/>
          <w:sz w:val="20"/>
          <w:szCs w:val="20"/>
        </w:rPr>
        <w:t xml:space="preserve">). In Nairobi, </w:t>
      </w:r>
      <w:bookmarkStart w:id="4" w:name="_Hlk215744490"/>
      <w:r w:rsidRPr="00196D32">
        <w:rPr>
          <w:rFonts w:ascii="Arial" w:hAnsi="Arial" w:cs="Arial"/>
          <w:sz w:val="20"/>
          <w:szCs w:val="20"/>
        </w:rPr>
        <w:t xml:space="preserve">some UTFs </w:t>
      </w:r>
      <w:bookmarkEnd w:id="4"/>
      <w:r w:rsidRPr="00196D32">
        <w:rPr>
          <w:rFonts w:ascii="Arial" w:hAnsi="Arial" w:cs="Arial"/>
          <w:sz w:val="20"/>
          <w:szCs w:val="20"/>
        </w:rPr>
        <w:t>appear to have several problems that range from stiff competitors that make some UTFs to die before they are even launched or die within a very short life span if compared with other businesses (Omonyo, 2019).</w:t>
      </w:r>
      <w:r w:rsidR="00FB06DC" w:rsidRPr="00196D32">
        <w:rPr>
          <w:rFonts w:ascii="Arial" w:hAnsi="Arial" w:cs="Arial"/>
          <w:sz w:val="20"/>
          <w:szCs w:val="20"/>
        </w:rPr>
        <w:t xml:space="preserve"> </w:t>
      </w:r>
      <w:r w:rsidR="002E782D" w:rsidRPr="00196D32">
        <w:rPr>
          <w:rFonts w:ascii="Arial" w:hAnsi="Arial" w:cs="Arial"/>
          <w:sz w:val="20"/>
          <w:szCs w:val="20"/>
        </w:rPr>
        <w:t xml:space="preserve">Investment in fixed deposits </w:t>
      </w:r>
      <w:r w:rsidR="00A1290B" w:rsidRPr="00196D32">
        <w:rPr>
          <w:rFonts w:ascii="Arial" w:hAnsi="Arial" w:cs="Arial"/>
          <w:sz w:val="20"/>
          <w:szCs w:val="20"/>
        </w:rPr>
        <w:t>faces challenges</w:t>
      </w:r>
      <w:r w:rsidR="002E782D" w:rsidRPr="00196D32">
        <w:rPr>
          <w:rFonts w:ascii="Arial" w:hAnsi="Arial" w:cs="Arial"/>
          <w:sz w:val="20"/>
          <w:szCs w:val="20"/>
        </w:rPr>
        <w:t xml:space="preserve"> such as liquidity risk, low returns compared to market-linked investments, inflation risk, penalty fees on premature withdrawals</w:t>
      </w:r>
      <w:r w:rsidR="00A1290B" w:rsidRPr="00196D32">
        <w:rPr>
          <w:rFonts w:ascii="Arial" w:hAnsi="Arial" w:cs="Arial"/>
          <w:sz w:val="20"/>
          <w:szCs w:val="20"/>
        </w:rPr>
        <w:t xml:space="preserve">, credit and default risk among others. In the context of UTFs, little was not about </w:t>
      </w:r>
      <w:r w:rsidR="00BD3FFB" w:rsidRPr="00196D32">
        <w:rPr>
          <w:rFonts w:ascii="Arial" w:eastAsia="Calibri" w:hAnsi="Arial" w:cs="Arial"/>
          <w:color w:val="000000" w:themeColor="text1"/>
          <w:kern w:val="24"/>
          <w:sz w:val="20"/>
          <w:szCs w:val="20"/>
        </w:rPr>
        <w:t>fixed deposits, fund size and performance of Unit Trust Funds in Kenya</w:t>
      </w:r>
      <w:r w:rsidR="00A1290B" w:rsidRPr="00196D32">
        <w:rPr>
          <w:rFonts w:ascii="Arial" w:eastAsia="Calibri" w:hAnsi="Arial" w:cs="Arial"/>
          <w:color w:val="000000" w:themeColor="text1"/>
          <w:kern w:val="24"/>
          <w:sz w:val="20"/>
          <w:szCs w:val="20"/>
        </w:rPr>
        <w:t xml:space="preserve"> and yet a number of unit trusts have remained inactive. </w:t>
      </w:r>
      <w:r w:rsidR="00D61933" w:rsidRPr="00196D32">
        <w:rPr>
          <w:rFonts w:ascii="Arial" w:hAnsi="Arial" w:cs="Arial"/>
          <w:sz w:val="20"/>
          <w:szCs w:val="20"/>
          <w:shd w:val="clear" w:color="auto" w:fill="FFFFFF"/>
        </w:rPr>
        <w:t xml:space="preserve">Okun (2020) </w:t>
      </w:r>
      <w:r w:rsidR="00A1290B" w:rsidRPr="00196D32">
        <w:rPr>
          <w:rFonts w:ascii="Arial" w:eastAsia="Calibri" w:hAnsi="Arial" w:cs="Arial"/>
          <w:color w:val="000000" w:themeColor="text1"/>
          <w:kern w:val="24"/>
          <w:sz w:val="20"/>
          <w:szCs w:val="20"/>
        </w:rPr>
        <w:t>posit that the effect of fund size on performance is complex</w:t>
      </w:r>
      <w:r w:rsidR="00D61933" w:rsidRPr="00196D32">
        <w:rPr>
          <w:rFonts w:ascii="Arial" w:eastAsia="Calibri" w:hAnsi="Arial" w:cs="Arial"/>
          <w:color w:val="000000" w:themeColor="text1"/>
          <w:kern w:val="24"/>
          <w:sz w:val="20"/>
          <w:szCs w:val="20"/>
        </w:rPr>
        <w:t>.</w:t>
      </w:r>
      <w:r w:rsidR="00D61933" w:rsidRPr="00196D32">
        <w:rPr>
          <w:rFonts w:ascii="Arial" w:hAnsi="Arial" w:cs="Arial"/>
          <w:sz w:val="20"/>
          <w:szCs w:val="20"/>
        </w:rPr>
        <w:t xml:space="preserve"> </w:t>
      </w:r>
      <w:r w:rsidR="002E3997" w:rsidRPr="00196D32">
        <w:rPr>
          <w:rFonts w:ascii="Arial" w:eastAsia="Calibri" w:hAnsi="Arial" w:cs="Arial"/>
          <w:color w:val="000000" w:themeColor="text1"/>
          <w:kern w:val="24"/>
          <w:sz w:val="20"/>
          <w:szCs w:val="20"/>
        </w:rPr>
        <w:t>S</w:t>
      </w:r>
      <w:r w:rsidR="00A1290B" w:rsidRPr="00196D32">
        <w:rPr>
          <w:rFonts w:ascii="Arial" w:eastAsia="Calibri" w:hAnsi="Arial" w:cs="Arial"/>
          <w:color w:val="000000" w:themeColor="text1"/>
          <w:kern w:val="24"/>
          <w:sz w:val="20"/>
          <w:szCs w:val="20"/>
        </w:rPr>
        <w:t>ome evidence</w:t>
      </w:r>
      <w:r w:rsidR="00D61933" w:rsidRPr="00196D32">
        <w:rPr>
          <w:rFonts w:ascii="Arial" w:eastAsia="Calibri" w:hAnsi="Arial" w:cs="Arial"/>
          <w:color w:val="000000" w:themeColor="text1"/>
          <w:kern w:val="24"/>
          <w:sz w:val="20"/>
          <w:szCs w:val="20"/>
        </w:rPr>
        <w:t xml:space="preserve"> by </w:t>
      </w:r>
      <w:r w:rsidR="00D61933" w:rsidRPr="00196D32">
        <w:rPr>
          <w:rFonts w:ascii="Arial" w:hAnsi="Arial" w:cs="Arial"/>
          <w:sz w:val="20"/>
          <w:szCs w:val="20"/>
        </w:rPr>
        <w:t xml:space="preserve">Morwabe and Muturi (2019) </w:t>
      </w:r>
      <w:r w:rsidR="00A1290B" w:rsidRPr="00196D32">
        <w:rPr>
          <w:rFonts w:ascii="Arial" w:eastAsia="Calibri" w:hAnsi="Arial" w:cs="Arial"/>
          <w:color w:val="000000" w:themeColor="text1"/>
          <w:kern w:val="24"/>
          <w:sz w:val="20"/>
          <w:szCs w:val="20"/>
        </w:rPr>
        <w:t>suggest</w:t>
      </w:r>
      <w:r w:rsidR="00D61933" w:rsidRPr="00196D32">
        <w:rPr>
          <w:rFonts w:ascii="Arial" w:eastAsia="Calibri" w:hAnsi="Arial" w:cs="Arial"/>
          <w:color w:val="000000" w:themeColor="text1"/>
          <w:kern w:val="24"/>
          <w:sz w:val="20"/>
          <w:szCs w:val="20"/>
        </w:rPr>
        <w:t>s</w:t>
      </w:r>
      <w:r w:rsidR="00A1290B" w:rsidRPr="00196D32">
        <w:rPr>
          <w:rFonts w:ascii="Arial" w:eastAsia="Calibri" w:hAnsi="Arial" w:cs="Arial"/>
          <w:color w:val="000000" w:themeColor="text1"/>
          <w:kern w:val="24"/>
          <w:sz w:val="20"/>
          <w:szCs w:val="20"/>
        </w:rPr>
        <w:t xml:space="preserve"> diseconomies of scale in larger funds</w:t>
      </w:r>
      <w:r w:rsidR="002E3997" w:rsidRPr="00196D32">
        <w:rPr>
          <w:rFonts w:ascii="Arial" w:eastAsia="Calibri" w:hAnsi="Arial" w:cs="Arial"/>
          <w:color w:val="000000" w:themeColor="text1"/>
          <w:kern w:val="24"/>
          <w:sz w:val="20"/>
          <w:szCs w:val="20"/>
        </w:rPr>
        <w:t xml:space="preserve"> while others suggest that larger funds can be more efficient</w:t>
      </w:r>
      <w:r w:rsidR="00D61933" w:rsidRPr="00196D32">
        <w:rPr>
          <w:rFonts w:ascii="Arial" w:eastAsia="Calibri" w:hAnsi="Arial" w:cs="Arial"/>
          <w:color w:val="000000" w:themeColor="text1"/>
          <w:kern w:val="24"/>
          <w:sz w:val="20"/>
          <w:szCs w:val="20"/>
        </w:rPr>
        <w:t xml:space="preserve"> (</w:t>
      </w:r>
      <w:r w:rsidR="00D61933" w:rsidRPr="00196D32">
        <w:rPr>
          <w:rFonts w:ascii="Arial" w:hAnsi="Arial" w:cs="Arial"/>
          <w:sz w:val="20"/>
          <w:szCs w:val="20"/>
        </w:rPr>
        <w:t xml:space="preserve">Murcia, 2021). </w:t>
      </w:r>
      <w:r w:rsidR="002E3997" w:rsidRPr="00196D32">
        <w:rPr>
          <w:rFonts w:ascii="Arial" w:eastAsia="Calibri" w:hAnsi="Arial" w:cs="Arial"/>
          <w:color w:val="000000" w:themeColor="text1"/>
          <w:kern w:val="24"/>
          <w:sz w:val="20"/>
          <w:szCs w:val="20"/>
        </w:rPr>
        <w:t xml:space="preserve">A dilemma therefore existed as to the exact impact of </w:t>
      </w:r>
      <w:bookmarkStart w:id="5" w:name="_Hlk215745407"/>
      <w:r w:rsidR="002E3997" w:rsidRPr="00196D32">
        <w:rPr>
          <w:rFonts w:ascii="Arial" w:eastAsia="Calibri" w:hAnsi="Arial" w:cs="Arial"/>
          <w:color w:val="000000" w:themeColor="text1"/>
          <w:kern w:val="24"/>
          <w:sz w:val="20"/>
          <w:szCs w:val="20"/>
        </w:rPr>
        <w:t>fund</w:t>
      </w:r>
      <w:r w:rsidR="000F088F" w:rsidRPr="00196D32">
        <w:rPr>
          <w:rFonts w:ascii="Arial" w:eastAsia="Calibri" w:hAnsi="Arial" w:cs="Arial"/>
          <w:color w:val="000000" w:themeColor="text1"/>
          <w:kern w:val="24"/>
          <w:sz w:val="20"/>
          <w:szCs w:val="20"/>
        </w:rPr>
        <w:t xml:space="preserve"> size</w:t>
      </w:r>
      <w:r w:rsidR="00D61933" w:rsidRPr="00196D32">
        <w:rPr>
          <w:rFonts w:ascii="Arial" w:eastAsia="Calibri" w:hAnsi="Arial" w:cs="Arial"/>
          <w:color w:val="000000" w:themeColor="text1"/>
          <w:kern w:val="24"/>
          <w:sz w:val="20"/>
          <w:szCs w:val="20"/>
        </w:rPr>
        <w:t xml:space="preserve"> on </w:t>
      </w:r>
      <w:r w:rsidR="002E3997" w:rsidRPr="00196D32">
        <w:rPr>
          <w:rFonts w:ascii="Arial" w:eastAsia="Calibri" w:hAnsi="Arial" w:cs="Arial"/>
          <w:color w:val="000000" w:themeColor="text1"/>
          <w:kern w:val="24"/>
          <w:sz w:val="20"/>
          <w:szCs w:val="20"/>
        </w:rPr>
        <w:t>performance of UTFs in Kenya</w:t>
      </w:r>
      <w:r w:rsidR="00BD3FFB" w:rsidRPr="00196D32">
        <w:rPr>
          <w:rFonts w:ascii="Arial" w:eastAsia="Calibri" w:hAnsi="Arial" w:cs="Arial"/>
          <w:color w:val="000000" w:themeColor="text1"/>
          <w:kern w:val="24"/>
          <w:sz w:val="20"/>
          <w:szCs w:val="20"/>
        </w:rPr>
        <w:t>.</w:t>
      </w:r>
      <w:bookmarkEnd w:id="5"/>
      <w:r w:rsidR="00BD3FFB"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 xml:space="preserve"> There was need for a study to further determine the moderating effect of fund size on the relationship between investing </w:t>
      </w:r>
      <w:r w:rsidR="00BD3FFB" w:rsidRPr="00196D32">
        <w:rPr>
          <w:rFonts w:ascii="Arial" w:eastAsia="Calibri" w:hAnsi="Arial" w:cs="Arial"/>
          <w:color w:val="000000" w:themeColor="text1"/>
          <w:kern w:val="24"/>
          <w:sz w:val="20"/>
          <w:szCs w:val="20"/>
        </w:rPr>
        <w:t>in fixed deposits</w:t>
      </w:r>
      <w:r w:rsidR="003B4EC3" w:rsidRPr="00196D32">
        <w:rPr>
          <w:rFonts w:ascii="Arial" w:eastAsia="Calibri" w:hAnsi="Arial" w:cs="Arial"/>
          <w:color w:val="000000" w:themeColor="text1"/>
          <w:kern w:val="24"/>
          <w:sz w:val="20"/>
          <w:szCs w:val="20"/>
        </w:rPr>
        <w:t xml:space="preserve"> and </w:t>
      </w:r>
      <w:r w:rsidR="00BD3FFB" w:rsidRPr="00196D32">
        <w:rPr>
          <w:rFonts w:ascii="Arial" w:eastAsia="Calibri" w:hAnsi="Arial" w:cs="Arial"/>
          <w:color w:val="000000" w:themeColor="text1"/>
          <w:kern w:val="24"/>
          <w:sz w:val="20"/>
          <w:szCs w:val="20"/>
        </w:rPr>
        <w:t>performance of unit trust funds in Kenya</w:t>
      </w:r>
      <w:r w:rsidR="003B4EC3" w:rsidRPr="00196D32">
        <w:rPr>
          <w:rFonts w:ascii="Arial" w:eastAsia="Calibri" w:hAnsi="Arial" w:cs="Arial"/>
          <w:color w:val="000000" w:themeColor="text1"/>
          <w:kern w:val="24"/>
          <w:sz w:val="20"/>
          <w:szCs w:val="20"/>
        </w:rPr>
        <w:t xml:space="preserve"> and hence the reason as to why this study was conducted </w:t>
      </w:r>
      <w:r w:rsidR="002E3997" w:rsidRPr="00196D32">
        <w:rPr>
          <w:rFonts w:ascii="Arial" w:eastAsia="Calibri" w:hAnsi="Arial" w:cs="Arial"/>
          <w:color w:val="000000" w:themeColor="text1"/>
          <w:kern w:val="24"/>
          <w:sz w:val="20"/>
          <w:szCs w:val="20"/>
        </w:rPr>
        <w:t xml:space="preserve">to </w:t>
      </w:r>
      <w:r w:rsidR="003B4EC3" w:rsidRPr="00196D32">
        <w:rPr>
          <w:rFonts w:ascii="Arial" w:eastAsia="Calibri" w:hAnsi="Arial" w:cs="Arial"/>
          <w:color w:val="000000" w:themeColor="text1"/>
          <w:kern w:val="24"/>
          <w:sz w:val="20"/>
          <w:szCs w:val="20"/>
        </w:rPr>
        <w:t xml:space="preserve">provide </w:t>
      </w:r>
      <w:r w:rsidR="00447F09" w:rsidRPr="00196D32">
        <w:rPr>
          <w:rFonts w:ascii="Arial" w:eastAsia="Calibri" w:hAnsi="Arial" w:cs="Arial"/>
          <w:color w:val="000000" w:themeColor="text1"/>
          <w:kern w:val="24"/>
          <w:sz w:val="20"/>
          <w:szCs w:val="20"/>
        </w:rPr>
        <w:t xml:space="preserve">policy </w:t>
      </w:r>
      <w:r w:rsidR="002E3997" w:rsidRPr="00196D32">
        <w:rPr>
          <w:rFonts w:ascii="Arial" w:eastAsia="Calibri" w:hAnsi="Arial" w:cs="Arial"/>
          <w:color w:val="000000" w:themeColor="text1"/>
          <w:kern w:val="24"/>
          <w:sz w:val="20"/>
          <w:szCs w:val="20"/>
        </w:rPr>
        <w:t xml:space="preserve">recommendations </w:t>
      </w:r>
      <w:r w:rsidR="00447F09" w:rsidRPr="00196D32">
        <w:rPr>
          <w:rFonts w:ascii="Arial" w:eastAsia="Calibri" w:hAnsi="Arial" w:cs="Arial"/>
          <w:color w:val="000000" w:themeColor="text1"/>
          <w:kern w:val="24"/>
          <w:sz w:val="20"/>
          <w:szCs w:val="20"/>
        </w:rPr>
        <w:t xml:space="preserve">and recommendations </w:t>
      </w:r>
      <w:r w:rsidR="002E3997" w:rsidRPr="00196D32">
        <w:rPr>
          <w:rFonts w:ascii="Arial" w:eastAsia="Calibri" w:hAnsi="Arial" w:cs="Arial"/>
          <w:color w:val="000000" w:themeColor="text1"/>
          <w:kern w:val="24"/>
          <w:sz w:val="20"/>
          <w:szCs w:val="20"/>
        </w:rPr>
        <w:t>fo</w:t>
      </w:r>
      <w:r w:rsidR="00447F09" w:rsidRPr="00196D32">
        <w:rPr>
          <w:rFonts w:ascii="Arial" w:eastAsia="Calibri" w:hAnsi="Arial" w:cs="Arial"/>
          <w:color w:val="000000" w:themeColor="text1"/>
          <w:kern w:val="24"/>
          <w:sz w:val="20"/>
          <w:szCs w:val="20"/>
        </w:rPr>
        <w:t xml:space="preserve">r </w:t>
      </w:r>
      <w:r w:rsidR="002E3997" w:rsidRPr="00196D32">
        <w:rPr>
          <w:rFonts w:ascii="Arial" w:eastAsia="Calibri" w:hAnsi="Arial" w:cs="Arial"/>
          <w:color w:val="000000" w:themeColor="text1"/>
          <w:kern w:val="24"/>
          <w:sz w:val="20"/>
          <w:szCs w:val="20"/>
        </w:rPr>
        <w:t xml:space="preserve">practice </w:t>
      </w:r>
      <w:r w:rsidR="003B4EC3" w:rsidRPr="00196D32">
        <w:rPr>
          <w:rFonts w:ascii="Arial" w:eastAsia="Calibri" w:hAnsi="Arial" w:cs="Arial"/>
          <w:color w:val="000000" w:themeColor="text1"/>
          <w:kern w:val="24"/>
          <w:sz w:val="20"/>
          <w:szCs w:val="20"/>
        </w:rPr>
        <w:t xml:space="preserve">that </w:t>
      </w:r>
      <w:r w:rsidR="00447F09" w:rsidRPr="00196D32">
        <w:rPr>
          <w:rFonts w:ascii="Arial" w:eastAsia="Calibri" w:hAnsi="Arial" w:cs="Arial"/>
          <w:color w:val="000000" w:themeColor="text1"/>
          <w:kern w:val="24"/>
          <w:sz w:val="20"/>
          <w:szCs w:val="20"/>
        </w:rPr>
        <w:t>would</w:t>
      </w:r>
      <w:r w:rsidR="00A95513"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help</w:t>
      </w:r>
      <w:r w:rsidR="00447F09"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to</w:t>
      </w:r>
      <w:r w:rsidR="00D61933" w:rsidRPr="00196D32">
        <w:rPr>
          <w:rFonts w:ascii="Arial" w:eastAsia="Calibri" w:hAnsi="Arial" w:cs="Arial"/>
          <w:color w:val="000000" w:themeColor="text1"/>
          <w:kern w:val="24"/>
          <w:sz w:val="20"/>
          <w:szCs w:val="20"/>
        </w:rPr>
        <w:t xml:space="preserve"> improve</w:t>
      </w:r>
      <w:r w:rsidR="002E3997" w:rsidRPr="00196D32">
        <w:rPr>
          <w:rFonts w:ascii="Arial" w:eastAsia="Calibri" w:hAnsi="Arial" w:cs="Arial"/>
          <w:color w:val="000000" w:themeColor="text1"/>
          <w:kern w:val="24"/>
          <w:sz w:val="20"/>
          <w:szCs w:val="20"/>
        </w:rPr>
        <w:t xml:space="preserve"> performance of UTFs</w:t>
      </w:r>
      <w:r w:rsidR="003B4EC3" w:rsidRPr="00196D32">
        <w:rPr>
          <w:rFonts w:ascii="Arial" w:eastAsia="Calibri" w:hAnsi="Arial" w:cs="Arial"/>
          <w:color w:val="000000" w:themeColor="text1"/>
          <w:kern w:val="24"/>
          <w:sz w:val="20"/>
          <w:szCs w:val="20"/>
        </w:rPr>
        <w:t xml:space="preserve"> when </w:t>
      </w:r>
      <w:r w:rsidR="00D61933" w:rsidRPr="00196D32">
        <w:rPr>
          <w:rFonts w:ascii="Arial" w:eastAsia="Calibri" w:hAnsi="Arial" w:cs="Arial"/>
          <w:color w:val="000000" w:themeColor="text1"/>
          <w:kern w:val="24"/>
          <w:sz w:val="20"/>
          <w:szCs w:val="20"/>
        </w:rPr>
        <w:t xml:space="preserve">fund managers </w:t>
      </w:r>
      <w:r w:rsidR="00447F09" w:rsidRPr="00196D32">
        <w:rPr>
          <w:rFonts w:ascii="Arial" w:eastAsia="Calibri" w:hAnsi="Arial" w:cs="Arial"/>
          <w:color w:val="000000" w:themeColor="text1"/>
          <w:kern w:val="24"/>
          <w:sz w:val="20"/>
          <w:szCs w:val="20"/>
        </w:rPr>
        <w:t xml:space="preserve">opt for </w:t>
      </w:r>
      <w:r w:rsidR="00D61933" w:rsidRPr="00196D32">
        <w:rPr>
          <w:rFonts w:ascii="Arial" w:eastAsia="Calibri" w:hAnsi="Arial" w:cs="Arial"/>
          <w:color w:val="000000" w:themeColor="text1"/>
          <w:kern w:val="24"/>
          <w:sz w:val="20"/>
          <w:szCs w:val="20"/>
        </w:rPr>
        <w:t>invest</w:t>
      </w:r>
      <w:r w:rsidR="00447F09" w:rsidRPr="00196D32">
        <w:rPr>
          <w:rFonts w:ascii="Arial" w:eastAsia="Calibri" w:hAnsi="Arial" w:cs="Arial"/>
          <w:color w:val="000000" w:themeColor="text1"/>
          <w:kern w:val="24"/>
          <w:sz w:val="20"/>
          <w:szCs w:val="20"/>
        </w:rPr>
        <w:t>ment</w:t>
      </w:r>
      <w:r w:rsidR="00D61933" w:rsidRPr="00196D32">
        <w:rPr>
          <w:rFonts w:ascii="Arial" w:eastAsia="Calibri" w:hAnsi="Arial" w:cs="Arial"/>
          <w:color w:val="000000" w:themeColor="text1"/>
          <w:kern w:val="24"/>
          <w:sz w:val="20"/>
          <w:szCs w:val="20"/>
        </w:rPr>
        <w:t xml:space="preserve"> in fixed deposits</w:t>
      </w:r>
      <w:r w:rsidR="00A95513" w:rsidRPr="00196D32">
        <w:rPr>
          <w:rFonts w:ascii="Arial" w:eastAsia="Calibri" w:hAnsi="Arial" w:cs="Arial"/>
          <w:color w:val="000000" w:themeColor="text1"/>
          <w:kern w:val="24"/>
          <w:sz w:val="20"/>
          <w:szCs w:val="20"/>
        </w:rPr>
        <w:t xml:space="preserve"> while </w:t>
      </w:r>
      <w:r w:rsidR="00447F09" w:rsidRPr="00196D32">
        <w:rPr>
          <w:rFonts w:ascii="Arial" w:eastAsia="Calibri" w:hAnsi="Arial" w:cs="Arial"/>
          <w:color w:val="000000" w:themeColor="text1"/>
          <w:kern w:val="24"/>
          <w:sz w:val="20"/>
          <w:szCs w:val="20"/>
        </w:rPr>
        <w:t xml:space="preserve">considering </w:t>
      </w:r>
      <w:r w:rsidR="00A95513" w:rsidRPr="00196D32">
        <w:rPr>
          <w:rFonts w:ascii="Arial" w:eastAsia="Calibri" w:hAnsi="Arial" w:cs="Arial"/>
          <w:color w:val="000000" w:themeColor="text1"/>
          <w:kern w:val="24"/>
          <w:sz w:val="20"/>
          <w:szCs w:val="20"/>
        </w:rPr>
        <w:t>fund size</w:t>
      </w:r>
      <w:r w:rsidR="00727C13" w:rsidRPr="00196D32">
        <w:rPr>
          <w:rFonts w:ascii="Arial" w:eastAsia="Calibri" w:hAnsi="Arial" w:cs="Arial"/>
          <w:color w:val="000000" w:themeColor="text1"/>
          <w:kern w:val="24"/>
          <w:sz w:val="20"/>
          <w:szCs w:val="20"/>
        </w:rPr>
        <w:t xml:space="preserve"> as a moderator</w:t>
      </w:r>
      <w:r w:rsidR="00A95513" w:rsidRPr="00196D32">
        <w:rPr>
          <w:rFonts w:ascii="Arial" w:eastAsia="Calibri" w:hAnsi="Arial" w:cs="Arial"/>
          <w:color w:val="000000" w:themeColor="text1"/>
          <w:kern w:val="24"/>
          <w:sz w:val="20"/>
          <w:szCs w:val="20"/>
        </w:rPr>
        <w:t>.</w:t>
      </w:r>
      <w:r w:rsidR="00A95513" w:rsidRPr="00196D32">
        <w:rPr>
          <w:rFonts w:ascii="Arial" w:hAnsi="Arial" w:cs="Arial"/>
          <w:sz w:val="20"/>
          <w:szCs w:val="20"/>
        </w:rPr>
        <w:t xml:space="preserve"> </w:t>
      </w:r>
    </w:p>
    <w:p w14:paraId="0381BA2B" w14:textId="77777777" w:rsidR="00076F0C" w:rsidRDefault="00076F0C" w:rsidP="0096510E">
      <w:pPr>
        <w:spacing w:after="0" w:line="240" w:lineRule="auto"/>
        <w:jc w:val="both"/>
        <w:rPr>
          <w:rFonts w:ascii="Times New Roman" w:hAnsi="Times New Roman" w:cs="Times New Roman"/>
          <w:b/>
          <w:sz w:val="24"/>
          <w:szCs w:val="24"/>
        </w:rPr>
      </w:pPr>
    </w:p>
    <w:p w14:paraId="185372A1" w14:textId="616AE6BC" w:rsidR="00076F0C" w:rsidRPr="0047447E" w:rsidRDefault="0047447E" w:rsidP="00076F0C">
      <w:pPr>
        <w:spacing w:after="0" w:line="240" w:lineRule="auto"/>
        <w:jc w:val="both"/>
        <w:rPr>
          <w:rFonts w:ascii="Arial" w:hAnsi="Arial" w:cs="Arial"/>
          <w:sz w:val="20"/>
          <w:szCs w:val="20"/>
          <w:shd w:val="clear" w:color="auto" w:fill="FFFFFF"/>
        </w:rPr>
      </w:pPr>
      <w:bookmarkStart w:id="6" w:name="_Hlk148718242"/>
      <w:r w:rsidRPr="0047447E">
        <w:rPr>
          <w:rFonts w:ascii="Arial" w:hAnsi="Arial" w:cs="Arial"/>
          <w:sz w:val="20"/>
          <w:szCs w:val="20"/>
          <w:shd w:val="clear" w:color="auto" w:fill="FFFFFF"/>
        </w:rPr>
        <w:t xml:space="preserve">Knowledge gaps exist in the past studies done on this research topic, for example, </w:t>
      </w:r>
      <w:proofErr w:type="spellStart"/>
      <w:r w:rsidR="00076F0C" w:rsidRPr="0047447E">
        <w:rPr>
          <w:rFonts w:ascii="Arial" w:hAnsi="Arial" w:cs="Arial"/>
          <w:sz w:val="20"/>
          <w:szCs w:val="20"/>
          <w:shd w:val="clear" w:color="auto" w:fill="FFFFFF"/>
        </w:rPr>
        <w:t>Dongol</w:t>
      </w:r>
      <w:proofErr w:type="spellEnd"/>
      <w:r w:rsidR="00076F0C" w:rsidRPr="0047447E">
        <w:rPr>
          <w:rFonts w:ascii="Arial" w:hAnsi="Arial" w:cs="Arial"/>
          <w:sz w:val="20"/>
          <w:szCs w:val="20"/>
          <w:shd w:val="clear" w:color="auto" w:fill="FFFFFF"/>
        </w:rPr>
        <w:t xml:space="preserve"> (2021), researched on the effect of fixed deposits on performance of exchange traded funds in Nepal. A descriptive research design was adopted and 115 staffs were targeted. A total of 74 employees were sampled in the study. The study used primary data that was analyzed using descriptive and inferential statistics. The findings reveal that investing in fixed deposits has a significant positive impact on performance of exchange traded funds. The study had been conducted on exchange traded funds while this study was done on unit trust funds. </w:t>
      </w:r>
      <w:bookmarkEnd w:id="6"/>
      <w:r w:rsidR="00076F0C" w:rsidRPr="0047447E">
        <w:rPr>
          <w:rFonts w:ascii="Arial" w:hAnsi="Arial" w:cs="Arial"/>
          <w:sz w:val="20"/>
          <w:szCs w:val="20"/>
          <w:shd w:val="clear" w:color="auto" w:fill="FFFFFF"/>
        </w:rPr>
        <w:t xml:space="preserve">Afriyie et al. (2021), studied on </w:t>
      </w:r>
      <w:bookmarkStart w:id="7" w:name="_Hlk148698238"/>
      <w:r w:rsidR="00076F0C" w:rsidRPr="0047447E">
        <w:rPr>
          <w:rFonts w:ascii="Arial" w:hAnsi="Arial" w:cs="Arial"/>
          <w:sz w:val="20"/>
          <w:szCs w:val="20"/>
          <w:shd w:val="clear" w:color="auto" w:fill="FFFFFF"/>
        </w:rPr>
        <w:t xml:space="preserve">fixed deposits and its impact on performance </w:t>
      </w:r>
      <w:bookmarkEnd w:id="7"/>
      <w:r w:rsidR="00076F0C" w:rsidRPr="0047447E">
        <w:rPr>
          <w:rFonts w:ascii="Arial" w:hAnsi="Arial" w:cs="Arial"/>
          <w:sz w:val="20"/>
          <w:szCs w:val="20"/>
          <w:shd w:val="clear" w:color="auto" w:fill="FFFFFF"/>
        </w:rPr>
        <w:t>of private equity funds in Ghana.  The study used an ex-post facto research design. The sample size was 20 private equity funds with 138 observations. The study used secondary data and the panel data was for a period of seven years between 2011 and 2017. The data collected was analyzed using both descriptive and inferential statistics. The results revealed that investing in fixed deposits has a significant positive impact on the performance of private equity funds in Ghana. Research philosophy adopted had not been justified which this study sought to justify and hence filled the methodological gap.</w:t>
      </w:r>
    </w:p>
    <w:p w14:paraId="546156FD" w14:textId="77777777" w:rsidR="00076F0C" w:rsidRPr="0047447E" w:rsidRDefault="00076F0C" w:rsidP="00076F0C">
      <w:pPr>
        <w:spacing w:after="0" w:line="240" w:lineRule="auto"/>
        <w:jc w:val="both"/>
        <w:rPr>
          <w:rFonts w:ascii="Arial" w:hAnsi="Arial" w:cs="Arial"/>
          <w:sz w:val="20"/>
          <w:szCs w:val="20"/>
          <w:shd w:val="clear" w:color="auto" w:fill="FFFFFF"/>
        </w:rPr>
      </w:pPr>
    </w:p>
    <w:p w14:paraId="35531335" w14:textId="670B05A2" w:rsidR="00076F0C" w:rsidRPr="0047447E" w:rsidRDefault="00C96A07" w:rsidP="00076F0C">
      <w:pPr>
        <w:spacing w:after="0" w:line="240" w:lineRule="auto"/>
        <w:jc w:val="both"/>
        <w:rPr>
          <w:rFonts w:ascii="Arial" w:hAnsi="Arial" w:cs="Arial"/>
          <w:sz w:val="20"/>
          <w:szCs w:val="20"/>
        </w:rPr>
      </w:pPr>
      <w:r w:rsidRPr="0047447E">
        <w:rPr>
          <w:rFonts w:ascii="Arial" w:hAnsi="Arial" w:cs="Arial"/>
          <w:sz w:val="20"/>
          <w:szCs w:val="20"/>
        </w:rPr>
        <w:lastRenderedPageBreak/>
        <w:t>Obong’o et al.</w:t>
      </w:r>
      <w:r w:rsidR="00076F0C" w:rsidRPr="0047447E">
        <w:rPr>
          <w:rFonts w:ascii="Arial" w:hAnsi="Arial" w:cs="Arial"/>
          <w:sz w:val="20"/>
          <w:szCs w:val="20"/>
        </w:rPr>
        <w:t xml:space="preserve"> (2020), researched on the </w:t>
      </w:r>
      <w:bookmarkStart w:id="8" w:name="_Hlk149556081"/>
      <w:r w:rsidR="00076F0C" w:rsidRPr="0047447E">
        <w:rPr>
          <w:rFonts w:ascii="Arial" w:hAnsi="Arial" w:cs="Arial"/>
          <w:sz w:val="20"/>
          <w:szCs w:val="20"/>
        </w:rPr>
        <w:t>effect of investing in fixed deposits on performance of mutual funds in Nairobi County, Kenya</w:t>
      </w:r>
      <w:bookmarkEnd w:id="8"/>
      <w:r w:rsidR="00076F0C" w:rsidRPr="0047447E">
        <w:rPr>
          <w:rFonts w:ascii="Arial" w:hAnsi="Arial" w:cs="Arial"/>
          <w:sz w:val="20"/>
          <w:szCs w:val="20"/>
        </w:rPr>
        <w:t>. The purpose of the study was to determine the effect of investing in fixed deposits on performance of mutual funds in Nairobi County, Kenya. The study used a descriptive research design and 39 commercial banks in Nairobi County were considered. All the different type of datasets was used in the study and was analyzed using descriptive and inferential statistics. The results are that investing in fixed deposits has a significant positive effect on performance. Unit trust funds were not within the scope of the study which was the focus of the current study. Morwabe and Muturi (2019), researched on the</w:t>
      </w:r>
      <w:bookmarkStart w:id="9" w:name="_Hlk149556206"/>
      <w:r w:rsidR="00076F0C" w:rsidRPr="0047447E">
        <w:rPr>
          <w:rFonts w:ascii="Arial" w:hAnsi="Arial" w:cs="Arial"/>
          <w:sz w:val="20"/>
          <w:szCs w:val="20"/>
        </w:rPr>
        <w:t xml:space="preserve"> effect of investing in fixed deposits on performance </w:t>
      </w:r>
      <w:bookmarkStart w:id="10" w:name="_Hlk174089174"/>
      <w:r w:rsidR="00076F0C" w:rsidRPr="0047447E">
        <w:rPr>
          <w:rFonts w:ascii="Arial" w:hAnsi="Arial" w:cs="Arial"/>
          <w:sz w:val="20"/>
          <w:szCs w:val="20"/>
        </w:rPr>
        <w:t>of investment funds in Nairobi County, Kenya</w:t>
      </w:r>
      <w:bookmarkEnd w:id="9"/>
      <w:bookmarkEnd w:id="10"/>
      <w:r w:rsidR="00076F0C" w:rsidRPr="0047447E">
        <w:rPr>
          <w:rFonts w:ascii="Arial" w:hAnsi="Arial" w:cs="Arial"/>
          <w:sz w:val="20"/>
          <w:szCs w:val="20"/>
        </w:rPr>
        <w:t xml:space="preserve">. The purpose of the study was to determine the effect of investing in fixed deposits on performance of investment funds in Nairobi County, Kenya. The study used a descriptive research design. Target population was all investment funds in Nairobi County, Kenya. Data from secondary sources was adopted and it was analyzed using descriptive and inferential statistics. Findings show that investing in fixed deposits has a significant positive effect on performance of investment funds. Justification for the data analysis procedure had not been provided and hence a methodological gap existed which this study sought to address. </w:t>
      </w:r>
      <w:r w:rsidR="00076F0C" w:rsidRPr="0047447E">
        <w:rPr>
          <w:rFonts w:ascii="Arial" w:hAnsi="Arial" w:cs="Arial"/>
          <w:sz w:val="20"/>
          <w:szCs w:val="20"/>
          <w:shd w:val="clear" w:color="auto" w:fill="FFFFFF"/>
        </w:rPr>
        <w:t xml:space="preserve">Okun (2020), studied on </w:t>
      </w:r>
      <w:bookmarkStart w:id="11" w:name="_Hlk149556370"/>
      <w:r w:rsidR="00076F0C" w:rsidRPr="0047447E">
        <w:rPr>
          <w:rFonts w:ascii="Arial" w:hAnsi="Arial" w:cs="Arial"/>
          <w:sz w:val="20"/>
          <w:szCs w:val="20"/>
          <w:shd w:val="clear" w:color="auto" w:fill="FFFFFF"/>
        </w:rPr>
        <w:t>fixed deposits and performance of hedge funds in Kenya</w:t>
      </w:r>
      <w:bookmarkEnd w:id="11"/>
      <w:r w:rsidR="00076F0C" w:rsidRPr="0047447E">
        <w:rPr>
          <w:rFonts w:ascii="Arial" w:hAnsi="Arial" w:cs="Arial"/>
          <w:sz w:val="20"/>
          <w:szCs w:val="20"/>
          <w:shd w:val="clear" w:color="auto" w:fill="FFFFFF"/>
        </w:rPr>
        <w:t xml:space="preserve">. The purpose of the study was to determine the effect of fixed deposits on performance of hedge funds in Kenya. The study used cross-sectional research design and the target population was all hedge funds in Kenya. The study used data from secondary sources only which was analyzed using descriptive and inferential statistics. The results revealed that fixed deposits have a significant positive effect on performance of hedge funds in Kenya. The study had been conducted in a different sector and therefore this study focused on unit trust funds so as to determine the effect of investing in fixed deposits on their performance. </w:t>
      </w:r>
      <w:bookmarkStart w:id="12" w:name="_Hlk220067299"/>
      <w:r w:rsidR="00076F0C" w:rsidRPr="0047447E">
        <w:rPr>
          <w:rFonts w:ascii="Arial" w:hAnsi="Arial" w:cs="Arial"/>
          <w:sz w:val="20"/>
          <w:szCs w:val="20"/>
          <w:shd w:val="clear" w:color="auto" w:fill="FFFFFF"/>
        </w:rPr>
        <w:t>Literature reviewed led to the development of the following hypothesis statement:</w:t>
      </w:r>
      <w:bookmarkEnd w:id="12"/>
    </w:p>
    <w:p w14:paraId="4F14B64A" w14:textId="77777777" w:rsidR="00076F0C" w:rsidRPr="0047447E" w:rsidRDefault="00076F0C" w:rsidP="0096510E">
      <w:pPr>
        <w:spacing w:after="0" w:line="240" w:lineRule="auto"/>
        <w:jc w:val="both"/>
        <w:rPr>
          <w:rFonts w:ascii="Arial" w:hAnsi="Arial" w:cs="Arial"/>
          <w:b/>
          <w:sz w:val="20"/>
          <w:szCs w:val="20"/>
        </w:rPr>
      </w:pPr>
    </w:p>
    <w:p w14:paraId="68A20D25" w14:textId="103085ED" w:rsidR="00076F0C" w:rsidRPr="0047447E" w:rsidRDefault="00076F0C" w:rsidP="00076F0C">
      <w:pPr>
        <w:spacing w:after="0" w:line="240" w:lineRule="auto"/>
        <w:ind w:left="720" w:hanging="720"/>
        <w:jc w:val="both"/>
        <w:rPr>
          <w:rFonts w:ascii="Arial" w:hAnsi="Arial" w:cs="Arial"/>
          <w:i/>
          <w:sz w:val="20"/>
          <w:szCs w:val="20"/>
        </w:rPr>
      </w:pPr>
      <w:bookmarkStart w:id="13" w:name="_Hlk215747435"/>
      <w:r w:rsidRPr="0047447E">
        <w:rPr>
          <w:rFonts w:ascii="Arial" w:hAnsi="Arial" w:cs="Arial"/>
          <w:b/>
          <w:i/>
          <w:sz w:val="20"/>
          <w:szCs w:val="20"/>
        </w:rPr>
        <w:t>H</w:t>
      </w:r>
      <w:r w:rsidRPr="0047447E">
        <w:rPr>
          <w:rFonts w:ascii="Arial" w:hAnsi="Arial" w:cs="Arial"/>
          <w:b/>
          <w:i/>
          <w:sz w:val="20"/>
          <w:szCs w:val="20"/>
          <w:vertAlign w:val="subscript"/>
        </w:rPr>
        <w:t>01</w:t>
      </w:r>
      <w:r w:rsidRPr="0047447E">
        <w:rPr>
          <w:rFonts w:ascii="Arial" w:hAnsi="Arial" w:cs="Arial"/>
          <w:b/>
          <w:i/>
          <w:sz w:val="20"/>
          <w:szCs w:val="20"/>
        </w:rPr>
        <w:t>:</w:t>
      </w:r>
      <w:r w:rsidRPr="0047447E">
        <w:rPr>
          <w:rFonts w:ascii="Arial" w:hAnsi="Arial" w:cs="Arial"/>
          <w:i/>
          <w:sz w:val="20"/>
          <w:szCs w:val="20"/>
        </w:rPr>
        <w:t xml:space="preserve"> </w:t>
      </w:r>
      <w:r w:rsidRPr="0047447E">
        <w:rPr>
          <w:rFonts w:ascii="Arial" w:hAnsi="Arial" w:cs="Arial"/>
          <w:i/>
          <w:sz w:val="20"/>
          <w:szCs w:val="20"/>
        </w:rPr>
        <w:tab/>
        <w:t>Investing in fixed deposits has no significant effect on performance of unit trust funds in Kenya</w:t>
      </w:r>
      <w:r w:rsidR="0047447E">
        <w:rPr>
          <w:rFonts w:ascii="Arial" w:hAnsi="Arial" w:cs="Arial"/>
          <w:i/>
          <w:sz w:val="20"/>
          <w:szCs w:val="20"/>
        </w:rPr>
        <w:t>.</w:t>
      </w:r>
    </w:p>
    <w:bookmarkEnd w:id="13"/>
    <w:p w14:paraId="6151E7B7" w14:textId="1E334C99" w:rsidR="008D3165" w:rsidRPr="0047447E" w:rsidRDefault="008D3165" w:rsidP="00076F0C">
      <w:pPr>
        <w:spacing w:after="0" w:line="240" w:lineRule="auto"/>
        <w:ind w:left="720" w:hanging="720"/>
        <w:jc w:val="both"/>
        <w:rPr>
          <w:rFonts w:ascii="Arial" w:hAnsi="Arial" w:cs="Arial"/>
          <w:i/>
          <w:sz w:val="20"/>
          <w:szCs w:val="20"/>
        </w:rPr>
      </w:pPr>
    </w:p>
    <w:p w14:paraId="72E487D7" w14:textId="44CE300D" w:rsidR="0029791C" w:rsidRPr="00265C67" w:rsidRDefault="0029791C" w:rsidP="0029791C">
      <w:pPr>
        <w:spacing w:after="0" w:line="240" w:lineRule="auto"/>
        <w:jc w:val="both"/>
        <w:rPr>
          <w:rFonts w:ascii="Arial" w:hAnsi="Arial" w:cs="Arial"/>
          <w:sz w:val="20"/>
          <w:szCs w:val="20"/>
          <w:shd w:val="clear" w:color="auto" w:fill="FFFFFF"/>
        </w:rPr>
      </w:pPr>
      <w:r w:rsidRPr="00265C67">
        <w:rPr>
          <w:rFonts w:ascii="Arial" w:hAnsi="Arial" w:cs="Arial"/>
          <w:sz w:val="20"/>
          <w:szCs w:val="20"/>
          <w:shd w:val="clear" w:color="auto" w:fill="FFFFFF"/>
        </w:rPr>
        <w:t xml:space="preserve">Al-Nawaiseh (2020), researched on </w:t>
      </w:r>
      <w:bookmarkStart w:id="14" w:name="_Hlk121537228"/>
      <w:r w:rsidRPr="00265C67">
        <w:rPr>
          <w:rFonts w:ascii="Arial" w:hAnsi="Arial" w:cs="Arial"/>
          <w:sz w:val="20"/>
          <w:szCs w:val="20"/>
          <w:shd w:val="clear" w:color="auto" w:fill="FFFFFF"/>
        </w:rPr>
        <w:t>the effect of fixed deposits, fund’s size on performance of Jordanian insurance companies</w:t>
      </w:r>
      <w:bookmarkEnd w:id="14"/>
      <w:r w:rsidRPr="00265C67">
        <w:rPr>
          <w:rFonts w:ascii="Arial" w:hAnsi="Arial" w:cs="Arial"/>
          <w:sz w:val="20"/>
          <w:szCs w:val="20"/>
          <w:shd w:val="clear" w:color="auto" w:fill="FFFFFF"/>
        </w:rPr>
        <w:t>.</w:t>
      </w:r>
      <w:r w:rsidRPr="00265C67">
        <w:rPr>
          <w:rFonts w:ascii="Arial" w:hAnsi="Arial" w:cs="Arial"/>
          <w:sz w:val="20"/>
          <w:szCs w:val="20"/>
        </w:rPr>
        <w:t xml:space="preserve"> The study adopted cross-sectional and time series research designs. The study targeted 85 insurance companies in Jordan while the sample size was 22 insurance companies. The study used secondary data which was analyzed using both descriptive and inferential statistics. The study results reveal that fund’s size has a </w:t>
      </w:r>
      <w:r w:rsidRPr="00265C67">
        <w:rPr>
          <w:rFonts w:ascii="Arial" w:hAnsi="Arial" w:cs="Arial"/>
          <w:sz w:val="20"/>
          <w:szCs w:val="20"/>
          <w:shd w:val="clear" w:color="auto" w:fill="FFFFFF"/>
        </w:rPr>
        <w:t xml:space="preserve">significant effect on the relationship between fixed deposits and performance of insurance companies. Studies that have done on fund’ size and performance of Jordanian insurance companies are scarce in the Kenyan context. This study enhanced the empirical literature existing on funds’ size on the relationship between fixed deposits and performance of unit trust funds in the Kenyan context. Novrian et al. (2020), researched on </w:t>
      </w:r>
      <w:bookmarkStart w:id="15" w:name="_Hlk149555294"/>
      <w:r w:rsidRPr="00265C67">
        <w:rPr>
          <w:rFonts w:ascii="Arial" w:hAnsi="Arial" w:cs="Arial"/>
          <w:sz w:val="20"/>
          <w:szCs w:val="20"/>
          <w:shd w:val="clear" w:color="auto" w:fill="FFFFFF"/>
        </w:rPr>
        <w:t>influence of fund size on performance of venture capital funds in India</w:t>
      </w:r>
      <w:bookmarkEnd w:id="15"/>
      <w:r w:rsidRPr="00265C67">
        <w:rPr>
          <w:rFonts w:ascii="Arial" w:hAnsi="Arial" w:cs="Arial"/>
          <w:sz w:val="20"/>
          <w:szCs w:val="20"/>
          <w:shd w:val="clear" w:color="auto" w:fill="FFFFFF"/>
        </w:rPr>
        <w:t>. The purpose of the study was to determine the influence of fund size on performance of venture capital funds. The study adopted a descriptive research design. Target population was venture capital funds. The study used panel data for the period between 2012 and 2016.</w:t>
      </w:r>
      <w:r w:rsidRPr="00265C67">
        <w:rPr>
          <w:rFonts w:ascii="Arial" w:hAnsi="Arial" w:cs="Arial"/>
          <w:sz w:val="20"/>
          <w:szCs w:val="20"/>
        </w:rPr>
        <w:t xml:space="preserve"> The study used secondary data only and it was analyzed using both descriptive and inferential statistics. The results reveal that fund’s size has a positive significant moderating effect on the relationship between fixed deposits and performance of Indonesian banking industry. The study had not provided justification for the research design adopted in the study which this study sought to provide and therefore addressed the knowledge gap that existed</w:t>
      </w:r>
      <w:r w:rsidRPr="00265C67">
        <w:rPr>
          <w:rFonts w:ascii="Arial" w:hAnsi="Arial" w:cs="Arial"/>
          <w:sz w:val="20"/>
          <w:szCs w:val="20"/>
          <w:shd w:val="clear" w:color="auto" w:fill="FFFFFF"/>
        </w:rPr>
        <w:t>. Literature reviewed led to the development of the following hypothesis statement:</w:t>
      </w:r>
    </w:p>
    <w:p w14:paraId="3334D9EE" w14:textId="77777777" w:rsidR="0029791C" w:rsidRDefault="0029791C" w:rsidP="008D3165">
      <w:pPr>
        <w:spacing w:after="0" w:line="240" w:lineRule="auto"/>
        <w:ind w:left="720" w:hanging="720"/>
        <w:jc w:val="both"/>
        <w:rPr>
          <w:rFonts w:ascii="Arial" w:hAnsi="Arial" w:cs="Arial"/>
          <w:b/>
          <w:i/>
          <w:sz w:val="20"/>
          <w:szCs w:val="20"/>
        </w:rPr>
      </w:pPr>
    </w:p>
    <w:p w14:paraId="25A56725" w14:textId="35164A80" w:rsidR="008D3165" w:rsidRPr="0047447E" w:rsidRDefault="008D3165" w:rsidP="008D3165">
      <w:pPr>
        <w:spacing w:after="0" w:line="240" w:lineRule="auto"/>
        <w:ind w:left="720" w:hanging="720"/>
        <w:jc w:val="both"/>
        <w:rPr>
          <w:rFonts w:ascii="Arial" w:hAnsi="Arial" w:cs="Arial"/>
          <w:i/>
          <w:sz w:val="20"/>
          <w:szCs w:val="20"/>
        </w:rPr>
      </w:pPr>
      <w:r w:rsidRPr="0047447E">
        <w:rPr>
          <w:rFonts w:ascii="Arial" w:hAnsi="Arial" w:cs="Arial"/>
          <w:b/>
          <w:i/>
          <w:sz w:val="20"/>
          <w:szCs w:val="20"/>
        </w:rPr>
        <w:t>H</w:t>
      </w:r>
      <w:r w:rsidRPr="0047447E">
        <w:rPr>
          <w:rFonts w:ascii="Arial" w:hAnsi="Arial" w:cs="Arial"/>
          <w:b/>
          <w:i/>
          <w:sz w:val="20"/>
          <w:szCs w:val="20"/>
          <w:vertAlign w:val="subscript"/>
        </w:rPr>
        <w:t>02</w:t>
      </w:r>
      <w:r w:rsidRPr="0047447E">
        <w:rPr>
          <w:rFonts w:ascii="Arial" w:hAnsi="Arial" w:cs="Arial"/>
          <w:b/>
          <w:i/>
          <w:sz w:val="20"/>
          <w:szCs w:val="20"/>
        </w:rPr>
        <w:t>:</w:t>
      </w:r>
      <w:r w:rsidRPr="0047447E">
        <w:rPr>
          <w:rFonts w:ascii="Arial" w:hAnsi="Arial" w:cs="Arial"/>
          <w:i/>
          <w:sz w:val="20"/>
          <w:szCs w:val="20"/>
        </w:rPr>
        <w:t xml:space="preserve"> </w:t>
      </w:r>
      <w:r w:rsidRPr="0047447E">
        <w:rPr>
          <w:rFonts w:ascii="Arial" w:hAnsi="Arial" w:cs="Arial"/>
          <w:i/>
          <w:sz w:val="20"/>
          <w:szCs w:val="20"/>
        </w:rPr>
        <w:tab/>
      </w:r>
      <w:r w:rsidR="000801F8" w:rsidRPr="0047447E">
        <w:rPr>
          <w:rFonts w:ascii="Arial" w:hAnsi="Arial" w:cs="Arial"/>
          <w:i/>
          <w:iCs/>
          <w:sz w:val="20"/>
          <w:szCs w:val="20"/>
        </w:rPr>
        <w:t>Fund size has no significant moderating effect on the relationship between investing in fixed deposits and performance of unit trust funds in Kenya</w:t>
      </w:r>
      <w:r w:rsidR="0047447E">
        <w:rPr>
          <w:rFonts w:ascii="Arial" w:hAnsi="Arial" w:cs="Arial"/>
          <w:i/>
          <w:iCs/>
          <w:sz w:val="20"/>
          <w:szCs w:val="20"/>
        </w:rPr>
        <w:t>.</w:t>
      </w:r>
    </w:p>
    <w:p w14:paraId="1ACD4C03" w14:textId="77777777" w:rsidR="008D3165" w:rsidRPr="00076F0C" w:rsidRDefault="008D3165" w:rsidP="00076F0C">
      <w:pPr>
        <w:spacing w:after="0" w:line="240" w:lineRule="auto"/>
        <w:ind w:left="720" w:hanging="720"/>
        <w:jc w:val="both"/>
        <w:rPr>
          <w:rFonts w:ascii="Times New Roman" w:hAnsi="Times New Roman" w:cs="Times New Roman"/>
          <w:i/>
          <w:sz w:val="24"/>
          <w:szCs w:val="24"/>
        </w:rPr>
      </w:pPr>
    </w:p>
    <w:p w14:paraId="2BDF4399" w14:textId="45297405" w:rsidR="0080004B" w:rsidRPr="0047447E" w:rsidRDefault="0047447E" w:rsidP="0096510E">
      <w:pPr>
        <w:spacing w:after="0" w:line="240" w:lineRule="auto"/>
        <w:jc w:val="both"/>
        <w:rPr>
          <w:rFonts w:ascii="Arial" w:hAnsi="Arial" w:cs="Arial"/>
          <w:b/>
        </w:rPr>
      </w:pPr>
      <w:r w:rsidRPr="0047447E">
        <w:rPr>
          <w:rFonts w:ascii="Arial" w:hAnsi="Arial" w:cs="Arial"/>
          <w:b/>
        </w:rPr>
        <w:t>2. MATERIALS &amp; METHODS</w:t>
      </w:r>
    </w:p>
    <w:p w14:paraId="2F31016D" w14:textId="77777777" w:rsidR="0080004B" w:rsidRDefault="0080004B" w:rsidP="0096510E">
      <w:pPr>
        <w:spacing w:after="0" w:line="240" w:lineRule="auto"/>
        <w:jc w:val="both"/>
        <w:rPr>
          <w:rFonts w:ascii="Times New Roman" w:hAnsi="Times New Roman" w:cs="Times New Roman"/>
          <w:b/>
          <w:sz w:val="24"/>
          <w:szCs w:val="24"/>
        </w:rPr>
      </w:pPr>
    </w:p>
    <w:p w14:paraId="061078F6" w14:textId="77777777" w:rsidR="0080004B" w:rsidRPr="0047447E" w:rsidRDefault="0080004B" w:rsidP="00F316A0">
      <w:pPr>
        <w:spacing w:line="240" w:lineRule="auto"/>
        <w:jc w:val="both"/>
        <w:rPr>
          <w:rFonts w:ascii="Arial" w:hAnsi="Arial" w:cs="Arial"/>
          <w:sz w:val="20"/>
          <w:szCs w:val="20"/>
        </w:rPr>
      </w:pPr>
      <w:r w:rsidRPr="0047447E">
        <w:rPr>
          <w:rFonts w:ascii="Arial" w:hAnsi="Arial" w:cs="Arial"/>
          <w:sz w:val="20"/>
          <w:szCs w:val="20"/>
        </w:rPr>
        <w:t>Research philosophy is a belief about the way in which data about a phenomenon should be gathered, analyzed and used (</w:t>
      </w:r>
      <w:r w:rsidRPr="0047447E">
        <w:rPr>
          <w:rFonts w:ascii="Arial" w:hAnsi="Arial" w:cs="Arial"/>
          <w:sz w:val="20"/>
          <w:szCs w:val="20"/>
          <w:shd w:val="clear" w:color="auto" w:fill="FFFFFF"/>
        </w:rPr>
        <w:t>Novikov &amp; Novikov, 2019)</w:t>
      </w:r>
      <w:r w:rsidRPr="0047447E">
        <w:rPr>
          <w:rFonts w:ascii="Arial" w:hAnsi="Arial" w:cs="Arial"/>
          <w:sz w:val="20"/>
          <w:szCs w:val="20"/>
        </w:rPr>
        <w:t xml:space="preserve">. The various types of research philosophies include; positivist, </w:t>
      </w:r>
      <w:bookmarkStart w:id="16" w:name="_Hlk148519006"/>
      <w:r w:rsidRPr="0047447E">
        <w:rPr>
          <w:rFonts w:ascii="Arial" w:hAnsi="Arial" w:cs="Arial"/>
          <w:sz w:val="20"/>
          <w:szCs w:val="20"/>
        </w:rPr>
        <w:t>interpretivist</w:t>
      </w:r>
      <w:bookmarkEnd w:id="16"/>
      <w:r w:rsidRPr="0047447E">
        <w:rPr>
          <w:rFonts w:ascii="Arial" w:hAnsi="Arial" w:cs="Arial"/>
          <w:sz w:val="20"/>
          <w:szCs w:val="20"/>
        </w:rPr>
        <w:t>, pragmatist as well as realistic research philosophies</w:t>
      </w:r>
      <w:r w:rsidRPr="0047447E">
        <w:rPr>
          <w:rFonts w:ascii="Arial" w:hAnsi="Arial" w:cs="Arial"/>
          <w:sz w:val="20"/>
          <w:szCs w:val="20"/>
          <w:shd w:val="clear" w:color="auto" w:fill="FFFFFF"/>
        </w:rPr>
        <w:t xml:space="preserve"> (Flick, 2020)</w:t>
      </w:r>
      <w:r w:rsidRPr="0047447E">
        <w:rPr>
          <w:rFonts w:ascii="Arial" w:hAnsi="Arial" w:cs="Arial"/>
          <w:sz w:val="20"/>
          <w:szCs w:val="20"/>
        </w:rPr>
        <w:t xml:space="preserve">. Positivism research philosophy was adopted </w:t>
      </w:r>
      <w:r w:rsidR="00665B00" w:rsidRPr="0047447E">
        <w:rPr>
          <w:rFonts w:ascii="Arial" w:hAnsi="Arial" w:cs="Arial"/>
          <w:sz w:val="20"/>
          <w:szCs w:val="20"/>
        </w:rPr>
        <w:t xml:space="preserve">as according to Gupta and Gupta (2022), the philosophy is adopted </w:t>
      </w:r>
      <w:r w:rsidRPr="0047447E">
        <w:rPr>
          <w:rFonts w:ascii="Arial" w:hAnsi="Arial" w:cs="Arial"/>
          <w:sz w:val="20"/>
          <w:szCs w:val="20"/>
        </w:rPr>
        <w:t>in methodologies that use quantitative. According to the principles of positivism, the philosophy depends on quantifiable observations that lead themselves to statistical analysis (</w:t>
      </w:r>
      <w:r w:rsidRPr="0047447E">
        <w:rPr>
          <w:rFonts w:ascii="Arial" w:hAnsi="Arial" w:cs="Arial"/>
          <w:sz w:val="20"/>
          <w:szCs w:val="20"/>
          <w:shd w:val="clear" w:color="auto" w:fill="FFFFFF"/>
        </w:rPr>
        <w:t>Mohajan, 2018</w:t>
      </w:r>
      <w:r w:rsidRPr="0047447E">
        <w:rPr>
          <w:rFonts w:ascii="Arial" w:hAnsi="Arial" w:cs="Arial"/>
          <w:sz w:val="20"/>
          <w:szCs w:val="20"/>
        </w:rPr>
        <w:t xml:space="preserve">). This study dealt with quantifiable observations and it was guided by the hypotheses which are attributes that apply to the </w:t>
      </w:r>
      <w:r w:rsidRPr="0047447E">
        <w:rPr>
          <w:rFonts w:ascii="Arial" w:hAnsi="Arial" w:cs="Arial"/>
          <w:sz w:val="20"/>
          <w:szCs w:val="20"/>
        </w:rPr>
        <w:lastRenderedPageBreak/>
        <w:t>positivism research philosophy</w:t>
      </w:r>
      <w:r w:rsidRPr="0047447E">
        <w:rPr>
          <w:rFonts w:ascii="Arial" w:hAnsi="Arial" w:cs="Arial"/>
          <w:sz w:val="20"/>
          <w:szCs w:val="20"/>
          <w:shd w:val="clear" w:color="auto" w:fill="FFFFFF"/>
        </w:rPr>
        <w:t xml:space="preserve">. </w:t>
      </w:r>
      <w:r w:rsidRPr="0047447E">
        <w:rPr>
          <w:rFonts w:ascii="Arial" w:hAnsi="Arial" w:cs="Arial"/>
          <w:sz w:val="20"/>
          <w:szCs w:val="20"/>
        </w:rPr>
        <w:t>This informed its choice as the ideal research philosophy.</w:t>
      </w:r>
      <w:r w:rsidR="00665B00" w:rsidRPr="0047447E">
        <w:rPr>
          <w:rFonts w:ascii="Arial" w:hAnsi="Arial" w:cs="Arial"/>
          <w:sz w:val="20"/>
          <w:szCs w:val="20"/>
        </w:rPr>
        <w:t xml:space="preserve"> </w:t>
      </w:r>
      <w:r w:rsidRPr="0047447E">
        <w:rPr>
          <w:rFonts w:ascii="Arial" w:hAnsi="Arial" w:cs="Arial"/>
          <w:sz w:val="20"/>
          <w:szCs w:val="20"/>
        </w:rPr>
        <w:t xml:space="preserve">This study adopted causal design which is a type of a design which is adopted when data to be </w:t>
      </w:r>
      <w:bookmarkStart w:id="17" w:name="_Hlk167103886"/>
      <w:r w:rsidRPr="0047447E">
        <w:rPr>
          <w:rFonts w:ascii="Arial" w:hAnsi="Arial" w:cs="Arial"/>
          <w:sz w:val="20"/>
          <w:szCs w:val="20"/>
        </w:rPr>
        <w:t>collected is quantitative in nature and when the intention of the study is to explain the cause-and-effect relationship that exists between variables after occurrence of an action or event (Hennick et al., 2020</w:t>
      </w:r>
      <w:r w:rsidRPr="0047447E">
        <w:rPr>
          <w:rFonts w:ascii="Arial" w:hAnsi="Arial" w:cs="Arial"/>
          <w:sz w:val="20"/>
          <w:szCs w:val="20"/>
          <w:shd w:val="clear" w:color="auto" w:fill="FFFFFF"/>
        </w:rPr>
        <w:t>).</w:t>
      </w:r>
      <w:r w:rsidRPr="0047447E">
        <w:rPr>
          <w:rFonts w:ascii="Arial" w:hAnsi="Arial" w:cs="Arial"/>
          <w:sz w:val="20"/>
          <w:szCs w:val="20"/>
        </w:rPr>
        <w:t xml:space="preserve"> </w:t>
      </w:r>
      <w:bookmarkStart w:id="18" w:name="_Toc121540077"/>
      <w:bookmarkStart w:id="19" w:name="_Toc121783660"/>
      <w:bookmarkStart w:id="20" w:name="_Toc121783899"/>
      <w:bookmarkStart w:id="21" w:name="_Toc93758737"/>
      <w:bookmarkStart w:id="22" w:name="_Toc93758940"/>
      <w:bookmarkStart w:id="23" w:name="_Toc64058731"/>
      <w:bookmarkStart w:id="24" w:name="_Toc65395044"/>
      <w:bookmarkStart w:id="25" w:name="_Toc88476460"/>
      <w:bookmarkStart w:id="26" w:name="_Toc88903079"/>
      <w:bookmarkStart w:id="27" w:name="_Toc26183463"/>
      <w:bookmarkStart w:id="28" w:name="_Toc26183727"/>
      <w:bookmarkStart w:id="29" w:name="_Toc21719787"/>
      <w:bookmarkStart w:id="30" w:name="_Toc22213987"/>
      <w:bookmarkStart w:id="31" w:name="_Toc22214182"/>
      <w:bookmarkStart w:id="32" w:name="_Toc27471999"/>
      <w:bookmarkStart w:id="33" w:name="_Toc147395100"/>
      <w:bookmarkStart w:id="34" w:name="_Toc148726968"/>
      <w:bookmarkStart w:id="35" w:name="_Toc148728652"/>
      <w:bookmarkStart w:id="36" w:name="_Toc149561524"/>
      <w:bookmarkStart w:id="37" w:name="_Toc166010998"/>
      <w:bookmarkStart w:id="38" w:name="_Toc167454530"/>
      <w:bookmarkStart w:id="39" w:name="_Toc185522119"/>
      <w:bookmarkStart w:id="40" w:name="_Toc190370815"/>
      <w:bookmarkStart w:id="41" w:name="_Toc190535926"/>
      <w:bookmarkStart w:id="42" w:name="_Toc190536012"/>
      <w:bookmarkStart w:id="43" w:name="_Toc190604564"/>
      <w:bookmarkStart w:id="44" w:name="_Toc190606312"/>
      <w:bookmarkStart w:id="45" w:name="_Toc190607466"/>
      <w:bookmarkStart w:id="46" w:name="_Toc192496787"/>
      <w:bookmarkEnd w:id="17"/>
      <w:r w:rsidR="00665B00" w:rsidRPr="0047447E">
        <w:rPr>
          <w:rFonts w:ascii="Arial" w:hAnsi="Arial" w:cs="Arial"/>
          <w:sz w:val="20"/>
          <w:szCs w:val="20"/>
        </w:rPr>
        <w:t xml:space="preserve"> </w:t>
      </w:r>
      <w:r w:rsidRPr="0047447E">
        <w:rPr>
          <w:rFonts w:ascii="Arial" w:hAnsi="Arial" w:cs="Arial"/>
          <w:sz w:val="20"/>
          <w:szCs w:val="20"/>
        </w:rPr>
        <w:t xml:space="preserve">The target population for this study was 37 approved unit trust funds in Kenya. Accessible population is a subset of the target population and it is also known as study population </w:t>
      </w:r>
      <w:r w:rsidRPr="0047447E">
        <w:rPr>
          <w:rFonts w:ascii="Arial" w:hAnsi="Arial" w:cs="Arial"/>
          <w:sz w:val="20"/>
          <w:szCs w:val="20"/>
          <w:shd w:val="clear" w:color="auto" w:fill="FFFFFF"/>
        </w:rPr>
        <w:t>(Pandey &amp; Pandey, 2021)</w:t>
      </w:r>
      <w:r w:rsidRPr="0047447E">
        <w:rPr>
          <w:rFonts w:ascii="Arial" w:hAnsi="Arial" w:cs="Arial"/>
          <w:sz w:val="20"/>
          <w:szCs w:val="20"/>
        </w:rPr>
        <w:t xml:space="preserve">. In this study, accessible population and target population was all the 37 approved unit trust funds </w:t>
      </w:r>
      <w:r w:rsidRPr="0047447E">
        <w:rPr>
          <w:rFonts w:ascii="Arial" w:hAnsi="Arial" w:cs="Arial"/>
          <w:sz w:val="20"/>
          <w:szCs w:val="20"/>
          <w:shd w:val="clear" w:color="auto" w:fill="FFFFFF"/>
        </w:rPr>
        <w:t>in Kenya</w:t>
      </w:r>
      <w:bookmarkStart w:id="47" w:name="_Toc6539504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47447E">
        <w:rPr>
          <w:rFonts w:ascii="Arial" w:hAnsi="Arial" w:cs="Arial"/>
          <w:sz w:val="20"/>
          <w:szCs w:val="20"/>
        </w:rPr>
        <w:t>. The period considered was 2015 to 2023.</w:t>
      </w:r>
      <w:bookmarkStart w:id="48" w:name="_Toc93758739"/>
      <w:bookmarkStart w:id="49" w:name="_Toc93758942"/>
      <w:bookmarkStart w:id="50" w:name="_Toc96418248"/>
      <w:bookmarkStart w:id="51" w:name="_Toc121540079"/>
      <w:bookmarkStart w:id="52" w:name="_Toc121783662"/>
      <w:bookmarkStart w:id="53" w:name="_Toc121783901"/>
      <w:bookmarkStart w:id="54" w:name="_Toc147395102"/>
      <w:bookmarkStart w:id="55" w:name="_Toc148726970"/>
      <w:bookmarkStart w:id="56" w:name="_Toc148728654"/>
      <w:bookmarkStart w:id="57" w:name="_Toc149561526"/>
      <w:bookmarkStart w:id="58" w:name="_Toc166010878"/>
      <w:bookmarkStart w:id="59" w:name="_Toc166011000"/>
      <w:bookmarkStart w:id="60" w:name="_Toc167454532"/>
      <w:bookmarkStart w:id="61" w:name="_Toc185522121"/>
      <w:bookmarkStart w:id="62" w:name="_Toc190370817"/>
      <w:bookmarkStart w:id="63" w:name="_Toc190535928"/>
      <w:bookmarkStart w:id="64" w:name="_Toc190536014"/>
      <w:bookmarkStart w:id="65" w:name="_Toc190604566"/>
      <w:bookmarkStart w:id="66" w:name="_Toc190606314"/>
      <w:bookmarkStart w:id="67" w:name="_Toc190607468"/>
      <w:bookmarkStart w:id="68" w:name="_Toc192496789"/>
      <w:bookmarkEnd w:id="33"/>
      <w:bookmarkEnd w:id="34"/>
      <w:bookmarkEnd w:id="35"/>
      <w:bookmarkEnd w:id="36"/>
      <w:bookmarkEnd w:id="37"/>
      <w:bookmarkEnd w:id="38"/>
      <w:bookmarkEnd w:id="39"/>
      <w:bookmarkEnd w:id="40"/>
      <w:bookmarkEnd w:id="41"/>
      <w:bookmarkEnd w:id="42"/>
      <w:bookmarkEnd w:id="43"/>
      <w:bookmarkEnd w:id="44"/>
      <w:bookmarkEnd w:id="45"/>
      <w:bookmarkEnd w:id="46"/>
      <w:r w:rsidR="00665B00" w:rsidRPr="0047447E">
        <w:rPr>
          <w:rFonts w:ascii="Arial" w:hAnsi="Arial" w:cs="Arial"/>
          <w:sz w:val="20"/>
          <w:szCs w:val="20"/>
        </w:rPr>
        <w:t xml:space="preserve"> The study was a c</w:t>
      </w:r>
      <w:r w:rsidRPr="0047447E">
        <w:rPr>
          <w:rFonts w:ascii="Arial" w:hAnsi="Arial" w:cs="Arial"/>
          <w:sz w:val="20"/>
          <w:szCs w:val="20"/>
        </w:rPr>
        <w:t xml:space="preserve">ensus survey </w:t>
      </w:r>
      <w:r w:rsidR="00665B00" w:rsidRPr="0047447E">
        <w:rPr>
          <w:rFonts w:ascii="Arial" w:hAnsi="Arial" w:cs="Arial"/>
          <w:sz w:val="20"/>
          <w:szCs w:val="20"/>
        </w:rPr>
        <w:t xml:space="preserve">of all the </w:t>
      </w:r>
      <w:bookmarkStart w:id="69" w:name="_Hlk149559194"/>
      <w:r w:rsidRPr="0047447E">
        <w:rPr>
          <w:rFonts w:ascii="Arial" w:hAnsi="Arial" w:cs="Arial"/>
          <w:sz w:val="20"/>
          <w:szCs w:val="20"/>
        </w:rPr>
        <w:t xml:space="preserve">37 approved unit trust funds </w:t>
      </w:r>
      <w:r w:rsidRPr="0047447E">
        <w:rPr>
          <w:rFonts w:ascii="Arial" w:hAnsi="Arial" w:cs="Arial"/>
          <w:sz w:val="20"/>
          <w:szCs w:val="20"/>
          <w:shd w:val="clear" w:color="auto" w:fill="FFFFFF"/>
        </w:rPr>
        <w:t xml:space="preserve">in </w:t>
      </w:r>
      <w:bookmarkEnd w:id="69"/>
      <w:r w:rsidRPr="0047447E">
        <w:rPr>
          <w:rFonts w:ascii="Arial" w:hAnsi="Arial" w:cs="Arial"/>
          <w:sz w:val="20"/>
          <w:szCs w:val="20"/>
          <w:shd w:val="clear" w:color="auto" w:fill="FFFFFF"/>
        </w:rPr>
        <w:t>Kenya</w:t>
      </w:r>
      <w:r w:rsidRPr="0047447E">
        <w:rPr>
          <w:rFonts w:ascii="Arial" w:hAnsi="Arial" w:cs="Arial"/>
          <w:sz w:val="20"/>
          <w:szCs w:val="20"/>
        </w:rPr>
        <w:t xml:space="preserve"> </w:t>
      </w:r>
      <w:r w:rsidRPr="0047447E">
        <w:rPr>
          <w:rFonts w:ascii="Arial" w:hAnsi="Arial" w:cs="Arial"/>
          <w:sz w:val="20"/>
          <w:szCs w:val="20"/>
          <w:shd w:val="clear" w:color="auto" w:fill="FFFFFF"/>
        </w:rPr>
        <w:t>as at August 2024 (CMA, 2024</w:t>
      </w:r>
      <w:r w:rsidR="00665B00" w:rsidRPr="0047447E">
        <w:rPr>
          <w:rFonts w:ascii="Arial" w:hAnsi="Arial" w:cs="Arial"/>
          <w:sz w:val="20"/>
          <w:szCs w:val="20"/>
          <w:shd w:val="clear" w:color="auto" w:fill="FFFFFF"/>
        </w:rPr>
        <w:t>)</w:t>
      </w:r>
      <w:r w:rsidRPr="0047447E">
        <w:rPr>
          <w:rFonts w:ascii="Arial" w:hAnsi="Arial" w:cs="Arial"/>
          <w:sz w:val="20"/>
          <w:szCs w:val="20"/>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447E">
        <w:rPr>
          <w:rFonts w:ascii="Arial" w:hAnsi="Arial" w:cs="Arial"/>
          <w:sz w:val="20"/>
          <w:szCs w:val="20"/>
        </w:rPr>
        <w:t xml:space="preserve"> </w:t>
      </w:r>
      <w:bookmarkStart w:id="70" w:name="_Toc149561528"/>
      <w:bookmarkStart w:id="71" w:name="_Toc166010880"/>
      <w:bookmarkStart w:id="72" w:name="_Toc166011002"/>
      <w:bookmarkStart w:id="73" w:name="_Toc167454534"/>
      <w:bookmarkStart w:id="74" w:name="_Toc185522123"/>
      <w:bookmarkStart w:id="75" w:name="_Toc190370819"/>
      <w:bookmarkStart w:id="76" w:name="_Toc190535930"/>
      <w:bookmarkStart w:id="77" w:name="_Toc190536016"/>
      <w:bookmarkStart w:id="78" w:name="_Toc190604568"/>
      <w:bookmarkStart w:id="79" w:name="_Toc190606316"/>
      <w:bookmarkStart w:id="80" w:name="_Toc190607470"/>
      <w:bookmarkStart w:id="81" w:name="_Toc192496791"/>
      <w:r w:rsidRPr="0047447E">
        <w:rPr>
          <w:rFonts w:ascii="Arial" w:hAnsi="Arial" w:cs="Arial"/>
          <w:sz w:val="20"/>
          <w:szCs w:val="20"/>
        </w:rPr>
        <w:t xml:space="preserve">In this study, the sampling frame was 37 approved unit trust funds </w:t>
      </w:r>
      <w:r w:rsidRPr="0047447E">
        <w:rPr>
          <w:rFonts w:ascii="Arial" w:hAnsi="Arial" w:cs="Arial"/>
          <w:sz w:val="20"/>
          <w:szCs w:val="20"/>
          <w:shd w:val="clear" w:color="auto" w:fill="FFFFFF"/>
        </w:rPr>
        <w:t>in Kenya.</w:t>
      </w:r>
      <w:bookmarkStart w:id="82" w:name="_Toc121540081"/>
      <w:bookmarkStart w:id="83" w:name="_Toc148726972"/>
      <w:bookmarkStart w:id="84" w:name="_Toc148728656"/>
      <w:bookmarkStart w:id="85" w:name="_Toc149561530"/>
      <w:bookmarkStart w:id="86" w:name="_Toc166010882"/>
      <w:bookmarkStart w:id="87" w:name="_Toc166011004"/>
      <w:bookmarkStart w:id="88" w:name="_Toc167454536"/>
      <w:bookmarkStart w:id="89" w:name="_Toc185522125"/>
      <w:bookmarkStart w:id="90" w:name="_Toc190370821"/>
      <w:bookmarkStart w:id="91" w:name="_Toc190535932"/>
      <w:bookmarkStart w:id="92" w:name="_Toc190536018"/>
      <w:bookmarkStart w:id="93" w:name="_Toc190604570"/>
      <w:bookmarkStart w:id="94" w:name="_Toc190606318"/>
      <w:bookmarkStart w:id="95" w:name="_Toc190607472"/>
      <w:bookmarkStart w:id="96" w:name="_Toc192496793"/>
      <w:bookmarkStart w:id="97" w:name="_Toc121783664"/>
      <w:bookmarkStart w:id="98" w:name="_Toc121783903"/>
      <w:bookmarkStart w:id="99" w:name="_Toc147395104"/>
      <w:bookmarkEnd w:id="47"/>
      <w:bookmarkEnd w:id="70"/>
      <w:bookmarkEnd w:id="71"/>
      <w:bookmarkEnd w:id="72"/>
      <w:bookmarkEnd w:id="73"/>
      <w:bookmarkEnd w:id="74"/>
      <w:bookmarkEnd w:id="75"/>
      <w:bookmarkEnd w:id="76"/>
      <w:bookmarkEnd w:id="77"/>
      <w:bookmarkEnd w:id="78"/>
      <w:bookmarkEnd w:id="79"/>
      <w:bookmarkEnd w:id="80"/>
      <w:bookmarkEnd w:id="81"/>
      <w:r w:rsidR="00665B00" w:rsidRPr="0047447E">
        <w:rPr>
          <w:rFonts w:ascii="Arial" w:hAnsi="Arial" w:cs="Arial"/>
          <w:sz w:val="20"/>
          <w:szCs w:val="20"/>
          <w:shd w:val="clear" w:color="auto" w:fill="FFFFFF"/>
        </w:rPr>
        <w:t xml:space="preserve"> </w:t>
      </w:r>
      <w:r w:rsidRPr="0047447E">
        <w:rPr>
          <w:rFonts w:ascii="Arial" w:hAnsi="Arial" w:cs="Arial"/>
          <w:sz w:val="20"/>
          <w:szCs w:val="20"/>
          <w:shd w:val="clear" w:color="auto" w:fill="FFFFFF"/>
        </w:rPr>
        <w:t xml:space="preserve">This </w:t>
      </w:r>
      <w:r w:rsidRPr="0047447E">
        <w:rPr>
          <w:rFonts w:ascii="Arial" w:hAnsi="Arial" w:cs="Arial"/>
          <w:sz w:val="20"/>
          <w:szCs w:val="20"/>
        </w:rPr>
        <w:t xml:space="preserve">study used secondary data which was collected using a secondary data collection sheet.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47447E">
        <w:rPr>
          <w:rFonts w:ascii="Arial" w:hAnsi="Arial" w:cs="Arial"/>
          <w:sz w:val="20"/>
          <w:szCs w:val="20"/>
        </w:rPr>
        <w:t>Data analysis was via STATA version 18.0. The study adopted both descriptive and inferential statistics which included; mean, standard deviation, minimum and maximum, Pearson product moment correlation and panel regression analysis respectively. A 0.05 significance level was adopted and the data was presented using frequency tables and charts.</w:t>
      </w:r>
      <w:bookmarkStart w:id="100" w:name="_Toc21719807"/>
      <w:bookmarkStart w:id="101" w:name="_Toc22214198"/>
      <w:bookmarkStart w:id="102" w:name="_Toc26183736"/>
      <w:bookmarkStart w:id="103" w:name="_Toc27472010"/>
      <w:bookmarkStart w:id="104" w:name="_Toc64058747"/>
      <w:bookmarkStart w:id="105" w:name="_Toc65395062"/>
      <w:bookmarkStart w:id="106" w:name="_Toc88476467"/>
      <w:bookmarkStart w:id="107" w:name="_Toc88903086"/>
      <w:bookmarkStart w:id="108" w:name="_Toc93758948"/>
      <w:bookmarkStart w:id="109" w:name="_Toc96418254"/>
      <w:bookmarkStart w:id="110" w:name="_Toc121540085"/>
      <w:bookmarkStart w:id="111" w:name="_Toc121783668"/>
      <w:bookmarkStart w:id="112" w:name="_Toc121783907"/>
      <w:r w:rsidRPr="0047447E">
        <w:rPr>
          <w:rFonts w:ascii="Arial" w:hAnsi="Arial" w:cs="Arial"/>
          <w:sz w:val="20"/>
          <w:szCs w:val="20"/>
        </w:rPr>
        <w:t xml:space="preserve"> The panel regression</w:t>
      </w:r>
      <w:r w:rsidRPr="0047447E">
        <w:rPr>
          <w:rFonts w:ascii="Arial" w:hAnsi="Arial" w:cs="Arial"/>
          <w:bCs/>
          <w:sz w:val="20"/>
          <w:szCs w:val="20"/>
        </w:rPr>
        <w:t xml:space="preserve"> model</w:t>
      </w:r>
      <w:bookmarkStart w:id="113" w:name="_Toc121540086"/>
      <w:bookmarkStart w:id="114" w:name="_Toc121783669"/>
      <w:bookmarkStart w:id="115" w:name="_Toc121783908"/>
      <w:bookmarkStart w:id="116" w:name="_Toc26183737"/>
      <w:bookmarkStart w:id="117" w:name="_Toc64058748"/>
      <w:bookmarkStart w:id="118" w:name="_Toc65395063"/>
      <w:bookmarkStart w:id="119" w:name="_Toc88476468"/>
      <w:bookmarkStart w:id="120" w:name="_Toc88903087"/>
      <w:bookmarkStart w:id="121" w:name="_Toc93758949"/>
      <w:bookmarkStart w:id="122" w:name="_Toc27472012"/>
      <w:bookmarkStart w:id="123" w:name="_Toc96418255"/>
      <w:bookmarkEnd w:id="100"/>
      <w:bookmarkEnd w:id="101"/>
      <w:bookmarkEnd w:id="102"/>
      <w:bookmarkEnd w:id="103"/>
      <w:bookmarkEnd w:id="104"/>
      <w:bookmarkEnd w:id="105"/>
      <w:bookmarkEnd w:id="106"/>
      <w:bookmarkEnd w:id="107"/>
      <w:bookmarkEnd w:id="108"/>
      <w:bookmarkEnd w:id="109"/>
      <w:bookmarkEnd w:id="110"/>
      <w:bookmarkEnd w:id="111"/>
      <w:bookmarkEnd w:id="112"/>
      <w:r w:rsidRPr="0047447E">
        <w:rPr>
          <w:rFonts w:ascii="Arial" w:hAnsi="Arial" w:cs="Arial"/>
          <w:bCs/>
          <w:sz w:val="20"/>
          <w:szCs w:val="20"/>
        </w:rPr>
        <w:t>s</w:t>
      </w:r>
      <w:r w:rsidRPr="0047447E">
        <w:rPr>
          <w:rFonts w:ascii="Arial" w:hAnsi="Arial" w:cs="Arial"/>
          <w:sz w:val="20"/>
          <w:szCs w:val="20"/>
        </w:rPr>
        <w:t xml:space="preserve"> used to test the research hypotheses at 5% level of significance were as follows;</w:t>
      </w:r>
      <w:bookmarkEnd w:id="113"/>
      <w:bookmarkEnd w:id="114"/>
      <w:bookmarkEnd w:id="115"/>
    </w:p>
    <w:bookmarkEnd w:id="116"/>
    <w:bookmarkEnd w:id="117"/>
    <w:bookmarkEnd w:id="118"/>
    <w:bookmarkEnd w:id="119"/>
    <w:bookmarkEnd w:id="120"/>
    <w:bookmarkEnd w:id="121"/>
    <w:bookmarkEnd w:id="122"/>
    <w:bookmarkEnd w:id="123"/>
    <w:p w14:paraId="40FD17FC" w14:textId="12B58703" w:rsidR="0080004B" w:rsidRPr="00EE04E5" w:rsidRDefault="0080004B" w:rsidP="00F316A0">
      <w:pPr>
        <w:autoSpaceDE w:val="0"/>
        <w:autoSpaceDN w:val="0"/>
        <w:adjustRightInd w:val="0"/>
        <w:spacing w:after="0" w:line="240" w:lineRule="auto"/>
        <w:jc w:val="both"/>
        <w:rPr>
          <w:rFonts w:ascii="Arial" w:hAnsi="Arial" w:cs="Arial"/>
          <w:b/>
          <w:bCs/>
          <w:sz w:val="20"/>
          <w:szCs w:val="20"/>
        </w:rPr>
      </w:pPr>
      <w:r w:rsidRPr="00EE04E5">
        <w:rPr>
          <w:rFonts w:ascii="Arial" w:hAnsi="Arial" w:cs="Arial"/>
          <w:b/>
          <w:bCs/>
          <w:sz w:val="20"/>
          <w:szCs w:val="20"/>
        </w:rPr>
        <w:t xml:space="preserve">Model 1  </w:t>
      </w:r>
      <w:r w:rsidRPr="00EE04E5">
        <w:rPr>
          <w:rFonts w:ascii="Arial" w:hAnsi="Arial" w:cs="Arial"/>
          <w:b/>
          <w:bCs/>
          <w:sz w:val="20"/>
          <w:szCs w:val="20"/>
        </w:rPr>
        <w:tab/>
        <w:t>Y</w:t>
      </w:r>
      <w:r w:rsidRPr="00EE04E5">
        <w:rPr>
          <w:rFonts w:ascii="Arial" w:hAnsi="Arial" w:cs="Arial"/>
          <w:b/>
          <w:bCs/>
          <w:sz w:val="20"/>
          <w:szCs w:val="20"/>
          <w:vertAlign w:val="subscript"/>
        </w:rPr>
        <w:t>it</w:t>
      </w:r>
      <w:r w:rsidRPr="00EE04E5">
        <w:rPr>
          <w:rFonts w:ascii="Arial" w:hAnsi="Arial" w:cs="Arial"/>
          <w:b/>
          <w:bCs/>
          <w:sz w:val="20"/>
          <w:szCs w:val="20"/>
        </w:rPr>
        <w:t xml:space="preserve"> = β</w:t>
      </w:r>
      <w:r w:rsidRPr="00EE04E5">
        <w:rPr>
          <w:rFonts w:ascii="Arial" w:hAnsi="Arial" w:cs="Arial"/>
          <w:b/>
          <w:bCs/>
          <w:sz w:val="20"/>
          <w:szCs w:val="20"/>
          <w:vertAlign w:val="subscript"/>
        </w:rPr>
        <w:t>0</w:t>
      </w:r>
      <w:r w:rsidRPr="00EE04E5">
        <w:rPr>
          <w:rFonts w:ascii="Arial" w:hAnsi="Arial" w:cs="Arial"/>
          <w:b/>
          <w:bCs/>
          <w:sz w:val="20"/>
          <w:szCs w:val="20"/>
        </w:rPr>
        <w:t>+ β</w:t>
      </w:r>
      <w:r w:rsidRPr="00EE04E5">
        <w:rPr>
          <w:rFonts w:ascii="Arial" w:hAnsi="Arial" w:cs="Arial"/>
          <w:b/>
          <w:bCs/>
          <w:sz w:val="20"/>
          <w:szCs w:val="20"/>
          <w:vertAlign w:val="subscript"/>
        </w:rPr>
        <w:t xml:space="preserve">1 </w:t>
      </w:r>
      <w:r w:rsidRPr="00EE04E5">
        <w:rPr>
          <w:rFonts w:ascii="Arial" w:hAnsi="Arial" w:cs="Arial"/>
          <w:b/>
          <w:bCs/>
          <w:sz w:val="20"/>
          <w:szCs w:val="20"/>
        </w:rPr>
        <w:t>X</w:t>
      </w:r>
      <w:r w:rsidRPr="00EE04E5">
        <w:rPr>
          <w:rFonts w:ascii="Arial" w:hAnsi="Arial" w:cs="Arial"/>
          <w:b/>
          <w:bCs/>
          <w:sz w:val="20"/>
          <w:szCs w:val="20"/>
          <w:vertAlign w:val="subscript"/>
        </w:rPr>
        <w:t>1it</w:t>
      </w:r>
      <w:r w:rsidR="00665B00" w:rsidRPr="00EE04E5">
        <w:rPr>
          <w:rFonts w:ascii="Arial" w:hAnsi="Arial" w:cs="Arial"/>
          <w:b/>
          <w:bCs/>
          <w:sz w:val="20"/>
          <w:szCs w:val="20"/>
          <w:vertAlign w:val="subscript"/>
        </w:rPr>
        <w:t xml:space="preserve"> </w:t>
      </w:r>
      <w:r w:rsidRPr="00EE04E5">
        <w:rPr>
          <w:rFonts w:ascii="Arial" w:hAnsi="Arial" w:cs="Arial"/>
          <w:b/>
          <w:bCs/>
          <w:sz w:val="20"/>
          <w:szCs w:val="20"/>
        </w:rPr>
        <w:t>+</w:t>
      </w:r>
      <w:r w:rsidRPr="00EE04E5">
        <w:rPr>
          <w:rFonts w:ascii="Arial" w:hAnsi="Arial" w:cs="Arial"/>
          <w:b/>
          <w:bCs/>
          <w:sz w:val="20"/>
          <w:szCs w:val="20"/>
          <w:vertAlign w:val="subscript"/>
        </w:rPr>
        <w:t xml:space="preserve"> </w:t>
      </w:r>
      <w:bookmarkStart w:id="124" w:name="_Hlk220070745"/>
      <w:r w:rsidRPr="00EE04E5">
        <w:rPr>
          <w:rFonts w:ascii="Arial" w:hAnsi="Arial" w:cs="Arial"/>
          <w:b/>
          <w:bCs/>
          <w:sz w:val="20"/>
          <w:szCs w:val="20"/>
        </w:rPr>
        <w:t>Ɛ</w:t>
      </w:r>
      <w:r w:rsidRPr="00EE04E5">
        <w:rPr>
          <w:rFonts w:ascii="Arial" w:hAnsi="Arial" w:cs="Arial"/>
          <w:b/>
          <w:bCs/>
          <w:sz w:val="20"/>
          <w:szCs w:val="20"/>
          <w:vertAlign w:val="subscript"/>
        </w:rPr>
        <w:t>it</w:t>
      </w:r>
      <w:bookmarkEnd w:id="124"/>
      <w:r w:rsidRPr="00EE04E5">
        <w:rPr>
          <w:rFonts w:ascii="Arial" w:hAnsi="Arial" w:cs="Arial"/>
          <w:b/>
          <w:bCs/>
          <w:sz w:val="20"/>
          <w:szCs w:val="20"/>
          <w:vertAlign w:val="subscript"/>
        </w:rPr>
        <w:t>…………………</w:t>
      </w:r>
      <w:r w:rsidR="00665B00" w:rsidRPr="00EE04E5">
        <w:rPr>
          <w:rFonts w:ascii="Arial" w:hAnsi="Arial" w:cs="Arial"/>
          <w:b/>
          <w:bCs/>
          <w:sz w:val="20"/>
          <w:szCs w:val="20"/>
          <w:vertAlign w:val="subscript"/>
        </w:rPr>
        <w:t>……………………………………</w:t>
      </w:r>
      <w:r w:rsidR="00C138F5" w:rsidRPr="00EE04E5">
        <w:rPr>
          <w:rFonts w:ascii="Arial" w:hAnsi="Arial" w:cs="Arial"/>
          <w:b/>
          <w:bCs/>
          <w:sz w:val="20"/>
          <w:szCs w:val="20"/>
          <w:vertAlign w:val="subscript"/>
        </w:rPr>
        <w:t>…………………………...</w:t>
      </w:r>
      <w:r w:rsidR="00665B00" w:rsidRPr="00EE04E5">
        <w:rPr>
          <w:rFonts w:ascii="Arial" w:hAnsi="Arial" w:cs="Arial"/>
          <w:b/>
          <w:bCs/>
          <w:sz w:val="20"/>
          <w:szCs w:val="20"/>
          <w:vertAlign w:val="subscript"/>
        </w:rPr>
        <w:t>……………….</w:t>
      </w:r>
      <w:r w:rsidRPr="00EE04E5">
        <w:rPr>
          <w:rFonts w:ascii="Arial" w:hAnsi="Arial" w:cs="Arial"/>
          <w:b/>
          <w:bCs/>
          <w:sz w:val="20"/>
          <w:szCs w:val="20"/>
          <w:vertAlign w:val="subscript"/>
        </w:rPr>
        <w:t>…</w:t>
      </w:r>
      <w:r w:rsidRPr="00EE04E5">
        <w:rPr>
          <w:rFonts w:ascii="Arial" w:hAnsi="Arial" w:cs="Arial"/>
          <w:b/>
          <w:bCs/>
          <w:sz w:val="20"/>
          <w:szCs w:val="20"/>
        </w:rPr>
        <w:t xml:space="preserve">Equation </w:t>
      </w:r>
      <w:r w:rsidR="00C138F5" w:rsidRPr="00EE04E5">
        <w:rPr>
          <w:rFonts w:ascii="Arial" w:hAnsi="Arial" w:cs="Arial"/>
          <w:b/>
          <w:bCs/>
          <w:sz w:val="20"/>
          <w:szCs w:val="20"/>
        </w:rPr>
        <w:t>2</w:t>
      </w:r>
      <w:r w:rsidRPr="00EE04E5">
        <w:rPr>
          <w:rFonts w:ascii="Arial" w:hAnsi="Arial" w:cs="Arial"/>
          <w:b/>
          <w:bCs/>
          <w:sz w:val="20"/>
          <w:szCs w:val="20"/>
        </w:rPr>
        <w:t>.1</w:t>
      </w:r>
    </w:p>
    <w:p w14:paraId="488DF53D" w14:textId="77777777" w:rsidR="0080004B" w:rsidRPr="00EE04E5" w:rsidRDefault="0080004B" w:rsidP="00F316A0">
      <w:pPr>
        <w:autoSpaceDE w:val="0"/>
        <w:autoSpaceDN w:val="0"/>
        <w:adjustRightInd w:val="0"/>
        <w:spacing w:after="0" w:line="240" w:lineRule="auto"/>
        <w:jc w:val="both"/>
        <w:rPr>
          <w:rFonts w:ascii="Arial" w:hAnsi="Arial" w:cs="Arial"/>
          <w:sz w:val="20"/>
          <w:szCs w:val="20"/>
        </w:rPr>
      </w:pPr>
    </w:p>
    <w:p w14:paraId="09060512" w14:textId="08ECDB59" w:rsidR="0080004B" w:rsidRPr="00EE04E5" w:rsidRDefault="00265C67" w:rsidP="00F316A0">
      <w:pPr>
        <w:spacing w:line="240" w:lineRule="auto"/>
        <w:jc w:val="both"/>
        <w:rPr>
          <w:rFonts w:ascii="Arial" w:hAnsi="Arial" w:cs="Arial"/>
          <w:sz w:val="20"/>
          <w:szCs w:val="20"/>
        </w:rPr>
      </w:pPr>
      <w:r w:rsidRPr="00EE04E5">
        <w:rPr>
          <w:rFonts w:ascii="Arial" w:hAnsi="Arial" w:cs="Arial"/>
          <w:sz w:val="20"/>
          <w:szCs w:val="20"/>
        </w:rPr>
        <w:t xml:space="preserve">Panel </w:t>
      </w:r>
      <w:r w:rsidR="0080004B" w:rsidRPr="00EE04E5">
        <w:rPr>
          <w:rFonts w:ascii="Arial" w:hAnsi="Arial" w:cs="Arial"/>
          <w:sz w:val="20"/>
          <w:szCs w:val="20"/>
        </w:rPr>
        <w:t>regression analysis model that included the moderating variable (</w:t>
      </w:r>
      <w:r w:rsidR="00665B00" w:rsidRPr="00EE04E5">
        <w:rPr>
          <w:rFonts w:ascii="Arial" w:hAnsi="Arial" w:cs="Arial"/>
          <w:sz w:val="20"/>
          <w:szCs w:val="20"/>
        </w:rPr>
        <w:t>fund</w:t>
      </w:r>
      <w:r w:rsidR="0080004B" w:rsidRPr="00EE04E5">
        <w:rPr>
          <w:rFonts w:ascii="Arial" w:hAnsi="Arial" w:cs="Arial"/>
          <w:sz w:val="20"/>
          <w:szCs w:val="20"/>
        </w:rPr>
        <w:t xml:space="preserve"> size) was as follows;</w:t>
      </w:r>
    </w:p>
    <w:p w14:paraId="46FD4A32" w14:textId="048368EF" w:rsidR="0080004B" w:rsidRPr="00EE04E5" w:rsidRDefault="0080004B" w:rsidP="00F316A0">
      <w:pPr>
        <w:autoSpaceDE w:val="0"/>
        <w:autoSpaceDN w:val="0"/>
        <w:adjustRightInd w:val="0"/>
        <w:spacing w:after="0" w:line="240" w:lineRule="auto"/>
        <w:jc w:val="both"/>
        <w:rPr>
          <w:rFonts w:ascii="Arial" w:hAnsi="Arial" w:cs="Arial"/>
          <w:b/>
          <w:bCs/>
          <w:sz w:val="20"/>
          <w:szCs w:val="20"/>
        </w:rPr>
      </w:pPr>
      <w:bookmarkStart w:id="125" w:name="_Hlk220071428"/>
      <w:r w:rsidRPr="00EE04E5">
        <w:rPr>
          <w:rFonts w:ascii="Arial" w:hAnsi="Arial" w:cs="Arial"/>
          <w:b/>
          <w:bCs/>
          <w:sz w:val="20"/>
          <w:szCs w:val="20"/>
        </w:rPr>
        <w:t>Model 2</w:t>
      </w:r>
      <w:r w:rsidRPr="00EE04E5">
        <w:rPr>
          <w:rFonts w:ascii="Arial" w:hAnsi="Arial" w:cs="Arial"/>
          <w:b/>
          <w:bCs/>
          <w:sz w:val="20"/>
          <w:szCs w:val="20"/>
        </w:rPr>
        <w:tab/>
        <w:t>Y</w:t>
      </w:r>
      <w:r w:rsidRPr="00EE04E5">
        <w:rPr>
          <w:rFonts w:ascii="Arial" w:hAnsi="Arial" w:cs="Arial"/>
          <w:b/>
          <w:bCs/>
          <w:sz w:val="20"/>
          <w:szCs w:val="20"/>
          <w:vertAlign w:val="subscript"/>
        </w:rPr>
        <w:t>it</w:t>
      </w:r>
      <w:r w:rsidRPr="00EE04E5">
        <w:rPr>
          <w:rFonts w:ascii="Arial" w:hAnsi="Arial" w:cs="Arial"/>
          <w:b/>
          <w:bCs/>
          <w:sz w:val="20"/>
          <w:szCs w:val="20"/>
        </w:rPr>
        <w:t xml:space="preserve"> = </w:t>
      </w:r>
      <w:bookmarkStart w:id="126" w:name="_Hlk121526894"/>
      <w:r w:rsidRPr="00EE04E5">
        <w:rPr>
          <w:rFonts w:ascii="Arial" w:hAnsi="Arial" w:cs="Arial"/>
          <w:b/>
          <w:bCs/>
          <w:sz w:val="20"/>
          <w:szCs w:val="20"/>
        </w:rPr>
        <w:t>β</w:t>
      </w:r>
      <w:r w:rsidRPr="00EE04E5">
        <w:rPr>
          <w:rFonts w:ascii="Arial" w:hAnsi="Arial" w:cs="Arial"/>
          <w:b/>
          <w:bCs/>
          <w:sz w:val="20"/>
          <w:szCs w:val="20"/>
          <w:vertAlign w:val="subscript"/>
        </w:rPr>
        <w:t>0</w:t>
      </w:r>
      <w:bookmarkEnd w:id="126"/>
      <w:r w:rsidRPr="00EE04E5">
        <w:rPr>
          <w:rFonts w:ascii="Arial" w:hAnsi="Arial" w:cs="Arial"/>
          <w:b/>
          <w:bCs/>
          <w:sz w:val="20"/>
          <w:szCs w:val="20"/>
        </w:rPr>
        <w:t xml:space="preserve">+ </w:t>
      </w:r>
      <w:bookmarkStart w:id="127" w:name="_Hlk220070438"/>
      <w:r w:rsidRPr="00EE04E5">
        <w:rPr>
          <w:rFonts w:ascii="Arial" w:hAnsi="Arial" w:cs="Arial"/>
          <w:b/>
          <w:bCs/>
          <w:sz w:val="20"/>
          <w:szCs w:val="20"/>
        </w:rPr>
        <w:t>β</w:t>
      </w:r>
      <w:r w:rsidRPr="00EE04E5">
        <w:rPr>
          <w:rFonts w:ascii="Arial" w:hAnsi="Arial" w:cs="Arial"/>
          <w:b/>
          <w:bCs/>
          <w:sz w:val="20"/>
          <w:szCs w:val="20"/>
          <w:vertAlign w:val="subscript"/>
        </w:rPr>
        <w:t xml:space="preserve">1 </w:t>
      </w:r>
      <w:r w:rsidRPr="00EE04E5">
        <w:rPr>
          <w:rFonts w:ascii="Arial" w:hAnsi="Arial" w:cs="Arial"/>
          <w:b/>
          <w:bCs/>
          <w:sz w:val="20"/>
          <w:szCs w:val="20"/>
        </w:rPr>
        <w:t>X</w:t>
      </w:r>
      <w:r w:rsidRPr="00EE04E5">
        <w:rPr>
          <w:rFonts w:ascii="Arial" w:hAnsi="Arial" w:cs="Arial"/>
          <w:b/>
          <w:bCs/>
          <w:sz w:val="20"/>
          <w:szCs w:val="20"/>
          <w:vertAlign w:val="subscript"/>
        </w:rPr>
        <w:t xml:space="preserve">1it </w:t>
      </w:r>
      <w:bookmarkEnd w:id="127"/>
      <w:r w:rsidR="00F355FA" w:rsidRPr="00EE04E5">
        <w:rPr>
          <w:rFonts w:ascii="Arial" w:hAnsi="Arial" w:cs="Arial"/>
          <w:b/>
          <w:bCs/>
          <w:sz w:val="20"/>
          <w:szCs w:val="20"/>
        </w:rPr>
        <w:t>+ β</w:t>
      </w:r>
      <w:r w:rsidR="00F355FA" w:rsidRPr="00EE04E5">
        <w:rPr>
          <w:rFonts w:ascii="Arial" w:hAnsi="Arial" w:cs="Arial"/>
          <w:b/>
          <w:bCs/>
          <w:sz w:val="20"/>
          <w:szCs w:val="20"/>
          <w:vertAlign w:val="subscript"/>
        </w:rPr>
        <w:t xml:space="preserve">2 </w:t>
      </w:r>
      <w:bookmarkStart w:id="128" w:name="_Hlk220070562"/>
      <w:r w:rsidR="00F355FA" w:rsidRPr="00EE04E5">
        <w:rPr>
          <w:rFonts w:ascii="Arial" w:hAnsi="Arial" w:cs="Arial"/>
          <w:b/>
          <w:bCs/>
          <w:sz w:val="20"/>
          <w:szCs w:val="20"/>
        </w:rPr>
        <w:t>z</w:t>
      </w:r>
      <w:r w:rsidR="00F355FA" w:rsidRPr="00EE04E5">
        <w:rPr>
          <w:rFonts w:ascii="Arial" w:hAnsi="Arial" w:cs="Arial"/>
          <w:b/>
          <w:bCs/>
          <w:sz w:val="20"/>
          <w:szCs w:val="20"/>
          <w:vertAlign w:val="subscript"/>
        </w:rPr>
        <w:t>it</w:t>
      </w:r>
      <w:bookmarkEnd w:id="128"/>
      <w:r w:rsidR="00F355FA" w:rsidRPr="00EE04E5">
        <w:rPr>
          <w:rFonts w:ascii="Arial" w:hAnsi="Arial" w:cs="Arial"/>
          <w:b/>
          <w:bCs/>
          <w:sz w:val="20"/>
          <w:szCs w:val="20"/>
        </w:rPr>
        <w:t>+ β</w:t>
      </w:r>
      <w:r w:rsidR="00F355FA" w:rsidRPr="00EE04E5">
        <w:rPr>
          <w:rFonts w:ascii="Arial" w:hAnsi="Arial" w:cs="Arial"/>
          <w:b/>
          <w:bCs/>
          <w:sz w:val="20"/>
          <w:szCs w:val="20"/>
          <w:vertAlign w:val="subscript"/>
        </w:rPr>
        <w:t>3</w:t>
      </w:r>
      <w:r w:rsidR="00F355FA" w:rsidRPr="00EE04E5">
        <w:rPr>
          <w:rFonts w:ascii="Arial" w:hAnsi="Arial" w:cs="Arial"/>
          <w:b/>
          <w:bCs/>
          <w:sz w:val="20"/>
          <w:szCs w:val="20"/>
        </w:rPr>
        <w:t>(</w:t>
      </w:r>
      <w:bookmarkStart w:id="129" w:name="_Hlk220070931"/>
      <w:r w:rsidR="00F355FA" w:rsidRPr="00EE04E5">
        <w:rPr>
          <w:rFonts w:ascii="Arial" w:hAnsi="Arial" w:cs="Arial"/>
          <w:b/>
          <w:bCs/>
          <w:sz w:val="20"/>
          <w:szCs w:val="20"/>
        </w:rPr>
        <w:t>X</w:t>
      </w:r>
      <w:r w:rsidR="00F355FA" w:rsidRPr="00EE04E5">
        <w:rPr>
          <w:rFonts w:ascii="Arial" w:hAnsi="Arial" w:cs="Arial"/>
          <w:b/>
          <w:bCs/>
          <w:sz w:val="20"/>
          <w:szCs w:val="20"/>
          <w:vertAlign w:val="subscript"/>
        </w:rPr>
        <w:t>it</w:t>
      </w:r>
      <w:r w:rsidR="00F355FA" w:rsidRPr="00EE04E5">
        <w:rPr>
          <w:rFonts w:ascii="Arial" w:hAnsi="Arial" w:cs="Arial"/>
          <w:b/>
          <w:bCs/>
          <w:sz w:val="20"/>
          <w:szCs w:val="20"/>
        </w:rPr>
        <w:t>*</w:t>
      </w:r>
      <w:r w:rsidR="00192035" w:rsidRPr="00EE04E5">
        <w:rPr>
          <w:rFonts w:ascii="Arial" w:hAnsi="Arial" w:cs="Arial"/>
          <w:b/>
          <w:bCs/>
          <w:sz w:val="20"/>
          <w:szCs w:val="20"/>
        </w:rPr>
        <w:t xml:space="preserve"> z</w:t>
      </w:r>
      <w:r w:rsidR="00192035" w:rsidRPr="00EE04E5">
        <w:rPr>
          <w:rFonts w:ascii="Arial" w:hAnsi="Arial" w:cs="Arial"/>
          <w:b/>
          <w:bCs/>
          <w:sz w:val="20"/>
          <w:szCs w:val="20"/>
          <w:vertAlign w:val="subscript"/>
        </w:rPr>
        <w:t>it</w:t>
      </w:r>
      <w:r w:rsidR="00192035" w:rsidRPr="00EE04E5">
        <w:rPr>
          <w:rFonts w:ascii="Arial" w:hAnsi="Arial" w:cs="Arial"/>
          <w:b/>
          <w:bCs/>
          <w:sz w:val="20"/>
          <w:szCs w:val="20"/>
        </w:rPr>
        <w:t>)</w:t>
      </w:r>
      <w:bookmarkEnd w:id="129"/>
      <w:r w:rsidR="00192035" w:rsidRPr="00EE04E5">
        <w:rPr>
          <w:rFonts w:ascii="Arial" w:hAnsi="Arial" w:cs="Arial"/>
          <w:b/>
          <w:bCs/>
          <w:sz w:val="20"/>
          <w:szCs w:val="20"/>
        </w:rPr>
        <w:t>+</w:t>
      </w:r>
      <w:bookmarkStart w:id="130" w:name="_Hlk220071103"/>
      <w:r w:rsidR="00192035" w:rsidRPr="00EE04E5">
        <w:rPr>
          <w:rFonts w:ascii="Arial" w:hAnsi="Arial" w:cs="Arial"/>
          <w:b/>
          <w:bCs/>
          <w:sz w:val="20"/>
          <w:szCs w:val="20"/>
        </w:rPr>
        <w:t>α</w:t>
      </w:r>
      <w:r w:rsidR="00192035" w:rsidRPr="00EE04E5">
        <w:rPr>
          <w:rFonts w:ascii="Arial" w:hAnsi="Arial" w:cs="Arial"/>
          <w:b/>
          <w:bCs/>
          <w:sz w:val="20"/>
          <w:szCs w:val="20"/>
          <w:vertAlign w:val="subscript"/>
        </w:rPr>
        <w:t>i</w:t>
      </w:r>
      <w:bookmarkEnd w:id="130"/>
      <w:r w:rsidR="00192035" w:rsidRPr="00EE04E5">
        <w:rPr>
          <w:rFonts w:ascii="Arial" w:hAnsi="Arial" w:cs="Arial"/>
          <w:b/>
          <w:bCs/>
          <w:sz w:val="20"/>
          <w:szCs w:val="20"/>
        </w:rPr>
        <w:t>+</w:t>
      </w:r>
      <w:r w:rsidRPr="00EE04E5">
        <w:rPr>
          <w:rFonts w:ascii="Arial" w:hAnsi="Arial" w:cs="Arial"/>
          <w:b/>
          <w:bCs/>
          <w:sz w:val="20"/>
          <w:szCs w:val="20"/>
        </w:rPr>
        <w:t>Ɛ</w:t>
      </w:r>
      <w:r w:rsidRPr="00EE04E5">
        <w:rPr>
          <w:rFonts w:ascii="Arial" w:hAnsi="Arial" w:cs="Arial"/>
          <w:b/>
          <w:bCs/>
          <w:sz w:val="20"/>
          <w:szCs w:val="20"/>
          <w:vertAlign w:val="subscript"/>
        </w:rPr>
        <w:t>it ……………</w:t>
      </w:r>
      <w:r w:rsidR="00665B00" w:rsidRPr="00EE04E5">
        <w:rPr>
          <w:rFonts w:ascii="Arial" w:hAnsi="Arial" w:cs="Arial"/>
          <w:b/>
          <w:bCs/>
          <w:sz w:val="20"/>
          <w:szCs w:val="20"/>
          <w:vertAlign w:val="subscript"/>
        </w:rPr>
        <w:t>………………………………………………</w:t>
      </w:r>
      <w:r w:rsidR="00C138F5" w:rsidRPr="00EE04E5">
        <w:rPr>
          <w:rFonts w:ascii="Arial" w:hAnsi="Arial" w:cs="Arial"/>
          <w:b/>
          <w:bCs/>
          <w:sz w:val="20"/>
          <w:szCs w:val="20"/>
          <w:vertAlign w:val="subscript"/>
        </w:rPr>
        <w:t>…</w:t>
      </w:r>
      <w:r w:rsidRPr="00EE04E5">
        <w:rPr>
          <w:rFonts w:ascii="Arial" w:hAnsi="Arial" w:cs="Arial"/>
          <w:b/>
          <w:bCs/>
          <w:sz w:val="20"/>
          <w:szCs w:val="20"/>
        </w:rPr>
        <w:t xml:space="preserve">Equation </w:t>
      </w:r>
      <w:r w:rsidR="00C138F5" w:rsidRPr="00EE04E5">
        <w:rPr>
          <w:rFonts w:ascii="Arial" w:hAnsi="Arial" w:cs="Arial"/>
          <w:b/>
          <w:bCs/>
          <w:sz w:val="20"/>
          <w:szCs w:val="20"/>
        </w:rPr>
        <w:t>2</w:t>
      </w:r>
      <w:r w:rsidRPr="00EE04E5">
        <w:rPr>
          <w:rFonts w:ascii="Arial" w:hAnsi="Arial" w:cs="Arial"/>
          <w:b/>
          <w:bCs/>
          <w:sz w:val="20"/>
          <w:szCs w:val="20"/>
        </w:rPr>
        <w:t>.2</w:t>
      </w:r>
    </w:p>
    <w:p w14:paraId="7E144504" w14:textId="77777777" w:rsidR="0080004B" w:rsidRPr="0047447E" w:rsidRDefault="0080004B" w:rsidP="00F316A0">
      <w:pPr>
        <w:autoSpaceDE w:val="0"/>
        <w:autoSpaceDN w:val="0"/>
        <w:adjustRightInd w:val="0"/>
        <w:spacing w:after="0" w:line="240" w:lineRule="auto"/>
        <w:jc w:val="both"/>
        <w:rPr>
          <w:rFonts w:ascii="Arial" w:hAnsi="Arial" w:cs="Arial"/>
          <w:sz w:val="20"/>
          <w:szCs w:val="20"/>
        </w:rPr>
      </w:pPr>
    </w:p>
    <w:p w14:paraId="6AA89706" w14:textId="77777777" w:rsidR="0080004B" w:rsidRPr="0047447E" w:rsidRDefault="0080004B" w:rsidP="00F316A0">
      <w:pPr>
        <w:autoSpaceDE w:val="0"/>
        <w:autoSpaceDN w:val="0"/>
        <w:adjustRightInd w:val="0"/>
        <w:spacing w:after="0" w:line="240" w:lineRule="auto"/>
        <w:jc w:val="both"/>
        <w:rPr>
          <w:rFonts w:ascii="Arial" w:hAnsi="Arial" w:cs="Arial"/>
          <w:sz w:val="20"/>
          <w:szCs w:val="20"/>
        </w:rPr>
      </w:pPr>
      <w:r w:rsidRPr="0047447E">
        <w:rPr>
          <w:rFonts w:ascii="Arial" w:hAnsi="Arial" w:cs="Arial"/>
          <w:sz w:val="20"/>
          <w:szCs w:val="20"/>
        </w:rPr>
        <w:t xml:space="preserve">Where; </w:t>
      </w:r>
    </w:p>
    <w:p w14:paraId="60B6A2A9" w14:textId="142C2389" w:rsidR="0080004B" w:rsidRPr="0047447E" w:rsidRDefault="0080004B" w:rsidP="00F316A0">
      <w:pPr>
        <w:autoSpaceDE w:val="0"/>
        <w:autoSpaceDN w:val="0"/>
        <w:adjustRightInd w:val="0"/>
        <w:spacing w:after="0" w:line="240" w:lineRule="auto"/>
        <w:ind w:left="1440" w:hanging="720"/>
        <w:jc w:val="both"/>
        <w:rPr>
          <w:rFonts w:ascii="Arial" w:hAnsi="Arial" w:cs="Arial"/>
          <w:sz w:val="20"/>
          <w:szCs w:val="20"/>
        </w:rPr>
      </w:pPr>
      <w:r w:rsidRPr="0047447E">
        <w:rPr>
          <w:rFonts w:ascii="Arial" w:hAnsi="Arial" w:cs="Arial"/>
          <w:b/>
          <w:bCs/>
          <w:sz w:val="20"/>
          <w:szCs w:val="20"/>
        </w:rPr>
        <w:t>Y</w:t>
      </w:r>
      <w:r w:rsidRPr="0047447E">
        <w:rPr>
          <w:rFonts w:ascii="Arial" w:hAnsi="Arial" w:cs="Arial"/>
          <w:b/>
          <w:bCs/>
          <w:sz w:val="20"/>
          <w:szCs w:val="20"/>
          <w:vertAlign w:val="subscript"/>
        </w:rPr>
        <w:t>it</w:t>
      </w:r>
      <w:r w:rsidRPr="0047447E">
        <w:rPr>
          <w:rFonts w:ascii="Arial" w:hAnsi="Arial" w:cs="Arial"/>
          <w:b/>
          <w:bCs/>
          <w:sz w:val="20"/>
          <w:szCs w:val="20"/>
        </w:rPr>
        <w:t xml:space="preserve"> </w:t>
      </w:r>
      <w:r w:rsidRPr="0047447E">
        <w:rPr>
          <w:rFonts w:ascii="Arial" w:hAnsi="Arial" w:cs="Arial"/>
          <w:sz w:val="20"/>
          <w:szCs w:val="20"/>
        </w:rPr>
        <w:tab/>
        <w:t>represents the dependent variable (return of investment) in time i and cross sectional (t) dimensions.</w:t>
      </w:r>
    </w:p>
    <w:p w14:paraId="598B134C"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β</w:t>
      </w:r>
      <w:r w:rsidRPr="0047447E">
        <w:rPr>
          <w:rFonts w:ascii="Arial" w:hAnsi="Arial" w:cs="Arial"/>
          <w:b/>
          <w:bCs/>
          <w:sz w:val="20"/>
          <w:szCs w:val="20"/>
          <w:vertAlign w:val="subscript"/>
        </w:rPr>
        <w:t>0</w:t>
      </w:r>
      <w:r w:rsidRPr="0047447E">
        <w:rPr>
          <w:rFonts w:ascii="Arial" w:hAnsi="Arial" w:cs="Arial"/>
          <w:sz w:val="20"/>
          <w:szCs w:val="20"/>
          <w:vertAlign w:val="subscript"/>
        </w:rPr>
        <w:tab/>
      </w:r>
      <w:r w:rsidRPr="0047447E">
        <w:rPr>
          <w:rFonts w:ascii="Arial" w:hAnsi="Arial" w:cs="Arial"/>
          <w:sz w:val="20"/>
          <w:szCs w:val="20"/>
        </w:rPr>
        <w:t>represents the y intercept (constant)</w:t>
      </w:r>
    </w:p>
    <w:p w14:paraId="477025A6"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X</w:t>
      </w:r>
      <w:r w:rsidRPr="0047447E">
        <w:rPr>
          <w:rFonts w:ascii="Arial" w:hAnsi="Arial" w:cs="Arial"/>
          <w:b/>
          <w:bCs/>
          <w:sz w:val="20"/>
          <w:szCs w:val="20"/>
          <w:vertAlign w:val="subscript"/>
        </w:rPr>
        <w:t xml:space="preserve">1it </w:t>
      </w:r>
      <w:r w:rsidRPr="0047447E">
        <w:rPr>
          <w:rFonts w:ascii="Arial" w:hAnsi="Arial" w:cs="Arial"/>
          <w:sz w:val="20"/>
          <w:szCs w:val="20"/>
          <w:vertAlign w:val="subscript"/>
        </w:rPr>
        <w:tab/>
      </w:r>
      <w:r w:rsidRPr="0047447E">
        <w:rPr>
          <w:rFonts w:ascii="Arial" w:hAnsi="Arial" w:cs="Arial"/>
          <w:sz w:val="20"/>
          <w:szCs w:val="20"/>
        </w:rPr>
        <w:t>represents</w:t>
      </w:r>
      <w:r w:rsidRPr="0047447E">
        <w:rPr>
          <w:rFonts w:ascii="Arial" w:hAnsi="Arial" w:cs="Arial"/>
          <w:sz w:val="20"/>
          <w:szCs w:val="20"/>
          <w:vertAlign w:val="subscript"/>
        </w:rPr>
        <w:t xml:space="preserve"> </w:t>
      </w:r>
      <w:r w:rsidRPr="0047447E">
        <w:rPr>
          <w:rFonts w:ascii="Arial" w:hAnsi="Arial" w:cs="Arial"/>
          <w:sz w:val="20"/>
          <w:szCs w:val="20"/>
        </w:rPr>
        <w:t xml:space="preserve">investing in </w:t>
      </w:r>
      <w:r w:rsidR="00665B00" w:rsidRPr="0047447E">
        <w:rPr>
          <w:rFonts w:ascii="Arial" w:hAnsi="Arial" w:cs="Arial"/>
          <w:sz w:val="20"/>
          <w:szCs w:val="20"/>
        </w:rPr>
        <w:t>fixed deposits</w:t>
      </w:r>
    </w:p>
    <w:p w14:paraId="34611F62" w14:textId="205039B3"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bookmarkStart w:id="131" w:name="_Hlk220070988"/>
      <w:r w:rsidRPr="0047447E">
        <w:rPr>
          <w:rFonts w:ascii="Arial" w:hAnsi="Arial" w:cs="Arial"/>
          <w:b/>
          <w:bCs/>
          <w:sz w:val="20"/>
          <w:szCs w:val="20"/>
        </w:rPr>
        <w:t>β</w:t>
      </w:r>
      <w:bookmarkEnd w:id="131"/>
      <w:r w:rsidR="00EE04E5" w:rsidRPr="0047447E">
        <w:rPr>
          <w:rFonts w:ascii="Arial" w:hAnsi="Arial" w:cs="Arial"/>
          <w:b/>
          <w:bCs/>
          <w:sz w:val="20"/>
          <w:szCs w:val="20"/>
          <w:vertAlign w:val="subscript"/>
        </w:rPr>
        <w:t>1</w:t>
      </w:r>
      <w:r w:rsidR="00EE04E5">
        <w:rPr>
          <w:rFonts w:ascii="Arial" w:hAnsi="Arial" w:cs="Arial"/>
          <w:sz w:val="20"/>
          <w:szCs w:val="20"/>
        </w:rPr>
        <w:t>,</w:t>
      </w:r>
      <w:r w:rsidR="00EE04E5" w:rsidRPr="0047447E">
        <w:rPr>
          <w:rFonts w:ascii="Arial" w:hAnsi="Arial" w:cs="Arial"/>
          <w:b/>
          <w:bCs/>
          <w:sz w:val="20"/>
          <w:szCs w:val="20"/>
        </w:rPr>
        <w:t xml:space="preserve"> β</w:t>
      </w:r>
      <w:r w:rsidR="00192035">
        <w:rPr>
          <w:rFonts w:ascii="Arial" w:hAnsi="Arial" w:cs="Arial"/>
          <w:b/>
          <w:bCs/>
          <w:sz w:val="20"/>
          <w:szCs w:val="20"/>
          <w:vertAlign w:val="subscript"/>
        </w:rPr>
        <w:t>2</w:t>
      </w:r>
      <w:r w:rsidRPr="0047447E">
        <w:rPr>
          <w:rFonts w:ascii="Arial" w:hAnsi="Arial" w:cs="Arial"/>
          <w:sz w:val="20"/>
          <w:szCs w:val="20"/>
        </w:rPr>
        <w:tab/>
      </w:r>
      <w:r w:rsidR="00192035">
        <w:rPr>
          <w:rFonts w:ascii="Arial" w:hAnsi="Arial" w:cs="Arial"/>
          <w:sz w:val="20"/>
          <w:szCs w:val="20"/>
        </w:rPr>
        <w:t>Main effects of the variables</w:t>
      </w:r>
    </w:p>
    <w:p w14:paraId="62DAC575" w14:textId="142C8DF2" w:rsidR="00192035" w:rsidRPr="00EE04E5" w:rsidRDefault="00192035"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β</w:t>
      </w:r>
      <w:r>
        <w:rPr>
          <w:rFonts w:ascii="Arial" w:hAnsi="Arial" w:cs="Arial"/>
          <w:b/>
          <w:bCs/>
          <w:sz w:val="20"/>
          <w:szCs w:val="20"/>
          <w:vertAlign w:val="subscript"/>
        </w:rPr>
        <w:t xml:space="preserve">3              </w:t>
      </w:r>
      <w:r w:rsidRPr="00EE04E5">
        <w:rPr>
          <w:rFonts w:ascii="Arial" w:hAnsi="Arial" w:cs="Arial"/>
          <w:sz w:val="20"/>
          <w:szCs w:val="20"/>
        </w:rPr>
        <w:t>The moderation</w:t>
      </w:r>
      <w:r w:rsidRPr="00EE04E5">
        <w:rPr>
          <w:rFonts w:ascii="Arial" w:hAnsi="Arial" w:cs="Arial"/>
          <w:sz w:val="20"/>
          <w:szCs w:val="20"/>
          <w:vertAlign w:val="subscript"/>
        </w:rPr>
        <w:t xml:space="preserve"> </w:t>
      </w:r>
      <w:r w:rsidRPr="00EE04E5">
        <w:rPr>
          <w:rFonts w:ascii="Arial" w:hAnsi="Arial" w:cs="Arial"/>
          <w:sz w:val="20"/>
          <w:szCs w:val="20"/>
        </w:rPr>
        <w:t>coefficient (if significant, moderation exists).</w:t>
      </w:r>
    </w:p>
    <w:p w14:paraId="0CFDB06C" w14:textId="59FD3B5A"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z</w:t>
      </w:r>
      <w:r w:rsidR="00192035" w:rsidRPr="00192035">
        <w:rPr>
          <w:rFonts w:ascii="Arial" w:hAnsi="Arial" w:cs="Arial"/>
          <w:b/>
          <w:bCs/>
          <w:sz w:val="20"/>
          <w:szCs w:val="20"/>
          <w:vertAlign w:val="subscript"/>
        </w:rPr>
        <w:t>it</w:t>
      </w:r>
      <w:r w:rsidRPr="00192035">
        <w:rPr>
          <w:rFonts w:ascii="Arial" w:hAnsi="Arial" w:cs="Arial"/>
          <w:b/>
          <w:bCs/>
          <w:sz w:val="20"/>
          <w:szCs w:val="20"/>
          <w:vertAlign w:val="subscript"/>
        </w:rPr>
        <w:t xml:space="preserve"> </w:t>
      </w:r>
      <w:r w:rsidRPr="0047447E">
        <w:rPr>
          <w:rFonts w:ascii="Arial" w:hAnsi="Arial" w:cs="Arial"/>
          <w:sz w:val="20"/>
          <w:szCs w:val="20"/>
        </w:rPr>
        <w:tab/>
        <w:t>represents fund size</w:t>
      </w:r>
    </w:p>
    <w:p w14:paraId="3D345DD3" w14:textId="7C2F3747" w:rsidR="00192035" w:rsidRDefault="00192035" w:rsidP="00F316A0">
      <w:pPr>
        <w:autoSpaceDE w:val="0"/>
        <w:autoSpaceDN w:val="0"/>
        <w:adjustRightInd w:val="0"/>
        <w:spacing w:after="0" w:line="240" w:lineRule="auto"/>
        <w:ind w:firstLine="720"/>
        <w:jc w:val="both"/>
        <w:rPr>
          <w:rFonts w:ascii="Arial" w:hAnsi="Arial" w:cs="Arial"/>
          <w:b/>
          <w:bCs/>
          <w:sz w:val="20"/>
          <w:szCs w:val="20"/>
        </w:rPr>
      </w:pPr>
      <w:r w:rsidRPr="0047447E">
        <w:rPr>
          <w:rFonts w:ascii="Arial" w:hAnsi="Arial" w:cs="Arial"/>
          <w:b/>
          <w:bCs/>
          <w:sz w:val="20"/>
          <w:szCs w:val="20"/>
        </w:rPr>
        <w:t>X</w:t>
      </w:r>
      <w:r w:rsidRPr="0047447E">
        <w:rPr>
          <w:rFonts w:ascii="Arial" w:hAnsi="Arial" w:cs="Arial"/>
          <w:b/>
          <w:bCs/>
          <w:sz w:val="20"/>
          <w:szCs w:val="20"/>
          <w:vertAlign w:val="subscript"/>
        </w:rPr>
        <w:t>it</w:t>
      </w:r>
      <w:r w:rsidRPr="00F355FA">
        <w:rPr>
          <w:rFonts w:ascii="Arial" w:hAnsi="Arial" w:cs="Arial"/>
          <w:b/>
          <w:bCs/>
          <w:sz w:val="20"/>
          <w:szCs w:val="20"/>
        </w:rPr>
        <w:t>*</w:t>
      </w:r>
      <w:r w:rsidRPr="00192035">
        <w:rPr>
          <w:rFonts w:ascii="Arial" w:hAnsi="Arial" w:cs="Arial"/>
          <w:b/>
          <w:bCs/>
          <w:sz w:val="20"/>
          <w:szCs w:val="20"/>
        </w:rPr>
        <w:t xml:space="preserve"> </w:t>
      </w:r>
      <w:r>
        <w:rPr>
          <w:rFonts w:ascii="Arial" w:hAnsi="Arial" w:cs="Arial"/>
          <w:b/>
          <w:bCs/>
          <w:sz w:val="20"/>
          <w:szCs w:val="20"/>
        </w:rPr>
        <w:t>z</w:t>
      </w:r>
      <w:r w:rsidRPr="0047447E">
        <w:rPr>
          <w:rFonts w:ascii="Arial" w:hAnsi="Arial" w:cs="Arial"/>
          <w:b/>
          <w:bCs/>
          <w:sz w:val="20"/>
          <w:szCs w:val="20"/>
          <w:vertAlign w:val="subscript"/>
        </w:rPr>
        <w:t>it</w:t>
      </w:r>
      <w:r>
        <w:rPr>
          <w:rFonts w:ascii="Arial" w:hAnsi="Arial" w:cs="Arial"/>
          <w:b/>
          <w:bCs/>
          <w:sz w:val="20"/>
          <w:szCs w:val="20"/>
        </w:rPr>
        <w:t xml:space="preserve">   </w:t>
      </w:r>
      <w:r w:rsidRPr="00EE04E5">
        <w:rPr>
          <w:rFonts w:ascii="Arial" w:hAnsi="Arial" w:cs="Arial"/>
          <w:sz w:val="20"/>
          <w:szCs w:val="20"/>
        </w:rPr>
        <w:t>is the interaction term (Moderation effect)</w:t>
      </w:r>
    </w:p>
    <w:p w14:paraId="028C87BE" w14:textId="03852CF5" w:rsidR="00192035" w:rsidRDefault="00192035" w:rsidP="00F316A0">
      <w:pPr>
        <w:autoSpaceDE w:val="0"/>
        <w:autoSpaceDN w:val="0"/>
        <w:adjustRightInd w:val="0"/>
        <w:spacing w:after="0" w:line="240" w:lineRule="auto"/>
        <w:ind w:firstLine="720"/>
        <w:jc w:val="both"/>
        <w:rPr>
          <w:rFonts w:ascii="Arial" w:hAnsi="Arial" w:cs="Arial"/>
          <w:b/>
          <w:bCs/>
          <w:sz w:val="20"/>
          <w:szCs w:val="20"/>
        </w:rPr>
      </w:pPr>
      <w:r>
        <w:rPr>
          <w:rFonts w:ascii="Arial" w:hAnsi="Arial" w:cs="Arial"/>
          <w:b/>
          <w:bCs/>
          <w:sz w:val="20"/>
          <w:szCs w:val="20"/>
        </w:rPr>
        <w:t>α</w:t>
      </w:r>
      <w:r w:rsidRPr="0045345F">
        <w:rPr>
          <w:rFonts w:ascii="Arial" w:hAnsi="Arial" w:cs="Arial"/>
          <w:b/>
          <w:bCs/>
          <w:sz w:val="20"/>
          <w:szCs w:val="20"/>
          <w:vertAlign w:val="subscript"/>
        </w:rPr>
        <w:t xml:space="preserve">i </w:t>
      </w:r>
      <w:r>
        <w:rPr>
          <w:rFonts w:ascii="Arial" w:hAnsi="Arial" w:cs="Arial"/>
          <w:b/>
          <w:bCs/>
          <w:sz w:val="20"/>
          <w:szCs w:val="20"/>
        </w:rPr>
        <w:t xml:space="preserve">         </w:t>
      </w:r>
      <w:r w:rsidRPr="00EE04E5">
        <w:rPr>
          <w:rFonts w:ascii="Arial" w:hAnsi="Arial" w:cs="Arial"/>
          <w:sz w:val="20"/>
          <w:szCs w:val="20"/>
        </w:rPr>
        <w:t>Entity- specific fixed effects (unobserved heterogeneity).</w:t>
      </w:r>
    </w:p>
    <w:p w14:paraId="7B65CD16" w14:textId="55EE3A43"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vertAlign w:val="subscript"/>
        </w:rPr>
        <w:t>it</w:t>
      </w:r>
      <w:r w:rsidRPr="0047447E">
        <w:rPr>
          <w:rFonts w:ascii="Arial" w:hAnsi="Arial" w:cs="Arial"/>
          <w:b/>
          <w:bCs/>
          <w:sz w:val="20"/>
          <w:szCs w:val="20"/>
        </w:rPr>
        <w:t xml:space="preserve"> </w:t>
      </w:r>
      <w:r w:rsidRPr="0047447E">
        <w:rPr>
          <w:rFonts w:ascii="Arial" w:hAnsi="Arial" w:cs="Arial"/>
          <w:sz w:val="20"/>
          <w:szCs w:val="20"/>
        </w:rPr>
        <w:tab/>
        <w:t xml:space="preserve">represents the </w:t>
      </w:r>
      <w:r w:rsidR="00192035">
        <w:rPr>
          <w:rFonts w:ascii="Arial" w:hAnsi="Arial" w:cs="Arial"/>
          <w:sz w:val="20"/>
          <w:szCs w:val="20"/>
        </w:rPr>
        <w:t>idio</w:t>
      </w:r>
      <w:r w:rsidR="00EE04E5">
        <w:rPr>
          <w:rFonts w:ascii="Arial" w:hAnsi="Arial" w:cs="Arial"/>
          <w:sz w:val="20"/>
          <w:szCs w:val="20"/>
        </w:rPr>
        <w:t>syncratic error term</w:t>
      </w:r>
    </w:p>
    <w:p w14:paraId="0B79CB7E" w14:textId="77777777" w:rsidR="0080004B" w:rsidRPr="0047447E" w:rsidRDefault="0080004B" w:rsidP="00F316A0">
      <w:pPr>
        <w:tabs>
          <w:tab w:val="left" w:pos="720"/>
          <w:tab w:val="left" w:pos="1440"/>
          <w:tab w:val="left" w:pos="2160"/>
          <w:tab w:val="left" w:pos="2880"/>
          <w:tab w:val="center" w:pos="4637"/>
        </w:tabs>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 xml:space="preserve">t </w:t>
      </w:r>
      <w:r w:rsidRPr="0047447E">
        <w:rPr>
          <w:rFonts w:ascii="Arial" w:hAnsi="Arial" w:cs="Arial"/>
          <w:sz w:val="20"/>
          <w:szCs w:val="20"/>
        </w:rPr>
        <w:tab/>
        <w:t>represents time</w:t>
      </w:r>
      <w:r w:rsidRPr="0047447E">
        <w:rPr>
          <w:rFonts w:ascii="Arial" w:hAnsi="Arial" w:cs="Arial"/>
          <w:sz w:val="20"/>
          <w:szCs w:val="20"/>
        </w:rPr>
        <w:tab/>
      </w:r>
    </w:p>
    <w:p w14:paraId="5A80560C"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 xml:space="preserve">i </w:t>
      </w:r>
      <w:r w:rsidRPr="0047447E">
        <w:rPr>
          <w:rFonts w:ascii="Arial" w:hAnsi="Arial" w:cs="Arial"/>
          <w:sz w:val="20"/>
          <w:szCs w:val="20"/>
        </w:rPr>
        <w:tab/>
        <w:t>represents the number of unit trust funds</w:t>
      </w:r>
    </w:p>
    <w:p w14:paraId="0871E9D2" w14:textId="77777777" w:rsidR="00665B00" w:rsidRPr="0047447E" w:rsidRDefault="00665B00" w:rsidP="0080004B">
      <w:pPr>
        <w:autoSpaceDE w:val="0"/>
        <w:autoSpaceDN w:val="0"/>
        <w:adjustRightInd w:val="0"/>
        <w:spacing w:after="0" w:line="360" w:lineRule="auto"/>
        <w:jc w:val="both"/>
        <w:rPr>
          <w:rFonts w:ascii="Arial" w:hAnsi="Arial" w:cs="Arial"/>
          <w:bCs/>
          <w:sz w:val="20"/>
          <w:szCs w:val="20"/>
        </w:rPr>
      </w:pPr>
      <w:bookmarkStart w:id="132" w:name="_Toc6587002"/>
      <w:bookmarkEnd w:id="125"/>
    </w:p>
    <w:p w14:paraId="1523E081" w14:textId="6AF8D66A" w:rsidR="0080004B" w:rsidRPr="0047447E" w:rsidRDefault="0080004B" w:rsidP="00F316A0">
      <w:pPr>
        <w:autoSpaceDE w:val="0"/>
        <w:autoSpaceDN w:val="0"/>
        <w:adjustRightInd w:val="0"/>
        <w:spacing w:after="0" w:line="240" w:lineRule="auto"/>
        <w:jc w:val="both"/>
        <w:rPr>
          <w:rFonts w:ascii="Arial" w:eastAsiaTheme="minorEastAsia" w:hAnsi="Arial" w:cs="Arial"/>
          <w:bCs/>
          <w:sz w:val="20"/>
          <w:szCs w:val="20"/>
        </w:rPr>
      </w:pPr>
      <w:r w:rsidRPr="0047447E">
        <w:rPr>
          <w:rFonts w:ascii="Arial" w:hAnsi="Arial" w:cs="Arial"/>
          <w:bCs/>
          <w:sz w:val="20"/>
          <w:szCs w:val="20"/>
        </w:rPr>
        <w:t xml:space="preserve">Prior to conducting regression analysis, regression assumptions are tested first for the sake of ensuring that the data gives </w:t>
      </w:r>
      <w:bookmarkStart w:id="133" w:name="_Hlk148730092"/>
      <w:r w:rsidRPr="0047447E">
        <w:rPr>
          <w:rFonts w:ascii="Arial" w:hAnsi="Arial" w:cs="Arial"/>
          <w:bCs/>
          <w:sz w:val="20"/>
          <w:szCs w:val="20"/>
        </w:rPr>
        <w:t xml:space="preserve">best least squares unbiased estimators </w:t>
      </w:r>
      <w:bookmarkEnd w:id="133"/>
      <w:r w:rsidRPr="0047447E">
        <w:rPr>
          <w:rFonts w:ascii="Arial" w:hAnsi="Arial" w:cs="Arial"/>
          <w:bCs/>
          <w:sz w:val="20"/>
          <w:szCs w:val="20"/>
        </w:rPr>
        <w:t>(BLUE).</w:t>
      </w:r>
      <w:bookmarkStart w:id="134" w:name="_Hlk121538248"/>
      <w:bookmarkStart w:id="135" w:name="_Toc21719813"/>
      <w:bookmarkStart w:id="136" w:name="_Toc22214009"/>
      <w:bookmarkStart w:id="137" w:name="_Toc22214204"/>
      <w:bookmarkStart w:id="138" w:name="_Toc26183761"/>
      <w:bookmarkStart w:id="139" w:name="_Toc27472036"/>
      <w:bookmarkStart w:id="140" w:name="_Toc64058749"/>
      <w:bookmarkStart w:id="141" w:name="_Toc65395064"/>
      <w:bookmarkStart w:id="142" w:name="_Toc88476469"/>
      <w:bookmarkStart w:id="143" w:name="_Toc88903088"/>
      <w:r w:rsidRPr="0047447E">
        <w:rPr>
          <w:rFonts w:ascii="Arial" w:eastAsiaTheme="minorEastAsia" w:hAnsi="Arial" w:cs="Arial"/>
          <w:bCs/>
          <w:sz w:val="20"/>
          <w:szCs w:val="20"/>
        </w:rPr>
        <w:t xml:space="preserve"> In this study,</w:t>
      </w:r>
      <w:r w:rsidRPr="0047447E">
        <w:rPr>
          <w:rFonts w:ascii="Arial" w:eastAsiaTheme="minorEastAsia" w:hAnsi="Arial" w:cs="Arial"/>
          <w:b/>
          <w:sz w:val="20"/>
          <w:szCs w:val="20"/>
        </w:rPr>
        <w:t xml:space="preserve"> </w:t>
      </w:r>
      <w:r w:rsidRPr="0047447E">
        <w:rPr>
          <w:rFonts w:ascii="Arial" w:eastAsia="Calibri" w:hAnsi="Arial" w:cs="Arial"/>
          <w:sz w:val="20"/>
          <w:szCs w:val="20"/>
        </w:rPr>
        <w:t xml:space="preserve">normality of residuals, multicollinearity test, </w:t>
      </w:r>
      <w:bookmarkStart w:id="144" w:name="_Hlk220147594"/>
      <w:r w:rsidRPr="0047447E">
        <w:rPr>
          <w:rFonts w:ascii="Arial" w:eastAsia="Calibri" w:hAnsi="Arial" w:cs="Arial"/>
          <w:sz w:val="20"/>
          <w:szCs w:val="20"/>
        </w:rPr>
        <w:t>serial correlation, heteroscedasticity, random or fixed effects tests</w:t>
      </w:r>
      <w:bookmarkStart w:id="145" w:name="_Hlk121528032"/>
      <w:bookmarkEnd w:id="132"/>
      <w:r w:rsidRPr="0047447E">
        <w:rPr>
          <w:rFonts w:ascii="Arial" w:eastAsia="Calibri" w:hAnsi="Arial" w:cs="Arial"/>
          <w:sz w:val="20"/>
          <w:szCs w:val="20"/>
        </w:rPr>
        <w:t xml:space="preserve"> and </w:t>
      </w:r>
      <w:r w:rsidRPr="0047447E">
        <w:rPr>
          <w:rFonts w:ascii="Arial" w:hAnsi="Arial" w:cs="Arial"/>
          <w:sz w:val="20"/>
          <w:szCs w:val="20"/>
        </w:rPr>
        <w:t>stationarity test</w:t>
      </w:r>
      <w:bookmarkEnd w:id="134"/>
      <w:r w:rsidRPr="0047447E">
        <w:rPr>
          <w:rFonts w:ascii="Arial" w:hAnsi="Arial" w:cs="Arial"/>
          <w:sz w:val="20"/>
          <w:szCs w:val="20"/>
        </w:rPr>
        <w:t>s were tested.</w:t>
      </w:r>
      <w:bookmarkEnd w:id="145"/>
      <w:r w:rsidRPr="0047447E">
        <w:rPr>
          <w:rFonts w:ascii="Arial" w:hAnsi="Arial" w:cs="Arial"/>
          <w:sz w:val="20"/>
          <w:szCs w:val="20"/>
        </w:rPr>
        <w:t xml:space="preserve"> </w:t>
      </w:r>
      <w:r w:rsidR="00665B00" w:rsidRPr="0047447E">
        <w:rPr>
          <w:rFonts w:ascii="Arial" w:eastAsiaTheme="minorEastAsia" w:hAnsi="Arial" w:cs="Arial"/>
          <w:bCs/>
          <w:sz w:val="20"/>
          <w:szCs w:val="20"/>
        </w:rPr>
        <w:t xml:space="preserve"> </w:t>
      </w:r>
      <w:bookmarkEnd w:id="144"/>
      <w:r w:rsidRPr="0047447E">
        <w:rPr>
          <w:rFonts w:ascii="Arial" w:hAnsi="Arial" w:cs="Arial"/>
          <w:sz w:val="20"/>
          <w:szCs w:val="20"/>
          <w:shd w:val="clear" w:color="auto" w:fill="FFFFFF"/>
        </w:rPr>
        <w:t>In this study, n</w:t>
      </w:r>
      <w:r w:rsidRPr="0047447E">
        <w:rPr>
          <w:rFonts w:ascii="Arial" w:eastAsia="Calibri" w:hAnsi="Arial" w:cs="Arial"/>
          <w:sz w:val="20"/>
          <w:szCs w:val="20"/>
        </w:rPr>
        <w:t xml:space="preserve">ormality of residuals was tested using </w:t>
      </w:r>
      <w:bookmarkStart w:id="146" w:name="_Hlk121787267"/>
      <w:r w:rsidRPr="0047447E">
        <w:rPr>
          <w:rFonts w:ascii="Arial" w:hAnsi="Arial" w:cs="Arial"/>
          <w:sz w:val="20"/>
          <w:szCs w:val="20"/>
        </w:rPr>
        <w:t>Jacque Bera test</w:t>
      </w:r>
      <w:r w:rsidRPr="0047447E">
        <w:rPr>
          <w:rFonts w:ascii="Arial" w:eastAsia="Calibri" w:hAnsi="Arial" w:cs="Arial"/>
          <w:sz w:val="20"/>
          <w:szCs w:val="20"/>
        </w:rPr>
        <w:t xml:space="preserve"> (JB)</w:t>
      </w:r>
      <w:bookmarkEnd w:id="146"/>
      <w:r w:rsidRPr="0047447E">
        <w:rPr>
          <w:rFonts w:ascii="Arial" w:eastAsia="Calibri" w:hAnsi="Arial" w:cs="Arial"/>
          <w:sz w:val="20"/>
          <w:szCs w:val="20"/>
        </w:rPr>
        <w:t xml:space="preserve"> and i</w:t>
      </w:r>
      <w:r w:rsidRPr="0047447E">
        <w:rPr>
          <w:rFonts w:ascii="Arial" w:hAnsi="Arial" w:cs="Arial"/>
          <w:sz w:val="20"/>
          <w:szCs w:val="20"/>
        </w:rPr>
        <w:t>f p&gt;0.05, it implied that the assumption was upheld.</w:t>
      </w:r>
      <w:bookmarkEnd w:id="135"/>
      <w:bookmarkEnd w:id="136"/>
      <w:bookmarkEnd w:id="137"/>
      <w:bookmarkEnd w:id="138"/>
      <w:r w:rsidRPr="0047447E">
        <w:rPr>
          <w:rFonts w:ascii="Arial" w:hAnsi="Arial" w:cs="Arial"/>
          <w:sz w:val="20"/>
          <w:szCs w:val="20"/>
        </w:rPr>
        <w:t xml:space="preserve"> </w:t>
      </w:r>
      <w:bookmarkStart w:id="147" w:name="_Hlk148528132"/>
      <w:bookmarkEnd w:id="139"/>
      <w:bookmarkEnd w:id="140"/>
      <w:bookmarkEnd w:id="141"/>
      <w:bookmarkEnd w:id="142"/>
      <w:bookmarkEnd w:id="143"/>
      <w:r w:rsidRPr="0047447E">
        <w:rPr>
          <w:rFonts w:ascii="Arial" w:hAnsi="Arial" w:cs="Arial"/>
          <w:sz w:val="20"/>
          <w:szCs w:val="20"/>
        </w:rPr>
        <w:t xml:space="preserve">Heteroskedasticity </w:t>
      </w:r>
      <w:bookmarkEnd w:id="147"/>
      <w:r w:rsidRPr="0047447E">
        <w:rPr>
          <w:rFonts w:ascii="Arial" w:hAnsi="Arial" w:cs="Arial"/>
          <w:sz w:val="20"/>
          <w:szCs w:val="20"/>
        </w:rPr>
        <w:t xml:space="preserve">was tested using Breusch-Pagan test. The null hypothesis was that residuals are homoscedastic. If </w:t>
      </w:r>
      <w:r w:rsidRPr="0047447E">
        <w:rPr>
          <w:rFonts w:ascii="Arial" w:hAnsi="Arial" w:cs="Arial"/>
          <w:bCs/>
          <w:sz w:val="20"/>
          <w:szCs w:val="20"/>
          <w:shd w:val="clear" w:color="auto" w:fill="FFFFFF"/>
        </w:rPr>
        <w:t>p&lt;0.05, the H</w:t>
      </w:r>
      <w:r w:rsidRPr="0047447E">
        <w:rPr>
          <w:rFonts w:ascii="Arial" w:hAnsi="Arial" w:cs="Arial"/>
          <w:bCs/>
          <w:sz w:val="20"/>
          <w:szCs w:val="20"/>
          <w:shd w:val="clear" w:color="auto" w:fill="FFFFFF"/>
          <w:vertAlign w:val="subscript"/>
        </w:rPr>
        <w:t>0</w:t>
      </w:r>
      <w:r w:rsidRPr="0047447E">
        <w:rPr>
          <w:rFonts w:ascii="Arial" w:hAnsi="Arial" w:cs="Arial"/>
          <w:bCs/>
          <w:sz w:val="20"/>
          <w:szCs w:val="20"/>
          <w:shd w:val="clear" w:color="auto" w:fill="FFFFFF"/>
        </w:rPr>
        <w:t xml:space="preserve"> was </w:t>
      </w:r>
      <w:r w:rsidRPr="0047447E">
        <w:rPr>
          <w:rFonts w:ascii="Arial" w:hAnsi="Arial" w:cs="Arial"/>
          <w:sz w:val="20"/>
          <w:szCs w:val="20"/>
        </w:rPr>
        <w:t>rejected and hence heteroskedasticity existed</w:t>
      </w:r>
      <w:r w:rsidRPr="0047447E">
        <w:rPr>
          <w:rFonts w:ascii="Arial" w:hAnsi="Arial" w:cs="Arial"/>
          <w:sz w:val="20"/>
          <w:szCs w:val="20"/>
          <w:shd w:val="clear" w:color="auto" w:fill="FFFFFF"/>
        </w:rPr>
        <w:t>.</w:t>
      </w:r>
      <w:r w:rsidRPr="0047447E">
        <w:rPr>
          <w:rFonts w:ascii="Arial" w:hAnsi="Arial" w:cs="Arial"/>
          <w:sz w:val="20"/>
          <w:szCs w:val="20"/>
        </w:rPr>
        <w:t xml:space="preserve"> </w:t>
      </w:r>
      <w:r w:rsidR="00F316A0" w:rsidRPr="0047447E">
        <w:rPr>
          <w:rFonts w:ascii="Arial" w:hAnsi="Arial" w:cs="Arial"/>
          <w:sz w:val="20"/>
          <w:szCs w:val="20"/>
        </w:rPr>
        <w:t>A</w:t>
      </w:r>
      <w:r w:rsidRPr="0047447E">
        <w:rPr>
          <w:rFonts w:ascii="Arial" w:hAnsi="Arial" w:cs="Arial"/>
          <w:sz w:val="20"/>
          <w:szCs w:val="20"/>
        </w:rPr>
        <w:t>utocorrelation or serial correlation was tested using the Durbin-Watson Test. The H</w:t>
      </w:r>
      <w:r w:rsidRPr="0047447E">
        <w:rPr>
          <w:rFonts w:ascii="Arial" w:hAnsi="Arial" w:cs="Arial"/>
          <w:sz w:val="20"/>
          <w:szCs w:val="20"/>
          <w:vertAlign w:val="subscript"/>
        </w:rPr>
        <w:t>0</w:t>
      </w:r>
      <w:r w:rsidRPr="0047447E">
        <w:rPr>
          <w:rFonts w:ascii="Arial" w:hAnsi="Arial" w:cs="Arial"/>
          <w:sz w:val="20"/>
          <w:szCs w:val="20"/>
        </w:rPr>
        <w:t xml:space="preserve"> was that there is no serial correlation. If the d-statistic is more than 0.05, the study failed to reject the null hypothesis and concluded that no autocorrelation existed among the errors. </w:t>
      </w:r>
      <w:bookmarkStart w:id="148" w:name="_Hlk148721429"/>
      <w:r w:rsidR="00F316A0" w:rsidRPr="0047447E">
        <w:rPr>
          <w:rFonts w:ascii="Arial" w:hAnsi="Arial" w:cs="Arial"/>
          <w:sz w:val="20"/>
          <w:szCs w:val="20"/>
          <w:shd w:val="clear" w:color="auto" w:fill="FFFFFF"/>
        </w:rPr>
        <w:t xml:space="preserve"> </w:t>
      </w:r>
      <w:r w:rsidR="00F316A0" w:rsidRPr="0047447E">
        <w:rPr>
          <w:rFonts w:ascii="Arial" w:hAnsi="Arial" w:cs="Arial"/>
          <w:sz w:val="20"/>
          <w:szCs w:val="20"/>
        </w:rPr>
        <w:t>M</w:t>
      </w:r>
      <w:r w:rsidRPr="0047447E">
        <w:rPr>
          <w:rFonts w:ascii="Arial" w:hAnsi="Arial" w:cs="Arial"/>
          <w:sz w:val="20"/>
          <w:szCs w:val="20"/>
        </w:rPr>
        <w:t>ulti</w:t>
      </w:r>
      <w:r w:rsidR="00F316A0" w:rsidRPr="0047447E">
        <w:rPr>
          <w:rFonts w:ascii="Arial" w:hAnsi="Arial" w:cs="Arial"/>
          <w:sz w:val="20"/>
          <w:szCs w:val="20"/>
        </w:rPr>
        <w:t>-</w:t>
      </w:r>
      <w:r w:rsidRPr="0047447E">
        <w:rPr>
          <w:rFonts w:ascii="Arial" w:hAnsi="Arial" w:cs="Arial"/>
          <w:sz w:val="20"/>
          <w:szCs w:val="20"/>
        </w:rPr>
        <w:t xml:space="preserve">collinearity was tested using VIF and if VIF&gt;10, it implied existence of </w:t>
      </w:r>
      <w:r w:rsidR="00F316A0" w:rsidRPr="0047447E">
        <w:rPr>
          <w:rFonts w:ascii="Arial" w:hAnsi="Arial" w:cs="Arial"/>
          <w:sz w:val="20"/>
          <w:szCs w:val="20"/>
        </w:rPr>
        <w:t xml:space="preserve">serious </w:t>
      </w:r>
      <w:r w:rsidRPr="0047447E">
        <w:rPr>
          <w:rFonts w:ascii="Arial" w:hAnsi="Arial" w:cs="Arial"/>
          <w:sz w:val="20"/>
          <w:szCs w:val="20"/>
        </w:rPr>
        <w:t>multi</w:t>
      </w:r>
      <w:r w:rsidR="00F316A0" w:rsidRPr="0047447E">
        <w:rPr>
          <w:rFonts w:ascii="Arial" w:hAnsi="Arial" w:cs="Arial"/>
          <w:sz w:val="20"/>
          <w:szCs w:val="20"/>
        </w:rPr>
        <w:t>-</w:t>
      </w:r>
      <w:r w:rsidRPr="0047447E">
        <w:rPr>
          <w:rFonts w:ascii="Arial" w:hAnsi="Arial" w:cs="Arial"/>
          <w:sz w:val="20"/>
          <w:szCs w:val="20"/>
        </w:rPr>
        <w:t xml:space="preserve">collinearity problems. </w:t>
      </w:r>
      <w:bookmarkStart w:id="149" w:name="_Hlk220147778"/>
      <w:bookmarkStart w:id="150" w:name="_Hlk148720755"/>
      <w:bookmarkEnd w:id="148"/>
      <w:r w:rsidRPr="0047447E">
        <w:rPr>
          <w:rFonts w:ascii="Arial" w:hAnsi="Arial" w:cs="Arial"/>
          <w:sz w:val="20"/>
          <w:szCs w:val="20"/>
        </w:rPr>
        <w:t xml:space="preserve">The </w:t>
      </w:r>
      <w:bookmarkStart w:id="151" w:name="_Hlk148529165"/>
      <w:r w:rsidRPr="0047447E">
        <w:rPr>
          <w:rFonts w:ascii="Arial" w:hAnsi="Arial" w:cs="Arial"/>
          <w:sz w:val="20"/>
          <w:szCs w:val="20"/>
        </w:rPr>
        <w:t xml:space="preserve">hausman test </w:t>
      </w:r>
      <w:bookmarkEnd w:id="151"/>
      <w:r w:rsidR="00F316A0" w:rsidRPr="0047447E">
        <w:rPr>
          <w:rFonts w:ascii="Arial" w:hAnsi="Arial" w:cs="Arial"/>
          <w:sz w:val="20"/>
          <w:szCs w:val="20"/>
        </w:rPr>
        <w:t>was conducted to</w:t>
      </w:r>
      <w:r w:rsidRPr="0047447E">
        <w:rPr>
          <w:rFonts w:ascii="Arial" w:hAnsi="Arial" w:cs="Arial"/>
          <w:sz w:val="20"/>
          <w:szCs w:val="20"/>
        </w:rPr>
        <w:t xml:space="preserve"> detect endogenous regressors in a regression model</w:t>
      </w:r>
      <w:r w:rsidRPr="0047447E">
        <w:rPr>
          <w:rFonts w:ascii="Arial" w:hAnsi="Arial" w:cs="Arial"/>
          <w:sz w:val="20"/>
          <w:szCs w:val="20"/>
          <w:shd w:val="clear" w:color="auto" w:fill="FFFFFF"/>
        </w:rPr>
        <w:t xml:space="preserve"> (Beins &amp; McCarthy, 2017)</w:t>
      </w:r>
      <w:r w:rsidRPr="0047447E">
        <w:rPr>
          <w:rFonts w:ascii="Arial" w:hAnsi="Arial" w:cs="Arial"/>
          <w:sz w:val="20"/>
          <w:szCs w:val="20"/>
        </w:rPr>
        <w:t>. The usual procedure for conducting hausman test is to run a fixed effects model and save the estimates, then run a random model and save the estimates and then perform the test (</w:t>
      </w:r>
      <w:r w:rsidRPr="0047447E">
        <w:rPr>
          <w:rFonts w:ascii="Arial" w:hAnsi="Arial" w:cs="Arial"/>
          <w:sz w:val="20"/>
          <w:szCs w:val="20"/>
          <w:shd w:val="clear" w:color="auto" w:fill="FFFFFF"/>
        </w:rPr>
        <w:t>Sileyew, 2019)</w:t>
      </w:r>
      <w:r w:rsidRPr="0047447E">
        <w:rPr>
          <w:rFonts w:ascii="Arial" w:hAnsi="Arial" w:cs="Arial"/>
          <w:sz w:val="20"/>
          <w:szCs w:val="20"/>
        </w:rPr>
        <w:t xml:space="preserve">. If there is no endogeneity concern between the error terms and the explanatory variable, the random effects model was adopted and vice versa, fixed effects model. The null hypothesis was that the preferred model was random effects while the alternative hypothesis was that the preferred model was fixed effects. </w:t>
      </w:r>
      <w:r w:rsidR="00AC1508">
        <w:rPr>
          <w:rFonts w:ascii="Arial" w:hAnsi="Arial" w:cs="Arial"/>
          <w:sz w:val="20"/>
          <w:szCs w:val="20"/>
        </w:rPr>
        <w:t xml:space="preserve">Fixed effect is associated with removal of bias from unobserved, time-invariant unit-specific confounders. A focus on within unit variation over time allows for causal inference that is accurate even when hidden constant factors are correlated with the independent variables. </w:t>
      </w:r>
      <w:r w:rsidRPr="0047447E">
        <w:rPr>
          <w:rFonts w:ascii="Arial" w:hAnsi="Arial" w:cs="Arial"/>
          <w:sz w:val="20"/>
          <w:szCs w:val="20"/>
        </w:rPr>
        <w:t>The threshold was that if the p-value was less than 0.05, the null hypothesis was rejected.</w:t>
      </w:r>
      <w:bookmarkEnd w:id="149"/>
      <w:r w:rsidRPr="0047447E">
        <w:rPr>
          <w:rFonts w:ascii="Arial" w:hAnsi="Arial" w:cs="Arial"/>
          <w:sz w:val="20"/>
          <w:szCs w:val="20"/>
        </w:rPr>
        <w:t xml:space="preserve"> </w:t>
      </w:r>
      <w:bookmarkEnd w:id="150"/>
      <w:r w:rsidR="00F316A0" w:rsidRPr="0047447E">
        <w:rPr>
          <w:rFonts w:ascii="Arial" w:hAnsi="Arial" w:cs="Arial"/>
          <w:sz w:val="20"/>
          <w:szCs w:val="20"/>
          <w:shd w:val="clear" w:color="auto" w:fill="FFFFFF"/>
        </w:rPr>
        <w:t>Stationarity test was conducted</w:t>
      </w:r>
      <w:r w:rsidRPr="0047447E">
        <w:rPr>
          <w:rFonts w:ascii="Arial" w:hAnsi="Arial" w:cs="Arial"/>
          <w:sz w:val="20"/>
          <w:szCs w:val="20"/>
          <w:shd w:val="clear" w:color="auto" w:fill="FFFFFF"/>
        </w:rPr>
        <w:t xml:space="preserve"> to verify whether a series is stationary or not. </w:t>
      </w:r>
      <w:bookmarkStart w:id="152" w:name="_Hlk148722972"/>
      <w:r w:rsidRPr="0047447E">
        <w:rPr>
          <w:rFonts w:ascii="Arial" w:hAnsi="Arial" w:cs="Arial"/>
          <w:sz w:val="20"/>
          <w:szCs w:val="20"/>
        </w:rPr>
        <w:lastRenderedPageBreak/>
        <w:t xml:space="preserve">Levin-Lin-Chu test was used to test for stationarity in a time series. The null hypothesis was as follows; </w:t>
      </w:r>
      <w:r w:rsidRPr="0047447E">
        <w:rPr>
          <w:rFonts w:ascii="Arial" w:hAnsi="Arial" w:cs="Arial"/>
          <w:spacing w:val="4"/>
          <w:sz w:val="20"/>
          <w:szCs w:val="20"/>
          <w:shd w:val="clear" w:color="auto" w:fill="FFFFFF"/>
        </w:rPr>
        <w:t>H</w:t>
      </w:r>
      <w:r w:rsidRPr="0047447E">
        <w:rPr>
          <w:rFonts w:ascii="Arial" w:hAnsi="Arial" w:cs="Arial"/>
          <w:spacing w:val="4"/>
          <w:sz w:val="20"/>
          <w:szCs w:val="20"/>
          <w:shd w:val="clear" w:color="auto" w:fill="FFFFFF"/>
          <w:vertAlign w:val="subscript"/>
        </w:rPr>
        <w:t>0</w:t>
      </w:r>
      <w:r w:rsidRPr="0047447E">
        <w:rPr>
          <w:rFonts w:ascii="Arial" w:hAnsi="Arial" w:cs="Arial"/>
          <w:spacing w:val="4"/>
          <w:sz w:val="20"/>
          <w:szCs w:val="20"/>
          <w:shd w:val="clear" w:color="auto" w:fill="FFFFFF"/>
        </w:rPr>
        <w:t>: Panels has Unit Roots H</w:t>
      </w:r>
      <w:r w:rsidRPr="0047447E">
        <w:rPr>
          <w:rFonts w:ascii="Arial" w:hAnsi="Arial" w:cs="Arial"/>
          <w:spacing w:val="4"/>
          <w:sz w:val="20"/>
          <w:szCs w:val="20"/>
          <w:shd w:val="clear" w:color="auto" w:fill="FFFFFF"/>
          <w:vertAlign w:val="subscript"/>
        </w:rPr>
        <w:t>a</w:t>
      </w:r>
      <w:r w:rsidRPr="0047447E">
        <w:rPr>
          <w:rFonts w:ascii="Arial" w:hAnsi="Arial" w:cs="Arial"/>
          <w:spacing w:val="4"/>
          <w:sz w:val="20"/>
          <w:szCs w:val="20"/>
          <w:shd w:val="clear" w:color="auto" w:fill="FFFFFF"/>
        </w:rPr>
        <w:t>: Panels are stationary/ has no unit root. The null hypothesis was rejected if p&lt; 0.05.</w:t>
      </w:r>
      <w:r w:rsidR="005F79A3">
        <w:rPr>
          <w:rFonts w:ascii="Arial" w:hAnsi="Arial" w:cs="Arial"/>
          <w:spacing w:val="4"/>
          <w:sz w:val="20"/>
          <w:szCs w:val="20"/>
          <w:shd w:val="clear" w:color="auto" w:fill="FFFFFF"/>
        </w:rPr>
        <w:t xml:space="preserve"> </w:t>
      </w:r>
      <w:r w:rsidR="003F33C5">
        <w:rPr>
          <w:rFonts w:ascii="Arial" w:hAnsi="Arial" w:cs="Arial"/>
          <w:spacing w:val="4"/>
          <w:sz w:val="20"/>
          <w:szCs w:val="20"/>
          <w:shd w:val="clear" w:color="auto" w:fill="FFFFFF"/>
        </w:rPr>
        <w:t>The ethical considerations adopted in the study were as follows;</w:t>
      </w:r>
      <w:r w:rsidR="005F79A3">
        <w:rPr>
          <w:rFonts w:ascii="Arial" w:hAnsi="Arial" w:cs="Arial"/>
          <w:spacing w:val="4"/>
          <w:sz w:val="20"/>
          <w:szCs w:val="20"/>
          <w:shd w:val="clear" w:color="auto" w:fill="FFFFFF"/>
        </w:rPr>
        <w:t xml:space="preserve"> data confidentiality, data was secured properl</w:t>
      </w:r>
      <w:r w:rsidR="003F33C5">
        <w:rPr>
          <w:rFonts w:ascii="Arial" w:hAnsi="Arial" w:cs="Arial"/>
          <w:spacing w:val="4"/>
          <w:sz w:val="20"/>
          <w:szCs w:val="20"/>
          <w:shd w:val="clear" w:color="auto" w:fill="FFFFFF"/>
        </w:rPr>
        <w:t xml:space="preserve">y, </w:t>
      </w:r>
      <w:r w:rsidR="005F79A3">
        <w:rPr>
          <w:rFonts w:ascii="Arial" w:hAnsi="Arial" w:cs="Arial"/>
          <w:spacing w:val="4"/>
          <w:sz w:val="20"/>
          <w:szCs w:val="20"/>
          <w:shd w:val="clear" w:color="auto" w:fill="FFFFFF"/>
        </w:rPr>
        <w:t>obtained</w:t>
      </w:r>
      <w:r w:rsidR="003F33C5">
        <w:rPr>
          <w:rFonts w:ascii="Arial" w:hAnsi="Arial" w:cs="Arial"/>
          <w:spacing w:val="4"/>
          <w:sz w:val="20"/>
          <w:szCs w:val="20"/>
          <w:shd w:val="clear" w:color="auto" w:fill="FFFFFF"/>
        </w:rPr>
        <w:t xml:space="preserve"> necessary permissions and responsible reporting which included limitations reporting.</w:t>
      </w:r>
    </w:p>
    <w:bookmarkEnd w:id="152"/>
    <w:p w14:paraId="1C6865B8" w14:textId="77777777" w:rsidR="0080004B" w:rsidRDefault="0080004B" w:rsidP="0096510E">
      <w:pPr>
        <w:spacing w:after="0" w:line="240" w:lineRule="auto"/>
        <w:jc w:val="both"/>
        <w:rPr>
          <w:rFonts w:ascii="Times New Roman" w:hAnsi="Times New Roman" w:cs="Times New Roman"/>
          <w:b/>
          <w:sz w:val="24"/>
          <w:szCs w:val="24"/>
        </w:rPr>
      </w:pPr>
    </w:p>
    <w:p w14:paraId="6C1307CD" w14:textId="3ECD64DD" w:rsidR="0080004B" w:rsidRPr="0047447E" w:rsidRDefault="0047447E" w:rsidP="00AF6B28">
      <w:pPr>
        <w:spacing w:after="0" w:line="240" w:lineRule="auto"/>
        <w:jc w:val="both"/>
        <w:rPr>
          <w:rFonts w:ascii="Arial" w:hAnsi="Arial" w:cs="Arial"/>
          <w:b/>
        </w:rPr>
      </w:pPr>
      <w:r w:rsidRPr="0047447E">
        <w:rPr>
          <w:rFonts w:ascii="Arial" w:hAnsi="Arial" w:cs="Arial"/>
          <w:b/>
        </w:rPr>
        <w:t xml:space="preserve">3. </w:t>
      </w:r>
      <w:r w:rsidR="00F316A0" w:rsidRPr="0047447E">
        <w:rPr>
          <w:rFonts w:ascii="Arial" w:hAnsi="Arial" w:cs="Arial"/>
          <w:b/>
        </w:rPr>
        <w:t>Results &amp; Discussions</w:t>
      </w:r>
    </w:p>
    <w:p w14:paraId="311F3A03" w14:textId="59565432" w:rsidR="00F316A0" w:rsidRPr="0047447E" w:rsidRDefault="0047447E" w:rsidP="00AF6B28">
      <w:pPr>
        <w:pStyle w:val="Heading1"/>
        <w:spacing w:line="240" w:lineRule="auto"/>
        <w:rPr>
          <w:rFonts w:ascii="Arial" w:hAnsi="Arial" w:cs="Arial"/>
          <w:b/>
          <w:bCs/>
          <w:color w:val="auto"/>
          <w:sz w:val="22"/>
          <w:szCs w:val="22"/>
        </w:rPr>
      </w:pPr>
      <w:bookmarkStart w:id="153" w:name="_Toc147256112"/>
      <w:bookmarkStart w:id="154" w:name="_Toc147395113"/>
      <w:bookmarkStart w:id="155" w:name="_Toc149561537"/>
      <w:bookmarkStart w:id="156" w:name="_Toc192496807"/>
      <w:r w:rsidRPr="0047447E">
        <w:rPr>
          <w:rFonts w:ascii="Arial" w:hAnsi="Arial" w:cs="Arial"/>
          <w:b/>
          <w:color w:val="auto"/>
          <w:sz w:val="22"/>
          <w:szCs w:val="22"/>
        </w:rPr>
        <w:t>3</w:t>
      </w:r>
      <w:r w:rsidR="00F316A0" w:rsidRPr="0047447E">
        <w:rPr>
          <w:rFonts w:ascii="Arial" w:hAnsi="Arial" w:cs="Arial"/>
          <w:b/>
          <w:color w:val="auto"/>
          <w:sz w:val="22"/>
          <w:szCs w:val="22"/>
        </w:rPr>
        <w:t>.1 Descriptive</w:t>
      </w:r>
      <w:r w:rsidR="00F316A0" w:rsidRPr="0047447E">
        <w:rPr>
          <w:rFonts w:ascii="Arial" w:hAnsi="Arial" w:cs="Arial"/>
          <w:b/>
          <w:bCs/>
          <w:color w:val="auto"/>
          <w:sz w:val="22"/>
          <w:szCs w:val="22"/>
        </w:rPr>
        <w:t xml:space="preserve"> Statistics</w:t>
      </w:r>
      <w:bookmarkEnd w:id="153"/>
      <w:bookmarkEnd w:id="154"/>
      <w:bookmarkEnd w:id="155"/>
      <w:bookmarkEnd w:id="156"/>
    </w:p>
    <w:p w14:paraId="1601465B" w14:textId="620AEF2C" w:rsidR="00F316A0" w:rsidRDefault="00F316A0" w:rsidP="00F316A0">
      <w:pPr>
        <w:spacing w:before="240" w:line="240" w:lineRule="auto"/>
        <w:jc w:val="both"/>
        <w:rPr>
          <w:rFonts w:ascii="Arial" w:hAnsi="Arial" w:cs="Arial"/>
          <w:sz w:val="20"/>
          <w:szCs w:val="20"/>
        </w:rPr>
      </w:pPr>
      <w:r w:rsidRPr="0047447E">
        <w:rPr>
          <w:rFonts w:ascii="Arial" w:hAnsi="Arial" w:cs="Arial"/>
          <w:sz w:val="20"/>
          <w:szCs w:val="20"/>
        </w:rPr>
        <w:t xml:space="preserve">The descriptive statistics run to understand the distribution of the variables used in this study were mean, standard deviation, minimum and maximum. The variable that had been adopted in this study was investing in fixed deposits, fund size and performance (Return on Investment). The results were presented </w:t>
      </w:r>
      <w:r w:rsidR="000725BF" w:rsidRPr="0047447E">
        <w:rPr>
          <w:rFonts w:ascii="Arial" w:hAnsi="Arial" w:cs="Arial"/>
          <w:sz w:val="20"/>
          <w:szCs w:val="20"/>
        </w:rPr>
        <w:t xml:space="preserve">in Table </w:t>
      </w:r>
      <w:r w:rsidRPr="0047447E">
        <w:rPr>
          <w:rFonts w:ascii="Arial" w:hAnsi="Arial" w:cs="Arial"/>
          <w:sz w:val="20"/>
          <w:szCs w:val="20"/>
        </w:rPr>
        <w:t>1.</w:t>
      </w:r>
    </w:p>
    <w:p w14:paraId="49F4CC8D" w14:textId="77777777" w:rsidR="00F316A0" w:rsidRPr="0047447E" w:rsidRDefault="000725BF" w:rsidP="00F316A0">
      <w:pPr>
        <w:spacing w:after="200" w:line="240" w:lineRule="auto"/>
        <w:rPr>
          <w:rFonts w:ascii="Arial" w:hAnsi="Arial" w:cs="Arial"/>
          <w:b/>
          <w:iCs/>
          <w:sz w:val="20"/>
          <w:szCs w:val="20"/>
        </w:rPr>
      </w:pPr>
      <w:bookmarkStart w:id="157" w:name="_Toc147256075"/>
      <w:bookmarkStart w:id="158" w:name="_Toc190372113"/>
      <w:r w:rsidRPr="0047447E">
        <w:rPr>
          <w:rFonts w:ascii="Arial" w:hAnsi="Arial" w:cs="Arial"/>
          <w:b/>
          <w:iCs/>
          <w:sz w:val="20"/>
          <w:szCs w:val="20"/>
        </w:rPr>
        <w:t xml:space="preserve">Table </w:t>
      </w:r>
      <w:r w:rsidR="00F316A0" w:rsidRPr="0047447E">
        <w:rPr>
          <w:rFonts w:ascii="Arial" w:hAnsi="Arial" w:cs="Arial"/>
          <w:b/>
          <w:iCs/>
          <w:sz w:val="20"/>
          <w:szCs w:val="20"/>
        </w:rPr>
        <w:fldChar w:fldCharType="begin"/>
      </w:r>
      <w:r w:rsidR="00F316A0" w:rsidRPr="0047447E">
        <w:rPr>
          <w:rFonts w:ascii="Arial" w:hAnsi="Arial" w:cs="Arial"/>
          <w:b/>
          <w:iCs/>
          <w:sz w:val="20"/>
          <w:szCs w:val="20"/>
        </w:rPr>
        <w:instrText xml:space="preserve"> SEQ Table \* ARABIC </w:instrText>
      </w:r>
      <w:r w:rsidR="00F316A0" w:rsidRPr="0047447E">
        <w:rPr>
          <w:rFonts w:ascii="Arial" w:hAnsi="Arial" w:cs="Arial"/>
          <w:b/>
          <w:iCs/>
          <w:sz w:val="20"/>
          <w:szCs w:val="20"/>
        </w:rPr>
        <w:fldChar w:fldCharType="separate"/>
      </w:r>
      <w:r w:rsidR="00F316A0" w:rsidRPr="0047447E">
        <w:rPr>
          <w:rFonts w:ascii="Arial" w:hAnsi="Arial" w:cs="Arial"/>
          <w:b/>
          <w:iCs/>
          <w:noProof/>
          <w:sz w:val="20"/>
          <w:szCs w:val="20"/>
        </w:rPr>
        <w:t>1</w:t>
      </w:r>
      <w:r w:rsidR="00F316A0" w:rsidRPr="0047447E">
        <w:rPr>
          <w:rFonts w:ascii="Arial" w:hAnsi="Arial" w:cs="Arial"/>
          <w:b/>
          <w:iCs/>
          <w:sz w:val="20"/>
          <w:szCs w:val="20"/>
        </w:rPr>
        <w:fldChar w:fldCharType="end"/>
      </w:r>
      <w:r w:rsidR="00F316A0" w:rsidRPr="0047447E">
        <w:rPr>
          <w:rFonts w:ascii="Arial" w:hAnsi="Arial" w:cs="Arial"/>
          <w:b/>
          <w:iCs/>
          <w:sz w:val="20"/>
          <w:szCs w:val="20"/>
        </w:rPr>
        <w:t>: Descriptive Statistics</w:t>
      </w:r>
      <w:bookmarkEnd w:id="157"/>
      <w:r w:rsidR="00F316A0" w:rsidRPr="0047447E">
        <w:rPr>
          <w:rFonts w:ascii="Arial" w:hAnsi="Arial" w:cs="Arial"/>
          <w:b/>
          <w:iCs/>
          <w:sz w:val="20"/>
          <w:szCs w:val="20"/>
        </w:rPr>
        <w:t xml:space="preserve"> Results</w:t>
      </w:r>
      <w:bookmarkEnd w:id="158"/>
    </w:p>
    <w:tbl>
      <w:tblPr>
        <w:tblW w:w="5000" w:type="pct"/>
        <w:jc w:val="center"/>
        <w:tblBorders>
          <w:top w:val="single" w:sz="4" w:space="0" w:color="auto"/>
          <w:bottom w:val="single" w:sz="4" w:space="0" w:color="auto"/>
        </w:tblBorders>
        <w:tblLook w:val="04A0" w:firstRow="1" w:lastRow="0" w:firstColumn="1" w:lastColumn="0" w:noHBand="0" w:noVBand="1"/>
      </w:tblPr>
      <w:tblGrid>
        <w:gridCol w:w="3807"/>
        <w:gridCol w:w="815"/>
        <w:gridCol w:w="1090"/>
        <w:gridCol w:w="1179"/>
        <w:gridCol w:w="1179"/>
        <w:gridCol w:w="1290"/>
      </w:tblGrid>
      <w:tr w:rsidR="00F316A0" w:rsidRPr="0047447E" w14:paraId="4728D6DA" w14:textId="77777777" w:rsidTr="0047447E">
        <w:trPr>
          <w:jc w:val="center"/>
        </w:trPr>
        <w:tc>
          <w:tcPr>
            <w:tcW w:w="2033" w:type="pct"/>
            <w:tcBorders>
              <w:top w:val="single" w:sz="4" w:space="0" w:color="auto"/>
              <w:bottom w:val="single" w:sz="4" w:space="0" w:color="auto"/>
            </w:tcBorders>
          </w:tcPr>
          <w:p w14:paraId="4F581F9A" w14:textId="77777777" w:rsidR="00F316A0" w:rsidRPr="0047447E" w:rsidRDefault="00F316A0" w:rsidP="00F316A0">
            <w:pPr>
              <w:tabs>
                <w:tab w:val="center" w:pos="1674"/>
              </w:tabs>
              <w:spacing w:after="0" w:line="240" w:lineRule="auto"/>
              <w:rPr>
                <w:rFonts w:ascii="Arial" w:hAnsi="Arial" w:cs="Arial"/>
                <w:b/>
                <w:sz w:val="20"/>
                <w:szCs w:val="20"/>
              </w:rPr>
            </w:pPr>
            <w:r w:rsidRPr="0047447E">
              <w:rPr>
                <w:rFonts w:ascii="Arial" w:hAnsi="Arial" w:cs="Arial"/>
                <w:b/>
                <w:sz w:val="20"/>
                <w:szCs w:val="20"/>
              </w:rPr>
              <w:t>Variables</w:t>
            </w:r>
            <w:r w:rsidRPr="0047447E">
              <w:rPr>
                <w:rFonts w:ascii="Arial" w:hAnsi="Arial" w:cs="Arial"/>
                <w:b/>
                <w:sz w:val="20"/>
                <w:szCs w:val="20"/>
              </w:rPr>
              <w:tab/>
            </w:r>
          </w:p>
        </w:tc>
        <w:tc>
          <w:tcPr>
            <w:tcW w:w="435" w:type="pct"/>
            <w:tcBorders>
              <w:top w:val="single" w:sz="4" w:space="0" w:color="auto"/>
              <w:bottom w:val="single" w:sz="4" w:space="0" w:color="auto"/>
            </w:tcBorders>
          </w:tcPr>
          <w:p w14:paraId="02C143BF"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Obs.</w:t>
            </w:r>
          </w:p>
        </w:tc>
        <w:tc>
          <w:tcPr>
            <w:tcW w:w="582" w:type="pct"/>
            <w:tcBorders>
              <w:top w:val="single" w:sz="4" w:space="0" w:color="auto"/>
              <w:bottom w:val="single" w:sz="4" w:space="0" w:color="auto"/>
            </w:tcBorders>
          </w:tcPr>
          <w:p w14:paraId="4B509FF9"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Mean</w:t>
            </w:r>
          </w:p>
        </w:tc>
        <w:tc>
          <w:tcPr>
            <w:tcW w:w="630" w:type="pct"/>
            <w:tcBorders>
              <w:top w:val="single" w:sz="4" w:space="0" w:color="auto"/>
              <w:bottom w:val="single" w:sz="4" w:space="0" w:color="auto"/>
            </w:tcBorders>
          </w:tcPr>
          <w:p w14:paraId="6F15E607"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Std Dev</w:t>
            </w:r>
          </w:p>
        </w:tc>
        <w:tc>
          <w:tcPr>
            <w:tcW w:w="630" w:type="pct"/>
            <w:tcBorders>
              <w:top w:val="single" w:sz="4" w:space="0" w:color="auto"/>
              <w:bottom w:val="single" w:sz="4" w:space="0" w:color="auto"/>
            </w:tcBorders>
          </w:tcPr>
          <w:p w14:paraId="362691D4"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Min</w:t>
            </w:r>
          </w:p>
        </w:tc>
        <w:tc>
          <w:tcPr>
            <w:tcW w:w="689" w:type="pct"/>
            <w:tcBorders>
              <w:top w:val="single" w:sz="4" w:space="0" w:color="auto"/>
              <w:bottom w:val="single" w:sz="4" w:space="0" w:color="auto"/>
            </w:tcBorders>
          </w:tcPr>
          <w:p w14:paraId="00B55274"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Max</w:t>
            </w:r>
          </w:p>
        </w:tc>
      </w:tr>
      <w:tr w:rsidR="00F316A0" w:rsidRPr="0047447E" w14:paraId="61403C0C" w14:textId="77777777" w:rsidTr="0047447E">
        <w:trPr>
          <w:jc w:val="center"/>
        </w:trPr>
        <w:tc>
          <w:tcPr>
            <w:tcW w:w="2033" w:type="pct"/>
          </w:tcPr>
          <w:p w14:paraId="04C73135" w14:textId="77777777" w:rsidR="00F316A0" w:rsidRPr="0047447E" w:rsidRDefault="00F316A0" w:rsidP="00F316A0">
            <w:pPr>
              <w:spacing w:after="0" w:line="240" w:lineRule="auto"/>
              <w:jc w:val="both"/>
              <w:rPr>
                <w:rFonts w:ascii="Arial" w:hAnsi="Arial" w:cs="Arial"/>
                <w:sz w:val="20"/>
                <w:szCs w:val="20"/>
              </w:rPr>
            </w:pPr>
            <w:r w:rsidRPr="0047447E">
              <w:rPr>
                <w:rFonts w:ascii="Arial" w:eastAsia="Times New Roman" w:hAnsi="Arial" w:cs="Arial"/>
                <w:bCs/>
                <w:color w:val="000000"/>
                <w:sz w:val="20"/>
                <w:szCs w:val="20"/>
              </w:rPr>
              <w:t>Fixed deposits</w:t>
            </w:r>
          </w:p>
        </w:tc>
        <w:tc>
          <w:tcPr>
            <w:tcW w:w="435" w:type="pct"/>
          </w:tcPr>
          <w:p w14:paraId="68B76C2F"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5FBE2E2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1.03</w:t>
            </w:r>
          </w:p>
        </w:tc>
        <w:tc>
          <w:tcPr>
            <w:tcW w:w="630" w:type="pct"/>
          </w:tcPr>
          <w:p w14:paraId="1DFE4BCB"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0.11</w:t>
            </w:r>
          </w:p>
        </w:tc>
        <w:tc>
          <w:tcPr>
            <w:tcW w:w="630" w:type="pct"/>
          </w:tcPr>
          <w:p w14:paraId="3FAE5D4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0.49</w:t>
            </w:r>
          </w:p>
        </w:tc>
        <w:tc>
          <w:tcPr>
            <w:tcW w:w="689" w:type="pct"/>
          </w:tcPr>
          <w:p w14:paraId="1F3C241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1.36</w:t>
            </w:r>
          </w:p>
        </w:tc>
      </w:tr>
      <w:tr w:rsidR="00F316A0" w:rsidRPr="0047447E" w14:paraId="717F7B10" w14:textId="77777777" w:rsidTr="0047447E">
        <w:trPr>
          <w:jc w:val="center"/>
        </w:trPr>
        <w:tc>
          <w:tcPr>
            <w:tcW w:w="2033" w:type="pct"/>
          </w:tcPr>
          <w:p w14:paraId="784C8813" w14:textId="77777777" w:rsidR="00F316A0" w:rsidRPr="0047447E" w:rsidRDefault="00F316A0" w:rsidP="00F316A0">
            <w:pPr>
              <w:spacing w:after="0" w:line="240" w:lineRule="auto"/>
              <w:jc w:val="both"/>
              <w:rPr>
                <w:rFonts w:ascii="Arial" w:hAnsi="Arial" w:cs="Arial"/>
                <w:sz w:val="20"/>
                <w:szCs w:val="20"/>
              </w:rPr>
            </w:pPr>
            <w:bookmarkStart w:id="159" w:name="_Hlk220148474"/>
            <w:r w:rsidRPr="0047447E">
              <w:rPr>
                <w:rFonts w:ascii="Arial" w:eastAsia="Times New Roman" w:hAnsi="Arial" w:cs="Arial"/>
                <w:bCs/>
                <w:color w:val="000000"/>
                <w:sz w:val="20"/>
                <w:szCs w:val="20"/>
              </w:rPr>
              <w:t>Fund size</w:t>
            </w:r>
          </w:p>
        </w:tc>
        <w:tc>
          <w:tcPr>
            <w:tcW w:w="435" w:type="pct"/>
          </w:tcPr>
          <w:p w14:paraId="2B0D3A7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3587A624"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2.48</w:t>
            </w:r>
          </w:p>
        </w:tc>
        <w:tc>
          <w:tcPr>
            <w:tcW w:w="630" w:type="pct"/>
          </w:tcPr>
          <w:p w14:paraId="2FFD898C"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0.83</w:t>
            </w:r>
          </w:p>
        </w:tc>
        <w:tc>
          <w:tcPr>
            <w:tcW w:w="630" w:type="pct"/>
          </w:tcPr>
          <w:p w14:paraId="2C928AD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1.10</w:t>
            </w:r>
          </w:p>
        </w:tc>
        <w:tc>
          <w:tcPr>
            <w:tcW w:w="689" w:type="pct"/>
          </w:tcPr>
          <w:p w14:paraId="0CE6134F"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4.30</w:t>
            </w:r>
          </w:p>
        </w:tc>
      </w:tr>
      <w:bookmarkEnd w:id="159"/>
      <w:tr w:rsidR="00F316A0" w:rsidRPr="0047447E" w14:paraId="0DB308C3" w14:textId="77777777" w:rsidTr="0047447E">
        <w:trPr>
          <w:jc w:val="center"/>
        </w:trPr>
        <w:tc>
          <w:tcPr>
            <w:tcW w:w="2033" w:type="pct"/>
          </w:tcPr>
          <w:p w14:paraId="42A10BF3" w14:textId="77777777" w:rsidR="00F316A0" w:rsidRPr="0047447E" w:rsidRDefault="00F316A0" w:rsidP="00F316A0">
            <w:pPr>
              <w:spacing w:after="0" w:line="240" w:lineRule="auto"/>
              <w:jc w:val="both"/>
              <w:rPr>
                <w:rFonts w:ascii="Arial" w:hAnsi="Arial" w:cs="Arial"/>
                <w:sz w:val="20"/>
                <w:szCs w:val="20"/>
              </w:rPr>
            </w:pPr>
            <w:r w:rsidRPr="0047447E">
              <w:rPr>
                <w:rFonts w:ascii="Arial" w:eastAsia="Times New Roman" w:hAnsi="Arial" w:cs="Arial"/>
                <w:bCs/>
                <w:color w:val="000000"/>
                <w:sz w:val="20"/>
                <w:szCs w:val="20"/>
              </w:rPr>
              <w:t>Performance (Return on Investment)</w:t>
            </w:r>
          </w:p>
        </w:tc>
        <w:tc>
          <w:tcPr>
            <w:tcW w:w="435" w:type="pct"/>
          </w:tcPr>
          <w:p w14:paraId="37543BE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358BB3F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3.85</w:t>
            </w:r>
          </w:p>
        </w:tc>
        <w:tc>
          <w:tcPr>
            <w:tcW w:w="630" w:type="pct"/>
          </w:tcPr>
          <w:p w14:paraId="4B84AFE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1.30</w:t>
            </w:r>
          </w:p>
        </w:tc>
        <w:tc>
          <w:tcPr>
            <w:tcW w:w="630" w:type="pct"/>
          </w:tcPr>
          <w:p w14:paraId="3C5DE7B9"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-3.56</w:t>
            </w:r>
          </w:p>
        </w:tc>
        <w:tc>
          <w:tcPr>
            <w:tcW w:w="689" w:type="pct"/>
          </w:tcPr>
          <w:p w14:paraId="798F68C3"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1.09</w:t>
            </w:r>
          </w:p>
        </w:tc>
      </w:tr>
    </w:tbl>
    <w:p w14:paraId="2863E780" w14:textId="77777777" w:rsidR="00F316A0" w:rsidRPr="0047447E" w:rsidRDefault="000725BF" w:rsidP="00F316A0">
      <w:pPr>
        <w:spacing w:before="240" w:line="240" w:lineRule="auto"/>
        <w:jc w:val="both"/>
        <w:rPr>
          <w:rFonts w:ascii="Arial" w:hAnsi="Arial" w:cs="Arial"/>
          <w:sz w:val="20"/>
          <w:szCs w:val="20"/>
        </w:rPr>
      </w:pPr>
      <w:r w:rsidRPr="0047447E">
        <w:rPr>
          <w:rFonts w:ascii="Arial" w:hAnsi="Arial" w:cs="Arial"/>
          <w:sz w:val="20"/>
          <w:szCs w:val="20"/>
        </w:rPr>
        <w:t xml:space="preserve">In Table </w:t>
      </w:r>
      <w:r w:rsidR="00F316A0" w:rsidRPr="0047447E">
        <w:rPr>
          <w:rFonts w:ascii="Arial" w:hAnsi="Arial" w:cs="Arial"/>
          <w:sz w:val="20"/>
          <w:szCs w:val="20"/>
        </w:rPr>
        <w:t>1, the results revealed that i</w:t>
      </w:r>
      <w:r w:rsidR="00F316A0" w:rsidRPr="0047447E">
        <w:rPr>
          <w:rFonts w:ascii="Arial" w:eastAsia="Times New Roman" w:hAnsi="Arial" w:cs="Arial"/>
          <w:bCs/>
          <w:color w:val="000000"/>
          <w:sz w:val="20"/>
          <w:szCs w:val="20"/>
        </w:rPr>
        <w:t>nvesting in fixed deposits</w:t>
      </w:r>
      <w:r w:rsidR="00F316A0" w:rsidRPr="0047447E">
        <w:rPr>
          <w:rFonts w:ascii="Arial" w:hAnsi="Arial" w:cs="Arial"/>
          <w:sz w:val="20"/>
          <w:szCs w:val="20"/>
        </w:rPr>
        <w:t xml:space="preserve"> had a mean of 1.03 with a standard deviation of 0.11. This implies that the average investment in fixed deposits by UTFs was kshs. 1.03 billion, however, the variation in the amount of funds invested in fixed deposits among UTFs was to a magnitude of 0.11. Investing in fixed deposits also recorded a minimum of</w:t>
      </w:r>
      <w:bookmarkStart w:id="160" w:name="_Hlk148718902"/>
      <w:r w:rsidR="00F316A0" w:rsidRPr="0047447E">
        <w:rPr>
          <w:rFonts w:ascii="Arial" w:hAnsi="Arial" w:cs="Arial"/>
          <w:sz w:val="20"/>
          <w:szCs w:val="20"/>
        </w:rPr>
        <w:t xml:space="preserve"> kshs. 0.49 billion with the maximum of kshs. 1.36 billion. This implies that the minimum amount of funds invested by UTFs in fixed deposits was kshs. 0.49 billion with the maximum being khs.1.36 billion. </w:t>
      </w:r>
      <w:r w:rsidR="00F316A0" w:rsidRPr="0047447E">
        <w:rPr>
          <w:rFonts w:ascii="Arial" w:eastAsia="Times New Roman" w:hAnsi="Arial" w:cs="Arial"/>
          <w:bCs/>
          <w:color w:val="000000"/>
          <w:sz w:val="20"/>
          <w:szCs w:val="20"/>
        </w:rPr>
        <w:t>The study was in-tandem with that of Afriyie et al. (2021) that UTFs invest in fixed deposits; however, the amount invested in fixed deposits varies across all UTFs.</w:t>
      </w:r>
      <w:bookmarkStart w:id="161" w:name="_Hlk148719049"/>
      <w:bookmarkEnd w:id="160"/>
      <w:r w:rsidR="00F316A0" w:rsidRPr="0047447E">
        <w:rPr>
          <w:rFonts w:ascii="Arial" w:hAnsi="Arial" w:cs="Arial"/>
          <w:sz w:val="20"/>
          <w:szCs w:val="20"/>
        </w:rPr>
        <w:t xml:space="preserve"> </w:t>
      </w:r>
      <w:bookmarkEnd w:id="161"/>
      <w:r w:rsidR="00F316A0" w:rsidRPr="0047447E">
        <w:rPr>
          <w:rFonts w:ascii="Arial" w:hAnsi="Arial" w:cs="Arial"/>
          <w:sz w:val="20"/>
          <w:szCs w:val="20"/>
        </w:rPr>
        <w:t xml:space="preserve">Additionally, the study also run descriptive statistics for the moderating variable </w:t>
      </w:r>
      <w:bookmarkStart w:id="162" w:name="_Hlk148719148"/>
      <w:r w:rsidR="00F316A0" w:rsidRPr="0047447E">
        <w:rPr>
          <w:rFonts w:ascii="Arial" w:hAnsi="Arial" w:cs="Arial"/>
          <w:sz w:val="20"/>
          <w:szCs w:val="20"/>
        </w:rPr>
        <w:t xml:space="preserve">fund size. </w:t>
      </w:r>
      <w:bookmarkStart w:id="163" w:name="_Hlk220148608"/>
      <w:r w:rsidR="00F316A0" w:rsidRPr="0047447E">
        <w:rPr>
          <w:rFonts w:ascii="Arial" w:hAnsi="Arial" w:cs="Arial"/>
          <w:sz w:val="20"/>
          <w:szCs w:val="20"/>
        </w:rPr>
        <w:t xml:space="preserve">The results revealed that fund size had a mean of 2.48 and a standard deviation of 0.83. </w:t>
      </w:r>
      <w:bookmarkEnd w:id="162"/>
      <w:r w:rsidR="00F316A0" w:rsidRPr="0047447E">
        <w:rPr>
          <w:rFonts w:ascii="Arial" w:hAnsi="Arial" w:cs="Arial"/>
          <w:sz w:val="20"/>
          <w:szCs w:val="20"/>
        </w:rPr>
        <w:t xml:space="preserve">This meant that average total assets of UTFs during the study period was kshs. 2.48 billion, however, there was a variation in fund size across UTFs to a magnitude of 1.10. The maximum value of total assets for UTFs during the study period was kshs. 4.3 billion while the minimum value of total assets was 1.1 billion. This implies that the fund size of UTFs keeps on varying from a UTF to another. The study by Gunu and Adamade (2020) also established that fund size of UTFs varies from one UTF to another.  </w:t>
      </w:r>
    </w:p>
    <w:bookmarkEnd w:id="163"/>
    <w:p w14:paraId="1BB4D7FE" w14:textId="014F0BC0" w:rsidR="00F316A0" w:rsidRDefault="00F316A0" w:rsidP="00F316A0">
      <w:pPr>
        <w:spacing w:before="240" w:line="240" w:lineRule="auto"/>
        <w:jc w:val="both"/>
        <w:rPr>
          <w:rFonts w:ascii="Arial" w:hAnsi="Arial" w:cs="Arial"/>
          <w:sz w:val="20"/>
          <w:szCs w:val="20"/>
        </w:rPr>
      </w:pPr>
      <w:r w:rsidRPr="0047447E">
        <w:rPr>
          <w:rFonts w:ascii="Arial" w:hAnsi="Arial" w:cs="Arial"/>
          <w:sz w:val="20"/>
          <w:szCs w:val="20"/>
        </w:rPr>
        <w:t xml:space="preserve">The study also sought to check on the descriptive results for the dependent variable, </w:t>
      </w:r>
      <w:bookmarkStart w:id="164" w:name="_Hlk148719393"/>
      <w:r w:rsidRPr="0047447E">
        <w:rPr>
          <w:rFonts w:ascii="Arial" w:hAnsi="Arial" w:cs="Arial"/>
          <w:sz w:val="20"/>
          <w:szCs w:val="20"/>
        </w:rPr>
        <w:t xml:space="preserve">performance of unit trust funds. </w:t>
      </w:r>
      <w:bookmarkEnd w:id="164"/>
      <w:r w:rsidRPr="0047447E">
        <w:rPr>
          <w:rFonts w:ascii="Arial" w:hAnsi="Arial" w:cs="Arial"/>
          <w:sz w:val="20"/>
          <w:szCs w:val="20"/>
        </w:rPr>
        <w:t xml:space="preserve">The study results revealed a mean of 3.85 and a standard deviation of 1.30. This implies that the average performance of UTFs during the study period was kshs. 3.85 million, however, there was a variation in performance recorded during the study period across UTFs in Kenya to a magnitude of 1.30. The study results further revealed that the minimum performance among UTFs was a loss of -3.56 million shillings while the maximum was kshs. 1.09 billion. This implies that unit trust funds recorded negative investment returns of kshs. 3.56 million during the study period, however, the maximum investment returns during the study period was kshs. 1.09 billion. The study agrees with that of Obong’o et al. (2020) that investment returns </w:t>
      </w:r>
      <w:r w:rsidR="00C138F5" w:rsidRPr="0047447E">
        <w:rPr>
          <w:rFonts w:ascii="Arial" w:hAnsi="Arial" w:cs="Arial"/>
          <w:sz w:val="20"/>
          <w:szCs w:val="20"/>
        </w:rPr>
        <w:t>vary</w:t>
      </w:r>
      <w:r w:rsidRPr="0047447E">
        <w:rPr>
          <w:rFonts w:ascii="Arial" w:hAnsi="Arial" w:cs="Arial"/>
          <w:sz w:val="20"/>
          <w:szCs w:val="20"/>
        </w:rPr>
        <w:t xml:space="preserve"> across UTFs. In a nutshell, the study showed varied results in terms of the variables that were studied. The lower standard deviations of the study as compared to means showed that during the study period, there wasn’t so much variability in the investment vehicles in the various unit trusts funds. By the minimum and maximum ranges however, there was a great variability as can be sighted in all the variables. It can thus be concluded that the investing in government securities had the widest variation among investors, while fixed deposits and cash &amp; demand deposits have relatively consistent allocation levels.</w:t>
      </w:r>
      <w:bookmarkStart w:id="165" w:name="_Toc147256113"/>
      <w:bookmarkStart w:id="166" w:name="_Toc147395114"/>
      <w:bookmarkStart w:id="167" w:name="_Toc149561538"/>
    </w:p>
    <w:p w14:paraId="50826C3D" w14:textId="7A0FD926" w:rsidR="00D32B8C" w:rsidRDefault="00D32B8C" w:rsidP="00F316A0">
      <w:pPr>
        <w:spacing w:before="240" w:line="240" w:lineRule="auto"/>
        <w:jc w:val="both"/>
        <w:rPr>
          <w:rFonts w:ascii="Arial" w:hAnsi="Arial" w:cs="Arial"/>
          <w:sz w:val="20"/>
          <w:szCs w:val="20"/>
        </w:rPr>
      </w:pPr>
    </w:p>
    <w:p w14:paraId="4D0A88E1" w14:textId="77777777" w:rsidR="00D32B8C" w:rsidRPr="0047447E" w:rsidRDefault="00D32B8C" w:rsidP="00F316A0">
      <w:pPr>
        <w:spacing w:before="240" w:line="240" w:lineRule="auto"/>
        <w:jc w:val="both"/>
        <w:rPr>
          <w:rFonts w:ascii="Arial" w:hAnsi="Arial" w:cs="Arial"/>
          <w:sz w:val="20"/>
          <w:szCs w:val="20"/>
        </w:rPr>
      </w:pPr>
    </w:p>
    <w:bookmarkEnd w:id="165"/>
    <w:bookmarkEnd w:id="166"/>
    <w:bookmarkEnd w:id="167"/>
    <w:p w14:paraId="03CEF17C" w14:textId="77777777" w:rsidR="0080004B" w:rsidRDefault="0080004B" w:rsidP="0096510E">
      <w:pPr>
        <w:spacing w:after="0" w:line="240" w:lineRule="auto"/>
        <w:jc w:val="both"/>
        <w:rPr>
          <w:rFonts w:ascii="Times New Roman" w:hAnsi="Times New Roman" w:cs="Times New Roman"/>
          <w:b/>
          <w:sz w:val="24"/>
          <w:szCs w:val="24"/>
        </w:rPr>
      </w:pPr>
    </w:p>
    <w:p w14:paraId="3512DD17" w14:textId="136F1DEC" w:rsidR="0096510E" w:rsidRPr="0047447E" w:rsidRDefault="0047447E" w:rsidP="0096510E">
      <w:pPr>
        <w:spacing w:after="0" w:line="240" w:lineRule="auto"/>
        <w:jc w:val="both"/>
        <w:rPr>
          <w:rFonts w:ascii="Arial" w:hAnsi="Arial" w:cs="Arial"/>
          <w:b/>
        </w:rPr>
      </w:pPr>
      <w:r w:rsidRPr="0047447E">
        <w:rPr>
          <w:rFonts w:ascii="Arial" w:hAnsi="Arial" w:cs="Arial"/>
          <w:b/>
        </w:rPr>
        <w:t>3</w:t>
      </w:r>
      <w:r w:rsidR="0096510E" w:rsidRPr="0047447E">
        <w:rPr>
          <w:rFonts w:ascii="Arial" w:hAnsi="Arial" w:cs="Arial"/>
          <w:b/>
        </w:rPr>
        <w:t>.2 Trend Analysis</w:t>
      </w:r>
    </w:p>
    <w:p w14:paraId="2FB89A4A" w14:textId="77777777" w:rsidR="0096510E" w:rsidRDefault="0096510E" w:rsidP="0096510E">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803E80A" w14:textId="77777777" w:rsidR="0096510E" w:rsidRPr="0047447E" w:rsidRDefault="0096510E" w:rsidP="0080004B">
      <w:pPr>
        <w:spacing w:line="240" w:lineRule="auto"/>
        <w:jc w:val="both"/>
        <w:rPr>
          <w:rFonts w:ascii="Arial" w:hAnsi="Arial" w:cs="Arial"/>
          <w:sz w:val="20"/>
          <w:szCs w:val="20"/>
        </w:rPr>
      </w:pPr>
      <w:r w:rsidRPr="0047447E">
        <w:rPr>
          <w:rFonts w:ascii="Arial" w:hAnsi="Arial" w:cs="Arial"/>
          <w:sz w:val="20"/>
          <w:szCs w:val="20"/>
        </w:rPr>
        <w:t xml:space="preserve">Trend analysis was conducted in this study and results presented to show patterns and trends among the study variables. The study sought to determine the trend on investment in </w:t>
      </w:r>
      <w:r w:rsidR="0080004B" w:rsidRPr="0047447E">
        <w:rPr>
          <w:rFonts w:ascii="Arial" w:hAnsi="Arial" w:cs="Arial"/>
          <w:sz w:val="20"/>
          <w:szCs w:val="20"/>
        </w:rPr>
        <w:t xml:space="preserve">fixed deposits </w:t>
      </w:r>
      <w:r w:rsidRPr="0047447E">
        <w:rPr>
          <w:rFonts w:ascii="Arial" w:hAnsi="Arial" w:cs="Arial"/>
          <w:sz w:val="20"/>
          <w:szCs w:val="20"/>
        </w:rPr>
        <w:t>by UTFs in Kenya for the period between 2015 and 202</w:t>
      </w:r>
      <w:r w:rsidR="0080004B" w:rsidRPr="0047447E">
        <w:rPr>
          <w:rFonts w:ascii="Arial" w:hAnsi="Arial" w:cs="Arial"/>
          <w:sz w:val="20"/>
          <w:szCs w:val="20"/>
        </w:rPr>
        <w:t xml:space="preserve">3. </w:t>
      </w:r>
      <w:r w:rsidRPr="0047447E">
        <w:rPr>
          <w:rFonts w:ascii="Arial" w:hAnsi="Arial" w:cs="Arial"/>
          <w:sz w:val="20"/>
          <w:szCs w:val="20"/>
        </w:rPr>
        <w:t xml:space="preserve">Trend curve for investment in fixed deposits for the period between 2015 and </w:t>
      </w:r>
      <w:r w:rsidR="000725BF" w:rsidRPr="0047447E">
        <w:rPr>
          <w:rFonts w:ascii="Arial" w:hAnsi="Arial" w:cs="Arial"/>
          <w:sz w:val="20"/>
          <w:szCs w:val="20"/>
        </w:rPr>
        <w:t xml:space="preserve">2023 was presented in Figure </w:t>
      </w:r>
      <w:r w:rsidR="0080004B" w:rsidRPr="0047447E">
        <w:rPr>
          <w:rFonts w:ascii="Arial" w:hAnsi="Arial" w:cs="Arial"/>
          <w:sz w:val="20"/>
          <w:szCs w:val="20"/>
        </w:rPr>
        <w:t>1</w:t>
      </w:r>
      <w:r w:rsidRPr="0047447E">
        <w:rPr>
          <w:rFonts w:ascii="Arial" w:hAnsi="Arial" w:cs="Arial"/>
          <w:sz w:val="20"/>
          <w:szCs w:val="20"/>
        </w:rPr>
        <w:t>.</w:t>
      </w:r>
    </w:p>
    <w:p w14:paraId="28E9BBB3" w14:textId="77777777" w:rsidR="0096510E" w:rsidRDefault="0080004B" w:rsidP="0080004B">
      <w:pPr>
        <w:tabs>
          <w:tab w:val="left" w:pos="26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9D2835E" w14:textId="77777777" w:rsidR="0096510E" w:rsidRDefault="0096510E" w:rsidP="003E32DD">
      <w:pPr>
        <w:spacing w:after="0" w:line="360" w:lineRule="auto"/>
        <w:jc w:val="center"/>
        <w:rPr>
          <w:rFonts w:ascii="Times New Roman" w:hAnsi="Times New Roman" w:cs="Times New Roman"/>
          <w:sz w:val="24"/>
          <w:szCs w:val="24"/>
        </w:rPr>
      </w:pPr>
      <w:r>
        <w:rPr>
          <w:noProof/>
        </w:rPr>
        <w:drawing>
          <wp:inline distT="0" distB="0" distL="0" distR="0" wp14:anchorId="3A4B3B76" wp14:editId="32FB41EE">
            <wp:extent cx="4823460" cy="2209800"/>
            <wp:effectExtent l="0" t="0" r="152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F491EE" w14:textId="7F0D1CFE" w:rsidR="0096510E" w:rsidRPr="00C138F5" w:rsidRDefault="000725BF" w:rsidP="00C138F5">
      <w:pPr>
        <w:pStyle w:val="Caption"/>
        <w:rPr>
          <w:rFonts w:ascii="Arial" w:hAnsi="Arial" w:cs="Arial"/>
          <w:color w:val="auto"/>
          <w:sz w:val="20"/>
          <w:szCs w:val="20"/>
        </w:rPr>
      </w:pPr>
      <w:r w:rsidRPr="0047447E">
        <w:rPr>
          <w:rFonts w:ascii="Arial" w:hAnsi="Arial" w:cs="Arial"/>
          <w:color w:val="auto"/>
          <w:sz w:val="20"/>
          <w:szCs w:val="20"/>
        </w:rPr>
        <w:t>Fig</w:t>
      </w:r>
      <w:r w:rsidR="00D40E92">
        <w:rPr>
          <w:rFonts w:ascii="Arial" w:hAnsi="Arial" w:cs="Arial"/>
          <w:color w:val="auto"/>
          <w:sz w:val="20"/>
          <w:szCs w:val="20"/>
        </w:rPr>
        <w:t>.</w:t>
      </w:r>
      <w:r w:rsidR="0080004B" w:rsidRPr="0047447E">
        <w:rPr>
          <w:rFonts w:ascii="Arial" w:hAnsi="Arial" w:cs="Arial"/>
          <w:color w:val="auto"/>
          <w:sz w:val="20"/>
          <w:szCs w:val="20"/>
        </w:rPr>
        <w:t>1</w:t>
      </w:r>
      <w:r w:rsidR="00D40E92">
        <w:rPr>
          <w:rFonts w:ascii="Arial" w:hAnsi="Arial" w:cs="Arial"/>
          <w:color w:val="auto"/>
          <w:sz w:val="20"/>
          <w:szCs w:val="20"/>
        </w:rPr>
        <w:t xml:space="preserve">. </w:t>
      </w:r>
      <w:r w:rsidR="0096510E" w:rsidRPr="0047447E">
        <w:rPr>
          <w:rFonts w:ascii="Arial" w:hAnsi="Arial" w:cs="Arial"/>
          <w:color w:val="auto"/>
          <w:sz w:val="20"/>
          <w:szCs w:val="20"/>
        </w:rPr>
        <w:t>Trend curve for investment in fixed deposits (2015-2023)</w:t>
      </w:r>
    </w:p>
    <w:p w14:paraId="5A8F44A1" w14:textId="4A6E2D3D" w:rsidR="0096510E" w:rsidRDefault="0096510E" w:rsidP="0096510E">
      <w:pPr>
        <w:spacing w:after="0" w:line="240" w:lineRule="auto"/>
        <w:jc w:val="both"/>
        <w:rPr>
          <w:rFonts w:ascii="Arial" w:hAnsi="Arial" w:cs="Arial"/>
          <w:sz w:val="20"/>
          <w:szCs w:val="20"/>
        </w:rPr>
      </w:pPr>
      <w:r w:rsidRPr="0047447E">
        <w:rPr>
          <w:rFonts w:ascii="Arial" w:hAnsi="Arial" w:cs="Arial"/>
          <w:sz w:val="20"/>
          <w:szCs w:val="20"/>
        </w:rPr>
        <w:t xml:space="preserve">The proportion of funds invested in fixed deposits was displayed in the trend curve </w:t>
      </w:r>
      <w:r w:rsidR="000725BF" w:rsidRPr="0047447E">
        <w:rPr>
          <w:rFonts w:ascii="Arial" w:hAnsi="Arial" w:cs="Arial"/>
          <w:sz w:val="20"/>
          <w:szCs w:val="20"/>
        </w:rPr>
        <w:t xml:space="preserve">in figure </w:t>
      </w:r>
      <w:r w:rsidR="0080004B" w:rsidRPr="0047447E">
        <w:rPr>
          <w:rFonts w:ascii="Arial" w:hAnsi="Arial" w:cs="Arial"/>
          <w:sz w:val="20"/>
          <w:szCs w:val="20"/>
        </w:rPr>
        <w:t>1</w:t>
      </w:r>
      <w:r w:rsidRPr="0047447E">
        <w:rPr>
          <w:rFonts w:ascii="Arial" w:hAnsi="Arial" w:cs="Arial"/>
          <w:sz w:val="20"/>
          <w:szCs w:val="20"/>
        </w:rPr>
        <w:t>. The findings revealed that the amount of funds invested in fixed deposits among UTFs in Kenya between 2015 and 2023 kept on varying. Both an upward trend and downward trend were witn</w:t>
      </w:r>
      <w:r w:rsidR="000725BF" w:rsidRPr="0047447E">
        <w:rPr>
          <w:rFonts w:ascii="Arial" w:hAnsi="Arial" w:cs="Arial"/>
          <w:sz w:val="20"/>
          <w:szCs w:val="20"/>
        </w:rPr>
        <w:t xml:space="preserve">essed as displayed in Figure </w:t>
      </w:r>
      <w:r w:rsidR="0080004B" w:rsidRPr="0047447E">
        <w:rPr>
          <w:rFonts w:ascii="Arial" w:hAnsi="Arial" w:cs="Arial"/>
          <w:sz w:val="20"/>
          <w:szCs w:val="20"/>
        </w:rPr>
        <w:t>1</w:t>
      </w:r>
      <w:r w:rsidRPr="0047447E">
        <w:rPr>
          <w:rFonts w:ascii="Arial" w:hAnsi="Arial" w:cs="Arial"/>
          <w:sz w:val="20"/>
          <w:szCs w:val="20"/>
        </w:rPr>
        <w:t>. Fund size which had been operationalized by Ln (Total assets) kept on varying between 2015 and 2023 across all th</w:t>
      </w:r>
      <w:r w:rsidR="000725BF" w:rsidRPr="0047447E">
        <w:rPr>
          <w:rFonts w:ascii="Arial" w:hAnsi="Arial" w:cs="Arial"/>
          <w:sz w:val="20"/>
          <w:szCs w:val="20"/>
        </w:rPr>
        <w:t xml:space="preserve">e UTFs as presented in Figure </w:t>
      </w:r>
      <w:r w:rsidR="0080004B" w:rsidRPr="0047447E">
        <w:rPr>
          <w:rFonts w:ascii="Arial" w:hAnsi="Arial" w:cs="Arial"/>
          <w:sz w:val="20"/>
          <w:szCs w:val="20"/>
        </w:rPr>
        <w:t>2</w:t>
      </w:r>
      <w:r w:rsidRPr="0047447E">
        <w:rPr>
          <w:rFonts w:ascii="Arial" w:hAnsi="Arial" w:cs="Arial"/>
          <w:sz w:val="20"/>
          <w:szCs w:val="20"/>
        </w:rPr>
        <w:t>.</w:t>
      </w:r>
    </w:p>
    <w:p w14:paraId="7FCA6947" w14:textId="77777777" w:rsidR="00D40E92" w:rsidRPr="0047447E" w:rsidRDefault="00D40E92" w:rsidP="0096510E">
      <w:pPr>
        <w:spacing w:after="0" w:line="240" w:lineRule="auto"/>
        <w:jc w:val="both"/>
        <w:rPr>
          <w:rFonts w:ascii="Arial" w:hAnsi="Arial" w:cs="Arial"/>
          <w:sz w:val="20"/>
          <w:szCs w:val="20"/>
        </w:rPr>
      </w:pPr>
    </w:p>
    <w:p w14:paraId="4548C75A" w14:textId="0D5CB5FC" w:rsidR="0096510E" w:rsidRDefault="0047447E" w:rsidP="0047447E">
      <w:pPr>
        <w:spacing w:after="0" w:line="240" w:lineRule="auto"/>
        <w:jc w:val="center"/>
        <w:rPr>
          <w:rFonts w:ascii="Times New Roman" w:hAnsi="Times New Roman" w:cs="Times New Roman"/>
          <w:sz w:val="24"/>
          <w:szCs w:val="24"/>
        </w:rPr>
      </w:pPr>
      <w:r>
        <w:rPr>
          <w:noProof/>
        </w:rPr>
        <w:drawing>
          <wp:inline distT="0" distB="0" distL="0" distR="0" wp14:anchorId="38BE4523" wp14:editId="13729ADD">
            <wp:extent cx="4899660" cy="1651635"/>
            <wp:effectExtent l="0" t="0" r="1524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14B2FF" w14:textId="76ADF0EE" w:rsidR="0096510E" w:rsidRDefault="0096510E" w:rsidP="0047447E">
      <w:pPr>
        <w:spacing w:after="0" w:line="240" w:lineRule="auto"/>
        <w:jc w:val="both"/>
        <w:rPr>
          <w:rFonts w:ascii="Times New Roman" w:hAnsi="Times New Roman" w:cs="Times New Roman"/>
          <w:sz w:val="24"/>
          <w:szCs w:val="24"/>
        </w:rPr>
      </w:pPr>
    </w:p>
    <w:p w14:paraId="7923984E" w14:textId="78222758" w:rsidR="0096510E" w:rsidRPr="0047447E" w:rsidRDefault="00D40E92" w:rsidP="0096510E">
      <w:pPr>
        <w:pStyle w:val="Caption"/>
        <w:rPr>
          <w:rFonts w:ascii="Arial" w:hAnsi="Arial" w:cs="Arial"/>
          <w:b w:val="0"/>
          <w:color w:val="auto"/>
          <w:sz w:val="20"/>
          <w:szCs w:val="20"/>
        </w:rPr>
      </w:pPr>
      <w:bookmarkStart w:id="168" w:name="_Toc190371744"/>
      <w:r w:rsidRPr="0047447E">
        <w:rPr>
          <w:rFonts w:ascii="Arial" w:hAnsi="Arial" w:cs="Arial"/>
          <w:color w:val="auto"/>
          <w:sz w:val="20"/>
          <w:szCs w:val="20"/>
        </w:rPr>
        <w:t>Fig</w:t>
      </w:r>
      <w:r>
        <w:rPr>
          <w:rFonts w:ascii="Arial" w:hAnsi="Arial" w:cs="Arial"/>
          <w:color w:val="auto"/>
          <w:sz w:val="20"/>
          <w:szCs w:val="20"/>
        </w:rPr>
        <w:t xml:space="preserve">. </w:t>
      </w:r>
      <w:r w:rsidR="0080004B" w:rsidRPr="0047447E">
        <w:rPr>
          <w:rFonts w:ascii="Arial" w:hAnsi="Arial" w:cs="Arial"/>
          <w:color w:val="auto"/>
          <w:sz w:val="20"/>
          <w:szCs w:val="20"/>
        </w:rPr>
        <w:t>2</w:t>
      </w:r>
      <w:r>
        <w:rPr>
          <w:rFonts w:ascii="Arial" w:hAnsi="Arial" w:cs="Arial"/>
          <w:color w:val="auto"/>
          <w:sz w:val="20"/>
          <w:szCs w:val="20"/>
        </w:rPr>
        <w:t xml:space="preserve">. </w:t>
      </w:r>
      <w:r w:rsidR="0096510E" w:rsidRPr="0047447E">
        <w:rPr>
          <w:rFonts w:ascii="Arial" w:hAnsi="Arial" w:cs="Arial"/>
          <w:color w:val="auto"/>
          <w:sz w:val="20"/>
          <w:szCs w:val="20"/>
        </w:rPr>
        <w:t>Fund size trend for selected Unit Trust Funds (2015-2023)</w:t>
      </w:r>
      <w:bookmarkEnd w:id="168"/>
    </w:p>
    <w:p w14:paraId="69276AAB" w14:textId="77777777" w:rsidR="0096510E" w:rsidRPr="003E32DD" w:rsidRDefault="0096510E" w:rsidP="0096510E">
      <w:pPr>
        <w:spacing w:line="240" w:lineRule="auto"/>
        <w:jc w:val="both"/>
        <w:rPr>
          <w:rFonts w:ascii="Arial" w:hAnsi="Arial" w:cs="Arial"/>
          <w:sz w:val="20"/>
          <w:szCs w:val="20"/>
        </w:rPr>
      </w:pPr>
      <w:r w:rsidRPr="003E32DD">
        <w:rPr>
          <w:rFonts w:ascii="Arial" w:hAnsi="Arial" w:cs="Arial"/>
          <w:sz w:val="20"/>
          <w:szCs w:val="20"/>
        </w:rPr>
        <w:t>The study sought to determine fund size trend for UTFs in Kenya for the period between 2015 and 2023. As indicated in the curve, fund size as operationalized by Ln (Total assets) reveals a positive growth trend for the period between 2015 and 2023. This implies that UTFs in Kenya have made efforts to grow their total assets. The trend curve of the performance of UTFs (return on a security) in K</w:t>
      </w:r>
      <w:r w:rsidR="000725BF" w:rsidRPr="003E32DD">
        <w:rPr>
          <w:rFonts w:ascii="Arial" w:hAnsi="Arial" w:cs="Arial"/>
          <w:sz w:val="20"/>
          <w:szCs w:val="20"/>
        </w:rPr>
        <w:t xml:space="preserve">enya was presented in figure </w:t>
      </w:r>
      <w:r w:rsidR="0080004B" w:rsidRPr="003E32DD">
        <w:rPr>
          <w:rFonts w:ascii="Arial" w:hAnsi="Arial" w:cs="Arial"/>
          <w:sz w:val="20"/>
          <w:szCs w:val="20"/>
        </w:rPr>
        <w:t>3</w:t>
      </w:r>
      <w:r w:rsidRPr="003E32DD">
        <w:rPr>
          <w:rFonts w:ascii="Arial" w:hAnsi="Arial" w:cs="Arial"/>
          <w:sz w:val="20"/>
          <w:szCs w:val="20"/>
        </w:rPr>
        <w:t xml:space="preserve">.  </w:t>
      </w:r>
    </w:p>
    <w:p w14:paraId="70D3D5D1" w14:textId="77777777" w:rsidR="0096510E" w:rsidRDefault="0096510E" w:rsidP="003E32DD">
      <w:pPr>
        <w:spacing w:after="0" w:line="360" w:lineRule="auto"/>
        <w:jc w:val="center"/>
        <w:rPr>
          <w:noProof/>
        </w:rPr>
      </w:pPr>
      <w:r>
        <w:rPr>
          <w:noProof/>
        </w:rPr>
        <w:lastRenderedPageBreak/>
        <w:drawing>
          <wp:inline distT="0" distB="0" distL="0" distR="0" wp14:anchorId="6B343725" wp14:editId="36CD3B62">
            <wp:extent cx="4918710" cy="2095500"/>
            <wp:effectExtent l="0" t="0" r="1524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BEA306" w14:textId="3A8E5B82" w:rsidR="0096510E" w:rsidRPr="003E32DD" w:rsidRDefault="0096510E" w:rsidP="0096510E">
      <w:pPr>
        <w:pStyle w:val="Caption"/>
        <w:spacing w:after="0"/>
        <w:rPr>
          <w:rFonts w:ascii="Arial" w:hAnsi="Arial" w:cs="Arial"/>
          <w:color w:val="auto"/>
          <w:sz w:val="20"/>
          <w:szCs w:val="20"/>
        </w:rPr>
      </w:pPr>
      <w:bookmarkStart w:id="169" w:name="_Toc190371745"/>
      <w:r w:rsidRPr="003E32DD">
        <w:rPr>
          <w:rFonts w:ascii="Arial" w:hAnsi="Arial" w:cs="Arial"/>
          <w:color w:val="auto"/>
          <w:sz w:val="20"/>
          <w:szCs w:val="20"/>
        </w:rPr>
        <w:t>Fig</w:t>
      </w:r>
      <w:r w:rsidR="00D40E92">
        <w:rPr>
          <w:rFonts w:ascii="Arial" w:hAnsi="Arial" w:cs="Arial"/>
          <w:color w:val="auto"/>
          <w:sz w:val="20"/>
          <w:szCs w:val="20"/>
        </w:rPr>
        <w:t>.</w:t>
      </w:r>
      <w:r w:rsidR="000725BF" w:rsidRPr="003E32DD">
        <w:rPr>
          <w:rFonts w:ascii="Arial" w:hAnsi="Arial" w:cs="Arial"/>
          <w:color w:val="auto"/>
          <w:sz w:val="20"/>
          <w:szCs w:val="20"/>
        </w:rPr>
        <w:t xml:space="preserve"> </w:t>
      </w:r>
      <w:r w:rsidR="0080004B" w:rsidRPr="003E32DD">
        <w:rPr>
          <w:rFonts w:ascii="Arial" w:hAnsi="Arial" w:cs="Arial"/>
          <w:color w:val="auto"/>
          <w:sz w:val="20"/>
          <w:szCs w:val="20"/>
        </w:rPr>
        <w:t>3</w:t>
      </w:r>
      <w:r w:rsidR="00D40E92">
        <w:rPr>
          <w:rFonts w:ascii="Arial" w:hAnsi="Arial" w:cs="Arial"/>
          <w:color w:val="auto"/>
          <w:sz w:val="20"/>
          <w:szCs w:val="20"/>
        </w:rPr>
        <w:t>.</w:t>
      </w:r>
      <w:r w:rsidRPr="003E32DD">
        <w:rPr>
          <w:rFonts w:ascii="Arial" w:hAnsi="Arial" w:cs="Arial"/>
          <w:color w:val="auto"/>
          <w:sz w:val="20"/>
          <w:szCs w:val="20"/>
        </w:rPr>
        <w:t xml:space="preserve"> Trend curve for performance of selected UTFs between 2015 and 2023</w:t>
      </w:r>
      <w:bookmarkEnd w:id="169"/>
    </w:p>
    <w:p w14:paraId="7180C676" w14:textId="77777777" w:rsidR="0096510E" w:rsidRPr="003E32DD" w:rsidRDefault="0096510E" w:rsidP="0096510E">
      <w:pPr>
        <w:spacing w:after="0" w:line="360" w:lineRule="auto"/>
        <w:jc w:val="both"/>
        <w:rPr>
          <w:rFonts w:ascii="Arial" w:hAnsi="Arial" w:cs="Arial"/>
          <w:sz w:val="20"/>
          <w:szCs w:val="20"/>
        </w:rPr>
      </w:pPr>
    </w:p>
    <w:p w14:paraId="744AA04A" w14:textId="77777777" w:rsidR="0096510E" w:rsidRDefault="0096510E" w:rsidP="00965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Trend analysis was done to show trends or patterns in the performance of UTFs in Kenya. In the trend curve, the performance of UTFs depicted a negative trend between 2015 and 2016, positive trend between 2016 and 2017, negative performance trend between 2017 and 2020, positive performance trend between 2020 and 2021 and negative performance trend between 2021 and</w:t>
      </w:r>
      <w:r w:rsidR="000725BF">
        <w:rPr>
          <w:rFonts w:ascii="Times New Roman" w:hAnsi="Times New Roman" w:cs="Times New Roman"/>
          <w:sz w:val="24"/>
          <w:szCs w:val="24"/>
        </w:rPr>
        <w:t xml:space="preserve"> 2023 as displayed in figure </w:t>
      </w:r>
      <w:r w:rsidR="0080004B">
        <w:rPr>
          <w:rFonts w:ascii="Times New Roman" w:hAnsi="Times New Roman" w:cs="Times New Roman"/>
          <w:sz w:val="24"/>
          <w:szCs w:val="24"/>
        </w:rPr>
        <w:t>3</w:t>
      </w:r>
      <w:r>
        <w:rPr>
          <w:rFonts w:ascii="Times New Roman" w:hAnsi="Times New Roman" w:cs="Times New Roman"/>
          <w:sz w:val="24"/>
          <w:szCs w:val="24"/>
        </w:rPr>
        <w:t>.</w:t>
      </w:r>
    </w:p>
    <w:p w14:paraId="4AA7B31F" w14:textId="5B4BE935" w:rsidR="00F316A0" w:rsidRPr="003E32DD" w:rsidRDefault="003E32DD" w:rsidP="00C138F5">
      <w:pPr>
        <w:pStyle w:val="Heading1"/>
        <w:spacing w:line="360" w:lineRule="auto"/>
        <w:rPr>
          <w:rFonts w:ascii="Arial" w:hAnsi="Arial" w:cs="Arial"/>
          <w:b/>
          <w:color w:val="auto"/>
          <w:sz w:val="22"/>
          <w:szCs w:val="22"/>
        </w:rPr>
      </w:pPr>
      <w:bookmarkStart w:id="170" w:name="_Toc192496808"/>
      <w:r w:rsidRPr="003E32DD">
        <w:rPr>
          <w:rFonts w:ascii="Arial" w:hAnsi="Arial" w:cs="Arial"/>
          <w:b/>
          <w:color w:val="auto"/>
          <w:sz w:val="22"/>
          <w:szCs w:val="22"/>
        </w:rPr>
        <w:t>3</w:t>
      </w:r>
      <w:r w:rsidR="00F316A0" w:rsidRPr="003E32DD">
        <w:rPr>
          <w:rFonts w:ascii="Arial" w:hAnsi="Arial" w:cs="Arial"/>
          <w:b/>
          <w:color w:val="auto"/>
          <w:sz w:val="22"/>
          <w:szCs w:val="22"/>
        </w:rPr>
        <w:t>.3 Inferential statistics</w:t>
      </w:r>
      <w:bookmarkEnd w:id="170"/>
    </w:p>
    <w:p w14:paraId="1E8F8966" w14:textId="181FDD3D" w:rsidR="00F316A0" w:rsidRPr="003E32DD" w:rsidRDefault="003E32DD" w:rsidP="00C138F5">
      <w:pPr>
        <w:spacing w:line="360" w:lineRule="auto"/>
        <w:jc w:val="both"/>
        <w:rPr>
          <w:rFonts w:ascii="Arial" w:hAnsi="Arial" w:cs="Arial"/>
          <w:b/>
        </w:rPr>
      </w:pPr>
      <w:r w:rsidRPr="003E32DD">
        <w:rPr>
          <w:rFonts w:ascii="Arial" w:hAnsi="Arial" w:cs="Arial"/>
          <w:b/>
        </w:rPr>
        <w:t>3</w:t>
      </w:r>
      <w:r w:rsidR="00F316A0" w:rsidRPr="003E32DD">
        <w:rPr>
          <w:rFonts w:ascii="Arial" w:hAnsi="Arial" w:cs="Arial"/>
          <w:b/>
        </w:rPr>
        <w:t>.3.1 Correlation analysis</w:t>
      </w:r>
    </w:p>
    <w:p w14:paraId="0396DF6E" w14:textId="38BADB6E" w:rsidR="00F316A0" w:rsidRDefault="00F316A0" w:rsidP="00DC57D1">
      <w:pPr>
        <w:spacing w:line="240" w:lineRule="auto"/>
        <w:jc w:val="both"/>
        <w:rPr>
          <w:rFonts w:ascii="Arial" w:hAnsi="Arial" w:cs="Arial"/>
          <w:sz w:val="20"/>
          <w:szCs w:val="20"/>
        </w:rPr>
      </w:pPr>
      <w:r w:rsidRPr="003E32DD">
        <w:rPr>
          <w:rFonts w:ascii="Arial" w:hAnsi="Arial" w:cs="Arial"/>
          <w:sz w:val="20"/>
          <w:szCs w:val="20"/>
        </w:rPr>
        <w:t>Correlation analysis was used to depict the nature, direction and strength of the relationship between investment vehicles and performance of UTFs. The strength and direction of the relationship is usually shown by a correlation coefficient of between -1 and +1. The r</w:t>
      </w:r>
      <w:r w:rsidR="00CA32E0" w:rsidRPr="003E32DD">
        <w:rPr>
          <w:rFonts w:ascii="Arial" w:hAnsi="Arial" w:cs="Arial"/>
          <w:sz w:val="20"/>
          <w:szCs w:val="20"/>
        </w:rPr>
        <w:t xml:space="preserve">esults were presented in Table </w:t>
      </w:r>
      <w:r w:rsidRPr="003E32DD">
        <w:rPr>
          <w:rFonts w:ascii="Arial" w:hAnsi="Arial" w:cs="Arial"/>
          <w:sz w:val="20"/>
          <w:szCs w:val="20"/>
        </w:rPr>
        <w:t>2.</w:t>
      </w:r>
    </w:p>
    <w:p w14:paraId="7380D25D" w14:textId="77777777" w:rsidR="00C138F5" w:rsidRPr="003E32DD" w:rsidRDefault="00C138F5" w:rsidP="00DC57D1">
      <w:pPr>
        <w:spacing w:line="240" w:lineRule="auto"/>
        <w:jc w:val="both"/>
        <w:rPr>
          <w:rFonts w:ascii="Arial" w:hAnsi="Arial" w:cs="Arial"/>
          <w:sz w:val="20"/>
          <w:szCs w:val="20"/>
        </w:rPr>
      </w:pPr>
    </w:p>
    <w:p w14:paraId="4E063C7A" w14:textId="77777777" w:rsidR="00F316A0" w:rsidRPr="003E32DD" w:rsidRDefault="000725BF" w:rsidP="00F316A0">
      <w:pPr>
        <w:pStyle w:val="Caption"/>
        <w:rPr>
          <w:rFonts w:ascii="Arial" w:hAnsi="Arial" w:cs="Arial"/>
          <w:b w:val="0"/>
          <w:color w:val="auto"/>
          <w:sz w:val="20"/>
          <w:szCs w:val="20"/>
        </w:rPr>
      </w:pPr>
      <w:bookmarkStart w:id="171" w:name="_Toc190372114"/>
      <w:r w:rsidRPr="003E32DD">
        <w:rPr>
          <w:rFonts w:ascii="Arial" w:hAnsi="Arial" w:cs="Arial"/>
          <w:color w:val="auto"/>
          <w:sz w:val="20"/>
          <w:szCs w:val="20"/>
        </w:rPr>
        <w:t xml:space="preserve">Table </w:t>
      </w:r>
      <w:r w:rsidR="00F316A0" w:rsidRPr="003E32DD">
        <w:rPr>
          <w:rFonts w:ascii="Arial" w:hAnsi="Arial" w:cs="Arial"/>
          <w:color w:val="auto"/>
          <w:sz w:val="20"/>
          <w:szCs w:val="20"/>
        </w:rPr>
        <w:t>2: Correlation Matrix</w:t>
      </w:r>
      <w:bookmarkEnd w:id="171"/>
    </w:p>
    <w:tbl>
      <w:tblPr>
        <w:tblStyle w:val="ListTable6Colorful1"/>
        <w:tblW w:w="4209" w:type="pct"/>
        <w:tblInd w:w="708" w:type="dxa"/>
        <w:tblLook w:val="04A0" w:firstRow="1" w:lastRow="0" w:firstColumn="1" w:lastColumn="0" w:noHBand="0" w:noVBand="1"/>
      </w:tblPr>
      <w:tblGrid>
        <w:gridCol w:w="2126"/>
        <w:gridCol w:w="1930"/>
        <w:gridCol w:w="2285"/>
        <w:gridCol w:w="1538"/>
      </w:tblGrid>
      <w:tr w:rsidR="000725BF" w:rsidRPr="003E32DD" w14:paraId="347589E2" w14:textId="77777777" w:rsidTr="003E32DD">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349" w:type="pct"/>
          </w:tcPr>
          <w:p w14:paraId="604AF307"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365A4429" w14:textId="77777777" w:rsidR="000725BF" w:rsidRPr="003E32DD" w:rsidRDefault="000725BF" w:rsidP="00F316A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
          <w:p w14:paraId="3FF5B2F5" w14:textId="77777777" w:rsidR="000725BF" w:rsidRPr="003E32DD" w:rsidRDefault="000725BF" w:rsidP="00F316A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
        </w:tc>
        <w:tc>
          <w:tcPr>
            <w:tcW w:w="1450" w:type="pct"/>
          </w:tcPr>
          <w:p w14:paraId="4FDF4795" w14:textId="77777777" w:rsidR="000725BF" w:rsidRPr="003E32DD" w:rsidRDefault="000725BF" w:rsidP="00F316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3E32DD">
              <w:rPr>
                <w:rFonts w:ascii="Arial" w:hAnsi="Arial" w:cs="Arial"/>
                <w:color w:val="000000"/>
                <w:sz w:val="20"/>
                <w:szCs w:val="20"/>
              </w:rPr>
              <w:t>Performance of UTFs</w:t>
            </w:r>
          </w:p>
        </w:tc>
        <w:tc>
          <w:tcPr>
            <w:tcW w:w="976" w:type="pct"/>
          </w:tcPr>
          <w:p w14:paraId="43C9EC28" w14:textId="77777777" w:rsidR="000725BF" w:rsidRPr="003E32DD" w:rsidRDefault="000725BF" w:rsidP="00F316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3E32DD">
              <w:rPr>
                <w:rFonts w:ascii="Arial" w:hAnsi="Arial" w:cs="Arial"/>
                <w:color w:val="000000"/>
                <w:sz w:val="20"/>
                <w:szCs w:val="20"/>
              </w:rPr>
              <w:t>Fixed deposits</w:t>
            </w:r>
          </w:p>
        </w:tc>
      </w:tr>
      <w:tr w:rsidR="000725BF" w:rsidRPr="003E32DD" w14:paraId="26D17E0E" w14:textId="77777777" w:rsidTr="003E32DD">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349" w:type="pct"/>
            <w:shd w:val="clear" w:color="auto" w:fill="auto"/>
          </w:tcPr>
          <w:p w14:paraId="1C37644B" w14:textId="77777777" w:rsidR="000725BF" w:rsidRPr="003E32DD" w:rsidRDefault="000725BF" w:rsidP="00F316A0">
            <w:pPr>
              <w:spacing w:after="0" w:line="240" w:lineRule="auto"/>
              <w:jc w:val="both"/>
              <w:rPr>
                <w:rFonts w:ascii="Arial" w:hAnsi="Arial" w:cs="Arial"/>
                <w:b w:val="0"/>
                <w:bCs w:val="0"/>
                <w:color w:val="000000"/>
                <w:sz w:val="20"/>
                <w:szCs w:val="20"/>
              </w:rPr>
            </w:pPr>
            <w:r w:rsidRPr="003E32DD">
              <w:rPr>
                <w:rFonts w:ascii="Arial" w:hAnsi="Arial" w:cs="Arial"/>
                <w:b w:val="0"/>
                <w:color w:val="000000"/>
                <w:sz w:val="20"/>
                <w:szCs w:val="20"/>
              </w:rPr>
              <w:t>Performance of UTFs</w:t>
            </w:r>
          </w:p>
        </w:tc>
        <w:tc>
          <w:tcPr>
            <w:tcW w:w="1225" w:type="pct"/>
            <w:shd w:val="clear" w:color="auto" w:fill="auto"/>
          </w:tcPr>
          <w:p w14:paraId="140F45C6" w14:textId="77777777" w:rsidR="000725BF" w:rsidRPr="003E32DD" w:rsidRDefault="000725BF" w:rsidP="00F316A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Pearson Correlation</w:t>
            </w:r>
          </w:p>
        </w:tc>
        <w:tc>
          <w:tcPr>
            <w:tcW w:w="1450" w:type="pct"/>
            <w:shd w:val="clear" w:color="auto" w:fill="auto"/>
          </w:tcPr>
          <w:p w14:paraId="28F47D12"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76" w:type="pct"/>
            <w:shd w:val="clear" w:color="auto" w:fill="auto"/>
          </w:tcPr>
          <w:p w14:paraId="466EE199"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0725BF" w:rsidRPr="003E32DD" w14:paraId="0E06A5F2" w14:textId="77777777" w:rsidTr="003E32DD">
        <w:trPr>
          <w:trHeight w:val="217"/>
        </w:trPr>
        <w:tc>
          <w:tcPr>
            <w:cnfStyle w:val="001000000000" w:firstRow="0" w:lastRow="0" w:firstColumn="1" w:lastColumn="0" w:oddVBand="0" w:evenVBand="0" w:oddHBand="0" w:evenHBand="0" w:firstRowFirstColumn="0" w:firstRowLastColumn="0" w:lastRowFirstColumn="0" w:lastRowLastColumn="0"/>
            <w:tcW w:w="1349" w:type="pct"/>
          </w:tcPr>
          <w:p w14:paraId="4DDD9FE6"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4A4C18F7" w14:textId="77777777" w:rsidR="000725BF" w:rsidRPr="003E32DD" w:rsidRDefault="000725BF" w:rsidP="00F316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Sig. (2-tailed)</w:t>
            </w:r>
          </w:p>
        </w:tc>
        <w:tc>
          <w:tcPr>
            <w:tcW w:w="1450" w:type="pct"/>
          </w:tcPr>
          <w:p w14:paraId="64669079"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1</w:t>
            </w:r>
          </w:p>
        </w:tc>
        <w:tc>
          <w:tcPr>
            <w:tcW w:w="976" w:type="pct"/>
          </w:tcPr>
          <w:p w14:paraId="4DC15C81"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725BF" w:rsidRPr="003E32DD" w14:paraId="7958919C" w14:textId="77777777" w:rsidTr="003E32D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49" w:type="pct"/>
            <w:shd w:val="clear" w:color="auto" w:fill="auto"/>
          </w:tcPr>
          <w:p w14:paraId="3018E9AA" w14:textId="77777777" w:rsidR="000725BF" w:rsidRPr="003E32DD" w:rsidRDefault="000725BF" w:rsidP="00F316A0">
            <w:pPr>
              <w:spacing w:after="0" w:line="240" w:lineRule="auto"/>
              <w:jc w:val="both"/>
              <w:rPr>
                <w:rFonts w:ascii="Arial" w:hAnsi="Arial" w:cs="Arial"/>
                <w:b w:val="0"/>
                <w:bCs w:val="0"/>
                <w:color w:val="000000"/>
                <w:sz w:val="20"/>
                <w:szCs w:val="20"/>
              </w:rPr>
            </w:pPr>
            <w:r w:rsidRPr="003E32DD">
              <w:rPr>
                <w:rFonts w:ascii="Arial" w:hAnsi="Arial" w:cs="Arial"/>
                <w:b w:val="0"/>
                <w:color w:val="000000"/>
                <w:sz w:val="20"/>
                <w:szCs w:val="20"/>
              </w:rPr>
              <w:t>Fixed deposits</w:t>
            </w:r>
          </w:p>
        </w:tc>
        <w:tc>
          <w:tcPr>
            <w:tcW w:w="1225" w:type="pct"/>
            <w:shd w:val="clear" w:color="auto" w:fill="auto"/>
          </w:tcPr>
          <w:p w14:paraId="46C8F3CD" w14:textId="77777777" w:rsidR="000725BF" w:rsidRPr="003E32DD" w:rsidRDefault="000725BF" w:rsidP="00F316A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Pearson Correlation</w:t>
            </w:r>
          </w:p>
        </w:tc>
        <w:tc>
          <w:tcPr>
            <w:tcW w:w="1450" w:type="pct"/>
            <w:shd w:val="clear" w:color="auto" w:fill="auto"/>
          </w:tcPr>
          <w:p w14:paraId="263DDF88"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.777</w:t>
            </w:r>
            <w:r w:rsidRPr="003E32DD">
              <w:rPr>
                <w:rFonts w:ascii="Arial" w:hAnsi="Arial" w:cs="Arial"/>
                <w:color w:val="000000"/>
                <w:sz w:val="20"/>
                <w:szCs w:val="20"/>
                <w:vertAlign w:val="superscript"/>
              </w:rPr>
              <w:t>*</w:t>
            </w:r>
          </w:p>
        </w:tc>
        <w:tc>
          <w:tcPr>
            <w:tcW w:w="976" w:type="pct"/>
            <w:shd w:val="clear" w:color="auto" w:fill="auto"/>
          </w:tcPr>
          <w:p w14:paraId="2EB53900"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1</w:t>
            </w:r>
          </w:p>
        </w:tc>
      </w:tr>
      <w:tr w:rsidR="000725BF" w:rsidRPr="003E32DD" w14:paraId="647411C9" w14:textId="77777777" w:rsidTr="003E32DD">
        <w:trPr>
          <w:trHeight w:val="217"/>
        </w:trPr>
        <w:tc>
          <w:tcPr>
            <w:cnfStyle w:val="001000000000" w:firstRow="0" w:lastRow="0" w:firstColumn="1" w:lastColumn="0" w:oddVBand="0" w:evenVBand="0" w:oddHBand="0" w:evenHBand="0" w:firstRowFirstColumn="0" w:firstRowLastColumn="0" w:lastRowFirstColumn="0" w:lastRowLastColumn="0"/>
            <w:tcW w:w="1349" w:type="pct"/>
          </w:tcPr>
          <w:p w14:paraId="55D6FAFE"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3367BCB7" w14:textId="77777777" w:rsidR="000725BF" w:rsidRPr="003E32DD" w:rsidRDefault="000725BF" w:rsidP="00F316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Sig. (2-tailed)</w:t>
            </w:r>
          </w:p>
        </w:tc>
        <w:tc>
          <w:tcPr>
            <w:tcW w:w="1450" w:type="pct"/>
          </w:tcPr>
          <w:p w14:paraId="2DBF752D"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.000</w:t>
            </w:r>
          </w:p>
        </w:tc>
        <w:tc>
          <w:tcPr>
            <w:tcW w:w="976" w:type="pct"/>
          </w:tcPr>
          <w:p w14:paraId="24FEF7C5"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14:paraId="53DB4853" w14:textId="77777777" w:rsidR="00F316A0" w:rsidRPr="003E32DD" w:rsidRDefault="00F316A0" w:rsidP="00F316A0">
      <w:pPr>
        <w:spacing w:after="0" w:line="276" w:lineRule="auto"/>
        <w:jc w:val="both"/>
        <w:rPr>
          <w:rFonts w:ascii="Arial" w:hAnsi="Arial" w:cs="Arial"/>
          <w:sz w:val="20"/>
          <w:szCs w:val="20"/>
        </w:rPr>
      </w:pPr>
      <w:r w:rsidRPr="003E32DD">
        <w:rPr>
          <w:rFonts w:ascii="Arial" w:hAnsi="Arial" w:cs="Arial"/>
          <w:color w:val="000000"/>
          <w:sz w:val="20"/>
          <w:szCs w:val="20"/>
        </w:rPr>
        <w:t>*. Correlation is significant at the 0.05 level (2-tailed).</w:t>
      </w:r>
    </w:p>
    <w:p w14:paraId="1E727F1B" w14:textId="77777777" w:rsidR="00F316A0" w:rsidRPr="00A204D6" w:rsidRDefault="00F316A0" w:rsidP="000725BF">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982F851" w14:textId="77777777" w:rsidR="00F316A0" w:rsidRPr="003E32DD" w:rsidRDefault="000725BF" w:rsidP="00F316A0">
      <w:pPr>
        <w:spacing w:line="240" w:lineRule="auto"/>
        <w:jc w:val="both"/>
        <w:rPr>
          <w:rFonts w:ascii="Arial" w:hAnsi="Arial" w:cs="Arial"/>
          <w:sz w:val="20"/>
          <w:szCs w:val="20"/>
        </w:rPr>
      </w:pPr>
      <w:r w:rsidRPr="003E32DD">
        <w:rPr>
          <w:rFonts w:ascii="Arial" w:hAnsi="Arial" w:cs="Arial"/>
          <w:sz w:val="20"/>
          <w:szCs w:val="20"/>
        </w:rPr>
        <w:t xml:space="preserve">Table </w:t>
      </w:r>
      <w:r w:rsidR="00F316A0" w:rsidRPr="003E32DD">
        <w:rPr>
          <w:rFonts w:ascii="Arial" w:hAnsi="Arial" w:cs="Arial"/>
          <w:sz w:val="20"/>
          <w:szCs w:val="20"/>
        </w:rPr>
        <w:t xml:space="preserve">2 shows that investing in fixed deposits has a strong positive association with performance of UTFs in Kenya as supported by a correlation coefficient, r=0.775 and p=0.000. This correlation was significant at 5% significance level as presented in Table 4.8. This implies that increase in the amount invested in fixed deposits contribute to increase in the performance of UTFs in Kenya by 0.775. </w:t>
      </w:r>
      <w:r w:rsidR="00F316A0" w:rsidRPr="003E32DD">
        <w:rPr>
          <w:rFonts w:ascii="Arial" w:hAnsi="Arial" w:cs="Arial"/>
          <w:sz w:val="20"/>
          <w:szCs w:val="20"/>
          <w:shd w:val="clear" w:color="auto" w:fill="FFFFFF"/>
        </w:rPr>
        <w:t>In the study by Dongol (2021), it was established that investment in fixed deposits improves performance of UTFs. This is because investment in fixed deposits offer higher interest rates if compared to savings accounts and hence contributes to improvement in performance of UTFs. Fixed deposits enjoy stability of earnings; security and returns are predictable.</w:t>
      </w:r>
      <w:r w:rsidR="00F316A0" w:rsidRPr="003E32DD">
        <w:rPr>
          <w:rFonts w:ascii="Arial" w:hAnsi="Arial" w:cs="Arial"/>
          <w:sz w:val="20"/>
          <w:szCs w:val="20"/>
        </w:rPr>
        <w:t xml:space="preserve"> Morwabe and Muturi (2019) found contrary results that fixed deposits are associated with lock in period, early withdrawal penalties, inflation risk and bank defaults all which adversely affects performance of UTFs. </w:t>
      </w:r>
    </w:p>
    <w:p w14:paraId="0955A9FE" w14:textId="5582B981" w:rsidR="00F316A0" w:rsidRPr="003E32DD" w:rsidRDefault="003E32DD" w:rsidP="00F316A0">
      <w:pPr>
        <w:keepNext/>
        <w:keepLines/>
        <w:numPr>
          <w:ilvl w:val="1"/>
          <w:numId w:val="0"/>
        </w:numPr>
        <w:spacing w:after="0" w:line="360" w:lineRule="auto"/>
        <w:jc w:val="both"/>
        <w:outlineLvl w:val="1"/>
        <w:rPr>
          <w:rFonts w:ascii="Arial" w:hAnsi="Arial" w:cs="Arial"/>
          <w:b/>
          <w:bCs/>
          <w:color w:val="000000" w:themeColor="text1"/>
        </w:rPr>
      </w:pPr>
      <w:bookmarkStart w:id="172" w:name="_Toc147256117"/>
      <w:bookmarkStart w:id="173" w:name="_Toc147395118"/>
      <w:bookmarkStart w:id="174" w:name="_Toc148728670"/>
      <w:bookmarkStart w:id="175" w:name="_Toc149561544"/>
      <w:bookmarkStart w:id="176" w:name="_Toc190370843"/>
      <w:bookmarkStart w:id="177" w:name="_Toc190536040"/>
      <w:bookmarkStart w:id="178" w:name="_Toc190604592"/>
      <w:bookmarkStart w:id="179" w:name="_Toc190606340"/>
      <w:bookmarkStart w:id="180" w:name="_Toc190607494"/>
      <w:bookmarkStart w:id="181" w:name="_Toc192496815"/>
      <w:r w:rsidRPr="003E32DD">
        <w:rPr>
          <w:rFonts w:ascii="Arial" w:hAnsi="Arial" w:cs="Arial"/>
          <w:b/>
          <w:bCs/>
          <w:color w:val="000000" w:themeColor="text1"/>
        </w:rPr>
        <w:lastRenderedPageBreak/>
        <w:t>3</w:t>
      </w:r>
      <w:r w:rsidR="00F316A0" w:rsidRPr="003E32DD">
        <w:rPr>
          <w:rFonts w:ascii="Arial" w:hAnsi="Arial" w:cs="Arial"/>
          <w:b/>
          <w:bCs/>
          <w:color w:val="000000" w:themeColor="text1"/>
        </w:rPr>
        <w:t>.4</w:t>
      </w:r>
      <w:r w:rsidR="00265C67">
        <w:rPr>
          <w:rFonts w:ascii="Arial" w:hAnsi="Arial" w:cs="Arial"/>
          <w:b/>
          <w:bCs/>
          <w:color w:val="000000" w:themeColor="text1"/>
        </w:rPr>
        <w:t xml:space="preserve"> </w:t>
      </w:r>
      <w:r w:rsidR="00F316A0" w:rsidRPr="003E32DD">
        <w:rPr>
          <w:rFonts w:ascii="Arial" w:hAnsi="Arial" w:cs="Arial"/>
          <w:b/>
          <w:bCs/>
          <w:color w:val="000000" w:themeColor="text1"/>
        </w:rPr>
        <w:t>Random and Fixed Effects Tests</w:t>
      </w:r>
      <w:bookmarkEnd w:id="172"/>
      <w:bookmarkEnd w:id="173"/>
      <w:bookmarkEnd w:id="174"/>
      <w:bookmarkEnd w:id="175"/>
      <w:bookmarkEnd w:id="176"/>
      <w:bookmarkEnd w:id="177"/>
      <w:bookmarkEnd w:id="178"/>
      <w:bookmarkEnd w:id="179"/>
      <w:bookmarkEnd w:id="180"/>
      <w:bookmarkEnd w:id="181"/>
    </w:p>
    <w:p w14:paraId="36673291" w14:textId="69EA81CD" w:rsidR="00F316A0" w:rsidRPr="00D40E92" w:rsidRDefault="00F316A0" w:rsidP="006C7F98">
      <w:pPr>
        <w:spacing w:line="240" w:lineRule="auto"/>
        <w:jc w:val="both"/>
        <w:rPr>
          <w:rFonts w:ascii="Arial" w:hAnsi="Arial" w:cs="Arial"/>
          <w:sz w:val="20"/>
          <w:szCs w:val="20"/>
        </w:rPr>
      </w:pPr>
      <w:r w:rsidRPr="00D40E92">
        <w:rPr>
          <w:rFonts w:ascii="Arial" w:hAnsi="Arial" w:cs="Arial"/>
          <w:sz w:val="20"/>
          <w:szCs w:val="20"/>
        </w:rPr>
        <w:t xml:space="preserve">In order to decide between fixed or random effects, Hausman test was needed. It tests whether the unique errors (μ_i) are correlated with the regressor. Hausman test null hypothesis was that the random effect was appropriate versus the alternative that fixed effect was appropriate. If the probability of the Hausman test was more than 5 percent significance level, random effect was used otherwise fixed effect was used. Thus, if the p-value is modest (less than 0.05), the null hypothesis was rejected. The issue stems from the fact that there are multiple variants of the test, each with a distinct hypothesis and possible outcomes. Thus, before Hausman test could be run, both the fixed and random effects were tested as follows. </w:t>
      </w:r>
      <w:bookmarkStart w:id="182" w:name="_Hlk148722411"/>
      <w:r w:rsidRPr="00D40E92">
        <w:rPr>
          <w:rFonts w:ascii="Arial" w:hAnsi="Arial" w:cs="Arial"/>
          <w:sz w:val="20"/>
          <w:szCs w:val="20"/>
        </w:rPr>
        <w:t>Fixed effects test res</w:t>
      </w:r>
      <w:r w:rsidR="000725BF" w:rsidRPr="00D40E92">
        <w:rPr>
          <w:rFonts w:ascii="Arial" w:hAnsi="Arial" w:cs="Arial"/>
          <w:sz w:val="20"/>
          <w:szCs w:val="20"/>
        </w:rPr>
        <w:t xml:space="preserve">ults were presented in Table </w:t>
      </w:r>
      <w:r w:rsidR="00265C67">
        <w:rPr>
          <w:rFonts w:ascii="Arial" w:hAnsi="Arial" w:cs="Arial"/>
          <w:sz w:val="20"/>
          <w:szCs w:val="20"/>
        </w:rPr>
        <w:t>3</w:t>
      </w:r>
      <w:r w:rsidRPr="00D40E92">
        <w:rPr>
          <w:rFonts w:ascii="Arial" w:hAnsi="Arial" w:cs="Arial"/>
          <w:sz w:val="20"/>
          <w:szCs w:val="20"/>
        </w:rPr>
        <w:t>.</w:t>
      </w:r>
      <w:bookmarkStart w:id="183" w:name="_Toc147256079"/>
      <w:bookmarkEnd w:id="182"/>
    </w:p>
    <w:p w14:paraId="300BAE7B" w14:textId="7F676E85" w:rsidR="00F316A0" w:rsidRPr="003E32DD" w:rsidRDefault="000725BF" w:rsidP="00F316A0">
      <w:pPr>
        <w:pStyle w:val="Caption"/>
        <w:rPr>
          <w:rFonts w:ascii="Arial" w:hAnsi="Arial" w:cs="Arial"/>
          <w:b w:val="0"/>
          <w:iCs/>
          <w:color w:val="auto"/>
          <w:sz w:val="20"/>
          <w:szCs w:val="20"/>
        </w:rPr>
      </w:pPr>
      <w:bookmarkStart w:id="184" w:name="_Toc190372119"/>
      <w:bookmarkEnd w:id="183"/>
      <w:r w:rsidRPr="003E32DD">
        <w:rPr>
          <w:rFonts w:ascii="Arial" w:hAnsi="Arial" w:cs="Arial"/>
          <w:color w:val="auto"/>
          <w:sz w:val="20"/>
          <w:szCs w:val="20"/>
        </w:rPr>
        <w:t xml:space="preserve">Table </w:t>
      </w:r>
      <w:r w:rsidR="00265C67">
        <w:rPr>
          <w:rFonts w:ascii="Arial" w:hAnsi="Arial" w:cs="Arial"/>
          <w:color w:val="auto"/>
          <w:sz w:val="20"/>
          <w:szCs w:val="20"/>
        </w:rPr>
        <w:t>3</w:t>
      </w:r>
      <w:r w:rsidR="00F316A0" w:rsidRPr="003E32DD">
        <w:rPr>
          <w:rFonts w:ascii="Arial" w:hAnsi="Arial" w:cs="Arial"/>
          <w:color w:val="auto"/>
          <w:sz w:val="20"/>
          <w:szCs w:val="20"/>
        </w:rPr>
        <w:t>: Fixed Effects Test Results</w:t>
      </w:r>
      <w:bookmarkEnd w:id="184"/>
    </w:p>
    <w:tbl>
      <w:tblPr>
        <w:tblW w:w="4479" w:type="pct"/>
        <w:tblInd w:w="468" w:type="dxa"/>
        <w:tblLook w:val="04A0" w:firstRow="1" w:lastRow="0" w:firstColumn="1" w:lastColumn="0" w:noHBand="0" w:noVBand="1"/>
      </w:tblPr>
      <w:tblGrid>
        <w:gridCol w:w="1750"/>
        <w:gridCol w:w="1560"/>
        <w:gridCol w:w="1258"/>
        <w:gridCol w:w="1243"/>
        <w:gridCol w:w="1536"/>
        <w:gridCol w:w="1038"/>
      </w:tblGrid>
      <w:tr w:rsidR="00F316A0" w:rsidRPr="003E32DD" w14:paraId="7B9DEB7F" w14:textId="77777777" w:rsidTr="003E32DD">
        <w:trPr>
          <w:trHeight w:val="227"/>
        </w:trPr>
        <w:tc>
          <w:tcPr>
            <w:tcW w:w="3465" w:type="pct"/>
            <w:gridSpan w:val="4"/>
            <w:tcBorders>
              <w:top w:val="single" w:sz="4" w:space="0" w:color="auto"/>
            </w:tcBorders>
          </w:tcPr>
          <w:p w14:paraId="4B317B4D" w14:textId="77777777" w:rsidR="00F316A0" w:rsidRPr="003E32DD" w:rsidRDefault="00F316A0" w:rsidP="001005E2">
            <w:pPr>
              <w:spacing w:after="0" w:line="240" w:lineRule="auto"/>
              <w:rPr>
                <w:rFonts w:ascii="Arial" w:hAnsi="Arial" w:cs="Arial"/>
                <w:b/>
                <w:sz w:val="20"/>
                <w:szCs w:val="20"/>
              </w:rPr>
            </w:pPr>
            <w:r w:rsidRPr="003E32DD">
              <w:rPr>
                <w:rFonts w:ascii="Arial" w:hAnsi="Arial" w:cs="Arial"/>
                <w:sz w:val="20"/>
                <w:szCs w:val="20"/>
              </w:rPr>
              <w:t>Fixed-effects (within) regression</w:t>
            </w:r>
          </w:p>
        </w:tc>
        <w:tc>
          <w:tcPr>
            <w:tcW w:w="916" w:type="pct"/>
            <w:tcBorders>
              <w:top w:val="single" w:sz="4" w:space="0" w:color="auto"/>
            </w:tcBorders>
          </w:tcPr>
          <w:p w14:paraId="445411EA"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 xml:space="preserve">Number of </w:t>
            </w:r>
            <w:proofErr w:type="spellStart"/>
            <w:r w:rsidRPr="003E32DD">
              <w:rPr>
                <w:rFonts w:ascii="Arial" w:hAnsi="Arial" w:cs="Arial"/>
                <w:sz w:val="20"/>
                <w:szCs w:val="20"/>
              </w:rPr>
              <w:t>obs</w:t>
            </w:r>
            <w:proofErr w:type="spellEnd"/>
          </w:p>
        </w:tc>
        <w:tc>
          <w:tcPr>
            <w:tcW w:w="619" w:type="pct"/>
            <w:tcBorders>
              <w:top w:val="single" w:sz="4" w:space="0" w:color="auto"/>
            </w:tcBorders>
          </w:tcPr>
          <w:p w14:paraId="684008C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252</w:t>
            </w:r>
          </w:p>
        </w:tc>
      </w:tr>
      <w:tr w:rsidR="00F316A0" w:rsidRPr="003E32DD" w14:paraId="686BBC93" w14:textId="77777777" w:rsidTr="003E32DD">
        <w:trPr>
          <w:trHeight w:val="454"/>
        </w:trPr>
        <w:tc>
          <w:tcPr>
            <w:tcW w:w="3465" w:type="pct"/>
            <w:gridSpan w:val="4"/>
          </w:tcPr>
          <w:p w14:paraId="7460573A"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Group variable: unit trust</w:t>
            </w:r>
          </w:p>
        </w:tc>
        <w:tc>
          <w:tcPr>
            <w:tcW w:w="916" w:type="pct"/>
          </w:tcPr>
          <w:p w14:paraId="2EFF421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Number of groups</w:t>
            </w:r>
          </w:p>
        </w:tc>
        <w:tc>
          <w:tcPr>
            <w:tcW w:w="619" w:type="pct"/>
          </w:tcPr>
          <w:p w14:paraId="1196FCC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28</w:t>
            </w:r>
          </w:p>
        </w:tc>
      </w:tr>
      <w:tr w:rsidR="00F316A0" w:rsidRPr="003E32DD" w14:paraId="7E78890E" w14:textId="77777777" w:rsidTr="003E32DD">
        <w:trPr>
          <w:trHeight w:val="227"/>
        </w:trPr>
        <w:tc>
          <w:tcPr>
            <w:tcW w:w="3465" w:type="pct"/>
            <w:gridSpan w:val="4"/>
          </w:tcPr>
          <w:p w14:paraId="082E3749"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700BA3DD" w14:textId="77777777" w:rsidR="00F316A0" w:rsidRPr="003E32DD" w:rsidRDefault="00F316A0" w:rsidP="001005E2">
            <w:pPr>
              <w:spacing w:after="0" w:line="240" w:lineRule="auto"/>
              <w:jc w:val="center"/>
              <w:rPr>
                <w:rFonts w:ascii="Arial" w:hAnsi="Arial" w:cs="Arial"/>
                <w:sz w:val="20"/>
                <w:szCs w:val="20"/>
              </w:rPr>
            </w:pPr>
            <w:proofErr w:type="spellStart"/>
            <w:r w:rsidRPr="003E32DD">
              <w:rPr>
                <w:rFonts w:ascii="Arial" w:hAnsi="Arial" w:cs="Arial"/>
                <w:sz w:val="20"/>
                <w:szCs w:val="20"/>
              </w:rPr>
              <w:t>Obs</w:t>
            </w:r>
            <w:proofErr w:type="spellEnd"/>
            <w:r w:rsidRPr="003E32DD">
              <w:rPr>
                <w:rFonts w:ascii="Arial" w:hAnsi="Arial" w:cs="Arial"/>
                <w:sz w:val="20"/>
                <w:szCs w:val="20"/>
              </w:rPr>
              <w:t xml:space="preserve"> per group:</w:t>
            </w:r>
          </w:p>
        </w:tc>
        <w:tc>
          <w:tcPr>
            <w:tcW w:w="619" w:type="pct"/>
          </w:tcPr>
          <w:p w14:paraId="099A45E8"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166102C1" w14:textId="77777777" w:rsidTr="003E32DD">
        <w:trPr>
          <w:trHeight w:val="239"/>
        </w:trPr>
        <w:tc>
          <w:tcPr>
            <w:tcW w:w="1044" w:type="pct"/>
          </w:tcPr>
          <w:p w14:paraId="712ECBA1"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R-sq:</w:t>
            </w:r>
          </w:p>
        </w:tc>
        <w:tc>
          <w:tcPr>
            <w:tcW w:w="1680" w:type="pct"/>
            <w:gridSpan w:val="2"/>
          </w:tcPr>
          <w:p w14:paraId="2B46CEE9" w14:textId="77777777" w:rsidR="00F316A0" w:rsidRPr="003E32DD" w:rsidRDefault="00F316A0" w:rsidP="001005E2">
            <w:pPr>
              <w:spacing w:after="0" w:line="240" w:lineRule="auto"/>
              <w:jc w:val="center"/>
              <w:rPr>
                <w:rFonts w:ascii="Arial" w:hAnsi="Arial" w:cs="Arial"/>
                <w:b/>
                <w:sz w:val="20"/>
                <w:szCs w:val="20"/>
              </w:rPr>
            </w:pPr>
          </w:p>
        </w:tc>
        <w:tc>
          <w:tcPr>
            <w:tcW w:w="741" w:type="pct"/>
          </w:tcPr>
          <w:p w14:paraId="567C7804" w14:textId="77777777" w:rsidR="00F316A0" w:rsidRPr="003E32DD" w:rsidRDefault="00F316A0" w:rsidP="001005E2">
            <w:pPr>
              <w:spacing w:after="0" w:line="240" w:lineRule="auto"/>
              <w:jc w:val="center"/>
              <w:rPr>
                <w:rFonts w:ascii="Arial" w:hAnsi="Arial" w:cs="Arial"/>
                <w:b/>
                <w:sz w:val="20"/>
                <w:szCs w:val="20"/>
              </w:rPr>
            </w:pPr>
          </w:p>
        </w:tc>
        <w:tc>
          <w:tcPr>
            <w:tcW w:w="916" w:type="pct"/>
          </w:tcPr>
          <w:p w14:paraId="00151436"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Min</w:t>
            </w:r>
          </w:p>
        </w:tc>
        <w:tc>
          <w:tcPr>
            <w:tcW w:w="619" w:type="pct"/>
          </w:tcPr>
          <w:p w14:paraId="43B51E87"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w:t>
            </w:r>
          </w:p>
        </w:tc>
      </w:tr>
      <w:tr w:rsidR="00F316A0" w:rsidRPr="003E32DD" w14:paraId="0AC38996" w14:textId="77777777" w:rsidTr="003E32DD">
        <w:trPr>
          <w:trHeight w:val="227"/>
        </w:trPr>
        <w:tc>
          <w:tcPr>
            <w:tcW w:w="1044" w:type="pct"/>
          </w:tcPr>
          <w:p w14:paraId="22B361D5"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Within</w:t>
            </w:r>
          </w:p>
        </w:tc>
        <w:tc>
          <w:tcPr>
            <w:tcW w:w="1680" w:type="pct"/>
            <w:gridSpan w:val="2"/>
          </w:tcPr>
          <w:p w14:paraId="56BCF94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0.0220</w:t>
            </w:r>
          </w:p>
        </w:tc>
        <w:tc>
          <w:tcPr>
            <w:tcW w:w="741" w:type="pct"/>
          </w:tcPr>
          <w:p w14:paraId="2AB4DF68" w14:textId="77777777" w:rsidR="00F316A0" w:rsidRPr="003E32DD" w:rsidRDefault="00F316A0" w:rsidP="001005E2">
            <w:pPr>
              <w:spacing w:after="0" w:line="240" w:lineRule="auto"/>
              <w:jc w:val="both"/>
              <w:rPr>
                <w:rFonts w:ascii="Arial" w:hAnsi="Arial" w:cs="Arial"/>
                <w:sz w:val="20"/>
                <w:szCs w:val="20"/>
              </w:rPr>
            </w:pPr>
          </w:p>
        </w:tc>
        <w:tc>
          <w:tcPr>
            <w:tcW w:w="916" w:type="pct"/>
          </w:tcPr>
          <w:p w14:paraId="77EB69DA"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Avg</w:t>
            </w:r>
          </w:p>
        </w:tc>
        <w:tc>
          <w:tcPr>
            <w:tcW w:w="619" w:type="pct"/>
          </w:tcPr>
          <w:p w14:paraId="1D48BE9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9.0</w:t>
            </w:r>
          </w:p>
        </w:tc>
      </w:tr>
      <w:tr w:rsidR="00F316A0" w:rsidRPr="003E32DD" w14:paraId="2841108A" w14:textId="77777777" w:rsidTr="003E32DD">
        <w:trPr>
          <w:trHeight w:val="454"/>
        </w:trPr>
        <w:tc>
          <w:tcPr>
            <w:tcW w:w="1044" w:type="pct"/>
          </w:tcPr>
          <w:p w14:paraId="0A81E8DB"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between</w:t>
            </w:r>
          </w:p>
          <w:p w14:paraId="34CED73A"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overall</w:t>
            </w:r>
          </w:p>
        </w:tc>
        <w:tc>
          <w:tcPr>
            <w:tcW w:w="1680" w:type="pct"/>
            <w:gridSpan w:val="2"/>
          </w:tcPr>
          <w:p w14:paraId="7E23925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0.0063</w:t>
            </w:r>
          </w:p>
          <w:p w14:paraId="35B26F12"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0.0004</w:t>
            </w:r>
          </w:p>
        </w:tc>
        <w:tc>
          <w:tcPr>
            <w:tcW w:w="741" w:type="pct"/>
          </w:tcPr>
          <w:p w14:paraId="195BE06E" w14:textId="77777777" w:rsidR="00F316A0" w:rsidRPr="003E32DD" w:rsidRDefault="00F316A0" w:rsidP="001005E2">
            <w:pPr>
              <w:spacing w:after="0" w:line="240" w:lineRule="auto"/>
              <w:jc w:val="both"/>
              <w:rPr>
                <w:rFonts w:ascii="Arial" w:hAnsi="Arial" w:cs="Arial"/>
                <w:sz w:val="20"/>
                <w:szCs w:val="20"/>
              </w:rPr>
            </w:pPr>
          </w:p>
        </w:tc>
        <w:tc>
          <w:tcPr>
            <w:tcW w:w="916" w:type="pct"/>
          </w:tcPr>
          <w:p w14:paraId="74BD9C1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Max</w:t>
            </w:r>
          </w:p>
          <w:p w14:paraId="291A5781" w14:textId="77777777" w:rsidR="00F316A0" w:rsidRPr="003E32DD" w:rsidRDefault="006C7F98" w:rsidP="001005E2">
            <w:pPr>
              <w:spacing w:after="0" w:line="240" w:lineRule="auto"/>
              <w:jc w:val="center"/>
              <w:rPr>
                <w:rFonts w:ascii="Arial" w:hAnsi="Arial" w:cs="Arial"/>
                <w:sz w:val="20"/>
                <w:szCs w:val="20"/>
              </w:rPr>
            </w:pPr>
            <w:r w:rsidRPr="003E32DD">
              <w:rPr>
                <w:rFonts w:ascii="Arial" w:hAnsi="Arial" w:cs="Arial"/>
                <w:sz w:val="20"/>
                <w:szCs w:val="20"/>
              </w:rPr>
              <w:t>F (1</w:t>
            </w:r>
            <w:r w:rsidR="00F316A0" w:rsidRPr="003E32DD">
              <w:rPr>
                <w:rFonts w:ascii="Arial" w:hAnsi="Arial" w:cs="Arial"/>
                <w:sz w:val="20"/>
                <w:szCs w:val="20"/>
              </w:rPr>
              <w:t>,191)</w:t>
            </w:r>
          </w:p>
        </w:tc>
        <w:tc>
          <w:tcPr>
            <w:tcW w:w="619" w:type="pct"/>
          </w:tcPr>
          <w:p w14:paraId="729BC368"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w:t>
            </w:r>
          </w:p>
          <w:p w14:paraId="5CA45AE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0.86</w:t>
            </w:r>
          </w:p>
        </w:tc>
      </w:tr>
      <w:tr w:rsidR="00F316A0" w:rsidRPr="003E32DD" w14:paraId="577977CA" w14:textId="77777777" w:rsidTr="003E32DD">
        <w:trPr>
          <w:trHeight w:val="227"/>
        </w:trPr>
        <w:tc>
          <w:tcPr>
            <w:tcW w:w="1044" w:type="pct"/>
            <w:tcBorders>
              <w:bottom w:val="single" w:sz="4" w:space="0" w:color="auto"/>
            </w:tcBorders>
          </w:tcPr>
          <w:p w14:paraId="63243AD3" w14:textId="77777777" w:rsidR="00F316A0" w:rsidRPr="003E32DD" w:rsidRDefault="00F316A0" w:rsidP="001005E2">
            <w:pPr>
              <w:spacing w:after="0" w:line="240" w:lineRule="auto"/>
              <w:jc w:val="both"/>
              <w:rPr>
                <w:rFonts w:ascii="Arial" w:hAnsi="Arial" w:cs="Arial"/>
                <w:sz w:val="20"/>
                <w:szCs w:val="20"/>
              </w:rPr>
            </w:pPr>
            <w:proofErr w:type="spellStart"/>
            <w:r w:rsidRPr="003E32DD">
              <w:rPr>
                <w:rFonts w:ascii="Arial" w:hAnsi="Arial" w:cs="Arial"/>
                <w:sz w:val="20"/>
                <w:szCs w:val="20"/>
              </w:rPr>
              <w:t>Corr</w:t>
            </w:r>
            <w:proofErr w:type="spellEnd"/>
            <w:r w:rsidRPr="003E32DD">
              <w:rPr>
                <w:rFonts w:ascii="Arial" w:hAnsi="Arial" w:cs="Arial"/>
                <w:sz w:val="20"/>
                <w:szCs w:val="20"/>
              </w:rPr>
              <w:t xml:space="preserve"> (</w:t>
            </w:r>
            <w:proofErr w:type="spellStart"/>
            <w:r w:rsidRPr="003E32DD">
              <w:rPr>
                <w:rFonts w:ascii="Arial" w:hAnsi="Arial" w:cs="Arial"/>
                <w:sz w:val="20"/>
                <w:szCs w:val="20"/>
              </w:rPr>
              <w:t>μ_i</w:t>
            </w:r>
            <w:proofErr w:type="spellEnd"/>
            <w:r w:rsidRPr="003E32DD">
              <w:rPr>
                <w:rFonts w:ascii="Arial" w:hAnsi="Arial" w:cs="Arial"/>
                <w:sz w:val="20"/>
                <w:szCs w:val="20"/>
              </w:rPr>
              <w:t xml:space="preserve">, </w:t>
            </w:r>
            <w:proofErr w:type="spellStart"/>
            <w:r w:rsidRPr="003E32DD">
              <w:rPr>
                <w:rFonts w:ascii="Arial" w:hAnsi="Arial" w:cs="Arial"/>
                <w:sz w:val="20"/>
                <w:szCs w:val="20"/>
              </w:rPr>
              <w:t>Xb</w:t>
            </w:r>
            <w:proofErr w:type="spellEnd"/>
            <w:r w:rsidRPr="003E32DD">
              <w:rPr>
                <w:rFonts w:ascii="Arial" w:hAnsi="Arial" w:cs="Arial"/>
                <w:sz w:val="20"/>
                <w:szCs w:val="20"/>
              </w:rPr>
              <w:t>)</w:t>
            </w:r>
          </w:p>
        </w:tc>
        <w:tc>
          <w:tcPr>
            <w:tcW w:w="1680" w:type="pct"/>
            <w:gridSpan w:val="2"/>
            <w:tcBorders>
              <w:bottom w:val="single" w:sz="4" w:space="0" w:color="auto"/>
            </w:tcBorders>
          </w:tcPr>
          <w:p w14:paraId="7FF18F6F"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-0.2132</w:t>
            </w:r>
          </w:p>
        </w:tc>
        <w:tc>
          <w:tcPr>
            <w:tcW w:w="741" w:type="pct"/>
            <w:tcBorders>
              <w:bottom w:val="single" w:sz="4" w:space="0" w:color="auto"/>
            </w:tcBorders>
          </w:tcPr>
          <w:p w14:paraId="71188CE8" w14:textId="77777777" w:rsidR="00F316A0" w:rsidRPr="003E32DD" w:rsidRDefault="00F316A0" w:rsidP="001005E2">
            <w:pPr>
              <w:spacing w:after="0" w:line="240" w:lineRule="auto"/>
              <w:jc w:val="both"/>
              <w:rPr>
                <w:rFonts w:ascii="Arial" w:hAnsi="Arial" w:cs="Arial"/>
                <w:sz w:val="20"/>
                <w:szCs w:val="20"/>
              </w:rPr>
            </w:pPr>
          </w:p>
        </w:tc>
        <w:tc>
          <w:tcPr>
            <w:tcW w:w="916" w:type="pct"/>
            <w:tcBorders>
              <w:bottom w:val="single" w:sz="4" w:space="0" w:color="auto"/>
            </w:tcBorders>
          </w:tcPr>
          <w:p w14:paraId="55E29C96"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Prob &gt; F</w:t>
            </w:r>
          </w:p>
        </w:tc>
        <w:tc>
          <w:tcPr>
            <w:tcW w:w="619" w:type="pct"/>
            <w:tcBorders>
              <w:bottom w:val="single" w:sz="4" w:space="0" w:color="auto"/>
            </w:tcBorders>
          </w:tcPr>
          <w:p w14:paraId="719E0D84"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0.5083</w:t>
            </w:r>
          </w:p>
        </w:tc>
      </w:tr>
      <w:tr w:rsidR="00F316A0" w:rsidRPr="003E32DD" w14:paraId="6113D7A8" w14:textId="77777777" w:rsidTr="003E32DD">
        <w:trPr>
          <w:trHeight w:val="227"/>
        </w:trPr>
        <w:tc>
          <w:tcPr>
            <w:tcW w:w="1974" w:type="pct"/>
            <w:gridSpan w:val="2"/>
            <w:tcBorders>
              <w:top w:val="single" w:sz="4" w:space="0" w:color="auto"/>
              <w:bottom w:val="single" w:sz="4" w:space="0" w:color="auto"/>
            </w:tcBorders>
          </w:tcPr>
          <w:p w14:paraId="69F55D84" w14:textId="77777777" w:rsidR="00F316A0" w:rsidRPr="003E32DD" w:rsidRDefault="00F316A0" w:rsidP="001005E2">
            <w:pPr>
              <w:spacing w:after="0" w:line="240" w:lineRule="auto"/>
              <w:jc w:val="both"/>
              <w:rPr>
                <w:rFonts w:ascii="Arial" w:hAnsi="Arial" w:cs="Arial"/>
                <w:b/>
                <w:sz w:val="20"/>
                <w:szCs w:val="20"/>
              </w:rPr>
            </w:pPr>
            <w:r w:rsidRPr="003E32DD">
              <w:rPr>
                <w:rFonts w:ascii="Arial" w:hAnsi="Arial" w:cs="Arial"/>
                <w:b/>
                <w:sz w:val="20"/>
                <w:szCs w:val="20"/>
              </w:rPr>
              <w:t>Performance of UTFs</w:t>
            </w:r>
          </w:p>
        </w:tc>
        <w:tc>
          <w:tcPr>
            <w:tcW w:w="750" w:type="pct"/>
            <w:tcBorders>
              <w:top w:val="single" w:sz="4" w:space="0" w:color="auto"/>
              <w:bottom w:val="single" w:sz="4" w:space="0" w:color="auto"/>
            </w:tcBorders>
          </w:tcPr>
          <w:p w14:paraId="051188B1"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Coef.</w:t>
            </w:r>
          </w:p>
        </w:tc>
        <w:tc>
          <w:tcPr>
            <w:tcW w:w="741" w:type="pct"/>
            <w:tcBorders>
              <w:top w:val="single" w:sz="4" w:space="0" w:color="auto"/>
              <w:bottom w:val="single" w:sz="4" w:space="0" w:color="auto"/>
            </w:tcBorders>
          </w:tcPr>
          <w:p w14:paraId="0CB5ABD2"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Std. Err.</w:t>
            </w:r>
          </w:p>
        </w:tc>
        <w:tc>
          <w:tcPr>
            <w:tcW w:w="916" w:type="pct"/>
            <w:tcBorders>
              <w:top w:val="single" w:sz="4" w:space="0" w:color="auto"/>
              <w:bottom w:val="single" w:sz="4" w:space="0" w:color="auto"/>
            </w:tcBorders>
          </w:tcPr>
          <w:p w14:paraId="308D4FA3"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Z</w:t>
            </w:r>
          </w:p>
        </w:tc>
        <w:tc>
          <w:tcPr>
            <w:tcW w:w="619" w:type="pct"/>
            <w:tcBorders>
              <w:top w:val="single" w:sz="4" w:space="0" w:color="auto"/>
              <w:bottom w:val="single" w:sz="4" w:space="0" w:color="auto"/>
            </w:tcBorders>
          </w:tcPr>
          <w:p w14:paraId="3834EA78"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P&gt;|t|</w:t>
            </w:r>
          </w:p>
        </w:tc>
      </w:tr>
      <w:tr w:rsidR="00F316A0" w:rsidRPr="003E32DD" w14:paraId="17B682A0" w14:textId="77777777" w:rsidTr="003E32DD">
        <w:trPr>
          <w:trHeight w:val="227"/>
        </w:trPr>
        <w:tc>
          <w:tcPr>
            <w:tcW w:w="1974" w:type="pct"/>
            <w:gridSpan w:val="2"/>
          </w:tcPr>
          <w:p w14:paraId="51452E9B"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Investing in fixed deposits</w:t>
            </w:r>
          </w:p>
        </w:tc>
        <w:tc>
          <w:tcPr>
            <w:tcW w:w="750" w:type="pct"/>
          </w:tcPr>
          <w:p w14:paraId="6619E3B2"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7.63e+07</w:t>
            </w:r>
          </w:p>
        </w:tc>
        <w:tc>
          <w:tcPr>
            <w:tcW w:w="741" w:type="pct"/>
          </w:tcPr>
          <w:p w14:paraId="0A41196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8.73e+08</w:t>
            </w:r>
          </w:p>
        </w:tc>
        <w:tc>
          <w:tcPr>
            <w:tcW w:w="916" w:type="pct"/>
          </w:tcPr>
          <w:p w14:paraId="7E775F6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0.09</w:t>
            </w:r>
          </w:p>
        </w:tc>
        <w:tc>
          <w:tcPr>
            <w:tcW w:w="619" w:type="pct"/>
          </w:tcPr>
          <w:p w14:paraId="4494B37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0.930</w:t>
            </w:r>
          </w:p>
        </w:tc>
      </w:tr>
      <w:tr w:rsidR="00F316A0" w:rsidRPr="003E32DD" w14:paraId="1B2395AC" w14:textId="77777777" w:rsidTr="003E32DD">
        <w:trPr>
          <w:trHeight w:val="227"/>
        </w:trPr>
        <w:tc>
          <w:tcPr>
            <w:tcW w:w="1974" w:type="pct"/>
            <w:gridSpan w:val="2"/>
          </w:tcPr>
          <w:p w14:paraId="4FBE0127"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Fund size</w:t>
            </w:r>
          </w:p>
        </w:tc>
        <w:tc>
          <w:tcPr>
            <w:tcW w:w="750" w:type="pct"/>
          </w:tcPr>
          <w:p w14:paraId="473F0484"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-4.52e+07</w:t>
            </w:r>
          </w:p>
        </w:tc>
        <w:tc>
          <w:tcPr>
            <w:tcW w:w="741" w:type="pct"/>
          </w:tcPr>
          <w:p w14:paraId="579D238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5.55e+08</w:t>
            </w:r>
          </w:p>
        </w:tc>
        <w:tc>
          <w:tcPr>
            <w:tcW w:w="916" w:type="pct"/>
          </w:tcPr>
          <w:p w14:paraId="4267E6C0"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-0.08</w:t>
            </w:r>
          </w:p>
        </w:tc>
        <w:tc>
          <w:tcPr>
            <w:tcW w:w="619" w:type="pct"/>
          </w:tcPr>
          <w:p w14:paraId="270C3A4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0.935</w:t>
            </w:r>
          </w:p>
        </w:tc>
      </w:tr>
      <w:tr w:rsidR="00F316A0" w:rsidRPr="003E32DD" w14:paraId="57DD8BAB" w14:textId="77777777" w:rsidTr="003E32DD">
        <w:trPr>
          <w:trHeight w:val="239"/>
        </w:trPr>
        <w:tc>
          <w:tcPr>
            <w:tcW w:w="1974" w:type="pct"/>
            <w:gridSpan w:val="2"/>
          </w:tcPr>
          <w:p w14:paraId="3F31BAF4"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Cons</w:t>
            </w:r>
          </w:p>
        </w:tc>
        <w:tc>
          <w:tcPr>
            <w:tcW w:w="750" w:type="pct"/>
          </w:tcPr>
          <w:p w14:paraId="71DE09D0"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-3.04e+08</w:t>
            </w:r>
          </w:p>
        </w:tc>
        <w:tc>
          <w:tcPr>
            <w:tcW w:w="741" w:type="pct"/>
          </w:tcPr>
          <w:p w14:paraId="6E2B755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1.77e+09</w:t>
            </w:r>
          </w:p>
        </w:tc>
        <w:tc>
          <w:tcPr>
            <w:tcW w:w="916" w:type="pct"/>
          </w:tcPr>
          <w:p w14:paraId="144138F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-0.17</w:t>
            </w:r>
          </w:p>
        </w:tc>
        <w:tc>
          <w:tcPr>
            <w:tcW w:w="619" w:type="pct"/>
          </w:tcPr>
          <w:p w14:paraId="2534062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0.863</w:t>
            </w:r>
          </w:p>
        </w:tc>
      </w:tr>
      <w:tr w:rsidR="00F316A0" w:rsidRPr="003E32DD" w14:paraId="186A9432" w14:textId="77777777" w:rsidTr="003E32DD">
        <w:trPr>
          <w:trHeight w:val="227"/>
        </w:trPr>
        <w:tc>
          <w:tcPr>
            <w:tcW w:w="1974" w:type="pct"/>
            <w:gridSpan w:val="2"/>
          </w:tcPr>
          <w:p w14:paraId="6943F61C"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sigma_ μ</w:t>
            </w:r>
          </w:p>
        </w:tc>
        <w:tc>
          <w:tcPr>
            <w:tcW w:w="750" w:type="pct"/>
          </w:tcPr>
          <w:p w14:paraId="6F458BF3"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9.603e+08</w:t>
            </w:r>
          </w:p>
        </w:tc>
        <w:tc>
          <w:tcPr>
            <w:tcW w:w="741" w:type="pct"/>
          </w:tcPr>
          <w:p w14:paraId="5A16EC2D"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3C6F60C6" w14:textId="77777777" w:rsidR="00F316A0" w:rsidRPr="003E32DD" w:rsidRDefault="00F316A0" w:rsidP="001005E2">
            <w:pPr>
              <w:spacing w:after="0" w:line="240" w:lineRule="auto"/>
              <w:jc w:val="center"/>
              <w:rPr>
                <w:rFonts w:ascii="Arial" w:hAnsi="Arial" w:cs="Arial"/>
                <w:sz w:val="20"/>
                <w:szCs w:val="20"/>
              </w:rPr>
            </w:pPr>
          </w:p>
        </w:tc>
        <w:tc>
          <w:tcPr>
            <w:tcW w:w="619" w:type="pct"/>
          </w:tcPr>
          <w:p w14:paraId="17E07163"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70C0E484" w14:textId="77777777" w:rsidTr="003E32DD">
        <w:trPr>
          <w:trHeight w:val="227"/>
        </w:trPr>
        <w:tc>
          <w:tcPr>
            <w:tcW w:w="1974" w:type="pct"/>
            <w:gridSpan w:val="2"/>
          </w:tcPr>
          <w:p w14:paraId="4BC4029A" w14:textId="77777777" w:rsidR="00F316A0" w:rsidRPr="003E32DD" w:rsidRDefault="00F316A0" w:rsidP="001005E2">
            <w:pPr>
              <w:spacing w:after="0" w:line="240" w:lineRule="auto"/>
              <w:rPr>
                <w:rFonts w:ascii="Arial" w:hAnsi="Arial" w:cs="Arial"/>
                <w:sz w:val="20"/>
                <w:szCs w:val="20"/>
              </w:rPr>
            </w:pPr>
            <w:proofErr w:type="spellStart"/>
            <w:r w:rsidRPr="003E32DD">
              <w:rPr>
                <w:rFonts w:ascii="Arial" w:hAnsi="Arial" w:cs="Arial"/>
                <w:sz w:val="20"/>
                <w:szCs w:val="20"/>
              </w:rPr>
              <w:t>sigma_e</w:t>
            </w:r>
            <w:proofErr w:type="spellEnd"/>
          </w:p>
        </w:tc>
        <w:tc>
          <w:tcPr>
            <w:tcW w:w="750" w:type="pct"/>
          </w:tcPr>
          <w:p w14:paraId="39A4AFE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9.870e+08</w:t>
            </w:r>
          </w:p>
        </w:tc>
        <w:tc>
          <w:tcPr>
            <w:tcW w:w="741" w:type="pct"/>
          </w:tcPr>
          <w:p w14:paraId="7DFC0DB9"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49A75AE2" w14:textId="77777777" w:rsidR="00F316A0" w:rsidRPr="003E32DD" w:rsidRDefault="00F316A0" w:rsidP="001005E2">
            <w:pPr>
              <w:spacing w:after="0" w:line="240" w:lineRule="auto"/>
              <w:jc w:val="center"/>
              <w:rPr>
                <w:rFonts w:ascii="Arial" w:hAnsi="Arial" w:cs="Arial"/>
                <w:sz w:val="20"/>
                <w:szCs w:val="20"/>
              </w:rPr>
            </w:pPr>
          </w:p>
        </w:tc>
        <w:tc>
          <w:tcPr>
            <w:tcW w:w="619" w:type="pct"/>
          </w:tcPr>
          <w:p w14:paraId="34566080"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45E880CC" w14:textId="77777777" w:rsidTr="003E32DD">
        <w:trPr>
          <w:trHeight w:val="227"/>
        </w:trPr>
        <w:tc>
          <w:tcPr>
            <w:tcW w:w="1974" w:type="pct"/>
            <w:gridSpan w:val="2"/>
            <w:tcBorders>
              <w:bottom w:val="single" w:sz="4" w:space="0" w:color="auto"/>
            </w:tcBorders>
          </w:tcPr>
          <w:p w14:paraId="330B89E0"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Rho</w:t>
            </w:r>
          </w:p>
        </w:tc>
        <w:tc>
          <w:tcPr>
            <w:tcW w:w="750" w:type="pct"/>
            <w:tcBorders>
              <w:bottom w:val="single" w:sz="4" w:space="0" w:color="auto"/>
            </w:tcBorders>
          </w:tcPr>
          <w:p w14:paraId="5CB51BD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.48633019</w:t>
            </w:r>
          </w:p>
        </w:tc>
        <w:tc>
          <w:tcPr>
            <w:tcW w:w="2276" w:type="pct"/>
            <w:gridSpan w:val="3"/>
            <w:tcBorders>
              <w:bottom w:val="single" w:sz="4" w:space="0" w:color="auto"/>
            </w:tcBorders>
          </w:tcPr>
          <w:p w14:paraId="2AF9A2D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(fraction of variance due to μ_i)</w:t>
            </w:r>
          </w:p>
        </w:tc>
      </w:tr>
    </w:tbl>
    <w:p w14:paraId="03A1ED87" w14:textId="77777777" w:rsidR="00F316A0" w:rsidRPr="003E32DD" w:rsidRDefault="00F316A0" w:rsidP="00F316A0">
      <w:pPr>
        <w:spacing w:line="360" w:lineRule="auto"/>
        <w:jc w:val="both"/>
        <w:rPr>
          <w:rFonts w:ascii="Arial" w:hAnsi="Arial" w:cs="Arial"/>
          <w:sz w:val="20"/>
          <w:szCs w:val="20"/>
        </w:rPr>
      </w:pPr>
      <w:r w:rsidRPr="003E32DD">
        <w:rPr>
          <w:rFonts w:ascii="Arial" w:hAnsi="Arial" w:cs="Arial"/>
          <w:sz w:val="20"/>
          <w:szCs w:val="20"/>
        </w:rPr>
        <w:t>F test that all μ_i = 0: F (27, 191) = 6.63                     Prob &gt; F = 0.0000</w:t>
      </w:r>
    </w:p>
    <w:p w14:paraId="7621F83B" w14:textId="6837D1D0" w:rsidR="00F316A0" w:rsidRPr="00D40E92" w:rsidRDefault="00F316A0" w:rsidP="006C7F98">
      <w:pPr>
        <w:autoSpaceDE w:val="0"/>
        <w:autoSpaceDN w:val="0"/>
        <w:adjustRightInd w:val="0"/>
        <w:spacing w:after="0" w:line="240" w:lineRule="auto"/>
        <w:jc w:val="both"/>
        <w:rPr>
          <w:rFonts w:ascii="Arial" w:hAnsi="Arial" w:cs="Arial"/>
          <w:sz w:val="20"/>
          <w:szCs w:val="20"/>
        </w:rPr>
      </w:pPr>
      <w:bookmarkStart w:id="185" w:name="_Hlk148722533"/>
      <w:r w:rsidRPr="00D40E92">
        <w:rPr>
          <w:rFonts w:ascii="Arial" w:hAnsi="Arial" w:cs="Arial"/>
          <w:sz w:val="20"/>
          <w:szCs w:val="20"/>
        </w:rPr>
        <w:t xml:space="preserve">The null hypothesis that had been adopted in the study was that </w:t>
      </w:r>
      <w:bookmarkStart w:id="186" w:name="_Hlk148722388"/>
      <w:r w:rsidRPr="00D40E92">
        <w:rPr>
          <w:rFonts w:ascii="Arial" w:hAnsi="Arial" w:cs="Arial"/>
          <w:sz w:val="20"/>
          <w:szCs w:val="20"/>
        </w:rPr>
        <w:t xml:space="preserve">the preferred model was random effects </w:t>
      </w:r>
      <w:bookmarkEnd w:id="186"/>
      <w:r w:rsidRPr="00D40E92">
        <w:rPr>
          <w:rFonts w:ascii="Arial" w:hAnsi="Arial" w:cs="Arial"/>
          <w:sz w:val="20"/>
          <w:szCs w:val="20"/>
        </w:rPr>
        <w:t xml:space="preserve">while the alternative hypothesis was that the preferred model was fixed effects. </w:t>
      </w:r>
      <w:bookmarkStart w:id="187" w:name="_Hlk148722328"/>
      <w:r w:rsidRPr="00D40E92">
        <w:rPr>
          <w:rFonts w:ascii="Arial" w:hAnsi="Arial" w:cs="Arial"/>
          <w:sz w:val="20"/>
          <w:szCs w:val="20"/>
        </w:rPr>
        <w:t xml:space="preserve">The threshold was that if the p-value was less than 0.05, the null hypothesis was rejected. </w:t>
      </w:r>
      <w:bookmarkEnd w:id="187"/>
      <w:r w:rsidRPr="00D40E92">
        <w:rPr>
          <w:rFonts w:ascii="Arial" w:hAnsi="Arial" w:cs="Arial"/>
          <w:sz w:val="20"/>
          <w:szCs w:val="20"/>
        </w:rPr>
        <w:t xml:space="preserve"> The p-value was more than 0.05 which implies that the null hypothesis was accepted that the preferred model was random effects. </w:t>
      </w:r>
      <w:r w:rsidR="00024BFB">
        <w:rPr>
          <w:rFonts w:ascii="Arial" w:hAnsi="Arial" w:cs="Arial"/>
          <w:sz w:val="20"/>
          <w:szCs w:val="20"/>
        </w:rPr>
        <w:t xml:space="preserve">This meant that the regression coefficients differed across groups due to heterogeneity. This also meant that the results were generalizable to a wider hypothetical population of studies rather than the specific studies included in the analysis. This meant that the studies included in the current study were a random sample from a super population which allowed for inferences about the broader population. </w:t>
      </w:r>
      <w:r w:rsidRPr="00D40E92">
        <w:rPr>
          <w:rFonts w:ascii="Arial" w:hAnsi="Arial" w:cs="Arial"/>
          <w:sz w:val="20"/>
          <w:szCs w:val="20"/>
        </w:rPr>
        <w:t>Random effects test res</w:t>
      </w:r>
      <w:r w:rsidR="000725BF" w:rsidRPr="00D40E92">
        <w:rPr>
          <w:rFonts w:ascii="Arial" w:hAnsi="Arial" w:cs="Arial"/>
          <w:sz w:val="20"/>
          <w:szCs w:val="20"/>
        </w:rPr>
        <w:t xml:space="preserve">ults were presented in Table </w:t>
      </w:r>
      <w:r w:rsidR="00265C67">
        <w:rPr>
          <w:rFonts w:ascii="Arial" w:hAnsi="Arial" w:cs="Arial"/>
          <w:sz w:val="20"/>
          <w:szCs w:val="20"/>
        </w:rPr>
        <w:t>4</w:t>
      </w:r>
      <w:r w:rsidRPr="00D40E92">
        <w:rPr>
          <w:rFonts w:ascii="Arial" w:hAnsi="Arial" w:cs="Arial"/>
          <w:sz w:val="20"/>
          <w:szCs w:val="20"/>
        </w:rPr>
        <w:t>.</w:t>
      </w:r>
    </w:p>
    <w:p w14:paraId="103CE560" w14:textId="72F6747F" w:rsidR="00F316A0" w:rsidRDefault="00F316A0" w:rsidP="00F316A0">
      <w:pPr>
        <w:autoSpaceDE w:val="0"/>
        <w:autoSpaceDN w:val="0"/>
        <w:adjustRightInd w:val="0"/>
        <w:spacing w:after="0" w:line="360" w:lineRule="auto"/>
        <w:jc w:val="both"/>
        <w:rPr>
          <w:rFonts w:ascii="Times New Roman" w:hAnsi="Times New Roman" w:cs="Times New Roman"/>
          <w:sz w:val="24"/>
          <w:szCs w:val="24"/>
        </w:rPr>
      </w:pPr>
    </w:p>
    <w:p w14:paraId="73E033C1" w14:textId="7EF9C919" w:rsidR="00265C67" w:rsidRDefault="00265C67" w:rsidP="00F316A0">
      <w:pPr>
        <w:autoSpaceDE w:val="0"/>
        <w:autoSpaceDN w:val="0"/>
        <w:adjustRightInd w:val="0"/>
        <w:spacing w:after="0" w:line="360" w:lineRule="auto"/>
        <w:jc w:val="both"/>
        <w:rPr>
          <w:rFonts w:ascii="Times New Roman" w:hAnsi="Times New Roman" w:cs="Times New Roman"/>
          <w:sz w:val="24"/>
          <w:szCs w:val="24"/>
        </w:rPr>
      </w:pPr>
    </w:p>
    <w:p w14:paraId="4FA4B66C" w14:textId="4C4FF772" w:rsidR="00265C67" w:rsidRDefault="00265C67" w:rsidP="00F316A0">
      <w:pPr>
        <w:autoSpaceDE w:val="0"/>
        <w:autoSpaceDN w:val="0"/>
        <w:adjustRightInd w:val="0"/>
        <w:spacing w:after="0" w:line="360" w:lineRule="auto"/>
        <w:jc w:val="both"/>
        <w:rPr>
          <w:rFonts w:ascii="Times New Roman" w:hAnsi="Times New Roman" w:cs="Times New Roman"/>
          <w:sz w:val="24"/>
          <w:szCs w:val="24"/>
        </w:rPr>
      </w:pPr>
    </w:p>
    <w:p w14:paraId="32D4AA2E" w14:textId="559E06AA" w:rsidR="00265C67" w:rsidRDefault="00265C67" w:rsidP="00F316A0">
      <w:pPr>
        <w:autoSpaceDE w:val="0"/>
        <w:autoSpaceDN w:val="0"/>
        <w:adjustRightInd w:val="0"/>
        <w:spacing w:after="0" w:line="360" w:lineRule="auto"/>
        <w:jc w:val="both"/>
        <w:rPr>
          <w:rFonts w:ascii="Times New Roman" w:hAnsi="Times New Roman" w:cs="Times New Roman"/>
          <w:sz w:val="24"/>
          <w:szCs w:val="24"/>
        </w:rPr>
      </w:pPr>
    </w:p>
    <w:p w14:paraId="2A729D66" w14:textId="645C86D0" w:rsidR="00265C67" w:rsidRDefault="00265C67" w:rsidP="00F316A0">
      <w:pPr>
        <w:autoSpaceDE w:val="0"/>
        <w:autoSpaceDN w:val="0"/>
        <w:adjustRightInd w:val="0"/>
        <w:spacing w:after="0" w:line="360" w:lineRule="auto"/>
        <w:jc w:val="both"/>
        <w:rPr>
          <w:rFonts w:ascii="Times New Roman" w:hAnsi="Times New Roman" w:cs="Times New Roman"/>
          <w:sz w:val="24"/>
          <w:szCs w:val="24"/>
        </w:rPr>
      </w:pPr>
    </w:p>
    <w:p w14:paraId="4CACC981" w14:textId="408AA06E" w:rsidR="00265C67" w:rsidRDefault="00265C67" w:rsidP="00F316A0">
      <w:pPr>
        <w:autoSpaceDE w:val="0"/>
        <w:autoSpaceDN w:val="0"/>
        <w:adjustRightInd w:val="0"/>
        <w:spacing w:after="0" w:line="360" w:lineRule="auto"/>
        <w:jc w:val="both"/>
        <w:rPr>
          <w:rFonts w:ascii="Times New Roman" w:hAnsi="Times New Roman" w:cs="Times New Roman"/>
          <w:sz w:val="24"/>
          <w:szCs w:val="24"/>
        </w:rPr>
      </w:pPr>
    </w:p>
    <w:p w14:paraId="213964B8" w14:textId="24544260" w:rsidR="00265C67" w:rsidRDefault="00265C67" w:rsidP="00F316A0">
      <w:pPr>
        <w:autoSpaceDE w:val="0"/>
        <w:autoSpaceDN w:val="0"/>
        <w:adjustRightInd w:val="0"/>
        <w:spacing w:after="0" w:line="360" w:lineRule="auto"/>
        <w:jc w:val="both"/>
        <w:rPr>
          <w:rFonts w:ascii="Times New Roman" w:hAnsi="Times New Roman" w:cs="Times New Roman"/>
          <w:sz w:val="24"/>
          <w:szCs w:val="24"/>
        </w:rPr>
      </w:pPr>
    </w:p>
    <w:p w14:paraId="4F8325EE" w14:textId="308B17D5" w:rsidR="00265C67" w:rsidRDefault="00265C67" w:rsidP="00F316A0">
      <w:pPr>
        <w:autoSpaceDE w:val="0"/>
        <w:autoSpaceDN w:val="0"/>
        <w:adjustRightInd w:val="0"/>
        <w:spacing w:after="0" w:line="360" w:lineRule="auto"/>
        <w:jc w:val="both"/>
        <w:rPr>
          <w:rFonts w:ascii="Times New Roman" w:hAnsi="Times New Roman" w:cs="Times New Roman"/>
          <w:sz w:val="24"/>
          <w:szCs w:val="24"/>
        </w:rPr>
      </w:pPr>
    </w:p>
    <w:p w14:paraId="631E0850" w14:textId="60FFAC02" w:rsidR="00265C67" w:rsidRDefault="00265C67" w:rsidP="00F316A0">
      <w:pPr>
        <w:autoSpaceDE w:val="0"/>
        <w:autoSpaceDN w:val="0"/>
        <w:adjustRightInd w:val="0"/>
        <w:spacing w:after="0" w:line="360" w:lineRule="auto"/>
        <w:jc w:val="both"/>
        <w:rPr>
          <w:rFonts w:ascii="Times New Roman" w:hAnsi="Times New Roman" w:cs="Times New Roman"/>
          <w:sz w:val="24"/>
          <w:szCs w:val="24"/>
        </w:rPr>
      </w:pPr>
    </w:p>
    <w:p w14:paraId="0B3843C2" w14:textId="18B1AAE9" w:rsidR="00F316A0" w:rsidRPr="00D40E92" w:rsidRDefault="000725BF" w:rsidP="00F316A0">
      <w:pPr>
        <w:pStyle w:val="Caption"/>
        <w:rPr>
          <w:rFonts w:ascii="Arial" w:hAnsi="Arial" w:cs="Arial"/>
          <w:b w:val="0"/>
          <w:iCs/>
          <w:color w:val="auto"/>
          <w:sz w:val="20"/>
          <w:szCs w:val="20"/>
        </w:rPr>
      </w:pPr>
      <w:bookmarkStart w:id="188" w:name="_Toc190372120"/>
      <w:bookmarkEnd w:id="185"/>
      <w:r w:rsidRPr="00D40E92">
        <w:rPr>
          <w:rFonts w:ascii="Arial" w:hAnsi="Arial" w:cs="Arial"/>
          <w:color w:val="auto"/>
          <w:sz w:val="20"/>
          <w:szCs w:val="20"/>
        </w:rPr>
        <w:lastRenderedPageBreak/>
        <w:t xml:space="preserve">Table </w:t>
      </w:r>
      <w:r w:rsidR="00265C67">
        <w:rPr>
          <w:rFonts w:ascii="Arial" w:hAnsi="Arial" w:cs="Arial"/>
          <w:color w:val="auto"/>
          <w:sz w:val="20"/>
          <w:szCs w:val="20"/>
        </w:rPr>
        <w:t>4</w:t>
      </w:r>
      <w:r w:rsidR="00F316A0" w:rsidRPr="00D40E92">
        <w:rPr>
          <w:rFonts w:ascii="Arial" w:hAnsi="Arial" w:cs="Arial"/>
          <w:color w:val="auto"/>
          <w:sz w:val="20"/>
          <w:szCs w:val="20"/>
        </w:rPr>
        <w:t>: Random Effects Test Results</w:t>
      </w:r>
      <w:bookmarkEnd w:id="188"/>
    </w:p>
    <w:tbl>
      <w:tblPr>
        <w:tblW w:w="4423" w:type="pct"/>
        <w:tblInd w:w="624" w:type="dxa"/>
        <w:tblLook w:val="04A0" w:firstRow="1" w:lastRow="0" w:firstColumn="1" w:lastColumn="0" w:noHBand="0" w:noVBand="1"/>
      </w:tblPr>
      <w:tblGrid>
        <w:gridCol w:w="1723"/>
        <w:gridCol w:w="1530"/>
        <w:gridCol w:w="1348"/>
        <w:gridCol w:w="1106"/>
        <w:gridCol w:w="1745"/>
        <w:gridCol w:w="828"/>
      </w:tblGrid>
      <w:tr w:rsidR="00F316A0" w:rsidRPr="00470D6D" w14:paraId="38136377" w14:textId="77777777" w:rsidTr="00E76F1A">
        <w:trPr>
          <w:trHeight w:val="243"/>
        </w:trPr>
        <w:tc>
          <w:tcPr>
            <w:tcW w:w="3446" w:type="pct"/>
            <w:gridSpan w:val="4"/>
            <w:tcBorders>
              <w:top w:val="single" w:sz="4" w:space="0" w:color="auto"/>
            </w:tcBorders>
          </w:tcPr>
          <w:p w14:paraId="088C1F94" w14:textId="77777777" w:rsidR="00F316A0" w:rsidRPr="00D40E92" w:rsidRDefault="00F316A0" w:rsidP="006C7F98">
            <w:pPr>
              <w:spacing w:after="0" w:line="240" w:lineRule="auto"/>
              <w:rPr>
                <w:rFonts w:ascii="Arial" w:hAnsi="Arial" w:cs="Arial"/>
                <w:b/>
                <w:sz w:val="20"/>
                <w:szCs w:val="20"/>
              </w:rPr>
            </w:pPr>
            <w:r w:rsidRPr="00D40E92">
              <w:rPr>
                <w:rFonts w:ascii="Arial" w:hAnsi="Arial" w:cs="Arial"/>
                <w:sz w:val="20"/>
                <w:szCs w:val="20"/>
              </w:rPr>
              <w:t>Random-effects GLS regression</w:t>
            </w:r>
          </w:p>
        </w:tc>
        <w:tc>
          <w:tcPr>
            <w:tcW w:w="1054" w:type="pct"/>
            <w:tcBorders>
              <w:top w:val="single" w:sz="4" w:space="0" w:color="auto"/>
            </w:tcBorders>
          </w:tcPr>
          <w:p w14:paraId="02A429CA"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 xml:space="preserve">Number of </w:t>
            </w:r>
            <w:proofErr w:type="spellStart"/>
            <w:r w:rsidRPr="00D40E92">
              <w:rPr>
                <w:rFonts w:ascii="Arial" w:hAnsi="Arial" w:cs="Arial"/>
                <w:sz w:val="20"/>
                <w:szCs w:val="20"/>
              </w:rPr>
              <w:t>obs</w:t>
            </w:r>
            <w:proofErr w:type="spellEnd"/>
          </w:p>
        </w:tc>
        <w:tc>
          <w:tcPr>
            <w:tcW w:w="500" w:type="pct"/>
            <w:tcBorders>
              <w:top w:val="single" w:sz="4" w:space="0" w:color="auto"/>
            </w:tcBorders>
          </w:tcPr>
          <w:p w14:paraId="6EE3E69F"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252</w:t>
            </w:r>
          </w:p>
        </w:tc>
      </w:tr>
      <w:tr w:rsidR="00F316A0" w:rsidRPr="00470D6D" w14:paraId="1006ABFC" w14:textId="77777777" w:rsidTr="00E76F1A">
        <w:trPr>
          <w:trHeight w:val="243"/>
        </w:trPr>
        <w:tc>
          <w:tcPr>
            <w:tcW w:w="3446" w:type="pct"/>
            <w:gridSpan w:val="4"/>
          </w:tcPr>
          <w:p w14:paraId="5ADBA6D1"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Group variable: unit trust</w:t>
            </w:r>
          </w:p>
        </w:tc>
        <w:tc>
          <w:tcPr>
            <w:tcW w:w="1054" w:type="pct"/>
          </w:tcPr>
          <w:p w14:paraId="379B90E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Number of groups</w:t>
            </w:r>
          </w:p>
        </w:tc>
        <w:tc>
          <w:tcPr>
            <w:tcW w:w="500" w:type="pct"/>
          </w:tcPr>
          <w:p w14:paraId="66135DE9"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28</w:t>
            </w:r>
          </w:p>
        </w:tc>
      </w:tr>
      <w:tr w:rsidR="00F316A0" w:rsidRPr="00470D6D" w14:paraId="6FD11C1C" w14:textId="77777777" w:rsidTr="00E76F1A">
        <w:trPr>
          <w:trHeight w:val="243"/>
        </w:trPr>
        <w:tc>
          <w:tcPr>
            <w:tcW w:w="3446" w:type="pct"/>
            <w:gridSpan w:val="4"/>
          </w:tcPr>
          <w:p w14:paraId="6B008B15" w14:textId="77777777" w:rsidR="00F316A0" w:rsidRPr="00D40E92" w:rsidRDefault="00F316A0" w:rsidP="006C7F98">
            <w:pPr>
              <w:spacing w:after="0" w:line="240" w:lineRule="auto"/>
              <w:jc w:val="center"/>
              <w:rPr>
                <w:rFonts w:ascii="Arial" w:hAnsi="Arial" w:cs="Arial"/>
                <w:sz w:val="20"/>
                <w:szCs w:val="20"/>
              </w:rPr>
            </w:pPr>
          </w:p>
        </w:tc>
        <w:tc>
          <w:tcPr>
            <w:tcW w:w="1054" w:type="pct"/>
          </w:tcPr>
          <w:p w14:paraId="0EE488BD" w14:textId="77777777" w:rsidR="00F316A0" w:rsidRPr="00D40E92" w:rsidRDefault="00F316A0" w:rsidP="006C7F98">
            <w:pPr>
              <w:spacing w:after="0" w:line="240" w:lineRule="auto"/>
              <w:jc w:val="center"/>
              <w:rPr>
                <w:rFonts w:ascii="Arial" w:hAnsi="Arial" w:cs="Arial"/>
                <w:sz w:val="20"/>
                <w:szCs w:val="20"/>
              </w:rPr>
            </w:pPr>
            <w:proofErr w:type="spellStart"/>
            <w:r w:rsidRPr="00D40E92">
              <w:rPr>
                <w:rFonts w:ascii="Arial" w:hAnsi="Arial" w:cs="Arial"/>
                <w:sz w:val="20"/>
                <w:szCs w:val="20"/>
              </w:rPr>
              <w:t>Obs</w:t>
            </w:r>
            <w:proofErr w:type="spellEnd"/>
            <w:r w:rsidRPr="00D40E92">
              <w:rPr>
                <w:rFonts w:ascii="Arial" w:hAnsi="Arial" w:cs="Arial"/>
                <w:sz w:val="20"/>
                <w:szCs w:val="20"/>
              </w:rPr>
              <w:t xml:space="preserve"> per group:</w:t>
            </w:r>
          </w:p>
        </w:tc>
        <w:tc>
          <w:tcPr>
            <w:tcW w:w="500" w:type="pct"/>
          </w:tcPr>
          <w:p w14:paraId="705E618C"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3752C553" w14:textId="77777777" w:rsidTr="00E76F1A">
        <w:trPr>
          <w:trHeight w:val="243"/>
        </w:trPr>
        <w:tc>
          <w:tcPr>
            <w:tcW w:w="1040" w:type="pct"/>
          </w:tcPr>
          <w:p w14:paraId="44305FDF"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R-sq:</w:t>
            </w:r>
          </w:p>
        </w:tc>
        <w:tc>
          <w:tcPr>
            <w:tcW w:w="1738" w:type="pct"/>
            <w:gridSpan w:val="2"/>
          </w:tcPr>
          <w:p w14:paraId="0EDAD80A" w14:textId="77777777" w:rsidR="00F316A0" w:rsidRPr="00D40E92" w:rsidRDefault="00F316A0" w:rsidP="006C7F98">
            <w:pPr>
              <w:spacing w:after="0" w:line="240" w:lineRule="auto"/>
              <w:jc w:val="center"/>
              <w:rPr>
                <w:rFonts w:ascii="Arial" w:hAnsi="Arial" w:cs="Arial"/>
                <w:b/>
                <w:sz w:val="20"/>
                <w:szCs w:val="20"/>
              </w:rPr>
            </w:pPr>
          </w:p>
        </w:tc>
        <w:tc>
          <w:tcPr>
            <w:tcW w:w="668" w:type="pct"/>
          </w:tcPr>
          <w:p w14:paraId="7C9EABEE" w14:textId="77777777" w:rsidR="00F316A0" w:rsidRPr="00D40E92" w:rsidRDefault="00F316A0" w:rsidP="006C7F98">
            <w:pPr>
              <w:spacing w:after="0" w:line="240" w:lineRule="auto"/>
              <w:jc w:val="center"/>
              <w:rPr>
                <w:rFonts w:ascii="Arial" w:hAnsi="Arial" w:cs="Arial"/>
                <w:b/>
                <w:sz w:val="20"/>
                <w:szCs w:val="20"/>
              </w:rPr>
            </w:pPr>
          </w:p>
        </w:tc>
        <w:tc>
          <w:tcPr>
            <w:tcW w:w="1054" w:type="pct"/>
          </w:tcPr>
          <w:p w14:paraId="6E36C16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Min</w:t>
            </w:r>
          </w:p>
        </w:tc>
        <w:tc>
          <w:tcPr>
            <w:tcW w:w="500" w:type="pct"/>
          </w:tcPr>
          <w:p w14:paraId="45A71EB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w:t>
            </w:r>
          </w:p>
        </w:tc>
      </w:tr>
      <w:tr w:rsidR="00F316A0" w:rsidRPr="00470D6D" w14:paraId="7C4707DB" w14:textId="77777777" w:rsidTr="00E76F1A">
        <w:trPr>
          <w:trHeight w:val="256"/>
        </w:trPr>
        <w:tc>
          <w:tcPr>
            <w:tcW w:w="1040" w:type="pct"/>
          </w:tcPr>
          <w:p w14:paraId="7D68CF60"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t>Within</w:t>
            </w:r>
          </w:p>
        </w:tc>
        <w:tc>
          <w:tcPr>
            <w:tcW w:w="1738" w:type="pct"/>
            <w:gridSpan w:val="2"/>
          </w:tcPr>
          <w:p w14:paraId="38E887FE"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0.0198</w:t>
            </w:r>
          </w:p>
        </w:tc>
        <w:tc>
          <w:tcPr>
            <w:tcW w:w="668" w:type="pct"/>
          </w:tcPr>
          <w:p w14:paraId="4BB5E753" w14:textId="77777777" w:rsidR="00F316A0" w:rsidRPr="00D40E92" w:rsidRDefault="00F316A0" w:rsidP="006C7F98">
            <w:pPr>
              <w:spacing w:after="0" w:line="240" w:lineRule="auto"/>
              <w:jc w:val="both"/>
              <w:rPr>
                <w:rFonts w:ascii="Arial" w:hAnsi="Arial" w:cs="Arial"/>
                <w:sz w:val="20"/>
                <w:szCs w:val="20"/>
              </w:rPr>
            </w:pPr>
          </w:p>
        </w:tc>
        <w:tc>
          <w:tcPr>
            <w:tcW w:w="1054" w:type="pct"/>
          </w:tcPr>
          <w:p w14:paraId="1C78430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Avg</w:t>
            </w:r>
          </w:p>
        </w:tc>
        <w:tc>
          <w:tcPr>
            <w:tcW w:w="500" w:type="pct"/>
          </w:tcPr>
          <w:p w14:paraId="4CAF4DC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9.0</w:t>
            </w:r>
          </w:p>
        </w:tc>
      </w:tr>
      <w:tr w:rsidR="00F316A0" w:rsidRPr="00470D6D" w14:paraId="32F1A5F7" w14:textId="77777777" w:rsidTr="00E76F1A">
        <w:trPr>
          <w:trHeight w:val="486"/>
        </w:trPr>
        <w:tc>
          <w:tcPr>
            <w:tcW w:w="1040" w:type="pct"/>
          </w:tcPr>
          <w:p w14:paraId="4C054A7A"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t>Between</w:t>
            </w:r>
          </w:p>
          <w:p w14:paraId="02071625"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t>Overall</w:t>
            </w:r>
          </w:p>
        </w:tc>
        <w:tc>
          <w:tcPr>
            <w:tcW w:w="1738" w:type="pct"/>
            <w:gridSpan w:val="2"/>
          </w:tcPr>
          <w:p w14:paraId="64E94B8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0.0557</w:t>
            </w:r>
          </w:p>
          <w:p w14:paraId="65035BD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0.0374</w:t>
            </w:r>
          </w:p>
        </w:tc>
        <w:tc>
          <w:tcPr>
            <w:tcW w:w="668" w:type="pct"/>
          </w:tcPr>
          <w:p w14:paraId="4CE6A011" w14:textId="77777777" w:rsidR="00F316A0" w:rsidRPr="00D40E92" w:rsidRDefault="00F316A0" w:rsidP="006C7F98">
            <w:pPr>
              <w:spacing w:after="0" w:line="240" w:lineRule="auto"/>
              <w:jc w:val="both"/>
              <w:rPr>
                <w:rFonts w:ascii="Arial" w:hAnsi="Arial" w:cs="Arial"/>
                <w:sz w:val="20"/>
                <w:szCs w:val="20"/>
              </w:rPr>
            </w:pPr>
          </w:p>
        </w:tc>
        <w:tc>
          <w:tcPr>
            <w:tcW w:w="1054" w:type="pct"/>
          </w:tcPr>
          <w:p w14:paraId="4697940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Max</w:t>
            </w:r>
          </w:p>
          <w:p w14:paraId="4016A0F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Wald chi</w:t>
            </w:r>
            <w:r w:rsidRPr="00D40E92">
              <w:rPr>
                <w:rFonts w:ascii="Arial" w:hAnsi="Arial" w:cs="Arial"/>
                <w:sz w:val="20"/>
                <w:szCs w:val="20"/>
                <w:vertAlign w:val="superscript"/>
              </w:rPr>
              <w:t>2</w:t>
            </w:r>
            <w:r w:rsidRPr="00D40E92">
              <w:rPr>
                <w:rFonts w:ascii="Arial" w:hAnsi="Arial" w:cs="Arial"/>
                <w:sz w:val="20"/>
                <w:szCs w:val="20"/>
              </w:rPr>
              <w:t>(5)</w:t>
            </w:r>
          </w:p>
        </w:tc>
        <w:tc>
          <w:tcPr>
            <w:tcW w:w="500" w:type="pct"/>
          </w:tcPr>
          <w:p w14:paraId="3F291392"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w:t>
            </w:r>
          </w:p>
          <w:p w14:paraId="25E08F99"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5.29</w:t>
            </w:r>
          </w:p>
        </w:tc>
      </w:tr>
      <w:tr w:rsidR="00F316A0" w:rsidRPr="00470D6D" w14:paraId="35E112A0" w14:textId="77777777" w:rsidTr="00E76F1A">
        <w:trPr>
          <w:trHeight w:val="243"/>
        </w:trPr>
        <w:tc>
          <w:tcPr>
            <w:tcW w:w="1040" w:type="pct"/>
            <w:tcBorders>
              <w:bottom w:val="single" w:sz="4" w:space="0" w:color="auto"/>
            </w:tcBorders>
          </w:tcPr>
          <w:p w14:paraId="7B78D635" w14:textId="77777777" w:rsidR="00F316A0" w:rsidRPr="00D40E92" w:rsidRDefault="00F316A0" w:rsidP="006C7F98">
            <w:pPr>
              <w:spacing w:after="0" w:line="240" w:lineRule="auto"/>
              <w:jc w:val="both"/>
              <w:rPr>
                <w:rFonts w:ascii="Arial" w:hAnsi="Arial" w:cs="Arial"/>
                <w:sz w:val="20"/>
                <w:szCs w:val="20"/>
              </w:rPr>
            </w:pPr>
            <w:proofErr w:type="spellStart"/>
            <w:r w:rsidRPr="00D40E92">
              <w:rPr>
                <w:rFonts w:ascii="Arial" w:hAnsi="Arial" w:cs="Arial"/>
                <w:sz w:val="20"/>
                <w:szCs w:val="20"/>
              </w:rPr>
              <w:t>Corr</w:t>
            </w:r>
            <w:proofErr w:type="spellEnd"/>
            <w:r w:rsidRPr="00D40E92">
              <w:rPr>
                <w:rFonts w:ascii="Arial" w:hAnsi="Arial" w:cs="Arial"/>
                <w:sz w:val="20"/>
                <w:szCs w:val="20"/>
              </w:rPr>
              <w:t xml:space="preserve"> (</w:t>
            </w:r>
            <w:proofErr w:type="spellStart"/>
            <w:r w:rsidRPr="00D40E92">
              <w:rPr>
                <w:rFonts w:ascii="Arial" w:hAnsi="Arial" w:cs="Arial"/>
                <w:sz w:val="20"/>
                <w:szCs w:val="20"/>
              </w:rPr>
              <w:t>μ_i</w:t>
            </w:r>
            <w:proofErr w:type="spellEnd"/>
            <w:r w:rsidRPr="00D40E92">
              <w:rPr>
                <w:rFonts w:ascii="Arial" w:hAnsi="Arial" w:cs="Arial"/>
                <w:sz w:val="20"/>
                <w:szCs w:val="20"/>
              </w:rPr>
              <w:t>, X)</w:t>
            </w:r>
          </w:p>
        </w:tc>
        <w:tc>
          <w:tcPr>
            <w:tcW w:w="1738" w:type="pct"/>
            <w:gridSpan w:val="2"/>
            <w:tcBorders>
              <w:bottom w:val="single" w:sz="4" w:space="0" w:color="auto"/>
            </w:tcBorders>
          </w:tcPr>
          <w:p w14:paraId="65BEBB8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 (assumed)</w:t>
            </w:r>
          </w:p>
        </w:tc>
        <w:tc>
          <w:tcPr>
            <w:tcW w:w="668" w:type="pct"/>
            <w:tcBorders>
              <w:bottom w:val="single" w:sz="4" w:space="0" w:color="auto"/>
            </w:tcBorders>
          </w:tcPr>
          <w:p w14:paraId="612CB85A" w14:textId="77777777" w:rsidR="00F316A0" w:rsidRPr="00D40E92" w:rsidRDefault="00F316A0" w:rsidP="006C7F98">
            <w:pPr>
              <w:spacing w:after="0" w:line="240" w:lineRule="auto"/>
              <w:jc w:val="both"/>
              <w:rPr>
                <w:rFonts w:ascii="Arial" w:hAnsi="Arial" w:cs="Arial"/>
                <w:sz w:val="20"/>
                <w:szCs w:val="20"/>
              </w:rPr>
            </w:pPr>
          </w:p>
        </w:tc>
        <w:tc>
          <w:tcPr>
            <w:tcW w:w="1054" w:type="pct"/>
            <w:tcBorders>
              <w:bottom w:val="single" w:sz="4" w:space="0" w:color="auto"/>
            </w:tcBorders>
          </w:tcPr>
          <w:p w14:paraId="0BA9492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Prob &gt; chi</w:t>
            </w:r>
            <w:r w:rsidRPr="00D40E92">
              <w:rPr>
                <w:rFonts w:ascii="Arial" w:hAnsi="Arial" w:cs="Arial"/>
                <w:sz w:val="20"/>
                <w:szCs w:val="20"/>
                <w:vertAlign w:val="superscript"/>
              </w:rPr>
              <w:t>2</w:t>
            </w:r>
          </w:p>
        </w:tc>
        <w:tc>
          <w:tcPr>
            <w:tcW w:w="500" w:type="pct"/>
            <w:tcBorders>
              <w:bottom w:val="single" w:sz="4" w:space="0" w:color="auto"/>
            </w:tcBorders>
          </w:tcPr>
          <w:p w14:paraId="7867818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0.3821</w:t>
            </w:r>
          </w:p>
        </w:tc>
      </w:tr>
      <w:tr w:rsidR="00F316A0" w:rsidRPr="00470D6D" w14:paraId="10284AD1" w14:textId="77777777" w:rsidTr="00E76F1A">
        <w:trPr>
          <w:trHeight w:val="243"/>
        </w:trPr>
        <w:tc>
          <w:tcPr>
            <w:tcW w:w="1964" w:type="pct"/>
            <w:gridSpan w:val="2"/>
            <w:tcBorders>
              <w:top w:val="single" w:sz="4" w:space="0" w:color="auto"/>
              <w:bottom w:val="single" w:sz="4" w:space="0" w:color="auto"/>
            </w:tcBorders>
          </w:tcPr>
          <w:p w14:paraId="16946443" w14:textId="77777777" w:rsidR="00F316A0" w:rsidRPr="00D40E92" w:rsidRDefault="00F316A0" w:rsidP="006C7F98">
            <w:pPr>
              <w:spacing w:after="0" w:line="240" w:lineRule="auto"/>
              <w:jc w:val="both"/>
              <w:rPr>
                <w:rFonts w:ascii="Arial" w:hAnsi="Arial" w:cs="Arial"/>
                <w:b/>
                <w:sz w:val="20"/>
                <w:szCs w:val="20"/>
              </w:rPr>
            </w:pPr>
            <w:r w:rsidRPr="00D40E92">
              <w:rPr>
                <w:rFonts w:ascii="Arial" w:hAnsi="Arial" w:cs="Arial"/>
                <w:b/>
                <w:sz w:val="20"/>
                <w:szCs w:val="20"/>
              </w:rPr>
              <w:t>Performance of UTFs</w:t>
            </w:r>
          </w:p>
        </w:tc>
        <w:tc>
          <w:tcPr>
            <w:tcW w:w="814" w:type="pct"/>
            <w:tcBorders>
              <w:top w:val="single" w:sz="4" w:space="0" w:color="auto"/>
              <w:bottom w:val="single" w:sz="4" w:space="0" w:color="auto"/>
            </w:tcBorders>
          </w:tcPr>
          <w:p w14:paraId="55D7138A"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Coef.</w:t>
            </w:r>
          </w:p>
        </w:tc>
        <w:tc>
          <w:tcPr>
            <w:tcW w:w="668" w:type="pct"/>
            <w:tcBorders>
              <w:top w:val="single" w:sz="4" w:space="0" w:color="auto"/>
              <w:bottom w:val="single" w:sz="4" w:space="0" w:color="auto"/>
            </w:tcBorders>
          </w:tcPr>
          <w:p w14:paraId="37156DA0"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Std. Err.</w:t>
            </w:r>
          </w:p>
        </w:tc>
        <w:tc>
          <w:tcPr>
            <w:tcW w:w="1054" w:type="pct"/>
            <w:tcBorders>
              <w:top w:val="single" w:sz="4" w:space="0" w:color="auto"/>
              <w:bottom w:val="single" w:sz="4" w:space="0" w:color="auto"/>
            </w:tcBorders>
          </w:tcPr>
          <w:p w14:paraId="4C1B5A7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Z</w:t>
            </w:r>
          </w:p>
        </w:tc>
        <w:tc>
          <w:tcPr>
            <w:tcW w:w="500" w:type="pct"/>
            <w:tcBorders>
              <w:top w:val="single" w:sz="4" w:space="0" w:color="auto"/>
              <w:bottom w:val="single" w:sz="4" w:space="0" w:color="auto"/>
            </w:tcBorders>
          </w:tcPr>
          <w:p w14:paraId="506A1158"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P&gt;|t|</w:t>
            </w:r>
          </w:p>
        </w:tc>
      </w:tr>
      <w:tr w:rsidR="00F316A0" w:rsidRPr="00470D6D" w14:paraId="2E17FAF7" w14:textId="77777777" w:rsidTr="00E76F1A">
        <w:trPr>
          <w:trHeight w:val="243"/>
        </w:trPr>
        <w:tc>
          <w:tcPr>
            <w:tcW w:w="1964" w:type="pct"/>
            <w:gridSpan w:val="2"/>
          </w:tcPr>
          <w:p w14:paraId="6DFFE7DA"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Investing in fixed deposits</w:t>
            </w:r>
          </w:p>
        </w:tc>
        <w:tc>
          <w:tcPr>
            <w:tcW w:w="814" w:type="pct"/>
          </w:tcPr>
          <w:p w14:paraId="0D6E90A2"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668" w:type="pct"/>
          </w:tcPr>
          <w:p w14:paraId="65AF42D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8.08e+08</w:t>
            </w:r>
          </w:p>
        </w:tc>
        <w:tc>
          <w:tcPr>
            <w:tcW w:w="1054" w:type="pct"/>
          </w:tcPr>
          <w:p w14:paraId="0FA3D7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0.26</w:t>
            </w:r>
          </w:p>
        </w:tc>
        <w:tc>
          <w:tcPr>
            <w:tcW w:w="500" w:type="pct"/>
          </w:tcPr>
          <w:p w14:paraId="1B808FC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0.795</w:t>
            </w:r>
          </w:p>
        </w:tc>
      </w:tr>
      <w:tr w:rsidR="00F316A0" w:rsidRPr="00470D6D" w14:paraId="0B97A027" w14:textId="77777777" w:rsidTr="00E76F1A">
        <w:trPr>
          <w:trHeight w:val="243"/>
        </w:trPr>
        <w:tc>
          <w:tcPr>
            <w:tcW w:w="1964" w:type="pct"/>
            <w:gridSpan w:val="2"/>
          </w:tcPr>
          <w:p w14:paraId="6903A860"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Fund size</w:t>
            </w:r>
          </w:p>
        </w:tc>
        <w:tc>
          <w:tcPr>
            <w:tcW w:w="814" w:type="pct"/>
          </w:tcPr>
          <w:p w14:paraId="4C5F52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2.68e+08</w:t>
            </w:r>
          </w:p>
        </w:tc>
        <w:tc>
          <w:tcPr>
            <w:tcW w:w="668" w:type="pct"/>
          </w:tcPr>
          <w:p w14:paraId="7FDE7B0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1054" w:type="pct"/>
          </w:tcPr>
          <w:p w14:paraId="1521A5F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1.28</w:t>
            </w:r>
          </w:p>
        </w:tc>
        <w:tc>
          <w:tcPr>
            <w:tcW w:w="500" w:type="pct"/>
          </w:tcPr>
          <w:p w14:paraId="46E99F7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0.202</w:t>
            </w:r>
          </w:p>
        </w:tc>
      </w:tr>
      <w:tr w:rsidR="00F316A0" w:rsidRPr="00470D6D" w14:paraId="247F6B12" w14:textId="77777777" w:rsidTr="00E76F1A">
        <w:trPr>
          <w:trHeight w:val="256"/>
        </w:trPr>
        <w:tc>
          <w:tcPr>
            <w:tcW w:w="1964" w:type="pct"/>
            <w:gridSpan w:val="2"/>
          </w:tcPr>
          <w:p w14:paraId="52E7BEAD"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Cons</w:t>
            </w:r>
          </w:p>
        </w:tc>
        <w:tc>
          <w:tcPr>
            <w:tcW w:w="814" w:type="pct"/>
          </w:tcPr>
          <w:p w14:paraId="1F8AC9C4"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-1.21e+09</w:t>
            </w:r>
          </w:p>
        </w:tc>
        <w:tc>
          <w:tcPr>
            <w:tcW w:w="668" w:type="pct"/>
          </w:tcPr>
          <w:p w14:paraId="2A6B32A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1.11e+09</w:t>
            </w:r>
          </w:p>
        </w:tc>
        <w:tc>
          <w:tcPr>
            <w:tcW w:w="1054" w:type="pct"/>
          </w:tcPr>
          <w:p w14:paraId="6D83115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-1.09</w:t>
            </w:r>
          </w:p>
        </w:tc>
        <w:tc>
          <w:tcPr>
            <w:tcW w:w="500" w:type="pct"/>
          </w:tcPr>
          <w:p w14:paraId="583C832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0.274</w:t>
            </w:r>
          </w:p>
        </w:tc>
      </w:tr>
      <w:tr w:rsidR="00F316A0" w:rsidRPr="00470D6D" w14:paraId="679E7FF0" w14:textId="77777777" w:rsidTr="00E76F1A">
        <w:trPr>
          <w:trHeight w:val="243"/>
        </w:trPr>
        <w:tc>
          <w:tcPr>
            <w:tcW w:w="1964" w:type="pct"/>
            <w:gridSpan w:val="2"/>
          </w:tcPr>
          <w:p w14:paraId="473B6276"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sigma_ μ</w:t>
            </w:r>
          </w:p>
        </w:tc>
        <w:tc>
          <w:tcPr>
            <w:tcW w:w="814" w:type="pct"/>
          </w:tcPr>
          <w:p w14:paraId="4C3D294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9.197e+08</w:t>
            </w:r>
          </w:p>
        </w:tc>
        <w:tc>
          <w:tcPr>
            <w:tcW w:w="668" w:type="pct"/>
          </w:tcPr>
          <w:p w14:paraId="6166400B" w14:textId="77777777" w:rsidR="00F316A0" w:rsidRPr="00D40E92" w:rsidRDefault="00F316A0" w:rsidP="006C7F98">
            <w:pPr>
              <w:spacing w:after="0" w:line="240" w:lineRule="auto"/>
              <w:jc w:val="center"/>
              <w:rPr>
                <w:rFonts w:ascii="Arial" w:hAnsi="Arial" w:cs="Arial"/>
                <w:sz w:val="20"/>
                <w:szCs w:val="20"/>
              </w:rPr>
            </w:pPr>
          </w:p>
        </w:tc>
        <w:tc>
          <w:tcPr>
            <w:tcW w:w="1054" w:type="pct"/>
          </w:tcPr>
          <w:p w14:paraId="2AB3D45E" w14:textId="77777777" w:rsidR="00F316A0" w:rsidRPr="00D40E92" w:rsidRDefault="00F316A0" w:rsidP="006C7F98">
            <w:pPr>
              <w:spacing w:after="0" w:line="240" w:lineRule="auto"/>
              <w:jc w:val="center"/>
              <w:rPr>
                <w:rFonts w:ascii="Arial" w:hAnsi="Arial" w:cs="Arial"/>
                <w:sz w:val="20"/>
                <w:szCs w:val="20"/>
              </w:rPr>
            </w:pPr>
          </w:p>
        </w:tc>
        <w:tc>
          <w:tcPr>
            <w:tcW w:w="500" w:type="pct"/>
          </w:tcPr>
          <w:p w14:paraId="4FE6E2FA"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21C6EE9E" w14:textId="77777777" w:rsidTr="00E76F1A">
        <w:trPr>
          <w:trHeight w:val="243"/>
        </w:trPr>
        <w:tc>
          <w:tcPr>
            <w:tcW w:w="1964" w:type="pct"/>
            <w:gridSpan w:val="2"/>
          </w:tcPr>
          <w:p w14:paraId="469F0256" w14:textId="77777777" w:rsidR="00F316A0" w:rsidRPr="00D40E92" w:rsidRDefault="00F316A0" w:rsidP="006C7F98">
            <w:pPr>
              <w:spacing w:after="0" w:line="240" w:lineRule="auto"/>
              <w:rPr>
                <w:rFonts w:ascii="Arial" w:hAnsi="Arial" w:cs="Arial"/>
                <w:sz w:val="20"/>
                <w:szCs w:val="20"/>
              </w:rPr>
            </w:pPr>
            <w:proofErr w:type="spellStart"/>
            <w:r w:rsidRPr="00D40E92">
              <w:rPr>
                <w:rFonts w:ascii="Arial" w:hAnsi="Arial" w:cs="Arial"/>
                <w:sz w:val="20"/>
                <w:szCs w:val="20"/>
              </w:rPr>
              <w:t>sigma_e</w:t>
            </w:r>
            <w:proofErr w:type="spellEnd"/>
          </w:p>
        </w:tc>
        <w:tc>
          <w:tcPr>
            <w:tcW w:w="814" w:type="pct"/>
          </w:tcPr>
          <w:p w14:paraId="5D29898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9.870e+08</w:t>
            </w:r>
          </w:p>
        </w:tc>
        <w:tc>
          <w:tcPr>
            <w:tcW w:w="668" w:type="pct"/>
          </w:tcPr>
          <w:p w14:paraId="1D8D527D" w14:textId="77777777" w:rsidR="00F316A0" w:rsidRPr="00D40E92" w:rsidRDefault="00F316A0" w:rsidP="006C7F98">
            <w:pPr>
              <w:spacing w:after="0" w:line="240" w:lineRule="auto"/>
              <w:jc w:val="center"/>
              <w:rPr>
                <w:rFonts w:ascii="Arial" w:hAnsi="Arial" w:cs="Arial"/>
                <w:sz w:val="20"/>
                <w:szCs w:val="20"/>
              </w:rPr>
            </w:pPr>
          </w:p>
        </w:tc>
        <w:tc>
          <w:tcPr>
            <w:tcW w:w="1054" w:type="pct"/>
          </w:tcPr>
          <w:p w14:paraId="51A24E77" w14:textId="77777777" w:rsidR="00F316A0" w:rsidRPr="00D40E92" w:rsidRDefault="00F316A0" w:rsidP="006C7F98">
            <w:pPr>
              <w:spacing w:after="0" w:line="240" w:lineRule="auto"/>
              <w:jc w:val="center"/>
              <w:rPr>
                <w:rFonts w:ascii="Arial" w:hAnsi="Arial" w:cs="Arial"/>
                <w:sz w:val="20"/>
                <w:szCs w:val="20"/>
              </w:rPr>
            </w:pPr>
          </w:p>
        </w:tc>
        <w:tc>
          <w:tcPr>
            <w:tcW w:w="500" w:type="pct"/>
          </w:tcPr>
          <w:p w14:paraId="5AA908E4"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5C2A32E5" w14:textId="77777777" w:rsidTr="00E76F1A">
        <w:trPr>
          <w:trHeight w:val="243"/>
        </w:trPr>
        <w:tc>
          <w:tcPr>
            <w:tcW w:w="1964" w:type="pct"/>
            <w:gridSpan w:val="2"/>
            <w:tcBorders>
              <w:bottom w:val="single" w:sz="4" w:space="0" w:color="auto"/>
            </w:tcBorders>
          </w:tcPr>
          <w:p w14:paraId="67BCEA6E"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Rho</w:t>
            </w:r>
          </w:p>
        </w:tc>
        <w:tc>
          <w:tcPr>
            <w:tcW w:w="814" w:type="pct"/>
            <w:tcBorders>
              <w:bottom w:val="single" w:sz="4" w:space="0" w:color="auto"/>
            </w:tcBorders>
          </w:tcPr>
          <w:p w14:paraId="557A5F4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.46479343</w:t>
            </w:r>
          </w:p>
        </w:tc>
        <w:tc>
          <w:tcPr>
            <w:tcW w:w="2222" w:type="pct"/>
            <w:gridSpan w:val="3"/>
            <w:tcBorders>
              <w:bottom w:val="single" w:sz="4" w:space="0" w:color="auto"/>
            </w:tcBorders>
          </w:tcPr>
          <w:p w14:paraId="52A69836"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(Fraction of variance due to μ_i)</w:t>
            </w:r>
          </w:p>
        </w:tc>
      </w:tr>
    </w:tbl>
    <w:p w14:paraId="59EF6EE1" w14:textId="77777777" w:rsidR="001005E2" w:rsidRDefault="001005E2" w:rsidP="006C7F98">
      <w:pPr>
        <w:autoSpaceDE w:val="0"/>
        <w:autoSpaceDN w:val="0"/>
        <w:adjustRightInd w:val="0"/>
        <w:spacing w:after="0" w:line="240" w:lineRule="auto"/>
        <w:jc w:val="both"/>
        <w:rPr>
          <w:rFonts w:ascii="Times New Roman" w:hAnsi="Times New Roman" w:cs="Times New Roman"/>
          <w:sz w:val="24"/>
          <w:szCs w:val="24"/>
        </w:rPr>
      </w:pPr>
      <w:bookmarkStart w:id="189" w:name="_Toc147256081"/>
    </w:p>
    <w:p w14:paraId="517D98F6" w14:textId="326B58E0" w:rsidR="00F316A0" w:rsidRDefault="00F316A0" w:rsidP="006C7F98">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The null hypothesis that had been adopted in the study was that the preferred model was random effects while the alternative hypothesis was that the preferred model was fixed effects. The threshold was that if the p-value was less than 0.05, the null hypothesis was rejected.  The p-value was more than 0.05 which implies that the null hypothesis was accepted which further implied that the preferred model was random effects. Hausman test res</w:t>
      </w:r>
      <w:r w:rsidR="000725BF" w:rsidRPr="00D40E92">
        <w:rPr>
          <w:rFonts w:ascii="Arial" w:hAnsi="Arial" w:cs="Arial"/>
          <w:sz w:val="20"/>
          <w:szCs w:val="20"/>
        </w:rPr>
        <w:t xml:space="preserve">ults were presented in Table </w:t>
      </w:r>
      <w:r w:rsidR="00265C67">
        <w:rPr>
          <w:rFonts w:ascii="Arial" w:hAnsi="Arial" w:cs="Arial"/>
          <w:sz w:val="20"/>
          <w:szCs w:val="20"/>
        </w:rPr>
        <w:t>5</w:t>
      </w:r>
      <w:r w:rsidRPr="00D40E92">
        <w:rPr>
          <w:rFonts w:ascii="Arial" w:hAnsi="Arial" w:cs="Arial"/>
          <w:sz w:val="20"/>
          <w:szCs w:val="20"/>
        </w:rPr>
        <w:t>.</w:t>
      </w:r>
    </w:p>
    <w:p w14:paraId="70075724" w14:textId="77777777" w:rsidR="00D40E92" w:rsidRPr="00D40E92" w:rsidRDefault="00D40E92" w:rsidP="006C7F98">
      <w:pPr>
        <w:autoSpaceDE w:val="0"/>
        <w:autoSpaceDN w:val="0"/>
        <w:adjustRightInd w:val="0"/>
        <w:spacing w:after="0" w:line="240" w:lineRule="auto"/>
        <w:jc w:val="both"/>
        <w:rPr>
          <w:rFonts w:ascii="Arial" w:hAnsi="Arial" w:cs="Arial"/>
          <w:sz w:val="20"/>
          <w:szCs w:val="20"/>
        </w:rPr>
      </w:pPr>
    </w:p>
    <w:p w14:paraId="5A61EC6F" w14:textId="77777777" w:rsidR="00F316A0" w:rsidRDefault="00F316A0" w:rsidP="000725BF">
      <w:pPr>
        <w:autoSpaceDE w:val="0"/>
        <w:autoSpaceDN w:val="0"/>
        <w:adjustRightInd w:val="0"/>
        <w:spacing w:after="0" w:line="240" w:lineRule="auto"/>
        <w:jc w:val="both"/>
        <w:rPr>
          <w:rFonts w:ascii="Times New Roman" w:hAnsi="Times New Roman" w:cs="Times New Roman"/>
          <w:sz w:val="24"/>
          <w:szCs w:val="24"/>
        </w:rPr>
      </w:pPr>
    </w:p>
    <w:p w14:paraId="79B83AB5" w14:textId="5061AFDC" w:rsidR="00F316A0" w:rsidRPr="00D40E92" w:rsidRDefault="000725BF" w:rsidP="001005E2">
      <w:pPr>
        <w:pStyle w:val="Caption"/>
        <w:spacing w:after="0"/>
        <w:rPr>
          <w:rFonts w:ascii="Arial" w:hAnsi="Arial" w:cs="Arial"/>
          <w:b w:val="0"/>
          <w:iCs/>
          <w:color w:val="auto"/>
          <w:sz w:val="20"/>
          <w:szCs w:val="20"/>
        </w:rPr>
      </w:pPr>
      <w:bookmarkStart w:id="190" w:name="_Toc190372121"/>
      <w:bookmarkEnd w:id="189"/>
      <w:r w:rsidRPr="00D40E92">
        <w:rPr>
          <w:rFonts w:ascii="Arial" w:hAnsi="Arial" w:cs="Arial"/>
          <w:color w:val="auto"/>
          <w:sz w:val="20"/>
          <w:szCs w:val="20"/>
        </w:rPr>
        <w:t xml:space="preserve">Table </w:t>
      </w:r>
      <w:r w:rsidR="00E76F1A">
        <w:rPr>
          <w:rFonts w:ascii="Arial" w:hAnsi="Arial" w:cs="Arial"/>
          <w:color w:val="auto"/>
          <w:sz w:val="20"/>
          <w:szCs w:val="20"/>
        </w:rPr>
        <w:t>5</w:t>
      </w:r>
      <w:r w:rsidR="00F316A0" w:rsidRPr="00D40E92">
        <w:rPr>
          <w:rFonts w:ascii="Arial" w:hAnsi="Arial" w:cs="Arial"/>
          <w:color w:val="auto"/>
          <w:sz w:val="20"/>
          <w:szCs w:val="20"/>
        </w:rPr>
        <w:t>: Hausman Test</w:t>
      </w:r>
      <w:bookmarkEnd w:id="190"/>
      <w:r w:rsidR="00F316A0" w:rsidRPr="00D40E92">
        <w:rPr>
          <w:rFonts w:ascii="Arial" w:hAnsi="Arial" w:cs="Arial"/>
          <w:color w:val="auto"/>
          <w:sz w:val="20"/>
          <w:szCs w:val="20"/>
        </w:rPr>
        <w:t xml:space="preserve"> Results</w:t>
      </w:r>
    </w:p>
    <w:tbl>
      <w:tblPr>
        <w:tblW w:w="4535" w:type="pct"/>
        <w:tblInd w:w="420" w:type="dxa"/>
        <w:tblBorders>
          <w:top w:val="single" w:sz="4" w:space="0" w:color="auto"/>
          <w:bottom w:val="single" w:sz="4" w:space="0" w:color="auto"/>
        </w:tblBorders>
        <w:tblLook w:val="04A0" w:firstRow="1" w:lastRow="0" w:firstColumn="1" w:lastColumn="0" w:noHBand="0" w:noVBand="1"/>
      </w:tblPr>
      <w:tblGrid>
        <w:gridCol w:w="2833"/>
        <w:gridCol w:w="1133"/>
        <w:gridCol w:w="1133"/>
        <w:gridCol w:w="1212"/>
        <w:gridCol w:w="2179"/>
      </w:tblGrid>
      <w:tr w:rsidR="00F316A0" w:rsidRPr="00D40E92" w14:paraId="5567CB50" w14:textId="77777777" w:rsidTr="00D40E92">
        <w:trPr>
          <w:trHeight w:val="258"/>
        </w:trPr>
        <w:tc>
          <w:tcPr>
            <w:tcW w:w="1669" w:type="pct"/>
            <w:tcBorders>
              <w:top w:val="single" w:sz="4" w:space="0" w:color="auto"/>
              <w:bottom w:val="nil"/>
            </w:tcBorders>
          </w:tcPr>
          <w:p w14:paraId="2BB13089" w14:textId="77777777" w:rsidR="00F316A0" w:rsidRPr="00D40E92" w:rsidRDefault="00F316A0" w:rsidP="006C7F98">
            <w:pPr>
              <w:spacing w:after="0" w:line="240" w:lineRule="auto"/>
              <w:rPr>
                <w:rFonts w:ascii="Arial" w:hAnsi="Arial" w:cs="Arial"/>
                <w:b/>
                <w:sz w:val="20"/>
                <w:szCs w:val="20"/>
              </w:rPr>
            </w:pPr>
          </w:p>
        </w:tc>
        <w:tc>
          <w:tcPr>
            <w:tcW w:w="3331" w:type="pct"/>
            <w:gridSpan w:val="4"/>
            <w:tcBorders>
              <w:top w:val="single" w:sz="4" w:space="0" w:color="auto"/>
              <w:bottom w:val="nil"/>
            </w:tcBorders>
          </w:tcPr>
          <w:p w14:paraId="479FB822" w14:textId="77777777" w:rsidR="00F316A0" w:rsidRPr="00D40E92" w:rsidRDefault="00F316A0" w:rsidP="006C7F98">
            <w:pPr>
              <w:spacing w:after="0" w:line="240" w:lineRule="auto"/>
              <w:rPr>
                <w:rFonts w:ascii="Arial" w:hAnsi="Arial" w:cs="Arial"/>
                <w:b/>
                <w:sz w:val="20"/>
                <w:szCs w:val="20"/>
              </w:rPr>
            </w:pPr>
            <w:r w:rsidRPr="00D40E92">
              <w:rPr>
                <w:rFonts w:ascii="Arial" w:hAnsi="Arial" w:cs="Arial"/>
                <w:b/>
                <w:sz w:val="20"/>
                <w:szCs w:val="20"/>
              </w:rPr>
              <w:t>---- Coefficients ----</w:t>
            </w:r>
          </w:p>
        </w:tc>
      </w:tr>
      <w:tr w:rsidR="00F316A0" w:rsidRPr="00D40E92" w14:paraId="24E9D96D" w14:textId="77777777" w:rsidTr="00D40E92">
        <w:trPr>
          <w:trHeight w:val="258"/>
        </w:trPr>
        <w:tc>
          <w:tcPr>
            <w:tcW w:w="1669" w:type="pct"/>
            <w:tcBorders>
              <w:top w:val="nil"/>
              <w:bottom w:val="nil"/>
            </w:tcBorders>
          </w:tcPr>
          <w:p w14:paraId="09EFA989" w14:textId="77777777" w:rsidR="00F316A0" w:rsidRPr="00D40E92" w:rsidRDefault="00F316A0" w:rsidP="006C7F98">
            <w:pPr>
              <w:spacing w:after="0" w:line="240" w:lineRule="auto"/>
              <w:rPr>
                <w:rFonts w:ascii="Arial" w:hAnsi="Arial" w:cs="Arial"/>
                <w:b/>
                <w:sz w:val="20"/>
                <w:szCs w:val="20"/>
              </w:rPr>
            </w:pPr>
          </w:p>
        </w:tc>
        <w:tc>
          <w:tcPr>
            <w:tcW w:w="667" w:type="pct"/>
            <w:tcBorders>
              <w:top w:val="nil"/>
              <w:bottom w:val="nil"/>
            </w:tcBorders>
          </w:tcPr>
          <w:p w14:paraId="4A47AEB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w:t>
            </w:r>
          </w:p>
        </w:tc>
        <w:tc>
          <w:tcPr>
            <w:tcW w:w="667" w:type="pct"/>
            <w:tcBorders>
              <w:top w:val="nil"/>
              <w:bottom w:val="nil"/>
            </w:tcBorders>
          </w:tcPr>
          <w:p w14:paraId="3B06299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w:t>
            </w:r>
          </w:p>
        </w:tc>
        <w:tc>
          <w:tcPr>
            <w:tcW w:w="714" w:type="pct"/>
            <w:tcBorders>
              <w:top w:val="nil"/>
              <w:bottom w:val="nil"/>
            </w:tcBorders>
          </w:tcPr>
          <w:p w14:paraId="7676B63C"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(b-B)</w:t>
            </w:r>
          </w:p>
        </w:tc>
        <w:tc>
          <w:tcPr>
            <w:tcW w:w="1283" w:type="pct"/>
            <w:tcBorders>
              <w:top w:val="nil"/>
              <w:bottom w:val="nil"/>
            </w:tcBorders>
          </w:tcPr>
          <w:p w14:paraId="433A0BF7"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Sqrt (</w:t>
            </w:r>
            <w:proofErr w:type="spellStart"/>
            <w:r w:rsidRPr="00D40E92">
              <w:rPr>
                <w:rFonts w:ascii="Arial" w:hAnsi="Arial" w:cs="Arial"/>
                <w:b/>
                <w:sz w:val="20"/>
                <w:szCs w:val="20"/>
              </w:rPr>
              <w:t>diag</w:t>
            </w:r>
            <w:proofErr w:type="spellEnd"/>
            <w:r w:rsidRPr="00D40E92">
              <w:rPr>
                <w:rFonts w:ascii="Arial" w:hAnsi="Arial" w:cs="Arial"/>
                <w:b/>
                <w:sz w:val="20"/>
                <w:szCs w:val="20"/>
              </w:rPr>
              <w:t xml:space="preserve"> (</w:t>
            </w:r>
            <w:proofErr w:type="spellStart"/>
            <w:r w:rsidRPr="00D40E92">
              <w:rPr>
                <w:rFonts w:ascii="Arial" w:hAnsi="Arial" w:cs="Arial"/>
                <w:b/>
                <w:sz w:val="20"/>
                <w:szCs w:val="20"/>
              </w:rPr>
              <w:t>V_b</w:t>
            </w:r>
            <w:proofErr w:type="spellEnd"/>
            <w:r w:rsidRPr="00D40E92">
              <w:rPr>
                <w:rFonts w:ascii="Arial" w:hAnsi="Arial" w:cs="Arial"/>
                <w:b/>
                <w:sz w:val="20"/>
                <w:szCs w:val="20"/>
              </w:rPr>
              <w:t>-V_B))</w:t>
            </w:r>
          </w:p>
        </w:tc>
      </w:tr>
      <w:tr w:rsidR="00F316A0" w:rsidRPr="00D40E92" w14:paraId="0852AC05" w14:textId="77777777" w:rsidTr="00D40E92">
        <w:trPr>
          <w:trHeight w:val="258"/>
        </w:trPr>
        <w:tc>
          <w:tcPr>
            <w:tcW w:w="1669" w:type="pct"/>
            <w:tcBorders>
              <w:top w:val="nil"/>
              <w:bottom w:val="single" w:sz="4" w:space="0" w:color="auto"/>
            </w:tcBorders>
          </w:tcPr>
          <w:p w14:paraId="3A46E425" w14:textId="77777777" w:rsidR="00F316A0" w:rsidRPr="00D40E92" w:rsidRDefault="00F316A0" w:rsidP="006C7F98">
            <w:pPr>
              <w:spacing w:after="0" w:line="240" w:lineRule="auto"/>
              <w:rPr>
                <w:rFonts w:ascii="Arial" w:hAnsi="Arial" w:cs="Arial"/>
                <w:b/>
                <w:sz w:val="20"/>
                <w:szCs w:val="20"/>
              </w:rPr>
            </w:pPr>
          </w:p>
        </w:tc>
        <w:tc>
          <w:tcPr>
            <w:tcW w:w="667" w:type="pct"/>
            <w:tcBorders>
              <w:top w:val="nil"/>
              <w:bottom w:val="single" w:sz="4" w:space="0" w:color="auto"/>
            </w:tcBorders>
          </w:tcPr>
          <w:p w14:paraId="4CAB261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Fe</w:t>
            </w:r>
          </w:p>
        </w:tc>
        <w:tc>
          <w:tcPr>
            <w:tcW w:w="667" w:type="pct"/>
            <w:tcBorders>
              <w:top w:val="nil"/>
              <w:bottom w:val="single" w:sz="4" w:space="0" w:color="auto"/>
            </w:tcBorders>
          </w:tcPr>
          <w:p w14:paraId="5CE171EF"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Re</w:t>
            </w:r>
          </w:p>
        </w:tc>
        <w:tc>
          <w:tcPr>
            <w:tcW w:w="714" w:type="pct"/>
            <w:tcBorders>
              <w:top w:val="nil"/>
              <w:bottom w:val="single" w:sz="4" w:space="0" w:color="auto"/>
            </w:tcBorders>
          </w:tcPr>
          <w:p w14:paraId="4FDCCA6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Difference</w:t>
            </w:r>
          </w:p>
        </w:tc>
        <w:tc>
          <w:tcPr>
            <w:tcW w:w="1283" w:type="pct"/>
            <w:tcBorders>
              <w:top w:val="nil"/>
              <w:bottom w:val="single" w:sz="4" w:space="0" w:color="auto"/>
            </w:tcBorders>
          </w:tcPr>
          <w:p w14:paraId="644D661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S.E.</w:t>
            </w:r>
          </w:p>
        </w:tc>
      </w:tr>
      <w:tr w:rsidR="00F316A0" w:rsidRPr="00D40E92" w14:paraId="1DA41FCC" w14:textId="77777777" w:rsidTr="00D40E92">
        <w:trPr>
          <w:trHeight w:val="258"/>
        </w:trPr>
        <w:tc>
          <w:tcPr>
            <w:tcW w:w="1669" w:type="pct"/>
          </w:tcPr>
          <w:p w14:paraId="669DF49C"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Investing in fixed deposits</w:t>
            </w:r>
          </w:p>
        </w:tc>
        <w:tc>
          <w:tcPr>
            <w:tcW w:w="667" w:type="pct"/>
          </w:tcPr>
          <w:p w14:paraId="54BDF8BC"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7.63e+07</w:t>
            </w:r>
          </w:p>
        </w:tc>
        <w:tc>
          <w:tcPr>
            <w:tcW w:w="667" w:type="pct"/>
          </w:tcPr>
          <w:p w14:paraId="16FC2C0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714" w:type="pct"/>
          </w:tcPr>
          <w:p w14:paraId="6330BE76"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-1.33e+08</w:t>
            </w:r>
          </w:p>
        </w:tc>
        <w:tc>
          <w:tcPr>
            <w:tcW w:w="1283" w:type="pct"/>
          </w:tcPr>
          <w:p w14:paraId="600793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3.30e+08</w:t>
            </w:r>
          </w:p>
        </w:tc>
      </w:tr>
      <w:tr w:rsidR="00F316A0" w:rsidRPr="00D40E92" w14:paraId="10426BA7" w14:textId="77777777" w:rsidTr="00D40E92">
        <w:trPr>
          <w:trHeight w:val="258"/>
        </w:trPr>
        <w:tc>
          <w:tcPr>
            <w:tcW w:w="1669" w:type="pct"/>
          </w:tcPr>
          <w:p w14:paraId="3C64A189"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Fund size</w:t>
            </w:r>
          </w:p>
        </w:tc>
        <w:tc>
          <w:tcPr>
            <w:tcW w:w="667" w:type="pct"/>
          </w:tcPr>
          <w:p w14:paraId="7B95E91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-4.52e+07</w:t>
            </w:r>
          </w:p>
        </w:tc>
        <w:tc>
          <w:tcPr>
            <w:tcW w:w="667" w:type="pct"/>
          </w:tcPr>
          <w:p w14:paraId="411C463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2.68e+08</w:t>
            </w:r>
          </w:p>
        </w:tc>
        <w:tc>
          <w:tcPr>
            <w:tcW w:w="714" w:type="pct"/>
          </w:tcPr>
          <w:p w14:paraId="74BF6A3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-3.13e+08</w:t>
            </w:r>
          </w:p>
        </w:tc>
        <w:tc>
          <w:tcPr>
            <w:tcW w:w="1283" w:type="pct"/>
          </w:tcPr>
          <w:p w14:paraId="6E5A10C6"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5.14e+08</w:t>
            </w:r>
          </w:p>
        </w:tc>
      </w:tr>
    </w:tbl>
    <w:p w14:paraId="5F28928C" w14:textId="77777777" w:rsidR="00F316A0" w:rsidRPr="00D40E92" w:rsidRDefault="00F316A0" w:rsidP="00F316A0">
      <w:pPr>
        <w:spacing w:after="0" w:line="240" w:lineRule="auto"/>
        <w:rPr>
          <w:rFonts w:ascii="Arial" w:hAnsi="Arial" w:cs="Arial"/>
          <w:sz w:val="20"/>
          <w:szCs w:val="20"/>
        </w:rPr>
      </w:pPr>
    </w:p>
    <w:p w14:paraId="328AFD7F"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 xml:space="preserve">b = consistent under Ho and Ha; obtained from </w:t>
      </w:r>
      <w:proofErr w:type="spellStart"/>
      <w:r w:rsidRPr="00D40E92">
        <w:rPr>
          <w:rFonts w:ascii="Arial" w:hAnsi="Arial" w:cs="Arial"/>
          <w:sz w:val="20"/>
          <w:szCs w:val="20"/>
        </w:rPr>
        <w:t>xtreg</w:t>
      </w:r>
      <w:proofErr w:type="spellEnd"/>
    </w:p>
    <w:p w14:paraId="192BB58D"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B = inconsistent under Ha, efficient under H</w:t>
      </w:r>
      <w:r w:rsidRPr="00D40E92">
        <w:rPr>
          <w:rFonts w:ascii="Arial" w:hAnsi="Arial" w:cs="Arial"/>
          <w:sz w:val="20"/>
          <w:szCs w:val="20"/>
          <w:vertAlign w:val="subscript"/>
        </w:rPr>
        <w:t>0</w:t>
      </w:r>
      <w:r w:rsidRPr="00D40E92">
        <w:rPr>
          <w:rFonts w:ascii="Arial" w:hAnsi="Arial" w:cs="Arial"/>
          <w:sz w:val="20"/>
          <w:szCs w:val="20"/>
        </w:rPr>
        <w:t xml:space="preserve">; obtained from </w:t>
      </w:r>
      <w:proofErr w:type="spellStart"/>
      <w:r w:rsidRPr="00D40E92">
        <w:rPr>
          <w:rFonts w:ascii="Arial" w:hAnsi="Arial" w:cs="Arial"/>
          <w:sz w:val="20"/>
          <w:szCs w:val="20"/>
        </w:rPr>
        <w:t>xtreg</w:t>
      </w:r>
      <w:proofErr w:type="spellEnd"/>
    </w:p>
    <w:p w14:paraId="3CE08F7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Test:  Ho:  difference in coefficients not systematic</w:t>
      </w:r>
    </w:p>
    <w:p w14:paraId="0DED307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chi</w:t>
      </w:r>
      <w:r w:rsidRPr="00D40E92">
        <w:rPr>
          <w:rFonts w:ascii="Arial" w:hAnsi="Arial" w:cs="Arial"/>
          <w:sz w:val="20"/>
          <w:szCs w:val="20"/>
          <w:vertAlign w:val="superscript"/>
        </w:rPr>
        <w:t>2</w:t>
      </w:r>
      <w:r w:rsidRPr="00D40E92">
        <w:rPr>
          <w:rFonts w:ascii="Arial" w:hAnsi="Arial" w:cs="Arial"/>
          <w:sz w:val="20"/>
          <w:szCs w:val="20"/>
        </w:rPr>
        <w:t xml:space="preserve"> (5) = (b-B)’[(</w:t>
      </w:r>
      <w:proofErr w:type="spellStart"/>
      <w:r w:rsidRPr="00D40E92">
        <w:rPr>
          <w:rFonts w:ascii="Arial" w:hAnsi="Arial" w:cs="Arial"/>
          <w:sz w:val="20"/>
          <w:szCs w:val="20"/>
        </w:rPr>
        <w:t>V_b</w:t>
      </w:r>
      <w:proofErr w:type="spellEnd"/>
      <w:r w:rsidRPr="00D40E92">
        <w:rPr>
          <w:rFonts w:ascii="Arial" w:hAnsi="Arial" w:cs="Arial"/>
          <w:sz w:val="20"/>
          <w:szCs w:val="20"/>
        </w:rPr>
        <w:t>-V_B) ^ (-1)] (b-B)</w:t>
      </w:r>
    </w:p>
    <w:p w14:paraId="5F67E87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        0.95</w:t>
      </w:r>
    </w:p>
    <w:p w14:paraId="304EFF4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Prob &gt; chi</w:t>
      </w:r>
      <w:r w:rsidRPr="00D40E92">
        <w:rPr>
          <w:rFonts w:ascii="Arial" w:hAnsi="Arial" w:cs="Arial"/>
          <w:sz w:val="20"/>
          <w:szCs w:val="20"/>
          <w:vertAlign w:val="superscript"/>
        </w:rPr>
        <w:t>2</w:t>
      </w:r>
      <w:r w:rsidRPr="00D40E92">
        <w:rPr>
          <w:rFonts w:ascii="Arial" w:hAnsi="Arial" w:cs="Arial"/>
          <w:sz w:val="20"/>
          <w:szCs w:val="20"/>
        </w:rPr>
        <w:t xml:space="preserve"> =      0.9662</w:t>
      </w:r>
    </w:p>
    <w:p w14:paraId="61A3B735" w14:textId="77777777" w:rsidR="00F316A0" w:rsidRPr="00470D6D" w:rsidRDefault="00F316A0" w:rsidP="00F316A0">
      <w:pPr>
        <w:spacing w:after="0" w:line="240" w:lineRule="auto"/>
        <w:jc w:val="center"/>
        <w:rPr>
          <w:rFonts w:ascii="Times New Roman" w:hAnsi="Times New Roman" w:cs="Times New Roman"/>
          <w:sz w:val="24"/>
          <w:szCs w:val="24"/>
        </w:rPr>
      </w:pPr>
    </w:p>
    <w:p w14:paraId="60B84E7C" w14:textId="77777777" w:rsidR="00F316A0" w:rsidRPr="00D40E92" w:rsidRDefault="00F316A0" w:rsidP="006C7F98">
      <w:pPr>
        <w:spacing w:line="240" w:lineRule="auto"/>
        <w:jc w:val="both"/>
        <w:rPr>
          <w:rFonts w:ascii="Arial" w:hAnsi="Arial" w:cs="Arial"/>
          <w:sz w:val="20"/>
          <w:szCs w:val="20"/>
        </w:rPr>
      </w:pPr>
      <w:r w:rsidRPr="00D40E92">
        <w:rPr>
          <w:rFonts w:ascii="Arial" w:hAnsi="Arial" w:cs="Arial"/>
          <w:sz w:val="20"/>
          <w:szCs w:val="20"/>
        </w:rPr>
        <w:t>The coefficients in first column (FE) are from fixed effects estimation and in the second column (RE) are from random effect model. Hausman tests the null hypothesis that differences in the coefficients not systematic (random effects are appropriate) against the alternative that the difference in coefficients are systematic (fixed effects are appropriate). These results revealed that the value for chi-square statistic was 0.95 and its probability was 0.9662. Since the probability was not significant (greater than 0.05 at 95% level of confidence) the null hypothesis failed to be rejected confirming that the estimates from random effects regression model were appropriate. This study therefore adopted the alternative hypothesis that random effects were appropriate.</w:t>
      </w:r>
    </w:p>
    <w:p w14:paraId="518D6517" w14:textId="1814D755" w:rsidR="006C7F98" w:rsidRPr="00D40E92" w:rsidRDefault="00D40E92" w:rsidP="000B781F">
      <w:pPr>
        <w:pStyle w:val="Heading1"/>
        <w:spacing w:line="360" w:lineRule="auto"/>
        <w:rPr>
          <w:rFonts w:ascii="Arial" w:hAnsi="Arial" w:cs="Arial"/>
          <w:b/>
          <w:color w:val="auto"/>
          <w:sz w:val="22"/>
          <w:szCs w:val="22"/>
        </w:rPr>
      </w:pPr>
      <w:bookmarkStart w:id="191" w:name="_Toc192496817"/>
      <w:r w:rsidRPr="00D40E92">
        <w:rPr>
          <w:rFonts w:ascii="Arial" w:hAnsi="Arial" w:cs="Arial"/>
          <w:b/>
          <w:color w:val="auto"/>
          <w:sz w:val="22"/>
          <w:szCs w:val="22"/>
        </w:rPr>
        <w:lastRenderedPageBreak/>
        <w:t>3</w:t>
      </w:r>
      <w:r w:rsidR="006C7F98" w:rsidRPr="00D40E92">
        <w:rPr>
          <w:rFonts w:ascii="Arial" w:hAnsi="Arial" w:cs="Arial"/>
          <w:b/>
          <w:color w:val="auto"/>
          <w:sz w:val="22"/>
          <w:szCs w:val="22"/>
        </w:rPr>
        <w:t>.5 Regression Analysis</w:t>
      </w:r>
      <w:bookmarkEnd w:id="191"/>
    </w:p>
    <w:p w14:paraId="386C1519" w14:textId="2743F964" w:rsidR="006C7F98" w:rsidRPr="00D40E92" w:rsidRDefault="006C7F98" w:rsidP="002C7505">
      <w:pPr>
        <w:spacing w:line="240" w:lineRule="auto"/>
        <w:jc w:val="both"/>
        <w:rPr>
          <w:rFonts w:ascii="Arial" w:hAnsi="Arial" w:cs="Arial"/>
          <w:sz w:val="20"/>
          <w:szCs w:val="20"/>
        </w:rPr>
      </w:pPr>
      <w:r w:rsidRPr="00D40E92">
        <w:rPr>
          <w:rFonts w:ascii="Arial" w:hAnsi="Arial" w:cs="Arial"/>
          <w:sz w:val="20"/>
          <w:szCs w:val="20"/>
        </w:rPr>
        <w:t>In order to test the effect of invest</w:t>
      </w:r>
      <w:r w:rsidR="002C7505" w:rsidRPr="00D40E92">
        <w:rPr>
          <w:rFonts w:ascii="Arial" w:hAnsi="Arial" w:cs="Arial"/>
          <w:sz w:val="20"/>
          <w:szCs w:val="20"/>
        </w:rPr>
        <w:t>ing in fixed deposits</w:t>
      </w:r>
      <w:r w:rsidRPr="00D40E92">
        <w:rPr>
          <w:rFonts w:ascii="Arial" w:hAnsi="Arial" w:cs="Arial"/>
          <w:sz w:val="20"/>
          <w:szCs w:val="20"/>
        </w:rPr>
        <w:t xml:space="preserve"> on performance of UTFs, a </w:t>
      </w:r>
      <w:r w:rsidR="002C7505" w:rsidRPr="00D40E92">
        <w:rPr>
          <w:rFonts w:ascii="Arial" w:hAnsi="Arial" w:cs="Arial"/>
          <w:sz w:val="20"/>
          <w:szCs w:val="20"/>
        </w:rPr>
        <w:t>un</w:t>
      </w:r>
      <w:r w:rsidRPr="00D40E92">
        <w:rPr>
          <w:rFonts w:ascii="Arial" w:hAnsi="Arial" w:cs="Arial"/>
          <w:sz w:val="20"/>
          <w:szCs w:val="20"/>
        </w:rPr>
        <w:t xml:space="preserve">ivariate regression model was run first </w:t>
      </w:r>
      <w:r w:rsidR="002C7505" w:rsidRPr="00D40E92">
        <w:rPr>
          <w:rFonts w:ascii="Arial" w:hAnsi="Arial" w:cs="Arial"/>
          <w:sz w:val="20"/>
          <w:szCs w:val="20"/>
        </w:rPr>
        <w:t>without the moderator (fund</w:t>
      </w:r>
      <w:r w:rsidRPr="00D40E92">
        <w:rPr>
          <w:rFonts w:ascii="Arial" w:hAnsi="Arial" w:cs="Arial"/>
          <w:sz w:val="20"/>
          <w:szCs w:val="20"/>
        </w:rPr>
        <w:t xml:space="preserve"> size) and re</w:t>
      </w:r>
      <w:r w:rsidR="000725BF" w:rsidRPr="00D40E92">
        <w:rPr>
          <w:rFonts w:ascii="Arial" w:hAnsi="Arial" w:cs="Arial"/>
          <w:sz w:val="20"/>
          <w:szCs w:val="20"/>
        </w:rPr>
        <w:t>sults were presented in Table 11</w:t>
      </w:r>
      <w:r w:rsidRPr="00D40E92">
        <w:rPr>
          <w:rFonts w:ascii="Arial" w:hAnsi="Arial" w:cs="Arial"/>
          <w:sz w:val="20"/>
          <w:szCs w:val="20"/>
        </w:rPr>
        <w:t>. The panel regression model summary re</w:t>
      </w:r>
      <w:r w:rsidR="000725BF" w:rsidRPr="00D40E92">
        <w:rPr>
          <w:rFonts w:ascii="Arial" w:hAnsi="Arial" w:cs="Arial"/>
          <w:sz w:val="20"/>
          <w:szCs w:val="20"/>
        </w:rPr>
        <w:t xml:space="preserve">sults were displayed in Table </w:t>
      </w:r>
      <w:r w:rsidR="00E76F1A">
        <w:rPr>
          <w:rFonts w:ascii="Arial" w:hAnsi="Arial" w:cs="Arial"/>
          <w:sz w:val="20"/>
          <w:szCs w:val="20"/>
        </w:rPr>
        <w:t>6</w:t>
      </w:r>
      <w:r w:rsidRPr="00D40E92">
        <w:rPr>
          <w:rFonts w:ascii="Arial" w:hAnsi="Arial" w:cs="Arial"/>
          <w:sz w:val="20"/>
          <w:szCs w:val="20"/>
        </w:rPr>
        <w:t>;</w:t>
      </w:r>
      <w:bookmarkStart w:id="192" w:name="_Toc190372123"/>
    </w:p>
    <w:p w14:paraId="25722F95" w14:textId="77777777" w:rsidR="000B781F" w:rsidRPr="00D40E92" w:rsidRDefault="000B781F" w:rsidP="002C7505">
      <w:pPr>
        <w:spacing w:line="240" w:lineRule="auto"/>
        <w:jc w:val="both"/>
        <w:rPr>
          <w:rFonts w:ascii="Arial" w:hAnsi="Arial" w:cs="Arial"/>
          <w:sz w:val="20"/>
          <w:szCs w:val="20"/>
        </w:rPr>
      </w:pPr>
    </w:p>
    <w:p w14:paraId="2DF29325" w14:textId="2FF976DF" w:rsidR="00EE5D93" w:rsidRPr="00D40E92" w:rsidRDefault="00EE5D93" w:rsidP="00EE5D93">
      <w:pPr>
        <w:autoSpaceDE w:val="0"/>
        <w:autoSpaceDN w:val="0"/>
        <w:adjustRightInd w:val="0"/>
        <w:spacing w:after="0" w:line="360" w:lineRule="auto"/>
        <w:ind w:left="1440" w:hanging="1440"/>
        <w:jc w:val="both"/>
        <w:rPr>
          <w:rFonts w:ascii="Arial" w:hAnsi="Arial" w:cs="Arial"/>
          <w:b/>
          <w:color w:val="000000"/>
          <w:sz w:val="20"/>
          <w:szCs w:val="20"/>
        </w:rPr>
      </w:pPr>
      <w:r w:rsidRPr="00D40E92">
        <w:rPr>
          <w:rFonts w:ascii="Arial" w:hAnsi="Arial" w:cs="Arial"/>
          <w:b/>
          <w:color w:val="000000"/>
          <w:sz w:val="20"/>
          <w:szCs w:val="20"/>
        </w:rPr>
        <w:t xml:space="preserve">Table </w:t>
      </w:r>
      <w:r w:rsidR="00E76F1A">
        <w:rPr>
          <w:rFonts w:ascii="Arial" w:hAnsi="Arial" w:cs="Arial"/>
          <w:b/>
          <w:color w:val="000000"/>
          <w:sz w:val="20"/>
          <w:szCs w:val="20"/>
        </w:rPr>
        <w:t>6</w:t>
      </w:r>
      <w:r w:rsidRPr="00D40E92">
        <w:rPr>
          <w:rFonts w:ascii="Arial" w:hAnsi="Arial" w:cs="Arial"/>
          <w:b/>
          <w:color w:val="000000"/>
          <w:sz w:val="20"/>
          <w:szCs w:val="20"/>
        </w:rPr>
        <w:t xml:space="preserve">: </w:t>
      </w:r>
      <w:r w:rsidRPr="00D40E92">
        <w:rPr>
          <w:rFonts w:ascii="Arial" w:hAnsi="Arial" w:cs="Arial"/>
          <w:b/>
          <w:color w:val="000000"/>
          <w:sz w:val="20"/>
          <w:szCs w:val="20"/>
        </w:rPr>
        <w:tab/>
      </w:r>
      <w:r w:rsidRPr="00D40E92">
        <w:rPr>
          <w:rFonts w:ascii="Arial" w:hAnsi="Arial" w:cs="Arial"/>
          <w:b/>
          <w:sz w:val="20"/>
          <w:szCs w:val="20"/>
        </w:rPr>
        <w:t>Investing in Fixed Deposits and Performance of Unit Trust Funds</w:t>
      </w:r>
    </w:p>
    <w:tbl>
      <w:tblPr>
        <w:tblStyle w:val="ListTable6Colorful1"/>
        <w:tblW w:w="4354" w:type="pct"/>
        <w:tblInd w:w="552" w:type="dxa"/>
        <w:tblLook w:val="04A0" w:firstRow="1" w:lastRow="0" w:firstColumn="1" w:lastColumn="0" w:noHBand="0" w:noVBand="1"/>
      </w:tblPr>
      <w:tblGrid>
        <w:gridCol w:w="794"/>
        <w:gridCol w:w="2320"/>
        <w:gridCol w:w="1247"/>
        <w:gridCol w:w="884"/>
        <w:gridCol w:w="1472"/>
        <w:gridCol w:w="828"/>
        <w:gridCol w:w="606"/>
      </w:tblGrid>
      <w:tr w:rsidR="00EE5D93" w:rsidRPr="00D40E92" w14:paraId="653A5862" w14:textId="77777777" w:rsidTr="00D40E92">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0" w:type="pct"/>
          </w:tcPr>
          <w:p w14:paraId="4E03AEC2"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Model</w:t>
            </w:r>
          </w:p>
        </w:tc>
        <w:tc>
          <w:tcPr>
            <w:tcW w:w="1453" w:type="pct"/>
          </w:tcPr>
          <w:p w14:paraId="7E542AC7" w14:textId="77777777" w:rsidR="00EE5D93" w:rsidRPr="00D40E92" w:rsidRDefault="00EE5D93" w:rsidP="00EE5D93">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1367" w:type="pct"/>
            <w:gridSpan w:val="2"/>
          </w:tcPr>
          <w:p w14:paraId="7DFA207B" w14:textId="77777777" w:rsidR="00EE5D93" w:rsidRPr="00D40E92" w:rsidRDefault="00EE5D93" w:rsidP="00EE5D93">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Unstandardized Coefficients</w:t>
            </w:r>
          </w:p>
        </w:tc>
        <w:tc>
          <w:tcPr>
            <w:tcW w:w="838" w:type="pct"/>
          </w:tcPr>
          <w:p w14:paraId="7FBD0930"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Standardized Coefficients</w:t>
            </w:r>
          </w:p>
        </w:tc>
        <w:tc>
          <w:tcPr>
            <w:tcW w:w="499" w:type="pct"/>
          </w:tcPr>
          <w:p w14:paraId="1216760B"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T</w:t>
            </w:r>
          </w:p>
        </w:tc>
        <w:tc>
          <w:tcPr>
            <w:tcW w:w="362" w:type="pct"/>
          </w:tcPr>
          <w:p w14:paraId="02BB445D"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Sig.</w:t>
            </w:r>
          </w:p>
        </w:tc>
      </w:tr>
      <w:tr w:rsidR="00EE5D93" w:rsidRPr="00D40E92" w14:paraId="4BFDF3D1" w14:textId="77777777" w:rsidTr="00D40E92">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0A5D9514"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432CD2D8"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pct"/>
            <w:shd w:val="clear" w:color="auto" w:fill="auto"/>
          </w:tcPr>
          <w:p w14:paraId="29A17340"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Β</w:t>
            </w:r>
          </w:p>
        </w:tc>
        <w:tc>
          <w:tcPr>
            <w:tcW w:w="571" w:type="pct"/>
            <w:shd w:val="clear" w:color="auto" w:fill="auto"/>
          </w:tcPr>
          <w:p w14:paraId="31CF1C5E"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Std. Error</w:t>
            </w:r>
          </w:p>
        </w:tc>
        <w:tc>
          <w:tcPr>
            <w:tcW w:w="838" w:type="pct"/>
            <w:shd w:val="clear" w:color="auto" w:fill="auto"/>
          </w:tcPr>
          <w:p w14:paraId="71800BE0"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Beta</w:t>
            </w:r>
          </w:p>
        </w:tc>
        <w:tc>
          <w:tcPr>
            <w:tcW w:w="499" w:type="pct"/>
            <w:shd w:val="clear" w:color="auto" w:fill="auto"/>
          </w:tcPr>
          <w:p w14:paraId="58548663"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3DB4611A"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34314255" w14:textId="77777777" w:rsidTr="00D40E92">
        <w:trPr>
          <w:trHeight w:val="214"/>
        </w:trPr>
        <w:tc>
          <w:tcPr>
            <w:cnfStyle w:val="001000000000" w:firstRow="0" w:lastRow="0" w:firstColumn="1" w:lastColumn="0" w:oddVBand="0" w:evenVBand="0" w:oddHBand="0" w:evenHBand="0" w:firstRowFirstColumn="0" w:firstRowLastColumn="0" w:lastRowFirstColumn="0" w:lastRowLastColumn="0"/>
            <w:tcW w:w="480" w:type="pct"/>
          </w:tcPr>
          <w:p w14:paraId="687F7CCE" w14:textId="77777777" w:rsidR="00EE5D93" w:rsidRPr="00D40E92" w:rsidRDefault="00EE5D93" w:rsidP="00EE5D93">
            <w:pPr>
              <w:spacing w:after="0" w:line="240" w:lineRule="auto"/>
              <w:rPr>
                <w:rFonts w:ascii="Arial" w:hAnsi="Arial" w:cs="Arial"/>
                <w:b w:val="0"/>
                <w:bCs w:val="0"/>
                <w:sz w:val="20"/>
                <w:szCs w:val="20"/>
              </w:rPr>
            </w:pPr>
            <w:r w:rsidRPr="00D40E92">
              <w:rPr>
                <w:rFonts w:ascii="Arial" w:hAnsi="Arial" w:cs="Arial"/>
                <w:b w:val="0"/>
                <w:bCs w:val="0"/>
                <w:sz w:val="20"/>
                <w:szCs w:val="20"/>
              </w:rPr>
              <w:t>1</w:t>
            </w:r>
          </w:p>
        </w:tc>
        <w:tc>
          <w:tcPr>
            <w:tcW w:w="1453" w:type="pct"/>
          </w:tcPr>
          <w:p w14:paraId="7DE3C98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(Constant)</w:t>
            </w:r>
            <w:r w:rsidRPr="00D40E92">
              <w:rPr>
                <w:rFonts w:ascii="Arial" w:hAnsi="Arial" w:cs="Arial"/>
                <w:sz w:val="20"/>
                <w:szCs w:val="20"/>
              </w:rPr>
              <w:tab/>
            </w:r>
            <w:r w:rsidRPr="00D40E92">
              <w:rPr>
                <w:rFonts w:ascii="Arial" w:hAnsi="Arial" w:cs="Arial"/>
                <w:sz w:val="20"/>
                <w:szCs w:val="20"/>
              </w:rPr>
              <w:tab/>
            </w:r>
          </w:p>
        </w:tc>
        <w:tc>
          <w:tcPr>
            <w:tcW w:w="795" w:type="pct"/>
          </w:tcPr>
          <w:p w14:paraId="26B7CA1D"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9.782</w:t>
            </w:r>
          </w:p>
        </w:tc>
        <w:tc>
          <w:tcPr>
            <w:tcW w:w="571" w:type="pct"/>
          </w:tcPr>
          <w:p w14:paraId="73D194AC"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0.495</w:t>
            </w:r>
          </w:p>
        </w:tc>
        <w:tc>
          <w:tcPr>
            <w:tcW w:w="838" w:type="pct"/>
          </w:tcPr>
          <w:p w14:paraId="4A417807"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4CA693F6"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19.776</w:t>
            </w:r>
          </w:p>
        </w:tc>
        <w:tc>
          <w:tcPr>
            <w:tcW w:w="362" w:type="pct"/>
          </w:tcPr>
          <w:p w14:paraId="2D872207"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.000</w:t>
            </w:r>
          </w:p>
        </w:tc>
      </w:tr>
      <w:tr w:rsidR="00EE5D93" w:rsidRPr="00D40E92" w14:paraId="08D848CE" w14:textId="77777777" w:rsidTr="00D40E9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60CA7DE9"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534D34FA"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Investing in fixed deposits</w:t>
            </w:r>
          </w:p>
        </w:tc>
        <w:tc>
          <w:tcPr>
            <w:tcW w:w="795" w:type="pct"/>
            <w:shd w:val="clear" w:color="auto" w:fill="auto"/>
          </w:tcPr>
          <w:p w14:paraId="53F632C9"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0.516</w:t>
            </w:r>
          </w:p>
        </w:tc>
        <w:tc>
          <w:tcPr>
            <w:tcW w:w="571" w:type="pct"/>
            <w:shd w:val="clear" w:color="auto" w:fill="auto"/>
          </w:tcPr>
          <w:p w14:paraId="27072C4D"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0.033</w:t>
            </w:r>
          </w:p>
        </w:tc>
        <w:tc>
          <w:tcPr>
            <w:tcW w:w="838" w:type="pct"/>
            <w:shd w:val="clear" w:color="auto" w:fill="auto"/>
          </w:tcPr>
          <w:p w14:paraId="593B534C"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0.659</w:t>
            </w:r>
          </w:p>
        </w:tc>
        <w:tc>
          <w:tcPr>
            <w:tcW w:w="499" w:type="pct"/>
            <w:shd w:val="clear" w:color="auto" w:fill="auto"/>
          </w:tcPr>
          <w:p w14:paraId="53F775D5"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15.689</w:t>
            </w:r>
          </w:p>
        </w:tc>
        <w:tc>
          <w:tcPr>
            <w:tcW w:w="362" w:type="pct"/>
            <w:shd w:val="clear" w:color="auto" w:fill="auto"/>
          </w:tcPr>
          <w:p w14:paraId="57704372"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.000</w:t>
            </w:r>
          </w:p>
        </w:tc>
      </w:tr>
      <w:tr w:rsidR="00EE5D93" w:rsidRPr="00D40E92" w14:paraId="485AC331"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5000" w:type="pct"/>
            <w:gridSpan w:val="7"/>
          </w:tcPr>
          <w:p w14:paraId="6C6DB8E3"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Panel Regression Model Summary Statistics</w:t>
            </w:r>
          </w:p>
        </w:tc>
      </w:tr>
      <w:tr w:rsidR="00EE5D93" w:rsidRPr="00D40E92" w14:paraId="75814DA0"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5CFF09D6"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3F294B2E"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R</w:t>
            </w:r>
          </w:p>
        </w:tc>
        <w:tc>
          <w:tcPr>
            <w:tcW w:w="795" w:type="pct"/>
            <w:shd w:val="clear" w:color="auto" w:fill="auto"/>
          </w:tcPr>
          <w:p w14:paraId="2E3607E4"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0.659</w:t>
            </w:r>
          </w:p>
        </w:tc>
        <w:tc>
          <w:tcPr>
            <w:tcW w:w="571" w:type="pct"/>
            <w:shd w:val="clear" w:color="auto" w:fill="auto"/>
          </w:tcPr>
          <w:p w14:paraId="69D98A0C"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5991CE7E"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49AB9356"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64022BB"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688A0D6E"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7C8BF054"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1F8FB470"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R-squared</w:t>
            </w:r>
          </w:p>
        </w:tc>
        <w:tc>
          <w:tcPr>
            <w:tcW w:w="795" w:type="pct"/>
          </w:tcPr>
          <w:p w14:paraId="6709F225"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0.435</w:t>
            </w:r>
          </w:p>
        </w:tc>
        <w:tc>
          <w:tcPr>
            <w:tcW w:w="571" w:type="pct"/>
          </w:tcPr>
          <w:p w14:paraId="039B5DE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7A6DD59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62A89D1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799F1F8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278BD349"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13323192"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07A46424"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Adjusted R-squared</w:t>
            </w:r>
          </w:p>
        </w:tc>
        <w:tc>
          <w:tcPr>
            <w:tcW w:w="795" w:type="pct"/>
            <w:shd w:val="clear" w:color="auto" w:fill="auto"/>
          </w:tcPr>
          <w:p w14:paraId="48A27219"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0.433</w:t>
            </w:r>
          </w:p>
        </w:tc>
        <w:tc>
          <w:tcPr>
            <w:tcW w:w="571" w:type="pct"/>
            <w:shd w:val="clear" w:color="auto" w:fill="auto"/>
          </w:tcPr>
          <w:p w14:paraId="1B000BB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6BCD3A46"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3B41796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9DA5215"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49335069"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3A356153"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2CE383C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Std. Error of the Estimate</w:t>
            </w:r>
          </w:p>
        </w:tc>
        <w:tc>
          <w:tcPr>
            <w:tcW w:w="795" w:type="pct"/>
          </w:tcPr>
          <w:p w14:paraId="2F42F582"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3.09321</w:t>
            </w:r>
          </w:p>
        </w:tc>
        <w:tc>
          <w:tcPr>
            <w:tcW w:w="571" w:type="pct"/>
          </w:tcPr>
          <w:p w14:paraId="36D14702"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159DD5D8"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63218932"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1899392E"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3BBC60DC" w14:textId="77777777" w:rsidTr="00D40E9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auto"/>
          </w:tcPr>
          <w:p w14:paraId="50A0968C"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Model Fitness Test Results (ANOVA)</w:t>
            </w:r>
          </w:p>
        </w:tc>
      </w:tr>
      <w:tr w:rsidR="00EE5D93" w:rsidRPr="00D40E92" w14:paraId="4F1276DD"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44DCB642"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6248CFC0"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F statistic</w:t>
            </w:r>
          </w:p>
        </w:tc>
        <w:tc>
          <w:tcPr>
            <w:tcW w:w="795" w:type="pct"/>
          </w:tcPr>
          <w:p w14:paraId="1E56E76C"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21.160</w:t>
            </w:r>
          </w:p>
        </w:tc>
        <w:tc>
          <w:tcPr>
            <w:tcW w:w="571" w:type="pct"/>
          </w:tcPr>
          <w:p w14:paraId="06F8D894"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13995E0A"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7DB968EA"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4CFADD8E"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318DAD6A"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1266D3CE"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0DD83F4F"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Prob (F statistic)</w:t>
            </w:r>
          </w:p>
        </w:tc>
        <w:tc>
          <w:tcPr>
            <w:tcW w:w="795" w:type="pct"/>
            <w:shd w:val="clear" w:color="auto" w:fill="auto"/>
          </w:tcPr>
          <w:p w14:paraId="3C017964"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0.000</w:t>
            </w:r>
          </w:p>
        </w:tc>
        <w:tc>
          <w:tcPr>
            <w:tcW w:w="571" w:type="pct"/>
            <w:shd w:val="clear" w:color="auto" w:fill="auto"/>
          </w:tcPr>
          <w:p w14:paraId="1F9AB3F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0CF5EA63"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512D9687"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CF4AC95"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3429AD2" w14:textId="77777777" w:rsidR="00EE5D93" w:rsidRPr="00D40E92" w:rsidRDefault="00EE5D93" w:rsidP="00EE5D93">
      <w:pPr>
        <w:spacing w:line="240" w:lineRule="auto"/>
        <w:jc w:val="both"/>
        <w:rPr>
          <w:rFonts w:ascii="Arial" w:hAnsi="Arial" w:cs="Arial"/>
          <w:sz w:val="20"/>
          <w:szCs w:val="20"/>
        </w:rPr>
      </w:pPr>
      <w:r w:rsidRPr="00D40E92">
        <w:rPr>
          <w:rFonts w:ascii="Arial" w:hAnsi="Arial" w:cs="Arial"/>
          <w:color w:val="000000"/>
          <w:sz w:val="20"/>
          <w:szCs w:val="20"/>
        </w:rPr>
        <w:t xml:space="preserve">a. Dependent Variable: Performance </w:t>
      </w:r>
    </w:p>
    <w:p w14:paraId="4D3A1F90" w14:textId="77777777" w:rsidR="00EE5D93" w:rsidRDefault="00EE5D93" w:rsidP="00EE5D93">
      <w:pPr>
        <w:spacing w:after="0" w:line="240" w:lineRule="auto"/>
        <w:jc w:val="both"/>
        <w:rPr>
          <w:rFonts w:ascii="Times New Roman" w:hAnsi="Times New Roman" w:cs="Times New Roman"/>
          <w:sz w:val="24"/>
          <w:szCs w:val="24"/>
        </w:rPr>
      </w:pPr>
    </w:p>
    <w:bookmarkEnd w:id="192"/>
    <w:p w14:paraId="49D9B6C5" w14:textId="0818615F" w:rsidR="006C7F98" w:rsidRPr="00D40E92" w:rsidRDefault="006C7F98" w:rsidP="002E1786">
      <w:pPr>
        <w:spacing w:line="240" w:lineRule="auto"/>
        <w:jc w:val="both"/>
        <w:rPr>
          <w:rFonts w:ascii="Arial" w:hAnsi="Arial" w:cs="Arial"/>
          <w:color w:val="000000"/>
          <w:sz w:val="20"/>
          <w:szCs w:val="20"/>
        </w:rPr>
      </w:pPr>
      <w:r w:rsidRPr="00D40E92">
        <w:rPr>
          <w:rFonts w:ascii="Arial" w:hAnsi="Arial" w:cs="Arial"/>
          <w:sz w:val="20"/>
          <w:szCs w:val="20"/>
        </w:rPr>
        <w:t>The results revealed R=0.</w:t>
      </w:r>
      <w:r w:rsidR="00EE5D93" w:rsidRPr="00D40E92">
        <w:rPr>
          <w:rFonts w:ascii="Arial" w:hAnsi="Arial" w:cs="Arial"/>
          <w:sz w:val="20"/>
          <w:szCs w:val="20"/>
        </w:rPr>
        <w:t>659</w:t>
      </w:r>
      <w:r w:rsidRPr="00D40E92">
        <w:rPr>
          <w:rFonts w:ascii="Arial" w:hAnsi="Arial" w:cs="Arial"/>
          <w:sz w:val="20"/>
          <w:szCs w:val="20"/>
        </w:rPr>
        <w:t xml:space="preserve"> which implies a strong relationship between </w:t>
      </w:r>
      <w:r w:rsidR="002C7505" w:rsidRPr="00D40E92">
        <w:rPr>
          <w:rFonts w:ascii="Arial" w:hAnsi="Arial" w:cs="Arial"/>
          <w:sz w:val="20"/>
          <w:szCs w:val="20"/>
        </w:rPr>
        <w:t>investing in fixed deposits</w:t>
      </w:r>
      <w:r w:rsidRPr="00D40E92">
        <w:rPr>
          <w:rFonts w:ascii="Arial" w:hAnsi="Arial" w:cs="Arial"/>
          <w:sz w:val="20"/>
          <w:szCs w:val="20"/>
        </w:rPr>
        <w:t xml:space="preserve"> and performance of unit tru</w:t>
      </w:r>
      <w:r w:rsidR="00EE5D93" w:rsidRPr="00D40E92">
        <w:rPr>
          <w:rFonts w:ascii="Arial" w:hAnsi="Arial" w:cs="Arial"/>
          <w:sz w:val="20"/>
          <w:szCs w:val="20"/>
        </w:rPr>
        <w:t>st funds in Kenya. R squared=0.435</w:t>
      </w:r>
      <w:r w:rsidRPr="00D40E92">
        <w:rPr>
          <w:rFonts w:ascii="Arial" w:hAnsi="Arial" w:cs="Arial"/>
          <w:sz w:val="20"/>
          <w:szCs w:val="20"/>
        </w:rPr>
        <w:t xml:space="preserve"> and R-sq (adj) = 0.4</w:t>
      </w:r>
      <w:r w:rsidR="00EE5D93" w:rsidRPr="00D40E92">
        <w:rPr>
          <w:rFonts w:ascii="Arial" w:hAnsi="Arial" w:cs="Arial"/>
          <w:sz w:val="20"/>
          <w:szCs w:val="20"/>
        </w:rPr>
        <w:t>33</w:t>
      </w:r>
      <w:r w:rsidRPr="00D40E92">
        <w:rPr>
          <w:rFonts w:ascii="Arial" w:hAnsi="Arial" w:cs="Arial"/>
          <w:sz w:val="20"/>
          <w:szCs w:val="20"/>
        </w:rPr>
        <w:t xml:space="preserve"> which implies that</w:t>
      </w:r>
      <w:r w:rsidRPr="00D40E92">
        <w:rPr>
          <w:rFonts w:ascii="Arial" w:hAnsi="Arial" w:cs="Arial"/>
          <w:color w:val="000000"/>
          <w:sz w:val="20"/>
          <w:szCs w:val="20"/>
        </w:rPr>
        <w:t xml:space="preserve"> fixed de</w:t>
      </w:r>
      <w:r w:rsidR="002C7505" w:rsidRPr="00D40E92">
        <w:rPr>
          <w:rFonts w:ascii="Arial" w:hAnsi="Arial" w:cs="Arial"/>
          <w:color w:val="000000"/>
          <w:sz w:val="20"/>
          <w:szCs w:val="20"/>
        </w:rPr>
        <w:t xml:space="preserve">posits </w:t>
      </w:r>
      <w:r w:rsidRPr="00D40E92">
        <w:rPr>
          <w:rFonts w:ascii="Arial" w:hAnsi="Arial" w:cs="Arial"/>
          <w:color w:val="000000"/>
          <w:sz w:val="20"/>
          <w:szCs w:val="20"/>
        </w:rPr>
        <w:t>accounts for 47.8% variation in performance of UTFs</w:t>
      </w:r>
      <w:r w:rsidR="00EE5D93" w:rsidRPr="00D40E92">
        <w:rPr>
          <w:rFonts w:ascii="Arial" w:hAnsi="Arial" w:cs="Arial"/>
          <w:color w:val="000000"/>
          <w:sz w:val="20"/>
          <w:szCs w:val="20"/>
        </w:rPr>
        <w:t xml:space="preserve"> in Kenya while the remaining 56</w:t>
      </w:r>
      <w:r w:rsidRPr="00D40E92">
        <w:rPr>
          <w:rFonts w:ascii="Arial" w:hAnsi="Arial" w:cs="Arial"/>
          <w:color w:val="000000"/>
          <w:sz w:val="20"/>
          <w:szCs w:val="20"/>
        </w:rPr>
        <w:t>.</w:t>
      </w:r>
      <w:r w:rsidR="00EE5D93" w:rsidRPr="00D40E92">
        <w:rPr>
          <w:rFonts w:ascii="Arial" w:hAnsi="Arial" w:cs="Arial"/>
          <w:color w:val="000000"/>
          <w:sz w:val="20"/>
          <w:szCs w:val="20"/>
        </w:rPr>
        <w:t>7</w:t>
      </w:r>
      <w:r w:rsidRPr="00D40E92">
        <w:rPr>
          <w:rFonts w:ascii="Arial" w:hAnsi="Arial" w:cs="Arial"/>
          <w:color w:val="000000"/>
          <w:sz w:val="20"/>
          <w:szCs w:val="20"/>
        </w:rPr>
        <w:t xml:space="preserve">% of the variation in performance of UTFs in Kenya is explained by other variables not included in this study model. In nutshell, investment </w:t>
      </w:r>
      <w:r w:rsidR="002C7505" w:rsidRPr="00D40E92">
        <w:rPr>
          <w:rFonts w:ascii="Arial" w:hAnsi="Arial" w:cs="Arial"/>
          <w:color w:val="000000"/>
          <w:sz w:val="20"/>
          <w:szCs w:val="20"/>
        </w:rPr>
        <w:t>in fixed deposits</w:t>
      </w:r>
      <w:r w:rsidRPr="00D40E92">
        <w:rPr>
          <w:rFonts w:ascii="Arial" w:hAnsi="Arial" w:cs="Arial"/>
          <w:color w:val="000000"/>
          <w:sz w:val="20"/>
          <w:szCs w:val="20"/>
        </w:rPr>
        <w:t xml:space="preserve"> by UTFs</w:t>
      </w:r>
      <w:r w:rsidR="002C7505" w:rsidRPr="00D40E92">
        <w:rPr>
          <w:rFonts w:ascii="Arial" w:hAnsi="Arial" w:cs="Arial"/>
          <w:color w:val="000000"/>
          <w:sz w:val="20"/>
          <w:szCs w:val="20"/>
        </w:rPr>
        <w:t xml:space="preserve"> is</w:t>
      </w:r>
      <w:r w:rsidRPr="00D40E92">
        <w:rPr>
          <w:rFonts w:ascii="Arial" w:hAnsi="Arial" w:cs="Arial"/>
          <w:color w:val="000000"/>
          <w:sz w:val="20"/>
          <w:szCs w:val="20"/>
        </w:rPr>
        <w:t xml:space="preserve"> a good predictor of performance (</w:t>
      </w:r>
      <w:r w:rsidR="00A23672" w:rsidRPr="00D40E92">
        <w:rPr>
          <w:rFonts w:ascii="Arial" w:hAnsi="Arial" w:cs="Arial"/>
          <w:color w:val="000000"/>
          <w:sz w:val="20"/>
          <w:szCs w:val="20"/>
        </w:rPr>
        <w:t>inves</w:t>
      </w:r>
      <w:r w:rsidRPr="00D40E92">
        <w:rPr>
          <w:rFonts w:ascii="Arial" w:hAnsi="Arial" w:cs="Arial"/>
          <w:color w:val="000000"/>
          <w:sz w:val="20"/>
          <w:szCs w:val="20"/>
        </w:rPr>
        <w:t>t</w:t>
      </w:r>
      <w:r w:rsidR="00A23672" w:rsidRPr="00D40E92">
        <w:rPr>
          <w:rFonts w:ascii="Arial" w:hAnsi="Arial" w:cs="Arial"/>
          <w:color w:val="000000"/>
          <w:sz w:val="20"/>
          <w:szCs w:val="20"/>
        </w:rPr>
        <w:t>ment</w:t>
      </w:r>
      <w:r w:rsidRPr="00D40E92">
        <w:rPr>
          <w:rFonts w:ascii="Arial" w:hAnsi="Arial" w:cs="Arial"/>
          <w:color w:val="000000"/>
          <w:sz w:val="20"/>
          <w:szCs w:val="20"/>
        </w:rPr>
        <w:t xml:space="preserve"> return). ANOVA was used to test how the model was fit for the study. The resu</w:t>
      </w:r>
      <w:r w:rsidR="000725BF" w:rsidRPr="00D40E92">
        <w:rPr>
          <w:rFonts w:ascii="Arial" w:hAnsi="Arial" w:cs="Arial"/>
          <w:color w:val="000000"/>
          <w:sz w:val="20"/>
          <w:szCs w:val="20"/>
        </w:rPr>
        <w:t xml:space="preserve">lts were as depicted in Table </w:t>
      </w:r>
      <w:r w:rsidR="00EE5D93" w:rsidRPr="00D40E92">
        <w:rPr>
          <w:rFonts w:ascii="Arial" w:hAnsi="Arial" w:cs="Arial"/>
          <w:color w:val="000000"/>
          <w:sz w:val="20"/>
          <w:szCs w:val="20"/>
        </w:rPr>
        <w:t>11</w:t>
      </w:r>
      <w:r w:rsidRPr="00D40E92">
        <w:rPr>
          <w:rFonts w:ascii="Arial" w:hAnsi="Arial" w:cs="Arial"/>
          <w:color w:val="000000"/>
          <w:sz w:val="20"/>
          <w:szCs w:val="20"/>
        </w:rPr>
        <w:t>.</w:t>
      </w:r>
      <w:r w:rsidR="00EE5D93" w:rsidRPr="00D40E92">
        <w:rPr>
          <w:rFonts w:ascii="Arial" w:hAnsi="Arial" w:cs="Arial"/>
          <w:color w:val="000000"/>
          <w:sz w:val="20"/>
          <w:szCs w:val="20"/>
        </w:rPr>
        <w:t xml:space="preserve"> </w:t>
      </w:r>
      <w:r w:rsidRPr="00D40E92">
        <w:rPr>
          <w:rFonts w:ascii="Arial" w:hAnsi="Arial" w:cs="Arial"/>
          <w:bCs/>
          <w:color w:val="000000"/>
          <w:sz w:val="20"/>
          <w:szCs w:val="20"/>
        </w:rPr>
        <w:t xml:space="preserve">Analysis of variance (ANOVA) was adopted to test how the model fit the data in the study. The value of the F test was F </w:t>
      </w:r>
      <w:r w:rsidRPr="00D40E92">
        <w:rPr>
          <w:rFonts w:ascii="Arial" w:hAnsi="Arial" w:cs="Arial"/>
          <w:sz w:val="20"/>
          <w:szCs w:val="20"/>
        </w:rPr>
        <w:t>(</w:t>
      </w:r>
      <w:r w:rsidR="002C7505" w:rsidRPr="00D40E92">
        <w:rPr>
          <w:rFonts w:ascii="Arial" w:hAnsi="Arial" w:cs="Arial"/>
          <w:sz w:val="20"/>
          <w:szCs w:val="20"/>
        </w:rPr>
        <w:t>1</w:t>
      </w:r>
      <w:r w:rsidRPr="00D40E92">
        <w:rPr>
          <w:rFonts w:ascii="Arial" w:hAnsi="Arial" w:cs="Arial"/>
          <w:sz w:val="20"/>
          <w:szCs w:val="20"/>
        </w:rPr>
        <w:t>, 2</w:t>
      </w:r>
      <w:r w:rsidR="002C7505" w:rsidRPr="00D40E92">
        <w:rPr>
          <w:rFonts w:ascii="Arial" w:hAnsi="Arial" w:cs="Arial"/>
          <w:sz w:val="20"/>
          <w:szCs w:val="20"/>
        </w:rPr>
        <w:t>6</w:t>
      </w:r>
      <w:r w:rsidRPr="00D40E92">
        <w:rPr>
          <w:rFonts w:ascii="Arial" w:hAnsi="Arial" w:cs="Arial"/>
          <w:sz w:val="20"/>
          <w:szCs w:val="20"/>
        </w:rPr>
        <w:t xml:space="preserve">) = </w:t>
      </w:r>
      <w:r w:rsidR="00EE5D93" w:rsidRPr="00D40E92">
        <w:rPr>
          <w:rFonts w:ascii="Arial" w:hAnsi="Arial" w:cs="Arial"/>
          <w:color w:val="000000"/>
          <w:sz w:val="20"/>
          <w:szCs w:val="20"/>
        </w:rPr>
        <w:t>2</w:t>
      </w:r>
      <w:r w:rsidRPr="00D40E92">
        <w:rPr>
          <w:rFonts w:ascii="Arial" w:hAnsi="Arial" w:cs="Arial"/>
          <w:color w:val="000000"/>
          <w:sz w:val="20"/>
          <w:szCs w:val="20"/>
        </w:rPr>
        <w:t>1.1</w:t>
      </w:r>
      <w:r w:rsidR="00EE5D93" w:rsidRPr="00D40E92">
        <w:rPr>
          <w:rFonts w:ascii="Arial" w:hAnsi="Arial" w:cs="Arial"/>
          <w:color w:val="000000"/>
          <w:sz w:val="20"/>
          <w:szCs w:val="20"/>
        </w:rPr>
        <w:t>60</w:t>
      </w:r>
      <w:r w:rsidRPr="00D40E92">
        <w:rPr>
          <w:rFonts w:ascii="Arial" w:hAnsi="Arial" w:cs="Arial"/>
          <w:sz w:val="20"/>
          <w:szCs w:val="20"/>
        </w:rPr>
        <w:t>, p&lt;0.05.</w:t>
      </w:r>
      <w:r w:rsidRPr="00D40E92">
        <w:rPr>
          <w:rFonts w:ascii="Arial" w:hAnsi="Arial" w:cs="Arial"/>
          <w:color w:val="000000"/>
          <w:sz w:val="20"/>
          <w:szCs w:val="20"/>
        </w:rPr>
        <w:t xml:space="preserve">  This implies that the regression model was fit to predict performance of UTFs in Kenya. A p-value of 0.000 did not exceed of the significance level of 0.05. The study concludes that the regression model that was used to link the predictor variables to the predicted variable has a goodness of fitness.</w:t>
      </w:r>
      <w:r w:rsidRPr="00D40E92">
        <w:rPr>
          <w:rFonts w:ascii="Arial" w:hAnsi="Arial" w:cs="Arial"/>
          <w:bCs/>
          <w:color w:val="000000"/>
          <w:sz w:val="20"/>
          <w:szCs w:val="20"/>
        </w:rPr>
        <w:t xml:space="preserve"> </w:t>
      </w:r>
      <w:r w:rsidR="00EE5D93" w:rsidRPr="00D40E92">
        <w:rPr>
          <w:rFonts w:ascii="Arial" w:hAnsi="Arial" w:cs="Arial"/>
          <w:bCs/>
          <w:color w:val="000000"/>
          <w:sz w:val="20"/>
          <w:szCs w:val="20"/>
        </w:rPr>
        <w:t>Panel regression coefficient results were</w:t>
      </w:r>
      <w:r w:rsidRPr="00D40E92">
        <w:rPr>
          <w:rFonts w:ascii="Arial" w:hAnsi="Arial" w:cs="Arial"/>
          <w:bCs/>
          <w:color w:val="000000"/>
          <w:sz w:val="20"/>
          <w:szCs w:val="20"/>
        </w:rPr>
        <w:t xml:space="preserve"> as depicted</w:t>
      </w:r>
      <w:r w:rsidR="000725BF" w:rsidRPr="00D40E92">
        <w:rPr>
          <w:rFonts w:ascii="Arial" w:hAnsi="Arial" w:cs="Arial"/>
          <w:bCs/>
          <w:color w:val="000000"/>
          <w:sz w:val="20"/>
          <w:szCs w:val="20"/>
        </w:rPr>
        <w:t xml:space="preserve"> in Table </w:t>
      </w:r>
      <w:r w:rsidRPr="00D40E92">
        <w:rPr>
          <w:rFonts w:ascii="Arial" w:hAnsi="Arial" w:cs="Arial"/>
          <w:bCs/>
          <w:color w:val="000000"/>
          <w:sz w:val="20"/>
          <w:szCs w:val="20"/>
        </w:rPr>
        <w:t>1</w:t>
      </w:r>
      <w:r w:rsidR="00EE5D93" w:rsidRPr="00D40E92">
        <w:rPr>
          <w:rFonts w:ascii="Arial" w:hAnsi="Arial" w:cs="Arial"/>
          <w:bCs/>
          <w:color w:val="000000"/>
          <w:sz w:val="20"/>
          <w:szCs w:val="20"/>
        </w:rPr>
        <w:t>1</w:t>
      </w:r>
      <w:r w:rsidRPr="00D40E92">
        <w:rPr>
          <w:rFonts w:ascii="Arial" w:hAnsi="Arial" w:cs="Arial"/>
          <w:bCs/>
          <w:color w:val="000000"/>
          <w:sz w:val="20"/>
          <w:szCs w:val="20"/>
        </w:rPr>
        <w:t>.</w:t>
      </w:r>
    </w:p>
    <w:p w14:paraId="40458D24" w14:textId="77777777" w:rsidR="006C7F98" w:rsidRPr="00D40E92" w:rsidRDefault="00EE5D93" w:rsidP="00EE5D93">
      <w:pPr>
        <w:autoSpaceDE w:val="0"/>
        <w:autoSpaceDN w:val="0"/>
        <w:adjustRightInd w:val="0"/>
        <w:spacing w:after="0" w:line="240" w:lineRule="auto"/>
        <w:jc w:val="both"/>
        <w:rPr>
          <w:rFonts w:ascii="Arial" w:hAnsi="Arial" w:cs="Arial"/>
          <w:sz w:val="20"/>
          <w:szCs w:val="20"/>
          <w:highlight w:val="yellow"/>
        </w:rPr>
      </w:pPr>
      <w:r w:rsidRPr="00D40E92">
        <w:rPr>
          <w:rFonts w:ascii="Arial" w:hAnsi="Arial" w:cs="Arial"/>
          <w:sz w:val="20"/>
          <w:szCs w:val="20"/>
        </w:rPr>
        <w:t>In</w:t>
      </w:r>
      <w:r w:rsidR="006C7F98" w:rsidRPr="00D40E92">
        <w:rPr>
          <w:rFonts w:ascii="Arial" w:hAnsi="Arial" w:cs="Arial"/>
          <w:sz w:val="20"/>
          <w:szCs w:val="20"/>
        </w:rPr>
        <w:t xml:space="preserve"> the panel regression model, the co-efficient of investing in fixed deposits was β=</w:t>
      </w:r>
      <w:r w:rsidR="006C7F98" w:rsidRPr="00D40E92">
        <w:rPr>
          <w:rFonts w:ascii="Arial" w:hAnsi="Arial" w:cs="Arial"/>
          <w:color w:val="000000"/>
          <w:sz w:val="20"/>
          <w:szCs w:val="20"/>
        </w:rPr>
        <w:t>0.</w:t>
      </w:r>
      <w:r w:rsidRPr="00D40E92">
        <w:rPr>
          <w:rFonts w:ascii="Arial" w:hAnsi="Arial" w:cs="Arial"/>
          <w:color w:val="000000"/>
          <w:sz w:val="20"/>
          <w:szCs w:val="20"/>
        </w:rPr>
        <w:t>516</w:t>
      </w:r>
      <w:r w:rsidR="006C7F98" w:rsidRPr="00D40E92">
        <w:rPr>
          <w:rFonts w:ascii="Arial" w:hAnsi="Arial" w:cs="Arial"/>
          <w:color w:val="000000"/>
          <w:sz w:val="20"/>
          <w:szCs w:val="20"/>
        </w:rPr>
        <w:t xml:space="preserve"> with a p-value of 0.0</w:t>
      </w:r>
      <w:r w:rsidRPr="00D40E92">
        <w:rPr>
          <w:rFonts w:ascii="Arial" w:hAnsi="Arial" w:cs="Arial"/>
          <w:color w:val="000000"/>
          <w:sz w:val="20"/>
          <w:szCs w:val="20"/>
        </w:rPr>
        <w:t>00</w:t>
      </w:r>
      <w:r w:rsidR="006C7F98" w:rsidRPr="00D40E92">
        <w:rPr>
          <w:rFonts w:ascii="Arial" w:hAnsi="Arial" w:cs="Arial"/>
          <w:color w:val="000000"/>
          <w:sz w:val="20"/>
          <w:szCs w:val="20"/>
        </w:rPr>
        <w:t xml:space="preserve"> which was less than 0.05. This implies that investing in fixed deposits has a positive and significant effect on performance of UTFs in Kenya. </w:t>
      </w:r>
      <w:r w:rsidR="006C7F98" w:rsidRPr="00D40E92">
        <w:rPr>
          <w:rFonts w:ascii="Arial" w:hAnsi="Arial" w:cs="Arial"/>
          <w:sz w:val="20"/>
          <w:szCs w:val="20"/>
        </w:rPr>
        <w:t>The study tested the null hypothesis (H</w:t>
      </w:r>
      <w:r w:rsidR="006C7F98" w:rsidRPr="00D40E92">
        <w:rPr>
          <w:rFonts w:ascii="Arial" w:hAnsi="Arial" w:cs="Arial"/>
          <w:sz w:val="20"/>
          <w:szCs w:val="20"/>
          <w:vertAlign w:val="subscript"/>
        </w:rPr>
        <w:t>0</w:t>
      </w:r>
      <w:r w:rsidR="00700BA7" w:rsidRPr="00D40E92">
        <w:rPr>
          <w:rFonts w:ascii="Arial" w:hAnsi="Arial" w:cs="Arial"/>
          <w:sz w:val="20"/>
          <w:szCs w:val="20"/>
          <w:vertAlign w:val="subscript"/>
        </w:rPr>
        <w:t>1</w:t>
      </w:r>
      <w:r w:rsidR="006C7F98" w:rsidRPr="00D40E92">
        <w:rPr>
          <w:rFonts w:ascii="Arial" w:hAnsi="Arial" w:cs="Arial"/>
          <w:sz w:val="20"/>
          <w:szCs w:val="20"/>
        </w:rPr>
        <w:t>)</w:t>
      </w:r>
      <w:r w:rsidR="006C7F98" w:rsidRPr="00D40E92">
        <w:rPr>
          <w:rFonts w:ascii="Arial" w:hAnsi="Arial" w:cs="Arial"/>
          <w:sz w:val="20"/>
          <w:szCs w:val="20"/>
          <w:vertAlign w:val="subscript"/>
        </w:rPr>
        <w:t xml:space="preserve"> </w:t>
      </w:r>
      <w:r w:rsidR="006C7F98" w:rsidRPr="00D40E92">
        <w:rPr>
          <w:rFonts w:ascii="Arial" w:hAnsi="Arial" w:cs="Arial"/>
          <w:sz w:val="20"/>
          <w:szCs w:val="20"/>
        </w:rPr>
        <w:t xml:space="preserve">that investing in fixed deposits has no significant effect on performance of unit trust funds in Kenya. </w:t>
      </w:r>
      <w:r w:rsidR="006C7F98" w:rsidRPr="00D40E92">
        <w:rPr>
          <w:rFonts w:ascii="Arial" w:hAnsi="Arial" w:cs="Arial"/>
          <w:color w:val="000000"/>
          <w:sz w:val="20"/>
          <w:szCs w:val="20"/>
        </w:rPr>
        <w:t xml:space="preserve">The null hypothesis that </w:t>
      </w:r>
      <w:r w:rsidR="006C7F98" w:rsidRPr="00D40E92">
        <w:rPr>
          <w:rFonts w:ascii="Arial" w:hAnsi="Arial" w:cs="Arial"/>
          <w:sz w:val="20"/>
          <w:szCs w:val="20"/>
        </w:rPr>
        <w:t>investing in fixed deposits has no significant effect on performance of unit trust funds in Kenya was rejected. The findings further imply that UTFs in Kenya cannot rely entirely on investing in fixed deposits for enhancement of their performance since it is not enough for performance improvement. Therefore, they require other investment vehicles to support performance improvement, i.e., increase asset returns. However, the findings have showed the importance of using fixed deposits as an investment vehicle that can be used to improve the performance of UTFs, i.e., asset returns.</w:t>
      </w:r>
      <w:r w:rsidRPr="00D40E92">
        <w:rPr>
          <w:rFonts w:ascii="Arial" w:hAnsi="Arial" w:cs="Arial"/>
          <w:sz w:val="20"/>
          <w:szCs w:val="20"/>
        </w:rPr>
        <w:t xml:space="preserve"> </w:t>
      </w:r>
      <w:r w:rsidR="006C7F98" w:rsidRPr="00D40E92">
        <w:rPr>
          <w:rFonts w:ascii="Arial" w:hAnsi="Arial" w:cs="Arial"/>
          <w:sz w:val="20"/>
          <w:szCs w:val="20"/>
        </w:rPr>
        <w:t xml:space="preserve">The study agrees with the market segmentation theory which states that </w:t>
      </w:r>
      <w:r w:rsidR="006C7F98" w:rsidRPr="00D40E92">
        <w:rPr>
          <w:rFonts w:ascii="Arial" w:hAnsi="Arial" w:cs="Arial"/>
          <w:bCs/>
          <w:sz w:val="20"/>
          <w:szCs w:val="20"/>
          <w:shd w:val="clear" w:color="auto" w:fill="FFFFFF"/>
        </w:rPr>
        <w:t>both investors and borrowers have maturity preferences that are strong that they try to attain when they invest in or issue fixed income securities</w:t>
      </w:r>
      <w:r w:rsidR="006C7F98" w:rsidRPr="00D40E92">
        <w:rPr>
          <w:rFonts w:ascii="Arial" w:hAnsi="Arial" w:cs="Arial"/>
          <w:sz w:val="20"/>
          <w:szCs w:val="20"/>
        </w:rPr>
        <w:t xml:space="preserve"> (</w:t>
      </w:r>
      <w:r w:rsidR="006C7F98" w:rsidRPr="00D40E92">
        <w:rPr>
          <w:rFonts w:ascii="Arial" w:hAnsi="Arial" w:cs="Arial"/>
          <w:bCs/>
          <w:sz w:val="20"/>
          <w:szCs w:val="20"/>
          <w:shd w:val="clear" w:color="auto" w:fill="FFFFFF"/>
        </w:rPr>
        <w:t>Culbertson, 1957). The intention of considering maturity preferences is with the desire to improve performance. Empirically, the f</w:t>
      </w:r>
      <w:r w:rsidR="006C7F98" w:rsidRPr="00D40E92">
        <w:rPr>
          <w:rFonts w:ascii="Arial" w:hAnsi="Arial" w:cs="Arial"/>
          <w:sz w:val="20"/>
          <w:szCs w:val="20"/>
        </w:rPr>
        <w:t xml:space="preserve">indings are in agreement with that of Morwabe and Muturi (2019) that UTFs invest in fixed deposits and the amount of funds invested in fixed deposits have a significant effect on performance of UTFs. The study by </w:t>
      </w:r>
      <w:r w:rsidR="006C7F98" w:rsidRPr="00D40E92">
        <w:rPr>
          <w:rFonts w:ascii="Arial" w:hAnsi="Arial" w:cs="Arial"/>
          <w:sz w:val="20"/>
          <w:szCs w:val="20"/>
          <w:shd w:val="clear" w:color="auto" w:fill="FFFFFF"/>
        </w:rPr>
        <w:t>Okun (2020) also established that</w:t>
      </w:r>
      <w:r w:rsidR="006C7F98" w:rsidRPr="00D40E92">
        <w:rPr>
          <w:rFonts w:ascii="Arial" w:hAnsi="Arial" w:cs="Arial"/>
          <w:sz w:val="20"/>
          <w:szCs w:val="20"/>
        </w:rPr>
        <w:t xml:space="preserve"> besides UTFs investment in fixed deposits, they also invest in other </w:t>
      </w:r>
      <w:r w:rsidR="006C7F98" w:rsidRPr="00D40E92">
        <w:rPr>
          <w:rFonts w:ascii="Arial" w:hAnsi="Arial" w:cs="Arial"/>
          <w:sz w:val="20"/>
          <w:szCs w:val="20"/>
        </w:rPr>
        <w:lastRenderedPageBreak/>
        <w:t>investment vehicles. In the current study, it was established that UTFs invest in other investment vehicles so as to improve performance, i.e., increase asset returns</w:t>
      </w:r>
      <w:r w:rsidR="00524DC1" w:rsidRPr="00D40E92">
        <w:rPr>
          <w:rFonts w:ascii="Arial" w:hAnsi="Arial" w:cs="Arial"/>
          <w:sz w:val="20"/>
          <w:szCs w:val="20"/>
        </w:rPr>
        <w:t xml:space="preserve">. </w:t>
      </w:r>
      <w:r w:rsidR="006C7F98" w:rsidRPr="00D40E92">
        <w:rPr>
          <w:rFonts w:ascii="Arial" w:hAnsi="Arial" w:cs="Arial"/>
          <w:bCs/>
          <w:sz w:val="20"/>
          <w:szCs w:val="20"/>
        </w:rPr>
        <w:t>Panel regression model before moderation was as follows;</w:t>
      </w:r>
    </w:p>
    <w:p w14:paraId="4744754B" w14:textId="77777777" w:rsidR="006C7F98" w:rsidRPr="00D40E92" w:rsidRDefault="006C7F98" w:rsidP="006C7F98">
      <w:pPr>
        <w:autoSpaceDE w:val="0"/>
        <w:autoSpaceDN w:val="0"/>
        <w:adjustRightInd w:val="0"/>
        <w:spacing w:after="0" w:line="240" w:lineRule="auto"/>
        <w:rPr>
          <w:rFonts w:ascii="Arial" w:hAnsi="Arial" w:cs="Arial"/>
          <w:bCs/>
          <w:sz w:val="20"/>
          <w:szCs w:val="20"/>
        </w:rPr>
      </w:pPr>
    </w:p>
    <w:p w14:paraId="2854A892" w14:textId="77777777" w:rsidR="006C7F98" w:rsidRPr="00D40E92" w:rsidRDefault="006C7F98" w:rsidP="006C7F98">
      <w:pPr>
        <w:tabs>
          <w:tab w:val="left" w:pos="2085"/>
        </w:tabs>
        <w:autoSpaceDE w:val="0"/>
        <w:autoSpaceDN w:val="0"/>
        <w:adjustRightInd w:val="0"/>
        <w:spacing w:after="0" w:line="240" w:lineRule="auto"/>
        <w:rPr>
          <w:rFonts w:ascii="Arial" w:hAnsi="Arial" w:cs="Arial"/>
          <w:bCs/>
          <w:sz w:val="20"/>
          <w:szCs w:val="20"/>
        </w:rPr>
      </w:pPr>
      <w:r w:rsidRPr="00D40E92">
        <w:rPr>
          <w:rFonts w:ascii="Arial" w:hAnsi="Arial" w:cs="Arial"/>
          <w:bCs/>
          <w:sz w:val="20"/>
          <w:szCs w:val="20"/>
        </w:rPr>
        <w:tab/>
      </w:r>
    </w:p>
    <w:p w14:paraId="52D3B936" w14:textId="77777777" w:rsidR="006C7F98" w:rsidRPr="00D40E92" w:rsidRDefault="00EE5D93" w:rsidP="00EE5D93">
      <w:pPr>
        <w:autoSpaceDE w:val="0"/>
        <w:autoSpaceDN w:val="0"/>
        <w:adjustRightInd w:val="0"/>
        <w:spacing w:after="0" w:line="360" w:lineRule="auto"/>
        <w:rPr>
          <w:rFonts w:ascii="Arial" w:hAnsi="Arial" w:cs="Arial"/>
          <w:bCs/>
          <w:color w:val="000000"/>
          <w:sz w:val="20"/>
          <w:szCs w:val="20"/>
        </w:rPr>
      </w:pPr>
      <w:r w:rsidRPr="00D40E92">
        <w:rPr>
          <w:rFonts w:ascii="Arial" w:hAnsi="Arial" w:cs="Arial"/>
          <w:bCs/>
          <w:sz w:val="20"/>
          <w:szCs w:val="20"/>
        </w:rPr>
        <w:t>Y = 9.782</w:t>
      </w:r>
      <w:r w:rsidR="006C7F98" w:rsidRPr="00D40E92">
        <w:rPr>
          <w:rFonts w:ascii="Arial" w:hAnsi="Arial" w:cs="Arial"/>
          <w:bCs/>
          <w:sz w:val="20"/>
          <w:szCs w:val="20"/>
        </w:rPr>
        <w:t xml:space="preserve">+ </w:t>
      </w:r>
      <w:r w:rsidRPr="00D40E92">
        <w:rPr>
          <w:rFonts w:ascii="Arial" w:hAnsi="Arial" w:cs="Arial"/>
          <w:bCs/>
          <w:sz w:val="20"/>
          <w:szCs w:val="20"/>
        </w:rPr>
        <w:t>0.516</w:t>
      </w:r>
      <w:r w:rsidR="006C7F98" w:rsidRPr="00D40E92">
        <w:rPr>
          <w:rFonts w:ascii="Arial" w:hAnsi="Arial" w:cs="Arial"/>
          <w:bCs/>
          <w:sz w:val="20"/>
          <w:szCs w:val="20"/>
          <w:vertAlign w:val="subscript"/>
        </w:rPr>
        <w:t xml:space="preserve"> </w:t>
      </w:r>
      <w:r w:rsidR="006C7F98" w:rsidRPr="00D40E92">
        <w:rPr>
          <w:rFonts w:ascii="Arial" w:hAnsi="Arial" w:cs="Arial"/>
          <w:bCs/>
          <w:color w:val="000000"/>
          <w:sz w:val="20"/>
          <w:szCs w:val="20"/>
        </w:rPr>
        <w:t>X</w:t>
      </w:r>
      <w:r w:rsidR="00524DC1" w:rsidRPr="00D40E92">
        <w:rPr>
          <w:rFonts w:ascii="Arial" w:hAnsi="Arial" w:cs="Arial"/>
          <w:bCs/>
          <w:color w:val="000000"/>
          <w:sz w:val="20"/>
          <w:szCs w:val="20"/>
          <w:vertAlign w:val="subscript"/>
        </w:rPr>
        <w:t>1</w:t>
      </w:r>
      <w:r w:rsidR="006C7F98" w:rsidRPr="00D40E92">
        <w:rPr>
          <w:rFonts w:ascii="Arial" w:hAnsi="Arial" w:cs="Arial"/>
          <w:bCs/>
          <w:sz w:val="20"/>
          <w:szCs w:val="20"/>
          <w:vertAlign w:val="subscript"/>
        </w:rPr>
        <w:t xml:space="preserve"> </w:t>
      </w:r>
    </w:p>
    <w:p w14:paraId="1F753418"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 xml:space="preserve">Where; </w:t>
      </w:r>
    </w:p>
    <w:p w14:paraId="6E5C50A3" w14:textId="77777777" w:rsidR="006C7F98" w:rsidRPr="00D40E92" w:rsidRDefault="006C7F98" w:rsidP="002E1786">
      <w:pPr>
        <w:autoSpaceDE w:val="0"/>
        <w:autoSpaceDN w:val="0"/>
        <w:adjustRightInd w:val="0"/>
        <w:spacing w:after="0" w:line="240" w:lineRule="auto"/>
        <w:ind w:left="1440" w:hanging="720"/>
        <w:jc w:val="both"/>
        <w:rPr>
          <w:rFonts w:ascii="Arial" w:hAnsi="Arial" w:cs="Arial"/>
          <w:sz w:val="20"/>
          <w:szCs w:val="20"/>
        </w:rPr>
      </w:pPr>
      <w:r w:rsidRPr="00D40E92">
        <w:rPr>
          <w:rFonts w:ascii="Arial" w:hAnsi="Arial" w:cs="Arial"/>
          <w:b/>
          <w:bCs/>
          <w:sz w:val="20"/>
          <w:szCs w:val="20"/>
        </w:rPr>
        <w:t>Y</w:t>
      </w:r>
      <w:r w:rsidRPr="00D40E92">
        <w:rPr>
          <w:rFonts w:ascii="Arial" w:hAnsi="Arial" w:cs="Arial"/>
          <w:b/>
          <w:bCs/>
          <w:sz w:val="20"/>
          <w:szCs w:val="20"/>
          <w:vertAlign w:val="subscript"/>
        </w:rPr>
        <w:t>it</w:t>
      </w:r>
      <w:r w:rsidRPr="00D40E92">
        <w:rPr>
          <w:rFonts w:ascii="Arial" w:hAnsi="Arial" w:cs="Arial"/>
          <w:b/>
          <w:bCs/>
          <w:sz w:val="20"/>
          <w:szCs w:val="20"/>
        </w:rPr>
        <w:t xml:space="preserve"> </w:t>
      </w:r>
      <w:r w:rsidRPr="00D40E92">
        <w:rPr>
          <w:rFonts w:ascii="Arial" w:hAnsi="Arial" w:cs="Arial"/>
          <w:sz w:val="20"/>
          <w:szCs w:val="20"/>
        </w:rPr>
        <w:tab/>
        <w:t>represents performance of UTFs in time i and cross sectional (t) dimensions.</w:t>
      </w:r>
    </w:p>
    <w:p w14:paraId="668E67D6"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β</w:t>
      </w:r>
      <w:r w:rsidRPr="00D40E92">
        <w:rPr>
          <w:rFonts w:ascii="Arial" w:hAnsi="Arial" w:cs="Arial"/>
          <w:b/>
          <w:bCs/>
          <w:sz w:val="20"/>
          <w:szCs w:val="20"/>
          <w:vertAlign w:val="subscript"/>
        </w:rPr>
        <w:t>0</w:t>
      </w:r>
      <w:r w:rsidRPr="00D40E92">
        <w:rPr>
          <w:rFonts w:ascii="Arial" w:hAnsi="Arial" w:cs="Arial"/>
          <w:sz w:val="20"/>
          <w:szCs w:val="20"/>
          <w:vertAlign w:val="subscript"/>
        </w:rPr>
        <w:tab/>
      </w:r>
      <w:r w:rsidRPr="00D40E92">
        <w:rPr>
          <w:rFonts w:ascii="Arial" w:hAnsi="Arial" w:cs="Arial"/>
          <w:sz w:val="20"/>
          <w:szCs w:val="20"/>
        </w:rPr>
        <w:t>represents the y intercept (constant)</w:t>
      </w:r>
    </w:p>
    <w:p w14:paraId="003268DE"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X</w:t>
      </w:r>
      <w:r w:rsidRPr="00D40E92">
        <w:rPr>
          <w:rFonts w:ascii="Arial" w:hAnsi="Arial" w:cs="Arial"/>
          <w:b/>
          <w:bCs/>
          <w:sz w:val="20"/>
          <w:szCs w:val="20"/>
          <w:vertAlign w:val="subscript"/>
        </w:rPr>
        <w:t xml:space="preserve">1it </w:t>
      </w:r>
      <w:r w:rsidRPr="00D40E92">
        <w:rPr>
          <w:rFonts w:ascii="Arial" w:hAnsi="Arial" w:cs="Arial"/>
          <w:sz w:val="20"/>
          <w:szCs w:val="20"/>
          <w:vertAlign w:val="subscript"/>
        </w:rPr>
        <w:tab/>
      </w:r>
      <w:r w:rsidRPr="00D40E92">
        <w:rPr>
          <w:rFonts w:ascii="Arial" w:hAnsi="Arial" w:cs="Arial"/>
          <w:sz w:val="20"/>
          <w:szCs w:val="20"/>
        </w:rPr>
        <w:t>represents</w:t>
      </w:r>
      <w:r w:rsidRPr="00D40E92">
        <w:rPr>
          <w:rFonts w:ascii="Arial" w:hAnsi="Arial" w:cs="Arial"/>
          <w:sz w:val="20"/>
          <w:szCs w:val="20"/>
          <w:vertAlign w:val="subscript"/>
        </w:rPr>
        <w:t xml:space="preserve"> </w:t>
      </w:r>
      <w:r w:rsidRPr="00D40E92">
        <w:rPr>
          <w:rFonts w:ascii="Arial" w:hAnsi="Arial" w:cs="Arial"/>
          <w:sz w:val="20"/>
          <w:szCs w:val="20"/>
        </w:rPr>
        <w:t xml:space="preserve">investing in </w:t>
      </w:r>
      <w:r w:rsidR="00524DC1" w:rsidRPr="00D40E92">
        <w:rPr>
          <w:rFonts w:ascii="Arial" w:hAnsi="Arial" w:cs="Arial"/>
          <w:sz w:val="20"/>
          <w:szCs w:val="20"/>
        </w:rPr>
        <w:t>fixed deposits</w:t>
      </w:r>
    </w:p>
    <w:p w14:paraId="28EDC43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β</w:t>
      </w:r>
      <w:r w:rsidRPr="00D40E92">
        <w:rPr>
          <w:rFonts w:ascii="Arial" w:hAnsi="Arial" w:cs="Arial"/>
          <w:b/>
          <w:bCs/>
          <w:sz w:val="20"/>
          <w:szCs w:val="20"/>
          <w:vertAlign w:val="subscript"/>
        </w:rPr>
        <w:t>1</w:t>
      </w:r>
      <w:r w:rsidRPr="00D40E92">
        <w:rPr>
          <w:rFonts w:ascii="Arial" w:hAnsi="Arial" w:cs="Arial"/>
          <w:sz w:val="20"/>
          <w:szCs w:val="20"/>
        </w:rPr>
        <w:t xml:space="preserve"> </w:t>
      </w:r>
      <w:r w:rsidRPr="00D40E92">
        <w:rPr>
          <w:rFonts w:ascii="Arial" w:hAnsi="Arial" w:cs="Arial"/>
          <w:sz w:val="20"/>
          <w:szCs w:val="20"/>
        </w:rPr>
        <w:tab/>
        <w:t xml:space="preserve">represents co-efficient of </w:t>
      </w:r>
      <w:r w:rsidR="00524DC1" w:rsidRPr="00D40E92">
        <w:rPr>
          <w:rFonts w:ascii="Arial" w:hAnsi="Arial" w:cs="Arial"/>
          <w:sz w:val="20"/>
          <w:szCs w:val="20"/>
        </w:rPr>
        <w:t>fixed deposit</w:t>
      </w:r>
    </w:p>
    <w:p w14:paraId="448E762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z </w:t>
      </w:r>
      <w:r w:rsidRPr="00D40E92">
        <w:rPr>
          <w:rFonts w:ascii="Arial" w:hAnsi="Arial" w:cs="Arial"/>
          <w:sz w:val="20"/>
          <w:szCs w:val="20"/>
        </w:rPr>
        <w:tab/>
        <w:t>represents fund size</w:t>
      </w:r>
    </w:p>
    <w:p w14:paraId="2858D460"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Ɛ</w:t>
      </w:r>
      <w:r w:rsidRPr="00D40E92">
        <w:rPr>
          <w:rFonts w:ascii="Arial" w:hAnsi="Arial" w:cs="Arial"/>
          <w:b/>
          <w:bCs/>
          <w:sz w:val="20"/>
          <w:szCs w:val="20"/>
          <w:vertAlign w:val="subscript"/>
        </w:rPr>
        <w:t>it</w:t>
      </w:r>
      <w:r w:rsidRPr="00D40E92">
        <w:rPr>
          <w:rFonts w:ascii="Arial" w:hAnsi="Arial" w:cs="Arial"/>
          <w:b/>
          <w:bCs/>
          <w:sz w:val="20"/>
          <w:szCs w:val="20"/>
        </w:rPr>
        <w:t xml:space="preserve"> </w:t>
      </w:r>
      <w:r w:rsidRPr="00D40E92">
        <w:rPr>
          <w:rFonts w:ascii="Arial" w:hAnsi="Arial" w:cs="Arial"/>
          <w:sz w:val="20"/>
          <w:szCs w:val="20"/>
        </w:rPr>
        <w:tab/>
        <w:t>represents the error term</w:t>
      </w:r>
    </w:p>
    <w:p w14:paraId="72D81E8B" w14:textId="77777777" w:rsidR="006C7F98" w:rsidRPr="00D40E92" w:rsidRDefault="006C7F98" w:rsidP="002E1786">
      <w:pPr>
        <w:tabs>
          <w:tab w:val="left" w:pos="720"/>
          <w:tab w:val="left" w:pos="1440"/>
          <w:tab w:val="left" w:pos="2160"/>
          <w:tab w:val="left" w:pos="2880"/>
          <w:tab w:val="center" w:pos="4637"/>
        </w:tabs>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t </w:t>
      </w:r>
      <w:r w:rsidRPr="00D40E92">
        <w:rPr>
          <w:rFonts w:ascii="Arial" w:hAnsi="Arial" w:cs="Arial"/>
          <w:sz w:val="20"/>
          <w:szCs w:val="20"/>
        </w:rPr>
        <w:tab/>
        <w:t>represents time</w:t>
      </w:r>
      <w:r w:rsidRPr="00D40E92">
        <w:rPr>
          <w:rFonts w:ascii="Arial" w:hAnsi="Arial" w:cs="Arial"/>
          <w:sz w:val="20"/>
          <w:szCs w:val="20"/>
        </w:rPr>
        <w:tab/>
      </w:r>
    </w:p>
    <w:p w14:paraId="6818B91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i </w:t>
      </w:r>
      <w:r w:rsidRPr="00D40E92">
        <w:rPr>
          <w:rFonts w:ascii="Arial" w:hAnsi="Arial" w:cs="Arial"/>
          <w:sz w:val="20"/>
          <w:szCs w:val="20"/>
        </w:rPr>
        <w:tab/>
        <w:t>represents the number of unit trust funds</w:t>
      </w:r>
    </w:p>
    <w:p w14:paraId="1782D991"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p>
    <w:p w14:paraId="11E15A75"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The</w:t>
      </w:r>
      <w:r w:rsidR="00EE5D93" w:rsidRPr="00D40E92">
        <w:rPr>
          <w:rFonts w:ascii="Arial" w:hAnsi="Arial" w:cs="Arial"/>
          <w:sz w:val="20"/>
          <w:szCs w:val="20"/>
        </w:rPr>
        <w:t xml:space="preserve"> study recorded a constant of 9</w:t>
      </w:r>
      <w:r w:rsidRPr="00D40E92">
        <w:rPr>
          <w:rFonts w:ascii="Arial" w:hAnsi="Arial" w:cs="Arial"/>
          <w:sz w:val="20"/>
          <w:szCs w:val="20"/>
        </w:rPr>
        <w:t>.</w:t>
      </w:r>
      <w:r w:rsidR="00EE5D93" w:rsidRPr="00D40E92">
        <w:rPr>
          <w:rFonts w:ascii="Arial" w:hAnsi="Arial" w:cs="Arial"/>
          <w:sz w:val="20"/>
          <w:szCs w:val="20"/>
        </w:rPr>
        <w:t>7</w:t>
      </w:r>
      <w:r w:rsidRPr="00D40E92">
        <w:rPr>
          <w:rFonts w:ascii="Arial" w:hAnsi="Arial" w:cs="Arial"/>
          <w:sz w:val="20"/>
          <w:szCs w:val="20"/>
        </w:rPr>
        <w:t>8</w:t>
      </w:r>
      <w:r w:rsidR="00EE5D93" w:rsidRPr="00D40E92">
        <w:rPr>
          <w:rFonts w:ascii="Arial" w:hAnsi="Arial" w:cs="Arial"/>
          <w:sz w:val="20"/>
          <w:szCs w:val="20"/>
        </w:rPr>
        <w:t>2</w:t>
      </w:r>
      <w:r w:rsidRPr="00D40E92">
        <w:rPr>
          <w:rFonts w:ascii="Arial" w:hAnsi="Arial" w:cs="Arial"/>
          <w:sz w:val="20"/>
          <w:szCs w:val="20"/>
        </w:rPr>
        <w:t xml:space="preserve"> which implies that at zero investment in </w:t>
      </w:r>
      <w:r w:rsidR="00524DC1" w:rsidRPr="00D40E92">
        <w:rPr>
          <w:rFonts w:ascii="Arial" w:hAnsi="Arial" w:cs="Arial"/>
          <w:sz w:val="20"/>
          <w:szCs w:val="20"/>
        </w:rPr>
        <w:t>fixed deposits</w:t>
      </w:r>
      <w:r w:rsidRPr="00D40E92">
        <w:rPr>
          <w:rFonts w:ascii="Arial" w:hAnsi="Arial" w:cs="Arial"/>
          <w:sz w:val="20"/>
          <w:szCs w:val="20"/>
        </w:rPr>
        <w:t>, the performance of UTFs wa</w:t>
      </w:r>
      <w:r w:rsidR="00EE5D93" w:rsidRPr="00D40E92">
        <w:rPr>
          <w:rFonts w:ascii="Arial" w:hAnsi="Arial" w:cs="Arial"/>
          <w:sz w:val="20"/>
          <w:szCs w:val="20"/>
        </w:rPr>
        <w:t>s at 9</w:t>
      </w:r>
      <w:r w:rsidRPr="00D40E92">
        <w:rPr>
          <w:rFonts w:ascii="Arial" w:hAnsi="Arial" w:cs="Arial"/>
          <w:sz w:val="20"/>
          <w:szCs w:val="20"/>
        </w:rPr>
        <w:t>.</w:t>
      </w:r>
      <w:r w:rsidR="00EE5D93" w:rsidRPr="00D40E92">
        <w:rPr>
          <w:rFonts w:ascii="Arial" w:hAnsi="Arial" w:cs="Arial"/>
          <w:sz w:val="20"/>
          <w:szCs w:val="20"/>
        </w:rPr>
        <w:t>7</w:t>
      </w:r>
      <w:r w:rsidRPr="00D40E92">
        <w:rPr>
          <w:rFonts w:ascii="Arial" w:hAnsi="Arial" w:cs="Arial"/>
          <w:sz w:val="20"/>
          <w:szCs w:val="20"/>
        </w:rPr>
        <w:t>8</w:t>
      </w:r>
      <w:r w:rsidR="00EE5D93" w:rsidRPr="00D40E92">
        <w:rPr>
          <w:rFonts w:ascii="Arial" w:hAnsi="Arial" w:cs="Arial"/>
          <w:sz w:val="20"/>
          <w:szCs w:val="20"/>
        </w:rPr>
        <w:t>2</w:t>
      </w:r>
      <w:r w:rsidRPr="00D40E92">
        <w:rPr>
          <w:rFonts w:ascii="Arial" w:hAnsi="Arial" w:cs="Arial"/>
          <w:sz w:val="20"/>
          <w:szCs w:val="20"/>
        </w:rPr>
        <w:t xml:space="preserve"> units.</w:t>
      </w:r>
    </w:p>
    <w:p w14:paraId="0D57F89F" w14:textId="1DF3A9F9" w:rsidR="006C7F98" w:rsidRPr="00D40E92" w:rsidRDefault="00D40E92" w:rsidP="008A49DF">
      <w:pPr>
        <w:pStyle w:val="Heading1"/>
        <w:spacing w:line="360" w:lineRule="auto"/>
        <w:rPr>
          <w:rFonts w:ascii="Arial" w:hAnsi="Arial" w:cs="Arial"/>
          <w:b/>
          <w:color w:val="auto"/>
          <w:sz w:val="22"/>
          <w:szCs w:val="22"/>
        </w:rPr>
      </w:pPr>
      <w:bookmarkStart w:id="193" w:name="_Toc192496818"/>
      <w:r w:rsidRPr="00D40E92">
        <w:rPr>
          <w:rFonts w:ascii="Arial" w:hAnsi="Arial" w:cs="Arial"/>
          <w:b/>
          <w:color w:val="auto"/>
          <w:sz w:val="22"/>
          <w:szCs w:val="22"/>
        </w:rPr>
        <w:t>3</w:t>
      </w:r>
      <w:r w:rsidR="006C7F98" w:rsidRPr="00D40E92">
        <w:rPr>
          <w:rFonts w:ascii="Arial" w:hAnsi="Arial" w:cs="Arial"/>
          <w:b/>
          <w:color w:val="auto"/>
          <w:sz w:val="22"/>
          <w:szCs w:val="22"/>
        </w:rPr>
        <w:t xml:space="preserve">.6 </w:t>
      </w:r>
      <w:bookmarkStart w:id="194" w:name="_Hlk220152459"/>
      <w:r w:rsidR="00E76F1A">
        <w:rPr>
          <w:rFonts w:ascii="Arial" w:hAnsi="Arial" w:cs="Arial"/>
          <w:b/>
          <w:color w:val="auto"/>
          <w:sz w:val="22"/>
          <w:szCs w:val="22"/>
        </w:rPr>
        <w:t xml:space="preserve">Moderated Panel </w:t>
      </w:r>
      <w:r w:rsidR="006C7F98" w:rsidRPr="00D40E92">
        <w:rPr>
          <w:rFonts w:ascii="Arial" w:hAnsi="Arial" w:cs="Arial"/>
          <w:b/>
          <w:color w:val="auto"/>
          <w:sz w:val="22"/>
          <w:szCs w:val="22"/>
        </w:rPr>
        <w:t>Regression</w:t>
      </w:r>
      <w:bookmarkEnd w:id="193"/>
    </w:p>
    <w:p w14:paraId="02E9B57F" w14:textId="66C1D00A" w:rsidR="006C7F98" w:rsidRPr="007D3B84" w:rsidRDefault="00E76F1A" w:rsidP="00E76F1A">
      <w:pPr>
        <w:autoSpaceDE w:val="0"/>
        <w:autoSpaceDN w:val="0"/>
        <w:adjustRightInd w:val="0"/>
        <w:spacing w:after="0" w:line="240" w:lineRule="auto"/>
        <w:jc w:val="both"/>
        <w:rPr>
          <w:rFonts w:ascii="Arial" w:hAnsi="Arial" w:cs="Arial"/>
          <w:sz w:val="20"/>
          <w:szCs w:val="20"/>
        </w:rPr>
      </w:pPr>
      <w:bookmarkStart w:id="195" w:name="_Hlk220070018"/>
      <w:r w:rsidRPr="007D3B84">
        <w:rPr>
          <w:rFonts w:ascii="Arial" w:hAnsi="Arial" w:cs="Arial"/>
          <w:sz w:val="20"/>
          <w:szCs w:val="20"/>
        </w:rPr>
        <w:t xml:space="preserve">Moderated panel regression </w:t>
      </w:r>
      <w:bookmarkEnd w:id="195"/>
      <w:r w:rsidR="00F355FA">
        <w:rPr>
          <w:rFonts w:ascii="Arial" w:hAnsi="Arial" w:cs="Arial"/>
          <w:sz w:val="20"/>
          <w:szCs w:val="20"/>
        </w:rPr>
        <w:t xml:space="preserve">model </w:t>
      </w:r>
      <w:r w:rsidRPr="007D3B84">
        <w:rPr>
          <w:rFonts w:ascii="Arial" w:hAnsi="Arial" w:cs="Arial"/>
          <w:sz w:val="20"/>
          <w:szCs w:val="20"/>
        </w:rPr>
        <w:t xml:space="preserve">was as follows; </w:t>
      </w:r>
      <w:r w:rsidR="00EE04E5" w:rsidRPr="00EE04E5">
        <w:rPr>
          <w:rFonts w:ascii="Arial" w:hAnsi="Arial" w:cs="Arial"/>
          <w:sz w:val="20"/>
          <w:szCs w:val="20"/>
        </w:rPr>
        <w:t>Y</w:t>
      </w:r>
      <w:r w:rsidR="00EE04E5" w:rsidRPr="00EE04E5">
        <w:rPr>
          <w:rFonts w:ascii="Arial" w:hAnsi="Arial" w:cs="Arial"/>
          <w:sz w:val="20"/>
          <w:szCs w:val="20"/>
          <w:vertAlign w:val="subscript"/>
        </w:rPr>
        <w:t>it</w:t>
      </w:r>
      <w:r w:rsidR="00EE04E5" w:rsidRPr="00EE04E5">
        <w:rPr>
          <w:rFonts w:ascii="Arial" w:hAnsi="Arial" w:cs="Arial"/>
          <w:sz w:val="20"/>
          <w:szCs w:val="20"/>
        </w:rPr>
        <w:t xml:space="preserve"> = β</w:t>
      </w:r>
      <w:r w:rsidR="00EE04E5" w:rsidRPr="00EE04E5">
        <w:rPr>
          <w:rFonts w:ascii="Arial" w:hAnsi="Arial" w:cs="Arial"/>
          <w:sz w:val="20"/>
          <w:szCs w:val="20"/>
          <w:vertAlign w:val="subscript"/>
        </w:rPr>
        <w:t>0</w:t>
      </w:r>
      <w:r w:rsidR="00EE04E5" w:rsidRPr="00EE04E5">
        <w:rPr>
          <w:rFonts w:ascii="Arial" w:hAnsi="Arial" w:cs="Arial"/>
          <w:sz w:val="20"/>
          <w:szCs w:val="20"/>
        </w:rPr>
        <w:t>+ β</w:t>
      </w:r>
      <w:r w:rsidR="00EE04E5" w:rsidRPr="00EE04E5">
        <w:rPr>
          <w:rFonts w:ascii="Arial" w:hAnsi="Arial" w:cs="Arial"/>
          <w:sz w:val="20"/>
          <w:szCs w:val="20"/>
          <w:vertAlign w:val="subscript"/>
        </w:rPr>
        <w:t xml:space="preserve">1 </w:t>
      </w:r>
      <w:r w:rsidR="00EE04E5" w:rsidRPr="00EE04E5">
        <w:rPr>
          <w:rFonts w:ascii="Arial" w:hAnsi="Arial" w:cs="Arial"/>
          <w:sz w:val="20"/>
          <w:szCs w:val="20"/>
        </w:rPr>
        <w:t>X</w:t>
      </w:r>
      <w:r w:rsidR="00EE04E5" w:rsidRPr="00EE04E5">
        <w:rPr>
          <w:rFonts w:ascii="Arial" w:hAnsi="Arial" w:cs="Arial"/>
          <w:sz w:val="20"/>
          <w:szCs w:val="20"/>
          <w:vertAlign w:val="subscript"/>
        </w:rPr>
        <w:t xml:space="preserve">1it </w:t>
      </w:r>
      <w:r w:rsidR="00EE04E5" w:rsidRPr="00EE04E5">
        <w:rPr>
          <w:rFonts w:ascii="Arial" w:hAnsi="Arial" w:cs="Arial"/>
          <w:sz w:val="20"/>
          <w:szCs w:val="20"/>
        </w:rPr>
        <w:t>+ β</w:t>
      </w:r>
      <w:r w:rsidR="00EE04E5" w:rsidRPr="00EE04E5">
        <w:rPr>
          <w:rFonts w:ascii="Arial" w:hAnsi="Arial" w:cs="Arial"/>
          <w:sz w:val="20"/>
          <w:szCs w:val="20"/>
          <w:vertAlign w:val="subscript"/>
        </w:rPr>
        <w:t xml:space="preserve">2 </w:t>
      </w:r>
      <w:r w:rsidR="00EE04E5" w:rsidRPr="00EE04E5">
        <w:rPr>
          <w:rFonts w:ascii="Arial" w:hAnsi="Arial" w:cs="Arial"/>
          <w:sz w:val="20"/>
          <w:szCs w:val="20"/>
        </w:rPr>
        <w:t>z</w:t>
      </w:r>
      <w:r w:rsidR="00EE04E5" w:rsidRPr="00EE04E5">
        <w:rPr>
          <w:rFonts w:ascii="Arial" w:hAnsi="Arial" w:cs="Arial"/>
          <w:sz w:val="20"/>
          <w:szCs w:val="20"/>
          <w:vertAlign w:val="subscript"/>
        </w:rPr>
        <w:t>it</w:t>
      </w:r>
      <w:r w:rsidR="00EE04E5" w:rsidRPr="00EE04E5">
        <w:rPr>
          <w:rFonts w:ascii="Arial" w:hAnsi="Arial" w:cs="Arial"/>
          <w:sz w:val="20"/>
          <w:szCs w:val="20"/>
        </w:rPr>
        <w:t xml:space="preserve">+ </w:t>
      </w:r>
      <w:bookmarkStart w:id="196" w:name="_Hlk220071864"/>
      <w:r w:rsidR="00EE04E5" w:rsidRPr="00EE04E5">
        <w:rPr>
          <w:rFonts w:ascii="Arial" w:hAnsi="Arial" w:cs="Arial"/>
          <w:sz w:val="20"/>
          <w:szCs w:val="20"/>
        </w:rPr>
        <w:t>β</w:t>
      </w:r>
      <w:r w:rsidR="00EE04E5" w:rsidRPr="00EE04E5">
        <w:rPr>
          <w:rFonts w:ascii="Arial" w:hAnsi="Arial" w:cs="Arial"/>
          <w:sz w:val="20"/>
          <w:szCs w:val="20"/>
          <w:vertAlign w:val="subscript"/>
        </w:rPr>
        <w:t>3</w:t>
      </w:r>
      <w:bookmarkEnd w:id="196"/>
      <w:r w:rsidR="00EE04E5" w:rsidRPr="00EE04E5">
        <w:rPr>
          <w:rFonts w:ascii="Arial" w:hAnsi="Arial" w:cs="Arial"/>
          <w:sz w:val="20"/>
          <w:szCs w:val="20"/>
        </w:rPr>
        <w:t>(X</w:t>
      </w:r>
      <w:r w:rsidR="00EE04E5" w:rsidRPr="00EE04E5">
        <w:rPr>
          <w:rFonts w:ascii="Arial" w:hAnsi="Arial" w:cs="Arial"/>
          <w:sz w:val="20"/>
          <w:szCs w:val="20"/>
          <w:vertAlign w:val="subscript"/>
        </w:rPr>
        <w:t>it</w:t>
      </w:r>
      <w:r w:rsidR="00EE04E5" w:rsidRPr="00EE04E5">
        <w:rPr>
          <w:rFonts w:ascii="Arial" w:hAnsi="Arial" w:cs="Arial"/>
          <w:sz w:val="20"/>
          <w:szCs w:val="20"/>
        </w:rPr>
        <w:t>* z</w:t>
      </w:r>
      <w:r w:rsidR="00EE04E5" w:rsidRPr="00EE04E5">
        <w:rPr>
          <w:rFonts w:ascii="Arial" w:hAnsi="Arial" w:cs="Arial"/>
          <w:sz w:val="20"/>
          <w:szCs w:val="20"/>
          <w:vertAlign w:val="subscript"/>
        </w:rPr>
        <w:t>it</w:t>
      </w:r>
      <w:r w:rsidR="00EE04E5" w:rsidRPr="00EE04E5">
        <w:rPr>
          <w:rFonts w:ascii="Arial" w:hAnsi="Arial" w:cs="Arial"/>
          <w:sz w:val="20"/>
          <w:szCs w:val="20"/>
        </w:rPr>
        <w:t>) +α</w:t>
      </w:r>
      <w:r w:rsidR="00EE04E5" w:rsidRPr="00EE04E5">
        <w:rPr>
          <w:rFonts w:ascii="Arial" w:hAnsi="Arial" w:cs="Arial"/>
          <w:sz w:val="20"/>
          <w:szCs w:val="20"/>
          <w:vertAlign w:val="subscript"/>
        </w:rPr>
        <w:t>i</w:t>
      </w:r>
      <w:r w:rsidR="00EE04E5" w:rsidRPr="00EE04E5">
        <w:rPr>
          <w:rFonts w:ascii="Arial" w:hAnsi="Arial" w:cs="Arial"/>
          <w:sz w:val="20"/>
          <w:szCs w:val="20"/>
        </w:rPr>
        <w:t>+Ɛ</w:t>
      </w:r>
      <w:r w:rsidR="00EE04E5" w:rsidRPr="00EE04E5">
        <w:rPr>
          <w:rFonts w:ascii="Arial" w:hAnsi="Arial" w:cs="Arial"/>
          <w:sz w:val="20"/>
          <w:szCs w:val="20"/>
          <w:vertAlign w:val="subscript"/>
        </w:rPr>
        <w:t>it</w:t>
      </w:r>
      <w:r w:rsidR="00EE04E5" w:rsidRPr="00EE04E5">
        <w:rPr>
          <w:rFonts w:ascii="Arial" w:hAnsi="Arial" w:cs="Arial"/>
          <w:sz w:val="20"/>
          <w:szCs w:val="20"/>
        </w:rPr>
        <w:t>.</w:t>
      </w:r>
      <w:r w:rsidR="00EE04E5" w:rsidRPr="00EE04E5">
        <w:rPr>
          <w:rFonts w:ascii="Arial" w:hAnsi="Arial" w:cs="Arial"/>
          <w:b/>
          <w:bCs/>
          <w:sz w:val="20"/>
          <w:szCs w:val="20"/>
        </w:rPr>
        <w:t xml:space="preserve"> </w:t>
      </w:r>
      <w:r w:rsidR="00E770FA">
        <w:rPr>
          <w:rFonts w:ascii="Arial" w:hAnsi="Arial" w:cs="Arial"/>
          <w:b/>
          <w:bCs/>
          <w:sz w:val="20"/>
          <w:szCs w:val="20"/>
        </w:rPr>
        <w:t xml:space="preserve"> </w:t>
      </w:r>
      <w:r w:rsidR="00E770FA" w:rsidRPr="002F4989">
        <w:rPr>
          <w:rFonts w:ascii="Arial" w:hAnsi="Arial" w:cs="Arial"/>
          <w:sz w:val="20"/>
          <w:szCs w:val="20"/>
        </w:rPr>
        <w:t>Moderated regression formula is calculated by predicting a dependent variable (Y) using an independent variable (X), a moderator (Z) and their interaction (X</w:t>
      </w:r>
      <w:r w:rsidR="002F4989" w:rsidRPr="002F4989">
        <w:rPr>
          <w:rFonts w:ascii="Arial" w:hAnsi="Arial" w:cs="Arial"/>
          <w:sz w:val="20"/>
          <w:szCs w:val="20"/>
        </w:rPr>
        <w:t>*</w:t>
      </w:r>
      <w:r w:rsidR="00E770FA" w:rsidRPr="002F4989">
        <w:rPr>
          <w:rFonts w:ascii="Arial" w:hAnsi="Arial" w:cs="Arial"/>
          <w:sz w:val="20"/>
          <w:szCs w:val="20"/>
        </w:rPr>
        <w:t>Z</w:t>
      </w:r>
      <w:r w:rsidR="002F4989" w:rsidRPr="002F4989">
        <w:rPr>
          <w:rFonts w:ascii="Arial" w:hAnsi="Arial" w:cs="Arial"/>
          <w:sz w:val="20"/>
          <w:szCs w:val="20"/>
        </w:rPr>
        <w:t xml:space="preserve">). When </w:t>
      </w:r>
      <w:r w:rsidR="002F4989" w:rsidRPr="00EE04E5">
        <w:rPr>
          <w:rFonts w:ascii="Arial" w:hAnsi="Arial" w:cs="Arial"/>
          <w:sz w:val="20"/>
          <w:szCs w:val="20"/>
        </w:rPr>
        <w:t>β</w:t>
      </w:r>
      <w:r w:rsidR="002F4989" w:rsidRPr="00EE04E5">
        <w:rPr>
          <w:rFonts w:ascii="Arial" w:hAnsi="Arial" w:cs="Arial"/>
          <w:sz w:val="20"/>
          <w:szCs w:val="20"/>
          <w:vertAlign w:val="subscript"/>
        </w:rPr>
        <w:t>3</w:t>
      </w:r>
      <w:r w:rsidR="002F4989">
        <w:rPr>
          <w:rFonts w:ascii="Arial" w:hAnsi="Arial" w:cs="Arial"/>
          <w:sz w:val="20"/>
          <w:szCs w:val="20"/>
          <w:vertAlign w:val="subscript"/>
        </w:rPr>
        <w:t xml:space="preserve"> </w:t>
      </w:r>
      <w:r w:rsidR="002F4989" w:rsidRPr="002F4989">
        <w:rPr>
          <w:rFonts w:ascii="Arial" w:hAnsi="Arial" w:cs="Arial"/>
          <w:sz w:val="20"/>
          <w:szCs w:val="20"/>
        </w:rPr>
        <w:t>is</w:t>
      </w:r>
      <w:r w:rsidR="002F4989">
        <w:rPr>
          <w:rFonts w:ascii="Arial" w:hAnsi="Arial" w:cs="Arial"/>
          <w:sz w:val="20"/>
          <w:szCs w:val="20"/>
        </w:rPr>
        <w:t xml:space="preserve"> significant it indicates moderation.  </w:t>
      </w:r>
      <w:r w:rsidRPr="007D3B84">
        <w:rPr>
          <w:rFonts w:ascii="Arial" w:hAnsi="Arial" w:cs="Arial"/>
          <w:sz w:val="20"/>
          <w:szCs w:val="20"/>
        </w:rPr>
        <w:t>Moderated p</w:t>
      </w:r>
      <w:r w:rsidR="006C7F98" w:rsidRPr="007D3B84">
        <w:rPr>
          <w:rFonts w:ascii="Arial" w:hAnsi="Arial" w:cs="Arial"/>
          <w:sz w:val="20"/>
          <w:szCs w:val="20"/>
        </w:rPr>
        <w:t xml:space="preserve">anel regression had been adopted to test whether fund size has a significant moderating effect on the </w:t>
      </w:r>
      <w:r w:rsidR="00524DC1" w:rsidRPr="007D3B84">
        <w:rPr>
          <w:rFonts w:ascii="Arial" w:hAnsi="Arial" w:cs="Arial"/>
          <w:sz w:val="20"/>
          <w:szCs w:val="20"/>
        </w:rPr>
        <w:t xml:space="preserve">relationship between fixed deposits </w:t>
      </w:r>
      <w:r w:rsidR="006C7F98" w:rsidRPr="007D3B84">
        <w:rPr>
          <w:rFonts w:ascii="Arial" w:hAnsi="Arial" w:cs="Arial"/>
          <w:sz w:val="20"/>
          <w:szCs w:val="20"/>
        </w:rPr>
        <w:t>and performance of unit trust funds in Kenya.</w:t>
      </w:r>
      <w:r w:rsidR="00F355FA" w:rsidRPr="00F355FA">
        <w:rPr>
          <w:rFonts w:ascii="Arial" w:hAnsi="Arial" w:cs="Arial"/>
          <w:sz w:val="20"/>
          <w:szCs w:val="20"/>
        </w:rPr>
        <w:t xml:space="preserve"> </w:t>
      </w:r>
      <w:r w:rsidR="00F355FA" w:rsidRPr="007D3B84">
        <w:rPr>
          <w:rFonts w:ascii="Arial" w:hAnsi="Arial" w:cs="Arial"/>
          <w:sz w:val="20"/>
          <w:szCs w:val="20"/>
        </w:rPr>
        <w:t>Moderated panel regression</w:t>
      </w:r>
      <w:r w:rsidR="006C7F98" w:rsidRPr="007D3B84">
        <w:rPr>
          <w:rFonts w:ascii="Arial" w:hAnsi="Arial" w:cs="Arial"/>
          <w:sz w:val="20"/>
          <w:szCs w:val="20"/>
        </w:rPr>
        <w:t xml:space="preserve"> results </w:t>
      </w:r>
      <w:r w:rsidR="000725BF" w:rsidRPr="007D3B84">
        <w:rPr>
          <w:rFonts w:ascii="Arial" w:hAnsi="Arial" w:cs="Arial"/>
          <w:sz w:val="20"/>
          <w:szCs w:val="20"/>
        </w:rPr>
        <w:t xml:space="preserve">were presented in Table </w:t>
      </w:r>
      <w:r w:rsidRPr="007D3B84">
        <w:rPr>
          <w:rFonts w:ascii="Arial" w:hAnsi="Arial" w:cs="Arial"/>
          <w:sz w:val="20"/>
          <w:szCs w:val="20"/>
        </w:rPr>
        <w:t>7</w:t>
      </w:r>
      <w:r w:rsidR="006C7F98" w:rsidRPr="007D3B84">
        <w:rPr>
          <w:rFonts w:ascii="Arial" w:hAnsi="Arial" w:cs="Arial"/>
          <w:sz w:val="20"/>
          <w:szCs w:val="20"/>
        </w:rPr>
        <w:t>.</w:t>
      </w:r>
    </w:p>
    <w:p w14:paraId="5AE4726C" w14:textId="77777777" w:rsidR="00F505F9" w:rsidRPr="007D3B84" w:rsidRDefault="00F505F9" w:rsidP="00F505F9">
      <w:pPr>
        <w:pStyle w:val="Caption"/>
        <w:spacing w:after="0"/>
        <w:rPr>
          <w:rFonts w:ascii="Arial" w:hAnsi="Arial" w:cs="Arial"/>
          <w:color w:val="auto"/>
          <w:sz w:val="20"/>
          <w:szCs w:val="20"/>
        </w:rPr>
      </w:pPr>
      <w:bookmarkStart w:id="197" w:name="_Toc190372128"/>
    </w:p>
    <w:p w14:paraId="0906764D" w14:textId="53B07581" w:rsidR="006C7F98" w:rsidRPr="007D3B84" w:rsidRDefault="000725BF" w:rsidP="006C7F98">
      <w:pPr>
        <w:pStyle w:val="Caption"/>
        <w:rPr>
          <w:rFonts w:ascii="Arial" w:hAnsi="Arial" w:cs="Arial"/>
          <w:color w:val="auto"/>
          <w:sz w:val="20"/>
          <w:szCs w:val="20"/>
        </w:rPr>
      </w:pPr>
      <w:r w:rsidRPr="007D3B84">
        <w:rPr>
          <w:rFonts w:ascii="Arial" w:hAnsi="Arial" w:cs="Arial"/>
          <w:color w:val="auto"/>
          <w:sz w:val="20"/>
          <w:szCs w:val="20"/>
        </w:rPr>
        <w:t xml:space="preserve">Table </w:t>
      </w:r>
      <w:r w:rsidR="00E76F1A" w:rsidRPr="007D3B84">
        <w:rPr>
          <w:rFonts w:ascii="Arial" w:hAnsi="Arial" w:cs="Arial"/>
          <w:color w:val="auto"/>
          <w:sz w:val="20"/>
          <w:szCs w:val="20"/>
        </w:rPr>
        <w:t>7</w:t>
      </w:r>
      <w:r w:rsidR="006C7F98" w:rsidRPr="007D3B84">
        <w:rPr>
          <w:rFonts w:ascii="Arial" w:hAnsi="Arial" w:cs="Arial"/>
          <w:color w:val="auto"/>
          <w:sz w:val="20"/>
          <w:szCs w:val="20"/>
        </w:rPr>
        <w:t xml:space="preserve">: </w:t>
      </w:r>
      <w:r w:rsidR="00E76F1A" w:rsidRPr="007D3B84">
        <w:rPr>
          <w:rFonts w:ascii="Arial" w:hAnsi="Arial" w:cs="Arial"/>
          <w:color w:val="auto"/>
          <w:sz w:val="20"/>
          <w:szCs w:val="20"/>
        </w:rPr>
        <w:t xml:space="preserve">Moderated Panel </w:t>
      </w:r>
      <w:r w:rsidR="006C7F98" w:rsidRPr="007D3B84">
        <w:rPr>
          <w:rFonts w:ascii="Arial" w:hAnsi="Arial" w:cs="Arial"/>
          <w:color w:val="auto"/>
          <w:sz w:val="20"/>
          <w:szCs w:val="20"/>
        </w:rPr>
        <w:t xml:space="preserve">Regression </w:t>
      </w:r>
      <w:bookmarkEnd w:id="197"/>
    </w:p>
    <w:tbl>
      <w:tblPr>
        <w:tblStyle w:val="LightShading1"/>
        <w:tblW w:w="5000" w:type="pct"/>
        <w:tblLook w:val="04A0" w:firstRow="1" w:lastRow="0" w:firstColumn="1" w:lastColumn="0" w:noHBand="0" w:noVBand="1"/>
      </w:tblPr>
      <w:tblGrid>
        <w:gridCol w:w="954"/>
        <w:gridCol w:w="2898"/>
        <w:gridCol w:w="934"/>
        <w:gridCol w:w="1217"/>
        <w:gridCol w:w="1696"/>
        <w:gridCol w:w="807"/>
        <w:gridCol w:w="854"/>
      </w:tblGrid>
      <w:tr w:rsidR="006C7F98" w:rsidRPr="007D3B84" w14:paraId="6597967B" w14:textId="77777777" w:rsidTr="00925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tcPr>
          <w:p w14:paraId="57F52304" w14:textId="77777777" w:rsidR="006C7F98" w:rsidRPr="007D3B84" w:rsidRDefault="006C7F98" w:rsidP="0033037F">
            <w:pPr>
              <w:spacing w:after="0" w:line="240" w:lineRule="auto"/>
              <w:jc w:val="both"/>
              <w:rPr>
                <w:rFonts w:ascii="Arial" w:hAnsi="Arial" w:cs="Arial"/>
                <w:sz w:val="20"/>
                <w:szCs w:val="20"/>
              </w:rPr>
            </w:pPr>
            <w:r w:rsidRPr="007D3B84">
              <w:rPr>
                <w:rFonts w:ascii="Arial" w:hAnsi="Arial" w:cs="Arial"/>
                <w:sz w:val="20"/>
                <w:szCs w:val="20"/>
              </w:rPr>
              <w:t>Model</w:t>
            </w:r>
          </w:p>
        </w:tc>
        <w:tc>
          <w:tcPr>
            <w:tcW w:w="1548" w:type="pct"/>
          </w:tcPr>
          <w:p w14:paraId="724D2F62" w14:textId="77777777" w:rsidR="006C7F98" w:rsidRPr="007D3B84" w:rsidRDefault="006C7F98" w:rsidP="0033037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49" w:type="pct"/>
            <w:gridSpan w:val="2"/>
          </w:tcPr>
          <w:p w14:paraId="161FC820" w14:textId="77777777" w:rsidR="006C7F98" w:rsidRPr="007D3B84"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D3B84">
              <w:rPr>
                <w:rFonts w:ascii="Arial" w:hAnsi="Arial" w:cs="Arial"/>
                <w:color w:val="000000"/>
                <w:sz w:val="20"/>
                <w:szCs w:val="20"/>
              </w:rPr>
              <w:t>Unstandardized Coefficients</w:t>
            </w:r>
          </w:p>
        </w:tc>
        <w:tc>
          <w:tcPr>
            <w:tcW w:w="906" w:type="pct"/>
          </w:tcPr>
          <w:p w14:paraId="5C4D4179" w14:textId="77777777" w:rsidR="006C7F98" w:rsidRPr="007D3B84"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Standardized Coefficients</w:t>
            </w:r>
          </w:p>
        </w:tc>
        <w:tc>
          <w:tcPr>
            <w:tcW w:w="431" w:type="pct"/>
          </w:tcPr>
          <w:p w14:paraId="1AD5B499" w14:textId="77777777" w:rsidR="006C7F98" w:rsidRPr="007D3B84"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t</w:t>
            </w:r>
          </w:p>
        </w:tc>
        <w:tc>
          <w:tcPr>
            <w:tcW w:w="456" w:type="pct"/>
          </w:tcPr>
          <w:p w14:paraId="137E0BCE" w14:textId="77777777" w:rsidR="006C7F98" w:rsidRPr="007D3B84"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D3B84">
              <w:rPr>
                <w:rFonts w:ascii="Arial" w:hAnsi="Arial" w:cs="Arial"/>
                <w:color w:val="000000"/>
                <w:sz w:val="20"/>
                <w:szCs w:val="20"/>
              </w:rPr>
              <w:t>Sig.</w:t>
            </w:r>
          </w:p>
        </w:tc>
      </w:tr>
      <w:tr w:rsidR="006C7F98" w:rsidRPr="007D3B84" w14:paraId="7AD297C9"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0374D2D1" w14:textId="77777777" w:rsidR="006C7F98" w:rsidRPr="007D3B84" w:rsidRDefault="006C7F98" w:rsidP="0033037F">
            <w:pPr>
              <w:spacing w:after="0" w:line="240" w:lineRule="auto"/>
              <w:jc w:val="both"/>
              <w:rPr>
                <w:rFonts w:ascii="Arial" w:hAnsi="Arial" w:cs="Arial"/>
                <w:sz w:val="20"/>
                <w:szCs w:val="20"/>
              </w:rPr>
            </w:pPr>
          </w:p>
        </w:tc>
        <w:tc>
          <w:tcPr>
            <w:tcW w:w="1548" w:type="pct"/>
            <w:shd w:val="clear" w:color="auto" w:fill="auto"/>
          </w:tcPr>
          <w:p w14:paraId="33C83F25" w14:textId="77777777" w:rsidR="006C7F98" w:rsidRPr="007D3B84"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242B3028" w14:textId="259BE7F5" w:rsidR="006C7F98" w:rsidRPr="007D3B84" w:rsidRDefault="0047496F" w:rsidP="0033037F">
            <w:pPr>
              <w:tabs>
                <w:tab w:val="left" w:pos="240"/>
                <w:tab w:val="center" w:pos="342"/>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r w:rsidRPr="007D3B84">
              <w:rPr>
                <w:rFonts w:ascii="Arial" w:hAnsi="Arial" w:cs="Arial"/>
                <w:b/>
                <w:color w:val="000000"/>
                <w:sz w:val="20"/>
                <w:szCs w:val="20"/>
              </w:rPr>
              <w:t>Β</w:t>
            </w:r>
          </w:p>
        </w:tc>
        <w:tc>
          <w:tcPr>
            <w:tcW w:w="650" w:type="pct"/>
            <w:shd w:val="clear" w:color="auto" w:fill="auto"/>
          </w:tcPr>
          <w:p w14:paraId="27E32D79"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D3B84">
              <w:rPr>
                <w:rFonts w:ascii="Arial" w:hAnsi="Arial" w:cs="Arial"/>
                <w:b/>
                <w:color w:val="000000"/>
                <w:sz w:val="20"/>
                <w:szCs w:val="20"/>
              </w:rPr>
              <w:t>Std. Error</w:t>
            </w:r>
          </w:p>
        </w:tc>
        <w:tc>
          <w:tcPr>
            <w:tcW w:w="906" w:type="pct"/>
            <w:shd w:val="clear" w:color="auto" w:fill="auto"/>
          </w:tcPr>
          <w:p w14:paraId="5154449C" w14:textId="77777777" w:rsidR="006C7F98" w:rsidRPr="007D3B84" w:rsidRDefault="006C7F98" w:rsidP="0033037F">
            <w:pPr>
              <w:tabs>
                <w:tab w:val="left" w:pos="360"/>
                <w:tab w:val="center" w:pos="708"/>
              </w:tabs>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r w:rsidRPr="007D3B84">
              <w:rPr>
                <w:rFonts w:ascii="Arial" w:hAnsi="Arial" w:cs="Arial"/>
                <w:b/>
                <w:color w:val="000000"/>
                <w:sz w:val="20"/>
                <w:szCs w:val="20"/>
              </w:rPr>
              <w:tab/>
            </w:r>
            <w:r w:rsidRPr="007D3B84">
              <w:rPr>
                <w:rFonts w:ascii="Arial" w:hAnsi="Arial" w:cs="Arial"/>
                <w:b/>
                <w:color w:val="000000"/>
                <w:sz w:val="20"/>
                <w:szCs w:val="20"/>
              </w:rPr>
              <w:tab/>
              <w:t>Beta</w:t>
            </w:r>
          </w:p>
        </w:tc>
        <w:tc>
          <w:tcPr>
            <w:tcW w:w="431" w:type="pct"/>
            <w:shd w:val="clear" w:color="auto" w:fill="auto"/>
          </w:tcPr>
          <w:p w14:paraId="28D903B8"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287064AA"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C7F98" w:rsidRPr="007D3B84" w14:paraId="6AAAB6BC" w14:textId="77777777" w:rsidTr="00925C91">
        <w:trPr>
          <w:trHeight w:val="219"/>
        </w:trPr>
        <w:tc>
          <w:tcPr>
            <w:cnfStyle w:val="001000000000" w:firstRow="0" w:lastRow="0" w:firstColumn="1" w:lastColumn="0" w:oddVBand="0" w:evenVBand="0" w:oddHBand="0" w:evenHBand="0" w:firstRowFirstColumn="0" w:firstRowLastColumn="0" w:lastRowFirstColumn="0" w:lastRowLastColumn="0"/>
            <w:tcW w:w="510" w:type="pct"/>
          </w:tcPr>
          <w:p w14:paraId="7C15E58A" w14:textId="77777777" w:rsidR="006C7F98" w:rsidRPr="007D3B84" w:rsidRDefault="006C7F98" w:rsidP="0033037F">
            <w:pPr>
              <w:spacing w:after="0" w:line="240" w:lineRule="auto"/>
              <w:jc w:val="both"/>
              <w:rPr>
                <w:rFonts w:ascii="Arial" w:hAnsi="Arial" w:cs="Arial"/>
                <w:b w:val="0"/>
                <w:sz w:val="20"/>
                <w:szCs w:val="20"/>
              </w:rPr>
            </w:pPr>
            <w:r w:rsidRPr="007D3B84">
              <w:rPr>
                <w:rFonts w:ascii="Arial" w:hAnsi="Arial" w:cs="Arial"/>
                <w:b w:val="0"/>
                <w:sz w:val="20"/>
                <w:szCs w:val="20"/>
              </w:rPr>
              <w:t>1</w:t>
            </w:r>
          </w:p>
        </w:tc>
        <w:tc>
          <w:tcPr>
            <w:tcW w:w="1548" w:type="pct"/>
          </w:tcPr>
          <w:p w14:paraId="6F13D225" w14:textId="77777777" w:rsidR="006C7F98" w:rsidRPr="007D3B84" w:rsidRDefault="006C7F98" w:rsidP="0033037F">
            <w:pPr>
              <w:tabs>
                <w:tab w:val="left" w:pos="151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3B84">
              <w:rPr>
                <w:rFonts w:ascii="Arial" w:hAnsi="Arial" w:cs="Arial"/>
                <w:color w:val="000000"/>
                <w:sz w:val="20"/>
                <w:szCs w:val="20"/>
              </w:rPr>
              <w:t>(Constant)</w:t>
            </w:r>
            <w:r w:rsidRPr="007D3B84">
              <w:rPr>
                <w:rFonts w:ascii="Arial" w:hAnsi="Arial" w:cs="Arial"/>
                <w:color w:val="000000"/>
                <w:sz w:val="20"/>
                <w:szCs w:val="20"/>
              </w:rPr>
              <w:tab/>
            </w:r>
            <w:r w:rsidRPr="007D3B84">
              <w:rPr>
                <w:rFonts w:ascii="Arial" w:hAnsi="Arial" w:cs="Arial"/>
                <w:color w:val="000000"/>
                <w:sz w:val="20"/>
                <w:szCs w:val="20"/>
              </w:rPr>
              <w:tab/>
            </w:r>
          </w:p>
        </w:tc>
        <w:tc>
          <w:tcPr>
            <w:tcW w:w="499" w:type="pct"/>
          </w:tcPr>
          <w:p w14:paraId="6671CEC0"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3B84">
              <w:rPr>
                <w:rFonts w:ascii="Arial" w:hAnsi="Arial" w:cs="Arial"/>
                <w:color w:val="000000"/>
                <w:sz w:val="20"/>
                <w:szCs w:val="20"/>
              </w:rPr>
              <w:t>64.208</w:t>
            </w:r>
          </w:p>
        </w:tc>
        <w:tc>
          <w:tcPr>
            <w:tcW w:w="650" w:type="pct"/>
          </w:tcPr>
          <w:p w14:paraId="37157896"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3B84">
              <w:rPr>
                <w:rFonts w:ascii="Arial" w:hAnsi="Arial" w:cs="Arial"/>
                <w:sz w:val="20"/>
                <w:szCs w:val="20"/>
              </w:rPr>
              <w:t>3.867</w:t>
            </w:r>
          </w:p>
        </w:tc>
        <w:tc>
          <w:tcPr>
            <w:tcW w:w="906" w:type="pct"/>
          </w:tcPr>
          <w:p w14:paraId="4DBFEE5B"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5727E70F"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3.324</w:t>
            </w:r>
          </w:p>
        </w:tc>
        <w:tc>
          <w:tcPr>
            <w:tcW w:w="456" w:type="pct"/>
          </w:tcPr>
          <w:p w14:paraId="30D807A9"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3B84">
              <w:rPr>
                <w:rFonts w:ascii="Arial" w:hAnsi="Arial" w:cs="Arial"/>
                <w:color w:val="000000"/>
                <w:sz w:val="20"/>
                <w:szCs w:val="20"/>
              </w:rPr>
              <w:t>.003</w:t>
            </w:r>
          </w:p>
        </w:tc>
      </w:tr>
      <w:tr w:rsidR="006C7F98" w:rsidRPr="007D3B84" w14:paraId="78754E33"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32312A0E" w14:textId="77777777" w:rsidR="006C7F98" w:rsidRPr="007D3B84" w:rsidRDefault="006C7F98" w:rsidP="0033037F">
            <w:pPr>
              <w:spacing w:after="0" w:line="240" w:lineRule="auto"/>
              <w:jc w:val="both"/>
              <w:rPr>
                <w:rFonts w:ascii="Arial" w:hAnsi="Arial" w:cs="Arial"/>
                <w:sz w:val="20"/>
                <w:szCs w:val="20"/>
              </w:rPr>
            </w:pPr>
          </w:p>
        </w:tc>
        <w:tc>
          <w:tcPr>
            <w:tcW w:w="1548" w:type="pct"/>
            <w:shd w:val="clear" w:color="auto" w:fill="auto"/>
          </w:tcPr>
          <w:p w14:paraId="23273A2C" w14:textId="77777777" w:rsidR="006C7F98" w:rsidRPr="007D3B84" w:rsidRDefault="00EE5D93" w:rsidP="00EE5D9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Investing in fixed deposits</w:t>
            </w:r>
            <w:r w:rsidR="006C7F98" w:rsidRPr="007D3B84">
              <w:rPr>
                <w:rFonts w:ascii="Arial" w:hAnsi="Arial" w:cs="Arial"/>
                <w:color w:val="000000"/>
                <w:sz w:val="20"/>
                <w:szCs w:val="20"/>
              </w:rPr>
              <w:t>*Z</w:t>
            </w:r>
          </w:p>
        </w:tc>
        <w:tc>
          <w:tcPr>
            <w:tcW w:w="499" w:type="pct"/>
            <w:shd w:val="clear" w:color="auto" w:fill="auto"/>
          </w:tcPr>
          <w:p w14:paraId="32EF70B8" w14:textId="77777777" w:rsidR="006C7F98" w:rsidRPr="007D3B84"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0.525</w:t>
            </w:r>
          </w:p>
        </w:tc>
        <w:tc>
          <w:tcPr>
            <w:tcW w:w="650" w:type="pct"/>
            <w:shd w:val="clear" w:color="auto" w:fill="auto"/>
          </w:tcPr>
          <w:p w14:paraId="26C4084E" w14:textId="77777777" w:rsidR="006C7F98" w:rsidRPr="007D3B84" w:rsidRDefault="006C7F98" w:rsidP="0033037F">
            <w:pPr>
              <w:tabs>
                <w:tab w:val="left" w:pos="225"/>
                <w:tab w:val="center" w:pos="518"/>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.013</w:t>
            </w:r>
          </w:p>
        </w:tc>
        <w:tc>
          <w:tcPr>
            <w:tcW w:w="906" w:type="pct"/>
            <w:shd w:val="clear" w:color="auto" w:fill="auto"/>
          </w:tcPr>
          <w:p w14:paraId="497F5A6C" w14:textId="77777777" w:rsidR="006C7F98" w:rsidRPr="007D3B84" w:rsidRDefault="006C7F98" w:rsidP="0033037F">
            <w:pPr>
              <w:tabs>
                <w:tab w:val="left" w:pos="345"/>
                <w:tab w:val="center" w:pos="62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.363</w:t>
            </w:r>
          </w:p>
        </w:tc>
        <w:tc>
          <w:tcPr>
            <w:tcW w:w="431" w:type="pct"/>
            <w:shd w:val="clear" w:color="auto" w:fill="auto"/>
          </w:tcPr>
          <w:p w14:paraId="35BCC304"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1.148</w:t>
            </w:r>
          </w:p>
        </w:tc>
        <w:tc>
          <w:tcPr>
            <w:tcW w:w="456" w:type="pct"/>
            <w:shd w:val="clear" w:color="auto" w:fill="auto"/>
          </w:tcPr>
          <w:p w14:paraId="25924BDE" w14:textId="77777777" w:rsidR="006C7F98" w:rsidRPr="007D3B84" w:rsidRDefault="006C7F98" w:rsidP="003A51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.0</w:t>
            </w:r>
            <w:r w:rsidR="003A51F1" w:rsidRPr="007D3B84">
              <w:rPr>
                <w:rFonts w:ascii="Arial" w:hAnsi="Arial" w:cs="Arial"/>
                <w:color w:val="000000"/>
                <w:sz w:val="20"/>
                <w:szCs w:val="20"/>
              </w:rPr>
              <w:t>00</w:t>
            </w:r>
          </w:p>
        </w:tc>
      </w:tr>
      <w:tr w:rsidR="006C7F98" w:rsidRPr="007D3B84" w14:paraId="665369BD" w14:textId="77777777" w:rsidTr="00925C91">
        <w:tc>
          <w:tcPr>
            <w:cnfStyle w:val="001000000000" w:firstRow="0" w:lastRow="0" w:firstColumn="1" w:lastColumn="0" w:oddVBand="0" w:evenVBand="0" w:oddHBand="0" w:evenHBand="0" w:firstRowFirstColumn="0" w:firstRowLastColumn="0" w:lastRowFirstColumn="0" w:lastRowLastColumn="0"/>
            <w:tcW w:w="510" w:type="pct"/>
          </w:tcPr>
          <w:p w14:paraId="4745F077" w14:textId="77777777" w:rsidR="006C7F98" w:rsidRPr="007D3B84" w:rsidRDefault="006C7F98" w:rsidP="0033037F">
            <w:pPr>
              <w:spacing w:after="0" w:line="240" w:lineRule="auto"/>
              <w:jc w:val="both"/>
              <w:rPr>
                <w:rFonts w:ascii="Arial" w:hAnsi="Arial" w:cs="Arial"/>
                <w:sz w:val="20"/>
                <w:szCs w:val="20"/>
              </w:rPr>
            </w:pPr>
          </w:p>
        </w:tc>
        <w:tc>
          <w:tcPr>
            <w:tcW w:w="1548" w:type="pct"/>
          </w:tcPr>
          <w:p w14:paraId="6126DB79" w14:textId="77777777" w:rsidR="006C7F98" w:rsidRPr="007D3B84" w:rsidRDefault="006C7F98" w:rsidP="003303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R-squared</w:t>
            </w:r>
          </w:p>
        </w:tc>
        <w:tc>
          <w:tcPr>
            <w:tcW w:w="499" w:type="pct"/>
          </w:tcPr>
          <w:p w14:paraId="2ABE8D6C"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.552</w:t>
            </w:r>
          </w:p>
        </w:tc>
        <w:tc>
          <w:tcPr>
            <w:tcW w:w="650" w:type="pct"/>
          </w:tcPr>
          <w:p w14:paraId="6B442141"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06" w:type="pct"/>
          </w:tcPr>
          <w:p w14:paraId="2FBC9D38"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71E848AE"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56" w:type="pct"/>
          </w:tcPr>
          <w:p w14:paraId="77392528" w14:textId="77777777" w:rsidR="006C7F98" w:rsidRPr="007D3B84" w:rsidRDefault="006C7F98" w:rsidP="0033037F">
            <w:pPr>
              <w:tabs>
                <w:tab w:val="center" w:pos="3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C7F98" w:rsidRPr="007D3B84" w14:paraId="7934467E"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290C5B64" w14:textId="77777777" w:rsidR="006C7F98" w:rsidRPr="007D3B84" w:rsidRDefault="006C7F98" w:rsidP="0033037F">
            <w:pPr>
              <w:spacing w:after="0" w:line="240" w:lineRule="auto"/>
              <w:jc w:val="both"/>
              <w:rPr>
                <w:rFonts w:ascii="Arial" w:hAnsi="Arial" w:cs="Arial"/>
                <w:sz w:val="20"/>
                <w:szCs w:val="20"/>
              </w:rPr>
            </w:pPr>
          </w:p>
        </w:tc>
        <w:tc>
          <w:tcPr>
            <w:tcW w:w="1548" w:type="pct"/>
            <w:shd w:val="clear" w:color="auto" w:fill="auto"/>
          </w:tcPr>
          <w:p w14:paraId="5A1ADC19" w14:textId="77777777" w:rsidR="006C7F98" w:rsidRPr="007D3B84"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Adjusted R-squared</w:t>
            </w:r>
          </w:p>
        </w:tc>
        <w:tc>
          <w:tcPr>
            <w:tcW w:w="499" w:type="pct"/>
            <w:shd w:val="clear" w:color="auto" w:fill="auto"/>
          </w:tcPr>
          <w:p w14:paraId="537AA3F1"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.526</w:t>
            </w:r>
          </w:p>
        </w:tc>
        <w:tc>
          <w:tcPr>
            <w:tcW w:w="650" w:type="pct"/>
            <w:shd w:val="clear" w:color="auto" w:fill="auto"/>
          </w:tcPr>
          <w:p w14:paraId="22F02DDE"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06" w:type="pct"/>
            <w:shd w:val="clear" w:color="auto" w:fill="auto"/>
          </w:tcPr>
          <w:p w14:paraId="731C64E7"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31" w:type="pct"/>
            <w:shd w:val="clear" w:color="auto" w:fill="auto"/>
          </w:tcPr>
          <w:p w14:paraId="2357E828"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7E721248" w14:textId="77777777" w:rsidR="006C7F98" w:rsidRPr="007D3B84" w:rsidRDefault="006C7F98" w:rsidP="0033037F">
            <w:pPr>
              <w:tabs>
                <w:tab w:val="center" w:pos="3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C7F98" w:rsidRPr="007D3B84" w14:paraId="3D325B8F" w14:textId="77777777" w:rsidTr="00925C91">
        <w:tc>
          <w:tcPr>
            <w:cnfStyle w:val="001000000000" w:firstRow="0" w:lastRow="0" w:firstColumn="1" w:lastColumn="0" w:oddVBand="0" w:evenVBand="0" w:oddHBand="0" w:evenHBand="0" w:firstRowFirstColumn="0" w:firstRowLastColumn="0" w:lastRowFirstColumn="0" w:lastRowLastColumn="0"/>
            <w:tcW w:w="510" w:type="pct"/>
          </w:tcPr>
          <w:p w14:paraId="6581572B" w14:textId="77777777" w:rsidR="006C7F98" w:rsidRPr="007D3B84" w:rsidRDefault="006C7F98" w:rsidP="0033037F">
            <w:pPr>
              <w:spacing w:after="0" w:line="240" w:lineRule="auto"/>
              <w:jc w:val="both"/>
              <w:rPr>
                <w:rFonts w:ascii="Arial" w:hAnsi="Arial" w:cs="Arial"/>
                <w:sz w:val="20"/>
                <w:szCs w:val="20"/>
              </w:rPr>
            </w:pPr>
          </w:p>
        </w:tc>
        <w:tc>
          <w:tcPr>
            <w:tcW w:w="1548" w:type="pct"/>
          </w:tcPr>
          <w:p w14:paraId="2DF9EF27" w14:textId="77777777" w:rsidR="006C7F98" w:rsidRPr="007D3B84" w:rsidRDefault="006C7F98" w:rsidP="003303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F statistic</w:t>
            </w:r>
          </w:p>
        </w:tc>
        <w:tc>
          <w:tcPr>
            <w:tcW w:w="499" w:type="pct"/>
          </w:tcPr>
          <w:p w14:paraId="68587F89"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10.292</w:t>
            </w:r>
          </w:p>
        </w:tc>
        <w:tc>
          <w:tcPr>
            <w:tcW w:w="650" w:type="pct"/>
          </w:tcPr>
          <w:p w14:paraId="262198D7"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06" w:type="pct"/>
          </w:tcPr>
          <w:p w14:paraId="71F1436C"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4FB485D6" w14:textId="77777777" w:rsidR="006C7F98" w:rsidRPr="007D3B84"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56" w:type="pct"/>
          </w:tcPr>
          <w:p w14:paraId="5B7F4978" w14:textId="77777777" w:rsidR="006C7F98" w:rsidRPr="007D3B84" w:rsidRDefault="006C7F98" w:rsidP="0033037F">
            <w:pPr>
              <w:tabs>
                <w:tab w:val="center" w:pos="3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C7F98" w:rsidRPr="007D3B84" w14:paraId="360BC334"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4FEF440E" w14:textId="77777777" w:rsidR="006C7F98" w:rsidRPr="007D3B84" w:rsidRDefault="006C7F98" w:rsidP="0033037F">
            <w:pPr>
              <w:spacing w:after="0" w:line="240" w:lineRule="auto"/>
              <w:jc w:val="both"/>
              <w:rPr>
                <w:rFonts w:ascii="Arial" w:hAnsi="Arial" w:cs="Arial"/>
                <w:sz w:val="20"/>
                <w:szCs w:val="20"/>
              </w:rPr>
            </w:pPr>
          </w:p>
        </w:tc>
        <w:tc>
          <w:tcPr>
            <w:tcW w:w="1548" w:type="pct"/>
            <w:shd w:val="clear" w:color="auto" w:fill="auto"/>
          </w:tcPr>
          <w:p w14:paraId="2912B563" w14:textId="77777777" w:rsidR="006C7F98" w:rsidRPr="007D3B84"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Prob (F statistic)</w:t>
            </w:r>
          </w:p>
        </w:tc>
        <w:tc>
          <w:tcPr>
            <w:tcW w:w="499" w:type="pct"/>
            <w:shd w:val="clear" w:color="auto" w:fill="auto"/>
          </w:tcPr>
          <w:p w14:paraId="4DC56ACF"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D3B84">
              <w:rPr>
                <w:rFonts w:ascii="Arial" w:hAnsi="Arial" w:cs="Arial"/>
                <w:color w:val="000000"/>
                <w:sz w:val="20"/>
                <w:szCs w:val="20"/>
              </w:rPr>
              <w:t>.000</w:t>
            </w:r>
            <w:r w:rsidRPr="007D3B84">
              <w:rPr>
                <w:rFonts w:ascii="Arial" w:hAnsi="Arial" w:cs="Arial"/>
                <w:color w:val="000000"/>
                <w:sz w:val="20"/>
                <w:szCs w:val="20"/>
                <w:vertAlign w:val="superscript"/>
              </w:rPr>
              <w:t>b</w:t>
            </w:r>
          </w:p>
        </w:tc>
        <w:tc>
          <w:tcPr>
            <w:tcW w:w="650" w:type="pct"/>
            <w:shd w:val="clear" w:color="auto" w:fill="auto"/>
          </w:tcPr>
          <w:p w14:paraId="299F6ADB"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06" w:type="pct"/>
            <w:shd w:val="clear" w:color="auto" w:fill="auto"/>
          </w:tcPr>
          <w:p w14:paraId="63D31D5C"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31" w:type="pct"/>
            <w:shd w:val="clear" w:color="auto" w:fill="auto"/>
          </w:tcPr>
          <w:p w14:paraId="351A4F67" w14:textId="77777777" w:rsidR="006C7F98" w:rsidRPr="007D3B84"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4D64FB5B" w14:textId="77777777" w:rsidR="006C7F98" w:rsidRPr="007D3B84" w:rsidRDefault="006C7F98" w:rsidP="0033037F">
            <w:pPr>
              <w:tabs>
                <w:tab w:val="center" w:pos="3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7C4C6001" w14:textId="77777777" w:rsidR="006C7F98" w:rsidRPr="007D3B84" w:rsidRDefault="006C7F98" w:rsidP="006C7F98">
      <w:pPr>
        <w:autoSpaceDE w:val="0"/>
        <w:autoSpaceDN w:val="0"/>
        <w:adjustRightInd w:val="0"/>
        <w:spacing w:after="0" w:line="400" w:lineRule="atLeast"/>
        <w:rPr>
          <w:rFonts w:ascii="Arial" w:hAnsi="Arial" w:cs="Arial"/>
          <w:sz w:val="20"/>
          <w:szCs w:val="20"/>
        </w:rPr>
      </w:pPr>
      <w:r w:rsidRPr="007D3B84">
        <w:rPr>
          <w:rFonts w:ascii="Arial" w:hAnsi="Arial" w:cs="Arial"/>
          <w:color w:val="000000"/>
          <w:sz w:val="20"/>
          <w:szCs w:val="20"/>
        </w:rPr>
        <w:t>a. Dependent Variable: Performance of UTFs</w:t>
      </w:r>
    </w:p>
    <w:p w14:paraId="190BF675" w14:textId="77777777" w:rsidR="006C7F98" w:rsidRPr="007D3B84" w:rsidRDefault="006C7F98" w:rsidP="006C7F98">
      <w:pPr>
        <w:autoSpaceDE w:val="0"/>
        <w:autoSpaceDN w:val="0"/>
        <w:adjustRightInd w:val="0"/>
        <w:spacing w:after="0" w:line="240" w:lineRule="auto"/>
        <w:jc w:val="both"/>
        <w:rPr>
          <w:rFonts w:ascii="Arial" w:hAnsi="Arial" w:cs="Arial"/>
          <w:sz w:val="20"/>
          <w:szCs w:val="20"/>
        </w:rPr>
      </w:pPr>
    </w:p>
    <w:p w14:paraId="7AFAB626" w14:textId="3DC0BF32" w:rsidR="006C7F98" w:rsidRPr="007D3B84" w:rsidRDefault="006C7F98" w:rsidP="0033037F">
      <w:pPr>
        <w:autoSpaceDE w:val="0"/>
        <w:autoSpaceDN w:val="0"/>
        <w:adjustRightInd w:val="0"/>
        <w:spacing w:after="0" w:line="240" w:lineRule="auto"/>
        <w:jc w:val="both"/>
        <w:rPr>
          <w:rFonts w:ascii="Arial" w:hAnsi="Arial" w:cs="Arial"/>
          <w:sz w:val="20"/>
          <w:szCs w:val="20"/>
        </w:rPr>
      </w:pPr>
      <w:r w:rsidRPr="007D3B84">
        <w:rPr>
          <w:rFonts w:ascii="Arial" w:hAnsi="Arial" w:cs="Arial"/>
          <w:sz w:val="20"/>
          <w:szCs w:val="20"/>
        </w:rPr>
        <w:t xml:space="preserve">Moderated </w:t>
      </w:r>
      <w:r w:rsidR="00E76F1A" w:rsidRPr="007D3B84">
        <w:rPr>
          <w:rFonts w:ascii="Arial" w:hAnsi="Arial" w:cs="Arial"/>
          <w:sz w:val="20"/>
          <w:szCs w:val="20"/>
        </w:rPr>
        <w:t xml:space="preserve">panel </w:t>
      </w:r>
      <w:r w:rsidRPr="007D3B84">
        <w:rPr>
          <w:rFonts w:ascii="Arial" w:hAnsi="Arial" w:cs="Arial"/>
          <w:sz w:val="20"/>
          <w:szCs w:val="20"/>
        </w:rPr>
        <w:t>regression yielded, R-sq (adj) = 0.526 which implies that</w:t>
      </w:r>
      <w:r w:rsidRPr="007D3B84">
        <w:rPr>
          <w:rFonts w:ascii="Arial" w:hAnsi="Arial" w:cs="Arial"/>
          <w:color w:val="000000"/>
          <w:sz w:val="20"/>
          <w:szCs w:val="20"/>
        </w:rPr>
        <w:t xml:space="preserve"> </w:t>
      </w:r>
      <w:r w:rsidR="0033037F" w:rsidRPr="007D3B84">
        <w:rPr>
          <w:rFonts w:ascii="Arial" w:hAnsi="Arial" w:cs="Arial"/>
          <w:color w:val="000000"/>
          <w:sz w:val="20"/>
          <w:szCs w:val="20"/>
        </w:rPr>
        <w:t>fund size (z), fixed deposit</w:t>
      </w:r>
      <w:r w:rsidRPr="007D3B84">
        <w:rPr>
          <w:rFonts w:ascii="Arial" w:hAnsi="Arial" w:cs="Arial"/>
          <w:color w:val="000000"/>
          <w:sz w:val="20"/>
          <w:szCs w:val="20"/>
        </w:rPr>
        <w:t xml:space="preserve">s and interaction variables (X*Z), account for 52.6% variation in performance of UTFs in Kenya. The difference of 47.4% implies that performance of UTFs is explained by other variables not included in this study model. In a nutshell, investment vehicles </w:t>
      </w:r>
      <w:r w:rsidR="00524DC1" w:rsidRPr="007D3B84">
        <w:rPr>
          <w:rFonts w:ascii="Arial" w:hAnsi="Arial" w:cs="Arial"/>
          <w:color w:val="000000"/>
          <w:sz w:val="20"/>
          <w:szCs w:val="20"/>
        </w:rPr>
        <w:t xml:space="preserve">(fixed deposits) </w:t>
      </w:r>
      <w:r w:rsidRPr="007D3B84">
        <w:rPr>
          <w:rFonts w:ascii="Arial" w:hAnsi="Arial" w:cs="Arial"/>
          <w:color w:val="000000"/>
          <w:sz w:val="20"/>
          <w:szCs w:val="20"/>
        </w:rPr>
        <w:t xml:space="preserve">used by UTFs are a good predictor of performance. A comparison between </w:t>
      </w:r>
      <w:r w:rsidRPr="007D3B84">
        <w:rPr>
          <w:rFonts w:ascii="Arial" w:hAnsi="Arial" w:cs="Arial"/>
          <w:sz w:val="20"/>
          <w:szCs w:val="20"/>
        </w:rPr>
        <w:t>R-sq (adj) without moderation and R-sq (adj) with moderation revealed that the R-sq (adj) improved from 4</w:t>
      </w:r>
      <w:r w:rsidR="003A51F1" w:rsidRPr="007D3B84">
        <w:rPr>
          <w:rFonts w:ascii="Arial" w:hAnsi="Arial" w:cs="Arial"/>
          <w:sz w:val="20"/>
          <w:szCs w:val="20"/>
        </w:rPr>
        <w:t>3</w:t>
      </w:r>
      <w:r w:rsidRPr="007D3B84">
        <w:rPr>
          <w:rFonts w:ascii="Arial" w:hAnsi="Arial" w:cs="Arial"/>
          <w:sz w:val="20"/>
          <w:szCs w:val="20"/>
        </w:rPr>
        <w:t>.</w:t>
      </w:r>
      <w:r w:rsidR="003A51F1" w:rsidRPr="007D3B84">
        <w:rPr>
          <w:rFonts w:ascii="Arial" w:hAnsi="Arial" w:cs="Arial"/>
          <w:sz w:val="20"/>
          <w:szCs w:val="20"/>
        </w:rPr>
        <w:t>5%</w:t>
      </w:r>
      <w:r w:rsidR="007D3B84" w:rsidRPr="007D3B84">
        <w:rPr>
          <w:rFonts w:ascii="Arial" w:hAnsi="Arial" w:cs="Arial"/>
          <w:sz w:val="20"/>
          <w:szCs w:val="20"/>
        </w:rPr>
        <w:t xml:space="preserve"> (Table 6)</w:t>
      </w:r>
      <w:r w:rsidR="003A51F1" w:rsidRPr="007D3B84">
        <w:rPr>
          <w:rFonts w:ascii="Arial" w:hAnsi="Arial" w:cs="Arial"/>
          <w:sz w:val="20"/>
          <w:szCs w:val="20"/>
        </w:rPr>
        <w:t xml:space="preserve"> to 52.2</w:t>
      </w:r>
      <w:r w:rsidRPr="007D3B84">
        <w:rPr>
          <w:rFonts w:ascii="Arial" w:hAnsi="Arial" w:cs="Arial"/>
          <w:sz w:val="20"/>
          <w:szCs w:val="20"/>
        </w:rPr>
        <w:t>%</w:t>
      </w:r>
      <w:r w:rsidR="007D3B84" w:rsidRPr="007D3B84">
        <w:rPr>
          <w:rFonts w:ascii="Arial" w:hAnsi="Arial" w:cs="Arial"/>
          <w:sz w:val="20"/>
          <w:szCs w:val="20"/>
        </w:rPr>
        <w:t xml:space="preserve"> (Table 7)</w:t>
      </w:r>
      <w:r w:rsidRPr="007D3B84">
        <w:rPr>
          <w:rFonts w:ascii="Arial" w:hAnsi="Arial" w:cs="Arial"/>
          <w:sz w:val="20"/>
          <w:szCs w:val="20"/>
        </w:rPr>
        <w:t xml:space="preserve">. This implies that fund size moderates the relationship between </w:t>
      </w:r>
      <w:r w:rsidR="00524DC1" w:rsidRPr="007D3B84">
        <w:rPr>
          <w:rFonts w:ascii="Arial" w:hAnsi="Arial" w:cs="Arial"/>
          <w:sz w:val="20"/>
          <w:szCs w:val="20"/>
        </w:rPr>
        <w:t>fixed deposits</w:t>
      </w:r>
      <w:r w:rsidRPr="007D3B84">
        <w:rPr>
          <w:rFonts w:ascii="Arial" w:hAnsi="Arial" w:cs="Arial"/>
          <w:sz w:val="20"/>
          <w:szCs w:val="20"/>
        </w:rPr>
        <w:t xml:space="preserve"> and performance of UTFs. The co-efficient of investment in fixed deposits (</w:t>
      </w:r>
      <w:r w:rsidRPr="007D3B84">
        <w:rPr>
          <w:rFonts w:ascii="Arial" w:hAnsi="Arial" w:cs="Arial"/>
          <w:color w:val="000000"/>
          <w:sz w:val="20"/>
          <w:szCs w:val="20"/>
        </w:rPr>
        <w:t>0.</w:t>
      </w:r>
      <w:r w:rsidR="003A51F1" w:rsidRPr="007D3B84">
        <w:rPr>
          <w:rFonts w:ascii="Arial" w:hAnsi="Arial" w:cs="Arial"/>
          <w:color w:val="000000"/>
          <w:sz w:val="20"/>
          <w:szCs w:val="20"/>
        </w:rPr>
        <w:t>525</w:t>
      </w:r>
      <w:r w:rsidRPr="007D3B84">
        <w:rPr>
          <w:rFonts w:ascii="Arial" w:hAnsi="Arial" w:cs="Arial"/>
          <w:color w:val="000000"/>
          <w:sz w:val="20"/>
          <w:szCs w:val="20"/>
        </w:rPr>
        <w:t xml:space="preserve">) with moderation </w:t>
      </w:r>
      <w:r w:rsidR="007D3B84" w:rsidRPr="007D3B84">
        <w:rPr>
          <w:rFonts w:ascii="Arial" w:hAnsi="Arial" w:cs="Arial"/>
          <w:color w:val="000000"/>
          <w:sz w:val="20"/>
          <w:szCs w:val="20"/>
        </w:rPr>
        <w:t xml:space="preserve">as shown in Table 7 </w:t>
      </w:r>
      <w:r w:rsidRPr="007D3B84">
        <w:rPr>
          <w:rFonts w:ascii="Arial" w:hAnsi="Arial" w:cs="Arial"/>
          <w:color w:val="000000"/>
          <w:sz w:val="20"/>
          <w:szCs w:val="20"/>
        </w:rPr>
        <w:t>was found to be greater compared to coefficient without moderation (for investing fixed deposits with moderation compared to coe</w:t>
      </w:r>
      <w:r w:rsidR="003A51F1" w:rsidRPr="007D3B84">
        <w:rPr>
          <w:rFonts w:ascii="Arial" w:hAnsi="Arial" w:cs="Arial"/>
          <w:color w:val="000000"/>
          <w:sz w:val="20"/>
          <w:szCs w:val="20"/>
        </w:rPr>
        <w:t>fficient without moderation (0.516</w:t>
      </w:r>
      <w:r w:rsidRPr="007D3B84">
        <w:rPr>
          <w:rFonts w:ascii="Arial" w:hAnsi="Arial" w:cs="Arial"/>
          <w:color w:val="000000"/>
          <w:sz w:val="20"/>
          <w:szCs w:val="20"/>
        </w:rPr>
        <w:t>)</w:t>
      </w:r>
      <w:r w:rsidR="007D3B84" w:rsidRPr="007D3B84">
        <w:rPr>
          <w:rFonts w:ascii="Arial" w:hAnsi="Arial" w:cs="Arial"/>
          <w:color w:val="000000"/>
          <w:sz w:val="20"/>
          <w:szCs w:val="20"/>
        </w:rPr>
        <w:t xml:space="preserve"> as shown in Table 6</w:t>
      </w:r>
      <w:r w:rsidRPr="007D3B84">
        <w:rPr>
          <w:rFonts w:ascii="Arial" w:hAnsi="Arial" w:cs="Arial"/>
          <w:color w:val="000000"/>
          <w:sz w:val="20"/>
          <w:szCs w:val="20"/>
        </w:rPr>
        <w:t>.</w:t>
      </w:r>
      <w:r w:rsidRPr="007D3B84">
        <w:rPr>
          <w:rFonts w:ascii="Arial" w:hAnsi="Arial" w:cs="Arial"/>
          <w:sz w:val="20"/>
          <w:szCs w:val="20"/>
        </w:rPr>
        <w:t xml:space="preserve"> </w:t>
      </w:r>
      <w:r w:rsidR="0033037F" w:rsidRPr="007D3B84">
        <w:rPr>
          <w:rFonts w:ascii="Arial" w:hAnsi="Arial" w:cs="Arial"/>
          <w:sz w:val="20"/>
          <w:szCs w:val="20"/>
        </w:rPr>
        <w:t xml:space="preserve"> The study had adopted the null hypothesis </w:t>
      </w:r>
      <w:r w:rsidR="003A51F1" w:rsidRPr="007D3B84">
        <w:rPr>
          <w:rFonts w:ascii="Arial" w:hAnsi="Arial" w:cs="Arial"/>
          <w:sz w:val="20"/>
          <w:szCs w:val="20"/>
        </w:rPr>
        <w:t>(H</w:t>
      </w:r>
      <w:r w:rsidR="003A51F1" w:rsidRPr="007D3B84">
        <w:rPr>
          <w:rFonts w:ascii="Arial" w:hAnsi="Arial" w:cs="Arial"/>
          <w:sz w:val="20"/>
          <w:szCs w:val="20"/>
          <w:vertAlign w:val="subscript"/>
        </w:rPr>
        <w:t>0</w:t>
      </w:r>
      <w:r w:rsidR="008D3165" w:rsidRPr="007D3B84">
        <w:rPr>
          <w:rFonts w:ascii="Arial" w:hAnsi="Arial" w:cs="Arial"/>
          <w:sz w:val="20"/>
          <w:szCs w:val="20"/>
          <w:vertAlign w:val="subscript"/>
        </w:rPr>
        <w:t>2</w:t>
      </w:r>
      <w:r w:rsidR="003A51F1" w:rsidRPr="007D3B84">
        <w:rPr>
          <w:rFonts w:ascii="Arial" w:hAnsi="Arial" w:cs="Arial"/>
          <w:sz w:val="20"/>
          <w:szCs w:val="20"/>
        </w:rPr>
        <w:t xml:space="preserve">) Fund size has no significant moderating effect on the relationship between investing in fixed deposits and performance of unit trust funds in Kenya. </w:t>
      </w:r>
      <w:r w:rsidR="0033037F" w:rsidRPr="007D3B84">
        <w:rPr>
          <w:rFonts w:ascii="Arial" w:hAnsi="Arial" w:cs="Arial"/>
          <w:sz w:val="20"/>
          <w:szCs w:val="20"/>
        </w:rPr>
        <w:t xml:space="preserve">The hypothesis was rejected and the study concluded that </w:t>
      </w:r>
      <w:r w:rsidR="003A51F1" w:rsidRPr="007D3B84">
        <w:rPr>
          <w:rFonts w:ascii="Arial" w:hAnsi="Arial" w:cs="Arial"/>
          <w:sz w:val="20"/>
          <w:szCs w:val="20"/>
        </w:rPr>
        <w:t>f</w:t>
      </w:r>
      <w:r w:rsidR="003F38F2" w:rsidRPr="007D3B84">
        <w:rPr>
          <w:rFonts w:ascii="Arial" w:hAnsi="Arial" w:cs="Arial"/>
          <w:sz w:val="20"/>
          <w:szCs w:val="20"/>
        </w:rPr>
        <w:t>u</w:t>
      </w:r>
      <w:r w:rsidR="003A51F1" w:rsidRPr="007D3B84">
        <w:rPr>
          <w:rFonts w:ascii="Arial" w:hAnsi="Arial" w:cs="Arial"/>
          <w:sz w:val="20"/>
          <w:szCs w:val="20"/>
        </w:rPr>
        <w:t xml:space="preserve">nd size has a significant moderating effect on the relationship between </w:t>
      </w:r>
      <w:r w:rsidR="0033037F" w:rsidRPr="007D3B84">
        <w:rPr>
          <w:rFonts w:ascii="Arial" w:hAnsi="Arial" w:cs="Arial"/>
          <w:sz w:val="20"/>
          <w:szCs w:val="20"/>
        </w:rPr>
        <w:t xml:space="preserve">investing in fixed deposits </w:t>
      </w:r>
      <w:r w:rsidR="003A51F1" w:rsidRPr="007D3B84">
        <w:rPr>
          <w:rFonts w:ascii="Arial" w:hAnsi="Arial" w:cs="Arial"/>
          <w:sz w:val="20"/>
          <w:szCs w:val="20"/>
        </w:rPr>
        <w:t>and</w:t>
      </w:r>
      <w:r w:rsidR="0033037F" w:rsidRPr="007D3B84">
        <w:rPr>
          <w:rFonts w:ascii="Arial" w:hAnsi="Arial" w:cs="Arial"/>
          <w:sz w:val="20"/>
          <w:szCs w:val="20"/>
        </w:rPr>
        <w:t xml:space="preserve"> performance of unit trust funds in Kenya. </w:t>
      </w:r>
      <w:r w:rsidRPr="007D3B84">
        <w:rPr>
          <w:rFonts w:ascii="Arial" w:hAnsi="Arial" w:cs="Arial"/>
          <w:sz w:val="20"/>
          <w:szCs w:val="20"/>
        </w:rPr>
        <w:t>The model after moderation was;</w:t>
      </w:r>
    </w:p>
    <w:p w14:paraId="7F2AD33A" w14:textId="77777777" w:rsidR="006C7F98" w:rsidRPr="007D3B84" w:rsidRDefault="006C7F98" w:rsidP="0033037F">
      <w:pPr>
        <w:tabs>
          <w:tab w:val="left" w:pos="1770"/>
        </w:tabs>
        <w:autoSpaceDE w:val="0"/>
        <w:autoSpaceDN w:val="0"/>
        <w:adjustRightInd w:val="0"/>
        <w:spacing w:after="0" w:line="240" w:lineRule="auto"/>
        <w:jc w:val="both"/>
        <w:rPr>
          <w:rFonts w:ascii="Arial" w:hAnsi="Arial" w:cs="Arial"/>
          <w:sz w:val="20"/>
          <w:szCs w:val="20"/>
        </w:rPr>
      </w:pPr>
      <w:r w:rsidRPr="007D3B84">
        <w:rPr>
          <w:rFonts w:ascii="Arial" w:hAnsi="Arial" w:cs="Arial"/>
          <w:sz w:val="20"/>
          <w:szCs w:val="20"/>
        </w:rPr>
        <w:lastRenderedPageBreak/>
        <w:tab/>
      </w:r>
    </w:p>
    <w:p w14:paraId="28F648FD" w14:textId="77777777" w:rsidR="006C7F98" w:rsidRPr="007D3B84" w:rsidRDefault="006C7F98" w:rsidP="0033037F">
      <w:pPr>
        <w:autoSpaceDE w:val="0"/>
        <w:autoSpaceDN w:val="0"/>
        <w:adjustRightInd w:val="0"/>
        <w:spacing w:after="0" w:line="240" w:lineRule="auto"/>
        <w:rPr>
          <w:rFonts w:ascii="Arial" w:hAnsi="Arial" w:cs="Arial"/>
          <w:bCs/>
          <w:sz w:val="20"/>
          <w:szCs w:val="20"/>
        </w:rPr>
      </w:pPr>
      <w:r w:rsidRPr="007D3B84">
        <w:rPr>
          <w:rFonts w:ascii="Arial" w:hAnsi="Arial" w:cs="Arial"/>
          <w:bCs/>
          <w:sz w:val="20"/>
          <w:szCs w:val="20"/>
        </w:rPr>
        <w:t>Y = 64.</w:t>
      </w:r>
      <w:r w:rsidR="00E45783" w:rsidRPr="007D3B84">
        <w:rPr>
          <w:rFonts w:ascii="Arial" w:hAnsi="Arial" w:cs="Arial"/>
          <w:bCs/>
          <w:sz w:val="20"/>
          <w:szCs w:val="20"/>
        </w:rPr>
        <w:t>208+</w:t>
      </w:r>
      <w:r w:rsidR="003A51F1" w:rsidRPr="007D3B84">
        <w:rPr>
          <w:rFonts w:ascii="Arial" w:hAnsi="Arial" w:cs="Arial"/>
          <w:bCs/>
          <w:sz w:val="20"/>
          <w:szCs w:val="20"/>
        </w:rPr>
        <w:t>0.52</w:t>
      </w:r>
      <w:r w:rsidRPr="007D3B84">
        <w:rPr>
          <w:rFonts w:ascii="Arial" w:hAnsi="Arial" w:cs="Arial"/>
          <w:bCs/>
          <w:sz w:val="20"/>
          <w:szCs w:val="20"/>
        </w:rPr>
        <w:t>5</w:t>
      </w:r>
      <w:r w:rsidRPr="007D3B84">
        <w:rPr>
          <w:rFonts w:ascii="Arial" w:hAnsi="Arial" w:cs="Arial"/>
          <w:bCs/>
          <w:sz w:val="20"/>
          <w:szCs w:val="20"/>
          <w:vertAlign w:val="subscript"/>
        </w:rPr>
        <w:t xml:space="preserve"> </w:t>
      </w:r>
      <w:r w:rsidRPr="007D3B84">
        <w:rPr>
          <w:rFonts w:ascii="Arial" w:hAnsi="Arial" w:cs="Arial"/>
          <w:bCs/>
          <w:color w:val="000000"/>
          <w:sz w:val="20"/>
          <w:szCs w:val="20"/>
        </w:rPr>
        <w:t>X</w:t>
      </w:r>
      <w:r w:rsidR="00700BA7" w:rsidRPr="007D3B84">
        <w:rPr>
          <w:rFonts w:ascii="Arial" w:hAnsi="Arial" w:cs="Arial"/>
          <w:bCs/>
          <w:color w:val="000000"/>
          <w:sz w:val="20"/>
          <w:szCs w:val="20"/>
          <w:vertAlign w:val="subscript"/>
        </w:rPr>
        <w:t>1</w:t>
      </w:r>
      <w:r w:rsidRPr="007D3B84">
        <w:rPr>
          <w:rFonts w:ascii="Arial" w:hAnsi="Arial" w:cs="Arial"/>
          <w:bCs/>
          <w:color w:val="000000"/>
          <w:sz w:val="20"/>
          <w:szCs w:val="20"/>
        </w:rPr>
        <w:t>*Z</w:t>
      </w:r>
      <w:r w:rsidRPr="007D3B84">
        <w:rPr>
          <w:rFonts w:ascii="Arial" w:hAnsi="Arial" w:cs="Arial"/>
          <w:bCs/>
          <w:sz w:val="20"/>
          <w:szCs w:val="20"/>
          <w:vertAlign w:val="subscript"/>
        </w:rPr>
        <w:t xml:space="preserve"> </w:t>
      </w:r>
    </w:p>
    <w:p w14:paraId="0B5AE190" w14:textId="77777777" w:rsidR="006C7F98" w:rsidRPr="00D40E92" w:rsidRDefault="006C7F98" w:rsidP="0033037F">
      <w:pPr>
        <w:autoSpaceDE w:val="0"/>
        <w:autoSpaceDN w:val="0"/>
        <w:adjustRightInd w:val="0"/>
        <w:spacing w:after="0" w:line="240" w:lineRule="auto"/>
        <w:jc w:val="both"/>
        <w:rPr>
          <w:rFonts w:ascii="Arial" w:hAnsi="Arial" w:cs="Arial"/>
          <w:sz w:val="20"/>
          <w:szCs w:val="20"/>
        </w:rPr>
      </w:pPr>
    </w:p>
    <w:p w14:paraId="388C0803" w14:textId="77777777" w:rsidR="006C7F98" w:rsidRPr="00D40E92" w:rsidRDefault="006C7F98" w:rsidP="0033037F">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 xml:space="preserve">Where; </w:t>
      </w:r>
    </w:p>
    <w:p w14:paraId="6F1C257E" w14:textId="77777777" w:rsidR="006C7F98" w:rsidRPr="00D40E92" w:rsidRDefault="006C7F98" w:rsidP="0033037F">
      <w:pPr>
        <w:autoSpaceDE w:val="0"/>
        <w:autoSpaceDN w:val="0"/>
        <w:adjustRightInd w:val="0"/>
        <w:spacing w:after="0" w:line="240" w:lineRule="auto"/>
        <w:ind w:left="1440" w:hanging="720"/>
        <w:jc w:val="both"/>
        <w:rPr>
          <w:rFonts w:ascii="Arial" w:hAnsi="Arial" w:cs="Arial"/>
          <w:sz w:val="20"/>
          <w:szCs w:val="20"/>
        </w:rPr>
      </w:pPr>
      <w:r w:rsidRPr="00D40E92">
        <w:rPr>
          <w:rFonts w:ascii="Arial" w:hAnsi="Arial" w:cs="Arial"/>
          <w:b/>
          <w:bCs/>
          <w:sz w:val="20"/>
          <w:szCs w:val="20"/>
        </w:rPr>
        <w:t xml:space="preserve">Y </w:t>
      </w:r>
      <w:r w:rsidRPr="00D40E92">
        <w:rPr>
          <w:rFonts w:ascii="Arial" w:hAnsi="Arial" w:cs="Arial"/>
          <w:sz w:val="20"/>
          <w:szCs w:val="20"/>
        </w:rPr>
        <w:tab/>
        <w:t>is the performance of UTFs</w:t>
      </w:r>
    </w:p>
    <w:p w14:paraId="25D73AC7" w14:textId="069543F4" w:rsidR="006C7F98" w:rsidRDefault="006C7F98" w:rsidP="0033037F">
      <w:pPr>
        <w:autoSpaceDE w:val="0"/>
        <w:autoSpaceDN w:val="0"/>
        <w:adjustRightInd w:val="0"/>
        <w:spacing w:after="0" w:line="240" w:lineRule="auto"/>
        <w:ind w:firstLine="720"/>
        <w:jc w:val="both"/>
        <w:rPr>
          <w:rFonts w:ascii="Arial" w:hAnsi="Arial" w:cs="Arial"/>
          <w:bCs/>
          <w:color w:val="000000"/>
          <w:sz w:val="20"/>
          <w:szCs w:val="20"/>
        </w:rPr>
      </w:pPr>
      <w:r w:rsidRPr="00D40E92">
        <w:rPr>
          <w:rFonts w:ascii="Arial" w:hAnsi="Arial" w:cs="Arial"/>
          <w:b/>
          <w:bCs/>
          <w:color w:val="000000"/>
          <w:sz w:val="20"/>
          <w:szCs w:val="20"/>
        </w:rPr>
        <w:t>X</w:t>
      </w:r>
      <w:r w:rsidR="0033037F" w:rsidRPr="00D40E92">
        <w:rPr>
          <w:rFonts w:ascii="Arial" w:hAnsi="Arial" w:cs="Arial"/>
          <w:b/>
          <w:bCs/>
          <w:color w:val="000000"/>
          <w:sz w:val="20"/>
          <w:szCs w:val="20"/>
          <w:vertAlign w:val="subscript"/>
        </w:rPr>
        <w:t>1</w:t>
      </w:r>
      <w:r w:rsidRPr="00D40E92">
        <w:rPr>
          <w:rFonts w:ascii="Arial" w:hAnsi="Arial" w:cs="Arial"/>
          <w:b/>
          <w:bCs/>
          <w:color w:val="000000"/>
          <w:sz w:val="20"/>
          <w:szCs w:val="20"/>
        </w:rPr>
        <w:t>*Z</w:t>
      </w:r>
      <w:r w:rsidRPr="00D40E92">
        <w:rPr>
          <w:rFonts w:ascii="Arial" w:hAnsi="Arial" w:cs="Arial"/>
          <w:bCs/>
          <w:color w:val="000000"/>
          <w:sz w:val="20"/>
          <w:szCs w:val="20"/>
        </w:rPr>
        <w:t xml:space="preserve"> </w:t>
      </w:r>
      <w:r w:rsidRPr="00D40E92">
        <w:rPr>
          <w:rFonts w:ascii="Arial" w:hAnsi="Arial" w:cs="Arial"/>
          <w:bCs/>
          <w:color w:val="000000"/>
          <w:sz w:val="20"/>
          <w:szCs w:val="20"/>
        </w:rPr>
        <w:tab/>
        <w:t>is the proportion of investing in fixed deposits*fund size</w:t>
      </w:r>
    </w:p>
    <w:bookmarkEnd w:id="194"/>
    <w:p w14:paraId="275CA888" w14:textId="77777777" w:rsidR="00D40E92" w:rsidRPr="00D40E92" w:rsidRDefault="00D40E92" w:rsidP="0033037F">
      <w:pPr>
        <w:autoSpaceDE w:val="0"/>
        <w:autoSpaceDN w:val="0"/>
        <w:adjustRightInd w:val="0"/>
        <w:spacing w:after="0" w:line="240" w:lineRule="auto"/>
        <w:ind w:firstLine="720"/>
        <w:jc w:val="both"/>
        <w:rPr>
          <w:rFonts w:ascii="Arial" w:hAnsi="Arial" w:cs="Arial"/>
          <w:b/>
          <w:bCs/>
          <w:sz w:val="20"/>
          <w:szCs w:val="20"/>
        </w:rPr>
      </w:pPr>
    </w:p>
    <w:p w14:paraId="4CF69C44" w14:textId="77777777" w:rsidR="006C7F98" w:rsidRDefault="006C7F98" w:rsidP="006C7F98">
      <w:pPr>
        <w:spacing w:after="0" w:line="360" w:lineRule="auto"/>
        <w:jc w:val="both"/>
        <w:rPr>
          <w:rFonts w:ascii="Times New Roman" w:hAnsi="Times New Roman" w:cs="Times New Roman"/>
          <w:sz w:val="24"/>
          <w:szCs w:val="24"/>
        </w:rPr>
      </w:pPr>
    </w:p>
    <w:p w14:paraId="2BD5AA7B" w14:textId="7DCC0D56" w:rsidR="006C7F98" w:rsidRPr="00D40E92" w:rsidRDefault="00D40E92" w:rsidP="002E1786">
      <w:pPr>
        <w:spacing w:after="0" w:line="480" w:lineRule="auto"/>
        <w:jc w:val="both"/>
        <w:rPr>
          <w:rFonts w:ascii="Arial" w:hAnsi="Arial" w:cs="Arial"/>
          <w:b/>
        </w:rPr>
      </w:pPr>
      <w:r w:rsidRPr="00D40E92">
        <w:rPr>
          <w:rFonts w:ascii="Arial" w:hAnsi="Arial" w:cs="Arial"/>
          <w:b/>
        </w:rPr>
        <w:t>4. CONCLUSION</w:t>
      </w:r>
    </w:p>
    <w:p w14:paraId="3DE84613" w14:textId="7A83B574" w:rsidR="007D3B84" w:rsidRDefault="0033037F" w:rsidP="003672A2">
      <w:pPr>
        <w:spacing w:line="240" w:lineRule="auto"/>
        <w:jc w:val="both"/>
        <w:rPr>
          <w:rFonts w:ascii="Arial" w:hAnsi="Arial" w:cs="Arial"/>
          <w:sz w:val="20"/>
          <w:szCs w:val="20"/>
        </w:rPr>
      </w:pPr>
      <w:r w:rsidRPr="007D3B84">
        <w:rPr>
          <w:rFonts w:ascii="Arial" w:hAnsi="Arial" w:cs="Arial"/>
          <w:sz w:val="20"/>
          <w:szCs w:val="20"/>
        </w:rPr>
        <w:t xml:space="preserve">The study concluded that </w:t>
      </w:r>
      <w:r w:rsidR="007D3B84" w:rsidRPr="007D3B84">
        <w:rPr>
          <w:rFonts w:ascii="Arial" w:hAnsi="Arial" w:cs="Arial"/>
          <w:sz w:val="20"/>
          <w:szCs w:val="20"/>
        </w:rPr>
        <w:t xml:space="preserve">fund size has a significant positive moderating effect on the relationship between investment in fixed deposits and performance of unit trust funds. </w:t>
      </w:r>
      <w:r w:rsidRPr="007D3B84">
        <w:rPr>
          <w:rFonts w:ascii="Arial" w:hAnsi="Arial" w:cs="Arial"/>
          <w:sz w:val="20"/>
          <w:szCs w:val="20"/>
        </w:rPr>
        <w:t xml:space="preserve">unit trust funds that invest in fixed deposits have high chances of recording better investment returns. The amount that unit trust funds invest in fixed deposits varies from one unit trust fund to another in Kenya. Besides investment in fixed deposits, unit trust funds in Kenya invest in other investment vehicles for performance improvement. Unit trust funds therefore require other investment vehicles to support performance improvement. Unit trust funds rely on the benefits of investing in fixed deposits for performance improvement. </w:t>
      </w:r>
      <w:r w:rsidR="002E1786" w:rsidRPr="007D3B84">
        <w:rPr>
          <w:rFonts w:ascii="Arial" w:hAnsi="Arial" w:cs="Arial"/>
          <w:sz w:val="20"/>
          <w:szCs w:val="20"/>
        </w:rPr>
        <w:t xml:space="preserve">The study concluded that the fund managers of unit trust funds should not only keep on investing in fixed deposits but they should also increase the amount invested in fixed deposits for further performance improvement. Besides investment in fixed deposits, fund managers of unit trust funds, should keep on investing in other investment vehicles to support </w:t>
      </w:r>
      <w:r w:rsidR="002E1786" w:rsidRPr="003672A2">
        <w:rPr>
          <w:rFonts w:ascii="Arial" w:hAnsi="Arial" w:cs="Arial"/>
          <w:sz w:val="20"/>
          <w:szCs w:val="20"/>
        </w:rPr>
        <w:t xml:space="preserve">performance improvement. </w:t>
      </w:r>
      <w:r w:rsidR="007D3B84" w:rsidRPr="003672A2">
        <w:rPr>
          <w:rFonts w:ascii="Arial" w:hAnsi="Arial" w:cs="Arial"/>
          <w:sz w:val="20"/>
          <w:szCs w:val="20"/>
        </w:rPr>
        <w:t>The study contributes to theoretical development where the market segmentation theory should be adopted to bolster studies on</w:t>
      </w:r>
      <w:r w:rsidR="007D3B84" w:rsidRPr="003672A2">
        <w:rPr>
          <w:rFonts w:ascii="Arial" w:hAnsi="Arial" w:cs="Arial"/>
          <w:bCs/>
          <w:sz w:val="20"/>
          <w:szCs w:val="20"/>
          <w:shd w:val="clear" w:color="auto" w:fill="FFFFFF"/>
        </w:rPr>
        <w:t xml:space="preserve"> investing in fixed deposits.</w:t>
      </w:r>
      <w:r w:rsidR="007D3B84" w:rsidRPr="003672A2">
        <w:rPr>
          <w:rFonts w:ascii="Arial" w:hAnsi="Arial" w:cs="Arial"/>
          <w:sz w:val="20"/>
          <w:szCs w:val="20"/>
        </w:rPr>
        <w:t xml:space="preserve"> However, further development of the theory is needed to enhance literature on the macroeconomic factors that affect the maturity preferences that investors should be keen on when investing in unit trusts market</w:t>
      </w:r>
      <w:r w:rsidR="003672A2" w:rsidRPr="003672A2">
        <w:rPr>
          <w:rFonts w:ascii="Arial" w:hAnsi="Arial" w:cs="Arial"/>
          <w:sz w:val="20"/>
          <w:szCs w:val="20"/>
        </w:rPr>
        <w:t>. The limitation of the study is that the</w:t>
      </w:r>
      <w:r w:rsidR="007D3B84" w:rsidRPr="003672A2">
        <w:rPr>
          <w:rFonts w:ascii="Arial" w:hAnsi="Arial" w:cs="Arial"/>
          <w:sz w:val="20"/>
          <w:szCs w:val="20"/>
        </w:rPr>
        <w:t xml:space="preserve"> study used secondary data only and </w:t>
      </w:r>
      <w:r w:rsidR="003672A2" w:rsidRPr="003672A2">
        <w:rPr>
          <w:rFonts w:ascii="Arial" w:hAnsi="Arial" w:cs="Arial"/>
          <w:sz w:val="20"/>
          <w:szCs w:val="20"/>
        </w:rPr>
        <w:t>therefore t</w:t>
      </w:r>
      <w:r w:rsidR="007D3B84" w:rsidRPr="003672A2">
        <w:rPr>
          <w:rFonts w:ascii="Arial" w:hAnsi="Arial" w:cs="Arial"/>
          <w:sz w:val="20"/>
          <w:szCs w:val="20"/>
        </w:rPr>
        <w:t>he use of one source of data is a limitation in itself as it limits the quantity of data collected on the subject matter if compared to a situation where both primary data and secondary is used in a single study. However, as much as a single source of data was used, the data collection tool was designed in such a manner that comprehensive data was collected and presented in the study. Data collected in the study was for nine years and therefore was sufficient to access trend patterns in invest</w:t>
      </w:r>
      <w:r w:rsidR="003672A2" w:rsidRPr="003672A2">
        <w:rPr>
          <w:rFonts w:ascii="Arial" w:hAnsi="Arial" w:cs="Arial"/>
          <w:sz w:val="20"/>
          <w:szCs w:val="20"/>
        </w:rPr>
        <w:t>ing in fixed deposits</w:t>
      </w:r>
      <w:r w:rsidR="007D3B84" w:rsidRPr="003672A2">
        <w:rPr>
          <w:rFonts w:ascii="Arial" w:hAnsi="Arial" w:cs="Arial"/>
          <w:sz w:val="20"/>
          <w:szCs w:val="20"/>
        </w:rPr>
        <w:t xml:space="preserve"> and performance of unit trust funds which would not have been gotten if primary data had been used in the study.</w:t>
      </w:r>
    </w:p>
    <w:p w14:paraId="6EB9D44D" w14:textId="77777777" w:rsidR="000C04CF" w:rsidRPr="000C04CF" w:rsidRDefault="000C04CF" w:rsidP="000C04CF">
      <w:pPr>
        <w:spacing w:line="240" w:lineRule="auto"/>
        <w:jc w:val="both"/>
        <w:rPr>
          <w:rFonts w:ascii="Arial" w:hAnsi="Arial" w:cs="Arial"/>
          <w:b/>
          <w:sz w:val="20"/>
          <w:szCs w:val="20"/>
        </w:rPr>
      </w:pPr>
      <w:r w:rsidRPr="000C04CF">
        <w:rPr>
          <w:rFonts w:ascii="Arial" w:hAnsi="Arial" w:cs="Arial"/>
          <w:b/>
          <w:sz w:val="20"/>
          <w:szCs w:val="20"/>
        </w:rPr>
        <w:t>Ethical Approval:</w:t>
      </w:r>
      <w:bookmarkStart w:id="198" w:name="_GoBack"/>
      <w:bookmarkEnd w:id="198"/>
    </w:p>
    <w:p w14:paraId="6A127BE4" w14:textId="77777777" w:rsidR="000C04CF" w:rsidRPr="000C04CF" w:rsidRDefault="000C04CF" w:rsidP="000C04CF">
      <w:pPr>
        <w:spacing w:line="240" w:lineRule="auto"/>
        <w:jc w:val="both"/>
        <w:rPr>
          <w:rFonts w:ascii="Arial" w:hAnsi="Arial" w:cs="Arial"/>
          <w:sz w:val="20"/>
          <w:szCs w:val="20"/>
        </w:rPr>
      </w:pPr>
    </w:p>
    <w:p w14:paraId="29D523DE" w14:textId="6227C5A6" w:rsidR="00767081" w:rsidRDefault="000C04CF" w:rsidP="000C04CF">
      <w:pPr>
        <w:spacing w:line="240" w:lineRule="auto"/>
        <w:jc w:val="both"/>
        <w:rPr>
          <w:rFonts w:ascii="Arial" w:hAnsi="Arial" w:cs="Arial"/>
          <w:sz w:val="20"/>
          <w:szCs w:val="20"/>
        </w:rPr>
      </w:pPr>
      <w:r w:rsidRPr="000C04CF">
        <w:rPr>
          <w:rFonts w:ascii="Arial" w:hAnsi="Arial" w:cs="Arial"/>
          <w:sz w:val="20"/>
          <w:szCs w:val="20"/>
        </w:rPr>
        <w:t>As per international standards or university standards written ethical approval has been collected and preserved by the author(s).</w:t>
      </w:r>
    </w:p>
    <w:p w14:paraId="29CA923A" w14:textId="77777777" w:rsidR="000C04CF" w:rsidRDefault="000C04CF" w:rsidP="003672A2">
      <w:pPr>
        <w:spacing w:line="240" w:lineRule="auto"/>
        <w:jc w:val="both"/>
        <w:rPr>
          <w:rFonts w:ascii="Arial" w:hAnsi="Arial" w:cs="Arial"/>
          <w:sz w:val="20"/>
          <w:szCs w:val="20"/>
        </w:rPr>
      </w:pPr>
    </w:p>
    <w:p w14:paraId="10C97A00" w14:textId="77777777" w:rsidR="00767081" w:rsidRPr="00767081" w:rsidRDefault="00767081" w:rsidP="00767081">
      <w:pPr>
        <w:spacing w:line="240" w:lineRule="auto"/>
        <w:jc w:val="both"/>
        <w:rPr>
          <w:rFonts w:ascii="Arial" w:hAnsi="Arial" w:cs="Arial"/>
          <w:b/>
          <w:sz w:val="20"/>
          <w:szCs w:val="20"/>
        </w:rPr>
      </w:pPr>
      <w:r w:rsidRPr="00767081">
        <w:rPr>
          <w:rFonts w:ascii="Arial" w:hAnsi="Arial" w:cs="Arial"/>
          <w:b/>
          <w:sz w:val="20"/>
          <w:szCs w:val="20"/>
        </w:rPr>
        <w:t>Disclaimer (Artificial intelligence)</w:t>
      </w:r>
    </w:p>
    <w:p w14:paraId="23DFE9F2" w14:textId="4811C2A4" w:rsidR="00767081" w:rsidRPr="003672A2" w:rsidRDefault="00767081" w:rsidP="00767081">
      <w:pPr>
        <w:spacing w:line="240" w:lineRule="auto"/>
        <w:jc w:val="both"/>
        <w:rPr>
          <w:rFonts w:ascii="Arial" w:hAnsi="Arial" w:cs="Arial"/>
          <w:sz w:val="20"/>
          <w:szCs w:val="20"/>
        </w:rPr>
      </w:pPr>
      <w:r w:rsidRPr="00767081">
        <w:rPr>
          <w:rFonts w:ascii="Arial" w:hAnsi="Arial" w:cs="Arial"/>
          <w:sz w:val="20"/>
          <w:szCs w:val="20"/>
        </w:rPr>
        <w:t>Author(s) hereby declare that NO generative AI technologies such as Large Language Models (</w:t>
      </w:r>
      <w:proofErr w:type="spellStart"/>
      <w:r w:rsidRPr="00767081">
        <w:rPr>
          <w:rFonts w:ascii="Arial" w:hAnsi="Arial" w:cs="Arial"/>
          <w:sz w:val="20"/>
          <w:szCs w:val="20"/>
        </w:rPr>
        <w:t>ChatGPT</w:t>
      </w:r>
      <w:proofErr w:type="spellEnd"/>
      <w:r w:rsidRPr="00767081">
        <w:rPr>
          <w:rFonts w:ascii="Arial" w:hAnsi="Arial" w:cs="Arial"/>
          <w:sz w:val="20"/>
          <w:szCs w:val="20"/>
        </w:rPr>
        <w:t>, COPILOT, etc.) and text-to-image generators have been used during the writing or editing of this manuscript.</w:t>
      </w:r>
    </w:p>
    <w:p w14:paraId="1626E6E9" w14:textId="6D7533E9" w:rsidR="007D3B84" w:rsidRDefault="007D3B84" w:rsidP="007D3B84">
      <w:pPr>
        <w:spacing w:line="240" w:lineRule="auto"/>
        <w:jc w:val="both"/>
        <w:rPr>
          <w:rFonts w:ascii="Arial" w:hAnsi="Arial" w:cs="Arial"/>
          <w:sz w:val="20"/>
          <w:szCs w:val="20"/>
        </w:rPr>
      </w:pPr>
    </w:p>
    <w:p w14:paraId="396DF3C1" w14:textId="37CCC2FC" w:rsidR="006C7F98" w:rsidRPr="00D32B8C" w:rsidRDefault="0088510B" w:rsidP="006C7F98">
      <w:pPr>
        <w:spacing w:after="0" w:line="360" w:lineRule="auto"/>
        <w:jc w:val="both"/>
        <w:rPr>
          <w:rFonts w:ascii="Arial" w:hAnsi="Arial" w:cs="Arial"/>
          <w:b/>
        </w:rPr>
      </w:pPr>
      <w:r w:rsidRPr="00D32B8C">
        <w:rPr>
          <w:rFonts w:ascii="Arial" w:hAnsi="Arial" w:cs="Arial"/>
          <w:b/>
        </w:rPr>
        <w:t>REFERENCES</w:t>
      </w:r>
    </w:p>
    <w:p w14:paraId="4A2CF2F4" w14:textId="14B62AE5" w:rsidR="00700BA7" w:rsidRPr="00265C67"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bookmarkStart w:id="199" w:name="_Toc121540104"/>
      <w:bookmarkStart w:id="200" w:name="_Toc121783681"/>
      <w:bookmarkStart w:id="201" w:name="_Toc121783920"/>
      <w:bookmarkStart w:id="202" w:name="_Toc147395131"/>
      <w:bookmarkStart w:id="203" w:name="_Toc148728687"/>
      <w:bookmarkStart w:id="204" w:name="_Toc149561561"/>
      <w:bookmarkStart w:id="205" w:name="_Toc166011023"/>
      <w:bookmarkStart w:id="206" w:name="_Toc167454556"/>
      <w:bookmarkStart w:id="207" w:name="_Toc185522157"/>
      <w:bookmarkStart w:id="208" w:name="_Toc190370864"/>
      <w:bookmarkStart w:id="209" w:name="_Toc190536062"/>
      <w:bookmarkStart w:id="210" w:name="_Toc190604621"/>
      <w:bookmarkStart w:id="211" w:name="_Toc190606369"/>
      <w:bookmarkStart w:id="212" w:name="_Toc190607524"/>
      <w:bookmarkStart w:id="213" w:name="_Toc192496843"/>
      <w:r w:rsidRPr="00265C67">
        <w:rPr>
          <w:rFonts w:ascii="Arial" w:hAnsi="Arial" w:cs="Arial"/>
          <w:sz w:val="20"/>
          <w:szCs w:val="20"/>
          <w:shd w:val="clear" w:color="auto" w:fill="FFFFFF"/>
        </w:rPr>
        <w:t xml:space="preserve">Afriyie, E. Y., Aidoo, G. K. A., &amp; Agboga, R. S. (2021). Fixed </w:t>
      </w:r>
      <w:r w:rsidR="00A8261A" w:rsidRPr="00265C67">
        <w:rPr>
          <w:rFonts w:ascii="Arial" w:hAnsi="Arial" w:cs="Arial"/>
          <w:sz w:val="20"/>
          <w:szCs w:val="20"/>
          <w:shd w:val="clear" w:color="auto" w:fill="FFFFFF"/>
        </w:rPr>
        <w:t xml:space="preserve">deposits and its impact on performance of private equity funds </w:t>
      </w:r>
      <w:r w:rsidRPr="00265C67">
        <w:rPr>
          <w:rFonts w:ascii="Arial" w:hAnsi="Arial" w:cs="Arial"/>
          <w:sz w:val="20"/>
          <w:szCs w:val="20"/>
          <w:shd w:val="clear" w:color="auto" w:fill="FFFFFF"/>
        </w:rPr>
        <w:t>in Ghana. </w:t>
      </w:r>
      <w:r w:rsidRPr="00265C67">
        <w:rPr>
          <w:rFonts w:ascii="Arial" w:hAnsi="Arial" w:cs="Arial"/>
          <w:i/>
          <w:iCs/>
          <w:sz w:val="20"/>
          <w:szCs w:val="20"/>
          <w:shd w:val="clear" w:color="auto" w:fill="FFFFFF"/>
        </w:rPr>
        <w:t>Journal of Southwest Jiaotong University</w:t>
      </w:r>
      <w:r w:rsidRPr="00265C67">
        <w:rPr>
          <w:rFonts w:ascii="Arial" w:hAnsi="Arial" w:cs="Arial"/>
          <w:sz w:val="20"/>
          <w:szCs w:val="20"/>
          <w:shd w:val="clear" w:color="auto" w:fill="FFFFFF"/>
        </w:rPr>
        <w:t>, </w:t>
      </w:r>
      <w:r w:rsidRPr="00265C67">
        <w:rPr>
          <w:rFonts w:ascii="Arial" w:hAnsi="Arial" w:cs="Arial"/>
          <w:i/>
          <w:iCs/>
          <w:sz w:val="20"/>
          <w:szCs w:val="20"/>
          <w:shd w:val="clear" w:color="auto" w:fill="FFFFFF"/>
        </w:rPr>
        <w:t>56</w:t>
      </w:r>
      <w:r w:rsidRPr="00265C67">
        <w:rPr>
          <w:rFonts w:ascii="Arial" w:hAnsi="Arial" w:cs="Arial"/>
          <w:sz w:val="20"/>
          <w:szCs w:val="20"/>
          <w:shd w:val="clear" w:color="auto" w:fill="FFFFFF"/>
        </w:rPr>
        <w:t>(4), 75-83.</w:t>
      </w:r>
    </w:p>
    <w:p w14:paraId="3507ECF1" w14:textId="7701E9AC" w:rsidR="0029791C" w:rsidRPr="00265C67" w:rsidRDefault="0029791C" w:rsidP="0029791C">
      <w:pPr>
        <w:pStyle w:val="ListParagraph"/>
        <w:numPr>
          <w:ilvl w:val="0"/>
          <w:numId w:val="2"/>
        </w:numPr>
        <w:spacing w:after="0" w:line="240" w:lineRule="auto"/>
        <w:jc w:val="both"/>
        <w:rPr>
          <w:rFonts w:ascii="Arial" w:eastAsia="Times New Roman" w:hAnsi="Arial" w:cs="Arial"/>
          <w:bCs/>
          <w:kern w:val="36"/>
          <w:sz w:val="20"/>
          <w:szCs w:val="20"/>
        </w:rPr>
      </w:pPr>
      <w:r w:rsidRPr="00265C67">
        <w:rPr>
          <w:rFonts w:ascii="Arial" w:hAnsi="Arial" w:cs="Arial"/>
          <w:sz w:val="20"/>
          <w:szCs w:val="20"/>
          <w:shd w:val="clear" w:color="auto" w:fill="FFFFFF"/>
        </w:rPr>
        <w:t xml:space="preserve">Al-Nawaiseh, M. A. (2020). The </w:t>
      </w:r>
      <w:r w:rsidR="00265C67" w:rsidRPr="00265C67">
        <w:rPr>
          <w:rFonts w:ascii="Arial" w:hAnsi="Arial" w:cs="Arial"/>
          <w:sz w:val="20"/>
          <w:szCs w:val="20"/>
          <w:shd w:val="clear" w:color="auto" w:fill="FFFFFF"/>
        </w:rPr>
        <w:t>moderating e</w:t>
      </w:r>
      <w:r w:rsidRPr="00265C67">
        <w:rPr>
          <w:rFonts w:ascii="Arial" w:hAnsi="Arial" w:cs="Arial"/>
          <w:sz w:val="20"/>
          <w:szCs w:val="20"/>
          <w:shd w:val="clear" w:color="auto" w:fill="FFFFFF"/>
        </w:rPr>
        <w:t xml:space="preserve">ffect of </w:t>
      </w:r>
      <w:r w:rsidR="00265C67" w:rsidRPr="00265C67">
        <w:rPr>
          <w:rFonts w:ascii="Arial" w:hAnsi="Arial" w:cs="Arial"/>
          <w:sz w:val="20"/>
          <w:szCs w:val="20"/>
          <w:shd w:val="clear" w:color="auto" w:fill="FFFFFF"/>
        </w:rPr>
        <w:t xml:space="preserve">fund’s size </w:t>
      </w:r>
      <w:r w:rsidRPr="00265C67">
        <w:rPr>
          <w:rFonts w:ascii="Arial" w:hAnsi="Arial" w:cs="Arial"/>
          <w:sz w:val="20"/>
          <w:szCs w:val="20"/>
          <w:shd w:val="clear" w:color="auto" w:fill="FFFFFF"/>
        </w:rPr>
        <w:t>on</w:t>
      </w:r>
      <w:r w:rsidR="00265C67" w:rsidRPr="00265C67">
        <w:rPr>
          <w:rFonts w:ascii="Arial" w:hAnsi="Arial" w:cs="Arial"/>
          <w:sz w:val="20"/>
          <w:szCs w:val="20"/>
          <w:shd w:val="clear" w:color="auto" w:fill="FFFFFF"/>
        </w:rPr>
        <w:t xml:space="preserve"> the relationship between fixed deposits and p</w:t>
      </w:r>
      <w:r w:rsidRPr="00265C67">
        <w:rPr>
          <w:rFonts w:ascii="Arial" w:hAnsi="Arial" w:cs="Arial"/>
          <w:sz w:val="20"/>
          <w:szCs w:val="20"/>
          <w:shd w:val="clear" w:color="auto" w:fill="FFFFFF"/>
        </w:rPr>
        <w:t>erformance: Evidence from Jordan. </w:t>
      </w:r>
      <w:r w:rsidRPr="00265C67">
        <w:rPr>
          <w:rFonts w:ascii="Arial" w:hAnsi="Arial" w:cs="Arial"/>
          <w:i/>
          <w:iCs/>
          <w:sz w:val="20"/>
          <w:szCs w:val="20"/>
          <w:shd w:val="clear" w:color="auto" w:fill="FFFFFF"/>
        </w:rPr>
        <w:t>European Journal of Business and Management</w:t>
      </w:r>
      <w:r w:rsidRPr="00265C67">
        <w:rPr>
          <w:rFonts w:ascii="Arial" w:hAnsi="Arial" w:cs="Arial"/>
          <w:sz w:val="20"/>
          <w:szCs w:val="20"/>
          <w:shd w:val="clear" w:color="auto" w:fill="FFFFFF"/>
        </w:rPr>
        <w:t>, </w:t>
      </w:r>
      <w:r w:rsidRPr="00265C67">
        <w:rPr>
          <w:rFonts w:ascii="Arial" w:hAnsi="Arial" w:cs="Arial"/>
          <w:i/>
          <w:iCs/>
          <w:sz w:val="20"/>
          <w:szCs w:val="20"/>
          <w:shd w:val="clear" w:color="auto" w:fill="FFFFFF"/>
        </w:rPr>
        <w:t>12</w:t>
      </w:r>
      <w:r w:rsidRPr="00265C67">
        <w:rPr>
          <w:rFonts w:ascii="Arial" w:hAnsi="Arial" w:cs="Arial"/>
          <w:sz w:val="20"/>
          <w:szCs w:val="20"/>
          <w:shd w:val="clear" w:color="auto" w:fill="FFFFFF"/>
        </w:rPr>
        <w:t>(5), 88-93.</w:t>
      </w:r>
    </w:p>
    <w:p w14:paraId="39714B30" w14:textId="77777777" w:rsidR="00700BA7" w:rsidRPr="00265C67" w:rsidRDefault="00700BA7" w:rsidP="00700BA7">
      <w:pPr>
        <w:pStyle w:val="ListParagraph"/>
        <w:numPr>
          <w:ilvl w:val="0"/>
          <w:numId w:val="2"/>
        </w:numPr>
        <w:spacing w:after="0" w:line="240" w:lineRule="auto"/>
        <w:jc w:val="both"/>
        <w:rPr>
          <w:rFonts w:ascii="Arial" w:hAnsi="Arial" w:cs="Arial"/>
          <w:sz w:val="20"/>
          <w:szCs w:val="20"/>
        </w:rPr>
      </w:pPr>
      <w:r w:rsidRPr="00265C67">
        <w:rPr>
          <w:rFonts w:ascii="Arial" w:hAnsi="Arial" w:cs="Arial"/>
          <w:sz w:val="20"/>
          <w:szCs w:val="20"/>
          <w:shd w:val="clear" w:color="auto" w:fill="FFFFFF"/>
        </w:rPr>
        <w:t xml:space="preserve">Barnard, D.M. (2017). </w:t>
      </w:r>
      <w:r w:rsidRPr="00265C67">
        <w:rPr>
          <w:rFonts w:ascii="Arial" w:hAnsi="Arial" w:cs="Arial"/>
          <w:sz w:val="20"/>
          <w:szCs w:val="20"/>
        </w:rPr>
        <w:t xml:space="preserve">The United Kingdom </w:t>
      </w:r>
      <w:r w:rsidR="00A8261A" w:rsidRPr="00265C67">
        <w:rPr>
          <w:rFonts w:ascii="Arial" w:hAnsi="Arial" w:cs="Arial"/>
          <w:sz w:val="20"/>
          <w:szCs w:val="20"/>
        </w:rPr>
        <w:t>financial services act</w:t>
      </w:r>
      <w:r w:rsidRPr="00265C67">
        <w:rPr>
          <w:rFonts w:ascii="Arial" w:hAnsi="Arial" w:cs="Arial"/>
          <w:sz w:val="20"/>
          <w:szCs w:val="20"/>
        </w:rPr>
        <w:t xml:space="preserve">, 1986: A </w:t>
      </w:r>
      <w:r w:rsidR="00A8261A" w:rsidRPr="00265C67">
        <w:rPr>
          <w:rFonts w:ascii="Arial" w:hAnsi="Arial" w:cs="Arial"/>
          <w:sz w:val="20"/>
          <w:szCs w:val="20"/>
        </w:rPr>
        <w:t>new regulatory framework</w:t>
      </w:r>
      <w:r w:rsidRPr="00265C67">
        <w:rPr>
          <w:rFonts w:ascii="Arial" w:hAnsi="Arial" w:cs="Arial"/>
          <w:sz w:val="20"/>
          <w:szCs w:val="20"/>
        </w:rPr>
        <w:t>.</w:t>
      </w:r>
      <w:r w:rsidRPr="00265C67">
        <w:rPr>
          <w:rFonts w:ascii="Arial" w:hAnsi="Arial" w:cs="Arial"/>
          <w:i/>
          <w:sz w:val="20"/>
          <w:szCs w:val="20"/>
        </w:rPr>
        <w:t xml:space="preserve"> International Research Journal of Finance and Economics, 2</w:t>
      </w:r>
      <w:r w:rsidRPr="00265C67">
        <w:rPr>
          <w:rFonts w:ascii="Arial" w:hAnsi="Arial" w:cs="Arial"/>
          <w:sz w:val="20"/>
          <w:szCs w:val="20"/>
        </w:rPr>
        <w:t>(2), 45-53.</w:t>
      </w:r>
    </w:p>
    <w:p w14:paraId="4A5E5464" w14:textId="77777777" w:rsidR="00700BA7" w:rsidRPr="00265C67" w:rsidRDefault="00700BA7" w:rsidP="00700BA7">
      <w:pPr>
        <w:pStyle w:val="ListParagraph"/>
        <w:numPr>
          <w:ilvl w:val="0"/>
          <w:numId w:val="2"/>
        </w:numPr>
        <w:spacing w:after="0" w:line="240" w:lineRule="auto"/>
        <w:jc w:val="both"/>
        <w:rPr>
          <w:rFonts w:ascii="Arial" w:hAnsi="Arial" w:cs="Arial"/>
          <w:sz w:val="20"/>
          <w:szCs w:val="20"/>
        </w:rPr>
      </w:pPr>
      <w:bookmarkStart w:id="214" w:name="_Toc93758957"/>
      <w:bookmarkStart w:id="215" w:name="_Toc121540089"/>
      <w:bookmarkStart w:id="216" w:name="_Toc121783672"/>
      <w:bookmarkStart w:id="217" w:name="_Toc121783911"/>
      <w:bookmarkStart w:id="218" w:name="_Toc147395122"/>
      <w:bookmarkStart w:id="219" w:name="_Toc148728676"/>
      <w:bookmarkStart w:id="220" w:name="_Toc149561550"/>
      <w:bookmarkStart w:id="221" w:name="_Toc166011011"/>
      <w:bookmarkStart w:id="222" w:name="_Toc167454544"/>
      <w:bookmarkStart w:id="223" w:name="_Toc185522143"/>
      <w:bookmarkStart w:id="224" w:name="_Toc190370850"/>
      <w:bookmarkStart w:id="225" w:name="_Toc190536048"/>
      <w:bookmarkStart w:id="226" w:name="_Toc190604607"/>
      <w:bookmarkStart w:id="227" w:name="_Toc190606355"/>
      <w:bookmarkStart w:id="228" w:name="_Toc190607510"/>
      <w:bookmarkStart w:id="229" w:name="_Toc192496829"/>
      <w:r w:rsidRPr="00265C67">
        <w:rPr>
          <w:rFonts w:ascii="Arial" w:hAnsi="Arial" w:cs="Arial"/>
          <w:sz w:val="20"/>
          <w:szCs w:val="20"/>
          <w:shd w:val="clear" w:color="auto" w:fill="FFFFFF"/>
        </w:rPr>
        <w:lastRenderedPageBreak/>
        <w:t>Beins, B. C., &amp; McCarthy, M. A. (2017). </w:t>
      </w:r>
      <w:r w:rsidRPr="00265C67">
        <w:rPr>
          <w:rFonts w:ascii="Arial" w:hAnsi="Arial" w:cs="Arial"/>
          <w:i/>
          <w:iCs/>
          <w:sz w:val="20"/>
          <w:szCs w:val="20"/>
          <w:shd w:val="clear" w:color="auto" w:fill="FFFFFF"/>
        </w:rPr>
        <w:t xml:space="preserve">Research </w:t>
      </w:r>
      <w:r w:rsidR="00A8261A" w:rsidRPr="00265C67">
        <w:rPr>
          <w:rFonts w:ascii="Arial" w:hAnsi="Arial" w:cs="Arial"/>
          <w:i/>
          <w:iCs/>
          <w:sz w:val="20"/>
          <w:szCs w:val="20"/>
          <w:shd w:val="clear" w:color="auto" w:fill="FFFFFF"/>
        </w:rPr>
        <w:t>methods and statistics</w:t>
      </w:r>
      <w:r w:rsidRPr="00265C67">
        <w:rPr>
          <w:rFonts w:ascii="Arial" w:hAnsi="Arial" w:cs="Arial"/>
          <w:sz w:val="20"/>
          <w:szCs w:val="20"/>
          <w:shd w:val="clear" w:color="auto" w:fill="FFFFFF"/>
        </w:rPr>
        <w:t>. England: Cambridge University Press.</w:t>
      </w:r>
    </w:p>
    <w:p w14:paraId="1FD86602" w14:textId="2F617E1C" w:rsidR="00700BA7" w:rsidRPr="0088510B" w:rsidRDefault="00700BA7" w:rsidP="00700BA7">
      <w:pPr>
        <w:pStyle w:val="ListParagraph"/>
        <w:numPr>
          <w:ilvl w:val="0"/>
          <w:numId w:val="2"/>
        </w:numPr>
        <w:spacing w:after="0" w:line="240" w:lineRule="auto"/>
        <w:jc w:val="both"/>
        <w:outlineLvl w:val="1"/>
        <w:rPr>
          <w:rFonts w:ascii="Arial" w:eastAsia="Times New Roman" w:hAnsi="Arial" w:cs="Arial"/>
          <w:sz w:val="20"/>
          <w:szCs w:val="20"/>
        </w:rPr>
      </w:pPr>
      <w:r w:rsidRPr="00265C67">
        <w:rPr>
          <w:rFonts w:ascii="Arial" w:eastAsia="Times New Roman" w:hAnsi="Arial" w:cs="Arial"/>
          <w:sz w:val="20"/>
          <w:szCs w:val="20"/>
        </w:rPr>
        <w:t xml:space="preserve">Busuulwa, B. (2021). </w:t>
      </w:r>
      <w:r w:rsidRPr="00265C67">
        <w:rPr>
          <w:rFonts w:ascii="Arial" w:eastAsia="Times New Roman" w:hAnsi="Arial" w:cs="Arial"/>
          <w:i/>
          <w:sz w:val="20"/>
          <w:szCs w:val="20"/>
        </w:rPr>
        <w:t xml:space="preserve">Uganda </w:t>
      </w:r>
      <w:r w:rsidR="002B0F67" w:rsidRPr="00265C67">
        <w:rPr>
          <w:rFonts w:ascii="Arial" w:eastAsia="Times New Roman" w:hAnsi="Arial" w:cs="Arial"/>
          <w:i/>
          <w:sz w:val="20"/>
          <w:szCs w:val="20"/>
        </w:rPr>
        <w:t>pension fund</w:t>
      </w:r>
      <w:r w:rsidR="002B0F67" w:rsidRPr="0088510B">
        <w:rPr>
          <w:rFonts w:ascii="Arial" w:eastAsia="Times New Roman" w:hAnsi="Arial" w:cs="Arial"/>
          <w:i/>
          <w:sz w:val="20"/>
          <w:szCs w:val="20"/>
        </w:rPr>
        <w:t xml:space="preserve"> weathers C</w:t>
      </w:r>
      <w:r w:rsidR="00A8261A" w:rsidRPr="0088510B">
        <w:rPr>
          <w:rFonts w:ascii="Arial" w:eastAsia="Times New Roman" w:hAnsi="Arial" w:cs="Arial"/>
          <w:i/>
          <w:sz w:val="20"/>
          <w:szCs w:val="20"/>
        </w:rPr>
        <w:t>ovid storm to record g</w:t>
      </w:r>
      <w:r w:rsidRPr="0088510B">
        <w:rPr>
          <w:rFonts w:ascii="Arial" w:eastAsia="Times New Roman" w:hAnsi="Arial" w:cs="Arial"/>
          <w:i/>
          <w:sz w:val="20"/>
          <w:szCs w:val="20"/>
        </w:rPr>
        <w:t>rowth</w:t>
      </w:r>
      <w:r w:rsidRPr="0088510B">
        <w:rPr>
          <w:rFonts w:ascii="Arial" w:eastAsia="Times New Roman" w:hAnsi="Arial" w:cs="Arial"/>
          <w:sz w:val="20"/>
          <w:szCs w:val="20"/>
        </w:rPr>
        <w:t>.</w:t>
      </w:r>
      <w:r w:rsidRPr="0088510B">
        <w:rPr>
          <w:rFonts w:ascii="Arial" w:hAnsi="Arial" w:cs="Arial"/>
          <w:sz w:val="20"/>
          <w:szCs w:val="20"/>
        </w:rPr>
        <w:t xml:space="preserve"> R</w:t>
      </w:r>
      <w:bookmarkStart w:id="230" w:name="_Toc93758958"/>
      <w:bookmarkEnd w:id="214"/>
      <w:r w:rsidRPr="0088510B">
        <w:rPr>
          <w:rFonts w:ascii="Arial" w:hAnsi="Arial" w:cs="Arial"/>
          <w:sz w:val="20"/>
          <w:szCs w:val="20"/>
        </w:rPr>
        <w:t>etriev</w:t>
      </w:r>
      <w:bookmarkStart w:id="231" w:name="_Toc88476493"/>
      <w:bookmarkStart w:id="232" w:name="_Toc88903112"/>
      <w:r w:rsidRPr="0088510B">
        <w:rPr>
          <w:rFonts w:ascii="Arial" w:hAnsi="Arial" w:cs="Arial"/>
          <w:sz w:val="20"/>
          <w:szCs w:val="20"/>
        </w:rPr>
        <w:t xml:space="preserve">ed from </w:t>
      </w:r>
      <w:hyperlink r:id="rId13" w:history="1">
        <w:r w:rsidRPr="0088510B">
          <w:rPr>
            <w:rFonts w:ascii="Arial" w:hAnsi="Arial" w:cs="Arial"/>
            <w:sz w:val="20"/>
            <w:szCs w:val="20"/>
          </w:rPr>
          <w:t>https://www.theeastafrican.co.ke/tea/business/uganda-pension-</w:t>
        </w:r>
      </w:hyperlink>
      <w:bookmarkEnd w:id="231"/>
      <w:bookmarkEnd w:id="232"/>
      <w:r w:rsidRPr="0088510B">
        <w:rPr>
          <w:rFonts w:ascii="Arial" w:hAnsi="Arial" w:cs="Arial"/>
          <w:sz w:val="20"/>
          <w:szCs w:val="20"/>
        </w:rPr>
        <w:t>fund-weathers</w:t>
      </w:r>
      <w:hyperlink r:id="rId14" w:history="1">
        <w:bookmarkStart w:id="233" w:name="_Toc88476494"/>
        <w:bookmarkStart w:id="234" w:name="_Toc88903113"/>
        <w:r w:rsidRPr="0088510B">
          <w:rPr>
            <w:rFonts w:ascii="Arial" w:eastAsia="Times New Roman" w:hAnsi="Arial" w:cs="Arial"/>
            <w:sz w:val="20"/>
            <w:szCs w:val="20"/>
          </w:rPr>
          <w:t>-covid-</w:t>
        </w:r>
      </w:hyperlink>
      <w:r w:rsidRPr="0088510B">
        <w:rPr>
          <w:rFonts w:ascii="Arial" w:eastAsia="Times New Roman" w:hAnsi="Arial" w:cs="Arial"/>
          <w:sz w:val="20"/>
          <w:szCs w:val="20"/>
        </w:rPr>
        <w:t>storm-to-record-growth-3574318</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3"/>
      <w:bookmarkEnd w:id="234"/>
    </w:p>
    <w:p w14:paraId="4BCE20DC"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color w:val="222222"/>
          <w:sz w:val="20"/>
          <w:szCs w:val="20"/>
          <w:shd w:val="clear" w:color="auto" w:fill="FFFFFF"/>
        </w:rPr>
        <w:t xml:space="preserve">Culbertson, J. M. (1957). The </w:t>
      </w:r>
      <w:r w:rsidR="00076DF2" w:rsidRPr="0088510B">
        <w:rPr>
          <w:rFonts w:ascii="Arial" w:hAnsi="Arial" w:cs="Arial"/>
          <w:color w:val="222222"/>
          <w:sz w:val="20"/>
          <w:szCs w:val="20"/>
          <w:shd w:val="clear" w:color="auto" w:fill="FFFFFF"/>
        </w:rPr>
        <w:t>term structure of interest rates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The Quarterly Journal of Economics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71</w:t>
      </w:r>
      <w:r w:rsidRPr="0088510B">
        <w:rPr>
          <w:rFonts w:ascii="Arial" w:hAnsi="Arial" w:cs="Arial"/>
          <w:color w:val="222222"/>
          <w:sz w:val="20"/>
          <w:szCs w:val="20"/>
          <w:shd w:val="clear" w:color="auto" w:fill="FFFFFF"/>
        </w:rPr>
        <w:t>(4), 485-517.</w:t>
      </w:r>
    </w:p>
    <w:p w14:paraId="3DCF725C"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CMA. (2023). </w:t>
      </w:r>
      <w:r w:rsidRPr="0088510B">
        <w:rPr>
          <w:rFonts w:ascii="Arial" w:hAnsi="Arial" w:cs="Arial"/>
          <w:bCs/>
          <w:i/>
          <w:sz w:val="20"/>
          <w:szCs w:val="20"/>
          <w:shd w:val="clear" w:color="auto" w:fill="FFFFFF"/>
        </w:rPr>
        <w:t xml:space="preserve">CMA approves </w:t>
      </w:r>
      <w:r w:rsidR="00A8261A" w:rsidRPr="0088510B">
        <w:rPr>
          <w:rFonts w:ascii="Arial" w:hAnsi="Arial" w:cs="Arial"/>
          <w:bCs/>
          <w:i/>
          <w:sz w:val="20"/>
          <w:szCs w:val="20"/>
          <w:shd w:val="clear" w:color="auto" w:fill="FFFFFF"/>
        </w:rPr>
        <w:t>registration of M</w:t>
      </w:r>
      <w:r w:rsidR="00076DF2" w:rsidRPr="0088510B">
        <w:rPr>
          <w:rFonts w:ascii="Arial" w:hAnsi="Arial" w:cs="Arial"/>
          <w:bCs/>
          <w:i/>
          <w:sz w:val="20"/>
          <w:szCs w:val="20"/>
          <w:shd w:val="clear" w:color="auto" w:fill="FFFFFF"/>
        </w:rPr>
        <w:t>asaru unit trust</w:t>
      </w:r>
      <w:r w:rsidRPr="0088510B">
        <w:rPr>
          <w:rFonts w:ascii="Arial" w:hAnsi="Arial" w:cs="Arial"/>
          <w:bCs/>
          <w:sz w:val="20"/>
          <w:szCs w:val="20"/>
          <w:shd w:val="clear" w:color="auto" w:fill="FFFFFF"/>
        </w:rPr>
        <w:t>.</w:t>
      </w:r>
      <w:r w:rsidRPr="0088510B">
        <w:rPr>
          <w:rFonts w:ascii="Arial" w:hAnsi="Arial" w:cs="Arial"/>
          <w:b/>
          <w:bCs/>
          <w:sz w:val="20"/>
          <w:szCs w:val="20"/>
          <w:shd w:val="clear" w:color="auto" w:fill="FFFFFF"/>
        </w:rPr>
        <w:t xml:space="preserve"> </w:t>
      </w:r>
      <w:r w:rsidRPr="0088510B">
        <w:rPr>
          <w:rFonts w:ascii="Arial" w:hAnsi="Arial" w:cs="Arial"/>
          <w:bCs/>
          <w:sz w:val="20"/>
          <w:szCs w:val="20"/>
          <w:shd w:val="clear" w:color="auto" w:fill="FFFFFF"/>
        </w:rPr>
        <w:t>Retrieved from https://africabusinesscommunities.com/news/kenya-cma-approves-registration-of-masaru-unit-tr</w:t>
      </w:r>
      <w:hyperlink r:id="rId15" w:history="1">
        <w:r w:rsidRPr="0088510B">
          <w:rPr>
            <w:rFonts w:ascii="Arial" w:hAnsi="Arial" w:cs="Arial"/>
            <w:sz w:val="20"/>
            <w:szCs w:val="20"/>
          </w:rPr>
          <w:t>ust-fund/</w:t>
        </w:r>
      </w:hyperlink>
    </w:p>
    <w:p w14:paraId="5A63167A"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 xml:space="preserve">Dongol, P. (2021). Fixed </w:t>
      </w:r>
      <w:r w:rsidR="00076DF2" w:rsidRPr="0088510B">
        <w:rPr>
          <w:rFonts w:ascii="Arial" w:hAnsi="Arial" w:cs="Arial"/>
          <w:sz w:val="20"/>
          <w:szCs w:val="20"/>
          <w:shd w:val="clear" w:color="auto" w:fill="FFFFFF"/>
        </w:rPr>
        <w:t xml:space="preserve">deposits and its impact on performance of exchange traded funds </w:t>
      </w:r>
      <w:r w:rsidRPr="0088510B">
        <w:rPr>
          <w:rFonts w:ascii="Arial" w:hAnsi="Arial" w:cs="Arial"/>
          <w:sz w:val="20"/>
          <w:szCs w:val="20"/>
          <w:shd w:val="clear" w:color="auto" w:fill="FFFFFF"/>
        </w:rPr>
        <w:t>in Nepal. </w:t>
      </w:r>
      <w:r w:rsidRPr="0088510B">
        <w:rPr>
          <w:rFonts w:ascii="Arial" w:hAnsi="Arial" w:cs="Arial"/>
          <w:i/>
          <w:iCs/>
          <w:sz w:val="20"/>
          <w:szCs w:val="20"/>
          <w:shd w:val="clear" w:color="auto" w:fill="FFFFFF"/>
        </w:rPr>
        <w:t>International Journal of Multidisciplinary Research and Explorer (IJMRE)</w:t>
      </w:r>
      <w:r w:rsidRPr="0088510B">
        <w:rPr>
          <w:rFonts w:ascii="Arial" w:hAnsi="Arial" w:cs="Arial"/>
          <w:i/>
          <w:sz w:val="20"/>
          <w:szCs w:val="20"/>
          <w:shd w:val="clear" w:color="auto" w:fill="FFFFFF"/>
        </w:rPr>
        <w:t>, 1</w:t>
      </w:r>
      <w:r w:rsidRPr="0088510B">
        <w:rPr>
          <w:rFonts w:ascii="Arial" w:hAnsi="Arial" w:cs="Arial"/>
          <w:sz w:val="20"/>
          <w:szCs w:val="20"/>
          <w:shd w:val="clear" w:color="auto" w:fill="FFFFFF"/>
        </w:rPr>
        <w:t>(7), 49-55.</w:t>
      </w:r>
    </w:p>
    <w:p w14:paraId="2662251B"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shd w:val="clear" w:color="auto" w:fill="FFFFFF"/>
        </w:rPr>
        <w:t xml:space="preserve">Durbin, J., &amp; Watson, G. S. (1971). Testing </w:t>
      </w:r>
      <w:r w:rsidR="00076DF2" w:rsidRPr="0088510B">
        <w:rPr>
          <w:rFonts w:ascii="Arial" w:hAnsi="Arial" w:cs="Arial"/>
          <w:sz w:val="20"/>
          <w:szCs w:val="20"/>
          <w:shd w:val="clear" w:color="auto" w:fill="FFFFFF"/>
        </w:rPr>
        <w:t>for serial correlation in least squares regres</w:t>
      </w:r>
      <w:r w:rsidRPr="0088510B">
        <w:rPr>
          <w:rFonts w:ascii="Arial" w:hAnsi="Arial" w:cs="Arial"/>
          <w:sz w:val="20"/>
          <w:szCs w:val="20"/>
          <w:shd w:val="clear" w:color="auto" w:fill="FFFFFF"/>
        </w:rPr>
        <w:t>sion. III. </w:t>
      </w:r>
      <w:r w:rsidRPr="0088510B">
        <w:rPr>
          <w:rFonts w:ascii="Arial" w:hAnsi="Arial" w:cs="Arial"/>
          <w:i/>
          <w:iCs/>
          <w:sz w:val="20"/>
          <w:szCs w:val="20"/>
          <w:shd w:val="clear" w:color="auto" w:fill="FFFFFF"/>
        </w:rPr>
        <w:t>Biometrika</w:t>
      </w:r>
      <w:r w:rsidRPr="0088510B">
        <w:rPr>
          <w:rFonts w:ascii="Arial" w:hAnsi="Arial" w:cs="Arial"/>
          <w:i/>
          <w:sz w:val="20"/>
          <w:szCs w:val="20"/>
          <w:shd w:val="clear" w:color="auto" w:fill="FFFFFF"/>
        </w:rPr>
        <w:t>, </w:t>
      </w:r>
      <w:r w:rsidRPr="0088510B">
        <w:rPr>
          <w:rFonts w:ascii="Arial" w:hAnsi="Arial" w:cs="Arial"/>
          <w:i/>
          <w:iCs/>
          <w:sz w:val="20"/>
          <w:szCs w:val="20"/>
          <w:shd w:val="clear" w:color="auto" w:fill="FFFFFF"/>
        </w:rPr>
        <w:t>58</w:t>
      </w:r>
      <w:r w:rsidRPr="0088510B">
        <w:rPr>
          <w:rFonts w:ascii="Arial" w:hAnsi="Arial" w:cs="Arial"/>
          <w:sz w:val="20"/>
          <w:szCs w:val="20"/>
          <w:shd w:val="clear" w:color="auto" w:fill="FFFFFF"/>
        </w:rPr>
        <w:t>(1), 1-19.</w:t>
      </w:r>
    </w:p>
    <w:p w14:paraId="1E364E09" w14:textId="77777777" w:rsidR="00700BA7" w:rsidRPr="0088510B" w:rsidRDefault="00700BA7" w:rsidP="00700BA7">
      <w:pPr>
        <w:pStyle w:val="ListParagraph"/>
        <w:numPr>
          <w:ilvl w:val="0"/>
          <w:numId w:val="2"/>
        </w:numPr>
        <w:spacing w:after="0" w:line="240" w:lineRule="auto"/>
        <w:jc w:val="both"/>
        <w:rPr>
          <w:rFonts w:ascii="Arial" w:hAnsi="Arial" w:cs="Arial"/>
          <w:color w:val="222222"/>
          <w:sz w:val="20"/>
          <w:szCs w:val="20"/>
          <w:shd w:val="clear" w:color="auto" w:fill="FFFFFF"/>
        </w:rPr>
      </w:pPr>
      <w:r w:rsidRPr="0088510B">
        <w:rPr>
          <w:rFonts w:ascii="Arial" w:hAnsi="Arial" w:cs="Arial"/>
          <w:color w:val="222222"/>
          <w:sz w:val="20"/>
          <w:szCs w:val="20"/>
          <w:shd w:val="clear" w:color="auto" w:fill="FFFFFF"/>
        </w:rPr>
        <w:t>Ekinci, R., &amp; Poyraz, G. (2019). The effect of investment vehicles on financial performance of deposit banks in Turkey. </w:t>
      </w:r>
      <w:r w:rsidR="00A8261A" w:rsidRPr="0088510B">
        <w:rPr>
          <w:rFonts w:ascii="Arial" w:hAnsi="Arial" w:cs="Arial"/>
          <w:i/>
          <w:iCs/>
          <w:color w:val="222222"/>
          <w:sz w:val="20"/>
          <w:szCs w:val="20"/>
          <w:shd w:val="clear" w:color="auto" w:fill="FFFFFF"/>
        </w:rPr>
        <w:t>Procedia C</w:t>
      </w:r>
      <w:r w:rsidRPr="0088510B">
        <w:rPr>
          <w:rFonts w:ascii="Arial" w:hAnsi="Arial" w:cs="Arial"/>
          <w:i/>
          <w:iCs/>
          <w:color w:val="222222"/>
          <w:sz w:val="20"/>
          <w:szCs w:val="20"/>
          <w:shd w:val="clear" w:color="auto" w:fill="FFFFFF"/>
        </w:rPr>
        <w:t xml:space="preserve">omputer </w:t>
      </w:r>
      <w:r w:rsidR="00A8261A" w:rsidRPr="0088510B">
        <w:rPr>
          <w:rFonts w:ascii="Arial" w:hAnsi="Arial" w:cs="Arial"/>
          <w:i/>
          <w:iCs/>
          <w:color w:val="222222"/>
          <w:sz w:val="20"/>
          <w:szCs w:val="20"/>
          <w:shd w:val="clear" w:color="auto" w:fill="FFFFFF"/>
        </w:rPr>
        <w:t>S</w:t>
      </w:r>
      <w:r w:rsidRPr="0088510B">
        <w:rPr>
          <w:rFonts w:ascii="Arial" w:hAnsi="Arial" w:cs="Arial"/>
          <w:i/>
          <w:iCs/>
          <w:color w:val="222222"/>
          <w:sz w:val="20"/>
          <w:szCs w:val="20"/>
          <w:shd w:val="clear" w:color="auto" w:fill="FFFFFF"/>
        </w:rPr>
        <w:t>cience</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158</w:t>
      </w:r>
      <w:r w:rsidR="00A8261A" w:rsidRPr="0088510B">
        <w:rPr>
          <w:rFonts w:ascii="Arial" w:hAnsi="Arial" w:cs="Arial"/>
          <w:i/>
          <w:iCs/>
          <w:color w:val="222222"/>
          <w:sz w:val="20"/>
          <w:szCs w:val="20"/>
          <w:shd w:val="clear" w:color="auto" w:fill="FFFFFF"/>
        </w:rPr>
        <w:t>(1)</w:t>
      </w:r>
      <w:r w:rsidRPr="0088510B">
        <w:rPr>
          <w:rFonts w:ascii="Arial" w:hAnsi="Arial" w:cs="Arial"/>
          <w:color w:val="222222"/>
          <w:sz w:val="20"/>
          <w:szCs w:val="20"/>
          <w:shd w:val="clear" w:color="auto" w:fill="FFFFFF"/>
        </w:rPr>
        <w:t>, 979-987.</w:t>
      </w:r>
    </w:p>
    <w:p w14:paraId="245C5EDA"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rPr>
        <w:t xml:space="preserve">Ferruz, L., Sarto, J. L., &amp; Vargas, M. (2023). Analysis of </w:t>
      </w:r>
      <w:r w:rsidR="00076DF2" w:rsidRPr="0088510B">
        <w:rPr>
          <w:rFonts w:ascii="Arial" w:hAnsi="Arial" w:cs="Arial"/>
          <w:sz w:val="20"/>
          <w:szCs w:val="20"/>
        </w:rPr>
        <w:t xml:space="preserve">performance persistence in </w:t>
      </w:r>
      <w:r w:rsidR="00BB4F7B" w:rsidRPr="0088510B">
        <w:rPr>
          <w:rFonts w:ascii="Arial" w:hAnsi="Arial" w:cs="Arial"/>
          <w:sz w:val="20"/>
          <w:szCs w:val="20"/>
        </w:rPr>
        <w:t>Spanish</w:t>
      </w:r>
      <w:r w:rsidR="00076DF2" w:rsidRPr="0088510B">
        <w:rPr>
          <w:rFonts w:ascii="Arial" w:hAnsi="Arial" w:cs="Arial"/>
          <w:sz w:val="20"/>
          <w:szCs w:val="20"/>
        </w:rPr>
        <w:t xml:space="preserve"> short term fixed interest investment funds </w:t>
      </w:r>
      <w:r w:rsidRPr="0088510B">
        <w:rPr>
          <w:rFonts w:ascii="Arial" w:hAnsi="Arial" w:cs="Arial"/>
          <w:sz w:val="20"/>
          <w:szCs w:val="20"/>
        </w:rPr>
        <w:t xml:space="preserve">(2014-2022). </w:t>
      </w:r>
      <w:r w:rsidRPr="0088510B">
        <w:rPr>
          <w:rFonts w:ascii="Arial" w:hAnsi="Arial" w:cs="Arial"/>
          <w:i/>
          <w:iCs/>
          <w:sz w:val="20"/>
          <w:szCs w:val="20"/>
        </w:rPr>
        <w:t>European Review of Economics and Finance, 2</w:t>
      </w:r>
      <w:r w:rsidRPr="0088510B">
        <w:rPr>
          <w:rFonts w:ascii="Arial" w:hAnsi="Arial" w:cs="Arial"/>
          <w:sz w:val="20"/>
          <w:szCs w:val="20"/>
        </w:rPr>
        <w:t>(3), 1-7.</w:t>
      </w:r>
    </w:p>
    <w:p w14:paraId="06AF91CA" w14:textId="27C96C91"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Flick, U. (2020). </w:t>
      </w:r>
      <w:r w:rsidRPr="0088510B">
        <w:rPr>
          <w:rFonts w:ascii="Arial" w:hAnsi="Arial" w:cs="Arial"/>
          <w:i/>
          <w:iCs/>
          <w:sz w:val="20"/>
          <w:szCs w:val="20"/>
          <w:shd w:val="clear" w:color="auto" w:fill="FFFFFF"/>
        </w:rPr>
        <w:t xml:space="preserve">Introducing </w:t>
      </w:r>
      <w:r w:rsidR="00076DF2" w:rsidRPr="0088510B">
        <w:rPr>
          <w:rFonts w:ascii="Arial" w:hAnsi="Arial" w:cs="Arial"/>
          <w:i/>
          <w:iCs/>
          <w:sz w:val="20"/>
          <w:szCs w:val="20"/>
          <w:shd w:val="clear" w:color="auto" w:fill="FFFFFF"/>
        </w:rPr>
        <w:t>research methodology</w:t>
      </w:r>
      <w:r w:rsidRPr="0088510B">
        <w:rPr>
          <w:rFonts w:ascii="Arial" w:hAnsi="Arial" w:cs="Arial"/>
          <w:i/>
          <w:iCs/>
          <w:sz w:val="20"/>
          <w:szCs w:val="20"/>
          <w:shd w:val="clear" w:color="auto" w:fill="FFFFFF"/>
        </w:rPr>
        <w:t xml:space="preserve">: Thinking your way through your </w:t>
      </w:r>
      <w:r w:rsidR="000B2D3F" w:rsidRPr="0088510B">
        <w:rPr>
          <w:rFonts w:ascii="Arial" w:hAnsi="Arial" w:cs="Arial"/>
          <w:i/>
          <w:iCs/>
          <w:sz w:val="20"/>
          <w:szCs w:val="20"/>
          <w:shd w:val="clear" w:color="auto" w:fill="FFFFFF"/>
        </w:rPr>
        <w:t>research proje</w:t>
      </w:r>
      <w:r w:rsidRPr="0088510B">
        <w:rPr>
          <w:rFonts w:ascii="Arial" w:hAnsi="Arial" w:cs="Arial"/>
          <w:i/>
          <w:iCs/>
          <w:sz w:val="20"/>
          <w:szCs w:val="20"/>
          <w:shd w:val="clear" w:color="auto" w:fill="FFFFFF"/>
        </w:rPr>
        <w:t>ct</w:t>
      </w:r>
      <w:r w:rsidRPr="0088510B">
        <w:rPr>
          <w:rFonts w:ascii="Arial" w:hAnsi="Arial" w:cs="Arial"/>
          <w:sz w:val="20"/>
          <w:szCs w:val="20"/>
          <w:shd w:val="clear" w:color="auto" w:fill="FFFFFF"/>
        </w:rPr>
        <w:t>. New York: Sage.</w:t>
      </w:r>
    </w:p>
    <w:p w14:paraId="18789587"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Gleeson, S. (2020). The </w:t>
      </w:r>
      <w:r w:rsidR="00076DF2" w:rsidRPr="0088510B">
        <w:rPr>
          <w:rFonts w:ascii="Arial" w:hAnsi="Arial" w:cs="Arial"/>
          <w:sz w:val="20"/>
          <w:szCs w:val="20"/>
          <w:shd w:val="clear" w:color="auto" w:fill="FFFFFF"/>
        </w:rPr>
        <w:t xml:space="preserve">public offer of securities in the </w:t>
      </w:r>
      <w:r w:rsidRPr="0088510B">
        <w:rPr>
          <w:rFonts w:ascii="Arial" w:hAnsi="Arial" w:cs="Arial"/>
          <w:sz w:val="20"/>
          <w:szCs w:val="20"/>
          <w:shd w:val="clear" w:color="auto" w:fill="FFFFFF"/>
        </w:rPr>
        <w:t xml:space="preserve">United Kingdom-Digital. </w:t>
      </w:r>
      <w:r w:rsidRPr="0088510B">
        <w:rPr>
          <w:rFonts w:ascii="Arial" w:hAnsi="Arial" w:cs="Arial"/>
          <w:i/>
          <w:sz w:val="20"/>
          <w:szCs w:val="20"/>
          <w:shd w:val="clear" w:color="auto" w:fill="FFFFFF"/>
        </w:rPr>
        <w:t>International Journal of Science and Research,</w:t>
      </w:r>
      <w:r w:rsidRPr="0088510B">
        <w:rPr>
          <w:rFonts w:ascii="Arial" w:hAnsi="Arial" w:cs="Arial"/>
          <w:sz w:val="20"/>
          <w:szCs w:val="20"/>
          <w:shd w:val="clear" w:color="auto" w:fill="FFFFFF"/>
        </w:rPr>
        <w:t xml:space="preserve"> </w:t>
      </w:r>
      <w:r w:rsidRPr="0088510B">
        <w:rPr>
          <w:rFonts w:ascii="Arial" w:hAnsi="Arial" w:cs="Arial"/>
          <w:i/>
          <w:sz w:val="20"/>
          <w:szCs w:val="20"/>
          <w:shd w:val="clear" w:color="auto" w:fill="FFFFFF"/>
        </w:rPr>
        <w:t>1</w:t>
      </w:r>
      <w:r w:rsidRPr="0088510B">
        <w:rPr>
          <w:rFonts w:ascii="Arial" w:hAnsi="Arial" w:cs="Arial"/>
          <w:sz w:val="20"/>
          <w:szCs w:val="20"/>
          <w:shd w:val="clear" w:color="auto" w:fill="FFFFFF"/>
        </w:rPr>
        <w:t>(1), 14-24.</w:t>
      </w:r>
    </w:p>
    <w:p w14:paraId="650D16C9" w14:textId="77777777" w:rsidR="00700BA7" w:rsidRPr="0088510B" w:rsidRDefault="00700BA7" w:rsidP="00700BA7">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Gunu, U., &amp; Adamade, S. S. (2020). The </w:t>
      </w:r>
      <w:r w:rsidR="00076DF2" w:rsidRPr="0088510B">
        <w:rPr>
          <w:rFonts w:ascii="Arial" w:hAnsi="Arial" w:cs="Arial"/>
          <w:sz w:val="20"/>
          <w:szCs w:val="20"/>
          <w:shd w:val="clear" w:color="auto" w:fill="FFFFFF"/>
        </w:rPr>
        <w:t xml:space="preserve">relationship between fund size and performance of mutual funds </w:t>
      </w:r>
      <w:r w:rsidRPr="0088510B">
        <w:rPr>
          <w:rFonts w:ascii="Arial" w:hAnsi="Arial" w:cs="Arial"/>
          <w:sz w:val="20"/>
          <w:szCs w:val="20"/>
          <w:shd w:val="clear" w:color="auto" w:fill="FFFFFF"/>
        </w:rPr>
        <w:t xml:space="preserve">in Nigeria: A </w:t>
      </w:r>
      <w:r w:rsidR="00076DF2" w:rsidRPr="0088510B">
        <w:rPr>
          <w:rFonts w:ascii="Arial" w:hAnsi="Arial" w:cs="Arial"/>
          <w:sz w:val="20"/>
          <w:szCs w:val="20"/>
          <w:shd w:val="clear" w:color="auto" w:fill="FFFFFF"/>
        </w:rPr>
        <w:t>panel a</w:t>
      </w:r>
      <w:r w:rsidRPr="0088510B">
        <w:rPr>
          <w:rFonts w:ascii="Arial" w:hAnsi="Arial" w:cs="Arial"/>
          <w:sz w:val="20"/>
          <w:szCs w:val="20"/>
          <w:shd w:val="clear" w:color="auto" w:fill="FFFFFF"/>
        </w:rPr>
        <w:t>nalysis. </w:t>
      </w:r>
      <w:r w:rsidRPr="0088510B">
        <w:rPr>
          <w:rFonts w:ascii="Arial" w:hAnsi="Arial" w:cs="Arial"/>
          <w:i/>
          <w:iCs/>
          <w:sz w:val="20"/>
          <w:szCs w:val="20"/>
          <w:shd w:val="clear" w:color="auto" w:fill="FFFFFF"/>
        </w:rPr>
        <w:t>Journal of Sustainable Development in Africa</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17</w:t>
      </w:r>
      <w:r w:rsidRPr="0088510B">
        <w:rPr>
          <w:rFonts w:ascii="Arial" w:hAnsi="Arial" w:cs="Arial"/>
          <w:sz w:val="20"/>
          <w:szCs w:val="20"/>
          <w:shd w:val="clear" w:color="auto" w:fill="FFFFFF"/>
        </w:rPr>
        <w:t>(3), 128-141.</w:t>
      </w:r>
    </w:p>
    <w:p w14:paraId="42300672" w14:textId="77777777" w:rsidR="00700BA7" w:rsidRPr="0088510B" w:rsidRDefault="00700BA7" w:rsidP="00700BA7">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Gupta, A., &amp; Gupta, N. (2022). </w:t>
      </w:r>
      <w:r w:rsidRPr="0088510B">
        <w:rPr>
          <w:rFonts w:ascii="Arial" w:hAnsi="Arial" w:cs="Arial"/>
          <w:i/>
          <w:iCs/>
          <w:sz w:val="20"/>
          <w:szCs w:val="20"/>
          <w:shd w:val="clear" w:color="auto" w:fill="FFFFFF"/>
        </w:rPr>
        <w:t xml:space="preserve">Research </w:t>
      </w:r>
      <w:r w:rsidR="00076DF2" w:rsidRPr="0088510B">
        <w:rPr>
          <w:rFonts w:ascii="Arial" w:hAnsi="Arial" w:cs="Arial"/>
          <w:i/>
          <w:iCs/>
          <w:sz w:val="20"/>
          <w:szCs w:val="20"/>
          <w:shd w:val="clear" w:color="auto" w:fill="FFFFFF"/>
        </w:rPr>
        <w:t>met</w:t>
      </w:r>
      <w:r w:rsidRPr="0088510B">
        <w:rPr>
          <w:rFonts w:ascii="Arial" w:hAnsi="Arial" w:cs="Arial"/>
          <w:i/>
          <w:iCs/>
          <w:sz w:val="20"/>
          <w:szCs w:val="20"/>
          <w:shd w:val="clear" w:color="auto" w:fill="FFFFFF"/>
        </w:rPr>
        <w:t>hodology</w:t>
      </w:r>
      <w:r w:rsidRPr="0088510B">
        <w:rPr>
          <w:rFonts w:ascii="Arial" w:hAnsi="Arial" w:cs="Arial"/>
          <w:sz w:val="20"/>
          <w:szCs w:val="20"/>
          <w:shd w:val="clear" w:color="auto" w:fill="FFFFFF"/>
        </w:rPr>
        <w:t>. New Delhi: SBPD Publications.</w:t>
      </w:r>
    </w:p>
    <w:p w14:paraId="47740CB2" w14:textId="77777777" w:rsidR="00700BA7" w:rsidRPr="0088510B" w:rsidRDefault="00700BA7" w:rsidP="003C2271">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Hennink, M., Hutter, I., &amp; Bailey, A. (2020). </w:t>
      </w:r>
      <w:r w:rsidRPr="0088510B">
        <w:rPr>
          <w:rFonts w:ascii="Arial" w:hAnsi="Arial" w:cs="Arial"/>
          <w:i/>
          <w:iCs/>
          <w:sz w:val="20"/>
          <w:szCs w:val="20"/>
          <w:shd w:val="clear" w:color="auto" w:fill="FFFFFF"/>
        </w:rPr>
        <w:t xml:space="preserve">Qualitative </w:t>
      </w:r>
      <w:r w:rsidR="00076DF2" w:rsidRPr="0088510B">
        <w:rPr>
          <w:rFonts w:ascii="Arial" w:hAnsi="Arial" w:cs="Arial"/>
          <w:i/>
          <w:iCs/>
          <w:sz w:val="20"/>
          <w:szCs w:val="20"/>
          <w:shd w:val="clear" w:color="auto" w:fill="FFFFFF"/>
        </w:rPr>
        <w:t>research m</w:t>
      </w:r>
      <w:r w:rsidRPr="0088510B">
        <w:rPr>
          <w:rFonts w:ascii="Arial" w:hAnsi="Arial" w:cs="Arial"/>
          <w:i/>
          <w:iCs/>
          <w:sz w:val="20"/>
          <w:szCs w:val="20"/>
          <w:shd w:val="clear" w:color="auto" w:fill="FFFFFF"/>
        </w:rPr>
        <w:t>ethods</w:t>
      </w:r>
      <w:r w:rsidRPr="0088510B">
        <w:rPr>
          <w:rFonts w:ascii="Arial" w:hAnsi="Arial" w:cs="Arial"/>
          <w:sz w:val="20"/>
          <w:szCs w:val="20"/>
          <w:shd w:val="clear" w:color="auto" w:fill="FFFFFF"/>
        </w:rPr>
        <w:t>. New York: Sage.</w:t>
      </w:r>
    </w:p>
    <w:p w14:paraId="4A17D4DE"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Kagoda, W. (2018).  Analysis </w:t>
      </w:r>
      <w:r w:rsidR="00076DF2" w:rsidRPr="0088510B">
        <w:rPr>
          <w:rFonts w:ascii="Arial" w:hAnsi="Arial" w:cs="Arial"/>
          <w:sz w:val="20"/>
          <w:szCs w:val="20"/>
        </w:rPr>
        <w:t xml:space="preserve">of investment vehicles </w:t>
      </w:r>
      <w:r w:rsidRPr="0088510B">
        <w:rPr>
          <w:rFonts w:ascii="Arial" w:hAnsi="Arial" w:cs="Arial"/>
          <w:sz w:val="20"/>
          <w:szCs w:val="20"/>
        </w:rPr>
        <w:t>in Uganda.</w:t>
      </w:r>
      <w:r w:rsidRPr="0088510B">
        <w:rPr>
          <w:rFonts w:ascii="Arial" w:hAnsi="Arial" w:cs="Arial"/>
          <w:i/>
          <w:sz w:val="20"/>
          <w:szCs w:val="20"/>
        </w:rPr>
        <w:t xml:space="preserve"> Investment Analysts Journal, 1</w:t>
      </w:r>
      <w:r w:rsidRPr="0088510B">
        <w:rPr>
          <w:rFonts w:ascii="Arial" w:hAnsi="Arial" w:cs="Arial"/>
          <w:sz w:val="20"/>
          <w:szCs w:val="20"/>
        </w:rPr>
        <w:t>(2), 53-60.</w:t>
      </w:r>
    </w:p>
    <w:p w14:paraId="0F4E1813"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Kogi, W. (2019). The </w:t>
      </w:r>
      <w:r w:rsidR="00076DF2" w:rsidRPr="0088510B">
        <w:rPr>
          <w:rFonts w:ascii="Arial" w:hAnsi="Arial" w:cs="Arial"/>
          <w:sz w:val="20"/>
          <w:szCs w:val="20"/>
        </w:rPr>
        <w:t xml:space="preserve">future of collective investment schemes </w:t>
      </w:r>
      <w:r w:rsidRPr="0088510B">
        <w:rPr>
          <w:rFonts w:ascii="Arial" w:hAnsi="Arial" w:cs="Arial"/>
          <w:sz w:val="20"/>
          <w:szCs w:val="20"/>
        </w:rPr>
        <w:t xml:space="preserve">in the Kenya Capital Market.  </w:t>
      </w:r>
      <w:r w:rsidRPr="0088510B">
        <w:rPr>
          <w:rFonts w:ascii="Arial" w:hAnsi="Arial" w:cs="Arial"/>
          <w:i/>
          <w:sz w:val="20"/>
          <w:szCs w:val="20"/>
        </w:rPr>
        <w:t>Financial Practice and Education, 8</w:t>
      </w:r>
      <w:r w:rsidRPr="0088510B">
        <w:rPr>
          <w:rFonts w:ascii="Arial" w:hAnsi="Arial" w:cs="Arial"/>
          <w:sz w:val="20"/>
          <w:szCs w:val="20"/>
        </w:rPr>
        <w:t>(2), 37-45.</w:t>
      </w:r>
    </w:p>
    <w:p w14:paraId="41FE590F" w14:textId="77777777" w:rsidR="00700BA7" w:rsidRPr="0088510B" w:rsidRDefault="00700BA7" w:rsidP="003C2271">
      <w:pPr>
        <w:pStyle w:val="ListParagraph"/>
        <w:numPr>
          <w:ilvl w:val="0"/>
          <w:numId w:val="2"/>
        </w:numPr>
        <w:spacing w:after="0" w:line="240" w:lineRule="auto"/>
        <w:jc w:val="both"/>
        <w:rPr>
          <w:rFonts w:ascii="Arial" w:hAnsi="Arial" w:cs="Arial"/>
          <w:color w:val="222222"/>
          <w:sz w:val="20"/>
          <w:szCs w:val="20"/>
          <w:shd w:val="clear" w:color="auto" w:fill="FFFFFF"/>
        </w:rPr>
      </w:pPr>
      <w:bookmarkStart w:id="235" w:name="_Hlk123615886"/>
      <w:bookmarkStart w:id="236" w:name="_Toc148728680"/>
      <w:bookmarkStart w:id="237" w:name="_Toc149561554"/>
      <w:bookmarkStart w:id="238" w:name="_Toc166011016"/>
      <w:bookmarkStart w:id="239" w:name="_Toc167454549"/>
      <w:bookmarkStart w:id="240" w:name="_Toc185522148"/>
      <w:bookmarkStart w:id="241" w:name="_Toc190370855"/>
      <w:bookmarkStart w:id="242" w:name="_Toc190536053"/>
      <w:bookmarkStart w:id="243" w:name="_Toc190604612"/>
      <w:bookmarkStart w:id="244" w:name="_Toc190606360"/>
      <w:bookmarkStart w:id="245" w:name="_Toc190607515"/>
      <w:bookmarkStart w:id="246" w:name="_Toc192496834"/>
      <w:r w:rsidRPr="0088510B">
        <w:rPr>
          <w:rFonts w:ascii="Arial" w:hAnsi="Arial" w:cs="Arial"/>
          <w:color w:val="222222"/>
          <w:sz w:val="20"/>
          <w:szCs w:val="20"/>
          <w:shd w:val="clear" w:color="auto" w:fill="FFFFFF"/>
        </w:rPr>
        <w:t>Levin, A., &amp; Lin, C. F. (1992). Unit root tests in panel data: asymptotic and finite-sample properties. </w:t>
      </w:r>
      <w:r w:rsidRPr="0088510B">
        <w:rPr>
          <w:rFonts w:ascii="Arial" w:hAnsi="Arial" w:cs="Arial"/>
          <w:i/>
          <w:iCs/>
          <w:color w:val="222222"/>
          <w:sz w:val="20"/>
          <w:szCs w:val="20"/>
          <w:shd w:val="clear" w:color="auto" w:fill="FFFFFF"/>
        </w:rPr>
        <w:t>Journal of Econometrics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108</w:t>
      </w:r>
      <w:r w:rsidRPr="0088510B">
        <w:rPr>
          <w:rFonts w:ascii="Arial" w:hAnsi="Arial" w:cs="Arial"/>
          <w:color w:val="222222"/>
          <w:sz w:val="20"/>
          <w:szCs w:val="20"/>
          <w:shd w:val="clear" w:color="auto" w:fill="FFFFFF"/>
        </w:rPr>
        <w:t>(1), 1-24.</w:t>
      </w:r>
    </w:p>
    <w:p w14:paraId="2C3D03DC" w14:textId="08FC2012" w:rsidR="00C105C7" w:rsidRPr="00265C67" w:rsidRDefault="00700BA7" w:rsidP="00265C67">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rPr>
        <w:t xml:space="preserve">Maingi, J. (2018). </w:t>
      </w:r>
      <w:bookmarkEnd w:id="235"/>
      <w:r w:rsidRPr="0088510B">
        <w:rPr>
          <w:rFonts w:ascii="Arial" w:hAnsi="Arial" w:cs="Arial"/>
          <w:sz w:val="20"/>
          <w:szCs w:val="20"/>
        </w:rPr>
        <w:t xml:space="preserve">Effect </w:t>
      </w:r>
      <w:r w:rsidR="00076DF2" w:rsidRPr="0088510B">
        <w:rPr>
          <w:rFonts w:ascii="Arial" w:hAnsi="Arial" w:cs="Arial"/>
          <w:sz w:val="20"/>
          <w:szCs w:val="20"/>
        </w:rPr>
        <w:t xml:space="preserve">of investment vehicles on financial performance </w:t>
      </w:r>
      <w:r w:rsidRPr="0088510B">
        <w:rPr>
          <w:rFonts w:ascii="Arial" w:hAnsi="Arial" w:cs="Arial"/>
          <w:sz w:val="20"/>
          <w:szCs w:val="20"/>
        </w:rPr>
        <w:t xml:space="preserve">of </w:t>
      </w:r>
      <w:r w:rsidR="000B2D3F" w:rsidRPr="0088510B">
        <w:rPr>
          <w:rFonts w:ascii="Arial" w:hAnsi="Arial" w:cs="Arial"/>
          <w:sz w:val="20"/>
          <w:szCs w:val="20"/>
        </w:rPr>
        <w:t xml:space="preserve">private equity funds </w:t>
      </w:r>
      <w:r w:rsidRPr="0088510B">
        <w:rPr>
          <w:rFonts w:ascii="Arial" w:hAnsi="Arial" w:cs="Arial"/>
          <w:sz w:val="20"/>
          <w:szCs w:val="20"/>
        </w:rPr>
        <w:t xml:space="preserve">Investing in Kenya. </w:t>
      </w:r>
      <w:r w:rsidRPr="0088510B">
        <w:rPr>
          <w:rFonts w:ascii="Arial" w:hAnsi="Arial" w:cs="Arial"/>
          <w:i/>
          <w:sz w:val="20"/>
          <w:szCs w:val="20"/>
        </w:rPr>
        <w:t>Academy of Management Journal, 15</w:t>
      </w:r>
      <w:r w:rsidRPr="0088510B">
        <w:rPr>
          <w:rFonts w:ascii="Arial" w:hAnsi="Arial" w:cs="Arial"/>
          <w:sz w:val="20"/>
          <w:szCs w:val="20"/>
        </w:rPr>
        <w:t xml:space="preserve">(2), 121-128. </w:t>
      </w:r>
    </w:p>
    <w:p w14:paraId="3BC9D175"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rPr>
        <w:t xml:space="preserve">Malkiel, B. (2023). Returns from </w:t>
      </w:r>
      <w:r w:rsidR="00076DF2" w:rsidRPr="0088510B">
        <w:rPr>
          <w:rFonts w:ascii="Arial" w:hAnsi="Arial" w:cs="Arial"/>
          <w:sz w:val="20"/>
          <w:szCs w:val="20"/>
        </w:rPr>
        <w:t xml:space="preserve">investing in equity mutual funds </w:t>
      </w:r>
      <w:r w:rsidRPr="0088510B">
        <w:rPr>
          <w:rFonts w:ascii="Arial" w:hAnsi="Arial" w:cs="Arial"/>
          <w:sz w:val="20"/>
          <w:szCs w:val="20"/>
        </w:rPr>
        <w:t xml:space="preserve">1971-1991. </w:t>
      </w:r>
      <w:r w:rsidRPr="0088510B">
        <w:rPr>
          <w:rFonts w:ascii="Arial" w:hAnsi="Arial" w:cs="Arial"/>
          <w:i/>
          <w:iCs/>
          <w:sz w:val="20"/>
          <w:szCs w:val="20"/>
        </w:rPr>
        <w:t>Journal of Finance, 50</w:t>
      </w:r>
      <w:r w:rsidRPr="0088510B">
        <w:rPr>
          <w:rFonts w:ascii="Arial" w:hAnsi="Arial" w:cs="Arial"/>
          <w:sz w:val="20"/>
          <w:szCs w:val="20"/>
        </w:rPr>
        <w:t>(1), 549-572.</w:t>
      </w:r>
    </w:p>
    <w:p w14:paraId="48755ABB"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Mohajan, H. K. (2018). Qualitative </w:t>
      </w:r>
      <w:r w:rsidR="00076DF2" w:rsidRPr="0088510B">
        <w:rPr>
          <w:rFonts w:ascii="Arial" w:hAnsi="Arial" w:cs="Arial"/>
          <w:sz w:val="20"/>
          <w:szCs w:val="20"/>
          <w:shd w:val="clear" w:color="auto" w:fill="FFFFFF"/>
        </w:rPr>
        <w:t>research methodology in social sciences and related sub</w:t>
      </w:r>
      <w:r w:rsidRPr="0088510B">
        <w:rPr>
          <w:rFonts w:ascii="Arial" w:hAnsi="Arial" w:cs="Arial"/>
          <w:sz w:val="20"/>
          <w:szCs w:val="20"/>
          <w:shd w:val="clear" w:color="auto" w:fill="FFFFFF"/>
        </w:rPr>
        <w:t>jects. </w:t>
      </w:r>
      <w:r w:rsidRPr="0088510B">
        <w:rPr>
          <w:rFonts w:ascii="Arial" w:hAnsi="Arial" w:cs="Arial"/>
          <w:i/>
          <w:iCs/>
          <w:sz w:val="20"/>
          <w:szCs w:val="20"/>
          <w:shd w:val="clear" w:color="auto" w:fill="FFFFFF"/>
        </w:rPr>
        <w:t>Journal of Economic Development, Environment and People</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7</w:t>
      </w:r>
      <w:r w:rsidRPr="0088510B">
        <w:rPr>
          <w:rFonts w:ascii="Arial" w:hAnsi="Arial" w:cs="Arial"/>
          <w:sz w:val="20"/>
          <w:szCs w:val="20"/>
          <w:shd w:val="clear" w:color="auto" w:fill="FFFFFF"/>
        </w:rPr>
        <w:t>(1), 23-48.</w:t>
      </w:r>
    </w:p>
    <w:p w14:paraId="5926A0FB"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Montgomery, D. C., Peck, E. A., &amp; Vining, G. G. (2021). </w:t>
      </w:r>
      <w:r w:rsidRPr="0088510B">
        <w:rPr>
          <w:rFonts w:ascii="Arial" w:hAnsi="Arial" w:cs="Arial"/>
          <w:i/>
          <w:iCs/>
          <w:sz w:val="20"/>
          <w:szCs w:val="20"/>
          <w:shd w:val="clear" w:color="auto" w:fill="FFFFFF"/>
        </w:rPr>
        <w:t xml:space="preserve">Introduction to </w:t>
      </w:r>
      <w:r w:rsidR="00076DF2" w:rsidRPr="0088510B">
        <w:rPr>
          <w:rFonts w:ascii="Arial" w:hAnsi="Arial" w:cs="Arial"/>
          <w:i/>
          <w:iCs/>
          <w:sz w:val="20"/>
          <w:szCs w:val="20"/>
          <w:shd w:val="clear" w:color="auto" w:fill="FFFFFF"/>
        </w:rPr>
        <w:t>linear regression ana</w:t>
      </w:r>
      <w:r w:rsidRPr="0088510B">
        <w:rPr>
          <w:rFonts w:ascii="Arial" w:hAnsi="Arial" w:cs="Arial"/>
          <w:i/>
          <w:iCs/>
          <w:sz w:val="20"/>
          <w:szCs w:val="20"/>
          <w:shd w:val="clear" w:color="auto" w:fill="FFFFFF"/>
        </w:rPr>
        <w:t>lysis</w:t>
      </w:r>
      <w:r w:rsidRPr="0088510B">
        <w:rPr>
          <w:rFonts w:ascii="Arial" w:hAnsi="Arial" w:cs="Arial"/>
          <w:sz w:val="20"/>
          <w:szCs w:val="20"/>
          <w:shd w:val="clear" w:color="auto" w:fill="FFFFFF"/>
        </w:rPr>
        <w:t>. New York: Wiley &amp; Sons.</w:t>
      </w:r>
    </w:p>
    <w:p w14:paraId="39FAB059"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47" w:name="_Hlk215745916"/>
      <w:r w:rsidRPr="0088510B">
        <w:rPr>
          <w:rFonts w:ascii="Arial" w:hAnsi="Arial" w:cs="Arial"/>
          <w:sz w:val="20"/>
          <w:szCs w:val="20"/>
        </w:rPr>
        <w:t xml:space="preserve">Morwabe, B. K., &amp; Muturi, W. (2019). </w:t>
      </w:r>
      <w:bookmarkEnd w:id="247"/>
      <w:r w:rsidRPr="0088510B">
        <w:rPr>
          <w:rFonts w:ascii="Arial" w:hAnsi="Arial" w:cs="Arial"/>
          <w:sz w:val="20"/>
          <w:szCs w:val="20"/>
        </w:rPr>
        <w:t xml:space="preserve">Effect of </w:t>
      </w:r>
      <w:r w:rsidR="00A8261A" w:rsidRPr="0088510B">
        <w:rPr>
          <w:rFonts w:ascii="Arial" w:hAnsi="Arial" w:cs="Arial"/>
          <w:sz w:val="20"/>
          <w:szCs w:val="20"/>
        </w:rPr>
        <w:t xml:space="preserve">investing in fixed deposits on performance of investment funds </w:t>
      </w:r>
      <w:r w:rsidRPr="0088510B">
        <w:rPr>
          <w:rFonts w:ascii="Arial" w:hAnsi="Arial" w:cs="Arial"/>
          <w:sz w:val="20"/>
          <w:szCs w:val="20"/>
        </w:rPr>
        <w:t xml:space="preserve">in Nairobi County, Kenya. </w:t>
      </w:r>
      <w:r w:rsidRPr="0088510B">
        <w:rPr>
          <w:rFonts w:ascii="Arial" w:hAnsi="Arial" w:cs="Arial"/>
          <w:i/>
          <w:sz w:val="20"/>
          <w:szCs w:val="20"/>
        </w:rPr>
        <w:t>Strategic Journal of Business and Change Management</w:t>
      </w:r>
      <w:r w:rsidRPr="0088510B">
        <w:rPr>
          <w:rFonts w:ascii="Arial" w:hAnsi="Arial" w:cs="Arial"/>
          <w:sz w:val="20"/>
          <w:szCs w:val="20"/>
        </w:rPr>
        <w:t xml:space="preserve">, </w:t>
      </w:r>
      <w:r w:rsidRPr="0088510B">
        <w:rPr>
          <w:rFonts w:ascii="Arial" w:hAnsi="Arial" w:cs="Arial"/>
          <w:i/>
          <w:sz w:val="20"/>
          <w:szCs w:val="20"/>
        </w:rPr>
        <w:t>6</w:t>
      </w:r>
      <w:r w:rsidRPr="0088510B">
        <w:rPr>
          <w:rFonts w:ascii="Arial" w:hAnsi="Arial" w:cs="Arial"/>
          <w:sz w:val="20"/>
          <w:szCs w:val="20"/>
        </w:rPr>
        <w:t xml:space="preserve">(4), 411-427. </w:t>
      </w:r>
    </w:p>
    <w:p w14:paraId="614C2723" w14:textId="77777777" w:rsidR="00700BA7" w:rsidRPr="0088510B" w:rsidRDefault="00700BA7" w:rsidP="00700BA7">
      <w:pPr>
        <w:pStyle w:val="ListParagraph"/>
        <w:numPr>
          <w:ilvl w:val="0"/>
          <w:numId w:val="2"/>
        </w:numPr>
        <w:spacing w:after="0" w:line="240" w:lineRule="auto"/>
        <w:jc w:val="both"/>
        <w:rPr>
          <w:rFonts w:ascii="Arial" w:eastAsia="Times New Roman" w:hAnsi="Arial" w:cs="Arial"/>
          <w:bCs/>
          <w:sz w:val="20"/>
          <w:szCs w:val="20"/>
        </w:rPr>
      </w:pPr>
      <w:r w:rsidRPr="0088510B">
        <w:rPr>
          <w:rFonts w:ascii="Arial" w:eastAsiaTheme="majorEastAsia" w:hAnsi="Arial" w:cs="Arial"/>
          <w:sz w:val="20"/>
          <w:szCs w:val="20"/>
          <w:shd w:val="clear" w:color="auto" w:fill="FFFFFF"/>
        </w:rPr>
        <w:t xml:space="preserve">Muiruri, K. (2024). </w:t>
      </w:r>
      <w:r w:rsidRPr="0088510B">
        <w:rPr>
          <w:rFonts w:ascii="Arial" w:eastAsia="Times New Roman" w:hAnsi="Arial" w:cs="Arial"/>
          <w:bCs/>
          <w:i/>
          <w:sz w:val="20"/>
          <w:szCs w:val="20"/>
        </w:rPr>
        <w:t xml:space="preserve">Kenyans </w:t>
      </w:r>
      <w:r w:rsidR="00A8261A" w:rsidRPr="0088510B">
        <w:rPr>
          <w:rFonts w:ascii="Arial" w:eastAsia="Times New Roman" w:hAnsi="Arial" w:cs="Arial"/>
          <w:bCs/>
          <w:i/>
          <w:sz w:val="20"/>
          <w:szCs w:val="20"/>
        </w:rPr>
        <w:t xml:space="preserve">have over </w:t>
      </w:r>
      <w:r w:rsidRPr="0088510B">
        <w:rPr>
          <w:rFonts w:ascii="Arial" w:eastAsia="Times New Roman" w:hAnsi="Arial" w:cs="Arial"/>
          <w:bCs/>
          <w:i/>
          <w:sz w:val="20"/>
          <w:szCs w:val="20"/>
        </w:rPr>
        <w:t xml:space="preserve">Ksh.100B in </w:t>
      </w:r>
      <w:r w:rsidR="00A8261A" w:rsidRPr="0088510B">
        <w:rPr>
          <w:rFonts w:ascii="Arial" w:eastAsia="Times New Roman" w:hAnsi="Arial" w:cs="Arial"/>
          <w:bCs/>
          <w:i/>
          <w:sz w:val="20"/>
          <w:szCs w:val="20"/>
        </w:rPr>
        <w:t>assets sunk into pooled investment fu</w:t>
      </w:r>
      <w:r w:rsidRPr="0088510B">
        <w:rPr>
          <w:rFonts w:ascii="Arial" w:eastAsia="Times New Roman" w:hAnsi="Arial" w:cs="Arial"/>
          <w:bCs/>
          <w:i/>
          <w:sz w:val="20"/>
          <w:szCs w:val="20"/>
        </w:rPr>
        <w:t>nd</w:t>
      </w:r>
      <w:bookmarkStart w:id="248" w:name="_Toc88476568"/>
      <w:bookmarkStart w:id="249" w:name="_Toc88903196"/>
      <w:r w:rsidRPr="0088510B">
        <w:rPr>
          <w:rFonts w:ascii="Arial" w:eastAsia="Times New Roman" w:hAnsi="Arial" w:cs="Arial"/>
          <w:bCs/>
          <w:i/>
          <w:sz w:val="20"/>
          <w:szCs w:val="20"/>
        </w:rPr>
        <w:t>s</w:t>
      </w:r>
      <w:r w:rsidRPr="0088510B">
        <w:rPr>
          <w:rFonts w:ascii="Arial" w:eastAsia="Times New Roman" w:hAnsi="Arial" w:cs="Arial"/>
          <w:bCs/>
          <w:sz w:val="20"/>
          <w:szCs w:val="20"/>
        </w:rPr>
        <w:t xml:space="preserve">. </w:t>
      </w:r>
      <w:r w:rsidRPr="0088510B">
        <w:rPr>
          <w:rFonts w:ascii="Arial" w:eastAsiaTheme="majorEastAsia" w:hAnsi="Arial" w:cs="Arial"/>
          <w:sz w:val="20"/>
          <w:szCs w:val="20"/>
        </w:rPr>
        <w:t>Retrieved from https://</w:t>
      </w:r>
      <w:hyperlink r:id="rId16" w:history="1"/>
      <w:r w:rsidRPr="0088510B">
        <w:rPr>
          <w:rFonts w:ascii="Arial" w:eastAsia="Times New Roman" w:hAnsi="Arial" w:cs="Arial"/>
          <w:bCs/>
          <w:sz w:val="20"/>
          <w:szCs w:val="20"/>
        </w:rPr>
        <w:t>100b-in-assets-sunk-into-pooled-investment-funds-1041854</w:t>
      </w:r>
      <w:bookmarkEnd w:id="248"/>
      <w:bookmarkEnd w:id="249"/>
      <w:r w:rsidRPr="0088510B">
        <w:rPr>
          <w:rFonts w:ascii="Arial" w:eastAsia="Times New Roman" w:hAnsi="Arial" w:cs="Arial"/>
          <w:bCs/>
          <w:sz w:val="20"/>
          <w:szCs w:val="20"/>
        </w:rPr>
        <w:t>7</w:t>
      </w:r>
    </w:p>
    <w:p w14:paraId="41865DA1"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50" w:name="_Hlk215746056"/>
      <w:r w:rsidRPr="0088510B">
        <w:rPr>
          <w:rFonts w:ascii="Arial" w:hAnsi="Arial" w:cs="Arial"/>
          <w:sz w:val="20"/>
          <w:szCs w:val="20"/>
        </w:rPr>
        <w:t>Murcia, M.I.C. (2021).</w:t>
      </w:r>
      <w:bookmarkEnd w:id="250"/>
      <w:r w:rsidRPr="0088510B">
        <w:rPr>
          <w:rFonts w:ascii="Arial" w:hAnsi="Arial" w:cs="Arial"/>
          <w:sz w:val="20"/>
          <w:szCs w:val="20"/>
        </w:rPr>
        <w:t xml:space="preserve"> </w:t>
      </w:r>
      <w:r w:rsidRPr="0088510B">
        <w:rPr>
          <w:rFonts w:ascii="Arial" w:hAnsi="Arial" w:cs="Arial"/>
          <w:i/>
          <w:sz w:val="20"/>
          <w:szCs w:val="20"/>
        </w:rPr>
        <w:t xml:space="preserve">Spanish </w:t>
      </w:r>
      <w:r w:rsidR="00076DF2" w:rsidRPr="0088510B">
        <w:rPr>
          <w:rFonts w:ascii="Arial" w:hAnsi="Arial" w:cs="Arial"/>
          <w:i/>
          <w:sz w:val="20"/>
          <w:szCs w:val="20"/>
        </w:rPr>
        <w:t>mutual fund performance</w:t>
      </w:r>
      <w:r w:rsidRPr="0088510B">
        <w:rPr>
          <w:rFonts w:ascii="Arial" w:hAnsi="Arial" w:cs="Arial"/>
          <w:i/>
          <w:sz w:val="20"/>
          <w:szCs w:val="20"/>
        </w:rPr>
        <w:t xml:space="preserve">: An </w:t>
      </w:r>
      <w:r w:rsidR="00076DF2" w:rsidRPr="0088510B">
        <w:rPr>
          <w:rFonts w:ascii="Arial" w:hAnsi="Arial" w:cs="Arial"/>
          <w:i/>
          <w:sz w:val="20"/>
          <w:szCs w:val="20"/>
        </w:rPr>
        <w:t>analysis of the determina</w:t>
      </w:r>
      <w:r w:rsidRPr="0088510B">
        <w:rPr>
          <w:rFonts w:ascii="Arial" w:hAnsi="Arial" w:cs="Arial"/>
          <w:i/>
          <w:sz w:val="20"/>
          <w:szCs w:val="20"/>
        </w:rPr>
        <w:t xml:space="preserve">nts. </w:t>
      </w:r>
      <w:r w:rsidRPr="0088510B">
        <w:rPr>
          <w:rFonts w:ascii="Arial" w:hAnsi="Arial" w:cs="Arial"/>
          <w:sz w:val="20"/>
          <w:szCs w:val="20"/>
        </w:rPr>
        <w:t>Working papers, No 48.</w:t>
      </w:r>
    </w:p>
    <w:p w14:paraId="5AC2C340"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Novikov, A. M., &amp; Novikov, D. A. (2019). </w:t>
      </w:r>
      <w:r w:rsidRPr="0088510B">
        <w:rPr>
          <w:rFonts w:ascii="Arial" w:hAnsi="Arial" w:cs="Arial"/>
          <w:i/>
          <w:iCs/>
          <w:sz w:val="20"/>
          <w:szCs w:val="20"/>
          <w:shd w:val="clear" w:color="auto" w:fill="FFFFFF"/>
        </w:rPr>
        <w:t>Research methodology: From philosophy of science to research design</w:t>
      </w:r>
      <w:r w:rsidRPr="0088510B">
        <w:rPr>
          <w:rFonts w:ascii="Arial" w:hAnsi="Arial" w:cs="Arial"/>
          <w:sz w:val="20"/>
          <w:szCs w:val="20"/>
          <w:shd w:val="clear" w:color="auto" w:fill="FFFFFF"/>
        </w:rPr>
        <w:t>. Florida: Crc Press.</w:t>
      </w:r>
    </w:p>
    <w:p w14:paraId="46BA8FE6" w14:textId="748C7979" w:rsidR="00265C67" w:rsidRPr="00265C67" w:rsidRDefault="00265C67" w:rsidP="00265C67">
      <w:pPr>
        <w:pStyle w:val="ListParagraph"/>
        <w:numPr>
          <w:ilvl w:val="0"/>
          <w:numId w:val="2"/>
        </w:numPr>
        <w:spacing w:after="0" w:line="240" w:lineRule="auto"/>
        <w:jc w:val="both"/>
        <w:rPr>
          <w:rFonts w:ascii="Arial" w:hAnsi="Arial" w:cs="Arial"/>
          <w:sz w:val="20"/>
          <w:szCs w:val="20"/>
        </w:rPr>
      </w:pPr>
      <w:r w:rsidRPr="00265C67">
        <w:rPr>
          <w:rFonts w:ascii="Arial" w:hAnsi="Arial" w:cs="Arial"/>
          <w:sz w:val="20"/>
          <w:szCs w:val="20"/>
          <w:shd w:val="clear" w:color="auto" w:fill="FFFFFF"/>
        </w:rPr>
        <w:t>Novrian, R., Arfan, M., &amp; Djalil, M. A. (2020). The influence of fund size on fixed deposits and performance of venture capital funds in India.</w:t>
      </w:r>
      <w:r w:rsidRPr="00265C67">
        <w:rPr>
          <w:rFonts w:ascii="Arial" w:hAnsi="Arial" w:cs="Arial"/>
          <w:sz w:val="20"/>
          <w:szCs w:val="20"/>
        </w:rPr>
        <w:t xml:space="preserve"> </w:t>
      </w:r>
      <w:r w:rsidRPr="00265C67">
        <w:rPr>
          <w:rFonts w:ascii="Arial" w:hAnsi="Arial" w:cs="Arial"/>
          <w:i/>
          <w:iCs/>
          <w:sz w:val="20"/>
          <w:szCs w:val="20"/>
        </w:rPr>
        <w:t>East African Scholars Journal of Economics, Business and Management, 3</w:t>
      </w:r>
      <w:r w:rsidRPr="00265C67">
        <w:rPr>
          <w:rFonts w:ascii="Arial" w:hAnsi="Arial" w:cs="Arial"/>
          <w:sz w:val="20"/>
          <w:szCs w:val="20"/>
        </w:rPr>
        <w:t>(1), 330-337.</w:t>
      </w:r>
    </w:p>
    <w:p w14:paraId="7CC95F50" w14:textId="3F6FFFF1"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Obong’o, E.M., Mutea, F., &amp; Rintari, N. (2020). Effect </w:t>
      </w:r>
      <w:r w:rsidR="00076DF2" w:rsidRPr="0088510B">
        <w:rPr>
          <w:rFonts w:ascii="Arial" w:hAnsi="Arial" w:cs="Arial"/>
          <w:sz w:val="20"/>
          <w:szCs w:val="20"/>
        </w:rPr>
        <w:t xml:space="preserve">of investing in fixed deposits on performance of mutual funds </w:t>
      </w:r>
      <w:r w:rsidRPr="0088510B">
        <w:rPr>
          <w:rFonts w:ascii="Arial" w:hAnsi="Arial" w:cs="Arial"/>
          <w:sz w:val="20"/>
          <w:szCs w:val="20"/>
        </w:rPr>
        <w:t xml:space="preserve">in Nairobi County, Kenya. </w:t>
      </w:r>
      <w:r w:rsidRPr="0088510B">
        <w:rPr>
          <w:rFonts w:ascii="Arial" w:hAnsi="Arial" w:cs="Arial"/>
          <w:i/>
          <w:sz w:val="20"/>
          <w:szCs w:val="20"/>
        </w:rPr>
        <w:t>International Journal of Finance, 5</w:t>
      </w:r>
      <w:r w:rsidRPr="0088510B">
        <w:rPr>
          <w:rFonts w:ascii="Arial" w:hAnsi="Arial" w:cs="Arial"/>
          <w:sz w:val="20"/>
          <w:szCs w:val="20"/>
        </w:rPr>
        <w:t>(1), 44-56.</w:t>
      </w:r>
    </w:p>
    <w:p w14:paraId="545A83EF" w14:textId="77777777"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rPr>
        <w:lastRenderedPageBreak/>
        <w:t xml:space="preserve">Omonyo, A. B. (2019). </w:t>
      </w:r>
      <w:r w:rsidRPr="0088510B">
        <w:rPr>
          <w:rFonts w:ascii="Arial" w:hAnsi="Arial" w:cs="Arial"/>
          <w:iCs/>
          <w:sz w:val="20"/>
          <w:szCs w:val="20"/>
        </w:rPr>
        <w:t xml:space="preserve">A </w:t>
      </w:r>
      <w:r w:rsidR="00076DF2" w:rsidRPr="0088510B">
        <w:rPr>
          <w:rFonts w:ascii="Arial" w:hAnsi="Arial" w:cs="Arial"/>
          <w:iCs/>
          <w:sz w:val="20"/>
          <w:szCs w:val="20"/>
        </w:rPr>
        <w:t xml:space="preserve">survey of investment practices of pension fund managers </w:t>
      </w:r>
      <w:r w:rsidRPr="0088510B">
        <w:rPr>
          <w:rFonts w:ascii="Arial" w:hAnsi="Arial" w:cs="Arial"/>
          <w:iCs/>
          <w:sz w:val="20"/>
          <w:szCs w:val="20"/>
        </w:rPr>
        <w:t xml:space="preserve">in Kenya. </w:t>
      </w:r>
      <w:r w:rsidRPr="0088510B">
        <w:rPr>
          <w:rFonts w:ascii="Arial" w:hAnsi="Arial" w:cs="Arial"/>
          <w:i/>
          <w:iCs/>
          <w:sz w:val="20"/>
          <w:szCs w:val="20"/>
        </w:rPr>
        <w:t>Journal of Economics and Behavioral Studies</w:t>
      </w:r>
      <w:r w:rsidRPr="0088510B">
        <w:rPr>
          <w:rFonts w:ascii="Arial" w:hAnsi="Arial" w:cs="Arial"/>
          <w:i/>
          <w:sz w:val="20"/>
          <w:szCs w:val="20"/>
        </w:rPr>
        <w:t>, 9</w:t>
      </w:r>
      <w:r w:rsidRPr="0088510B">
        <w:rPr>
          <w:rFonts w:ascii="Arial" w:hAnsi="Arial" w:cs="Arial"/>
          <w:sz w:val="20"/>
          <w:szCs w:val="20"/>
        </w:rPr>
        <w:t>(3), 220-231.</w:t>
      </w:r>
    </w:p>
    <w:p w14:paraId="2F845C0A" w14:textId="4A86D750"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rPr>
        <w:t xml:space="preserve">Oyelade, A. O. (2019). The </w:t>
      </w:r>
      <w:r w:rsidR="00076DF2" w:rsidRPr="0088510B">
        <w:rPr>
          <w:rFonts w:ascii="Arial" w:hAnsi="Arial" w:cs="Arial"/>
          <w:sz w:val="20"/>
          <w:szCs w:val="20"/>
        </w:rPr>
        <w:t xml:space="preserve">impact of fund size on firms’ performance </w:t>
      </w:r>
      <w:r w:rsidRPr="0088510B">
        <w:rPr>
          <w:rFonts w:ascii="Arial" w:hAnsi="Arial" w:cs="Arial"/>
          <w:sz w:val="20"/>
          <w:szCs w:val="20"/>
        </w:rPr>
        <w:t xml:space="preserve">in Nigeria: A </w:t>
      </w:r>
      <w:r w:rsidR="00076DF2" w:rsidRPr="0088510B">
        <w:rPr>
          <w:rFonts w:ascii="Arial" w:hAnsi="Arial" w:cs="Arial"/>
          <w:sz w:val="20"/>
          <w:szCs w:val="20"/>
        </w:rPr>
        <w:t xml:space="preserve">comparative study of selected firms in </w:t>
      </w:r>
      <w:r w:rsidRPr="0088510B">
        <w:rPr>
          <w:rFonts w:ascii="Arial" w:hAnsi="Arial" w:cs="Arial"/>
          <w:sz w:val="20"/>
          <w:szCs w:val="20"/>
        </w:rPr>
        <w:t xml:space="preserve">the </w:t>
      </w:r>
      <w:r w:rsidR="000B2D3F" w:rsidRPr="0088510B">
        <w:rPr>
          <w:rFonts w:ascii="Arial" w:hAnsi="Arial" w:cs="Arial"/>
          <w:sz w:val="20"/>
          <w:szCs w:val="20"/>
        </w:rPr>
        <w:t xml:space="preserve">building industry </w:t>
      </w:r>
      <w:r w:rsidRPr="0088510B">
        <w:rPr>
          <w:rFonts w:ascii="Arial" w:hAnsi="Arial" w:cs="Arial"/>
          <w:sz w:val="20"/>
          <w:szCs w:val="20"/>
        </w:rPr>
        <w:t xml:space="preserve">in Nigeria. </w:t>
      </w:r>
      <w:r w:rsidRPr="0088510B">
        <w:rPr>
          <w:rFonts w:ascii="Arial" w:hAnsi="Arial" w:cs="Arial"/>
          <w:i/>
          <w:iCs/>
          <w:sz w:val="20"/>
          <w:szCs w:val="20"/>
        </w:rPr>
        <w:t>Asian Development Policy Review, 7</w:t>
      </w:r>
      <w:r w:rsidRPr="0088510B">
        <w:rPr>
          <w:rFonts w:ascii="Arial" w:hAnsi="Arial" w:cs="Arial"/>
          <w:sz w:val="20"/>
          <w:szCs w:val="20"/>
        </w:rPr>
        <w:t>(1), 1-11.</w:t>
      </w:r>
    </w:p>
    <w:p w14:paraId="03CBBAE9"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51" w:name="_Hlk215745793"/>
      <w:r w:rsidRPr="0088510B">
        <w:rPr>
          <w:rFonts w:ascii="Arial" w:hAnsi="Arial" w:cs="Arial"/>
          <w:sz w:val="20"/>
          <w:szCs w:val="20"/>
          <w:shd w:val="clear" w:color="auto" w:fill="FFFFFF"/>
        </w:rPr>
        <w:t xml:space="preserve">Okun, D.M. (2020). </w:t>
      </w:r>
      <w:bookmarkEnd w:id="251"/>
      <w:r w:rsidRPr="0088510B">
        <w:rPr>
          <w:rFonts w:ascii="Arial" w:hAnsi="Arial" w:cs="Arial"/>
          <w:sz w:val="20"/>
          <w:szCs w:val="20"/>
          <w:shd w:val="clear" w:color="auto" w:fill="FFFFFF"/>
        </w:rPr>
        <w:t xml:space="preserve">The </w:t>
      </w:r>
      <w:r w:rsidR="00076DF2" w:rsidRPr="0088510B">
        <w:rPr>
          <w:rFonts w:ascii="Arial" w:hAnsi="Arial" w:cs="Arial"/>
          <w:sz w:val="20"/>
          <w:szCs w:val="20"/>
          <w:shd w:val="clear" w:color="auto" w:fill="FFFFFF"/>
        </w:rPr>
        <w:t xml:space="preserve">effect of investing in fixed deposits on performance </w:t>
      </w:r>
      <w:r w:rsidRPr="0088510B">
        <w:rPr>
          <w:rFonts w:ascii="Arial" w:hAnsi="Arial" w:cs="Arial"/>
          <w:sz w:val="20"/>
          <w:szCs w:val="20"/>
          <w:shd w:val="clear" w:color="auto" w:fill="FFFFFF"/>
        </w:rPr>
        <w:t xml:space="preserve">of </w:t>
      </w:r>
      <w:r w:rsidR="00076DF2" w:rsidRPr="0088510B">
        <w:rPr>
          <w:rFonts w:ascii="Arial" w:hAnsi="Arial" w:cs="Arial"/>
          <w:sz w:val="20"/>
          <w:szCs w:val="20"/>
          <w:shd w:val="clear" w:color="auto" w:fill="FFFFFF"/>
        </w:rPr>
        <w:t>hedge funds i</w:t>
      </w:r>
      <w:r w:rsidRPr="0088510B">
        <w:rPr>
          <w:rFonts w:ascii="Arial" w:hAnsi="Arial" w:cs="Arial"/>
          <w:sz w:val="20"/>
          <w:szCs w:val="20"/>
          <w:shd w:val="clear" w:color="auto" w:fill="FFFFFF"/>
        </w:rPr>
        <w:t xml:space="preserve">n Kenya. </w:t>
      </w:r>
      <w:r w:rsidRPr="0088510B">
        <w:rPr>
          <w:rFonts w:ascii="Arial" w:hAnsi="Arial" w:cs="Arial"/>
          <w:i/>
          <w:sz w:val="20"/>
          <w:szCs w:val="20"/>
          <w:shd w:val="clear" w:color="auto" w:fill="FFFFFF"/>
        </w:rPr>
        <w:t>Journal of Finance, 23</w:t>
      </w:r>
      <w:r w:rsidRPr="0088510B">
        <w:rPr>
          <w:rFonts w:ascii="Arial" w:hAnsi="Arial" w:cs="Arial"/>
          <w:sz w:val="20"/>
          <w:szCs w:val="20"/>
          <w:shd w:val="clear" w:color="auto" w:fill="FFFFFF"/>
        </w:rPr>
        <w:t>(2), 81-88.</w:t>
      </w:r>
    </w:p>
    <w:p w14:paraId="39CE36DD" w14:textId="77777777"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shd w:val="clear" w:color="auto" w:fill="FFFFFF"/>
        </w:rPr>
        <w:t xml:space="preserve">Pandey, P., &amp; Pandey, M. M. (2021). </w:t>
      </w:r>
      <w:r w:rsidRPr="0088510B">
        <w:rPr>
          <w:rFonts w:ascii="Arial" w:hAnsi="Arial" w:cs="Arial"/>
          <w:i/>
          <w:sz w:val="20"/>
          <w:szCs w:val="20"/>
          <w:shd w:val="clear" w:color="auto" w:fill="FFFFFF"/>
        </w:rPr>
        <w:t xml:space="preserve">Research </w:t>
      </w:r>
      <w:r w:rsidR="00076DF2" w:rsidRPr="0088510B">
        <w:rPr>
          <w:rFonts w:ascii="Arial" w:hAnsi="Arial" w:cs="Arial"/>
          <w:i/>
          <w:sz w:val="20"/>
          <w:szCs w:val="20"/>
          <w:shd w:val="clear" w:color="auto" w:fill="FFFFFF"/>
        </w:rPr>
        <w:t>methodology tools and techniques</w:t>
      </w:r>
      <w:r w:rsidRPr="0088510B">
        <w:rPr>
          <w:rFonts w:ascii="Arial" w:hAnsi="Arial" w:cs="Arial"/>
          <w:sz w:val="20"/>
          <w:szCs w:val="20"/>
          <w:shd w:val="clear" w:color="auto" w:fill="FFFFFF"/>
        </w:rPr>
        <w:t>. UK: PHI Learning Pvt. Ltd.</w:t>
      </w:r>
    </w:p>
    <w:p w14:paraId="371B9B4C" w14:textId="64771F65"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i/>
          <w:sz w:val="20"/>
          <w:szCs w:val="20"/>
        </w:rPr>
      </w:pPr>
      <w:r w:rsidRPr="0088510B">
        <w:rPr>
          <w:rFonts w:ascii="Arial" w:hAnsi="Arial" w:cs="Arial"/>
          <w:sz w:val="20"/>
          <w:szCs w:val="20"/>
        </w:rPr>
        <w:t xml:space="preserve">Raisch, K., &amp; Birkinshaw, S. (2018). Investment </w:t>
      </w:r>
      <w:r w:rsidR="00076DF2" w:rsidRPr="0088510B">
        <w:rPr>
          <w:rFonts w:ascii="Arial" w:hAnsi="Arial" w:cs="Arial"/>
          <w:sz w:val="20"/>
          <w:szCs w:val="20"/>
        </w:rPr>
        <w:t xml:space="preserve">performance </w:t>
      </w:r>
      <w:r w:rsidR="000B2D3F" w:rsidRPr="0088510B">
        <w:rPr>
          <w:rFonts w:ascii="Arial" w:hAnsi="Arial" w:cs="Arial"/>
          <w:sz w:val="20"/>
          <w:szCs w:val="20"/>
        </w:rPr>
        <w:t>of international mutual funds</w:t>
      </w:r>
      <w:r w:rsidRPr="0088510B">
        <w:rPr>
          <w:rFonts w:ascii="Arial" w:hAnsi="Arial" w:cs="Arial"/>
          <w:sz w:val="20"/>
          <w:szCs w:val="20"/>
        </w:rPr>
        <w:t xml:space="preserve">. </w:t>
      </w:r>
      <w:r w:rsidRPr="0088510B">
        <w:rPr>
          <w:rFonts w:ascii="Arial" w:hAnsi="Arial" w:cs="Arial"/>
          <w:i/>
          <w:sz w:val="20"/>
          <w:szCs w:val="20"/>
        </w:rPr>
        <w:t>Journal of Financial Research, 1</w:t>
      </w:r>
      <w:r w:rsidRPr="0088510B">
        <w:rPr>
          <w:rFonts w:ascii="Arial" w:hAnsi="Arial" w:cs="Arial"/>
          <w:sz w:val="20"/>
          <w:szCs w:val="20"/>
        </w:rPr>
        <w:t>(1), 1-14.</w:t>
      </w:r>
      <w:bookmarkEnd w:id="236"/>
      <w:bookmarkEnd w:id="237"/>
      <w:bookmarkEnd w:id="238"/>
      <w:bookmarkEnd w:id="239"/>
      <w:bookmarkEnd w:id="240"/>
      <w:bookmarkEnd w:id="241"/>
      <w:bookmarkEnd w:id="242"/>
      <w:bookmarkEnd w:id="243"/>
      <w:bookmarkEnd w:id="244"/>
      <w:bookmarkEnd w:id="245"/>
      <w:bookmarkEnd w:id="246"/>
    </w:p>
    <w:p w14:paraId="39217260" w14:textId="151A5CA9" w:rsidR="00700BA7" w:rsidRPr="0088510B" w:rsidRDefault="00700BA7" w:rsidP="003C2271">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 xml:space="preserve">Sileyew, K. J. (2019). Research </w:t>
      </w:r>
      <w:r w:rsidR="000B2D3F" w:rsidRPr="0088510B">
        <w:rPr>
          <w:rFonts w:ascii="Arial" w:hAnsi="Arial" w:cs="Arial"/>
          <w:sz w:val="20"/>
          <w:szCs w:val="20"/>
          <w:shd w:val="clear" w:color="auto" w:fill="FFFFFF"/>
        </w:rPr>
        <w:t>design and methodology</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Cyberspace</w:t>
      </w:r>
      <w:r w:rsidRPr="0088510B">
        <w:rPr>
          <w:rFonts w:ascii="Arial" w:hAnsi="Arial" w:cs="Arial"/>
          <w:sz w:val="20"/>
          <w:szCs w:val="20"/>
          <w:shd w:val="clear" w:color="auto" w:fill="FFFFFF"/>
        </w:rPr>
        <w:t xml:space="preserve">, </w:t>
      </w:r>
      <w:r w:rsidRPr="0088510B">
        <w:rPr>
          <w:rFonts w:ascii="Arial" w:hAnsi="Arial" w:cs="Arial"/>
          <w:i/>
          <w:iCs/>
          <w:sz w:val="20"/>
          <w:szCs w:val="20"/>
          <w:shd w:val="clear" w:color="auto" w:fill="FFFFFF"/>
        </w:rPr>
        <w:t>1</w:t>
      </w:r>
      <w:r w:rsidRPr="0088510B">
        <w:rPr>
          <w:rFonts w:ascii="Arial" w:hAnsi="Arial" w:cs="Arial"/>
          <w:sz w:val="20"/>
          <w:szCs w:val="20"/>
          <w:shd w:val="clear" w:color="auto" w:fill="FFFFFF"/>
        </w:rPr>
        <w:t>(1), 1-12.</w:t>
      </w:r>
    </w:p>
    <w:p w14:paraId="532D9674"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Stinchcombe,</w:t>
      </w:r>
      <w:r w:rsidR="00076DF2" w:rsidRPr="0088510B">
        <w:rPr>
          <w:rFonts w:ascii="Arial" w:hAnsi="Arial" w:cs="Arial"/>
          <w:sz w:val="20"/>
          <w:szCs w:val="20"/>
        </w:rPr>
        <w:t xml:space="preserve"> A.L. (2020). Fund</w:t>
      </w:r>
      <w:r w:rsidRPr="0088510B">
        <w:rPr>
          <w:rFonts w:ascii="Arial" w:hAnsi="Arial" w:cs="Arial"/>
          <w:sz w:val="20"/>
          <w:szCs w:val="20"/>
        </w:rPr>
        <w:t xml:space="preserve"> </w:t>
      </w:r>
      <w:r w:rsidR="00076DF2" w:rsidRPr="0088510B">
        <w:rPr>
          <w:rFonts w:ascii="Arial" w:hAnsi="Arial" w:cs="Arial"/>
          <w:sz w:val="20"/>
          <w:szCs w:val="20"/>
        </w:rPr>
        <w:t xml:space="preserve">size and profitability of firms </w:t>
      </w:r>
      <w:r w:rsidRPr="0088510B">
        <w:rPr>
          <w:rFonts w:ascii="Arial" w:hAnsi="Arial" w:cs="Arial"/>
          <w:sz w:val="20"/>
          <w:szCs w:val="20"/>
        </w:rPr>
        <w:t xml:space="preserve">in Turkey. </w:t>
      </w:r>
      <w:r w:rsidRPr="0088510B">
        <w:rPr>
          <w:rFonts w:ascii="Arial" w:hAnsi="Arial" w:cs="Arial"/>
          <w:i/>
          <w:iCs/>
          <w:sz w:val="20"/>
          <w:szCs w:val="20"/>
        </w:rPr>
        <w:t>Journal of Management and Environmental Studies, 2</w:t>
      </w:r>
      <w:r w:rsidRPr="0088510B">
        <w:rPr>
          <w:rFonts w:ascii="Arial" w:hAnsi="Arial" w:cs="Arial"/>
          <w:sz w:val="20"/>
          <w:szCs w:val="20"/>
        </w:rPr>
        <w:t>(1), 97-103.</w:t>
      </w:r>
    </w:p>
    <w:p w14:paraId="16F1C838" w14:textId="77777777"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spacing w:val="-5"/>
          <w:sz w:val="20"/>
          <w:szCs w:val="20"/>
          <w:shd w:val="clear" w:color="auto" w:fill="FFFFFF"/>
        </w:rPr>
      </w:pPr>
      <w:bookmarkStart w:id="252" w:name="_Toc185522153"/>
      <w:bookmarkStart w:id="253" w:name="_Toc190370860"/>
      <w:bookmarkStart w:id="254" w:name="_Toc190536058"/>
      <w:bookmarkStart w:id="255" w:name="_Toc190604617"/>
      <w:bookmarkStart w:id="256" w:name="_Toc190606365"/>
      <w:bookmarkStart w:id="257" w:name="_Toc190607520"/>
      <w:bookmarkStart w:id="258" w:name="_Toc192496839"/>
      <w:r w:rsidRPr="0088510B">
        <w:rPr>
          <w:rFonts w:ascii="Arial" w:hAnsi="Arial" w:cs="Arial"/>
          <w:spacing w:val="-5"/>
          <w:sz w:val="20"/>
          <w:szCs w:val="20"/>
          <w:shd w:val="clear" w:color="auto" w:fill="FFFFFF"/>
        </w:rPr>
        <w:t>Tangngisalu, J., Hasanuddin, R., Hala, Y., Nurlina, N., &amp; Syahrul, S. (2020). Effect of CAR and NPL on ROA: Empirical study in Indonesia Banks</w:t>
      </w:r>
      <w:r w:rsidRPr="0088510B">
        <w:rPr>
          <w:rFonts w:ascii="Arial" w:hAnsi="Arial" w:cs="Arial"/>
          <w:i/>
          <w:iCs/>
          <w:spacing w:val="-5"/>
          <w:sz w:val="20"/>
          <w:szCs w:val="20"/>
          <w:shd w:val="clear" w:color="auto" w:fill="FFFFFF"/>
        </w:rPr>
        <w:t>. The Journal of Asian Finance, Economics, and Business, 7</w:t>
      </w:r>
      <w:r w:rsidRPr="0088510B">
        <w:rPr>
          <w:rFonts w:ascii="Arial" w:hAnsi="Arial" w:cs="Arial"/>
          <w:spacing w:val="-5"/>
          <w:sz w:val="20"/>
          <w:szCs w:val="20"/>
          <w:shd w:val="clear" w:color="auto" w:fill="FFFFFF"/>
        </w:rPr>
        <w:t>(6), 9-18.</w:t>
      </w:r>
      <w:bookmarkEnd w:id="252"/>
      <w:bookmarkEnd w:id="253"/>
      <w:bookmarkEnd w:id="254"/>
      <w:bookmarkEnd w:id="255"/>
      <w:bookmarkEnd w:id="256"/>
      <w:bookmarkEnd w:id="257"/>
      <w:bookmarkEnd w:id="258"/>
    </w:p>
    <w:p w14:paraId="549ACB48" w14:textId="77777777"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sz w:val="20"/>
          <w:szCs w:val="20"/>
        </w:rPr>
      </w:pPr>
      <w:bookmarkStart w:id="259" w:name="_Toc185522154"/>
      <w:bookmarkStart w:id="260" w:name="_Toc190370861"/>
      <w:bookmarkStart w:id="261" w:name="_Toc190536059"/>
      <w:bookmarkStart w:id="262" w:name="_Toc190604618"/>
      <w:bookmarkStart w:id="263" w:name="_Toc190606366"/>
      <w:bookmarkStart w:id="264" w:name="_Toc190607521"/>
      <w:bookmarkStart w:id="265" w:name="_Toc192496840"/>
      <w:r w:rsidRPr="0088510B">
        <w:rPr>
          <w:rFonts w:ascii="Arial" w:hAnsi="Arial" w:cs="Arial"/>
          <w:sz w:val="20"/>
          <w:szCs w:val="20"/>
          <w:shd w:val="clear" w:color="auto" w:fill="FFFFFF"/>
        </w:rPr>
        <w:t xml:space="preserve">Toufaili, K. (2021). Effect </w:t>
      </w:r>
      <w:r w:rsidR="00076DF2" w:rsidRPr="0088510B">
        <w:rPr>
          <w:rFonts w:ascii="Arial" w:hAnsi="Arial" w:cs="Arial"/>
          <w:sz w:val="20"/>
          <w:szCs w:val="20"/>
          <w:shd w:val="clear" w:color="auto" w:fill="FFFFFF"/>
        </w:rPr>
        <w:t>of fund size on p</w:t>
      </w:r>
      <w:r w:rsidR="00076DF2" w:rsidRPr="0088510B">
        <w:rPr>
          <w:rFonts w:ascii="Arial" w:eastAsia="Times New Roman" w:hAnsi="Arial" w:cs="Arial"/>
          <w:sz w:val="20"/>
          <w:szCs w:val="20"/>
        </w:rPr>
        <w:t xml:space="preserve">erformance of investment funds </w:t>
      </w:r>
      <w:r w:rsidRPr="0088510B">
        <w:rPr>
          <w:rFonts w:ascii="Arial" w:eastAsia="Times New Roman" w:hAnsi="Arial" w:cs="Arial"/>
          <w:sz w:val="20"/>
          <w:szCs w:val="20"/>
        </w:rPr>
        <w:t xml:space="preserve">in Lebanon. </w:t>
      </w:r>
      <w:r w:rsidRPr="0088510B">
        <w:rPr>
          <w:rFonts w:ascii="Arial" w:eastAsia="Times New Roman" w:hAnsi="Arial" w:cs="Arial"/>
          <w:i/>
          <w:iCs/>
          <w:sz w:val="20"/>
          <w:szCs w:val="20"/>
        </w:rPr>
        <w:t>Journal of Management Studies, 3</w:t>
      </w:r>
      <w:r w:rsidRPr="0088510B">
        <w:rPr>
          <w:rFonts w:ascii="Arial" w:eastAsia="Times New Roman" w:hAnsi="Arial" w:cs="Arial"/>
          <w:sz w:val="20"/>
          <w:szCs w:val="20"/>
        </w:rPr>
        <w:t>(1), 33-40.</w:t>
      </w:r>
      <w:bookmarkEnd w:id="259"/>
      <w:bookmarkEnd w:id="260"/>
      <w:bookmarkEnd w:id="261"/>
      <w:bookmarkEnd w:id="262"/>
      <w:bookmarkEnd w:id="263"/>
      <w:bookmarkEnd w:id="264"/>
      <w:bookmarkEnd w:id="265"/>
    </w:p>
    <w:p w14:paraId="5175792C" w14:textId="77777777" w:rsidR="00700BA7" w:rsidRPr="0088510B" w:rsidRDefault="00700BA7" w:rsidP="00700BA7">
      <w:pPr>
        <w:pStyle w:val="ListParagraph"/>
        <w:numPr>
          <w:ilvl w:val="0"/>
          <w:numId w:val="2"/>
        </w:numPr>
        <w:shd w:val="clear" w:color="auto" w:fill="FFFFFF"/>
        <w:spacing w:after="0" w:line="240" w:lineRule="auto"/>
        <w:jc w:val="both"/>
        <w:outlineLvl w:val="0"/>
        <w:rPr>
          <w:rFonts w:ascii="Arial" w:hAnsi="Arial" w:cs="Arial"/>
          <w:sz w:val="20"/>
          <w:szCs w:val="20"/>
          <w:shd w:val="clear" w:color="auto" w:fill="FFFFFF"/>
        </w:rPr>
      </w:pPr>
      <w:r w:rsidRPr="0088510B">
        <w:rPr>
          <w:rFonts w:ascii="Arial" w:hAnsi="Arial" w:cs="Arial"/>
          <w:sz w:val="20"/>
          <w:szCs w:val="20"/>
          <w:shd w:val="clear" w:color="auto" w:fill="FFFFFF"/>
        </w:rPr>
        <w:t xml:space="preserve">Zabolotnyy, S., &amp; Wasilewski, M. (2019). The </w:t>
      </w:r>
      <w:r w:rsidR="00076DF2" w:rsidRPr="0088510B">
        <w:rPr>
          <w:rFonts w:ascii="Arial" w:hAnsi="Arial" w:cs="Arial"/>
          <w:sz w:val="20"/>
          <w:szCs w:val="20"/>
          <w:shd w:val="clear" w:color="auto" w:fill="FFFFFF"/>
        </w:rPr>
        <w:t>concept of financial performance measu</w:t>
      </w:r>
      <w:r w:rsidRPr="0088510B">
        <w:rPr>
          <w:rFonts w:ascii="Arial" w:hAnsi="Arial" w:cs="Arial"/>
          <w:sz w:val="20"/>
          <w:szCs w:val="20"/>
          <w:shd w:val="clear" w:color="auto" w:fill="FFFFFF"/>
        </w:rPr>
        <w:t xml:space="preserve">rement: A </w:t>
      </w:r>
      <w:r w:rsidR="00076DF2" w:rsidRPr="0088510B">
        <w:rPr>
          <w:rFonts w:ascii="Arial" w:hAnsi="Arial" w:cs="Arial"/>
          <w:sz w:val="20"/>
          <w:szCs w:val="20"/>
          <w:shd w:val="clear" w:color="auto" w:fill="FFFFFF"/>
        </w:rPr>
        <w:t xml:space="preserve">case of food companies from </w:t>
      </w:r>
      <w:r w:rsidRPr="0088510B">
        <w:rPr>
          <w:rFonts w:ascii="Arial" w:hAnsi="Arial" w:cs="Arial"/>
          <w:sz w:val="20"/>
          <w:szCs w:val="20"/>
          <w:shd w:val="clear" w:color="auto" w:fill="FFFFFF"/>
        </w:rPr>
        <w:t>Northern Europe. </w:t>
      </w:r>
      <w:r w:rsidRPr="0088510B">
        <w:rPr>
          <w:rFonts w:ascii="Arial" w:hAnsi="Arial" w:cs="Arial"/>
          <w:i/>
          <w:iCs/>
          <w:sz w:val="20"/>
          <w:szCs w:val="20"/>
          <w:shd w:val="clear" w:color="auto" w:fill="FFFFFF"/>
        </w:rPr>
        <w:t>Sustainability</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11</w:t>
      </w:r>
      <w:r w:rsidRPr="0088510B">
        <w:rPr>
          <w:rFonts w:ascii="Arial" w:hAnsi="Arial" w:cs="Arial"/>
          <w:sz w:val="20"/>
          <w:szCs w:val="20"/>
          <w:shd w:val="clear" w:color="auto" w:fill="FFFFFF"/>
        </w:rPr>
        <w:t>(18), 5123-5139.</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2B67C08" w14:textId="77777777" w:rsidR="00700BA7" w:rsidRDefault="00700BA7" w:rsidP="00700BA7"/>
    <w:p w14:paraId="4DC0F9B9" w14:textId="77777777" w:rsidR="00F505F9" w:rsidRDefault="00F505F9" w:rsidP="006C7F98">
      <w:pPr>
        <w:spacing w:after="0" w:line="360" w:lineRule="auto"/>
        <w:jc w:val="both"/>
        <w:rPr>
          <w:rFonts w:ascii="Times New Roman" w:hAnsi="Times New Roman" w:cs="Times New Roman"/>
          <w:sz w:val="24"/>
          <w:szCs w:val="24"/>
        </w:rPr>
      </w:pPr>
    </w:p>
    <w:p w14:paraId="7F391E99" w14:textId="77777777" w:rsidR="00F505F9" w:rsidRDefault="00F505F9" w:rsidP="006C7F98">
      <w:pPr>
        <w:spacing w:after="0" w:line="360" w:lineRule="auto"/>
        <w:jc w:val="both"/>
        <w:rPr>
          <w:rFonts w:ascii="Times New Roman" w:hAnsi="Times New Roman" w:cs="Times New Roman"/>
          <w:sz w:val="24"/>
          <w:szCs w:val="24"/>
        </w:rPr>
      </w:pPr>
    </w:p>
    <w:p w14:paraId="4D57BF1B" w14:textId="77777777" w:rsidR="00F505F9" w:rsidRDefault="00F505F9" w:rsidP="006C7F98">
      <w:pPr>
        <w:spacing w:after="0" w:line="360" w:lineRule="auto"/>
        <w:jc w:val="both"/>
        <w:rPr>
          <w:rFonts w:ascii="Times New Roman" w:hAnsi="Times New Roman" w:cs="Times New Roman"/>
          <w:sz w:val="24"/>
          <w:szCs w:val="24"/>
        </w:rPr>
      </w:pPr>
    </w:p>
    <w:sectPr w:rsidR="00F505F9">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6C4CB" w14:textId="77777777" w:rsidR="002602FC" w:rsidRDefault="002602FC" w:rsidP="00F316A0">
      <w:pPr>
        <w:spacing w:after="0" w:line="240" w:lineRule="auto"/>
      </w:pPr>
      <w:r>
        <w:separator/>
      </w:r>
    </w:p>
  </w:endnote>
  <w:endnote w:type="continuationSeparator" w:id="0">
    <w:p w14:paraId="236AEC67" w14:textId="77777777" w:rsidR="002602FC" w:rsidRDefault="002602FC" w:rsidP="00F3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C36DF" w14:textId="77777777" w:rsidR="002602FC" w:rsidRDefault="002602FC" w:rsidP="00F316A0">
      <w:pPr>
        <w:spacing w:after="0" w:line="240" w:lineRule="auto"/>
      </w:pPr>
      <w:r>
        <w:separator/>
      </w:r>
    </w:p>
  </w:footnote>
  <w:footnote w:type="continuationSeparator" w:id="0">
    <w:p w14:paraId="5E7837A4" w14:textId="77777777" w:rsidR="002602FC" w:rsidRDefault="002602FC" w:rsidP="00F3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336C" w14:textId="30524585" w:rsidR="00983F38" w:rsidRDefault="002602FC">
    <w:pPr>
      <w:pStyle w:val="Header"/>
    </w:pPr>
    <w:r>
      <w:rPr>
        <w:noProof/>
      </w:rPr>
      <w:pict w14:anchorId="576A9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9409" w14:textId="5ABC146F" w:rsidR="00983F38" w:rsidRDefault="002602FC">
    <w:pPr>
      <w:pStyle w:val="Header"/>
    </w:pPr>
    <w:r>
      <w:rPr>
        <w:noProof/>
      </w:rPr>
      <w:pict w14:anchorId="068FE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2720" w14:textId="20717844" w:rsidR="00983F38" w:rsidRDefault="002602FC">
    <w:pPr>
      <w:pStyle w:val="Header"/>
    </w:pPr>
    <w:r>
      <w:rPr>
        <w:noProof/>
      </w:rPr>
      <w:pict w14:anchorId="21E9C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95092"/>
    <w:multiLevelType w:val="hybridMultilevel"/>
    <w:tmpl w:val="DDCA1D7E"/>
    <w:lvl w:ilvl="0" w:tplc="F41C7D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018FF"/>
    <w:multiLevelType w:val="multilevel"/>
    <w:tmpl w:val="5412CB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1E42DB0"/>
    <w:multiLevelType w:val="hybridMultilevel"/>
    <w:tmpl w:val="0772128C"/>
    <w:lvl w:ilvl="0" w:tplc="F28C6C9C">
      <w:start w:val="1"/>
      <w:numFmt w:val="bullet"/>
      <w:lvlText w:val=""/>
      <w:lvlJc w:val="left"/>
      <w:pPr>
        <w:tabs>
          <w:tab w:val="num" w:pos="720"/>
        </w:tabs>
        <w:ind w:left="720" w:hanging="360"/>
      </w:pPr>
      <w:rPr>
        <w:rFonts w:ascii="Wingdings" w:hAnsi="Wingdings" w:hint="default"/>
      </w:rPr>
    </w:lvl>
    <w:lvl w:ilvl="1" w:tplc="2E668F4A" w:tentative="1">
      <w:start w:val="1"/>
      <w:numFmt w:val="bullet"/>
      <w:lvlText w:val=""/>
      <w:lvlJc w:val="left"/>
      <w:pPr>
        <w:tabs>
          <w:tab w:val="num" w:pos="1440"/>
        </w:tabs>
        <w:ind w:left="1440" w:hanging="360"/>
      </w:pPr>
      <w:rPr>
        <w:rFonts w:ascii="Wingdings" w:hAnsi="Wingdings" w:hint="default"/>
      </w:rPr>
    </w:lvl>
    <w:lvl w:ilvl="2" w:tplc="6EF2B304" w:tentative="1">
      <w:start w:val="1"/>
      <w:numFmt w:val="bullet"/>
      <w:lvlText w:val=""/>
      <w:lvlJc w:val="left"/>
      <w:pPr>
        <w:tabs>
          <w:tab w:val="num" w:pos="2160"/>
        </w:tabs>
        <w:ind w:left="2160" w:hanging="360"/>
      </w:pPr>
      <w:rPr>
        <w:rFonts w:ascii="Wingdings" w:hAnsi="Wingdings" w:hint="default"/>
      </w:rPr>
    </w:lvl>
    <w:lvl w:ilvl="3" w:tplc="41C813DC" w:tentative="1">
      <w:start w:val="1"/>
      <w:numFmt w:val="bullet"/>
      <w:lvlText w:val=""/>
      <w:lvlJc w:val="left"/>
      <w:pPr>
        <w:tabs>
          <w:tab w:val="num" w:pos="2880"/>
        </w:tabs>
        <w:ind w:left="2880" w:hanging="360"/>
      </w:pPr>
      <w:rPr>
        <w:rFonts w:ascii="Wingdings" w:hAnsi="Wingdings" w:hint="default"/>
      </w:rPr>
    </w:lvl>
    <w:lvl w:ilvl="4" w:tplc="4B1E3226" w:tentative="1">
      <w:start w:val="1"/>
      <w:numFmt w:val="bullet"/>
      <w:lvlText w:val=""/>
      <w:lvlJc w:val="left"/>
      <w:pPr>
        <w:tabs>
          <w:tab w:val="num" w:pos="3600"/>
        </w:tabs>
        <w:ind w:left="3600" w:hanging="360"/>
      </w:pPr>
      <w:rPr>
        <w:rFonts w:ascii="Wingdings" w:hAnsi="Wingdings" w:hint="default"/>
      </w:rPr>
    </w:lvl>
    <w:lvl w:ilvl="5" w:tplc="6BE80CD2" w:tentative="1">
      <w:start w:val="1"/>
      <w:numFmt w:val="bullet"/>
      <w:lvlText w:val=""/>
      <w:lvlJc w:val="left"/>
      <w:pPr>
        <w:tabs>
          <w:tab w:val="num" w:pos="4320"/>
        </w:tabs>
        <w:ind w:left="4320" w:hanging="360"/>
      </w:pPr>
      <w:rPr>
        <w:rFonts w:ascii="Wingdings" w:hAnsi="Wingdings" w:hint="default"/>
      </w:rPr>
    </w:lvl>
    <w:lvl w:ilvl="6" w:tplc="2FF421D4" w:tentative="1">
      <w:start w:val="1"/>
      <w:numFmt w:val="bullet"/>
      <w:lvlText w:val=""/>
      <w:lvlJc w:val="left"/>
      <w:pPr>
        <w:tabs>
          <w:tab w:val="num" w:pos="5040"/>
        </w:tabs>
        <w:ind w:left="5040" w:hanging="360"/>
      </w:pPr>
      <w:rPr>
        <w:rFonts w:ascii="Wingdings" w:hAnsi="Wingdings" w:hint="default"/>
      </w:rPr>
    </w:lvl>
    <w:lvl w:ilvl="7" w:tplc="2A6CD52A" w:tentative="1">
      <w:start w:val="1"/>
      <w:numFmt w:val="bullet"/>
      <w:lvlText w:val=""/>
      <w:lvlJc w:val="left"/>
      <w:pPr>
        <w:tabs>
          <w:tab w:val="num" w:pos="5760"/>
        </w:tabs>
        <w:ind w:left="5760" w:hanging="360"/>
      </w:pPr>
      <w:rPr>
        <w:rFonts w:ascii="Wingdings" w:hAnsi="Wingdings" w:hint="default"/>
      </w:rPr>
    </w:lvl>
    <w:lvl w:ilvl="8" w:tplc="2740450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CE"/>
    <w:rsid w:val="00024BFB"/>
    <w:rsid w:val="000725BF"/>
    <w:rsid w:val="00076DF2"/>
    <w:rsid w:val="00076F0C"/>
    <w:rsid w:val="000801F8"/>
    <w:rsid w:val="000A6EDF"/>
    <w:rsid w:val="000B2D3F"/>
    <w:rsid w:val="000B781F"/>
    <w:rsid w:val="000C04CF"/>
    <w:rsid w:val="000C45C2"/>
    <w:rsid w:val="000F088F"/>
    <w:rsid w:val="001005E2"/>
    <w:rsid w:val="0013031B"/>
    <w:rsid w:val="0013391C"/>
    <w:rsid w:val="00162610"/>
    <w:rsid w:val="00162ACE"/>
    <w:rsid w:val="001659ED"/>
    <w:rsid w:val="00171C71"/>
    <w:rsid w:val="00192035"/>
    <w:rsid w:val="00196D32"/>
    <w:rsid w:val="001B7E13"/>
    <w:rsid w:val="002344B2"/>
    <w:rsid w:val="00237EB0"/>
    <w:rsid w:val="002602FC"/>
    <w:rsid w:val="00260901"/>
    <w:rsid w:val="00265C67"/>
    <w:rsid w:val="0029791C"/>
    <w:rsid w:val="002A6D44"/>
    <w:rsid w:val="002B0F67"/>
    <w:rsid w:val="002C7505"/>
    <w:rsid w:val="002E1786"/>
    <w:rsid w:val="002E3997"/>
    <w:rsid w:val="002E782D"/>
    <w:rsid w:val="002F4989"/>
    <w:rsid w:val="003173A2"/>
    <w:rsid w:val="0033037F"/>
    <w:rsid w:val="00331CA5"/>
    <w:rsid w:val="0035063F"/>
    <w:rsid w:val="00364502"/>
    <w:rsid w:val="003672A2"/>
    <w:rsid w:val="00370968"/>
    <w:rsid w:val="003833F5"/>
    <w:rsid w:val="003A51F1"/>
    <w:rsid w:val="003B4EC3"/>
    <w:rsid w:val="003C2271"/>
    <w:rsid w:val="003E32DD"/>
    <w:rsid w:val="003F3200"/>
    <w:rsid w:val="003F33C5"/>
    <w:rsid w:val="003F38F2"/>
    <w:rsid w:val="004060AA"/>
    <w:rsid w:val="00421556"/>
    <w:rsid w:val="00442903"/>
    <w:rsid w:val="00447F09"/>
    <w:rsid w:val="0045345F"/>
    <w:rsid w:val="004666E2"/>
    <w:rsid w:val="0047447E"/>
    <w:rsid w:val="0047496F"/>
    <w:rsid w:val="004B5623"/>
    <w:rsid w:val="0051275E"/>
    <w:rsid w:val="00524DC1"/>
    <w:rsid w:val="00535E13"/>
    <w:rsid w:val="00563ED0"/>
    <w:rsid w:val="005A3939"/>
    <w:rsid w:val="005F79A3"/>
    <w:rsid w:val="00657B89"/>
    <w:rsid w:val="00665B00"/>
    <w:rsid w:val="0067777C"/>
    <w:rsid w:val="006848FF"/>
    <w:rsid w:val="006B5EA3"/>
    <w:rsid w:val="006C7F98"/>
    <w:rsid w:val="006D1226"/>
    <w:rsid w:val="006D4FF1"/>
    <w:rsid w:val="006E6492"/>
    <w:rsid w:val="006F59E5"/>
    <w:rsid w:val="00700BA7"/>
    <w:rsid w:val="00703349"/>
    <w:rsid w:val="00727C13"/>
    <w:rsid w:val="00765321"/>
    <w:rsid w:val="00767081"/>
    <w:rsid w:val="007D3B84"/>
    <w:rsid w:val="0080004B"/>
    <w:rsid w:val="0083493D"/>
    <w:rsid w:val="00845B66"/>
    <w:rsid w:val="0088510B"/>
    <w:rsid w:val="008A49DF"/>
    <w:rsid w:val="008D3165"/>
    <w:rsid w:val="008F03E9"/>
    <w:rsid w:val="008F28A0"/>
    <w:rsid w:val="00925C91"/>
    <w:rsid w:val="0093549D"/>
    <w:rsid w:val="009647F8"/>
    <w:rsid w:val="0096510E"/>
    <w:rsid w:val="0098187B"/>
    <w:rsid w:val="00983F38"/>
    <w:rsid w:val="009A21ED"/>
    <w:rsid w:val="009D2F19"/>
    <w:rsid w:val="009D3344"/>
    <w:rsid w:val="009E23DC"/>
    <w:rsid w:val="009E7C88"/>
    <w:rsid w:val="00A1290B"/>
    <w:rsid w:val="00A23672"/>
    <w:rsid w:val="00A40373"/>
    <w:rsid w:val="00A80E86"/>
    <w:rsid w:val="00A8261A"/>
    <w:rsid w:val="00A8779D"/>
    <w:rsid w:val="00A92439"/>
    <w:rsid w:val="00A95513"/>
    <w:rsid w:val="00AC1508"/>
    <w:rsid w:val="00AF6B28"/>
    <w:rsid w:val="00B84BC4"/>
    <w:rsid w:val="00BA69A7"/>
    <w:rsid w:val="00BB4F7B"/>
    <w:rsid w:val="00BD26F0"/>
    <w:rsid w:val="00BD3FFB"/>
    <w:rsid w:val="00BE6A91"/>
    <w:rsid w:val="00BF2567"/>
    <w:rsid w:val="00BF47DD"/>
    <w:rsid w:val="00BF5B69"/>
    <w:rsid w:val="00BF766D"/>
    <w:rsid w:val="00C105C7"/>
    <w:rsid w:val="00C138F5"/>
    <w:rsid w:val="00C96A07"/>
    <w:rsid w:val="00CA2B31"/>
    <w:rsid w:val="00CA32E0"/>
    <w:rsid w:val="00CB6312"/>
    <w:rsid w:val="00CC759C"/>
    <w:rsid w:val="00CD15C4"/>
    <w:rsid w:val="00D23D04"/>
    <w:rsid w:val="00D32B8C"/>
    <w:rsid w:val="00D40E92"/>
    <w:rsid w:val="00D61933"/>
    <w:rsid w:val="00DB6A3B"/>
    <w:rsid w:val="00DC57D1"/>
    <w:rsid w:val="00DD1C96"/>
    <w:rsid w:val="00E45783"/>
    <w:rsid w:val="00E76F1A"/>
    <w:rsid w:val="00E770FA"/>
    <w:rsid w:val="00EC6D01"/>
    <w:rsid w:val="00EE04E5"/>
    <w:rsid w:val="00EE5D93"/>
    <w:rsid w:val="00F316A0"/>
    <w:rsid w:val="00F332DD"/>
    <w:rsid w:val="00F355FA"/>
    <w:rsid w:val="00F505F9"/>
    <w:rsid w:val="00F57DD9"/>
    <w:rsid w:val="00F6103A"/>
    <w:rsid w:val="00F74923"/>
    <w:rsid w:val="00F811F7"/>
    <w:rsid w:val="00F86832"/>
    <w:rsid w:val="00FB06DC"/>
    <w:rsid w:val="00FB6DAC"/>
    <w:rsid w:val="00F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B4E21"/>
  <w15:docId w15:val="{4DD3447E-8C0C-49B9-85F4-50AB892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10E"/>
    <w:pPr>
      <w:spacing w:after="160" w:line="259" w:lineRule="auto"/>
    </w:pPr>
  </w:style>
  <w:style w:type="paragraph" w:styleId="Heading1">
    <w:name w:val="heading 1"/>
    <w:basedOn w:val="Normal"/>
    <w:next w:val="Normal"/>
    <w:link w:val="Heading1Char"/>
    <w:uiPriority w:val="9"/>
    <w:qFormat/>
    <w:rsid w:val="008000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000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316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000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16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162ACE"/>
    <w:pPr>
      <w:spacing w:line="256" w:lineRule="auto"/>
      <w:ind w:left="720"/>
      <w:contextualSpacing/>
    </w:pPr>
  </w:style>
  <w:style w:type="character" w:customStyle="1" w:styleId="ListParagraphChar">
    <w:name w:val="List Paragraph Char"/>
    <w:link w:val="ListParagraph"/>
    <w:uiPriority w:val="34"/>
    <w:locked/>
    <w:rsid w:val="00162ACE"/>
  </w:style>
  <w:style w:type="paragraph" w:styleId="Caption">
    <w:name w:val="caption"/>
    <w:basedOn w:val="Normal"/>
    <w:next w:val="Normal"/>
    <w:uiPriority w:val="35"/>
    <w:unhideWhenUsed/>
    <w:qFormat/>
    <w:rsid w:val="0096510E"/>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965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10E"/>
    <w:rPr>
      <w:rFonts w:ascii="Tahoma" w:hAnsi="Tahoma" w:cs="Tahoma"/>
      <w:sz w:val="16"/>
      <w:szCs w:val="16"/>
    </w:rPr>
  </w:style>
  <w:style w:type="table" w:styleId="TableGrid">
    <w:name w:val="Table Grid"/>
    <w:basedOn w:val="TableNormal"/>
    <w:uiPriority w:val="39"/>
    <w:rsid w:val="00F3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6A0"/>
  </w:style>
  <w:style w:type="paragraph" w:styleId="Footer">
    <w:name w:val="footer"/>
    <w:basedOn w:val="Normal"/>
    <w:link w:val="FooterChar"/>
    <w:uiPriority w:val="99"/>
    <w:unhideWhenUsed/>
    <w:rsid w:val="00F31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6A0"/>
  </w:style>
  <w:style w:type="character" w:styleId="Hyperlink">
    <w:name w:val="Hyperlink"/>
    <w:basedOn w:val="DefaultParagraphFont"/>
    <w:uiPriority w:val="99"/>
    <w:unhideWhenUsed/>
    <w:rsid w:val="00F316A0"/>
    <w:rPr>
      <w:color w:val="0000FF"/>
      <w:u w:val="single"/>
    </w:rPr>
  </w:style>
  <w:style w:type="character" w:customStyle="1" w:styleId="mntl-sc-block-headingtext">
    <w:name w:val="mntl-sc-block-heading__text"/>
    <w:basedOn w:val="DefaultParagraphFont"/>
    <w:rsid w:val="00F316A0"/>
  </w:style>
  <w:style w:type="paragraph" w:customStyle="1" w:styleId="msonospacing0">
    <w:name w:val="msonospacing"/>
    <w:rsid w:val="00F316A0"/>
    <w:pPr>
      <w:spacing w:after="0" w:line="240" w:lineRule="auto"/>
    </w:pPr>
    <w:rPr>
      <w:rFonts w:ascii="Calibri" w:eastAsia="Calibri" w:hAnsi="Calibri" w:cs="Times New Roman"/>
    </w:rPr>
  </w:style>
  <w:style w:type="character" w:styleId="Strong">
    <w:name w:val="Strong"/>
    <w:basedOn w:val="DefaultParagraphFont"/>
    <w:uiPriority w:val="22"/>
    <w:qFormat/>
    <w:rsid w:val="00F316A0"/>
    <w:rPr>
      <w:b/>
      <w:bCs/>
    </w:rPr>
  </w:style>
  <w:style w:type="character" w:styleId="Emphasis">
    <w:name w:val="Emphasis"/>
    <w:basedOn w:val="DefaultParagraphFont"/>
    <w:uiPriority w:val="20"/>
    <w:qFormat/>
    <w:rsid w:val="00F316A0"/>
    <w:rPr>
      <w:i/>
      <w:iCs/>
    </w:rPr>
  </w:style>
  <w:style w:type="paragraph" w:styleId="NormalWeb">
    <w:name w:val="Normal (Web)"/>
    <w:basedOn w:val="Normal"/>
    <w:uiPriority w:val="99"/>
    <w:unhideWhenUsed/>
    <w:rsid w:val="00F316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1qjisw">
    <w:name w:val="css-11qjisw"/>
    <w:basedOn w:val="DefaultParagraphFont"/>
    <w:rsid w:val="00F316A0"/>
  </w:style>
  <w:style w:type="character" w:customStyle="1" w:styleId="hlfld-contribauthor">
    <w:name w:val="hlfld-contribauthor"/>
    <w:basedOn w:val="DefaultParagraphFont"/>
    <w:rsid w:val="00F316A0"/>
  </w:style>
  <w:style w:type="character" w:customStyle="1" w:styleId="nlmgiven-names">
    <w:name w:val="nlm_given-names"/>
    <w:basedOn w:val="DefaultParagraphFont"/>
    <w:rsid w:val="00F316A0"/>
  </w:style>
  <w:style w:type="character" w:customStyle="1" w:styleId="nlmyear">
    <w:name w:val="nlm_year"/>
    <w:basedOn w:val="DefaultParagraphFont"/>
    <w:rsid w:val="00F316A0"/>
  </w:style>
  <w:style w:type="character" w:customStyle="1" w:styleId="nlmfpage">
    <w:name w:val="nlm_fpage"/>
    <w:basedOn w:val="DefaultParagraphFont"/>
    <w:rsid w:val="00F316A0"/>
  </w:style>
  <w:style w:type="character" w:customStyle="1" w:styleId="nlmarticle-title">
    <w:name w:val="nlm_article-title"/>
    <w:basedOn w:val="DefaultParagraphFont"/>
    <w:rsid w:val="00F316A0"/>
  </w:style>
  <w:style w:type="character" w:customStyle="1" w:styleId="nlmlpage">
    <w:name w:val="nlm_lpage"/>
    <w:basedOn w:val="DefaultParagraphFont"/>
    <w:rsid w:val="00F316A0"/>
  </w:style>
  <w:style w:type="table" w:customStyle="1" w:styleId="ListTable6Colorful1">
    <w:name w:val="List Table 6 Colorful1"/>
    <w:basedOn w:val="TableNormal"/>
    <w:uiPriority w:val="51"/>
    <w:rsid w:val="00F316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F316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F316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i">
    <w:name w:val="mi"/>
    <w:basedOn w:val="DefaultParagraphFont"/>
    <w:rsid w:val="00F316A0"/>
  </w:style>
  <w:style w:type="character" w:customStyle="1" w:styleId="mtext">
    <w:name w:val="mtext"/>
    <w:basedOn w:val="DefaultParagraphFont"/>
    <w:rsid w:val="00F316A0"/>
  </w:style>
  <w:style w:type="character" w:customStyle="1" w:styleId="mo">
    <w:name w:val="mo"/>
    <w:basedOn w:val="DefaultParagraphFont"/>
    <w:rsid w:val="00F316A0"/>
  </w:style>
  <w:style w:type="character" w:customStyle="1" w:styleId="mn">
    <w:name w:val="mn"/>
    <w:basedOn w:val="DefaultParagraphFont"/>
    <w:rsid w:val="00F316A0"/>
  </w:style>
  <w:style w:type="character" w:customStyle="1" w:styleId="mjxassistivemathml">
    <w:name w:val="mjx_assistive_mathml"/>
    <w:basedOn w:val="DefaultParagraphFont"/>
    <w:rsid w:val="00F316A0"/>
  </w:style>
  <w:style w:type="paragraph" w:styleId="TOCHeading">
    <w:name w:val="TOC Heading"/>
    <w:basedOn w:val="Heading1"/>
    <w:next w:val="Normal"/>
    <w:uiPriority w:val="39"/>
    <w:unhideWhenUsed/>
    <w:qFormat/>
    <w:rsid w:val="00F316A0"/>
    <w:pPr>
      <w:outlineLvl w:val="9"/>
    </w:pPr>
  </w:style>
  <w:style w:type="paragraph" w:styleId="TOC2">
    <w:name w:val="toc 2"/>
    <w:basedOn w:val="Normal"/>
    <w:next w:val="Normal"/>
    <w:autoRedefine/>
    <w:uiPriority w:val="39"/>
    <w:unhideWhenUsed/>
    <w:rsid w:val="00F316A0"/>
    <w:pPr>
      <w:tabs>
        <w:tab w:val="left" w:pos="880"/>
        <w:tab w:val="right" w:leader="dot" w:pos="8544"/>
      </w:tabs>
      <w:spacing w:after="100"/>
      <w:ind w:left="220"/>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F316A0"/>
    <w:pPr>
      <w:spacing w:after="100"/>
      <w:ind w:left="440"/>
    </w:pPr>
  </w:style>
  <w:style w:type="paragraph" w:styleId="TOC1">
    <w:name w:val="toc 1"/>
    <w:basedOn w:val="Normal"/>
    <w:next w:val="Normal"/>
    <w:autoRedefine/>
    <w:uiPriority w:val="39"/>
    <w:unhideWhenUsed/>
    <w:rsid w:val="00F316A0"/>
    <w:pPr>
      <w:tabs>
        <w:tab w:val="right" w:leader="dot" w:pos="8635"/>
      </w:tabs>
      <w:spacing w:after="0" w:line="360" w:lineRule="auto"/>
    </w:pPr>
    <w:rPr>
      <w:rFonts w:ascii="Times New Roman" w:eastAsiaTheme="majorEastAsia" w:hAnsi="Times New Roman" w:cs="Times New Roman"/>
      <w:b/>
      <w:bCs/>
      <w:noProof/>
      <w:sz w:val="24"/>
      <w:szCs w:val="24"/>
    </w:rPr>
  </w:style>
  <w:style w:type="character" w:customStyle="1" w:styleId="author">
    <w:name w:val="author"/>
    <w:basedOn w:val="DefaultParagraphFont"/>
    <w:rsid w:val="00F316A0"/>
  </w:style>
  <w:style w:type="character" w:customStyle="1" w:styleId="pubyear">
    <w:name w:val="pubyear"/>
    <w:basedOn w:val="DefaultParagraphFont"/>
    <w:rsid w:val="00F316A0"/>
  </w:style>
  <w:style w:type="character" w:customStyle="1" w:styleId="name">
    <w:name w:val="name"/>
    <w:basedOn w:val="DefaultParagraphFont"/>
    <w:rsid w:val="00F316A0"/>
  </w:style>
  <w:style w:type="character" w:customStyle="1" w:styleId="surname">
    <w:name w:val="surname"/>
    <w:basedOn w:val="DefaultParagraphFont"/>
    <w:rsid w:val="00F316A0"/>
  </w:style>
  <w:style w:type="character" w:customStyle="1" w:styleId="given-names">
    <w:name w:val="given-names"/>
    <w:basedOn w:val="DefaultParagraphFont"/>
    <w:rsid w:val="00F316A0"/>
  </w:style>
  <w:style w:type="character" w:customStyle="1" w:styleId="article-title">
    <w:name w:val="article-title"/>
    <w:basedOn w:val="DefaultParagraphFont"/>
    <w:rsid w:val="00F316A0"/>
  </w:style>
  <w:style w:type="character" w:customStyle="1" w:styleId="source">
    <w:name w:val="source"/>
    <w:basedOn w:val="DefaultParagraphFont"/>
    <w:rsid w:val="00F316A0"/>
  </w:style>
  <w:style w:type="character" w:customStyle="1" w:styleId="volume">
    <w:name w:val="volume"/>
    <w:basedOn w:val="DefaultParagraphFont"/>
    <w:rsid w:val="00F316A0"/>
  </w:style>
  <w:style w:type="character" w:customStyle="1" w:styleId="year">
    <w:name w:val="year"/>
    <w:basedOn w:val="DefaultParagraphFont"/>
    <w:rsid w:val="00F316A0"/>
  </w:style>
  <w:style w:type="character" w:customStyle="1" w:styleId="fpage">
    <w:name w:val="fpage"/>
    <w:basedOn w:val="DefaultParagraphFont"/>
    <w:rsid w:val="00F316A0"/>
  </w:style>
  <w:style w:type="character" w:customStyle="1" w:styleId="lpage">
    <w:name w:val="lpage"/>
    <w:basedOn w:val="DefaultParagraphFont"/>
    <w:rsid w:val="00F316A0"/>
  </w:style>
  <w:style w:type="character" w:customStyle="1" w:styleId="comment">
    <w:name w:val="comment"/>
    <w:basedOn w:val="DefaultParagraphFont"/>
    <w:rsid w:val="00F316A0"/>
  </w:style>
  <w:style w:type="character" w:customStyle="1" w:styleId="w8qarf">
    <w:name w:val="w8qarf"/>
    <w:basedOn w:val="DefaultParagraphFont"/>
    <w:rsid w:val="00F316A0"/>
  </w:style>
  <w:style w:type="character" w:customStyle="1" w:styleId="lrzxr">
    <w:name w:val="lrzxr"/>
    <w:basedOn w:val="DefaultParagraphFont"/>
    <w:rsid w:val="00F316A0"/>
  </w:style>
  <w:style w:type="character" w:customStyle="1" w:styleId="fontstyle01">
    <w:name w:val="fontstyle01"/>
    <w:basedOn w:val="DefaultParagraphFont"/>
    <w:rsid w:val="00F316A0"/>
    <w:rPr>
      <w:rFonts w:ascii="Times New Roman" w:hAnsi="Times New Roman" w:cs="Times New Roman" w:hint="default"/>
      <w:b w:val="0"/>
      <w:bCs w:val="0"/>
      <w:i w:val="0"/>
      <w:iCs w:val="0"/>
      <w:color w:val="000000"/>
      <w:sz w:val="24"/>
      <w:szCs w:val="24"/>
    </w:rPr>
  </w:style>
  <w:style w:type="paragraph" w:styleId="TOC4">
    <w:name w:val="toc 4"/>
    <w:basedOn w:val="Normal"/>
    <w:next w:val="Normal"/>
    <w:autoRedefine/>
    <w:uiPriority w:val="39"/>
    <w:unhideWhenUsed/>
    <w:rsid w:val="00F316A0"/>
    <w:pPr>
      <w:spacing w:after="100"/>
      <w:ind w:left="660"/>
    </w:pPr>
    <w:rPr>
      <w:rFonts w:eastAsiaTheme="minorEastAsia"/>
    </w:rPr>
  </w:style>
  <w:style w:type="paragraph" w:styleId="TOC5">
    <w:name w:val="toc 5"/>
    <w:basedOn w:val="Normal"/>
    <w:next w:val="Normal"/>
    <w:autoRedefine/>
    <w:uiPriority w:val="39"/>
    <w:unhideWhenUsed/>
    <w:rsid w:val="00F316A0"/>
    <w:pPr>
      <w:spacing w:after="100"/>
      <w:ind w:left="880"/>
    </w:pPr>
    <w:rPr>
      <w:rFonts w:eastAsiaTheme="minorEastAsia"/>
    </w:rPr>
  </w:style>
  <w:style w:type="paragraph" w:styleId="TOC6">
    <w:name w:val="toc 6"/>
    <w:basedOn w:val="Normal"/>
    <w:next w:val="Normal"/>
    <w:autoRedefine/>
    <w:uiPriority w:val="39"/>
    <w:unhideWhenUsed/>
    <w:rsid w:val="00F316A0"/>
    <w:pPr>
      <w:spacing w:after="100"/>
      <w:ind w:left="1100"/>
    </w:pPr>
    <w:rPr>
      <w:rFonts w:eastAsiaTheme="minorEastAsia"/>
    </w:rPr>
  </w:style>
  <w:style w:type="paragraph" w:styleId="TOC7">
    <w:name w:val="toc 7"/>
    <w:basedOn w:val="Normal"/>
    <w:next w:val="Normal"/>
    <w:autoRedefine/>
    <w:uiPriority w:val="39"/>
    <w:unhideWhenUsed/>
    <w:rsid w:val="00F316A0"/>
    <w:pPr>
      <w:spacing w:after="100"/>
      <w:ind w:left="1320"/>
    </w:pPr>
    <w:rPr>
      <w:rFonts w:eastAsiaTheme="minorEastAsia"/>
    </w:rPr>
  </w:style>
  <w:style w:type="paragraph" w:styleId="TOC8">
    <w:name w:val="toc 8"/>
    <w:basedOn w:val="Normal"/>
    <w:next w:val="Normal"/>
    <w:autoRedefine/>
    <w:uiPriority w:val="39"/>
    <w:unhideWhenUsed/>
    <w:rsid w:val="00F316A0"/>
    <w:pPr>
      <w:spacing w:after="100"/>
      <w:ind w:left="1540"/>
    </w:pPr>
    <w:rPr>
      <w:rFonts w:eastAsiaTheme="minorEastAsia"/>
    </w:rPr>
  </w:style>
  <w:style w:type="paragraph" w:styleId="TOC9">
    <w:name w:val="toc 9"/>
    <w:basedOn w:val="Normal"/>
    <w:next w:val="Normal"/>
    <w:autoRedefine/>
    <w:uiPriority w:val="39"/>
    <w:unhideWhenUsed/>
    <w:rsid w:val="00F316A0"/>
    <w:pPr>
      <w:spacing w:after="100"/>
      <w:ind w:left="1760"/>
    </w:pPr>
    <w:rPr>
      <w:rFonts w:eastAsiaTheme="minorEastAsia"/>
    </w:rPr>
  </w:style>
  <w:style w:type="table" w:styleId="LightShading">
    <w:name w:val="Light Shading"/>
    <w:basedOn w:val="TableNormal"/>
    <w:uiPriority w:val="60"/>
    <w:rsid w:val="00F316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316A0"/>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unhideWhenUsed/>
    <w:rsid w:val="00F316A0"/>
    <w:pPr>
      <w:spacing w:after="0"/>
    </w:pPr>
  </w:style>
  <w:style w:type="paragraph" w:customStyle="1" w:styleId="Body">
    <w:name w:val="Body"/>
    <w:basedOn w:val="Normal"/>
    <w:rsid w:val="008F28A0"/>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4666E2"/>
    <w:pPr>
      <w:keepNext/>
      <w:spacing w:after="240" w:line="240" w:lineRule="auto"/>
    </w:pPr>
    <w:rPr>
      <w:rFonts w:ascii="Helvetica" w:eastAsia="Times New Roman" w:hAnsi="Helvetica" w:cs="Times New Roman"/>
      <w:b/>
      <w:caps/>
      <w:szCs w:val="20"/>
    </w:rPr>
  </w:style>
  <w:style w:type="character" w:customStyle="1" w:styleId="UnresolvedMention1">
    <w:name w:val="Unresolved Mention1"/>
    <w:basedOn w:val="DefaultParagraphFont"/>
    <w:uiPriority w:val="99"/>
    <w:semiHidden/>
    <w:unhideWhenUsed/>
    <w:rsid w:val="00F57DD9"/>
    <w:rPr>
      <w:color w:val="605E5C"/>
      <w:shd w:val="clear" w:color="auto" w:fill="E1DFDD"/>
    </w:rPr>
  </w:style>
  <w:style w:type="character" w:styleId="CommentReference">
    <w:name w:val="annotation reference"/>
    <w:basedOn w:val="DefaultParagraphFont"/>
    <w:uiPriority w:val="99"/>
    <w:semiHidden/>
    <w:unhideWhenUsed/>
    <w:rsid w:val="00983F38"/>
    <w:rPr>
      <w:sz w:val="16"/>
      <w:szCs w:val="16"/>
    </w:rPr>
  </w:style>
  <w:style w:type="paragraph" w:styleId="CommentText">
    <w:name w:val="annotation text"/>
    <w:basedOn w:val="Normal"/>
    <w:link w:val="CommentTextChar"/>
    <w:uiPriority w:val="99"/>
    <w:semiHidden/>
    <w:unhideWhenUsed/>
    <w:rsid w:val="00983F38"/>
    <w:pPr>
      <w:spacing w:line="240" w:lineRule="auto"/>
    </w:pPr>
    <w:rPr>
      <w:sz w:val="20"/>
      <w:szCs w:val="20"/>
    </w:rPr>
  </w:style>
  <w:style w:type="character" w:customStyle="1" w:styleId="CommentTextChar">
    <w:name w:val="Comment Text Char"/>
    <w:basedOn w:val="DefaultParagraphFont"/>
    <w:link w:val="CommentText"/>
    <w:uiPriority w:val="99"/>
    <w:semiHidden/>
    <w:rsid w:val="00983F38"/>
    <w:rPr>
      <w:sz w:val="20"/>
      <w:szCs w:val="20"/>
    </w:rPr>
  </w:style>
  <w:style w:type="paragraph" w:styleId="CommentSubject">
    <w:name w:val="annotation subject"/>
    <w:basedOn w:val="CommentText"/>
    <w:next w:val="CommentText"/>
    <w:link w:val="CommentSubjectChar"/>
    <w:uiPriority w:val="99"/>
    <w:semiHidden/>
    <w:unhideWhenUsed/>
    <w:rsid w:val="00983F38"/>
    <w:rPr>
      <w:b/>
      <w:bCs/>
    </w:rPr>
  </w:style>
  <w:style w:type="character" w:customStyle="1" w:styleId="CommentSubjectChar">
    <w:name w:val="Comment Subject Char"/>
    <w:basedOn w:val="CommentTextChar"/>
    <w:link w:val="CommentSubject"/>
    <w:uiPriority w:val="99"/>
    <w:semiHidden/>
    <w:rsid w:val="00983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490189">
      <w:bodyDiv w:val="1"/>
      <w:marLeft w:val="0"/>
      <w:marRight w:val="0"/>
      <w:marTop w:val="0"/>
      <w:marBottom w:val="0"/>
      <w:divBdr>
        <w:top w:val="none" w:sz="0" w:space="0" w:color="auto"/>
        <w:left w:val="none" w:sz="0" w:space="0" w:color="auto"/>
        <w:bottom w:val="none" w:sz="0" w:space="0" w:color="auto"/>
        <w:right w:val="none" w:sz="0" w:space="0" w:color="auto"/>
      </w:divBdr>
    </w:div>
    <w:div w:id="1902908003">
      <w:bodyDiv w:val="1"/>
      <w:marLeft w:val="0"/>
      <w:marRight w:val="0"/>
      <w:marTop w:val="0"/>
      <w:marBottom w:val="0"/>
      <w:divBdr>
        <w:top w:val="none" w:sz="0" w:space="0" w:color="auto"/>
        <w:left w:val="none" w:sz="0" w:space="0" w:color="auto"/>
        <w:bottom w:val="none" w:sz="0" w:space="0" w:color="auto"/>
        <w:right w:val="none" w:sz="0" w:space="0" w:color="auto"/>
      </w:divBdr>
      <w:divsChild>
        <w:div w:id="1131283409">
          <w:marLeft w:val="86"/>
          <w:marRight w:val="0"/>
          <w:marTop w:val="0"/>
          <w:marBottom w:val="0"/>
          <w:divBdr>
            <w:top w:val="none" w:sz="0" w:space="0" w:color="auto"/>
            <w:left w:val="none" w:sz="0" w:space="0" w:color="auto"/>
            <w:bottom w:val="none" w:sz="0" w:space="0" w:color="auto"/>
            <w:right w:val="none" w:sz="0" w:space="0" w:color="auto"/>
          </w:divBdr>
        </w:div>
        <w:div w:id="406271713">
          <w:marLeft w:val="8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est" TargetMode="External"/><Relationship Id="rId13" Type="http://schemas.openxmlformats.org/officeDocument/2006/relationships/hyperlink" Target="https://www.theeastafrican.co.ke/tea/business/uganda-pensio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Non-bank_financial_institution" TargetMode="Externa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tizen.digital/business/kenyans-have-over-ks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s://africabusinesscommunities.com/news/kenya-cma-approves-registration-of-masaru-unit-trust-fund/" TargetMode="Externa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wikipedia.org/wiki/Savings_account" TargetMode="External"/><Relationship Id="rId14" Type="http://schemas.openxmlformats.org/officeDocument/2006/relationships/hyperlink" Target="https://www.theeastafrican.co.ke/tea/business/uganda-pension-fund-weathers-covi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Fixed deposits</a:t>
            </a:r>
          </a:p>
        </c:rich>
      </c:tx>
      <c:layout>
        <c:manualLayout>
          <c:xMode val="edge"/>
          <c:yMode val="edge"/>
          <c:x val="0.41449125677472126"/>
          <c:y val="3.448275862068965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'[Chart in Microsoft Word]Sheet1'!$D$49</c:f>
              <c:strCache>
                <c:ptCount val="1"/>
                <c:pt idx="0">
                  <c:v>Fixed deposits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'[Chart in Microsoft Word]Sheet1'!$C$50:$C$58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'[Chart in Microsoft Word]Sheet1'!$D$50:$D$58</c:f>
              <c:numCache>
                <c:formatCode>General</c:formatCode>
                <c:ptCount val="9"/>
                <c:pt idx="0">
                  <c:v>1.36</c:v>
                </c:pt>
                <c:pt idx="1">
                  <c:v>1.1599999999999999</c:v>
                </c:pt>
                <c:pt idx="2">
                  <c:v>2.25</c:v>
                </c:pt>
                <c:pt idx="3">
                  <c:v>1.04</c:v>
                </c:pt>
                <c:pt idx="4">
                  <c:v>1.44</c:v>
                </c:pt>
                <c:pt idx="5">
                  <c:v>1.25</c:v>
                </c:pt>
                <c:pt idx="6">
                  <c:v>1.85</c:v>
                </c:pt>
                <c:pt idx="7">
                  <c:v>1.17</c:v>
                </c:pt>
                <c:pt idx="8">
                  <c:v>1.34</c:v>
                </c:pt>
              </c:numCache>
            </c:numRef>
          </c:val>
          <c:smooth val="0"/>
          <c:extLst>
            <c:ext xmlns:c16="http://schemas.microsoft.com/office/drawing/2014/chart" uri="{C3380CC4-5D6E-409C-BE32-E72D297353CC}">
              <c16:uniqueId val="{00000000-EC29-4E68-8206-109F51F9F695}"/>
            </c:ext>
          </c:extLst>
        </c:ser>
        <c:dLbls>
          <c:dLblPos val="ctr"/>
          <c:showLegendKey val="0"/>
          <c:showVal val="1"/>
          <c:showCatName val="0"/>
          <c:showSerName val="0"/>
          <c:showPercent val="0"/>
          <c:showBubbleSize val="0"/>
        </c:dLbls>
        <c:marker val="1"/>
        <c:smooth val="0"/>
        <c:axId val="414460536"/>
        <c:axId val="508499424"/>
      </c:lineChart>
      <c:catAx>
        <c:axId val="4144605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Time in Years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08499424"/>
        <c:crosses val="autoZero"/>
        <c:auto val="1"/>
        <c:lblAlgn val="ctr"/>
        <c:lblOffset val="100"/>
        <c:noMultiLvlLbl val="0"/>
      </c:catAx>
      <c:valAx>
        <c:axId val="5084994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Proportion of funds invested in fixed deposits</a:t>
                </a:r>
              </a:p>
            </c:rich>
          </c:tx>
          <c:layout>
            <c:manualLayout>
              <c:xMode val="edge"/>
              <c:yMode val="edge"/>
              <c:x val="2.3682652457075192E-2"/>
              <c:y val="6.9411258937460404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41446053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Fund size trend for selected UTFs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Sheet2!$C$16</c:f>
              <c:strCache>
                <c:ptCount val="1"/>
                <c:pt idx="0">
                  <c:v>Fund size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Sheet2!$B$17:$B$25</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Sheet2!$C$17:$C$25</c:f>
              <c:numCache>
                <c:formatCode>General</c:formatCode>
                <c:ptCount val="9"/>
                <c:pt idx="0">
                  <c:v>1.59</c:v>
                </c:pt>
                <c:pt idx="1">
                  <c:v>1.8</c:v>
                </c:pt>
                <c:pt idx="2">
                  <c:v>1.75</c:v>
                </c:pt>
                <c:pt idx="3">
                  <c:v>1.79</c:v>
                </c:pt>
                <c:pt idx="4">
                  <c:v>1.84</c:v>
                </c:pt>
                <c:pt idx="5">
                  <c:v>1.9</c:v>
                </c:pt>
                <c:pt idx="6">
                  <c:v>1.94</c:v>
                </c:pt>
                <c:pt idx="7">
                  <c:v>2.17</c:v>
                </c:pt>
                <c:pt idx="8">
                  <c:v>2.54</c:v>
                </c:pt>
              </c:numCache>
            </c:numRef>
          </c:val>
          <c:smooth val="0"/>
          <c:extLst>
            <c:ext xmlns:c16="http://schemas.microsoft.com/office/drawing/2014/chart" uri="{C3380CC4-5D6E-409C-BE32-E72D297353CC}">
              <c16:uniqueId val="{00000000-6D9A-4514-8BAA-F316DAEF1187}"/>
            </c:ext>
          </c:extLst>
        </c:ser>
        <c:dLbls>
          <c:dLblPos val="ctr"/>
          <c:showLegendKey val="0"/>
          <c:showVal val="1"/>
          <c:showCatName val="0"/>
          <c:showSerName val="0"/>
          <c:showPercent val="0"/>
          <c:showBubbleSize val="0"/>
        </c:dLbls>
        <c:marker val="1"/>
        <c:smooth val="0"/>
        <c:axId val="508500600"/>
        <c:axId val="508499816"/>
      </c:lineChart>
      <c:catAx>
        <c:axId val="5085006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Time in Years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08499816"/>
        <c:crosses val="autoZero"/>
        <c:auto val="1"/>
        <c:lblAlgn val="ctr"/>
        <c:lblOffset val="100"/>
        <c:noMultiLvlLbl val="0"/>
      </c:catAx>
      <c:valAx>
        <c:axId val="508499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Ln (Total assets)</a:t>
                </a:r>
              </a:p>
            </c:rich>
          </c:tx>
          <c:layout>
            <c:manualLayout>
              <c:xMode val="edge"/>
              <c:yMode val="edge"/>
              <c:x val="2.1352313167259787E-2"/>
              <c:y val="3.6930468437208076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5085006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Sheet1!$D$49</c:f>
              <c:strCache>
                <c:ptCount val="1"/>
                <c:pt idx="0">
                  <c:v>Performance of UTFs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Sheet1!$C$50:$C$58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Sheet1!$D$50:$D$58</c:f>
              <c:numCache>
                <c:formatCode>General</c:formatCode>
                <c:ptCount val="9"/>
                <c:pt idx="0">
                  <c:v>0.93</c:v>
                </c:pt>
                <c:pt idx="1">
                  <c:v>0.89</c:v>
                </c:pt>
                <c:pt idx="2">
                  <c:v>1.06</c:v>
                </c:pt>
                <c:pt idx="3">
                  <c:v>0.89</c:v>
                </c:pt>
                <c:pt idx="4">
                  <c:v>0.41</c:v>
                </c:pt>
                <c:pt idx="5">
                  <c:v>0.42</c:v>
                </c:pt>
                <c:pt idx="6">
                  <c:v>1.51</c:v>
                </c:pt>
                <c:pt idx="7">
                  <c:v>1.1100000000000001</c:v>
                </c:pt>
                <c:pt idx="8">
                  <c:v>1.1000000000000001</c:v>
                </c:pt>
              </c:numCache>
            </c:numRef>
          </c:val>
          <c:smooth val="0"/>
          <c:extLst>
            <c:ext xmlns:c16="http://schemas.microsoft.com/office/drawing/2014/chart" uri="{C3380CC4-5D6E-409C-BE32-E72D297353CC}">
              <c16:uniqueId val="{00000000-6418-423F-9325-FB3DD7E6B871}"/>
            </c:ext>
          </c:extLst>
        </c:ser>
        <c:dLbls>
          <c:dLblPos val="ctr"/>
          <c:showLegendKey val="0"/>
          <c:showVal val="1"/>
          <c:showCatName val="0"/>
          <c:showSerName val="0"/>
          <c:showPercent val="0"/>
          <c:showBubbleSize val="0"/>
        </c:dLbls>
        <c:marker val="1"/>
        <c:smooth val="0"/>
        <c:axId val="508497464"/>
        <c:axId val="508497856"/>
      </c:lineChart>
      <c:catAx>
        <c:axId val="50849746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Time in Years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08497856"/>
        <c:crosses val="autoZero"/>
        <c:auto val="1"/>
        <c:lblAlgn val="ctr"/>
        <c:lblOffset val="100"/>
        <c:noMultiLvlLbl val="0"/>
      </c:catAx>
      <c:valAx>
        <c:axId val="5084978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Proportion of return on a security</a:t>
                </a:r>
              </a:p>
            </c:rich>
          </c:tx>
          <c:layout>
            <c:manualLayout>
              <c:xMode val="edge"/>
              <c:yMode val="edge"/>
              <c:x val="2.6097181330594545E-2"/>
              <c:y val="6.6679688294777106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5084974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14</Pages>
  <Words>6682</Words>
  <Characters>38093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Editor-1183</cp:lastModifiedBy>
  <cp:revision>11</cp:revision>
  <dcterms:created xsi:type="dcterms:W3CDTF">2026-01-23T11:39:00Z</dcterms:created>
  <dcterms:modified xsi:type="dcterms:W3CDTF">2026-01-31T09:46:00Z</dcterms:modified>
</cp:coreProperties>
</file>