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8529E" w:rsidRDefault="00962DB2">
      <w:pPr>
        <w:jc w:val="right"/>
        <w:rPr>
          <w:rFonts w:ascii="Arial" w:eastAsia="Arial" w:hAnsi="Arial" w:cs="Arial"/>
          <w:sz w:val="24"/>
          <w:szCs w:val="24"/>
        </w:rPr>
      </w:pPr>
      <w:r>
        <w:rPr>
          <w:rFonts w:ascii="Arial" w:eastAsia="Arial" w:hAnsi="Arial" w:cs="Arial"/>
        </w:rPr>
        <w:t xml:space="preserve">Evaluating the Awareness, Knowledge, and Perception of </w:t>
      </w:r>
      <w:proofErr w:type="spellStart"/>
      <w:r>
        <w:rPr>
          <w:rFonts w:ascii="Arial" w:eastAsia="Arial" w:hAnsi="Arial" w:cs="Arial"/>
        </w:rPr>
        <w:t>Photobiomodulation</w:t>
      </w:r>
      <w:proofErr w:type="spellEnd"/>
      <w:r>
        <w:rPr>
          <w:rFonts w:ascii="Arial" w:eastAsia="Arial" w:hAnsi="Arial" w:cs="Arial"/>
        </w:rPr>
        <w:t xml:space="preserve"> Therapy Among Dental Professionals: A Cross‑Sectional Survey</w:t>
      </w:r>
    </w:p>
    <w:p w:rsidR="00B8529E" w:rsidRDefault="00962DB2">
      <w:pPr>
        <w:rPr>
          <w:rFonts w:ascii="Arial" w:eastAsia="Arial" w:hAnsi="Arial" w:cs="Arial"/>
          <w:b/>
          <w:bCs/>
        </w:rPr>
      </w:pPr>
      <w:r>
        <w:rPr>
          <w:rFonts w:ascii="Arial" w:eastAsia="Arial" w:hAnsi="Arial" w:cs="Arial"/>
          <w:b/>
          <w:bCs/>
        </w:rPr>
        <w:t>ABSTRACT</w:t>
      </w:r>
    </w:p>
    <w:p w:rsidR="00B8529E" w:rsidRDefault="00B8529E">
      <w:pPr>
        <w:jc w:val="right"/>
        <w:rPr>
          <w:rFonts w:ascii="Arial" w:eastAsia="Arial" w:hAnsi="Arial" w:cs="Arial"/>
        </w:rPr>
      </w:pPr>
    </w:p>
    <w:tbl>
      <w:tblPr>
        <w:tblStyle w:val="a"/>
        <w:tblpPr w:leftFromText="180" w:rightFromText="180" w:topFromText="180" w:bottomFromText="180" w:vertAnchor="text" w:tblpX="-30"/>
        <w:tblW w:w="86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B8529E">
        <w:tc>
          <w:tcPr>
            <w:tcW w:w="8640" w:type="dxa"/>
          </w:tcPr>
          <w:p w:rsidR="00B8529E" w:rsidRDefault="00962DB2">
            <w:pPr>
              <w:rPr>
                <w:rFonts w:ascii="Arial" w:eastAsia="Arial" w:hAnsi="Arial" w:cs="Arial"/>
              </w:rPr>
            </w:pPr>
            <w:r>
              <w:rPr>
                <w:rFonts w:ascii="Arial" w:eastAsia="Arial" w:hAnsi="Arial" w:cs="Arial"/>
                <w:b/>
                <w:bCs/>
              </w:rPr>
              <w:t>Background:</w:t>
            </w:r>
            <w:r>
              <w:rPr>
                <w:rFonts w:ascii="Arial" w:eastAsia="Arial" w:hAnsi="Arial" w:cs="Arial"/>
                <w:b/>
                <w:bCs/>
              </w:rPr>
              <w:br/>
              <w:t xml:space="preserve"> </w:t>
            </w:r>
            <w:proofErr w:type="spellStart"/>
            <w:r>
              <w:rPr>
                <w:rFonts w:ascii="Arial" w:eastAsia="Arial" w:hAnsi="Arial" w:cs="Arial"/>
              </w:rPr>
              <w:t>Photobiomodulation</w:t>
            </w:r>
            <w:proofErr w:type="spellEnd"/>
            <w:r>
              <w:rPr>
                <w:rFonts w:ascii="Arial" w:eastAsia="Arial" w:hAnsi="Arial" w:cs="Arial"/>
              </w:rPr>
              <w:t xml:space="preserve"> (PBM) therapy has gained increasing attention in dentistry due to its potential benefits in pain management, inflammation control, and enhancement of wound healing. Despite its expanding clinical applications, the level of awareness and understanding amon</w:t>
            </w:r>
            <w:r>
              <w:rPr>
                <w:rFonts w:ascii="Arial" w:eastAsia="Arial" w:hAnsi="Arial" w:cs="Arial"/>
              </w:rPr>
              <w:t>g dental professionals remains variable.</w:t>
            </w:r>
          </w:p>
          <w:p w:rsidR="00B8529E" w:rsidRDefault="00962DB2">
            <w:pPr>
              <w:spacing w:before="240" w:after="240"/>
              <w:rPr>
                <w:rFonts w:ascii="Arial" w:eastAsia="Arial" w:hAnsi="Arial" w:cs="Arial"/>
              </w:rPr>
            </w:pPr>
            <w:r>
              <w:rPr>
                <w:rFonts w:ascii="Arial" w:eastAsia="Arial" w:hAnsi="Arial" w:cs="Arial"/>
                <w:b/>
                <w:bCs/>
              </w:rPr>
              <w:t>Aim:</w:t>
            </w:r>
            <w:r>
              <w:rPr>
                <w:rFonts w:ascii="Arial" w:eastAsia="Arial" w:hAnsi="Arial" w:cs="Arial"/>
                <w:b/>
                <w:bCs/>
              </w:rPr>
              <w:br/>
              <w:t xml:space="preserve"> </w:t>
            </w:r>
            <w:r>
              <w:rPr>
                <w:rFonts w:ascii="Arial" w:eastAsia="Arial" w:hAnsi="Arial" w:cs="Arial"/>
              </w:rPr>
              <w:t>To evaluate the awareness, knowledge, and perception of PBM therapy among dental practitioners.</w:t>
            </w:r>
          </w:p>
          <w:p w:rsidR="00B8529E" w:rsidRDefault="00962DB2">
            <w:pPr>
              <w:spacing w:before="240" w:after="240"/>
              <w:rPr>
                <w:rFonts w:ascii="Arial" w:eastAsia="Arial" w:hAnsi="Arial" w:cs="Arial"/>
              </w:rPr>
            </w:pPr>
            <w:r>
              <w:rPr>
                <w:rFonts w:ascii="Arial" w:eastAsia="Arial" w:hAnsi="Arial" w:cs="Arial"/>
                <w:b/>
                <w:bCs/>
              </w:rPr>
              <w:t>Materials and Methods:</w:t>
            </w:r>
            <w:r>
              <w:rPr>
                <w:rFonts w:ascii="Arial" w:eastAsia="Arial" w:hAnsi="Arial" w:cs="Arial"/>
                <w:b/>
                <w:bCs/>
              </w:rPr>
              <w:br/>
            </w:r>
            <w:r>
              <w:rPr>
                <w:rFonts w:ascii="Arial" w:eastAsia="Arial" w:hAnsi="Arial" w:cs="Arial"/>
              </w:rPr>
              <w:t xml:space="preserve"> A cross-sectional questionnaire-based survey was conducted among 78 dental professionals.</w:t>
            </w:r>
            <w:r>
              <w:rPr>
                <w:rFonts w:ascii="Arial" w:eastAsia="Arial" w:hAnsi="Arial" w:cs="Arial"/>
              </w:rPr>
              <w:t xml:space="preserve"> The questionnaire assessed participants’ familiarity, knowledge level, and perception regarding PBM therapy in dental practice. The collected data were analyzed using descriptive statistics, and the association between variables was evaluated using the Ch</w:t>
            </w:r>
            <w:r>
              <w:rPr>
                <w:rFonts w:ascii="Arial" w:eastAsia="Arial" w:hAnsi="Arial" w:cs="Arial"/>
              </w:rPr>
              <w:t>i-square test with a significance level set at p &lt; 0.05.</w:t>
            </w:r>
          </w:p>
          <w:p w:rsidR="00B8529E" w:rsidRDefault="00962DB2">
            <w:pPr>
              <w:spacing w:before="240" w:after="240"/>
              <w:rPr>
                <w:rFonts w:ascii="Arial" w:eastAsia="Arial" w:hAnsi="Arial" w:cs="Arial"/>
              </w:rPr>
            </w:pPr>
            <w:r>
              <w:rPr>
                <w:rFonts w:ascii="Arial" w:eastAsia="Arial" w:hAnsi="Arial" w:cs="Arial"/>
                <w:b/>
                <w:bCs/>
              </w:rPr>
              <w:t>Results:</w:t>
            </w:r>
            <w:r>
              <w:rPr>
                <w:rFonts w:ascii="Arial" w:eastAsia="Arial" w:hAnsi="Arial" w:cs="Arial"/>
                <w:b/>
                <w:bCs/>
              </w:rPr>
              <w:br/>
            </w:r>
            <w:r>
              <w:rPr>
                <w:rFonts w:ascii="Arial" w:eastAsia="Arial" w:hAnsi="Arial" w:cs="Arial"/>
              </w:rPr>
              <w:t xml:space="preserve"> Among the participants, 73.1% reported being aware of PBM therapy. The average knowledge score was 51.3%, indicating a moderate level of scientific understanding. A statistically significan</w:t>
            </w:r>
            <w:r>
              <w:rPr>
                <w:rFonts w:ascii="Arial" w:eastAsia="Arial" w:hAnsi="Arial" w:cs="Arial"/>
              </w:rPr>
              <w:t>t association was observed between professional qualification and prior awareness of PBM therapy (p = 0.037). Additionally, a majority of respondents expressed willingness to incorporate PBM therapy into clinical practice if appropriate training and guidan</w:t>
            </w:r>
            <w:r>
              <w:rPr>
                <w:rFonts w:ascii="Arial" w:eastAsia="Arial" w:hAnsi="Arial" w:cs="Arial"/>
              </w:rPr>
              <w:t>ce were provided.</w:t>
            </w:r>
          </w:p>
          <w:p w:rsidR="00B8529E" w:rsidRDefault="00962DB2">
            <w:pPr>
              <w:spacing w:before="240" w:after="240"/>
              <w:rPr>
                <w:rFonts w:ascii="Arial" w:eastAsia="Arial" w:hAnsi="Arial" w:cs="Arial"/>
              </w:rPr>
            </w:pPr>
            <w:r>
              <w:rPr>
                <w:rFonts w:ascii="Arial" w:eastAsia="Arial" w:hAnsi="Arial" w:cs="Arial"/>
                <w:b/>
                <w:bCs/>
              </w:rPr>
              <w:t>Conclusion:</w:t>
            </w:r>
            <w:r>
              <w:rPr>
                <w:rFonts w:ascii="Arial" w:eastAsia="Arial" w:hAnsi="Arial" w:cs="Arial"/>
                <w:b/>
                <w:bCs/>
              </w:rPr>
              <w:br/>
              <w:t xml:space="preserve"> </w:t>
            </w:r>
            <w:r>
              <w:rPr>
                <w:rFonts w:ascii="Arial" w:eastAsia="Arial" w:hAnsi="Arial" w:cs="Arial"/>
              </w:rPr>
              <w:t>Although general awareness of PBM therapy among dental practitioners appears satisfactory, the depth of scientific knowledge remains moderate. Strengthening educational programs and structured training initiatives may help en</w:t>
            </w:r>
            <w:r>
              <w:rPr>
                <w:rFonts w:ascii="Arial" w:eastAsia="Arial" w:hAnsi="Arial" w:cs="Arial"/>
              </w:rPr>
              <w:t>hance understanding and facilitate the effective integration of PBM therapy into routine dental practice.</w:t>
            </w:r>
          </w:p>
          <w:p w:rsidR="00B8529E" w:rsidRDefault="00B8529E">
            <w:pPr>
              <w:widowControl w:val="0"/>
              <w:spacing w:after="0" w:line="240" w:lineRule="auto"/>
              <w:rPr>
                <w:rFonts w:ascii="Arial" w:eastAsia="Arial" w:hAnsi="Arial" w:cs="Arial"/>
              </w:rPr>
            </w:pPr>
          </w:p>
        </w:tc>
      </w:tr>
    </w:tbl>
    <w:p w:rsidR="00B8529E" w:rsidRDefault="00962DB2">
      <w:pPr>
        <w:rPr>
          <w:rFonts w:ascii="Arial" w:eastAsia="Arial" w:hAnsi="Arial" w:cs="Arial"/>
          <w:i/>
          <w:iCs/>
        </w:rPr>
      </w:pPr>
      <w:r>
        <w:rPr>
          <w:rFonts w:ascii="Arial" w:eastAsia="Arial" w:hAnsi="Arial" w:cs="Arial"/>
          <w:i/>
          <w:iCs/>
        </w:rPr>
        <w:t xml:space="preserve">Keywords: </w:t>
      </w:r>
      <w:proofErr w:type="spellStart"/>
      <w:r>
        <w:rPr>
          <w:rFonts w:ascii="Arial" w:eastAsia="Arial" w:hAnsi="Arial" w:cs="Arial"/>
          <w:i/>
          <w:iCs/>
        </w:rPr>
        <w:t>Photobiomodulation</w:t>
      </w:r>
      <w:proofErr w:type="spellEnd"/>
      <w:r>
        <w:rPr>
          <w:rFonts w:ascii="Arial" w:eastAsia="Arial" w:hAnsi="Arial" w:cs="Arial"/>
          <w:i/>
          <w:iCs/>
        </w:rPr>
        <w:t>; Low-level laser therapy; Periodontics; Dental education; Cross-sectional study</w:t>
      </w:r>
    </w:p>
    <w:p w:rsidR="00E24BDA" w:rsidRDefault="00E24BDA">
      <w:pPr>
        <w:rPr>
          <w:rFonts w:ascii="Arial" w:eastAsia="Arial" w:hAnsi="Arial" w:cs="Arial"/>
          <w:i/>
          <w:iCs/>
        </w:rPr>
      </w:pPr>
    </w:p>
    <w:p w:rsidR="00B8529E" w:rsidRDefault="00962DB2">
      <w:pPr>
        <w:rPr>
          <w:rFonts w:ascii="Arial" w:eastAsia="Arial" w:hAnsi="Arial" w:cs="Arial"/>
          <w:b/>
          <w:bCs/>
          <w:sz w:val="24"/>
          <w:szCs w:val="24"/>
        </w:rPr>
      </w:pPr>
      <w:r>
        <w:rPr>
          <w:rFonts w:ascii="Arial" w:eastAsia="Arial" w:hAnsi="Arial" w:cs="Arial"/>
          <w:b/>
          <w:bCs/>
        </w:rPr>
        <w:lastRenderedPageBreak/>
        <w:t>1.INTRODUCTION</w:t>
      </w:r>
    </w:p>
    <w:p w:rsidR="00B8529E" w:rsidRDefault="00962DB2">
      <w:pPr>
        <w:pBdr>
          <w:top w:val="nil"/>
          <w:left w:val="nil"/>
          <w:bottom w:val="nil"/>
          <w:right w:val="nil"/>
          <w:between w:val="nil"/>
        </w:pBdr>
        <w:spacing w:before="280" w:after="280" w:line="360" w:lineRule="auto"/>
        <w:rPr>
          <w:rFonts w:ascii="Arial" w:eastAsia="Arial" w:hAnsi="Arial" w:cs="Arial"/>
          <w:color w:val="000000"/>
        </w:rPr>
      </w:pPr>
      <w:proofErr w:type="spellStart"/>
      <w:r>
        <w:rPr>
          <w:rFonts w:ascii="Arial" w:eastAsia="Arial" w:hAnsi="Arial" w:cs="Arial"/>
          <w:color w:val="000000"/>
        </w:rPr>
        <w:t>Photobiomodulation</w:t>
      </w:r>
      <w:proofErr w:type="spellEnd"/>
      <w:r>
        <w:rPr>
          <w:rFonts w:ascii="Arial" w:eastAsia="Arial" w:hAnsi="Arial" w:cs="Arial"/>
          <w:color w:val="000000"/>
        </w:rPr>
        <w:t xml:space="preserve"> (PBM) therapy is a non-invasive treatment modality that employs low-level red and near-infrared light to influence cellular activity and promote biological responses within tissues [1,2]. Unlike high-intensity lasers used for surgical procedures, PBM deli</w:t>
      </w:r>
      <w:r>
        <w:rPr>
          <w:rFonts w:ascii="Arial" w:eastAsia="Arial" w:hAnsi="Arial" w:cs="Arial"/>
          <w:color w:val="000000"/>
        </w:rPr>
        <w:t>vers light at low energy levels that trigger photochemical reactions rather than thermal damage. At the cellular level, light photons are absorbed by mitochondrial chromophores, particularly cytochrome c oxidase, which enhances mitochondrial respiration an</w:t>
      </w:r>
      <w:r>
        <w:rPr>
          <w:rFonts w:ascii="Arial" w:eastAsia="Arial" w:hAnsi="Arial" w:cs="Arial"/>
          <w:color w:val="000000"/>
        </w:rPr>
        <w:t>d increases the production of adenosine triphosphate (ATP) [2]. This increase in cellular energy supports various biological processes, including tissue repair, modulation of inflammatory pathways, and improved cellular proliferation.</w:t>
      </w:r>
    </w:p>
    <w:p w:rsidR="00B8529E" w:rsidRDefault="00962DB2">
      <w:pPr>
        <w:pBdr>
          <w:top w:val="nil"/>
          <w:left w:val="nil"/>
          <w:bottom w:val="nil"/>
          <w:right w:val="nil"/>
          <w:between w:val="nil"/>
        </w:pBdr>
        <w:spacing w:before="280" w:after="280" w:line="360" w:lineRule="auto"/>
        <w:rPr>
          <w:rFonts w:ascii="Arial" w:eastAsia="Arial" w:hAnsi="Arial" w:cs="Arial"/>
          <w:color w:val="000000"/>
        </w:rPr>
      </w:pPr>
      <w:r>
        <w:rPr>
          <w:rFonts w:ascii="Arial" w:eastAsia="Arial" w:hAnsi="Arial" w:cs="Arial"/>
          <w:color w:val="000000"/>
        </w:rPr>
        <w:t>In the field of denti</w:t>
      </w:r>
      <w:r>
        <w:rPr>
          <w:rFonts w:ascii="Arial" w:eastAsia="Arial" w:hAnsi="Arial" w:cs="Arial"/>
          <w:color w:val="000000"/>
        </w:rPr>
        <w:t>stry, PBM has attracted growing interest because of its potential therapeutic applications. Research has indicated that PBM may help reduce postoperative pain, minimize inflammatory responses, and accelerate wound healing following dental procedures [3–6].</w:t>
      </w:r>
      <w:r>
        <w:rPr>
          <w:rFonts w:ascii="Arial" w:eastAsia="Arial" w:hAnsi="Arial" w:cs="Arial"/>
          <w:color w:val="000000"/>
        </w:rPr>
        <w:t xml:space="preserve"> In addition, it has been explored in the management of several oral conditions such as oral mucositis, temporomandibular joint disorders, dentinal hypersensitivity, and nerve injuries. PBM has also been investigated as an adjunctive approach in periodonta</w:t>
      </w:r>
      <w:r>
        <w:rPr>
          <w:rFonts w:ascii="Arial" w:eastAsia="Arial" w:hAnsi="Arial" w:cs="Arial"/>
          <w:color w:val="000000"/>
        </w:rPr>
        <w:t>l therapy, where it may enhance tissue healing and improve clinical outcomes when combined with conventional periodontal treatment.</w:t>
      </w:r>
    </w:p>
    <w:p w:rsidR="00B8529E" w:rsidRDefault="00962DB2">
      <w:pPr>
        <w:pBdr>
          <w:top w:val="nil"/>
          <w:left w:val="nil"/>
          <w:bottom w:val="nil"/>
          <w:right w:val="nil"/>
          <w:between w:val="nil"/>
        </w:pBdr>
        <w:spacing w:before="280" w:after="280" w:line="360" w:lineRule="auto"/>
        <w:rPr>
          <w:rFonts w:ascii="Arial" w:eastAsia="Arial" w:hAnsi="Arial" w:cs="Arial"/>
          <w:color w:val="000000"/>
        </w:rPr>
      </w:pPr>
      <w:r>
        <w:rPr>
          <w:rFonts w:ascii="Arial" w:eastAsia="Arial" w:hAnsi="Arial" w:cs="Arial"/>
          <w:color w:val="000000"/>
        </w:rPr>
        <w:t>Several systematic reviews have highlighted the positive role of PBM in periodontal therapy, reporting improvements in tissu</w:t>
      </w:r>
      <w:r>
        <w:rPr>
          <w:rFonts w:ascii="Arial" w:eastAsia="Arial" w:hAnsi="Arial" w:cs="Arial"/>
          <w:color w:val="000000"/>
        </w:rPr>
        <w:t>e healing and patient comfort [4,6,8]. Despite these promising findings, the routine use of PBM in dental practice is still not widespread. One of the important factors influencing its clinical implementation is the level of awareness, knowledge, and perce</w:t>
      </w:r>
      <w:r>
        <w:rPr>
          <w:rFonts w:ascii="Arial" w:eastAsia="Arial" w:hAnsi="Arial" w:cs="Arial"/>
          <w:color w:val="000000"/>
        </w:rPr>
        <w:t>ption among dental professionals regarding this technology.</w:t>
      </w:r>
    </w:p>
    <w:p w:rsidR="00B8529E" w:rsidRDefault="00962DB2">
      <w:r>
        <w:t xml:space="preserve">Recent studies have further demonstrated the expanding role of </w:t>
      </w:r>
      <w:proofErr w:type="spellStart"/>
      <w:r>
        <w:t>photobiomodulation</w:t>
      </w:r>
      <w:proofErr w:type="spellEnd"/>
      <w:r>
        <w:t xml:space="preserve"> in regenerative dentistry, periodontal therapy, and pain reduction, reinforcing its clinical relevance [21–25].</w:t>
      </w:r>
    </w:p>
    <w:p w:rsidR="00B8529E" w:rsidRDefault="00962DB2">
      <w:pPr>
        <w:pBdr>
          <w:top w:val="nil"/>
          <w:left w:val="nil"/>
          <w:bottom w:val="nil"/>
          <w:right w:val="nil"/>
          <w:between w:val="nil"/>
        </w:pBdr>
        <w:spacing w:before="280" w:after="280" w:line="360" w:lineRule="auto"/>
        <w:rPr>
          <w:rFonts w:ascii="Arial" w:eastAsia="Arial" w:hAnsi="Arial" w:cs="Arial"/>
          <w:color w:val="000000"/>
        </w:rPr>
      </w:pPr>
      <w:r>
        <w:rPr>
          <w:rFonts w:ascii="Arial" w:eastAsia="Arial" w:hAnsi="Arial" w:cs="Arial"/>
          <w:color w:val="000000"/>
        </w:rPr>
        <w:t>Th</w:t>
      </w:r>
      <w:r>
        <w:rPr>
          <w:rFonts w:ascii="Arial" w:eastAsia="Arial" w:hAnsi="Arial" w:cs="Arial"/>
          <w:color w:val="000000"/>
        </w:rPr>
        <w:t xml:space="preserve">erefore, the present study aimed to evaluate the awareness, knowledge, and perception of </w:t>
      </w:r>
      <w:proofErr w:type="spellStart"/>
      <w:r>
        <w:rPr>
          <w:rFonts w:ascii="Arial" w:eastAsia="Arial" w:hAnsi="Arial" w:cs="Arial"/>
          <w:color w:val="000000"/>
        </w:rPr>
        <w:t>photobiomodulation</w:t>
      </w:r>
      <w:proofErr w:type="spellEnd"/>
      <w:r>
        <w:rPr>
          <w:rFonts w:ascii="Arial" w:eastAsia="Arial" w:hAnsi="Arial" w:cs="Arial"/>
          <w:color w:val="000000"/>
        </w:rPr>
        <w:t xml:space="preserve"> therapy among dental professionals.</w:t>
      </w:r>
    </w:p>
    <w:p w:rsidR="00B8529E" w:rsidRDefault="00962DB2">
      <w:pPr>
        <w:rPr>
          <w:rFonts w:ascii="Arial" w:eastAsia="Arial" w:hAnsi="Arial" w:cs="Arial"/>
        </w:rPr>
      </w:pPr>
      <w:r>
        <w:rPr>
          <w:rFonts w:ascii="Arial" w:eastAsia="Arial" w:hAnsi="Arial" w:cs="Arial"/>
          <w:b/>
          <w:bCs/>
        </w:rPr>
        <w:br/>
        <w:t>2. MATERIALS AND METHODS</w:t>
      </w:r>
      <w:r>
        <w:rPr>
          <w:rFonts w:ascii="Arial" w:eastAsia="Arial" w:hAnsi="Arial" w:cs="Arial"/>
          <w:b/>
          <w:bCs/>
        </w:rPr>
        <w:br/>
      </w:r>
      <w:r>
        <w:rPr>
          <w:rFonts w:ascii="Arial" w:eastAsia="Arial" w:hAnsi="Arial" w:cs="Arial"/>
          <w:b/>
          <w:bCs/>
        </w:rPr>
        <w:lastRenderedPageBreak/>
        <w:br/>
        <w:t>2.1 Study Design and Setting</w:t>
      </w:r>
      <w:r>
        <w:rPr>
          <w:rFonts w:ascii="Arial" w:eastAsia="Arial" w:hAnsi="Arial" w:cs="Arial"/>
          <w:b/>
          <w:bCs/>
        </w:rPr>
        <w:br/>
      </w:r>
      <w:r>
        <w:rPr>
          <w:rFonts w:ascii="Arial" w:eastAsia="Arial" w:hAnsi="Arial" w:cs="Arial"/>
        </w:rPr>
        <w:t>The present study was designed as a descriptive cross‑se</w:t>
      </w:r>
      <w:r>
        <w:rPr>
          <w:rFonts w:ascii="Arial" w:eastAsia="Arial" w:hAnsi="Arial" w:cs="Arial"/>
        </w:rPr>
        <w:t xml:space="preserve">ctional questionnaire‑based survey aimed at evaluating the awareness, knowledge, and perception of </w:t>
      </w:r>
      <w:proofErr w:type="spellStart"/>
      <w:r>
        <w:rPr>
          <w:rFonts w:ascii="Arial" w:eastAsia="Arial" w:hAnsi="Arial" w:cs="Arial"/>
        </w:rPr>
        <w:t>photobiomodulation</w:t>
      </w:r>
      <w:proofErr w:type="spellEnd"/>
      <w:r>
        <w:rPr>
          <w:rFonts w:ascii="Arial" w:eastAsia="Arial" w:hAnsi="Arial" w:cs="Arial"/>
        </w:rPr>
        <w:t xml:space="preserve"> (PBM) therapy among dental professionals. The study was conducted among dental practitioners associated with private practice, academic in</w:t>
      </w:r>
      <w:r>
        <w:rPr>
          <w:rFonts w:ascii="Arial" w:eastAsia="Arial" w:hAnsi="Arial" w:cs="Arial"/>
        </w:rPr>
        <w:t>stitutions, and government dental services. The research design followed the recommendations of the STROBE (Strengthening the Reporting of Observational Studies in Epidemiology) guidelines for cross‑sectional studies.</w:t>
      </w:r>
      <w:r>
        <w:rPr>
          <w:rFonts w:ascii="Arial" w:eastAsia="Arial" w:hAnsi="Arial" w:cs="Arial"/>
          <w:b/>
          <w:bCs/>
        </w:rPr>
        <w:br/>
      </w:r>
      <w:r>
        <w:rPr>
          <w:rFonts w:ascii="Arial" w:eastAsia="Arial" w:hAnsi="Arial" w:cs="Arial"/>
          <w:b/>
          <w:bCs/>
        </w:rPr>
        <w:br/>
        <w:t>2.2 Study Population and Sampling</w:t>
      </w:r>
      <w:r>
        <w:rPr>
          <w:rFonts w:ascii="Arial" w:eastAsia="Arial" w:hAnsi="Arial" w:cs="Arial"/>
          <w:b/>
          <w:bCs/>
        </w:rPr>
        <w:br/>
      </w:r>
      <w:r>
        <w:rPr>
          <w:rFonts w:ascii="Arial" w:eastAsia="Arial" w:hAnsi="Arial" w:cs="Arial"/>
        </w:rPr>
        <w:t>The</w:t>
      </w:r>
      <w:r>
        <w:rPr>
          <w:rFonts w:ascii="Arial" w:eastAsia="Arial" w:hAnsi="Arial" w:cs="Arial"/>
        </w:rPr>
        <w:t xml:space="preserve"> study population consisted of dental professionals including Bachelor of Dental Surgery (BDS) graduates, Master of Dental Surgery (MDS) specialists, and dentists with doctoral or postdoctoral qualifications who were actively involved in clinical practice </w:t>
      </w:r>
      <w:r>
        <w:rPr>
          <w:rFonts w:ascii="Arial" w:eastAsia="Arial" w:hAnsi="Arial" w:cs="Arial"/>
        </w:rPr>
        <w:t>or teaching. Participants were recruited through conventional non‑probability sampling.</w:t>
      </w:r>
      <w:r>
        <w:rPr>
          <w:rFonts w:ascii="Arial" w:eastAsia="Arial" w:hAnsi="Arial" w:cs="Arial"/>
        </w:rPr>
        <w:br/>
      </w:r>
      <w:r>
        <w:rPr>
          <w:rFonts w:ascii="Arial" w:eastAsia="Arial" w:hAnsi="Arial" w:cs="Arial"/>
          <w:b/>
          <w:bCs/>
        </w:rPr>
        <w:br/>
      </w:r>
      <w:r>
        <w:rPr>
          <w:rFonts w:ascii="Arial" w:eastAsia="Arial" w:hAnsi="Arial" w:cs="Arial"/>
        </w:rPr>
        <w:t>A total of 78 dental professionals voluntarily participated in the study after meeting the predefined inclusion criteria.</w:t>
      </w:r>
      <w:r>
        <w:rPr>
          <w:rFonts w:ascii="Arial" w:eastAsia="Arial" w:hAnsi="Arial" w:cs="Arial"/>
        </w:rPr>
        <w:br/>
      </w:r>
      <w:r>
        <w:rPr>
          <w:rFonts w:ascii="Arial" w:eastAsia="Arial" w:hAnsi="Arial" w:cs="Arial"/>
        </w:rPr>
        <w:br/>
        <w:t>Inclusion Criteria</w:t>
      </w:r>
      <w:r>
        <w:rPr>
          <w:rFonts w:ascii="Arial" w:eastAsia="Arial" w:hAnsi="Arial" w:cs="Arial"/>
        </w:rPr>
        <w:br/>
        <w:t>• Licensed dental practit</w:t>
      </w:r>
      <w:r>
        <w:rPr>
          <w:rFonts w:ascii="Arial" w:eastAsia="Arial" w:hAnsi="Arial" w:cs="Arial"/>
        </w:rPr>
        <w:t xml:space="preserve">ioners currently practicing dentistry  </w:t>
      </w:r>
      <w:r>
        <w:rPr>
          <w:rFonts w:ascii="Arial" w:eastAsia="Arial" w:hAnsi="Arial" w:cs="Arial"/>
        </w:rPr>
        <w:br/>
        <w:t xml:space="preserve">• Dental professionals involved in academic or clinical practice  </w:t>
      </w:r>
      <w:r>
        <w:rPr>
          <w:rFonts w:ascii="Arial" w:eastAsia="Arial" w:hAnsi="Arial" w:cs="Arial"/>
        </w:rPr>
        <w:br/>
        <w:t xml:space="preserve">• Participants willing to provide informed consent  </w:t>
      </w:r>
      <w:r>
        <w:rPr>
          <w:rFonts w:ascii="Arial" w:eastAsia="Arial" w:hAnsi="Arial" w:cs="Arial"/>
        </w:rPr>
        <w:br/>
      </w:r>
      <w:r>
        <w:rPr>
          <w:rFonts w:ascii="Arial" w:eastAsia="Arial" w:hAnsi="Arial" w:cs="Arial"/>
        </w:rPr>
        <w:br/>
        <w:t>Exclusion Criteria</w:t>
      </w:r>
      <w:r>
        <w:rPr>
          <w:rFonts w:ascii="Arial" w:eastAsia="Arial" w:hAnsi="Arial" w:cs="Arial"/>
        </w:rPr>
        <w:br/>
        <w:t xml:space="preserve">• Undergraduate dental students  </w:t>
      </w:r>
      <w:r>
        <w:rPr>
          <w:rFonts w:ascii="Arial" w:eastAsia="Arial" w:hAnsi="Arial" w:cs="Arial"/>
        </w:rPr>
        <w:br/>
        <w:t xml:space="preserve">• Incomplete questionnaire responses  </w:t>
      </w:r>
      <w:r>
        <w:rPr>
          <w:rFonts w:ascii="Arial" w:eastAsia="Arial" w:hAnsi="Arial" w:cs="Arial"/>
        </w:rPr>
        <w:br/>
        <w:t>• P</w:t>
      </w:r>
      <w:r>
        <w:rPr>
          <w:rFonts w:ascii="Arial" w:eastAsia="Arial" w:hAnsi="Arial" w:cs="Arial"/>
        </w:rPr>
        <w:t xml:space="preserve">articipants who declined consent  </w:t>
      </w:r>
      <w:r>
        <w:rPr>
          <w:rFonts w:ascii="Arial" w:eastAsia="Arial" w:hAnsi="Arial" w:cs="Arial"/>
        </w:rPr>
        <w:br/>
      </w:r>
      <w:r>
        <w:rPr>
          <w:rFonts w:ascii="Arial" w:eastAsia="Arial" w:hAnsi="Arial" w:cs="Arial"/>
        </w:rPr>
        <w:br/>
        <w:t>Participation in the survey was voluntary and anonymous, and respondents were informed that the collected data would be used strictly for research purposes.</w:t>
      </w:r>
      <w:r>
        <w:rPr>
          <w:rFonts w:ascii="Arial" w:eastAsia="Arial" w:hAnsi="Arial" w:cs="Arial"/>
        </w:rPr>
        <w:br/>
      </w:r>
      <w:r>
        <w:rPr>
          <w:rFonts w:ascii="Arial" w:eastAsia="Arial" w:hAnsi="Arial" w:cs="Arial"/>
        </w:rPr>
        <w:br/>
      </w:r>
      <w:r>
        <w:rPr>
          <w:rFonts w:ascii="Arial" w:eastAsia="Arial" w:hAnsi="Arial" w:cs="Arial"/>
          <w:b/>
          <w:bCs/>
        </w:rPr>
        <w:t>2.3 Questionnaire Development</w:t>
      </w:r>
      <w:r>
        <w:rPr>
          <w:rFonts w:ascii="Arial" w:eastAsia="Arial" w:hAnsi="Arial" w:cs="Arial"/>
          <w:b/>
          <w:bCs/>
        </w:rPr>
        <w:br/>
      </w:r>
      <w:r>
        <w:rPr>
          <w:rFonts w:ascii="Arial" w:eastAsia="Arial" w:hAnsi="Arial" w:cs="Arial"/>
        </w:rPr>
        <w:t>A structured questionnaire was d</w:t>
      </w:r>
      <w:r>
        <w:rPr>
          <w:rFonts w:ascii="Arial" w:eastAsia="Arial" w:hAnsi="Arial" w:cs="Arial"/>
        </w:rPr>
        <w:t xml:space="preserve">eveloped after reviewing previously published literature related to </w:t>
      </w:r>
      <w:proofErr w:type="spellStart"/>
      <w:r>
        <w:rPr>
          <w:rFonts w:ascii="Arial" w:eastAsia="Arial" w:hAnsi="Arial" w:cs="Arial"/>
        </w:rPr>
        <w:t>photobiomodulation</w:t>
      </w:r>
      <w:proofErr w:type="spellEnd"/>
      <w:r>
        <w:rPr>
          <w:rFonts w:ascii="Arial" w:eastAsia="Arial" w:hAnsi="Arial" w:cs="Arial"/>
        </w:rPr>
        <w:t xml:space="preserve"> therapy and laser applications in dentistry. The questionnaire was designed to evaluate three primary domains:</w:t>
      </w:r>
      <w:r>
        <w:rPr>
          <w:rFonts w:ascii="Arial" w:eastAsia="Arial" w:hAnsi="Arial" w:cs="Arial"/>
        </w:rPr>
        <w:br/>
      </w:r>
      <w:r>
        <w:rPr>
          <w:rFonts w:ascii="Arial" w:eastAsia="Arial" w:hAnsi="Arial" w:cs="Arial"/>
        </w:rPr>
        <w:br/>
        <w:t>1. Demographic characteristics (age, gender, professional</w:t>
      </w:r>
      <w:r>
        <w:rPr>
          <w:rFonts w:ascii="Arial" w:eastAsia="Arial" w:hAnsi="Arial" w:cs="Arial"/>
        </w:rPr>
        <w:t xml:space="preserve"> qualification, years of clinical experience, and practice setting)</w:t>
      </w:r>
      <w:r>
        <w:rPr>
          <w:rFonts w:ascii="Arial" w:eastAsia="Arial" w:hAnsi="Arial" w:cs="Arial"/>
        </w:rPr>
        <w:br/>
        <w:t>2. Awareness of PBM therapy (previous exposure, familiarity with PBM applications in dentistry, and sources of information)</w:t>
      </w:r>
      <w:r>
        <w:rPr>
          <w:rFonts w:ascii="Arial" w:eastAsia="Arial" w:hAnsi="Arial" w:cs="Arial"/>
        </w:rPr>
        <w:br/>
        <w:t>3. Knowledge regarding PBM (mechanism of action, wavelength rang</w:t>
      </w:r>
      <w:r>
        <w:rPr>
          <w:rFonts w:ascii="Arial" w:eastAsia="Arial" w:hAnsi="Arial" w:cs="Arial"/>
        </w:rPr>
        <w:t>e, type of light used, clinical indications, and guidelines)</w:t>
      </w:r>
      <w:r>
        <w:rPr>
          <w:rFonts w:ascii="Arial" w:eastAsia="Arial" w:hAnsi="Arial" w:cs="Arial"/>
        </w:rPr>
        <w:br/>
        <w:t xml:space="preserve">4. Perception and attitude toward PBM therapy (perceived effectiveness, willingness to </w:t>
      </w:r>
      <w:r>
        <w:rPr>
          <w:rFonts w:ascii="Arial" w:eastAsia="Arial" w:hAnsi="Arial" w:cs="Arial"/>
        </w:rPr>
        <w:lastRenderedPageBreak/>
        <w:t>adopt PBM in practice, and perceived barriers)</w:t>
      </w:r>
      <w:r>
        <w:rPr>
          <w:rFonts w:ascii="Arial" w:eastAsia="Arial" w:hAnsi="Arial" w:cs="Arial"/>
        </w:rPr>
        <w:br/>
      </w:r>
      <w:r>
        <w:rPr>
          <w:rFonts w:ascii="Arial" w:eastAsia="Arial" w:hAnsi="Arial" w:cs="Arial"/>
        </w:rPr>
        <w:br/>
        <w:t>The questionnaire included multiple‑choice questions and Lik</w:t>
      </w:r>
      <w:r>
        <w:rPr>
          <w:rFonts w:ascii="Arial" w:eastAsia="Arial" w:hAnsi="Arial" w:cs="Arial"/>
        </w:rPr>
        <w:t>ert‑scale statements. Knowledge questions were designed with a single best answer format, while perception items used a four‑point Likert scale ranging from strongly disagree to strongly agree.</w:t>
      </w:r>
      <w:r>
        <w:rPr>
          <w:rFonts w:ascii="Arial" w:eastAsia="Arial" w:hAnsi="Arial" w:cs="Arial"/>
        </w:rPr>
        <w:br/>
      </w:r>
      <w:r>
        <w:rPr>
          <w:rFonts w:ascii="Arial" w:eastAsia="Arial" w:hAnsi="Arial" w:cs="Arial"/>
        </w:rPr>
        <w:br/>
        <w:t>Prior to distribution, the questionnaire was reviewed for cla</w:t>
      </w:r>
      <w:r>
        <w:rPr>
          <w:rFonts w:ascii="Arial" w:eastAsia="Arial" w:hAnsi="Arial" w:cs="Arial"/>
        </w:rPr>
        <w:t>rity, relevance, and content validity by experienced dental professionals familiar with laser dentistry.</w:t>
      </w:r>
      <w:r>
        <w:rPr>
          <w:rFonts w:ascii="Arial" w:eastAsia="Arial" w:hAnsi="Arial" w:cs="Arial"/>
        </w:rPr>
        <w:br/>
      </w:r>
      <w:r>
        <w:rPr>
          <w:rFonts w:ascii="Arial" w:eastAsia="Arial" w:hAnsi="Arial" w:cs="Arial"/>
        </w:rPr>
        <w:br/>
      </w:r>
      <w:r>
        <w:rPr>
          <w:rFonts w:ascii="Arial" w:eastAsia="Arial" w:hAnsi="Arial" w:cs="Arial"/>
          <w:b/>
          <w:bCs/>
        </w:rPr>
        <w:t>2.4 Data Collection Procedure</w:t>
      </w:r>
      <w:r>
        <w:rPr>
          <w:rFonts w:ascii="Arial" w:eastAsia="Arial" w:hAnsi="Arial" w:cs="Arial"/>
          <w:b/>
          <w:bCs/>
        </w:rPr>
        <w:br/>
      </w:r>
      <w:r>
        <w:rPr>
          <w:rFonts w:ascii="Arial" w:eastAsia="Arial" w:hAnsi="Arial" w:cs="Arial"/>
        </w:rPr>
        <w:t>The questionnaire was distributed to eligible participants through online and offline formats, allowing respondents to c</w:t>
      </w:r>
      <w:r>
        <w:rPr>
          <w:rFonts w:ascii="Arial" w:eastAsia="Arial" w:hAnsi="Arial" w:cs="Arial"/>
        </w:rPr>
        <w:t>omplete the survey at their convenience. Participants were informed about the purpose of the study, and consent was obtained before participation.</w:t>
      </w:r>
      <w:r>
        <w:rPr>
          <w:rFonts w:ascii="Arial" w:eastAsia="Arial" w:hAnsi="Arial" w:cs="Arial"/>
        </w:rPr>
        <w:br/>
      </w:r>
      <w:r>
        <w:rPr>
          <w:rFonts w:ascii="Arial" w:eastAsia="Arial" w:hAnsi="Arial" w:cs="Arial"/>
        </w:rPr>
        <w:br/>
        <w:t>The survey collected responses over a defined period until the target sample size of 78 participants was ach</w:t>
      </w:r>
      <w:r>
        <w:rPr>
          <w:rFonts w:ascii="Arial" w:eastAsia="Arial" w:hAnsi="Arial" w:cs="Arial"/>
        </w:rPr>
        <w:t>ieved. All responses were compiled into a database for statistical analysis.</w:t>
      </w:r>
      <w:r>
        <w:rPr>
          <w:rFonts w:ascii="Arial" w:eastAsia="Arial" w:hAnsi="Arial" w:cs="Arial"/>
        </w:rPr>
        <w:br/>
      </w:r>
      <w:r>
        <w:rPr>
          <w:rFonts w:ascii="Arial" w:eastAsia="Arial" w:hAnsi="Arial" w:cs="Arial"/>
          <w:b/>
          <w:bCs/>
        </w:rPr>
        <w:br/>
        <w:t>2.5 Outcome Measures</w:t>
      </w:r>
      <w:r>
        <w:rPr>
          <w:rFonts w:ascii="Arial" w:eastAsia="Arial" w:hAnsi="Arial" w:cs="Arial"/>
          <w:b/>
          <w:bCs/>
        </w:rPr>
        <w:br/>
      </w:r>
      <w:r>
        <w:rPr>
          <w:rFonts w:ascii="Arial" w:eastAsia="Arial" w:hAnsi="Arial" w:cs="Arial"/>
        </w:rPr>
        <w:t>The primary outcome measures included:</w:t>
      </w:r>
      <w:r>
        <w:rPr>
          <w:rFonts w:ascii="Arial" w:eastAsia="Arial" w:hAnsi="Arial" w:cs="Arial"/>
        </w:rPr>
        <w:br/>
        <w:t xml:space="preserve">• Awareness level of PBM therapy among dental professionals  </w:t>
      </w:r>
      <w:r>
        <w:rPr>
          <w:rFonts w:ascii="Arial" w:eastAsia="Arial" w:hAnsi="Arial" w:cs="Arial"/>
        </w:rPr>
        <w:br/>
        <w:t xml:space="preserve">• Knowledge score regarding PBM mechanisms and clinical </w:t>
      </w:r>
      <w:r>
        <w:rPr>
          <w:rFonts w:ascii="Arial" w:eastAsia="Arial" w:hAnsi="Arial" w:cs="Arial"/>
        </w:rPr>
        <w:t xml:space="preserve">applications  </w:t>
      </w:r>
      <w:r>
        <w:rPr>
          <w:rFonts w:ascii="Arial" w:eastAsia="Arial" w:hAnsi="Arial" w:cs="Arial"/>
        </w:rPr>
        <w:br/>
        <w:t xml:space="preserve">• Attitudes and perceptions toward clinical implementation of PBM therapy  </w:t>
      </w:r>
      <w:r>
        <w:rPr>
          <w:rFonts w:ascii="Arial" w:eastAsia="Arial" w:hAnsi="Arial" w:cs="Arial"/>
        </w:rPr>
        <w:br/>
      </w:r>
      <w:r>
        <w:rPr>
          <w:rFonts w:ascii="Arial" w:eastAsia="Arial" w:hAnsi="Arial" w:cs="Arial"/>
        </w:rPr>
        <w:br/>
        <w:t xml:space="preserve">Knowledge scores were calculated based on the percentage of correct responses, and an overall knowledge score was derived by averaging the correct responses across </w:t>
      </w:r>
      <w:r>
        <w:rPr>
          <w:rFonts w:ascii="Arial" w:eastAsia="Arial" w:hAnsi="Arial" w:cs="Arial"/>
        </w:rPr>
        <w:t>all knowledge‑related questions.</w:t>
      </w:r>
      <w:r>
        <w:rPr>
          <w:rFonts w:ascii="Arial" w:eastAsia="Arial" w:hAnsi="Arial" w:cs="Arial"/>
        </w:rPr>
        <w:br/>
      </w:r>
      <w:r>
        <w:rPr>
          <w:rFonts w:ascii="Arial" w:eastAsia="Arial" w:hAnsi="Arial" w:cs="Arial"/>
          <w:b/>
          <w:bCs/>
        </w:rPr>
        <w:br/>
        <w:t>2.6 Statistical Analysis</w:t>
      </w:r>
      <w:r>
        <w:rPr>
          <w:rFonts w:ascii="Arial" w:eastAsia="Arial" w:hAnsi="Arial" w:cs="Arial"/>
          <w:b/>
          <w:bCs/>
        </w:rPr>
        <w:br/>
      </w:r>
      <w:r>
        <w:rPr>
          <w:rFonts w:ascii="Arial" w:eastAsia="Arial" w:hAnsi="Arial" w:cs="Arial"/>
        </w:rPr>
        <w:t>Statistical analysis was performed using descriptive and inferential statistical methods in accordance with STROBE recommendations.</w:t>
      </w:r>
      <w:r>
        <w:rPr>
          <w:rFonts w:ascii="Arial" w:eastAsia="Arial" w:hAnsi="Arial" w:cs="Arial"/>
        </w:rPr>
        <w:br/>
      </w:r>
      <w:r>
        <w:rPr>
          <w:rFonts w:ascii="Arial" w:eastAsia="Arial" w:hAnsi="Arial" w:cs="Arial"/>
        </w:rPr>
        <w:br/>
        <w:t>Categorical variables were expressed as frequencies and percenta</w:t>
      </w:r>
      <w:r>
        <w:rPr>
          <w:rFonts w:ascii="Arial" w:eastAsia="Arial" w:hAnsi="Arial" w:cs="Arial"/>
        </w:rPr>
        <w:t>ges, while continuous variables such as age and years of clinical experience were summarized as means.</w:t>
      </w:r>
      <w:r>
        <w:rPr>
          <w:rFonts w:ascii="Arial" w:eastAsia="Arial" w:hAnsi="Arial" w:cs="Arial"/>
        </w:rPr>
        <w:br/>
      </w:r>
      <w:r>
        <w:rPr>
          <w:rFonts w:ascii="Arial" w:eastAsia="Arial" w:hAnsi="Arial" w:cs="Arial"/>
        </w:rPr>
        <w:br/>
        <w:t>Associations between categorical variables such as qualification, clinical experience, awareness, and training exposure were analyzed using the Chi‑squa</w:t>
      </w:r>
      <w:r>
        <w:rPr>
          <w:rFonts w:ascii="Arial" w:eastAsia="Arial" w:hAnsi="Arial" w:cs="Arial"/>
        </w:rPr>
        <w:t>re test of independence. A p‑value &lt;0.05 was considered statistically significant.</w:t>
      </w:r>
      <w:r>
        <w:rPr>
          <w:rFonts w:ascii="Arial" w:eastAsia="Arial" w:hAnsi="Arial" w:cs="Arial"/>
        </w:rPr>
        <w:br/>
      </w:r>
    </w:p>
    <w:p w:rsidR="00B8529E" w:rsidRDefault="00B8529E">
      <w:pPr>
        <w:rPr>
          <w:rFonts w:ascii="Arial" w:eastAsia="Arial" w:hAnsi="Arial" w:cs="Arial"/>
          <w:b/>
          <w:bCs/>
        </w:rPr>
      </w:pPr>
    </w:p>
    <w:p w:rsidR="00B8529E" w:rsidRDefault="00B8529E">
      <w:pPr>
        <w:rPr>
          <w:rFonts w:ascii="Arial" w:eastAsia="Arial" w:hAnsi="Arial" w:cs="Arial"/>
        </w:rPr>
      </w:pPr>
    </w:p>
    <w:p w:rsidR="00B8529E" w:rsidRDefault="00B8529E">
      <w:pPr>
        <w:rPr>
          <w:rFonts w:ascii="Arial" w:eastAsia="Arial" w:hAnsi="Arial" w:cs="Arial"/>
        </w:rPr>
      </w:pPr>
    </w:p>
    <w:p w:rsidR="00B8529E" w:rsidRDefault="00B8529E">
      <w:pPr>
        <w:rPr>
          <w:rFonts w:ascii="Arial" w:eastAsia="Arial" w:hAnsi="Arial" w:cs="Arial"/>
        </w:rPr>
      </w:pPr>
    </w:p>
    <w:p w:rsidR="00B8529E" w:rsidRDefault="00B8529E">
      <w:pPr>
        <w:rPr>
          <w:rFonts w:ascii="Arial" w:eastAsia="Arial" w:hAnsi="Arial" w:cs="Arial"/>
        </w:rPr>
      </w:pPr>
    </w:p>
    <w:p w:rsidR="00B8529E" w:rsidRDefault="00B8529E">
      <w:pPr>
        <w:rPr>
          <w:rFonts w:ascii="Arial" w:eastAsia="Arial" w:hAnsi="Arial" w:cs="Arial"/>
        </w:rPr>
      </w:pPr>
    </w:p>
    <w:p w:rsidR="00B8529E" w:rsidRDefault="00B8529E">
      <w:pPr>
        <w:jc w:val="both"/>
        <w:rPr>
          <w:rFonts w:ascii="Arial" w:eastAsia="Arial" w:hAnsi="Arial" w:cs="Arial"/>
          <w:b/>
          <w:bCs/>
        </w:rPr>
      </w:pPr>
    </w:p>
    <w:p w:rsidR="00B8529E" w:rsidRDefault="00B8529E">
      <w:pPr>
        <w:spacing w:line="360" w:lineRule="auto"/>
        <w:jc w:val="both"/>
        <w:rPr>
          <w:rFonts w:ascii="Arial" w:eastAsia="Arial" w:hAnsi="Arial" w:cs="Arial"/>
        </w:rPr>
      </w:pPr>
    </w:p>
    <w:p w:rsidR="00B8529E" w:rsidRDefault="00B8529E">
      <w:pPr>
        <w:rPr>
          <w:rFonts w:ascii="Arial" w:eastAsia="Arial" w:hAnsi="Arial" w:cs="Arial"/>
        </w:rPr>
      </w:pPr>
    </w:p>
    <w:p w:rsidR="00B8529E" w:rsidRDefault="00962DB2">
      <w:pPr>
        <w:rPr>
          <w:rFonts w:ascii="Arial" w:eastAsia="Arial" w:hAnsi="Arial" w:cs="Arial"/>
          <w:b/>
          <w:bCs/>
        </w:rPr>
      </w:pPr>
      <w:r>
        <w:rPr>
          <w:rFonts w:ascii="Arial" w:eastAsia="Arial" w:hAnsi="Arial" w:cs="Arial"/>
          <w:b/>
          <w:bCs/>
        </w:rPr>
        <w:t xml:space="preserve">3.Results </w:t>
      </w:r>
    </w:p>
    <w:p w:rsidR="00B8529E" w:rsidRDefault="00962DB2">
      <w:pPr>
        <w:spacing w:line="360" w:lineRule="auto"/>
        <w:jc w:val="both"/>
        <w:rPr>
          <w:rFonts w:ascii="Arial" w:eastAsia="Arial" w:hAnsi="Arial" w:cs="Arial"/>
        </w:rPr>
      </w:pPr>
      <w:r>
        <w:rPr>
          <w:rFonts w:ascii="Arial" w:eastAsia="Arial" w:hAnsi="Arial" w:cs="Arial"/>
        </w:rPr>
        <w:t>A total of 78 dentists participated in the study. The mean age of respondents was 34.17 years, with the majority (75.6%) aged below 40 years. The larges</w:t>
      </w:r>
      <w:r>
        <w:rPr>
          <w:rFonts w:ascii="Arial" w:eastAsia="Arial" w:hAnsi="Arial" w:cs="Arial"/>
        </w:rPr>
        <w:t xml:space="preserve">t age group was &lt;30 years (39.7%), followed by 30–40 years (35.9%) and 41–50 years (24.4%). No respondents were above 50 years of </w:t>
      </w:r>
      <w:proofErr w:type="spellStart"/>
      <w:proofErr w:type="gramStart"/>
      <w:r>
        <w:rPr>
          <w:rFonts w:ascii="Arial" w:eastAsia="Arial" w:hAnsi="Arial" w:cs="Arial"/>
        </w:rPr>
        <w:t>age.Gender</w:t>
      </w:r>
      <w:proofErr w:type="spellEnd"/>
      <w:proofErr w:type="gramEnd"/>
      <w:r>
        <w:rPr>
          <w:rFonts w:ascii="Arial" w:eastAsia="Arial" w:hAnsi="Arial" w:cs="Arial"/>
        </w:rPr>
        <w:t xml:space="preserve"> distribution data were available for 77 participants. Females constituted 58.4% of respondents, males 35.1%, and 6.</w:t>
      </w:r>
      <w:r>
        <w:rPr>
          <w:rFonts w:ascii="Arial" w:eastAsia="Arial" w:hAnsi="Arial" w:cs="Arial"/>
        </w:rPr>
        <w:t xml:space="preserve">5% preferred not to disclose their </w:t>
      </w:r>
      <w:proofErr w:type="spellStart"/>
      <w:proofErr w:type="gramStart"/>
      <w:r>
        <w:rPr>
          <w:rFonts w:ascii="Arial" w:eastAsia="Arial" w:hAnsi="Arial" w:cs="Arial"/>
        </w:rPr>
        <w:t>gender.Regarding</w:t>
      </w:r>
      <w:proofErr w:type="spellEnd"/>
      <w:proofErr w:type="gramEnd"/>
      <w:r>
        <w:rPr>
          <w:rFonts w:ascii="Arial" w:eastAsia="Arial" w:hAnsi="Arial" w:cs="Arial"/>
        </w:rPr>
        <w:t xml:space="preserve"> professional qualification, 55.1% held an MDS degree, 32.1% held a BDS degree, and 12.8% had PhD or postdoctoral qualifications. Most participants (85.9%) had 10 years or less of clinical experience, with</w:t>
      </w:r>
      <w:r>
        <w:rPr>
          <w:rFonts w:ascii="Arial" w:eastAsia="Arial" w:hAnsi="Arial" w:cs="Arial"/>
        </w:rPr>
        <w:t xml:space="preserve"> a mean clinical experience of 7.13 years. The modal experience category was 5–10 years (48.7%), followed by &lt;5 years (37.2%</w:t>
      </w:r>
      <w:proofErr w:type="gramStart"/>
      <w:r>
        <w:rPr>
          <w:rFonts w:ascii="Arial" w:eastAsia="Arial" w:hAnsi="Arial" w:cs="Arial"/>
        </w:rPr>
        <w:t>).In</w:t>
      </w:r>
      <w:proofErr w:type="gramEnd"/>
      <w:r>
        <w:rPr>
          <w:rFonts w:ascii="Arial" w:eastAsia="Arial" w:hAnsi="Arial" w:cs="Arial"/>
        </w:rPr>
        <w:t xml:space="preserve"> terms of practice setting, 43.6% were in private practice and 41.0% were involved in academic/teaching roles. The remaining par</w:t>
      </w:r>
      <w:r>
        <w:rPr>
          <w:rFonts w:ascii="Arial" w:eastAsia="Arial" w:hAnsi="Arial" w:cs="Arial"/>
        </w:rPr>
        <w:t>ticipants practiced in government settings (7.7%) or a combination of practice types (7.7%).</w:t>
      </w:r>
    </w:p>
    <w:p w:rsidR="00B8529E" w:rsidRDefault="00962DB2">
      <w:pPr>
        <w:spacing w:line="360" w:lineRule="auto"/>
        <w:jc w:val="both"/>
        <w:rPr>
          <w:rFonts w:ascii="Arial" w:eastAsia="Arial" w:hAnsi="Arial" w:cs="Arial"/>
          <w:b/>
          <w:bCs/>
        </w:rPr>
      </w:pPr>
      <w:r>
        <w:rPr>
          <w:rFonts w:ascii="Arial" w:eastAsia="Arial" w:hAnsi="Arial" w:cs="Arial"/>
        </w:rPr>
        <w:t xml:space="preserve">Awareness of </w:t>
      </w:r>
      <w:proofErr w:type="spellStart"/>
      <w:r>
        <w:rPr>
          <w:rFonts w:ascii="Arial" w:eastAsia="Arial" w:hAnsi="Arial" w:cs="Arial"/>
        </w:rPr>
        <w:t>Photobiomodulation</w:t>
      </w:r>
      <w:proofErr w:type="spellEnd"/>
      <w:r>
        <w:rPr>
          <w:rFonts w:ascii="Arial" w:eastAsia="Arial" w:hAnsi="Arial" w:cs="Arial"/>
        </w:rPr>
        <w:t xml:space="preserve"> (PBM)</w:t>
      </w:r>
    </w:p>
    <w:p w:rsidR="00B8529E" w:rsidRDefault="00962DB2">
      <w:pPr>
        <w:spacing w:line="360" w:lineRule="auto"/>
        <w:jc w:val="both"/>
        <w:rPr>
          <w:rFonts w:ascii="Arial" w:eastAsia="Arial" w:hAnsi="Arial" w:cs="Arial"/>
        </w:rPr>
      </w:pPr>
      <w:r>
        <w:rPr>
          <w:rFonts w:ascii="Arial" w:eastAsia="Arial" w:hAnsi="Arial" w:cs="Arial"/>
        </w:rPr>
        <w:t xml:space="preserve">Overall awareness of PBM was high. Approximately 73.1% of respondents reported having heard of PBM therapy, while 75.6% were </w:t>
      </w:r>
      <w:r>
        <w:rPr>
          <w:rFonts w:ascii="Arial" w:eastAsia="Arial" w:hAnsi="Arial" w:cs="Arial"/>
        </w:rPr>
        <w:t>aware of its application in dentistry. Furthermore, 61.0% reported having seen PBM devices used in periodontal procedures.</w:t>
      </w:r>
    </w:p>
    <w:p w:rsidR="00B8529E" w:rsidRDefault="00962DB2">
      <w:pPr>
        <w:spacing w:line="360" w:lineRule="auto"/>
        <w:jc w:val="both"/>
        <w:rPr>
          <w:rFonts w:ascii="Arial" w:eastAsia="Arial" w:hAnsi="Arial" w:cs="Arial"/>
        </w:rPr>
      </w:pPr>
      <w:r>
        <w:rPr>
          <w:rFonts w:ascii="Arial" w:eastAsia="Arial" w:hAnsi="Arial" w:cs="Arial"/>
        </w:rPr>
        <w:t xml:space="preserve">The primary sources of awareness were academic curriculum (35.9%) and journal/research publications (32.1%), collectively accounting </w:t>
      </w:r>
      <w:r>
        <w:rPr>
          <w:rFonts w:ascii="Arial" w:eastAsia="Arial" w:hAnsi="Arial" w:cs="Arial"/>
        </w:rPr>
        <w:t>for 68% of responses. Other sources included colleagues (15.4%), conferences/workshops (11.5%), and social media/online platforms (5.1%).</w:t>
      </w:r>
    </w:p>
    <w:p w:rsidR="00B8529E" w:rsidRDefault="00962DB2">
      <w:pPr>
        <w:spacing w:line="360" w:lineRule="auto"/>
        <w:jc w:val="both"/>
        <w:rPr>
          <w:rFonts w:ascii="Arial" w:eastAsia="Arial" w:hAnsi="Arial" w:cs="Arial"/>
        </w:rPr>
      </w:pPr>
      <w:r>
        <w:rPr>
          <w:rFonts w:ascii="Arial" w:eastAsia="Arial" w:hAnsi="Arial" w:cs="Arial"/>
        </w:rPr>
        <w:lastRenderedPageBreak/>
        <w:t>When asked about the perceived commonality of PBM use in periodontics, 64.9% considered it “somewhat common” and 14.3%</w:t>
      </w:r>
      <w:r>
        <w:rPr>
          <w:rFonts w:ascii="Arial" w:eastAsia="Arial" w:hAnsi="Arial" w:cs="Arial"/>
        </w:rPr>
        <w:t xml:space="preserve"> “very common,” whereas 10.4% reported it as rare and another 10.4% had never encountered it. The mean Likert score for perceived commonality was 2.82 out of </w:t>
      </w:r>
      <w:proofErr w:type="gramStart"/>
      <w:r>
        <w:rPr>
          <w:rFonts w:ascii="Arial" w:eastAsia="Arial" w:hAnsi="Arial" w:cs="Arial"/>
        </w:rPr>
        <w:t>4.Slightly</w:t>
      </w:r>
      <w:proofErr w:type="gramEnd"/>
      <w:r>
        <w:rPr>
          <w:rFonts w:ascii="Arial" w:eastAsia="Arial" w:hAnsi="Arial" w:cs="Arial"/>
        </w:rPr>
        <w:t xml:space="preserve"> more than half of the respondents (55.3%) reported receiving formal training or continu</w:t>
      </w:r>
      <w:r>
        <w:rPr>
          <w:rFonts w:ascii="Arial" w:eastAsia="Arial" w:hAnsi="Arial" w:cs="Arial"/>
        </w:rPr>
        <w:t>ing education related to PBM.</w:t>
      </w:r>
    </w:p>
    <w:p w:rsidR="00B8529E" w:rsidRDefault="00962DB2">
      <w:pPr>
        <w:spacing w:line="360" w:lineRule="auto"/>
        <w:jc w:val="both"/>
        <w:rPr>
          <w:rFonts w:ascii="Arial" w:eastAsia="Arial" w:hAnsi="Arial" w:cs="Arial"/>
          <w:b/>
          <w:bCs/>
        </w:rPr>
      </w:pPr>
      <w:r>
        <w:rPr>
          <w:rFonts w:ascii="Arial" w:eastAsia="Arial" w:hAnsi="Arial" w:cs="Arial"/>
        </w:rPr>
        <w:t>Knowledge of PBM</w:t>
      </w:r>
    </w:p>
    <w:p w:rsidR="00B8529E" w:rsidRDefault="00962DB2">
      <w:pPr>
        <w:spacing w:line="360" w:lineRule="auto"/>
        <w:jc w:val="both"/>
        <w:rPr>
          <w:rFonts w:ascii="Arial" w:eastAsia="Arial" w:hAnsi="Arial" w:cs="Arial"/>
        </w:rPr>
      </w:pPr>
      <w:r>
        <w:rPr>
          <w:rFonts w:ascii="Arial" w:eastAsia="Arial" w:hAnsi="Arial" w:cs="Arial"/>
        </w:rPr>
        <w:t xml:space="preserve">Table 1 states that Knowledge assessment revealed variable levels of understanding across domains. The highest correct response rate was observed for identifying periodontal procedures benefiting from PBM, </w:t>
      </w:r>
      <w:r>
        <w:rPr>
          <w:rFonts w:ascii="Arial" w:eastAsia="Arial" w:hAnsi="Arial" w:cs="Arial"/>
        </w:rPr>
        <w:t>with 80.5% selecting the correct option (“All of the above”). Additionally, 64.9% correctly identified PBM as a non-invasive modality.</w:t>
      </w:r>
    </w:p>
    <w:p w:rsidR="00B8529E" w:rsidRDefault="00962DB2">
      <w:pPr>
        <w:spacing w:line="360" w:lineRule="auto"/>
        <w:jc w:val="both"/>
        <w:rPr>
          <w:rFonts w:ascii="Arial" w:eastAsia="Arial" w:hAnsi="Arial" w:cs="Arial"/>
        </w:rPr>
      </w:pPr>
      <w:r>
        <w:rPr>
          <w:rFonts w:ascii="Arial" w:eastAsia="Arial" w:hAnsi="Arial" w:cs="Arial"/>
        </w:rPr>
        <w:t>However, knowledge regarding fundamental scientific principles was comparatively limited. Only 35.5% correctly identified</w:t>
      </w:r>
      <w:r>
        <w:rPr>
          <w:rFonts w:ascii="Arial" w:eastAsia="Arial" w:hAnsi="Arial" w:cs="Arial"/>
        </w:rPr>
        <w:t xml:space="preserve"> the primary mechanism of action of PBM as a photochemical effect. Similarly, 40.3% correctly identified the type of light used (visible red/near-infrared), and 40.3% correctly recognized that PBM aids in pain control by enhancing cellular metabolism and A</w:t>
      </w:r>
      <w:r>
        <w:rPr>
          <w:rFonts w:ascii="Arial" w:eastAsia="Arial" w:hAnsi="Arial" w:cs="Arial"/>
        </w:rPr>
        <w:t>TP production. The typical wavelength range (600–1000 nm) was correctly identified by 42.9% of participants. Knowledge of guideline-providing organizations was correct in 54.5% of responses.</w:t>
      </w:r>
    </w:p>
    <w:p w:rsidR="00B8529E" w:rsidRDefault="00962DB2">
      <w:pPr>
        <w:spacing w:line="360" w:lineRule="auto"/>
        <w:jc w:val="both"/>
        <w:rPr>
          <w:rFonts w:ascii="Arial" w:eastAsia="Arial" w:hAnsi="Arial" w:cs="Arial"/>
        </w:rPr>
      </w:pPr>
      <w:r>
        <w:rPr>
          <w:rFonts w:ascii="Arial" w:eastAsia="Arial" w:hAnsi="Arial" w:cs="Arial"/>
        </w:rPr>
        <w:t>The overall average knowledge score across all domains was 51.3%,</w:t>
      </w:r>
      <w:r>
        <w:rPr>
          <w:rFonts w:ascii="Arial" w:eastAsia="Arial" w:hAnsi="Arial" w:cs="Arial"/>
        </w:rPr>
        <w:t xml:space="preserve"> indicating borderline knowledge levels. While clinical applications were relatively well understood, substantial gaps were noted in mechanistic and technical aspects.</w:t>
      </w:r>
    </w:p>
    <w:p w:rsidR="00B8529E" w:rsidRDefault="00962DB2">
      <w:pPr>
        <w:spacing w:line="360" w:lineRule="auto"/>
        <w:jc w:val="both"/>
        <w:rPr>
          <w:rFonts w:ascii="Arial" w:eastAsia="Arial" w:hAnsi="Arial" w:cs="Arial"/>
          <w:b/>
          <w:bCs/>
        </w:rPr>
      </w:pPr>
      <w:r>
        <w:rPr>
          <w:rFonts w:ascii="Arial" w:eastAsia="Arial" w:hAnsi="Arial" w:cs="Arial"/>
        </w:rPr>
        <w:t>Attitudes and Perceptions</w:t>
      </w:r>
    </w:p>
    <w:p w:rsidR="00B8529E" w:rsidRDefault="00962DB2">
      <w:pPr>
        <w:spacing w:line="360" w:lineRule="auto"/>
        <w:jc w:val="both"/>
        <w:rPr>
          <w:rFonts w:ascii="Arial" w:eastAsia="Arial" w:hAnsi="Arial" w:cs="Arial"/>
        </w:rPr>
      </w:pPr>
      <w:r>
        <w:rPr>
          <w:rFonts w:ascii="Arial" w:eastAsia="Arial" w:hAnsi="Arial" w:cs="Arial"/>
        </w:rPr>
        <w:t>Most participants demonstrated favorable attitudes toward PBM.</w:t>
      </w:r>
      <w:r>
        <w:rPr>
          <w:rFonts w:ascii="Arial" w:eastAsia="Arial" w:hAnsi="Arial" w:cs="Arial"/>
        </w:rPr>
        <w:t xml:space="preserve"> Among respondents (n=75), 61.3% agreed and 16.0% strongly agreed that PBM significantly reduces patient discomfort following minor periodontal surgeries. The mean Likert score for this item was 2.71 out of 4, and 77.3% expressed a positive </w:t>
      </w:r>
      <w:proofErr w:type="spellStart"/>
      <w:proofErr w:type="gramStart"/>
      <w:r>
        <w:rPr>
          <w:rFonts w:ascii="Arial" w:eastAsia="Arial" w:hAnsi="Arial" w:cs="Arial"/>
        </w:rPr>
        <w:t>view.Regarding</w:t>
      </w:r>
      <w:proofErr w:type="spellEnd"/>
      <w:proofErr w:type="gramEnd"/>
      <w:r>
        <w:rPr>
          <w:rFonts w:ascii="Arial" w:eastAsia="Arial" w:hAnsi="Arial" w:cs="Arial"/>
        </w:rPr>
        <w:t xml:space="preserve"> </w:t>
      </w:r>
      <w:r>
        <w:rPr>
          <w:rFonts w:ascii="Arial" w:eastAsia="Arial" w:hAnsi="Arial" w:cs="Arial"/>
        </w:rPr>
        <w:t>future adoption, 74.0% indicated willingness to incorporate PBM into their practice if equipment and training were accessible, while 26.0% responded “maybe.” Notably, no participant expressed outright refusal, indicating universal openness to potential int</w:t>
      </w:r>
      <w:r>
        <w:rPr>
          <w:rFonts w:ascii="Arial" w:eastAsia="Arial" w:hAnsi="Arial" w:cs="Arial"/>
        </w:rPr>
        <w:t>egration.</w:t>
      </w:r>
    </w:p>
    <w:p w:rsidR="00B8529E" w:rsidRDefault="00962DB2">
      <w:pPr>
        <w:spacing w:line="360" w:lineRule="auto"/>
        <w:jc w:val="both"/>
        <w:rPr>
          <w:rFonts w:ascii="Arial" w:eastAsia="Arial" w:hAnsi="Arial" w:cs="Arial"/>
        </w:rPr>
      </w:pPr>
      <w:r>
        <w:rPr>
          <w:rFonts w:ascii="Arial" w:eastAsia="Arial" w:hAnsi="Arial" w:cs="Arial"/>
        </w:rPr>
        <w:t xml:space="preserve">The primary barriers identified were lack of training (40.3%) and limited awareness (39.0%), together accounting for 79.3% of responses. High cost of equipment (15.6%) and </w:t>
      </w:r>
      <w:r>
        <w:rPr>
          <w:rFonts w:ascii="Arial" w:eastAsia="Arial" w:hAnsi="Arial" w:cs="Arial"/>
        </w:rPr>
        <w:lastRenderedPageBreak/>
        <w:t xml:space="preserve">unclear evidence base (5.2%) were less frequently </w:t>
      </w:r>
      <w:proofErr w:type="spellStart"/>
      <w:proofErr w:type="gramStart"/>
      <w:r>
        <w:rPr>
          <w:rFonts w:ascii="Arial" w:eastAsia="Arial" w:hAnsi="Arial" w:cs="Arial"/>
        </w:rPr>
        <w:t>cited.Chi</w:t>
      </w:r>
      <w:proofErr w:type="spellEnd"/>
      <w:proofErr w:type="gramEnd"/>
      <w:r>
        <w:rPr>
          <w:rFonts w:ascii="Arial" w:eastAsia="Arial" w:hAnsi="Arial" w:cs="Arial"/>
        </w:rPr>
        <w:t>-square analysi</w:t>
      </w:r>
      <w:r>
        <w:rPr>
          <w:rFonts w:ascii="Arial" w:eastAsia="Arial" w:hAnsi="Arial" w:cs="Arial"/>
        </w:rPr>
        <w:t>s demonstrated one statistically significant association: having heard of PBM was significantly associated with qualification level (χ² = 6.606, p = 0.037).</w:t>
      </w:r>
    </w:p>
    <w:p w:rsidR="00B8529E" w:rsidRDefault="00962DB2">
      <w:pPr>
        <w:spacing w:line="360" w:lineRule="auto"/>
        <w:jc w:val="both"/>
      </w:pPr>
      <w:r>
        <w:rPr>
          <w:rFonts w:ascii="Arial" w:eastAsia="Arial" w:hAnsi="Arial" w:cs="Arial"/>
        </w:rPr>
        <w:t xml:space="preserve">No statistically significant associations were observed between qualification or years of clinical </w:t>
      </w:r>
      <w:r>
        <w:rPr>
          <w:rFonts w:ascii="Arial" w:eastAsia="Arial" w:hAnsi="Arial" w:cs="Arial"/>
        </w:rPr>
        <w:t>experience and other variables, including PBM awareness, training status, knowledge of guidelines, perceived benefits, or interest in incorporating PBM (p &gt; 0.05 for all comparisons)</w:t>
      </w:r>
    </w:p>
    <w:p w:rsidR="00B8529E" w:rsidRDefault="00962DB2">
      <w:pPr>
        <w:spacing w:before="280" w:after="100"/>
      </w:pPr>
      <w:r>
        <w:rPr>
          <w:rFonts w:ascii="Arial" w:eastAsia="Arial" w:hAnsi="Arial" w:cs="Arial"/>
          <w:b/>
          <w:bCs/>
          <w:color w:val="1F3864"/>
        </w:rPr>
        <w:t>TABLE 1: Overall Knowledge Score Summary</w:t>
      </w:r>
    </w:p>
    <w:tbl>
      <w:tblPr>
        <w:tblStyle w:val="a0"/>
        <w:tblW w:w="7300" w:type="dxa"/>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00"/>
        <w:gridCol w:w="1500"/>
      </w:tblGrid>
      <w:tr w:rsidR="00B8529E">
        <w:tc>
          <w:tcPr>
            <w:tcW w:w="5800" w:type="dxa"/>
            <w:tcBorders>
              <w:top w:val="nil"/>
              <w:left w:val="nil"/>
              <w:bottom w:val="nil"/>
              <w:right w:val="nil"/>
            </w:tcBorders>
            <w:shd w:val="clear" w:color="auto" w:fill="1F3864"/>
            <w:tcMar>
              <w:top w:w="80" w:type="dxa"/>
              <w:left w:w="140" w:type="dxa"/>
              <w:bottom w:w="80" w:type="dxa"/>
              <w:right w:w="140" w:type="dxa"/>
            </w:tcMar>
            <w:vAlign w:val="center"/>
          </w:tcPr>
          <w:p w:rsidR="00B8529E" w:rsidRDefault="00962DB2">
            <w:r>
              <w:rPr>
                <w:rFonts w:ascii="Arial" w:eastAsia="Arial" w:hAnsi="Arial" w:cs="Arial"/>
                <w:b/>
                <w:bCs/>
                <w:color w:val="FFFFFF"/>
                <w:sz w:val="20"/>
                <w:szCs w:val="20"/>
              </w:rPr>
              <w:t>Knowledge Question</w:t>
            </w:r>
          </w:p>
        </w:tc>
        <w:tc>
          <w:tcPr>
            <w:tcW w:w="1500" w:type="dxa"/>
            <w:tcBorders>
              <w:top w:val="nil"/>
              <w:left w:val="nil"/>
              <w:bottom w:val="nil"/>
              <w:right w:val="nil"/>
            </w:tcBorders>
            <w:shd w:val="clear" w:color="auto" w:fill="1F3864"/>
            <w:tcMar>
              <w:top w:w="80" w:type="dxa"/>
              <w:left w:w="140" w:type="dxa"/>
              <w:bottom w:w="80" w:type="dxa"/>
              <w:right w:w="140" w:type="dxa"/>
            </w:tcMar>
            <w:vAlign w:val="center"/>
          </w:tcPr>
          <w:p w:rsidR="00B8529E" w:rsidRDefault="00962DB2">
            <w:pPr>
              <w:jc w:val="center"/>
            </w:pPr>
            <w:r>
              <w:rPr>
                <w:rFonts w:ascii="Arial" w:eastAsia="Arial" w:hAnsi="Arial" w:cs="Arial"/>
                <w:b/>
                <w:bCs/>
                <w:color w:val="FFFFFF"/>
                <w:sz w:val="20"/>
                <w:szCs w:val="20"/>
              </w:rPr>
              <w:t>% Correct</w:t>
            </w:r>
          </w:p>
        </w:tc>
      </w:tr>
      <w:tr w:rsidR="00B8529E">
        <w:tc>
          <w:tcPr>
            <w:tcW w:w="5800" w:type="dxa"/>
            <w:tcBorders>
              <w:top w:val="nil"/>
              <w:left w:val="nil"/>
              <w:bottom w:val="nil"/>
              <w:right w:val="nil"/>
            </w:tcBorders>
            <w:shd w:val="clear" w:color="auto" w:fill="FFFFFF"/>
            <w:tcMar>
              <w:top w:w="80" w:type="dxa"/>
              <w:left w:w="140" w:type="dxa"/>
              <w:bottom w:w="80" w:type="dxa"/>
              <w:right w:w="140" w:type="dxa"/>
            </w:tcMar>
            <w:vAlign w:val="center"/>
          </w:tcPr>
          <w:p w:rsidR="00B8529E" w:rsidRDefault="00962DB2">
            <w:r>
              <w:rPr>
                <w:rFonts w:ascii="Arial" w:eastAsia="Arial" w:hAnsi="Arial" w:cs="Arial"/>
                <w:color w:val="000000"/>
                <w:sz w:val="19"/>
                <w:szCs w:val="19"/>
              </w:rPr>
              <w:t>Pe</w:t>
            </w:r>
            <w:r>
              <w:rPr>
                <w:rFonts w:ascii="Arial" w:eastAsia="Arial" w:hAnsi="Arial" w:cs="Arial"/>
                <w:color w:val="000000"/>
                <w:sz w:val="19"/>
                <w:szCs w:val="19"/>
              </w:rPr>
              <w:t>riodontal procedures benefiting from PBM</w:t>
            </w:r>
          </w:p>
        </w:tc>
        <w:tc>
          <w:tcPr>
            <w:tcW w:w="1500" w:type="dxa"/>
            <w:tcBorders>
              <w:top w:val="nil"/>
              <w:left w:val="nil"/>
              <w:bottom w:val="nil"/>
              <w:right w:val="nil"/>
            </w:tcBorders>
            <w:shd w:val="clear" w:color="auto" w:fill="FFFFFF"/>
            <w:tcMar>
              <w:top w:w="80" w:type="dxa"/>
              <w:left w:w="140" w:type="dxa"/>
              <w:bottom w:w="80" w:type="dxa"/>
              <w:right w:w="140" w:type="dxa"/>
            </w:tcMar>
            <w:vAlign w:val="center"/>
          </w:tcPr>
          <w:p w:rsidR="00B8529E" w:rsidRDefault="00962DB2">
            <w:pPr>
              <w:jc w:val="center"/>
            </w:pPr>
            <w:r>
              <w:rPr>
                <w:rFonts w:ascii="Arial" w:eastAsia="Arial" w:hAnsi="Arial" w:cs="Arial"/>
                <w:color w:val="000000"/>
                <w:sz w:val="19"/>
                <w:szCs w:val="19"/>
              </w:rPr>
              <w:t>80.5%</w:t>
            </w:r>
          </w:p>
        </w:tc>
      </w:tr>
      <w:tr w:rsidR="00B8529E">
        <w:tc>
          <w:tcPr>
            <w:tcW w:w="5800" w:type="dxa"/>
            <w:tcBorders>
              <w:top w:val="nil"/>
              <w:left w:val="nil"/>
              <w:bottom w:val="nil"/>
              <w:right w:val="nil"/>
            </w:tcBorders>
            <w:shd w:val="clear" w:color="auto" w:fill="EBF3FB"/>
            <w:tcMar>
              <w:top w:w="80" w:type="dxa"/>
              <w:left w:w="140" w:type="dxa"/>
              <w:bottom w:w="80" w:type="dxa"/>
              <w:right w:w="140" w:type="dxa"/>
            </w:tcMar>
            <w:vAlign w:val="center"/>
          </w:tcPr>
          <w:p w:rsidR="00B8529E" w:rsidRDefault="00962DB2">
            <w:r>
              <w:rPr>
                <w:rFonts w:ascii="Arial" w:eastAsia="Arial" w:hAnsi="Arial" w:cs="Arial"/>
                <w:color w:val="000000"/>
                <w:sz w:val="19"/>
                <w:szCs w:val="19"/>
              </w:rPr>
              <w:t>PBM invasiveness</w:t>
            </w:r>
          </w:p>
        </w:tc>
        <w:tc>
          <w:tcPr>
            <w:tcW w:w="1500" w:type="dxa"/>
            <w:tcBorders>
              <w:top w:val="nil"/>
              <w:left w:val="nil"/>
              <w:bottom w:val="nil"/>
              <w:right w:val="nil"/>
            </w:tcBorders>
            <w:shd w:val="clear" w:color="auto" w:fill="EBF3FB"/>
            <w:tcMar>
              <w:top w:w="80" w:type="dxa"/>
              <w:left w:w="140" w:type="dxa"/>
              <w:bottom w:w="80" w:type="dxa"/>
              <w:right w:w="140" w:type="dxa"/>
            </w:tcMar>
            <w:vAlign w:val="center"/>
          </w:tcPr>
          <w:p w:rsidR="00B8529E" w:rsidRDefault="00962DB2">
            <w:pPr>
              <w:jc w:val="center"/>
            </w:pPr>
            <w:r>
              <w:rPr>
                <w:rFonts w:ascii="Arial" w:eastAsia="Arial" w:hAnsi="Arial" w:cs="Arial"/>
                <w:color w:val="000000"/>
                <w:sz w:val="19"/>
                <w:szCs w:val="19"/>
              </w:rPr>
              <w:t>64.9%</w:t>
            </w:r>
          </w:p>
        </w:tc>
      </w:tr>
      <w:tr w:rsidR="00B8529E">
        <w:tc>
          <w:tcPr>
            <w:tcW w:w="5800" w:type="dxa"/>
            <w:tcBorders>
              <w:top w:val="nil"/>
              <w:left w:val="nil"/>
              <w:bottom w:val="nil"/>
              <w:right w:val="nil"/>
            </w:tcBorders>
            <w:shd w:val="clear" w:color="auto" w:fill="FFFFFF"/>
            <w:tcMar>
              <w:top w:w="80" w:type="dxa"/>
              <w:left w:w="140" w:type="dxa"/>
              <w:bottom w:w="80" w:type="dxa"/>
              <w:right w:w="140" w:type="dxa"/>
            </w:tcMar>
            <w:vAlign w:val="center"/>
          </w:tcPr>
          <w:p w:rsidR="00B8529E" w:rsidRDefault="00962DB2">
            <w:r>
              <w:rPr>
                <w:rFonts w:ascii="Arial" w:eastAsia="Arial" w:hAnsi="Arial" w:cs="Arial"/>
                <w:color w:val="000000"/>
                <w:sz w:val="19"/>
                <w:szCs w:val="19"/>
              </w:rPr>
              <w:t>PBM guideline organizations</w:t>
            </w:r>
          </w:p>
        </w:tc>
        <w:tc>
          <w:tcPr>
            <w:tcW w:w="1500" w:type="dxa"/>
            <w:tcBorders>
              <w:top w:val="nil"/>
              <w:left w:val="nil"/>
              <w:bottom w:val="nil"/>
              <w:right w:val="nil"/>
            </w:tcBorders>
            <w:shd w:val="clear" w:color="auto" w:fill="FFFFFF"/>
            <w:tcMar>
              <w:top w:w="80" w:type="dxa"/>
              <w:left w:w="140" w:type="dxa"/>
              <w:bottom w:w="80" w:type="dxa"/>
              <w:right w:w="140" w:type="dxa"/>
            </w:tcMar>
            <w:vAlign w:val="center"/>
          </w:tcPr>
          <w:p w:rsidR="00B8529E" w:rsidRDefault="00962DB2">
            <w:pPr>
              <w:jc w:val="center"/>
            </w:pPr>
            <w:r>
              <w:rPr>
                <w:rFonts w:ascii="Arial" w:eastAsia="Arial" w:hAnsi="Arial" w:cs="Arial"/>
                <w:color w:val="000000"/>
                <w:sz w:val="19"/>
                <w:szCs w:val="19"/>
              </w:rPr>
              <w:t>54.5%</w:t>
            </w:r>
          </w:p>
        </w:tc>
      </w:tr>
      <w:tr w:rsidR="00B8529E">
        <w:tc>
          <w:tcPr>
            <w:tcW w:w="5800" w:type="dxa"/>
            <w:tcBorders>
              <w:top w:val="nil"/>
              <w:left w:val="nil"/>
              <w:bottom w:val="nil"/>
              <w:right w:val="nil"/>
            </w:tcBorders>
            <w:shd w:val="clear" w:color="auto" w:fill="EBF3FB"/>
            <w:tcMar>
              <w:top w:w="80" w:type="dxa"/>
              <w:left w:w="140" w:type="dxa"/>
              <w:bottom w:w="80" w:type="dxa"/>
              <w:right w:w="140" w:type="dxa"/>
            </w:tcMar>
            <w:vAlign w:val="center"/>
          </w:tcPr>
          <w:p w:rsidR="00B8529E" w:rsidRDefault="00962DB2">
            <w:r>
              <w:rPr>
                <w:rFonts w:ascii="Arial" w:eastAsia="Arial" w:hAnsi="Arial" w:cs="Arial"/>
                <w:color w:val="000000"/>
                <w:sz w:val="19"/>
                <w:szCs w:val="19"/>
              </w:rPr>
              <w:t>PBM laser wavelength</w:t>
            </w:r>
          </w:p>
        </w:tc>
        <w:tc>
          <w:tcPr>
            <w:tcW w:w="1500" w:type="dxa"/>
            <w:tcBorders>
              <w:top w:val="nil"/>
              <w:left w:val="nil"/>
              <w:bottom w:val="nil"/>
              <w:right w:val="nil"/>
            </w:tcBorders>
            <w:shd w:val="clear" w:color="auto" w:fill="EBF3FB"/>
            <w:tcMar>
              <w:top w:w="80" w:type="dxa"/>
              <w:left w:w="140" w:type="dxa"/>
              <w:bottom w:w="80" w:type="dxa"/>
              <w:right w:w="140" w:type="dxa"/>
            </w:tcMar>
            <w:vAlign w:val="center"/>
          </w:tcPr>
          <w:p w:rsidR="00B8529E" w:rsidRDefault="00962DB2">
            <w:pPr>
              <w:jc w:val="center"/>
            </w:pPr>
            <w:r>
              <w:rPr>
                <w:rFonts w:ascii="Arial" w:eastAsia="Arial" w:hAnsi="Arial" w:cs="Arial"/>
                <w:color w:val="000000"/>
                <w:sz w:val="19"/>
                <w:szCs w:val="19"/>
              </w:rPr>
              <w:t>42.9%</w:t>
            </w:r>
          </w:p>
        </w:tc>
      </w:tr>
      <w:tr w:rsidR="00B8529E">
        <w:tc>
          <w:tcPr>
            <w:tcW w:w="5800" w:type="dxa"/>
            <w:tcBorders>
              <w:top w:val="nil"/>
              <w:left w:val="nil"/>
              <w:bottom w:val="nil"/>
              <w:right w:val="nil"/>
            </w:tcBorders>
            <w:shd w:val="clear" w:color="auto" w:fill="FFFFFF"/>
            <w:tcMar>
              <w:top w:w="80" w:type="dxa"/>
              <w:left w:w="140" w:type="dxa"/>
              <w:bottom w:w="80" w:type="dxa"/>
              <w:right w:w="140" w:type="dxa"/>
            </w:tcMar>
            <w:vAlign w:val="center"/>
          </w:tcPr>
          <w:p w:rsidR="00B8529E" w:rsidRDefault="00962DB2">
            <w:r>
              <w:rPr>
                <w:rFonts w:ascii="Arial" w:eastAsia="Arial" w:hAnsi="Arial" w:cs="Arial"/>
                <w:color w:val="000000"/>
                <w:sz w:val="19"/>
                <w:szCs w:val="19"/>
              </w:rPr>
              <w:t>Type of light used in PBM</w:t>
            </w:r>
          </w:p>
        </w:tc>
        <w:tc>
          <w:tcPr>
            <w:tcW w:w="1500" w:type="dxa"/>
            <w:tcBorders>
              <w:top w:val="nil"/>
              <w:left w:val="nil"/>
              <w:bottom w:val="nil"/>
              <w:right w:val="nil"/>
            </w:tcBorders>
            <w:shd w:val="clear" w:color="auto" w:fill="FFFFFF"/>
            <w:tcMar>
              <w:top w:w="80" w:type="dxa"/>
              <w:left w:w="140" w:type="dxa"/>
              <w:bottom w:w="80" w:type="dxa"/>
              <w:right w:w="140" w:type="dxa"/>
            </w:tcMar>
            <w:vAlign w:val="center"/>
          </w:tcPr>
          <w:p w:rsidR="00B8529E" w:rsidRDefault="00962DB2">
            <w:pPr>
              <w:jc w:val="center"/>
            </w:pPr>
            <w:r>
              <w:rPr>
                <w:rFonts w:ascii="Arial" w:eastAsia="Arial" w:hAnsi="Arial" w:cs="Arial"/>
                <w:color w:val="000000"/>
                <w:sz w:val="19"/>
                <w:szCs w:val="19"/>
              </w:rPr>
              <w:t>40.3%</w:t>
            </w:r>
          </w:p>
        </w:tc>
      </w:tr>
      <w:tr w:rsidR="00B8529E">
        <w:tc>
          <w:tcPr>
            <w:tcW w:w="5800" w:type="dxa"/>
            <w:tcBorders>
              <w:top w:val="nil"/>
              <w:left w:val="nil"/>
              <w:bottom w:val="nil"/>
              <w:right w:val="nil"/>
            </w:tcBorders>
            <w:shd w:val="clear" w:color="auto" w:fill="EBF3FB"/>
            <w:tcMar>
              <w:top w:w="80" w:type="dxa"/>
              <w:left w:w="140" w:type="dxa"/>
              <w:bottom w:w="80" w:type="dxa"/>
              <w:right w:w="140" w:type="dxa"/>
            </w:tcMar>
            <w:vAlign w:val="center"/>
          </w:tcPr>
          <w:p w:rsidR="00B8529E" w:rsidRDefault="00962DB2">
            <w:r>
              <w:rPr>
                <w:rFonts w:ascii="Arial" w:eastAsia="Arial" w:hAnsi="Arial" w:cs="Arial"/>
                <w:color w:val="000000"/>
                <w:sz w:val="19"/>
                <w:szCs w:val="19"/>
              </w:rPr>
              <w:t>PBM pain control mechanism</w:t>
            </w:r>
          </w:p>
        </w:tc>
        <w:tc>
          <w:tcPr>
            <w:tcW w:w="1500" w:type="dxa"/>
            <w:tcBorders>
              <w:top w:val="nil"/>
              <w:left w:val="nil"/>
              <w:bottom w:val="nil"/>
              <w:right w:val="nil"/>
            </w:tcBorders>
            <w:shd w:val="clear" w:color="auto" w:fill="EBF3FB"/>
            <w:tcMar>
              <w:top w:w="80" w:type="dxa"/>
              <w:left w:w="140" w:type="dxa"/>
              <w:bottom w:w="80" w:type="dxa"/>
              <w:right w:w="140" w:type="dxa"/>
            </w:tcMar>
            <w:vAlign w:val="center"/>
          </w:tcPr>
          <w:p w:rsidR="00B8529E" w:rsidRDefault="00962DB2">
            <w:pPr>
              <w:jc w:val="center"/>
            </w:pPr>
            <w:r>
              <w:rPr>
                <w:rFonts w:ascii="Arial" w:eastAsia="Arial" w:hAnsi="Arial" w:cs="Arial"/>
                <w:color w:val="000000"/>
                <w:sz w:val="19"/>
                <w:szCs w:val="19"/>
              </w:rPr>
              <w:t>40.3%</w:t>
            </w:r>
          </w:p>
        </w:tc>
      </w:tr>
      <w:tr w:rsidR="00B8529E">
        <w:tc>
          <w:tcPr>
            <w:tcW w:w="5800" w:type="dxa"/>
            <w:tcBorders>
              <w:top w:val="nil"/>
              <w:left w:val="nil"/>
              <w:bottom w:val="nil"/>
              <w:right w:val="nil"/>
            </w:tcBorders>
            <w:shd w:val="clear" w:color="auto" w:fill="FFFFFF"/>
            <w:tcMar>
              <w:top w:w="80" w:type="dxa"/>
              <w:left w:w="140" w:type="dxa"/>
              <w:bottom w:w="80" w:type="dxa"/>
              <w:right w:w="140" w:type="dxa"/>
            </w:tcMar>
            <w:vAlign w:val="center"/>
          </w:tcPr>
          <w:p w:rsidR="00B8529E" w:rsidRDefault="00962DB2">
            <w:r>
              <w:rPr>
                <w:rFonts w:ascii="Arial" w:eastAsia="Arial" w:hAnsi="Arial" w:cs="Arial"/>
                <w:color w:val="000000"/>
                <w:sz w:val="19"/>
                <w:szCs w:val="19"/>
              </w:rPr>
              <w:t>PBM mechanism of action</w:t>
            </w:r>
          </w:p>
        </w:tc>
        <w:tc>
          <w:tcPr>
            <w:tcW w:w="1500" w:type="dxa"/>
            <w:tcBorders>
              <w:top w:val="nil"/>
              <w:left w:val="nil"/>
              <w:bottom w:val="nil"/>
              <w:right w:val="nil"/>
            </w:tcBorders>
            <w:shd w:val="clear" w:color="auto" w:fill="FFFFFF"/>
            <w:tcMar>
              <w:top w:w="80" w:type="dxa"/>
              <w:left w:w="140" w:type="dxa"/>
              <w:bottom w:w="80" w:type="dxa"/>
              <w:right w:w="140" w:type="dxa"/>
            </w:tcMar>
            <w:vAlign w:val="center"/>
          </w:tcPr>
          <w:p w:rsidR="00B8529E" w:rsidRDefault="00962DB2">
            <w:pPr>
              <w:jc w:val="center"/>
            </w:pPr>
            <w:r>
              <w:rPr>
                <w:rFonts w:ascii="Arial" w:eastAsia="Arial" w:hAnsi="Arial" w:cs="Arial"/>
                <w:color w:val="000000"/>
                <w:sz w:val="19"/>
                <w:szCs w:val="19"/>
              </w:rPr>
              <w:t>35.5%</w:t>
            </w:r>
          </w:p>
        </w:tc>
      </w:tr>
      <w:tr w:rsidR="00B8529E">
        <w:tc>
          <w:tcPr>
            <w:tcW w:w="5800" w:type="dxa"/>
            <w:tcBorders>
              <w:top w:val="nil"/>
              <w:left w:val="nil"/>
              <w:bottom w:val="nil"/>
              <w:right w:val="nil"/>
            </w:tcBorders>
            <w:shd w:val="clear" w:color="auto" w:fill="1F3864"/>
            <w:tcMar>
              <w:top w:w="80" w:type="dxa"/>
              <w:left w:w="140" w:type="dxa"/>
              <w:bottom w:w="80" w:type="dxa"/>
              <w:right w:w="140" w:type="dxa"/>
            </w:tcMar>
            <w:vAlign w:val="center"/>
          </w:tcPr>
          <w:p w:rsidR="00B8529E" w:rsidRDefault="00962DB2">
            <w:r>
              <w:rPr>
                <w:rFonts w:ascii="Arial" w:eastAsia="Arial" w:hAnsi="Arial" w:cs="Arial"/>
                <w:b/>
                <w:bCs/>
                <w:color w:val="FFFFFF"/>
                <w:sz w:val="20"/>
                <w:szCs w:val="20"/>
              </w:rPr>
              <w:t>AVERAGE KNOWLEDGE SCORE</w:t>
            </w:r>
          </w:p>
        </w:tc>
        <w:tc>
          <w:tcPr>
            <w:tcW w:w="1500" w:type="dxa"/>
            <w:tcBorders>
              <w:top w:val="nil"/>
              <w:left w:val="nil"/>
              <w:bottom w:val="nil"/>
              <w:right w:val="nil"/>
            </w:tcBorders>
            <w:shd w:val="clear" w:color="auto" w:fill="1F3864"/>
            <w:tcMar>
              <w:top w:w="80" w:type="dxa"/>
              <w:left w:w="140" w:type="dxa"/>
              <w:bottom w:w="80" w:type="dxa"/>
              <w:right w:w="140" w:type="dxa"/>
            </w:tcMar>
            <w:vAlign w:val="center"/>
          </w:tcPr>
          <w:p w:rsidR="00B8529E" w:rsidRDefault="00962DB2">
            <w:pPr>
              <w:jc w:val="center"/>
            </w:pPr>
            <w:r>
              <w:rPr>
                <w:rFonts w:ascii="Arial" w:eastAsia="Arial" w:hAnsi="Arial" w:cs="Arial"/>
                <w:b/>
                <w:bCs/>
                <w:color w:val="FFFFFF"/>
                <w:sz w:val="20"/>
                <w:szCs w:val="20"/>
              </w:rPr>
              <w:t>51.3%</w:t>
            </w:r>
          </w:p>
        </w:tc>
      </w:tr>
    </w:tbl>
    <w:p w:rsidR="00B8529E" w:rsidRDefault="00B8529E">
      <w:pPr>
        <w:jc w:val="both"/>
        <w:rPr>
          <w:rFonts w:ascii="Times New Roman" w:eastAsia="Times New Roman" w:hAnsi="Times New Roman" w:cs="Times New Roman"/>
        </w:rPr>
      </w:pPr>
    </w:p>
    <w:p w:rsidR="00B8529E" w:rsidRDefault="00B8529E">
      <w:pPr>
        <w:spacing w:before="100"/>
        <w:rPr>
          <w:rFonts w:ascii="Arial" w:eastAsia="Arial" w:hAnsi="Arial" w:cs="Arial"/>
          <w:b/>
          <w:bCs/>
          <w:color w:val="1F3864"/>
        </w:rPr>
      </w:pPr>
    </w:p>
    <w:p w:rsidR="00B8529E" w:rsidRDefault="00B8529E">
      <w:pPr>
        <w:spacing w:before="100"/>
        <w:rPr>
          <w:rFonts w:ascii="Arial" w:eastAsia="Arial" w:hAnsi="Arial" w:cs="Arial"/>
          <w:b/>
          <w:bCs/>
          <w:color w:val="1F3864"/>
        </w:rPr>
      </w:pPr>
    </w:p>
    <w:p w:rsidR="00B8529E" w:rsidRDefault="00B8529E">
      <w:pPr>
        <w:spacing w:before="100"/>
        <w:rPr>
          <w:rFonts w:ascii="Arial" w:eastAsia="Arial" w:hAnsi="Arial" w:cs="Arial"/>
          <w:b/>
          <w:bCs/>
          <w:color w:val="1F3864"/>
        </w:rPr>
      </w:pPr>
    </w:p>
    <w:p w:rsidR="00B8529E" w:rsidRDefault="00B8529E">
      <w:pPr>
        <w:spacing w:before="100"/>
        <w:rPr>
          <w:rFonts w:ascii="Arial" w:eastAsia="Arial" w:hAnsi="Arial" w:cs="Arial"/>
          <w:b/>
          <w:bCs/>
          <w:color w:val="1F3864"/>
        </w:rPr>
      </w:pPr>
    </w:p>
    <w:p w:rsidR="00B8529E" w:rsidRDefault="00962DB2">
      <w:pPr>
        <w:spacing w:before="100"/>
      </w:pPr>
      <w:r>
        <w:rPr>
          <w:rFonts w:ascii="Arial" w:eastAsia="Arial" w:hAnsi="Arial" w:cs="Arial"/>
          <w:b/>
          <w:bCs/>
          <w:color w:val="1F3864"/>
        </w:rPr>
        <w:t>TABLE 2: ATTITUDES AND PERCEPTION</w:t>
      </w:r>
    </w:p>
    <w:tbl>
      <w:tblPr>
        <w:tblStyle w:val="a1"/>
        <w:tblW w:w="8800" w:type="dxa"/>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22"/>
        <w:gridCol w:w="1270"/>
        <w:gridCol w:w="780"/>
        <w:gridCol w:w="1269"/>
        <w:gridCol w:w="1459"/>
      </w:tblGrid>
      <w:tr w:rsidR="00B8529E">
        <w:tc>
          <w:tcPr>
            <w:tcW w:w="4022" w:type="dxa"/>
            <w:tcBorders>
              <w:top w:val="nil"/>
              <w:left w:val="nil"/>
              <w:bottom w:val="nil"/>
              <w:right w:val="nil"/>
            </w:tcBorders>
            <w:shd w:val="clear" w:color="auto" w:fill="1F3864"/>
            <w:tcMar>
              <w:top w:w="80" w:type="dxa"/>
              <w:left w:w="140" w:type="dxa"/>
              <w:bottom w:w="80" w:type="dxa"/>
              <w:right w:w="140" w:type="dxa"/>
            </w:tcMar>
            <w:vAlign w:val="center"/>
          </w:tcPr>
          <w:p w:rsidR="00B8529E" w:rsidRDefault="00962DB2">
            <w:r>
              <w:rPr>
                <w:rFonts w:ascii="Arial" w:eastAsia="Arial" w:hAnsi="Arial" w:cs="Arial"/>
                <w:b/>
                <w:bCs/>
                <w:color w:val="FFFFFF"/>
                <w:sz w:val="20"/>
                <w:szCs w:val="20"/>
              </w:rPr>
              <w:t>Chi-Square Test</w:t>
            </w:r>
          </w:p>
        </w:tc>
        <w:tc>
          <w:tcPr>
            <w:tcW w:w="1270" w:type="dxa"/>
            <w:tcBorders>
              <w:top w:val="nil"/>
              <w:left w:val="nil"/>
              <w:bottom w:val="nil"/>
              <w:right w:val="nil"/>
            </w:tcBorders>
            <w:shd w:val="clear" w:color="auto" w:fill="1F3864"/>
            <w:tcMar>
              <w:top w:w="80" w:type="dxa"/>
              <w:left w:w="140" w:type="dxa"/>
              <w:bottom w:w="80" w:type="dxa"/>
              <w:right w:w="140" w:type="dxa"/>
            </w:tcMar>
            <w:vAlign w:val="center"/>
          </w:tcPr>
          <w:p w:rsidR="00B8529E" w:rsidRDefault="00962DB2">
            <w:pPr>
              <w:jc w:val="center"/>
            </w:pPr>
            <w:r>
              <w:rPr>
                <w:rFonts w:ascii="Arial" w:eastAsia="Arial" w:hAnsi="Arial" w:cs="Arial"/>
                <w:b/>
                <w:bCs/>
                <w:color w:val="FFFFFF"/>
                <w:sz w:val="20"/>
                <w:szCs w:val="20"/>
              </w:rPr>
              <w:t>χ² Value</w:t>
            </w:r>
          </w:p>
        </w:tc>
        <w:tc>
          <w:tcPr>
            <w:tcW w:w="780" w:type="dxa"/>
            <w:tcBorders>
              <w:top w:val="nil"/>
              <w:left w:val="nil"/>
              <w:bottom w:val="nil"/>
              <w:right w:val="nil"/>
            </w:tcBorders>
            <w:shd w:val="clear" w:color="auto" w:fill="1F3864"/>
            <w:tcMar>
              <w:top w:w="80" w:type="dxa"/>
              <w:left w:w="140" w:type="dxa"/>
              <w:bottom w:w="80" w:type="dxa"/>
              <w:right w:w="140" w:type="dxa"/>
            </w:tcMar>
            <w:vAlign w:val="center"/>
          </w:tcPr>
          <w:p w:rsidR="00B8529E" w:rsidRDefault="00962DB2">
            <w:pPr>
              <w:jc w:val="center"/>
            </w:pPr>
            <w:r>
              <w:rPr>
                <w:rFonts w:ascii="Arial" w:eastAsia="Arial" w:hAnsi="Arial" w:cs="Arial"/>
                <w:b/>
                <w:bCs/>
                <w:color w:val="FFFFFF"/>
                <w:sz w:val="20"/>
                <w:szCs w:val="20"/>
              </w:rPr>
              <w:t>df</w:t>
            </w:r>
          </w:p>
        </w:tc>
        <w:tc>
          <w:tcPr>
            <w:tcW w:w="1269" w:type="dxa"/>
            <w:tcBorders>
              <w:top w:val="nil"/>
              <w:left w:val="nil"/>
              <w:bottom w:val="nil"/>
              <w:right w:val="nil"/>
            </w:tcBorders>
            <w:shd w:val="clear" w:color="auto" w:fill="1F3864"/>
            <w:tcMar>
              <w:top w:w="80" w:type="dxa"/>
              <w:left w:w="140" w:type="dxa"/>
              <w:bottom w:w="80" w:type="dxa"/>
              <w:right w:w="140" w:type="dxa"/>
            </w:tcMar>
            <w:vAlign w:val="center"/>
          </w:tcPr>
          <w:p w:rsidR="00B8529E" w:rsidRDefault="00962DB2">
            <w:pPr>
              <w:jc w:val="center"/>
            </w:pPr>
            <w:r>
              <w:rPr>
                <w:rFonts w:ascii="Arial" w:eastAsia="Arial" w:hAnsi="Arial" w:cs="Arial"/>
                <w:b/>
                <w:bCs/>
                <w:color w:val="FFFFFF"/>
                <w:sz w:val="20"/>
                <w:szCs w:val="20"/>
              </w:rPr>
              <w:t>p-value</w:t>
            </w:r>
          </w:p>
        </w:tc>
        <w:tc>
          <w:tcPr>
            <w:tcW w:w="1459" w:type="dxa"/>
            <w:tcBorders>
              <w:top w:val="nil"/>
              <w:left w:val="nil"/>
              <w:bottom w:val="nil"/>
              <w:right w:val="nil"/>
            </w:tcBorders>
            <w:shd w:val="clear" w:color="auto" w:fill="1F3864"/>
            <w:tcMar>
              <w:top w:w="80" w:type="dxa"/>
              <w:left w:w="140" w:type="dxa"/>
              <w:bottom w:w="80" w:type="dxa"/>
              <w:right w:w="140" w:type="dxa"/>
            </w:tcMar>
            <w:vAlign w:val="center"/>
          </w:tcPr>
          <w:p w:rsidR="00B8529E" w:rsidRDefault="00962DB2">
            <w:pPr>
              <w:jc w:val="center"/>
            </w:pPr>
            <w:r>
              <w:rPr>
                <w:rFonts w:ascii="Arial" w:eastAsia="Arial" w:hAnsi="Arial" w:cs="Arial"/>
                <w:b/>
                <w:bCs/>
                <w:color w:val="FFFFFF"/>
                <w:sz w:val="20"/>
                <w:szCs w:val="20"/>
              </w:rPr>
              <w:t>Significance</w:t>
            </w:r>
          </w:p>
        </w:tc>
      </w:tr>
      <w:tr w:rsidR="00B8529E">
        <w:tc>
          <w:tcPr>
            <w:tcW w:w="4022" w:type="dxa"/>
            <w:tcBorders>
              <w:top w:val="nil"/>
              <w:left w:val="nil"/>
              <w:bottom w:val="nil"/>
              <w:right w:val="nil"/>
            </w:tcBorders>
            <w:shd w:val="clear" w:color="auto" w:fill="FFFFFF"/>
            <w:tcMar>
              <w:top w:w="80" w:type="dxa"/>
              <w:left w:w="140" w:type="dxa"/>
              <w:bottom w:w="80" w:type="dxa"/>
              <w:right w:w="140" w:type="dxa"/>
            </w:tcMar>
            <w:vAlign w:val="center"/>
          </w:tcPr>
          <w:p w:rsidR="00B8529E" w:rsidRDefault="00962DB2">
            <w:r>
              <w:rPr>
                <w:rFonts w:ascii="Arial" w:eastAsia="Arial" w:hAnsi="Arial" w:cs="Arial"/>
                <w:color w:val="000000"/>
                <w:sz w:val="19"/>
                <w:szCs w:val="19"/>
              </w:rPr>
              <w:lastRenderedPageBreak/>
              <w:t>Heard of PBM vs Qualification</w:t>
            </w:r>
          </w:p>
        </w:tc>
        <w:tc>
          <w:tcPr>
            <w:tcW w:w="1270" w:type="dxa"/>
            <w:tcBorders>
              <w:top w:val="nil"/>
              <w:left w:val="nil"/>
              <w:bottom w:val="nil"/>
              <w:right w:val="nil"/>
            </w:tcBorders>
            <w:shd w:val="clear" w:color="auto" w:fill="FFFFFF"/>
            <w:tcMar>
              <w:top w:w="80" w:type="dxa"/>
              <w:left w:w="140" w:type="dxa"/>
              <w:bottom w:w="80" w:type="dxa"/>
              <w:right w:w="140" w:type="dxa"/>
            </w:tcMar>
            <w:vAlign w:val="center"/>
          </w:tcPr>
          <w:p w:rsidR="00B8529E" w:rsidRDefault="00962DB2">
            <w:pPr>
              <w:jc w:val="center"/>
            </w:pPr>
            <w:r>
              <w:rPr>
                <w:rFonts w:ascii="Arial" w:eastAsia="Arial" w:hAnsi="Arial" w:cs="Arial"/>
                <w:color w:val="000000"/>
                <w:sz w:val="19"/>
                <w:szCs w:val="19"/>
              </w:rPr>
              <w:t>6.606</w:t>
            </w:r>
          </w:p>
        </w:tc>
        <w:tc>
          <w:tcPr>
            <w:tcW w:w="780" w:type="dxa"/>
            <w:tcBorders>
              <w:top w:val="nil"/>
              <w:left w:val="nil"/>
              <w:bottom w:val="nil"/>
              <w:right w:val="nil"/>
            </w:tcBorders>
            <w:shd w:val="clear" w:color="auto" w:fill="FFFFFF"/>
            <w:tcMar>
              <w:top w:w="80" w:type="dxa"/>
              <w:left w:w="140" w:type="dxa"/>
              <w:bottom w:w="80" w:type="dxa"/>
              <w:right w:w="140" w:type="dxa"/>
            </w:tcMar>
            <w:vAlign w:val="center"/>
          </w:tcPr>
          <w:p w:rsidR="00B8529E" w:rsidRDefault="00962DB2">
            <w:pPr>
              <w:jc w:val="center"/>
            </w:pPr>
            <w:r>
              <w:rPr>
                <w:rFonts w:ascii="Arial" w:eastAsia="Arial" w:hAnsi="Arial" w:cs="Arial"/>
                <w:color w:val="000000"/>
                <w:sz w:val="19"/>
                <w:szCs w:val="19"/>
              </w:rPr>
              <w:t>2</w:t>
            </w:r>
          </w:p>
        </w:tc>
        <w:tc>
          <w:tcPr>
            <w:tcW w:w="1269" w:type="dxa"/>
            <w:tcBorders>
              <w:top w:val="nil"/>
              <w:left w:val="nil"/>
              <w:bottom w:val="nil"/>
              <w:right w:val="nil"/>
            </w:tcBorders>
            <w:shd w:val="clear" w:color="auto" w:fill="FFFFFF"/>
            <w:tcMar>
              <w:top w:w="80" w:type="dxa"/>
              <w:left w:w="140" w:type="dxa"/>
              <w:bottom w:w="80" w:type="dxa"/>
              <w:right w:w="140" w:type="dxa"/>
            </w:tcMar>
            <w:vAlign w:val="center"/>
          </w:tcPr>
          <w:p w:rsidR="00B8529E" w:rsidRDefault="00962DB2">
            <w:pPr>
              <w:jc w:val="center"/>
            </w:pPr>
            <w:r>
              <w:rPr>
                <w:rFonts w:ascii="Arial" w:eastAsia="Arial" w:hAnsi="Arial" w:cs="Arial"/>
                <w:color w:val="000000"/>
                <w:sz w:val="19"/>
                <w:szCs w:val="19"/>
              </w:rPr>
              <w:t>0.037</w:t>
            </w:r>
          </w:p>
        </w:tc>
        <w:tc>
          <w:tcPr>
            <w:tcW w:w="1459" w:type="dxa"/>
            <w:tcBorders>
              <w:top w:val="nil"/>
              <w:left w:val="nil"/>
              <w:bottom w:val="nil"/>
              <w:right w:val="nil"/>
            </w:tcBorders>
            <w:shd w:val="clear" w:color="auto" w:fill="FFFFFF"/>
            <w:tcMar>
              <w:top w:w="80" w:type="dxa"/>
              <w:left w:w="140" w:type="dxa"/>
              <w:bottom w:w="80" w:type="dxa"/>
              <w:right w:w="140" w:type="dxa"/>
            </w:tcMar>
            <w:vAlign w:val="center"/>
          </w:tcPr>
          <w:p w:rsidR="00B8529E" w:rsidRDefault="00962DB2">
            <w:pPr>
              <w:jc w:val="center"/>
            </w:pPr>
            <w:r>
              <w:rPr>
                <w:rFonts w:ascii="Arial" w:eastAsia="Arial" w:hAnsi="Arial" w:cs="Arial"/>
                <w:color w:val="000000"/>
                <w:sz w:val="19"/>
                <w:szCs w:val="19"/>
              </w:rPr>
              <w:t>Significant*</w:t>
            </w:r>
          </w:p>
        </w:tc>
      </w:tr>
      <w:tr w:rsidR="00B8529E">
        <w:tc>
          <w:tcPr>
            <w:tcW w:w="4022" w:type="dxa"/>
            <w:tcBorders>
              <w:top w:val="nil"/>
              <w:left w:val="nil"/>
              <w:bottom w:val="nil"/>
              <w:right w:val="nil"/>
            </w:tcBorders>
            <w:shd w:val="clear" w:color="auto" w:fill="EBF3FB"/>
            <w:tcMar>
              <w:top w:w="80" w:type="dxa"/>
              <w:left w:w="140" w:type="dxa"/>
              <w:bottom w:w="80" w:type="dxa"/>
              <w:right w:w="140" w:type="dxa"/>
            </w:tcMar>
            <w:vAlign w:val="center"/>
          </w:tcPr>
          <w:p w:rsidR="00B8529E" w:rsidRDefault="00962DB2">
            <w:r>
              <w:rPr>
                <w:rFonts w:ascii="Arial" w:eastAsia="Arial" w:hAnsi="Arial" w:cs="Arial"/>
                <w:color w:val="000000"/>
                <w:sz w:val="19"/>
                <w:szCs w:val="19"/>
              </w:rPr>
              <w:t>PBM Awareness vs Qualification</w:t>
            </w:r>
          </w:p>
        </w:tc>
        <w:tc>
          <w:tcPr>
            <w:tcW w:w="1270" w:type="dxa"/>
            <w:tcBorders>
              <w:top w:val="nil"/>
              <w:left w:val="nil"/>
              <w:bottom w:val="nil"/>
              <w:right w:val="nil"/>
            </w:tcBorders>
            <w:shd w:val="clear" w:color="auto" w:fill="EBF3FB"/>
            <w:tcMar>
              <w:top w:w="80" w:type="dxa"/>
              <w:left w:w="140" w:type="dxa"/>
              <w:bottom w:w="80" w:type="dxa"/>
              <w:right w:w="140" w:type="dxa"/>
            </w:tcMar>
            <w:vAlign w:val="center"/>
          </w:tcPr>
          <w:p w:rsidR="00B8529E" w:rsidRDefault="00962DB2">
            <w:pPr>
              <w:jc w:val="center"/>
            </w:pPr>
            <w:r>
              <w:rPr>
                <w:rFonts w:ascii="Arial" w:eastAsia="Arial" w:hAnsi="Arial" w:cs="Arial"/>
                <w:color w:val="000000"/>
                <w:sz w:val="19"/>
                <w:szCs w:val="19"/>
              </w:rPr>
              <w:t>5.047</w:t>
            </w:r>
          </w:p>
        </w:tc>
        <w:tc>
          <w:tcPr>
            <w:tcW w:w="780" w:type="dxa"/>
            <w:tcBorders>
              <w:top w:val="nil"/>
              <w:left w:val="nil"/>
              <w:bottom w:val="nil"/>
              <w:right w:val="nil"/>
            </w:tcBorders>
            <w:shd w:val="clear" w:color="auto" w:fill="EBF3FB"/>
            <w:tcMar>
              <w:top w:w="80" w:type="dxa"/>
              <w:left w:w="140" w:type="dxa"/>
              <w:bottom w:w="80" w:type="dxa"/>
              <w:right w:w="140" w:type="dxa"/>
            </w:tcMar>
            <w:vAlign w:val="center"/>
          </w:tcPr>
          <w:p w:rsidR="00B8529E" w:rsidRDefault="00962DB2">
            <w:pPr>
              <w:jc w:val="center"/>
            </w:pPr>
            <w:r>
              <w:rPr>
                <w:rFonts w:ascii="Arial" w:eastAsia="Arial" w:hAnsi="Arial" w:cs="Arial"/>
                <w:color w:val="000000"/>
                <w:sz w:val="19"/>
                <w:szCs w:val="19"/>
              </w:rPr>
              <w:t>2</w:t>
            </w:r>
          </w:p>
        </w:tc>
        <w:tc>
          <w:tcPr>
            <w:tcW w:w="1269" w:type="dxa"/>
            <w:tcBorders>
              <w:top w:val="nil"/>
              <w:left w:val="nil"/>
              <w:bottom w:val="nil"/>
              <w:right w:val="nil"/>
            </w:tcBorders>
            <w:shd w:val="clear" w:color="auto" w:fill="EBF3FB"/>
            <w:tcMar>
              <w:top w:w="80" w:type="dxa"/>
              <w:left w:w="140" w:type="dxa"/>
              <w:bottom w:w="80" w:type="dxa"/>
              <w:right w:w="140" w:type="dxa"/>
            </w:tcMar>
            <w:vAlign w:val="center"/>
          </w:tcPr>
          <w:p w:rsidR="00B8529E" w:rsidRDefault="00962DB2">
            <w:pPr>
              <w:jc w:val="center"/>
            </w:pPr>
            <w:r>
              <w:rPr>
                <w:rFonts w:ascii="Arial" w:eastAsia="Arial" w:hAnsi="Arial" w:cs="Arial"/>
                <w:color w:val="000000"/>
                <w:sz w:val="19"/>
                <w:szCs w:val="19"/>
              </w:rPr>
              <w:t>0.080</w:t>
            </w:r>
          </w:p>
        </w:tc>
        <w:tc>
          <w:tcPr>
            <w:tcW w:w="1459" w:type="dxa"/>
            <w:tcBorders>
              <w:top w:val="nil"/>
              <w:left w:val="nil"/>
              <w:bottom w:val="nil"/>
              <w:right w:val="nil"/>
            </w:tcBorders>
            <w:shd w:val="clear" w:color="auto" w:fill="EBF3FB"/>
            <w:tcMar>
              <w:top w:w="80" w:type="dxa"/>
              <w:left w:w="140" w:type="dxa"/>
              <w:bottom w:w="80" w:type="dxa"/>
              <w:right w:w="140" w:type="dxa"/>
            </w:tcMar>
            <w:vAlign w:val="center"/>
          </w:tcPr>
          <w:p w:rsidR="00B8529E" w:rsidRDefault="00962DB2">
            <w:pPr>
              <w:jc w:val="center"/>
            </w:pPr>
            <w:r>
              <w:rPr>
                <w:rFonts w:ascii="Arial" w:eastAsia="Arial" w:hAnsi="Arial" w:cs="Arial"/>
                <w:color w:val="000000"/>
                <w:sz w:val="19"/>
                <w:szCs w:val="19"/>
              </w:rPr>
              <w:t>Not Significant</w:t>
            </w:r>
          </w:p>
        </w:tc>
      </w:tr>
      <w:tr w:rsidR="00B8529E">
        <w:tc>
          <w:tcPr>
            <w:tcW w:w="4022" w:type="dxa"/>
            <w:tcBorders>
              <w:top w:val="nil"/>
              <w:left w:val="nil"/>
              <w:bottom w:val="nil"/>
              <w:right w:val="nil"/>
            </w:tcBorders>
            <w:shd w:val="clear" w:color="auto" w:fill="FFFFFF"/>
            <w:tcMar>
              <w:top w:w="80" w:type="dxa"/>
              <w:left w:w="140" w:type="dxa"/>
              <w:bottom w:w="80" w:type="dxa"/>
              <w:right w:w="140" w:type="dxa"/>
            </w:tcMar>
            <w:vAlign w:val="center"/>
          </w:tcPr>
          <w:p w:rsidR="00B8529E" w:rsidRDefault="00962DB2">
            <w:r>
              <w:rPr>
                <w:rFonts w:ascii="Arial" w:eastAsia="Arial" w:hAnsi="Arial" w:cs="Arial"/>
                <w:color w:val="000000"/>
                <w:sz w:val="19"/>
                <w:szCs w:val="19"/>
              </w:rPr>
              <w:t>PBM Awareness vs Experience</w:t>
            </w:r>
          </w:p>
        </w:tc>
        <w:tc>
          <w:tcPr>
            <w:tcW w:w="1270" w:type="dxa"/>
            <w:tcBorders>
              <w:top w:val="nil"/>
              <w:left w:val="nil"/>
              <w:bottom w:val="nil"/>
              <w:right w:val="nil"/>
            </w:tcBorders>
            <w:shd w:val="clear" w:color="auto" w:fill="FFFFFF"/>
            <w:tcMar>
              <w:top w:w="80" w:type="dxa"/>
              <w:left w:w="140" w:type="dxa"/>
              <w:bottom w:w="80" w:type="dxa"/>
              <w:right w:w="140" w:type="dxa"/>
            </w:tcMar>
            <w:vAlign w:val="center"/>
          </w:tcPr>
          <w:p w:rsidR="00B8529E" w:rsidRDefault="00962DB2">
            <w:pPr>
              <w:jc w:val="center"/>
            </w:pPr>
            <w:r>
              <w:rPr>
                <w:rFonts w:ascii="Arial" w:eastAsia="Arial" w:hAnsi="Arial" w:cs="Arial"/>
                <w:color w:val="000000"/>
                <w:sz w:val="19"/>
                <w:szCs w:val="19"/>
              </w:rPr>
              <w:t>3.142</w:t>
            </w:r>
          </w:p>
        </w:tc>
        <w:tc>
          <w:tcPr>
            <w:tcW w:w="780" w:type="dxa"/>
            <w:tcBorders>
              <w:top w:val="nil"/>
              <w:left w:val="nil"/>
              <w:bottom w:val="nil"/>
              <w:right w:val="nil"/>
            </w:tcBorders>
            <w:shd w:val="clear" w:color="auto" w:fill="FFFFFF"/>
            <w:tcMar>
              <w:top w:w="80" w:type="dxa"/>
              <w:left w:w="140" w:type="dxa"/>
              <w:bottom w:w="80" w:type="dxa"/>
              <w:right w:w="140" w:type="dxa"/>
            </w:tcMar>
            <w:vAlign w:val="center"/>
          </w:tcPr>
          <w:p w:rsidR="00B8529E" w:rsidRDefault="00962DB2">
            <w:pPr>
              <w:jc w:val="center"/>
            </w:pPr>
            <w:r>
              <w:rPr>
                <w:rFonts w:ascii="Arial" w:eastAsia="Arial" w:hAnsi="Arial" w:cs="Arial"/>
                <w:color w:val="000000"/>
                <w:sz w:val="19"/>
                <w:szCs w:val="19"/>
              </w:rPr>
              <w:t>3</w:t>
            </w:r>
          </w:p>
        </w:tc>
        <w:tc>
          <w:tcPr>
            <w:tcW w:w="1269" w:type="dxa"/>
            <w:tcBorders>
              <w:top w:val="nil"/>
              <w:left w:val="nil"/>
              <w:bottom w:val="nil"/>
              <w:right w:val="nil"/>
            </w:tcBorders>
            <w:shd w:val="clear" w:color="auto" w:fill="FFFFFF"/>
            <w:tcMar>
              <w:top w:w="80" w:type="dxa"/>
              <w:left w:w="140" w:type="dxa"/>
              <w:bottom w:w="80" w:type="dxa"/>
              <w:right w:w="140" w:type="dxa"/>
            </w:tcMar>
            <w:vAlign w:val="center"/>
          </w:tcPr>
          <w:p w:rsidR="00B8529E" w:rsidRDefault="00962DB2">
            <w:pPr>
              <w:jc w:val="center"/>
            </w:pPr>
            <w:r>
              <w:rPr>
                <w:rFonts w:ascii="Arial" w:eastAsia="Arial" w:hAnsi="Arial" w:cs="Arial"/>
                <w:color w:val="000000"/>
                <w:sz w:val="19"/>
                <w:szCs w:val="19"/>
              </w:rPr>
              <w:t>0.370</w:t>
            </w:r>
          </w:p>
        </w:tc>
        <w:tc>
          <w:tcPr>
            <w:tcW w:w="1459" w:type="dxa"/>
            <w:tcBorders>
              <w:top w:val="nil"/>
              <w:left w:val="nil"/>
              <w:bottom w:val="nil"/>
              <w:right w:val="nil"/>
            </w:tcBorders>
            <w:shd w:val="clear" w:color="auto" w:fill="FFFFFF"/>
            <w:tcMar>
              <w:top w:w="80" w:type="dxa"/>
              <w:left w:w="140" w:type="dxa"/>
              <w:bottom w:w="80" w:type="dxa"/>
              <w:right w:w="140" w:type="dxa"/>
            </w:tcMar>
            <w:vAlign w:val="center"/>
          </w:tcPr>
          <w:p w:rsidR="00B8529E" w:rsidRDefault="00962DB2">
            <w:pPr>
              <w:jc w:val="center"/>
            </w:pPr>
            <w:r>
              <w:rPr>
                <w:rFonts w:ascii="Arial" w:eastAsia="Arial" w:hAnsi="Arial" w:cs="Arial"/>
                <w:color w:val="000000"/>
                <w:sz w:val="19"/>
                <w:szCs w:val="19"/>
              </w:rPr>
              <w:t>Not Significant</w:t>
            </w:r>
          </w:p>
        </w:tc>
      </w:tr>
      <w:tr w:rsidR="00B8529E">
        <w:tc>
          <w:tcPr>
            <w:tcW w:w="4022" w:type="dxa"/>
            <w:tcBorders>
              <w:top w:val="nil"/>
              <w:left w:val="nil"/>
              <w:bottom w:val="nil"/>
              <w:right w:val="nil"/>
            </w:tcBorders>
            <w:shd w:val="clear" w:color="auto" w:fill="EBF3FB"/>
            <w:tcMar>
              <w:top w:w="80" w:type="dxa"/>
              <w:left w:w="140" w:type="dxa"/>
              <w:bottom w:w="80" w:type="dxa"/>
              <w:right w:w="140" w:type="dxa"/>
            </w:tcMar>
            <w:vAlign w:val="center"/>
          </w:tcPr>
          <w:p w:rsidR="00B8529E" w:rsidRDefault="00962DB2">
            <w:r>
              <w:rPr>
                <w:rFonts w:ascii="Arial" w:eastAsia="Arial" w:hAnsi="Arial" w:cs="Arial"/>
                <w:color w:val="000000"/>
                <w:sz w:val="19"/>
                <w:szCs w:val="19"/>
              </w:rPr>
              <w:t>Seen PBM vs Qualification</w:t>
            </w:r>
          </w:p>
        </w:tc>
        <w:tc>
          <w:tcPr>
            <w:tcW w:w="1270" w:type="dxa"/>
            <w:tcBorders>
              <w:top w:val="nil"/>
              <w:left w:val="nil"/>
              <w:bottom w:val="nil"/>
              <w:right w:val="nil"/>
            </w:tcBorders>
            <w:shd w:val="clear" w:color="auto" w:fill="EBF3FB"/>
            <w:tcMar>
              <w:top w:w="80" w:type="dxa"/>
              <w:left w:w="140" w:type="dxa"/>
              <w:bottom w:w="80" w:type="dxa"/>
              <w:right w:w="140" w:type="dxa"/>
            </w:tcMar>
            <w:vAlign w:val="center"/>
          </w:tcPr>
          <w:p w:rsidR="00B8529E" w:rsidRDefault="00962DB2">
            <w:pPr>
              <w:jc w:val="center"/>
            </w:pPr>
            <w:r>
              <w:rPr>
                <w:rFonts w:ascii="Arial" w:eastAsia="Arial" w:hAnsi="Arial" w:cs="Arial"/>
                <w:color w:val="000000"/>
                <w:sz w:val="19"/>
                <w:szCs w:val="19"/>
              </w:rPr>
              <w:t>2.027</w:t>
            </w:r>
          </w:p>
        </w:tc>
        <w:tc>
          <w:tcPr>
            <w:tcW w:w="780" w:type="dxa"/>
            <w:tcBorders>
              <w:top w:val="nil"/>
              <w:left w:val="nil"/>
              <w:bottom w:val="nil"/>
              <w:right w:val="nil"/>
            </w:tcBorders>
            <w:shd w:val="clear" w:color="auto" w:fill="EBF3FB"/>
            <w:tcMar>
              <w:top w:w="80" w:type="dxa"/>
              <w:left w:w="140" w:type="dxa"/>
              <w:bottom w:w="80" w:type="dxa"/>
              <w:right w:w="140" w:type="dxa"/>
            </w:tcMar>
            <w:vAlign w:val="center"/>
          </w:tcPr>
          <w:p w:rsidR="00B8529E" w:rsidRDefault="00962DB2">
            <w:pPr>
              <w:jc w:val="center"/>
            </w:pPr>
            <w:r>
              <w:rPr>
                <w:rFonts w:ascii="Arial" w:eastAsia="Arial" w:hAnsi="Arial" w:cs="Arial"/>
                <w:color w:val="000000"/>
                <w:sz w:val="19"/>
                <w:szCs w:val="19"/>
              </w:rPr>
              <w:t>2</w:t>
            </w:r>
          </w:p>
        </w:tc>
        <w:tc>
          <w:tcPr>
            <w:tcW w:w="1269" w:type="dxa"/>
            <w:tcBorders>
              <w:top w:val="nil"/>
              <w:left w:val="nil"/>
              <w:bottom w:val="nil"/>
              <w:right w:val="nil"/>
            </w:tcBorders>
            <w:shd w:val="clear" w:color="auto" w:fill="EBF3FB"/>
            <w:tcMar>
              <w:top w:w="80" w:type="dxa"/>
              <w:left w:w="140" w:type="dxa"/>
              <w:bottom w:w="80" w:type="dxa"/>
              <w:right w:w="140" w:type="dxa"/>
            </w:tcMar>
            <w:vAlign w:val="center"/>
          </w:tcPr>
          <w:p w:rsidR="00B8529E" w:rsidRDefault="00962DB2">
            <w:pPr>
              <w:jc w:val="center"/>
            </w:pPr>
            <w:r>
              <w:rPr>
                <w:rFonts w:ascii="Arial" w:eastAsia="Arial" w:hAnsi="Arial" w:cs="Arial"/>
                <w:color w:val="000000"/>
                <w:sz w:val="19"/>
                <w:szCs w:val="19"/>
              </w:rPr>
              <w:t>0.363</w:t>
            </w:r>
          </w:p>
        </w:tc>
        <w:tc>
          <w:tcPr>
            <w:tcW w:w="1459" w:type="dxa"/>
            <w:tcBorders>
              <w:top w:val="nil"/>
              <w:left w:val="nil"/>
              <w:bottom w:val="nil"/>
              <w:right w:val="nil"/>
            </w:tcBorders>
            <w:shd w:val="clear" w:color="auto" w:fill="EBF3FB"/>
            <w:tcMar>
              <w:top w:w="80" w:type="dxa"/>
              <w:left w:w="140" w:type="dxa"/>
              <w:bottom w:w="80" w:type="dxa"/>
              <w:right w:w="140" w:type="dxa"/>
            </w:tcMar>
            <w:vAlign w:val="center"/>
          </w:tcPr>
          <w:p w:rsidR="00B8529E" w:rsidRDefault="00962DB2">
            <w:pPr>
              <w:jc w:val="center"/>
            </w:pPr>
            <w:r>
              <w:rPr>
                <w:rFonts w:ascii="Arial" w:eastAsia="Arial" w:hAnsi="Arial" w:cs="Arial"/>
                <w:color w:val="000000"/>
                <w:sz w:val="19"/>
                <w:szCs w:val="19"/>
              </w:rPr>
              <w:t>Not Significant</w:t>
            </w:r>
          </w:p>
        </w:tc>
      </w:tr>
      <w:tr w:rsidR="00B8529E">
        <w:tc>
          <w:tcPr>
            <w:tcW w:w="4022" w:type="dxa"/>
            <w:tcBorders>
              <w:top w:val="nil"/>
              <w:left w:val="nil"/>
              <w:bottom w:val="nil"/>
              <w:right w:val="nil"/>
            </w:tcBorders>
            <w:shd w:val="clear" w:color="auto" w:fill="FFFFFF"/>
            <w:tcMar>
              <w:top w:w="80" w:type="dxa"/>
              <w:left w:w="140" w:type="dxa"/>
              <w:bottom w:w="80" w:type="dxa"/>
              <w:right w:w="140" w:type="dxa"/>
            </w:tcMar>
            <w:vAlign w:val="center"/>
          </w:tcPr>
          <w:p w:rsidR="00B8529E" w:rsidRDefault="00962DB2">
            <w:r>
              <w:rPr>
                <w:rFonts w:ascii="Arial" w:eastAsia="Arial" w:hAnsi="Arial" w:cs="Arial"/>
                <w:color w:val="000000"/>
                <w:sz w:val="19"/>
                <w:szCs w:val="19"/>
              </w:rPr>
              <w:t>Training vs Experience</w:t>
            </w:r>
          </w:p>
        </w:tc>
        <w:tc>
          <w:tcPr>
            <w:tcW w:w="1270" w:type="dxa"/>
            <w:tcBorders>
              <w:top w:val="nil"/>
              <w:left w:val="nil"/>
              <w:bottom w:val="nil"/>
              <w:right w:val="nil"/>
            </w:tcBorders>
            <w:shd w:val="clear" w:color="auto" w:fill="FFFFFF"/>
            <w:tcMar>
              <w:top w:w="80" w:type="dxa"/>
              <w:left w:w="140" w:type="dxa"/>
              <w:bottom w:w="80" w:type="dxa"/>
              <w:right w:w="140" w:type="dxa"/>
            </w:tcMar>
            <w:vAlign w:val="center"/>
          </w:tcPr>
          <w:p w:rsidR="00B8529E" w:rsidRDefault="00962DB2">
            <w:pPr>
              <w:jc w:val="center"/>
            </w:pPr>
            <w:r>
              <w:rPr>
                <w:rFonts w:ascii="Arial" w:eastAsia="Arial" w:hAnsi="Arial" w:cs="Arial"/>
                <w:color w:val="000000"/>
                <w:sz w:val="19"/>
                <w:szCs w:val="19"/>
              </w:rPr>
              <w:t>4.605</w:t>
            </w:r>
          </w:p>
        </w:tc>
        <w:tc>
          <w:tcPr>
            <w:tcW w:w="780" w:type="dxa"/>
            <w:tcBorders>
              <w:top w:val="nil"/>
              <w:left w:val="nil"/>
              <w:bottom w:val="nil"/>
              <w:right w:val="nil"/>
            </w:tcBorders>
            <w:shd w:val="clear" w:color="auto" w:fill="FFFFFF"/>
            <w:tcMar>
              <w:top w:w="80" w:type="dxa"/>
              <w:left w:w="140" w:type="dxa"/>
              <w:bottom w:w="80" w:type="dxa"/>
              <w:right w:w="140" w:type="dxa"/>
            </w:tcMar>
            <w:vAlign w:val="center"/>
          </w:tcPr>
          <w:p w:rsidR="00B8529E" w:rsidRDefault="00962DB2">
            <w:pPr>
              <w:jc w:val="center"/>
            </w:pPr>
            <w:r>
              <w:rPr>
                <w:rFonts w:ascii="Arial" w:eastAsia="Arial" w:hAnsi="Arial" w:cs="Arial"/>
                <w:color w:val="000000"/>
                <w:sz w:val="19"/>
                <w:szCs w:val="19"/>
              </w:rPr>
              <w:t>3</w:t>
            </w:r>
          </w:p>
        </w:tc>
        <w:tc>
          <w:tcPr>
            <w:tcW w:w="1269" w:type="dxa"/>
            <w:tcBorders>
              <w:top w:val="nil"/>
              <w:left w:val="nil"/>
              <w:bottom w:val="nil"/>
              <w:right w:val="nil"/>
            </w:tcBorders>
            <w:shd w:val="clear" w:color="auto" w:fill="FFFFFF"/>
            <w:tcMar>
              <w:top w:w="80" w:type="dxa"/>
              <w:left w:w="140" w:type="dxa"/>
              <w:bottom w:w="80" w:type="dxa"/>
              <w:right w:w="140" w:type="dxa"/>
            </w:tcMar>
            <w:vAlign w:val="center"/>
          </w:tcPr>
          <w:p w:rsidR="00B8529E" w:rsidRDefault="00962DB2">
            <w:pPr>
              <w:jc w:val="center"/>
            </w:pPr>
            <w:r>
              <w:rPr>
                <w:rFonts w:ascii="Arial" w:eastAsia="Arial" w:hAnsi="Arial" w:cs="Arial"/>
                <w:color w:val="000000"/>
                <w:sz w:val="19"/>
                <w:szCs w:val="19"/>
              </w:rPr>
              <w:t>0.203</w:t>
            </w:r>
          </w:p>
        </w:tc>
        <w:tc>
          <w:tcPr>
            <w:tcW w:w="1459" w:type="dxa"/>
            <w:tcBorders>
              <w:top w:val="nil"/>
              <w:left w:val="nil"/>
              <w:bottom w:val="nil"/>
              <w:right w:val="nil"/>
            </w:tcBorders>
            <w:shd w:val="clear" w:color="auto" w:fill="FFFFFF"/>
            <w:tcMar>
              <w:top w:w="80" w:type="dxa"/>
              <w:left w:w="140" w:type="dxa"/>
              <w:bottom w:w="80" w:type="dxa"/>
              <w:right w:w="140" w:type="dxa"/>
            </w:tcMar>
            <w:vAlign w:val="center"/>
          </w:tcPr>
          <w:p w:rsidR="00B8529E" w:rsidRDefault="00962DB2">
            <w:pPr>
              <w:jc w:val="center"/>
            </w:pPr>
            <w:r>
              <w:rPr>
                <w:rFonts w:ascii="Arial" w:eastAsia="Arial" w:hAnsi="Arial" w:cs="Arial"/>
                <w:color w:val="000000"/>
                <w:sz w:val="19"/>
                <w:szCs w:val="19"/>
              </w:rPr>
              <w:t>Not Significant</w:t>
            </w:r>
          </w:p>
        </w:tc>
      </w:tr>
      <w:tr w:rsidR="00B8529E">
        <w:tc>
          <w:tcPr>
            <w:tcW w:w="4022" w:type="dxa"/>
            <w:tcBorders>
              <w:top w:val="nil"/>
              <w:left w:val="nil"/>
              <w:bottom w:val="nil"/>
              <w:right w:val="nil"/>
            </w:tcBorders>
            <w:shd w:val="clear" w:color="auto" w:fill="EBF3FB"/>
            <w:tcMar>
              <w:top w:w="80" w:type="dxa"/>
              <w:left w:w="140" w:type="dxa"/>
              <w:bottom w:w="80" w:type="dxa"/>
              <w:right w:w="140" w:type="dxa"/>
            </w:tcMar>
            <w:vAlign w:val="center"/>
          </w:tcPr>
          <w:p w:rsidR="00B8529E" w:rsidRDefault="00962DB2">
            <w:r>
              <w:rPr>
                <w:rFonts w:ascii="Arial" w:eastAsia="Arial" w:hAnsi="Arial" w:cs="Arial"/>
                <w:color w:val="000000"/>
                <w:sz w:val="19"/>
                <w:szCs w:val="19"/>
              </w:rPr>
              <w:t>Belief in PBM vs Qualification</w:t>
            </w:r>
          </w:p>
        </w:tc>
        <w:tc>
          <w:tcPr>
            <w:tcW w:w="1270" w:type="dxa"/>
            <w:tcBorders>
              <w:top w:val="nil"/>
              <w:left w:val="nil"/>
              <w:bottom w:val="nil"/>
              <w:right w:val="nil"/>
            </w:tcBorders>
            <w:shd w:val="clear" w:color="auto" w:fill="EBF3FB"/>
            <w:tcMar>
              <w:top w:w="80" w:type="dxa"/>
              <w:left w:w="140" w:type="dxa"/>
              <w:bottom w:w="80" w:type="dxa"/>
              <w:right w:w="140" w:type="dxa"/>
            </w:tcMar>
            <w:vAlign w:val="center"/>
          </w:tcPr>
          <w:p w:rsidR="00B8529E" w:rsidRDefault="00962DB2">
            <w:pPr>
              <w:jc w:val="center"/>
            </w:pPr>
            <w:r>
              <w:rPr>
                <w:rFonts w:ascii="Arial" w:eastAsia="Arial" w:hAnsi="Arial" w:cs="Arial"/>
                <w:color w:val="000000"/>
                <w:sz w:val="19"/>
                <w:szCs w:val="19"/>
              </w:rPr>
              <w:t>4.514</w:t>
            </w:r>
          </w:p>
        </w:tc>
        <w:tc>
          <w:tcPr>
            <w:tcW w:w="780" w:type="dxa"/>
            <w:tcBorders>
              <w:top w:val="nil"/>
              <w:left w:val="nil"/>
              <w:bottom w:val="nil"/>
              <w:right w:val="nil"/>
            </w:tcBorders>
            <w:shd w:val="clear" w:color="auto" w:fill="EBF3FB"/>
            <w:tcMar>
              <w:top w:w="80" w:type="dxa"/>
              <w:left w:w="140" w:type="dxa"/>
              <w:bottom w:w="80" w:type="dxa"/>
              <w:right w:w="140" w:type="dxa"/>
            </w:tcMar>
            <w:vAlign w:val="center"/>
          </w:tcPr>
          <w:p w:rsidR="00B8529E" w:rsidRDefault="00962DB2">
            <w:pPr>
              <w:jc w:val="center"/>
            </w:pPr>
            <w:r>
              <w:rPr>
                <w:rFonts w:ascii="Arial" w:eastAsia="Arial" w:hAnsi="Arial" w:cs="Arial"/>
                <w:color w:val="000000"/>
                <w:sz w:val="19"/>
                <w:szCs w:val="19"/>
              </w:rPr>
              <w:t>6</w:t>
            </w:r>
          </w:p>
        </w:tc>
        <w:tc>
          <w:tcPr>
            <w:tcW w:w="1269" w:type="dxa"/>
            <w:tcBorders>
              <w:top w:val="nil"/>
              <w:left w:val="nil"/>
              <w:bottom w:val="nil"/>
              <w:right w:val="nil"/>
            </w:tcBorders>
            <w:shd w:val="clear" w:color="auto" w:fill="EBF3FB"/>
            <w:tcMar>
              <w:top w:w="80" w:type="dxa"/>
              <w:left w:w="140" w:type="dxa"/>
              <w:bottom w:w="80" w:type="dxa"/>
              <w:right w:w="140" w:type="dxa"/>
            </w:tcMar>
            <w:vAlign w:val="center"/>
          </w:tcPr>
          <w:p w:rsidR="00B8529E" w:rsidRDefault="00962DB2">
            <w:pPr>
              <w:jc w:val="center"/>
            </w:pPr>
            <w:r>
              <w:rPr>
                <w:rFonts w:ascii="Arial" w:eastAsia="Arial" w:hAnsi="Arial" w:cs="Arial"/>
                <w:color w:val="000000"/>
                <w:sz w:val="19"/>
                <w:szCs w:val="19"/>
              </w:rPr>
              <w:t>0.607</w:t>
            </w:r>
          </w:p>
        </w:tc>
        <w:tc>
          <w:tcPr>
            <w:tcW w:w="1459" w:type="dxa"/>
            <w:tcBorders>
              <w:top w:val="nil"/>
              <w:left w:val="nil"/>
              <w:bottom w:val="nil"/>
              <w:right w:val="nil"/>
            </w:tcBorders>
            <w:shd w:val="clear" w:color="auto" w:fill="EBF3FB"/>
            <w:tcMar>
              <w:top w:w="80" w:type="dxa"/>
              <w:left w:w="140" w:type="dxa"/>
              <w:bottom w:w="80" w:type="dxa"/>
              <w:right w:w="140" w:type="dxa"/>
            </w:tcMar>
            <w:vAlign w:val="center"/>
          </w:tcPr>
          <w:p w:rsidR="00B8529E" w:rsidRDefault="00962DB2">
            <w:pPr>
              <w:jc w:val="center"/>
            </w:pPr>
            <w:r>
              <w:rPr>
                <w:rFonts w:ascii="Arial" w:eastAsia="Arial" w:hAnsi="Arial" w:cs="Arial"/>
                <w:color w:val="000000"/>
                <w:sz w:val="19"/>
                <w:szCs w:val="19"/>
              </w:rPr>
              <w:t>Not Significant</w:t>
            </w:r>
          </w:p>
        </w:tc>
      </w:tr>
      <w:tr w:rsidR="00B8529E">
        <w:tc>
          <w:tcPr>
            <w:tcW w:w="4022" w:type="dxa"/>
            <w:tcBorders>
              <w:top w:val="nil"/>
              <w:left w:val="nil"/>
              <w:bottom w:val="nil"/>
              <w:right w:val="nil"/>
            </w:tcBorders>
            <w:shd w:val="clear" w:color="auto" w:fill="FFFFFF"/>
            <w:tcMar>
              <w:top w:w="80" w:type="dxa"/>
              <w:left w:w="140" w:type="dxa"/>
              <w:bottom w:w="80" w:type="dxa"/>
              <w:right w:w="140" w:type="dxa"/>
            </w:tcMar>
            <w:vAlign w:val="center"/>
          </w:tcPr>
          <w:p w:rsidR="00B8529E" w:rsidRDefault="00962DB2">
            <w:r>
              <w:rPr>
                <w:rFonts w:ascii="Arial" w:eastAsia="Arial" w:hAnsi="Arial" w:cs="Arial"/>
                <w:color w:val="000000"/>
                <w:sz w:val="19"/>
                <w:szCs w:val="19"/>
              </w:rPr>
              <w:t>Guidelines Knowledge vs Qualification</w:t>
            </w:r>
          </w:p>
        </w:tc>
        <w:tc>
          <w:tcPr>
            <w:tcW w:w="1270" w:type="dxa"/>
            <w:tcBorders>
              <w:top w:val="nil"/>
              <w:left w:val="nil"/>
              <w:bottom w:val="nil"/>
              <w:right w:val="nil"/>
            </w:tcBorders>
            <w:shd w:val="clear" w:color="auto" w:fill="FFFFFF"/>
            <w:tcMar>
              <w:top w:w="80" w:type="dxa"/>
              <w:left w:w="140" w:type="dxa"/>
              <w:bottom w:w="80" w:type="dxa"/>
              <w:right w:w="140" w:type="dxa"/>
            </w:tcMar>
            <w:vAlign w:val="center"/>
          </w:tcPr>
          <w:p w:rsidR="00B8529E" w:rsidRDefault="00962DB2">
            <w:pPr>
              <w:jc w:val="center"/>
            </w:pPr>
            <w:r>
              <w:rPr>
                <w:rFonts w:ascii="Arial" w:eastAsia="Arial" w:hAnsi="Arial" w:cs="Arial"/>
                <w:color w:val="000000"/>
                <w:sz w:val="19"/>
                <w:szCs w:val="19"/>
              </w:rPr>
              <w:t>5.769</w:t>
            </w:r>
          </w:p>
        </w:tc>
        <w:tc>
          <w:tcPr>
            <w:tcW w:w="780" w:type="dxa"/>
            <w:tcBorders>
              <w:top w:val="nil"/>
              <w:left w:val="nil"/>
              <w:bottom w:val="nil"/>
              <w:right w:val="nil"/>
            </w:tcBorders>
            <w:shd w:val="clear" w:color="auto" w:fill="FFFFFF"/>
            <w:tcMar>
              <w:top w:w="80" w:type="dxa"/>
              <w:left w:w="140" w:type="dxa"/>
              <w:bottom w:w="80" w:type="dxa"/>
              <w:right w:w="140" w:type="dxa"/>
            </w:tcMar>
            <w:vAlign w:val="center"/>
          </w:tcPr>
          <w:p w:rsidR="00B8529E" w:rsidRDefault="00962DB2">
            <w:pPr>
              <w:jc w:val="center"/>
            </w:pPr>
            <w:r>
              <w:rPr>
                <w:rFonts w:ascii="Arial" w:eastAsia="Arial" w:hAnsi="Arial" w:cs="Arial"/>
                <w:color w:val="000000"/>
                <w:sz w:val="19"/>
                <w:szCs w:val="19"/>
              </w:rPr>
              <w:t>6</w:t>
            </w:r>
          </w:p>
        </w:tc>
        <w:tc>
          <w:tcPr>
            <w:tcW w:w="1269" w:type="dxa"/>
            <w:tcBorders>
              <w:top w:val="nil"/>
              <w:left w:val="nil"/>
              <w:bottom w:val="nil"/>
              <w:right w:val="nil"/>
            </w:tcBorders>
            <w:shd w:val="clear" w:color="auto" w:fill="FFFFFF"/>
            <w:tcMar>
              <w:top w:w="80" w:type="dxa"/>
              <w:left w:w="140" w:type="dxa"/>
              <w:bottom w:w="80" w:type="dxa"/>
              <w:right w:w="140" w:type="dxa"/>
            </w:tcMar>
            <w:vAlign w:val="center"/>
          </w:tcPr>
          <w:p w:rsidR="00B8529E" w:rsidRDefault="00962DB2">
            <w:pPr>
              <w:jc w:val="center"/>
            </w:pPr>
            <w:r>
              <w:rPr>
                <w:rFonts w:ascii="Arial" w:eastAsia="Arial" w:hAnsi="Arial" w:cs="Arial"/>
                <w:color w:val="000000"/>
                <w:sz w:val="19"/>
                <w:szCs w:val="19"/>
              </w:rPr>
              <w:t>0.450</w:t>
            </w:r>
          </w:p>
        </w:tc>
        <w:tc>
          <w:tcPr>
            <w:tcW w:w="1459" w:type="dxa"/>
            <w:tcBorders>
              <w:top w:val="nil"/>
              <w:left w:val="nil"/>
              <w:bottom w:val="nil"/>
              <w:right w:val="nil"/>
            </w:tcBorders>
            <w:shd w:val="clear" w:color="auto" w:fill="FFFFFF"/>
            <w:tcMar>
              <w:top w:w="80" w:type="dxa"/>
              <w:left w:w="140" w:type="dxa"/>
              <w:bottom w:w="80" w:type="dxa"/>
              <w:right w:w="140" w:type="dxa"/>
            </w:tcMar>
            <w:vAlign w:val="center"/>
          </w:tcPr>
          <w:p w:rsidR="00B8529E" w:rsidRDefault="00962DB2">
            <w:pPr>
              <w:jc w:val="center"/>
            </w:pPr>
            <w:r>
              <w:rPr>
                <w:rFonts w:ascii="Arial" w:eastAsia="Arial" w:hAnsi="Arial" w:cs="Arial"/>
                <w:color w:val="000000"/>
                <w:sz w:val="19"/>
                <w:szCs w:val="19"/>
              </w:rPr>
              <w:t xml:space="preserve">Not </w:t>
            </w:r>
            <w:r>
              <w:rPr>
                <w:rFonts w:ascii="Arial" w:eastAsia="Arial" w:hAnsi="Arial" w:cs="Arial"/>
                <w:color w:val="000000"/>
                <w:sz w:val="19"/>
                <w:szCs w:val="19"/>
              </w:rPr>
              <w:t>Significant</w:t>
            </w:r>
          </w:p>
        </w:tc>
      </w:tr>
      <w:tr w:rsidR="00B8529E">
        <w:tc>
          <w:tcPr>
            <w:tcW w:w="4022" w:type="dxa"/>
            <w:tcBorders>
              <w:top w:val="nil"/>
              <w:left w:val="nil"/>
              <w:bottom w:val="nil"/>
              <w:right w:val="nil"/>
            </w:tcBorders>
            <w:shd w:val="clear" w:color="auto" w:fill="EBF3FB"/>
            <w:tcMar>
              <w:top w:w="80" w:type="dxa"/>
              <w:left w:w="140" w:type="dxa"/>
              <w:bottom w:w="80" w:type="dxa"/>
              <w:right w:w="140" w:type="dxa"/>
            </w:tcMar>
            <w:vAlign w:val="center"/>
          </w:tcPr>
          <w:p w:rsidR="00B8529E" w:rsidRDefault="00962DB2">
            <w:r>
              <w:rPr>
                <w:rFonts w:ascii="Arial" w:eastAsia="Arial" w:hAnsi="Arial" w:cs="Arial"/>
                <w:color w:val="000000"/>
                <w:sz w:val="19"/>
                <w:szCs w:val="19"/>
              </w:rPr>
              <w:t>Heard of PBM vs Experience</w:t>
            </w:r>
          </w:p>
        </w:tc>
        <w:tc>
          <w:tcPr>
            <w:tcW w:w="1270" w:type="dxa"/>
            <w:tcBorders>
              <w:top w:val="nil"/>
              <w:left w:val="nil"/>
              <w:bottom w:val="nil"/>
              <w:right w:val="nil"/>
            </w:tcBorders>
            <w:shd w:val="clear" w:color="auto" w:fill="EBF3FB"/>
            <w:tcMar>
              <w:top w:w="80" w:type="dxa"/>
              <w:left w:w="140" w:type="dxa"/>
              <w:bottom w:w="80" w:type="dxa"/>
              <w:right w:w="140" w:type="dxa"/>
            </w:tcMar>
            <w:vAlign w:val="center"/>
          </w:tcPr>
          <w:p w:rsidR="00B8529E" w:rsidRDefault="00962DB2">
            <w:pPr>
              <w:jc w:val="center"/>
            </w:pPr>
            <w:r>
              <w:rPr>
                <w:rFonts w:ascii="Arial" w:eastAsia="Arial" w:hAnsi="Arial" w:cs="Arial"/>
                <w:color w:val="000000"/>
                <w:sz w:val="19"/>
                <w:szCs w:val="19"/>
              </w:rPr>
              <w:t>1.653</w:t>
            </w:r>
          </w:p>
        </w:tc>
        <w:tc>
          <w:tcPr>
            <w:tcW w:w="780" w:type="dxa"/>
            <w:tcBorders>
              <w:top w:val="nil"/>
              <w:left w:val="nil"/>
              <w:bottom w:val="nil"/>
              <w:right w:val="nil"/>
            </w:tcBorders>
            <w:shd w:val="clear" w:color="auto" w:fill="EBF3FB"/>
            <w:tcMar>
              <w:top w:w="80" w:type="dxa"/>
              <w:left w:w="140" w:type="dxa"/>
              <w:bottom w:w="80" w:type="dxa"/>
              <w:right w:w="140" w:type="dxa"/>
            </w:tcMar>
            <w:vAlign w:val="center"/>
          </w:tcPr>
          <w:p w:rsidR="00B8529E" w:rsidRDefault="00962DB2">
            <w:pPr>
              <w:jc w:val="center"/>
            </w:pPr>
            <w:r>
              <w:rPr>
                <w:rFonts w:ascii="Arial" w:eastAsia="Arial" w:hAnsi="Arial" w:cs="Arial"/>
                <w:color w:val="000000"/>
                <w:sz w:val="19"/>
                <w:szCs w:val="19"/>
              </w:rPr>
              <w:t>3</w:t>
            </w:r>
          </w:p>
        </w:tc>
        <w:tc>
          <w:tcPr>
            <w:tcW w:w="1269" w:type="dxa"/>
            <w:tcBorders>
              <w:top w:val="nil"/>
              <w:left w:val="nil"/>
              <w:bottom w:val="nil"/>
              <w:right w:val="nil"/>
            </w:tcBorders>
            <w:shd w:val="clear" w:color="auto" w:fill="EBF3FB"/>
            <w:tcMar>
              <w:top w:w="80" w:type="dxa"/>
              <w:left w:w="140" w:type="dxa"/>
              <w:bottom w:w="80" w:type="dxa"/>
              <w:right w:w="140" w:type="dxa"/>
            </w:tcMar>
            <w:vAlign w:val="center"/>
          </w:tcPr>
          <w:p w:rsidR="00B8529E" w:rsidRDefault="00962DB2">
            <w:pPr>
              <w:jc w:val="center"/>
            </w:pPr>
            <w:r>
              <w:rPr>
                <w:rFonts w:ascii="Arial" w:eastAsia="Arial" w:hAnsi="Arial" w:cs="Arial"/>
                <w:color w:val="000000"/>
                <w:sz w:val="19"/>
                <w:szCs w:val="19"/>
              </w:rPr>
              <w:t>0.647</w:t>
            </w:r>
          </w:p>
        </w:tc>
        <w:tc>
          <w:tcPr>
            <w:tcW w:w="1459" w:type="dxa"/>
            <w:tcBorders>
              <w:top w:val="nil"/>
              <w:left w:val="nil"/>
              <w:bottom w:val="nil"/>
              <w:right w:val="nil"/>
            </w:tcBorders>
            <w:shd w:val="clear" w:color="auto" w:fill="EBF3FB"/>
            <w:tcMar>
              <w:top w:w="80" w:type="dxa"/>
              <w:left w:w="140" w:type="dxa"/>
              <w:bottom w:w="80" w:type="dxa"/>
              <w:right w:w="140" w:type="dxa"/>
            </w:tcMar>
            <w:vAlign w:val="center"/>
          </w:tcPr>
          <w:p w:rsidR="00B8529E" w:rsidRDefault="00962DB2">
            <w:pPr>
              <w:jc w:val="center"/>
            </w:pPr>
            <w:r>
              <w:rPr>
                <w:rFonts w:ascii="Arial" w:eastAsia="Arial" w:hAnsi="Arial" w:cs="Arial"/>
                <w:color w:val="000000"/>
                <w:sz w:val="19"/>
                <w:szCs w:val="19"/>
              </w:rPr>
              <w:t>Not Significant</w:t>
            </w:r>
          </w:p>
        </w:tc>
      </w:tr>
      <w:tr w:rsidR="00B8529E">
        <w:tc>
          <w:tcPr>
            <w:tcW w:w="4022" w:type="dxa"/>
            <w:tcBorders>
              <w:top w:val="nil"/>
              <w:left w:val="nil"/>
              <w:bottom w:val="nil"/>
              <w:right w:val="nil"/>
            </w:tcBorders>
            <w:shd w:val="clear" w:color="auto" w:fill="FFFFFF"/>
            <w:tcMar>
              <w:top w:w="80" w:type="dxa"/>
              <w:left w:w="140" w:type="dxa"/>
              <w:bottom w:w="80" w:type="dxa"/>
              <w:right w:w="140" w:type="dxa"/>
            </w:tcMar>
            <w:vAlign w:val="center"/>
          </w:tcPr>
          <w:p w:rsidR="00B8529E" w:rsidRDefault="00962DB2">
            <w:r>
              <w:rPr>
                <w:rFonts w:ascii="Arial" w:eastAsia="Arial" w:hAnsi="Arial" w:cs="Arial"/>
                <w:color w:val="000000"/>
                <w:sz w:val="19"/>
                <w:szCs w:val="19"/>
              </w:rPr>
              <w:t>Interest in PBM vs Qualification</w:t>
            </w:r>
          </w:p>
        </w:tc>
        <w:tc>
          <w:tcPr>
            <w:tcW w:w="1270" w:type="dxa"/>
            <w:tcBorders>
              <w:top w:val="nil"/>
              <w:left w:val="nil"/>
              <w:bottom w:val="nil"/>
              <w:right w:val="nil"/>
            </w:tcBorders>
            <w:shd w:val="clear" w:color="auto" w:fill="FFFFFF"/>
            <w:tcMar>
              <w:top w:w="80" w:type="dxa"/>
              <w:left w:w="140" w:type="dxa"/>
              <w:bottom w:w="80" w:type="dxa"/>
              <w:right w:w="140" w:type="dxa"/>
            </w:tcMar>
            <w:vAlign w:val="center"/>
          </w:tcPr>
          <w:p w:rsidR="00B8529E" w:rsidRDefault="00962DB2">
            <w:pPr>
              <w:jc w:val="center"/>
            </w:pPr>
            <w:r>
              <w:rPr>
                <w:rFonts w:ascii="Arial" w:eastAsia="Arial" w:hAnsi="Arial" w:cs="Arial"/>
                <w:color w:val="000000"/>
                <w:sz w:val="19"/>
                <w:szCs w:val="19"/>
              </w:rPr>
              <w:t>3.617</w:t>
            </w:r>
          </w:p>
        </w:tc>
        <w:tc>
          <w:tcPr>
            <w:tcW w:w="780" w:type="dxa"/>
            <w:tcBorders>
              <w:top w:val="nil"/>
              <w:left w:val="nil"/>
              <w:bottom w:val="nil"/>
              <w:right w:val="nil"/>
            </w:tcBorders>
            <w:shd w:val="clear" w:color="auto" w:fill="FFFFFF"/>
            <w:tcMar>
              <w:top w:w="80" w:type="dxa"/>
              <w:left w:w="140" w:type="dxa"/>
              <w:bottom w:w="80" w:type="dxa"/>
              <w:right w:w="140" w:type="dxa"/>
            </w:tcMar>
            <w:vAlign w:val="center"/>
          </w:tcPr>
          <w:p w:rsidR="00B8529E" w:rsidRDefault="00962DB2">
            <w:pPr>
              <w:jc w:val="center"/>
            </w:pPr>
            <w:r>
              <w:rPr>
                <w:rFonts w:ascii="Arial" w:eastAsia="Arial" w:hAnsi="Arial" w:cs="Arial"/>
                <w:color w:val="000000"/>
                <w:sz w:val="19"/>
                <w:szCs w:val="19"/>
              </w:rPr>
              <w:t>2</w:t>
            </w:r>
          </w:p>
        </w:tc>
        <w:tc>
          <w:tcPr>
            <w:tcW w:w="1269" w:type="dxa"/>
            <w:tcBorders>
              <w:top w:val="nil"/>
              <w:left w:val="nil"/>
              <w:bottom w:val="nil"/>
              <w:right w:val="nil"/>
            </w:tcBorders>
            <w:shd w:val="clear" w:color="auto" w:fill="FFFFFF"/>
            <w:tcMar>
              <w:top w:w="80" w:type="dxa"/>
              <w:left w:w="140" w:type="dxa"/>
              <w:bottom w:w="80" w:type="dxa"/>
              <w:right w:w="140" w:type="dxa"/>
            </w:tcMar>
            <w:vAlign w:val="center"/>
          </w:tcPr>
          <w:p w:rsidR="00B8529E" w:rsidRDefault="00962DB2">
            <w:pPr>
              <w:jc w:val="center"/>
            </w:pPr>
            <w:r>
              <w:rPr>
                <w:rFonts w:ascii="Arial" w:eastAsia="Arial" w:hAnsi="Arial" w:cs="Arial"/>
                <w:color w:val="000000"/>
                <w:sz w:val="19"/>
                <w:szCs w:val="19"/>
              </w:rPr>
              <w:t>0.164</w:t>
            </w:r>
          </w:p>
        </w:tc>
        <w:tc>
          <w:tcPr>
            <w:tcW w:w="1459" w:type="dxa"/>
            <w:tcBorders>
              <w:top w:val="nil"/>
              <w:left w:val="nil"/>
              <w:bottom w:val="nil"/>
              <w:right w:val="nil"/>
            </w:tcBorders>
            <w:shd w:val="clear" w:color="auto" w:fill="FFFFFF"/>
            <w:tcMar>
              <w:top w:w="80" w:type="dxa"/>
              <w:left w:w="140" w:type="dxa"/>
              <w:bottom w:w="80" w:type="dxa"/>
              <w:right w:w="140" w:type="dxa"/>
            </w:tcMar>
            <w:vAlign w:val="center"/>
          </w:tcPr>
          <w:p w:rsidR="00B8529E" w:rsidRDefault="00962DB2">
            <w:pPr>
              <w:jc w:val="center"/>
            </w:pPr>
            <w:r>
              <w:rPr>
                <w:rFonts w:ascii="Arial" w:eastAsia="Arial" w:hAnsi="Arial" w:cs="Arial"/>
                <w:color w:val="000000"/>
                <w:sz w:val="19"/>
                <w:szCs w:val="19"/>
              </w:rPr>
              <w:t>Not Significant</w:t>
            </w:r>
          </w:p>
        </w:tc>
      </w:tr>
      <w:tr w:rsidR="00B8529E">
        <w:tc>
          <w:tcPr>
            <w:tcW w:w="4022" w:type="dxa"/>
            <w:tcBorders>
              <w:top w:val="nil"/>
              <w:left w:val="nil"/>
              <w:bottom w:val="nil"/>
              <w:right w:val="nil"/>
            </w:tcBorders>
            <w:shd w:val="clear" w:color="auto" w:fill="EBF3FB"/>
            <w:tcMar>
              <w:top w:w="80" w:type="dxa"/>
              <w:left w:w="140" w:type="dxa"/>
              <w:bottom w:w="80" w:type="dxa"/>
              <w:right w:w="140" w:type="dxa"/>
            </w:tcMar>
            <w:vAlign w:val="center"/>
          </w:tcPr>
          <w:p w:rsidR="00B8529E" w:rsidRDefault="00962DB2">
            <w:r>
              <w:rPr>
                <w:rFonts w:ascii="Arial" w:eastAsia="Arial" w:hAnsi="Arial" w:cs="Arial"/>
                <w:color w:val="000000"/>
                <w:sz w:val="19"/>
                <w:szCs w:val="19"/>
              </w:rPr>
              <w:t>Interest in PBM vs Experience</w:t>
            </w:r>
          </w:p>
        </w:tc>
        <w:tc>
          <w:tcPr>
            <w:tcW w:w="1270" w:type="dxa"/>
            <w:tcBorders>
              <w:top w:val="nil"/>
              <w:left w:val="nil"/>
              <w:bottom w:val="nil"/>
              <w:right w:val="nil"/>
            </w:tcBorders>
            <w:shd w:val="clear" w:color="auto" w:fill="EBF3FB"/>
            <w:tcMar>
              <w:top w:w="80" w:type="dxa"/>
              <w:left w:w="140" w:type="dxa"/>
              <w:bottom w:w="80" w:type="dxa"/>
              <w:right w:w="140" w:type="dxa"/>
            </w:tcMar>
            <w:vAlign w:val="center"/>
          </w:tcPr>
          <w:p w:rsidR="00B8529E" w:rsidRDefault="00962DB2">
            <w:pPr>
              <w:jc w:val="center"/>
            </w:pPr>
            <w:r>
              <w:rPr>
                <w:rFonts w:ascii="Arial" w:eastAsia="Arial" w:hAnsi="Arial" w:cs="Arial"/>
                <w:color w:val="000000"/>
                <w:sz w:val="19"/>
                <w:szCs w:val="19"/>
              </w:rPr>
              <w:t>1.495</w:t>
            </w:r>
          </w:p>
        </w:tc>
        <w:tc>
          <w:tcPr>
            <w:tcW w:w="780" w:type="dxa"/>
            <w:tcBorders>
              <w:top w:val="nil"/>
              <w:left w:val="nil"/>
              <w:bottom w:val="nil"/>
              <w:right w:val="nil"/>
            </w:tcBorders>
            <w:shd w:val="clear" w:color="auto" w:fill="EBF3FB"/>
            <w:tcMar>
              <w:top w:w="80" w:type="dxa"/>
              <w:left w:w="140" w:type="dxa"/>
              <w:bottom w:w="80" w:type="dxa"/>
              <w:right w:w="140" w:type="dxa"/>
            </w:tcMar>
            <w:vAlign w:val="center"/>
          </w:tcPr>
          <w:p w:rsidR="00B8529E" w:rsidRDefault="00962DB2">
            <w:pPr>
              <w:jc w:val="center"/>
            </w:pPr>
            <w:r>
              <w:rPr>
                <w:rFonts w:ascii="Arial" w:eastAsia="Arial" w:hAnsi="Arial" w:cs="Arial"/>
                <w:color w:val="000000"/>
                <w:sz w:val="19"/>
                <w:szCs w:val="19"/>
              </w:rPr>
              <w:t>3</w:t>
            </w:r>
          </w:p>
        </w:tc>
        <w:tc>
          <w:tcPr>
            <w:tcW w:w="1269" w:type="dxa"/>
            <w:tcBorders>
              <w:top w:val="nil"/>
              <w:left w:val="nil"/>
              <w:bottom w:val="nil"/>
              <w:right w:val="nil"/>
            </w:tcBorders>
            <w:shd w:val="clear" w:color="auto" w:fill="EBF3FB"/>
            <w:tcMar>
              <w:top w:w="80" w:type="dxa"/>
              <w:left w:w="140" w:type="dxa"/>
              <w:bottom w:w="80" w:type="dxa"/>
              <w:right w:w="140" w:type="dxa"/>
            </w:tcMar>
            <w:vAlign w:val="center"/>
          </w:tcPr>
          <w:p w:rsidR="00B8529E" w:rsidRDefault="00962DB2">
            <w:pPr>
              <w:jc w:val="center"/>
            </w:pPr>
            <w:r>
              <w:rPr>
                <w:rFonts w:ascii="Arial" w:eastAsia="Arial" w:hAnsi="Arial" w:cs="Arial"/>
                <w:color w:val="000000"/>
                <w:sz w:val="19"/>
                <w:szCs w:val="19"/>
              </w:rPr>
              <w:t>0.683</w:t>
            </w:r>
          </w:p>
        </w:tc>
        <w:tc>
          <w:tcPr>
            <w:tcW w:w="1459" w:type="dxa"/>
            <w:tcBorders>
              <w:top w:val="nil"/>
              <w:left w:val="nil"/>
              <w:bottom w:val="nil"/>
              <w:right w:val="nil"/>
            </w:tcBorders>
            <w:shd w:val="clear" w:color="auto" w:fill="EBF3FB"/>
            <w:tcMar>
              <w:top w:w="80" w:type="dxa"/>
              <w:left w:w="140" w:type="dxa"/>
              <w:bottom w:w="80" w:type="dxa"/>
              <w:right w:w="140" w:type="dxa"/>
            </w:tcMar>
            <w:vAlign w:val="center"/>
          </w:tcPr>
          <w:p w:rsidR="00B8529E" w:rsidRDefault="00962DB2">
            <w:pPr>
              <w:jc w:val="center"/>
            </w:pPr>
            <w:r>
              <w:rPr>
                <w:rFonts w:ascii="Arial" w:eastAsia="Arial" w:hAnsi="Arial" w:cs="Arial"/>
                <w:color w:val="000000"/>
                <w:sz w:val="19"/>
                <w:szCs w:val="19"/>
              </w:rPr>
              <w:t>Not Significant</w:t>
            </w:r>
          </w:p>
        </w:tc>
      </w:tr>
    </w:tbl>
    <w:p w:rsidR="00B8529E" w:rsidRDefault="00B8529E">
      <w:pPr>
        <w:jc w:val="both"/>
        <w:rPr>
          <w:rFonts w:ascii="Times New Roman" w:eastAsia="Times New Roman" w:hAnsi="Times New Roman" w:cs="Times New Roman"/>
        </w:rPr>
      </w:pPr>
    </w:p>
    <w:p w:rsidR="00B8529E" w:rsidRDefault="00B8529E">
      <w:pPr>
        <w:spacing w:line="360" w:lineRule="auto"/>
        <w:jc w:val="both"/>
        <w:rPr>
          <w:rFonts w:ascii="Arial" w:eastAsia="Arial" w:hAnsi="Arial" w:cs="Arial"/>
        </w:rPr>
      </w:pPr>
    </w:p>
    <w:p w:rsidR="00B8529E" w:rsidRDefault="00962DB2">
      <w:pPr>
        <w:numPr>
          <w:ilvl w:val="0"/>
          <w:numId w:val="1"/>
        </w:numPr>
        <w:rPr>
          <w:rFonts w:ascii="Arial" w:eastAsia="Arial" w:hAnsi="Arial" w:cs="Arial"/>
          <w:b/>
          <w:bCs/>
        </w:rPr>
      </w:pPr>
      <w:r>
        <w:rPr>
          <w:rFonts w:ascii="Arial" w:eastAsia="Arial" w:hAnsi="Arial" w:cs="Arial"/>
        </w:rPr>
        <w:t>Discussion</w:t>
      </w:r>
    </w:p>
    <w:p w:rsidR="00B8529E" w:rsidRDefault="00962DB2">
      <w:pPr>
        <w:pBdr>
          <w:top w:val="nil"/>
          <w:left w:val="nil"/>
          <w:bottom w:val="nil"/>
          <w:right w:val="nil"/>
          <w:between w:val="nil"/>
        </w:pBdr>
        <w:spacing w:before="280" w:after="280" w:line="360" w:lineRule="auto"/>
        <w:rPr>
          <w:rFonts w:ascii="Arial" w:eastAsia="Arial" w:hAnsi="Arial" w:cs="Arial"/>
          <w:color w:val="000000"/>
        </w:rPr>
      </w:pPr>
      <w:r>
        <w:rPr>
          <w:rFonts w:ascii="Arial" w:eastAsia="Arial" w:hAnsi="Arial" w:cs="Arial"/>
          <w:color w:val="000000"/>
        </w:rPr>
        <w:t xml:space="preserve">The findings of the present study indicate that dental professionals possess a generally satisfactory level of awareness regarding </w:t>
      </w:r>
      <w:proofErr w:type="spellStart"/>
      <w:r>
        <w:rPr>
          <w:rFonts w:ascii="Arial" w:eastAsia="Arial" w:hAnsi="Arial" w:cs="Arial"/>
          <w:color w:val="000000"/>
        </w:rPr>
        <w:t>photobiomodulation</w:t>
      </w:r>
      <w:proofErr w:type="spellEnd"/>
      <w:r>
        <w:rPr>
          <w:rFonts w:ascii="Arial" w:eastAsia="Arial" w:hAnsi="Arial" w:cs="Arial"/>
          <w:color w:val="000000"/>
        </w:rPr>
        <w:t xml:space="preserve"> (PBM) therapy. This observation may reflect the increasing exposure to laser-based technologies in dental </w:t>
      </w:r>
      <w:r>
        <w:rPr>
          <w:rFonts w:ascii="Arial" w:eastAsia="Arial" w:hAnsi="Arial" w:cs="Arial"/>
          <w:color w:val="000000"/>
        </w:rPr>
        <w:t>education and the growing number of scientific publications focusing on laser dentistry and its clinical applications [3,5]. Over the past decade, PBM has gained considerable attention as a supportive therapeutic modality in various dental procedures, whic</w:t>
      </w:r>
      <w:r>
        <w:rPr>
          <w:rFonts w:ascii="Arial" w:eastAsia="Arial" w:hAnsi="Arial" w:cs="Arial"/>
          <w:color w:val="000000"/>
        </w:rPr>
        <w:t>h may explain the relatively positive awareness observed among the participants.</w:t>
      </w:r>
    </w:p>
    <w:p w:rsidR="00B8529E" w:rsidRDefault="00962DB2">
      <w:pPr>
        <w:pBdr>
          <w:top w:val="nil"/>
          <w:left w:val="nil"/>
          <w:bottom w:val="nil"/>
          <w:right w:val="nil"/>
          <w:between w:val="nil"/>
        </w:pBdr>
        <w:spacing w:before="280" w:after="280" w:line="360" w:lineRule="auto"/>
        <w:rPr>
          <w:rFonts w:ascii="Arial" w:eastAsia="Arial" w:hAnsi="Arial" w:cs="Arial"/>
          <w:color w:val="000000"/>
        </w:rPr>
      </w:pPr>
      <w:r>
        <w:rPr>
          <w:rFonts w:ascii="Arial" w:eastAsia="Arial" w:hAnsi="Arial" w:cs="Arial"/>
          <w:color w:val="000000"/>
        </w:rPr>
        <w:lastRenderedPageBreak/>
        <w:t>Despite this awareness, the moderate knowledge score of 51.3% suggests that a substantial proportion of practitioners may lack a comprehensive understanding of the fundamental</w:t>
      </w:r>
      <w:r>
        <w:rPr>
          <w:rFonts w:ascii="Arial" w:eastAsia="Arial" w:hAnsi="Arial" w:cs="Arial"/>
          <w:color w:val="000000"/>
        </w:rPr>
        <w:t xml:space="preserve"> biological principles underlying PBM therapy. Previous studies have emphasized that the clinical effectiveness of PBM depends on appropriate treatment parameters, including wavelength, power output, dosage, and duration of irradiation [2,4]. Insufficient </w:t>
      </w:r>
      <w:r>
        <w:rPr>
          <w:rFonts w:ascii="Arial" w:eastAsia="Arial" w:hAnsi="Arial" w:cs="Arial"/>
          <w:color w:val="000000"/>
        </w:rPr>
        <w:t>knowledge regarding these technical aspects may limit clinicians’ confidence in applying PBM in routine dental practice and may contribute to its relatively slow adoption in some clinical settings.</w:t>
      </w:r>
    </w:p>
    <w:p w:rsidR="00B8529E" w:rsidRDefault="00962DB2">
      <w:pPr>
        <w:pBdr>
          <w:top w:val="nil"/>
          <w:left w:val="nil"/>
          <w:bottom w:val="nil"/>
          <w:right w:val="nil"/>
          <w:between w:val="nil"/>
        </w:pBdr>
        <w:spacing w:before="280" w:after="280" w:line="360" w:lineRule="auto"/>
        <w:rPr>
          <w:rFonts w:ascii="Arial" w:eastAsia="Arial" w:hAnsi="Arial" w:cs="Arial"/>
          <w:color w:val="000000"/>
        </w:rPr>
      </w:pPr>
      <w:r>
        <w:rPr>
          <w:rFonts w:ascii="Arial" w:eastAsia="Arial" w:hAnsi="Arial" w:cs="Arial"/>
          <w:color w:val="000000"/>
        </w:rPr>
        <w:t xml:space="preserve">The present study also demonstrated a significant </w:t>
      </w:r>
      <w:r>
        <w:rPr>
          <w:rFonts w:ascii="Arial" w:eastAsia="Arial" w:hAnsi="Arial" w:cs="Arial"/>
          <w:color w:val="000000"/>
        </w:rPr>
        <w:t>association between professional qualification and awareness levels. Participants with higher academic qualifications appeared to have better awareness of PBM therapy, possibly due to greater exposure to advanced dental technologies during postgraduate edu</w:t>
      </w:r>
      <w:r>
        <w:rPr>
          <w:rFonts w:ascii="Arial" w:eastAsia="Arial" w:hAnsi="Arial" w:cs="Arial"/>
          <w:color w:val="000000"/>
        </w:rPr>
        <w:t>cation and specialized training programs. Similar findings have been reported in earlier investigations examining the adoption of laser technologies among dental professionals [5].</w:t>
      </w:r>
    </w:p>
    <w:p w:rsidR="00B8529E" w:rsidRDefault="00962DB2">
      <w:pPr>
        <w:pBdr>
          <w:top w:val="nil"/>
          <w:left w:val="nil"/>
          <w:bottom w:val="nil"/>
          <w:right w:val="nil"/>
          <w:between w:val="nil"/>
        </w:pBdr>
        <w:spacing w:before="280" w:after="280" w:line="360" w:lineRule="auto"/>
        <w:rPr>
          <w:rFonts w:ascii="Arial" w:eastAsia="Arial" w:hAnsi="Arial" w:cs="Arial"/>
          <w:color w:val="000000"/>
        </w:rPr>
      </w:pPr>
      <w:r>
        <w:rPr>
          <w:rFonts w:ascii="Arial" w:eastAsia="Arial" w:hAnsi="Arial" w:cs="Arial"/>
          <w:color w:val="000000"/>
        </w:rPr>
        <w:t xml:space="preserve">Another important finding of this study was the identification of barriers </w:t>
      </w:r>
      <w:r>
        <w:rPr>
          <w:rFonts w:ascii="Arial" w:eastAsia="Arial" w:hAnsi="Arial" w:cs="Arial"/>
          <w:color w:val="000000"/>
        </w:rPr>
        <w:t>to the implementation of PBM therapy in clinical practice. The most commonly reported challenges included insufficient training opportunities and limited awareness of its clinical benefits. Evidence from systematic reviews indicates that PBM can effectivel</w:t>
      </w:r>
      <w:r>
        <w:rPr>
          <w:rFonts w:ascii="Arial" w:eastAsia="Arial" w:hAnsi="Arial" w:cs="Arial"/>
          <w:color w:val="000000"/>
        </w:rPr>
        <w:t>y reduce postoperative discomfort, modulate inflammatory responses, and enhance tissue healing following dental procedures [4,6,8]. Therefore, incorporating structured PBM training modules into undergraduate and postgraduate dental curricula may help addre</w:t>
      </w:r>
      <w:r>
        <w:rPr>
          <w:rFonts w:ascii="Arial" w:eastAsia="Arial" w:hAnsi="Arial" w:cs="Arial"/>
          <w:color w:val="000000"/>
        </w:rPr>
        <w:t>ss these knowledge gaps and improve practitioner competence.</w:t>
      </w:r>
    </w:p>
    <w:p w:rsidR="00B8529E" w:rsidRDefault="00962DB2">
      <w:pPr>
        <w:pBdr>
          <w:top w:val="nil"/>
          <w:left w:val="nil"/>
          <w:bottom w:val="nil"/>
          <w:right w:val="nil"/>
          <w:between w:val="nil"/>
        </w:pBdr>
        <w:spacing w:before="280" w:after="280" w:line="360" w:lineRule="auto"/>
        <w:rPr>
          <w:rFonts w:ascii="Arial" w:eastAsia="Arial" w:hAnsi="Arial" w:cs="Arial"/>
          <w:color w:val="000000"/>
        </w:rPr>
      </w:pPr>
      <w:r>
        <w:rPr>
          <w:rFonts w:ascii="Arial" w:eastAsia="Arial" w:hAnsi="Arial" w:cs="Arial"/>
          <w:color w:val="000000"/>
        </w:rPr>
        <w:t>From a clinical perspective, wider adoption of PBM therapy has the potential to improve patient-centered outcomes, particularly in procedures such as periodontal surgery, implant placement, and o</w:t>
      </w:r>
      <w:r>
        <w:rPr>
          <w:rFonts w:ascii="Arial" w:eastAsia="Arial" w:hAnsi="Arial" w:cs="Arial"/>
          <w:color w:val="000000"/>
        </w:rPr>
        <w:t>ral soft tissue management. However, factors such as equipment cost, availability of standardized clinical protocols, and the need for evidence-based guidelines should be carefully addressed through continuing professional education.</w:t>
      </w:r>
    </w:p>
    <w:p w:rsidR="00B8529E" w:rsidRDefault="00962DB2">
      <w:r>
        <w:t>Recent systematic revi</w:t>
      </w:r>
      <w:r>
        <w:t>ews also highlight the effectiveness of PBM in stem cell modulation, periodontal regeneration, and reduction of procedural pain, emphasizing its evolving role in modern dentistry [21–25].</w:t>
      </w:r>
    </w:p>
    <w:p w:rsidR="00B8529E" w:rsidRDefault="00962DB2">
      <w:pPr>
        <w:pBdr>
          <w:top w:val="nil"/>
          <w:left w:val="nil"/>
          <w:bottom w:val="nil"/>
          <w:right w:val="nil"/>
          <w:between w:val="nil"/>
        </w:pBdr>
        <w:spacing w:before="280" w:after="280" w:line="360" w:lineRule="auto"/>
        <w:rPr>
          <w:rFonts w:ascii="Arial" w:eastAsia="Arial" w:hAnsi="Arial" w:cs="Arial"/>
          <w:color w:val="000000"/>
        </w:rPr>
      </w:pPr>
      <w:r>
        <w:rPr>
          <w:rFonts w:ascii="Arial" w:eastAsia="Arial" w:hAnsi="Arial" w:cs="Arial"/>
          <w:color w:val="000000"/>
        </w:rPr>
        <w:lastRenderedPageBreak/>
        <w:t>Future multicenter studies involving larger and more diverse samples</w:t>
      </w:r>
      <w:r>
        <w:rPr>
          <w:rFonts w:ascii="Arial" w:eastAsia="Arial" w:hAnsi="Arial" w:cs="Arial"/>
          <w:color w:val="000000"/>
        </w:rPr>
        <w:t xml:space="preserve"> are recommended to improve the generalizability of the findings and to further investigate the long-term trends in PBM adoption among dental professionals.</w:t>
      </w:r>
    </w:p>
    <w:p w:rsidR="00B8529E" w:rsidRDefault="00962DB2">
      <w:pPr>
        <w:rPr>
          <w:rFonts w:ascii="Arial" w:eastAsia="Arial" w:hAnsi="Arial" w:cs="Arial"/>
          <w:b/>
          <w:bCs/>
        </w:rPr>
      </w:pPr>
      <w:bookmarkStart w:id="0" w:name="_r5qeg9p401q" w:colFirst="0" w:colLast="0"/>
      <w:bookmarkEnd w:id="0"/>
      <w:r>
        <w:rPr>
          <w:rFonts w:ascii="Arial" w:eastAsia="Arial" w:hAnsi="Arial" w:cs="Arial"/>
          <w:b/>
          <w:bCs/>
        </w:rPr>
        <w:t>4.</w:t>
      </w:r>
      <w:proofErr w:type="gramStart"/>
      <w:r>
        <w:rPr>
          <w:rFonts w:ascii="Arial" w:eastAsia="Arial" w:hAnsi="Arial" w:cs="Arial"/>
          <w:b/>
          <w:bCs/>
        </w:rPr>
        <w:t>1.Limitations</w:t>
      </w:r>
      <w:proofErr w:type="gramEnd"/>
    </w:p>
    <w:p w:rsidR="00B8529E" w:rsidRDefault="00962DB2">
      <w:r>
        <w:rPr>
          <w:rFonts w:ascii="Arial" w:eastAsia="Arial" w:hAnsi="Arial" w:cs="Arial"/>
        </w:rPr>
        <w:t>Limitations include small sample size, non-random sampling, and self-reported respo</w:t>
      </w:r>
      <w:r>
        <w:rPr>
          <w:rFonts w:ascii="Arial" w:eastAsia="Arial" w:hAnsi="Arial" w:cs="Arial"/>
        </w:rPr>
        <w:t>nses, which may introduce response bias.</w:t>
      </w:r>
    </w:p>
    <w:p w:rsidR="00B8529E" w:rsidRDefault="00962DB2">
      <w:pPr>
        <w:rPr>
          <w:rFonts w:ascii="Arial" w:eastAsia="Arial" w:hAnsi="Arial" w:cs="Arial"/>
          <w:b/>
          <w:bCs/>
        </w:rPr>
      </w:pPr>
      <w:r>
        <w:rPr>
          <w:rFonts w:ascii="Arial" w:eastAsia="Arial" w:hAnsi="Arial" w:cs="Arial"/>
          <w:b/>
          <w:bCs/>
        </w:rPr>
        <w:t>4.</w:t>
      </w:r>
      <w:proofErr w:type="gramStart"/>
      <w:r>
        <w:rPr>
          <w:rFonts w:ascii="Arial" w:eastAsia="Arial" w:hAnsi="Arial" w:cs="Arial"/>
          <w:b/>
          <w:bCs/>
        </w:rPr>
        <w:t>2.Conclusion</w:t>
      </w:r>
      <w:proofErr w:type="gramEnd"/>
    </w:p>
    <w:p w:rsidR="00B8529E" w:rsidRDefault="00962DB2">
      <w:pPr>
        <w:rPr>
          <w:rFonts w:ascii="Arial" w:eastAsia="Arial" w:hAnsi="Arial" w:cs="Arial"/>
        </w:rPr>
      </w:pPr>
      <w:r>
        <w:rPr>
          <w:rFonts w:ascii="Arial" w:eastAsia="Arial" w:hAnsi="Arial" w:cs="Arial"/>
        </w:rPr>
        <w:t xml:space="preserve">Awareness of PBM therapy among dental professionals is satisfactory; however, knowledge regarding scientific principles and technical parameters remains moderate. Targeted educational initiatives are </w:t>
      </w:r>
      <w:r>
        <w:rPr>
          <w:rFonts w:ascii="Arial" w:eastAsia="Arial" w:hAnsi="Arial" w:cs="Arial"/>
        </w:rPr>
        <w:t>necessary for evidence-based integration into routine practice.</w:t>
      </w:r>
    </w:p>
    <w:p w:rsidR="00425E29" w:rsidRPr="00425E29" w:rsidRDefault="00425E29" w:rsidP="00425E29">
      <w:pPr>
        <w:rPr>
          <w:rFonts w:ascii="Arial" w:eastAsia="Arial" w:hAnsi="Arial" w:cs="Arial"/>
        </w:rPr>
      </w:pPr>
      <w:r w:rsidRPr="00425E29">
        <w:rPr>
          <w:rFonts w:ascii="Arial" w:eastAsia="Arial" w:hAnsi="Arial" w:cs="Arial"/>
        </w:rPr>
        <w:t xml:space="preserve">Consent </w:t>
      </w:r>
    </w:p>
    <w:p w:rsidR="00425E29" w:rsidRDefault="00425E29" w:rsidP="00425E29">
      <w:pPr>
        <w:rPr>
          <w:rFonts w:ascii="Arial" w:eastAsia="Arial" w:hAnsi="Arial" w:cs="Arial"/>
        </w:rPr>
      </w:pPr>
      <w:r w:rsidRPr="00425E29">
        <w:rPr>
          <w:rFonts w:ascii="Arial" w:eastAsia="Arial" w:hAnsi="Arial" w:cs="Arial"/>
        </w:rPr>
        <w:t>As per international standards or university standards, Participants’ written consent has been collected and preserved by the author(s).</w:t>
      </w:r>
    </w:p>
    <w:p w:rsidR="00425E29" w:rsidRDefault="00425E29" w:rsidP="00425E29">
      <w:pPr>
        <w:rPr>
          <w:rFonts w:ascii="Arial" w:eastAsia="Arial" w:hAnsi="Arial" w:cs="Arial"/>
        </w:rPr>
      </w:pPr>
      <w:bookmarkStart w:id="1" w:name="_GoBack"/>
      <w:bookmarkEnd w:id="1"/>
    </w:p>
    <w:p w:rsidR="00425E29" w:rsidRDefault="00425E29" w:rsidP="00425E29">
      <w:r>
        <w:t>Disclaimer (Artificial intelligence)</w:t>
      </w:r>
    </w:p>
    <w:p w:rsidR="00425E29" w:rsidRDefault="00425E29" w:rsidP="00425E29">
      <w:r>
        <w:t>Author(s) hereby declare that NO generative AI technologies such as Large Language Models (</w:t>
      </w:r>
      <w:proofErr w:type="spellStart"/>
      <w:r>
        <w:t>ChatGPT</w:t>
      </w:r>
      <w:proofErr w:type="spellEnd"/>
      <w:r>
        <w:t>, COPILOT, etc.) and text-to-image generators have been used during the writing or editing of this manuscript.</w:t>
      </w:r>
    </w:p>
    <w:p w:rsidR="00B8529E" w:rsidRDefault="00962DB2">
      <w:pPr>
        <w:rPr>
          <w:rFonts w:ascii="Arial" w:eastAsia="Arial" w:hAnsi="Arial" w:cs="Arial"/>
          <w:b/>
          <w:bCs/>
        </w:rPr>
      </w:pPr>
      <w:r>
        <w:rPr>
          <w:rFonts w:ascii="Arial" w:eastAsia="Arial" w:hAnsi="Arial" w:cs="Arial"/>
          <w:b/>
          <w:bCs/>
        </w:rPr>
        <w:t>References</w:t>
      </w:r>
    </w:p>
    <w:p w:rsidR="00B8529E" w:rsidRDefault="00962DB2">
      <w:r>
        <w:rPr>
          <w:rFonts w:ascii="Arial" w:eastAsia="Arial" w:hAnsi="Arial" w:cs="Arial"/>
        </w:rPr>
        <w:t xml:space="preserve">1. Hamblin MR. Mechanisms and applications of the anti-inflammatory effects of </w:t>
      </w:r>
      <w:proofErr w:type="spellStart"/>
      <w:r>
        <w:rPr>
          <w:rFonts w:ascii="Arial" w:eastAsia="Arial" w:hAnsi="Arial" w:cs="Arial"/>
        </w:rPr>
        <w:t>photobiomodulation</w:t>
      </w:r>
      <w:proofErr w:type="spellEnd"/>
      <w:r>
        <w:rPr>
          <w:rFonts w:ascii="Arial" w:eastAsia="Arial" w:hAnsi="Arial" w:cs="Arial"/>
        </w:rPr>
        <w:t xml:space="preserve">. AIMS </w:t>
      </w:r>
      <w:proofErr w:type="spellStart"/>
      <w:r>
        <w:rPr>
          <w:rFonts w:ascii="Arial" w:eastAsia="Arial" w:hAnsi="Arial" w:cs="Arial"/>
        </w:rPr>
        <w:t>Biophys</w:t>
      </w:r>
      <w:proofErr w:type="spellEnd"/>
      <w:r>
        <w:rPr>
          <w:rFonts w:ascii="Arial" w:eastAsia="Arial" w:hAnsi="Arial" w:cs="Arial"/>
        </w:rPr>
        <w:t>. 2017;4(3):337–361.</w:t>
      </w:r>
    </w:p>
    <w:p w:rsidR="00B8529E" w:rsidRDefault="00962DB2">
      <w:r>
        <w:rPr>
          <w:rFonts w:ascii="Arial" w:eastAsia="Arial" w:hAnsi="Arial" w:cs="Arial"/>
        </w:rPr>
        <w:t xml:space="preserve">2. Karu TI. Mitochondrial signaling in mammalian </w:t>
      </w:r>
      <w:r>
        <w:rPr>
          <w:rFonts w:ascii="Arial" w:eastAsia="Arial" w:hAnsi="Arial" w:cs="Arial"/>
        </w:rPr>
        <w:t xml:space="preserve">cells activated by red and near-IR radiation. </w:t>
      </w:r>
      <w:proofErr w:type="spellStart"/>
      <w:r>
        <w:rPr>
          <w:rFonts w:ascii="Arial" w:eastAsia="Arial" w:hAnsi="Arial" w:cs="Arial"/>
        </w:rPr>
        <w:t>Photochem</w:t>
      </w:r>
      <w:proofErr w:type="spellEnd"/>
      <w:r>
        <w:rPr>
          <w:rFonts w:ascii="Arial" w:eastAsia="Arial" w:hAnsi="Arial" w:cs="Arial"/>
        </w:rPr>
        <w:t xml:space="preserve"> </w:t>
      </w:r>
      <w:proofErr w:type="spellStart"/>
      <w:r>
        <w:rPr>
          <w:rFonts w:ascii="Arial" w:eastAsia="Arial" w:hAnsi="Arial" w:cs="Arial"/>
        </w:rPr>
        <w:t>Photobiol</w:t>
      </w:r>
      <w:proofErr w:type="spellEnd"/>
      <w:r>
        <w:rPr>
          <w:rFonts w:ascii="Arial" w:eastAsia="Arial" w:hAnsi="Arial" w:cs="Arial"/>
        </w:rPr>
        <w:t>. 2008;84(5):1091–1099.</w:t>
      </w:r>
    </w:p>
    <w:p w:rsidR="00B8529E" w:rsidRDefault="00962DB2">
      <w:r>
        <w:rPr>
          <w:rFonts w:ascii="Arial" w:eastAsia="Arial" w:hAnsi="Arial" w:cs="Arial"/>
        </w:rPr>
        <w:t xml:space="preserve">3. Anders JJ, Lanzafame RJ, Arany PR. Low-level light/laser therapy versus </w:t>
      </w:r>
      <w:proofErr w:type="spellStart"/>
      <w:r>
        <w:rPr>
          <w:rFonts w:ascii="Arial" w:eastAsia="Arial" w:hAnsi="Arial" w:cs="Arial"/>
        </w:rPr>
        <w:t>photobiomodulation</w:t>
      </w:r>
      <w:proofErr w:type="spellEnd"/>
      <w:r>
        <w:rPr>
          <w:rFonts w:ascii="Arial" w:eastAsia="Arial" w:hAnsi="Arial" w:cs="Arial"/>
        </w:rPr>
        <w:t xml:space="preserve"> therapy. </w:t>
      </w:r>
      <w:proofErr w:type="spellStart"/>
      <w:r>
        <w:rPr>
          <w:rFonts w:ascii="Arial" w:eastAsia="Arial" w:hAnsi="Arial" w:cs="Arial"/>
        </w:rPr>
        <w:t>Photomed</w:t>
      </w:r>
      <w:proofErr w:type="spellEnd"/>
      <w:r>
        <w:rPr>
          <w:rFonts w:ascii="Arial" w:eastAsia="Arial" w:hAnsi="Arial" w:cs="Arial"/>
        </w:rPr>
        <w:t xml:space="preserve"> Laser Surg. 2015;33(4):183–184.</w:t>
      </w:r>
    </w:p>
    <w:p w:rsidR="00B8529E" w:rsidRDefault="00962DB2">
      <w:r>
        <w:rPr>
          <w:rFonts w:ascii="Arial" w:eastAsia="Arial" w:hAnsi="Arial" w:cs="Arial"/>
        </w:rPr>
        <w:t xml:space="preserve">4. </w:t>
      </w:r>
      <w:proofErr w:type="spellStart"/>
      <w:r>
        <w:rPr>
          <w:rFonts w:ascii="Arial" w:eastAsia="Arial" w:hAnsi="Arial" w:cs="Arial"/>
        </w:rPr>
        <w:t>Ahrari</w:t>
      </w:r>
      <w:proofErr w:type="spellEnd"/>
      <w:r>
        <w:rPr>
          <w:rFonts w:ascii="Arial" w:eastAsia="Arial" w:hAnsi="Arial" w:cs="Arial"/>
        </w:rPr>
        <w:t xml:space="preserve"> F, </w:t>
      </w:r>
      <w:proofErr w:type="spellStart"/>
      <w:r>
        <w:rPr>
          <w:rFonts w:ascii="Arial" w:eastAsia="Arial" w:hAnsi="Arial" w:cs="Arial"/>
        </w:rPr>
        <w:t>Madani</w:t>
      </w:r>
      <w:proofErr w:type="spellEnd"/>
      <w:r>
        <w:rPr>
          <w:rFonts w:ascii="Arial" w:eastAsia="Arial" w:hAnsi="Arial" w:cs="Arial"/>
        </w:rPr>
        <w:t xml:space="preserve"> AS,</w:t>
      </w:r>
      <w:r>
        <w:rPr>
          <w:rFonts w:ascii="Arial" w:eastAsia="Arial" w:hAnsi="Arial" w:cs="Arial"/>
        </w:rPr>
        <w:t xml:space="preserve"> </w:t>
      </w:r>
      <w:proofErr w:type="spellStart"/>
      <w:r>
        <w:rPr>
          <w:rFonts w:ascii="Arial" w:eastAsia="Arial" w:hAnsi="Arial" w:cs="Arial"/>
        </w:rPr>
        <w:t>Ghafouri</w:t>
      </w:r>
      <w:proofErr w:type="spellEnd"/>
      <w:r>
        <w:rPr>
          <w:rFonts w:ascii="Arial" w:eastAsia="Arial" w:hAnsi="Arial" w:cs="Arial"/>
        </w:rPr>
        <w:t xml:space="preserve"> ZS, </w:t>
      </w:r>
      <w:proofErr w:type="spellStart"/>
      <w:r>
        <w:rPr>
          <w:rFonts w:ascii="Arial" w:eastAsia="Arial" w:hAnsi="Arial" w:cs="Arial"/>
        </w:rPr>
        <w:t>Tunér</w:t>
      </w:r>
      <w:proofErr w:type="spellEnd"/>
      <w:r>
        <w:rPr>
          <w:rFonts w:ascii="Arial" w:eastAsia="Arial" w:hAnsi="Arial" w:cs="Arial"/>
        </w:rPr>
        <w:t xml:space="preserve"> J. The efficacy of low-level laser therapy for postoperative pain reduction after periodontal surgery: A systematic review. Lasers Med Sci. 2015;30(3):1029–1037.</w:t>
      </w:r>
    </w:p>
    <w:p w:rsidR="00B8529E" w:rsidRDefault="00962DB2">
      <w:r>
        <w:rPr>
          <w:rFonts w:ascii="Arial" w:eastAsia="Arial" w:hAnsi="Arial" w:cs="Arial"/>
        </w:rPr>
        <w:t xml:space="preserve">5. Cobb CM. Lasers in periodontics: A review of the literature. J </w:t>
      </w:r>
      <w:proofErr w:type="spellStart"/>
      <w:r>
        <w:rPr>
          <w:rFonts w:ascii="Arial" w:eastAsia="Arial" w:hAnsi="Arial" w:cs="Arial"/>
        </w:rPr>
        <w:t>Periodon</w:t>
      </w:r>
      <w:r>
        <w:rPr>
          <w:rFonts w:ascii="Arial" w:eastAsia="Arial" w:hAnsi="Arial" w:cs="Arial"/>
        </w:rPr>
        <w:t>tol</w:t>
      </w:r>
      <w:proofErr w:type="spellEnd"/>
      <w:r>
        <w:rPr>
          <w:rFonts w:ascii="Arial" w:eastAsia="Arial" w:hAnsi="Arial" w:cs="Arial"/>
        </w:rPr>
        <w:t>. 2006;77(4):545–564.</w:t>
      </w:r>
    </w:p>
    <w:p w:rsidR="00B8529E" w:rsidRDefault="00962DB2">
      <w:r>
        <w:rPr>
          <w:rFonts w:ascii="Arial" w:eastAsia="Arial" w:hAnsi="Arial" w:cs="Arial"/>
        </w:rPr>
        <w:lastRenderedPageBreak/>
        <w:t>6. He WL, Yu FY, Li CJ, et al. The effect of low-level laser therapy on wound healing and pain control in periodontal therapy: A meta-analysis. Lasers Med Sci. 2015;30(3):961–970.</w:t>
      </w:r>
    </w:p>
    <w:p w:rsidR="00B8529E" w:rsidRDefault="00962DB2">
      <w:r>
        <w:rPr>
          <w:rFonts w:ascii="Arial" w:eastAsia="Arial" w:hAnsi="Arial" w:cs="Arial"/>
        </w:rPr>
        <w:t xml:space="preserve">7. </w:t>
      </w:r>
      <w:proofErr w:type="spellStart"/>
      <w:r>
        <w:rPr>
          <w:rFonts w:ascii="Arial" w:eastAsia="Arial" w:hAnsi="Arial" w:cs="Arial"/>
        </w:rPr>
        <w:t>Pourabbas</w:t>
      </w:r>
      <w:proofErr w:type="spellEnd"/>
      <w:r>
        <w:rPr>
          <w:rFonts w:ascii="Arial" w:eastAsia="Arial" w:hAnsi="Arial" w:cs="Arial"/>
        </w:rPr>
        <w:t xml:space="preserve"> R, </w:t>
      </w:r>
      <w:proofErr w:type="spellStart"/>
      <w:r>
        <w:rPr>
          <w:rFonts w:ascii="Arial" w:eastAsia="Arial" w:hAnsi="Arial" w:cs="Arial"/>
        </w:rPr>
        <w:t>Kashefimehr</w:t>
      </w:r>
      <w:proofErr w:type="spellEnd"/>
      <w:r>
        <w:rPr>
          <w:rFonts w:ascii="Arial" w:eastAsia="Arial" w:hAnsi="Arial" w:cs="Arial"/>
        </w:rPr>
        <w:t xml:space="preserve"> A, </w:t>
      </w:r>
      <w:proofErr w:type="spellStart"/>
      <w:r>
        <w:rPr>
          <w:rFonts w:ascii="Arial" w:eastAsia="Arial" w:hAnsi="Arial" w:cs="Arial"/>
        </w:rPr>
        <w:t>Rahmanpour</w:t>
      </w:r>
      <w:proofErr w:type="spellEnd"/>
      <w:r>
        <w:rPr>
          <w:rFonts w:ascii="Arial" w:eastAsia="Arial" w:hAnsi="Arial" w:cs="Arial"/>
        </w:rPr>
        <w:t xml:space="preserve"> N, et al.</w:t>
      </w:r>
      <w:r>
        <w:rPr>
          <w:rFonts w:ascii="Arial" w:eastAsia="Arial" w:hAnsi="Arial" w:cs="Arial"/>
        </w:rPr>
        <w:t xml:space="preserve"> Effects of </w:t>
      </w:r>
      <w:proofErr w:type="spellStart"/>
      <w:r>
        <w:rPr>
          <w:rFonts w:ascii="Arial" w:eastAsia="Arial" w:hAnsi="Arial" w:cs="Arial"/>
        </w:rPr>
        <w:t>photobiomodulation</w:t>
      </w:r>
      <w:proofErr w:type="spellEnd"/>
      <w:r>
        <w:rPr>
          <w:rFonts w:ascii="Arial" w:eastAsia="Arial" w:hAnsi="Arial" w:cs="Arial"/>
        </w:rPr>
        <w:t xml:space="preserve"> on healing after periodontal flap surgery: A randomized clinical trial. J </w:t>
      </w:r>
      <w:proofErr w:type="spellStart"/>
      <w:r>
        <w:rPr>
          <w:rFonts w:ascii="Arial" w:eastAsia="Arial" w:hAnsi="Arial" w:cs="Arial"/>
        </w:rPr>
        <w:t>Periodontol</w:t>
      </w:r>
      <w:proofErr w:type="spellEnd"/>
      <w:r>
        <w:rPr>
          <w:rFonts w:ascii="Arial" w:eastAsia="Arial" w:hAnsi="Arial" w:cs="Arial"/>
        </w:rPr>
        <w:t>. 2014;85(10):1362–1368.</w:t>
      </w:r>
    </w:p>
    <w:p w:rsidR="00B8529E" w:rsidRDefault="00962DB2">
      <w:r>
        <w:rPr>
          <w:rFonts w:ascii="Arial" w:eastAsia="Arial" w:hAnsi="Arial" w:cs="Arial"/>
        </w:rPr>
        <w:t xml:space="preserve">8. Ren C, McGrath C, Jin L, et al. Effectiveness of low-level laser therapy as adjunct to non-surgical periodontal </w:t>
      </w:r>
      <w:r>
        <w:rPr>
          <w:rFonts w:ascii="Arial" w:eastAsia="Arial" w:hAnsi="Arial" w:cs="Arial"/>
        </w:rPr>
        <w:t>treatment: A systematic review. Lasers Med Sci. 2017;32(4):887–895.</w:t>
      </w:r>
    </w:p>
    <w:p w:rsidR="00B8529E" w:rsidRDefault="00962DB2">
      <w:pPr>
        <w:rPr>
          <w:rFonts w:ascii="Arial" w:eastAsia="Arial" w:hAnsi="Arial" w:cs="Arial"/>
        </w:rPr>
      </w:pPr>
      <w:r>
        <w:rPr>
          <w:rFonts w:ascii="Arial" w:eastAsia="Arial" w:hAnsi="Arial" w:cs="Arial"/>
        </w:rPr>
        <w:br/>
        <w:t>9. Walsh LJ. The current status of laser applications in dentistry. Aust Dent J. 2003;48(3):146‑155.</w:t>
      </w:r>
      <w:r>
        <w:rPr>
          <w:rFonts w:ascii="Arial" w:eastAsia="Arial" w:hAnsi="Arial" w:cs="Arial"/>
        </w:rPr>
        <w:br/>
        <w:t>10. Huang YY, Chen AC, Carroll JD, Hamblin MR. Biphasic dose response in low level lig</w:t>
      </w:r>
      <w:r>
        <w:rPr>
          <w:rFonts w:ascii="Arial" w:eastAsia="Arial" w:hAnsi="Arial" w:cs="Arial"/>
        </w:rPr>
        <w:t>ht therapy. Dose Response. 2009;7(4):358‑383.</w:t>
      </w:r>
      <w:r>
        <w:rPr>
          <w:rFonts w:ascii="Arial" w:eastAsia="Arial" w:hAnsi="Arial" w:cs="Arial"/>
        </w:rPr>
        <w:br/>
        <w:t xml:space="preserve">11. Mester E, Szende B, Tota JG. Effect of laser on hair growth of mice. </w:t>
      </w:r>
      <w:proofErr w:type="spellStart"/>
      <w:r>
        <w:rPr>
          <w:rFonts w:ascii="Arial" w:eastAsia="Arial" w:hAnsi="Arial" w:cs="Arial"/>
        </w:rPr>
        <w:t>Radiobiol</w:t>
      </w:r>
      <w:proofErr w:type="spellEnd"/>
      <w:r>
        <w:rPr>
          <w:rFonts w:ascii="Arial" w:eastAsia="Arial" w:hAnsi="Arial" w:cs="Arial"/>
        </w:rPr>
        <w:t xml:space="preserve"> </w:t>
      </w:r>
      <w:proofErr w:type="spellStart"/>
      <w:r>
        <w:rPr>
          <w:rFonts w:ascii="Arial" w:eastAsia="Arial" w:hAnsi="Arial" w:cs="Arial"/>
        </w:rPr>
        <w:t>Radiother</w:t>
      </w:r>
      <w:proofErr w:type="spellEnd"/>
      <w:r>
        <w:rPr>
          <w:rFonts w:ascii="Arial" w:eastAsia="Arial" w:hAnsi="Arial" w:cs="Arial"/>
        </w:rPr>
        <w:t xml:space="preserve">. </w:t>
      </w:r>
      <w:proofErr w:type="gramStart"/>
      <w:r>
        <w:rPr>
          <w:rFonts w:ascii="Arial" w:eastAsia="Arial" w:hAnsi="Arial" w:cs="Arial"/>
        </w:rPr>
        <w:t>1967;9:621</w:t>
      </w:r>
      <w:proofErr w:type="gramEnd"/>
      <w:r>
        <w:rPr>
          <w:rFonts w:ascii="Arial" w:eastAsia="Arial" w:hAnsi="Arial" w:cs="Arial"/>
        </w:rPr>
        <w:t>‑626.</w:t>
      </w:r>
      <w:r>
        <w:rPr>
          <w:rFonts w:ascii="Arial" w:eastAsia="Arial" w:hAnsi="Arial" w:cs="Arial"/>
        </w:rPr>
        <w:br/>
        <w:t xml:space="preserve">12. Hamblin MR. </w:t>
      </w:r>
      <w:proofErr w:type="spellStart"/>
      <w:r>
        <w:rPr>
          <w:rFonts w:ascii="Arial" w:eastAsia="Arial" w:hAnsi="Arial" w:cs="Arial"/>
        </w:rPr>
        <w:t>Photobiomodulation</w:t>
      </w:r>
      <w:proofErr w:type="spellEnd"/>
      <w:r>
        <w:rPr>
          <w:rFonts w:ascii="Arial" w:eastAsia="Arial" w:hAnsi="Arial" w:cs="Arial"/>
        </w:rPr>
        <w:t xml:space="preserve"> for pain relief. J </w:t>
      </w:r>
      <w:proofErr w:type="spellStart"/>
      <w:r>
        <w:rPr>
          <w:rFonts w:ascii="Arial" w:eastAsia="Arial" w:hAnsi="Arial" w:cs="Arial"/>
        </w:rPr>
        <w:t>Biophotonics</w:t>
      </w:r>
      <w:proofErr w:type="spellEnd"/>
      <w:r>
        <w:rPr>
          <w:rFonts w:ascii="Arial" w:eastAsia="Arial" w:hAnsi="Arial" w:cs="Arial"/>
        </w:rPr>
        <w:t>. 2017;10(5):1‑15.</w:t>
      </w:r>
      <w:r>
        <w:rPr>
          <w:rFonts w:ascii="Arial" w:eastAsia="Arial" w:hAnsi="Arial" w:cs="Arial"/>
        </w:rPr>
        <w:br/>
        <w:t>13. Arany PR. C</w:t>
      </w:r>
      <w:r>
        <w:rPr>
          <w:rFonts w:ascii="Arial" w:eastAsia="Arial" w:hAnsi="Arial" w:cs="Arial"/>
        </w:rPr>
        <w:t xml:space="preserve">raniofacial wound healing with </w:t>
      </w:r>
      <w:proofErr w:type="spellStart"/>
      <w:r>
        <w:rPr>
          <w:rFonts w:ascii="Arial" w:eastAsia="Arial" w:hAnsi="Arial" w:cs="Arial"/>
        </w:rPr>
        <w:t>photobiomodulation</w:t>
      </w:r>
      <w:proofErr w:type="spellEnd"/>
      <w:r>
        <w:rPr>
          <w:rFonts w:ascii="Arial" w:eastAsia="Arial" w:hAnsi="Arial" w:cs="Arial"/>
        </w:rPr>
        <w:t xml:space="preserve"> therapy. J Dent Res. 2016;95(9):977‑984.</w:t>
      </w:r>
      <w:r>
        <w:rPr>
          <w:rFonts w:ascii="Arial" w:eastAsia="Arial" w:hAnsi="Arial" w:cs="Arial"/>
        </w:rPr>
        <w:br/>
        <w:t>14. Parker S. Laser regulation and safety in general dental practice. Br Dent J. 2007;202(9):523‑532.</w:t>
      </w:r>
      <w:r>
        <w:rPr>
          <w:rFonts w:ascii="Arial" w:eastAsia="Arial" w:hAnsi="Arial" w:cs="Arial"/>
        </w:rPr>
        <w:br/>
        <w:t>15. Romeo U, Del Vecchio A, Palaia G. Effects of low‑level lase</w:t>
      </w:r>
      <w:r>
        <w:rPr>
          <w:rFonts w:ascii="Arial" w:eastAsia="Arial" w:hAnsi="Arial" w:cs="Arial"/>
        </w:rPr>
        <w:t>r therapy on oral mucositis. J Oral Laser Appl. 2011;11(3):125‑130.</w:t>
      </w:r>
      <w:r>
        <w:rPr>
          <w:rFonts w:ascii="Arial" w:eastAsia="Arial" w:hAnsi="Arial" w:cs="Arial"/>
        </w:rPr>
        <w:br/>
        <w:t xml:space="preserve">16. Peplow PV, Chung TY, Baxter GD. Laser </w:t>
      </w:r>
      <w:proofErr w:type="spellStart"/>
      <w:r>
        <w:rPr>
          <w:rFonts w:ascii="Arial" w:eastAsia="Arial" w:hAnsi="Arial" w:cs="Arial"/>
        </w:rPr>
        <w:t>photobiomodulation</w:t>
      </w:r>
      <w:proofErr w:type="spellEnd"/>
      <w:r>
        <w:rPr>
          <w:rFonts w:ascii="Arial" w:eastAsia="Arial" w:hAnsi="Arial" w:cs="Arial"/>
        </w:rPr>
        <w:t xml:space="preserve"> of wound healing. </w:t>
      </w:r>
      <w:proofErr w:type="spellStart"/>
      <w:r>
        <w:rPr>
          <w:rFonts w:ascii="Arial" w:eastAsia="Arial" w:hAnsi="Arial" w:cs="Arial"/>
        </w:rPr>
        <w:t>Photomed</w:t>
      </w:r>
      <w:proofErr w:type="spellEnd"/>
      <w:r>
        <w:rPr>
          <w:rFonts w:ascii="Arial" w:eastAsia="Arial" w:hAnsi="Arial" w:cs="Arial"/>
        </w:rPr>
        <w:t xml:space="preserve"> Laser Surg. 2010;28(3):291‑300.</w:t>
      </w:r>
      <w:r>
        <w:rPr>
          <w:rFonts w:ascii="Arial" w:eastAsia="Arial" w:hAnsi="Arial" w:cs="Arial"/>
        </w:rPr>
        <w:br/>
        <w:t xml:space="preserve">17. </w:t>
      </w:r>
      <w:proofErr w:type="spellStart"/>
      <w:r>
        <w:rPr>
          <w:rFonts w:ascii="Arial" w:eastAsia="Arial" w:hAnsi="Arial" w:cs="Arial"/>
        </w:rPr>
        <w:t>AlGhamdi</w:t>
      </w:r>
      <w:proofErr w:type="spellEnd"/>
      <w:r>
        <w:rPr>
          <w:rFonts w:ascii="Arial" w:eastAsia="Arial" w:hAnsi="Arial" w:cs="Arial"/>
        </w:rPr>
        <w:t xml:space="preserve"> KM, Kumar A, Moussa NA. Low‑level laser therapy for tis</w:t>
      </w:r>
      <w:r>
        <w:rPr>
          <w:rFonts w:ascii="Arial" w:eastAsia="Arial" w:hAnsi="Arial" w:cs="Arial"/>
        </w:rPr>
        <w:t>sue repair. Lasers Med Sci. 2012;27(1):237‑249.</w:t>
      </w:r>
      <w:r>
        <w:rPr>
          <w:rFonts w:ascii="Arial" w:eastAsia="Arial" w:hAnsi="Arial" w:cs="Arial"/>
        </w:rPr>
        <w:br/>
        <w:t xml:space="preserve">18. de Freitas LF, Hamblin MR. Proposed mechanisms of </w:t>
      </w:r>
      <w:proofErr w:type="spellStart"/>
      <w:r>
        <w:rPr>
          <w:rFonts w:ascii="Arial" w:eastAsia="Arial" w:hAnsi="Arial" w:cs="Arial"/>
        </w:rPr>
        <w:t>photobiomodulation</w:t>
      </w:r>
      <w:proofErr w:type="spellEnd"/>
      <w:r>
        <w:rPr>
          <w:rFonts w:ascii="Arial" w:eastAsia="Arial" w:hAnsi="Arial" w:cs="Arial"/>
        </w:rPr>
        <w:t xml:space="preserve"> therapy. IEEE J Sel Top Quantum Electron. 2016;22(3).</w:t>
      </w:r>
      <w:r>
        <w:rPr>
          <w:rFonts w:ascii="Arial" w:eastAsia="Arial" w:hAnsi="Arial" w:cs="Arial"/>
        </w:rPr>
        <w:br/>
        <w:t xml:space="preserve">19. </w:t>
      </w:r>
      <w:proofErr w:type="spellStart"/>
      <w:r>
        <w:rPr>
          <w:rFonts w:ascii="Arial" w:eastAsia="Arial" w:hAnsi="Arial" w:cs="Arial"/>
        </w:rPr>
        <w:t>Bjordal</w:t>
      </w:r>
      <w:proofErr w:type="spellEnd"/>
      <w:r>
        <w:rPr>
          <w:rFonts w:ascii="Arial" w:eastAsia="Arial" w:hAnsi="Arial" w:cs="Arial"/>
        </w:rPr>
        <w:t xml:space="preserve"> JM, </w:t>
      </w:r>
      <w:proofErr w:type="spellStart"/>
      <w:r>
        <w:rPr>
          <w:rFonts w:ascii="Arial" w:eastAsia="Arial" w:hAnsi="Arial" w:cs="Arial"/>
        </w:rPr>
        <w:t>Couppé</w:t>
      </w:r>
      <w:proofErr w:type="spellEnd"/>
      <w:r>
        <w:rPr>
          <w:rFonts w:ascii="Arial" w:eastAsia="Arial" w:hAnsi="Arial" w:cs="Arial"/>
        </w:rPr>
        <w:t xml:space="preserve"> C, Chow RT. Low level laser therapy for pain relief: syste</w:t>
      </w:r>
      <w:r>
        <w:rPr>
          <w:rFonts w:ascii="Arial" w:eastAsia="Arial" w:hAnsi="Arial" w:cs="Arial"/>
        </w:rPr>
        <w:t xml:space="preserve">matic review. Lancet. </w:t>
      </w:r>
      <w:proofErr w:type="gramStart"/>
      <w:r>
        <w:rPr>
          <w:rFonts w:ascii="Arial" w:eastAsia="Arial" w:hAnsi="Arial" w:cs="Arial"/>
        </w:rPr>
        <w:t>2003;362:1590</w:t>
      </w:r>
      <w:proofErr w:type="gramEnd"/>
      <w:r>
        <w:rPr>
          <w:rFonts w:ascii="Arial" w:eastAsia="Arial" w:hAnsi="Arial" w:cs="Arial"/>
        </w:rPr>
        <w:t>‑1596.</w:t>
      </w:r>
      <w:r>
        <w:rPr>
          <w:rFonts w:ascii="Arial" w:eastAsia="Arial" w:hAnsi="Arial" w:cs="Arial"/>
        </w:rPr>
        <w:br/>
        <w:t xml:space="preserve">20. </w:t>
      </w:r>
      <w:proofErr w:type="spellStart"/>
      <w:r>
        <w:rPr>
          <w:rFonts w:ascii="Arial" w:eastAsia="Arial" w:hAnsi="Arial" w:cs="Arial"/>
        </w:rPr>
        <w:t>Tunér</w:t>
      </w:r>
      <w:proofErr w:type="spellEnd"/>
      <w:r>
        <w:rPr>
          <w:rFonts w:ascii="Arial" w:eastAsia="Arial" w:hAnsi="Arial" w:cs="Arial"/>
        </w:rPr>
        <w:t xml:space="preserve"> J, </w:t>
      </w:r>
      <w:proofErr w:type="spellStart"/>
      <w:r>
        <w:rPr>
          <w:rFonts w:ascii="Arial" w:eastAsia="Arial" w:hAnsi="Arial" w:cs="Arial"/>
        </w:rPr>
        <w:t>Hode</w:t>
      </w:r>
      <w:proofErr w:type="spellEnd"/>
      <w:r>
        <w:rPr>
          <w:rFonts w:ascii="Arial" w:eastAsia="Arial" w:hAnsi="Arial" w:cs="Arial"/>
        </w:rPr>
        <w:t xml:space="preserve"> L. Laser Therapy: Clinical Practice and Scientific Background. Stockholm: Prima Books; 2010.</w:t>
      </w:r>
      <w:r>
        <w:rPr>
          <w:rFonts w:ascii="Arial" w:eastAsia="Arial" w:hAnsi="Arial" w:cs="Arial"/>
        </w:rPr>
        <w:br/>
      </w:r>
      <w:proofErr w:type="spellStart"/>
      <w:r>
        <w:rPr>
          <w:rFonts w:ascii="Arial" w:eastAsia="Arial" w:hAnsi="Arial" w:cs="Arial"/>
        </w:rPr>
        <w:t>Bahrami</w:t>
      </w:r>
      <w:proofErr w:type="spellEnd"/>
      <w:r>
        <w:rPr>
          <w:rFonts w:ascii="Arial" w:eastAsia="Arial" w:hAnsi="Arial" w:cs="Arial"/>
        </w:rPr>
        <w:t xml:space="preserve"> R, </w:t>
      </w:r>
      <w:proofErr w:type="spellStart"/>
      <w:r>
        <w:rPr>
          <w:rFonts w:ascii="Arial" w:eastAsia="Arial" w:hAnsi="Arial" w:cs="Arial"/>
        </w:rPr>
        <w:t>Pourhajibagher</w:t>
      </w:r>
      <w:proofErr w:type="spellEnd"/>
      <w:r>
        <w:rPr>
          <w:rFonts w:ascii="Arial" w:eastAsia="Arial" w:hAnsi="Arial" w:cs="Arial"/>
        </w:rPr>
        <w:t xml:space="preserve"> M, </w:t>
      </w:r>
      <w:proofErr w:type="spellStart"/>
      <w:r>
        <w:rPr>
          <w:rFonts w:ascii="Arial" w:eastAsia="Arial" w:hAnsi="Arial" w:cs="Arial"/>
        </w:rPr>
        <w:t>Gharibpour</w:t>
      </w:r>
      <w:proofErr w:type="spellEnd"/>
      <w:r>
        <w:rPr>
          <w:rFonts w:ascii="Arial" w:eastAsia="Arial" w:hAnsi="Arial" w:cs="Arial"/>
        </w:rPr>
        <w:t xml:space="preserve"> F, Hosseini S, Bahador A. The impact of low-level laser therapy</w:t>
      </w:r>
      <w:r>
        <w:rPr>
          <w:rFonts w:ascii="Arial" w:eastAsia="Arial" w:hAnsi="Arial" w:cs="Arial"/>
        </w:rPr>
        <w:t xml:space="preserve"> (</w:t>
      </w:r>
      <w:proofErr w:type="spellStart"/>
      <w:r>
        <w:rPr>
          <w:rFonts w:ascii="Arial" w:eastAsia="Arial" w:hAnsi="Arial" w:cs="Arial"/>
        </w:rPr>
        <w:t>photobiomodulation</w:t>
      </w:r>
      <w:proofErr w:type="spellEnd"/>
      <w:r>
        <w:rPr>
          <w:rFonts w:ascii="Arial" w:eastAsia="Arial" w:hAnsi="Arial" w:cs="Arial"/>
        </w:rPr>
        <w:t xml:space="preserve">) on complications associated with conventional dental treatments and oral disorders: A literature review. </w:t>
      </w:r>
      <w:r>
        <w:rPr>
          <w:rFonts w:ascii="Arial" w:eastAsia="Arial" w:hAnsi="Arial" w:cs="Arial"/>
          <w:b/>
          <w:bCs/>
        </w:rPr>
        <w:t>J Dent Sci.</w:t>
      </w:r>
      <w:r>
        <w:rPr>
          <w:rFonts w:ascii="Arial" w:eastAsia="Arial" w:hAnsi="Arial" w:cs="Arial"/>
        </w:rPr>
        <w:t xml:space="preserve"> 2025;20(2):901–910.</w:t>
      </w:r>
      <w:r>
        <w:rPr>
          <w:rFonts w:ascii="Arial" w:eastAsia="Arial" w:hAnsi="Arial" w:cs="Arial"/>
        </w:rPr>
        <w:br/>
        <w:t xml:space="preserve">21.Silva RCM, Silva LGC, Martins AA, Araújo CM, Martins ARLA. Adjunctive </w:t>
      </w:r>
      <w:proofErr w:type="spellStart"/>
      <w:r>
        <w:rPr>
          <w:rFonts w:ascii="Arial" w:eastAsia="Arial" w:hAnsi="Arial" w:cs="Arial"/>
        </w:rPr>
        <w:t>photobiomodulation</w:t>
      </w:r>
      <w:proofErr w:type="spellEnd"/>
      <w:r>
        <w:rPr>
          <w:rFonts w:ascii="Arial" w:eastAsia="Arial" w:hAnsi="Arial" w:cs="Arial"/>
        </w:rPr>
        <w:t xml:space="preserve"> to ba</w:t>
      </w:r>
      <w:r>
        <w:rPr>
          <w:rFonts w:ascii="Arial" w:eastAsia="Arial" w:hAnsi="Arial" w:cs="Arial"/>
        </w:rPr>
        <w:t xml:space="preserve">sic periodontal therapy using different low-power laser application techniques: A systematic review and meta-analysis. </w:t>
      </w:r>
      <w:r>
        <w:rPr>
          <w:rFonts w:ascii="Arial" w:eastAsia="Arial" w:hAnsi="Arial" w:cs="Arial"/>
          <w:b/>
          <w:bCs/>
        </w:rPr>
        <w:t>Lasers Med Sci.</w:t>
      </w:r>
      <w:r>
        <w:rPr>
          <w:rFonts w:ascii="Arial" w:eastAsia="Arial" w:hAnsi="Arial" w:cs="Arial"/>
        </w:rPr>
        <w:t xml:space="preserve"> </w:t>
      </w:r>
      <w:proofErr w:type="gramStart"/>
      <w:r>
        <w:rPr>
          <w:rFonts w:ascii="Arial" w:eastAsia="Arial" w:hAnsi="Arial" w:cs="Arial"/>
        </w:rPr>
        <w:t>2024;39:207</w:t>
      </w:r>
      <w:proofErr w:type="gramEnd"/>
      <w:r>
        <w:rPr>
          <w:rFonts w:ascii="Arial" w:eastAsia="Arial" w:hAnsi="Arial" w:cs="Arial"/>
        </w:rPr>
        <w:t>.</w:t>
      </w:r>
      <w:r>
        <w:rPr>
          <w:rFonts w:ascii="Arial" w:eastAsia="Arial" w:hAnsi="Arial" w:cs="Arial"/>
        </w:rPr>
        <w:br/>
        <w:t xml:space="preserve">22.Firoozi P, </w:t>
      </w:r>
      <w:proofErr w:type="spellStart"/>
      <w:r>
        <w:rPr>
          <w:rFonts w:ascii="Arial" w:eastAsia="Arial" w:hAnsi="Arial" w:cs="Arial"/>
        </w:rPr>
        <w:t>Amiri</w:t>
      </w:r>
      <w:proofErr w:type="spellEnd"/>
      <w:r>
        <w:rPr>
          <w:rFonts w:ascii="Arial" w:eastAsia="Arial" w:hAnsi="Arial" w:cs="Arial"/>
        </w:rPr>
        <w:t xml:space="preserve"> MA, </w:t>
      </w:r>
      <w:proofErr w:type="spellStart"/>
      <w:r>
        <w:rPr>
          <w:rFonts w:ascii="Arial" w:eastAsia="Arial" w:hAnsi="Arial" w:cs="Arial"/>
        </w:rPr>
        <w:t>Soghli</w:t>
      </w:r>
      <w:proofErr w:type="spellEnd"/>
      <w:r>
        <w:rPr>
          <w:rFonts w:ascii="Arial" w:eastAsia="Arial" w:hAnsi="Arial" w:cs="Arial"/>
        </w:rPr>
        <w:t xml:space="preserve"> N, </w:t>
      </w:r>
      <w:proofErr w:type="spellStart"/>
      <w:r>
        <w:rPr>
          <w:rFonts w:ascii="Arial" w:eastAsia="Arial" w:hAnsi="Arial" w:cs="Arial"/>
        </w:rPr>
        <w:t>Farshidfar</w:t>
      </w:r>
      <w:proofErr w:type="spellEnd"/>
      <w:r>
        <w:rPr>
          <w:rFonts w:ascii="Arial" w:eastAsia="Arial" w:hAnsi="Arial" w:cs="Arial"/>
        </w:rPr>
        <w:t xml:space="preserve"> N, </w:t>
      </w:r>
      <w:proofErr w:type="spellStart"/>
      <w:r>
        <w:rPr>
          <w:rFonts w:ascii="Arial" w:eastAsia="Arial" w:hAnsi="Arial" w:cs="Arial"/>
        </w:rPr>
        <w:t>Hakimiha</w:t>
      </w:r>
      <w:proofErr w:type="spellEnd"/>
      <w:r>
        <w:rPr>
          <w:rFonts w:ascii="Arial" w:eastAsia="Arial" w:hAnsi="Arial" w:cs="Arial"/>
        </w:rPr>
        <w:t xml:space="preserve"> N, </w:t>
      </w:r>
      <w:proofErr w:type="spellStart"/>
      <w:r>
        <w:rPr>
          <w:rFonts w:ascii="Arial" w:eastAsia="Arial" w:hAnsi="Arial" w:cs="Arial"/>
        </w:rPr>
        <w:t>Fekrazad</w:t>
      </w:r>
      <w:proofErr w:type="spellEnd"/>
      <w:r>
        <w:rPr>
          <w:rFonts w:ascii="Arial" w:eastAsia="Arial" w:hAnsi="Arial" w:cs="Arial"/>
        </w:rPr>
        <w:t xml:space="preserve"> R. The role of </w:t>
      </w:r>
      <w:proofErr w:type="spellStart"/>
      <w:r>
        <w:rPr>
          <w:rFonts w:ascii="Arial" w:eastAsia="Arial" w:hAnsi="Arial" w:cs="Arial"/>
        </w:rPr>
        <w:lastRenderedPageBreak/>
        <w:t>photobiomodulation</w:t>
      </w:r>
      <w:proofErr w:type="spellEnd"/>
      <w:r>
        <w:rPr>
          <w:rFonts w:ascii="Arial" w:eastAsia="Arial" w:hAnsi="Arial" w:cs="Arial"/>
        </w:rPr>
        <w:t xml:space="preserve"> on de</w:t>
      </w:r>
      <w:r>
        <w:rPr>
          <w:rFonts w:ascii="Arial" w:eastAsia="Arial" w:hAnsi="Arial" w:cs="Arial"/>
        </w:rPr>
        <w:t xml:space="preserve">ntal-derived stem cells in regenerative dentistry: A comprehensive systematic review. </w:t>
      </w:r>
      <w:r>
        <w:rPr>
          <w:rFonts w:ascii="Arial" w:eastAsia="Arial" w:hAnsi="Arial" w:cs="Arial"/>
          <w:b/>
          <w:bCs/>
        </w:rPr>
        <w:t>Curr Stem Cell Res Ther.</w:t>
      </w:r>
      <w:r>
        <w:rPr>
          <w:rFonts w:ascii="Arial" w:eastAsia="Arial" w:hAnsi="Arial" w:cs="Arial"/>
        </w:rPr>
        <w:t xml:space="preserve"> 2024;19(4):559–586.</w:t>
      </w:r>
      <w:r>
        <w:rPr>
          <w:rFonts w:ascii="Arial" w:eastAsia="Arial" w:hAnsi="Arial" w:cs="Arial"/>
        </w:rPr>
        <w:br/>
        <w:t xml:space="preserve">23.Mylona V, </w:t>
      </w:r>
      <w:proofErr w:type="spellStart"/>
      <w:r>
        <w:rPr>
          <w:rFonts w:ascii="Arial" w:eastAsia="Arial" w:hAnsi="Arial" w:cs="Arial"/>
        </w:rPr>
        <w:t>Anagnostaki</w:t>
      </w:r>
      <w:proofErr w:type="spellEnd"/>
      <w:r>
        <w:rPr>
          <w:rFonts w:ascii="Arial" w:eastAsia="Arial" w:hAnsi="Arial" w:cs="Arial"/>
        </w:rPr>
        <w:t xml:space="preserve"> E, </w:t>
      </w:r>
      <w:proofErr w:type="spellStart"/>
      <w:r>
        <w:rPr>
          <w:rFonts w:ascii="Arial" w:eastAsia="Arial" w:hAnsi="Arial" w:cs="Arial"/>
        </w:rPr>
        <w:t>Chiniforush</w:t>
      </w:r>
      <w:proofErr w:type="spellEnd"/>
      <w:r>
        <w:rPr>
          <w:rFonts w:ascii="Arial" w:eastAsia="Arial" w:hAnsi="Arial" w:cs="Arial"/>
        </w:rPr>
        <w:t xml:space="preserve"> N, </w:t>
      </w:r>
      <w:proofErr w:type="spellStart"/>
      <w:r>
        <w:rPr>
          <w:rFonts w:ascii="Arial" w:eastAsia="Arial" w:hAnsi="Arial" w:cs="Arial"/>
        </w:rPr>
        <w:t>Barikani</w:t>
      </w:r>
      <w:proofErr w:type="spellEnd"/>
      <w:r>
        <w:rPr>
          <w:rFonts w:ascii="Arial" w:eastAsia="Arial" w:hAnsi="Arial" w:cs="Arial"/>
        </w:rPr>
        <w:t xml:space="preserve"> H, Lynch E, </w:t>
      </w:r>
      <w:proofErr w:type="spellStart"/>
      <w:r>
        <w:rPr>
          <w:rFonts w:ascii="Arial" w:eastAsia="Arial" w:hAnsi="Arial" w:cs="Arial"/>
        </w:rPr>
        <w:t>Grootveld</w:t>
      </w:r>
      <w:proofErr w:type="spellEnd"/>
      <w:r>
        <w:rPr>
          <w:rFonts w:ascii="Arial" w:eastAsia="Arial" w:hAnsi="Arial" w:cs="Arial"/>
        </w:rPr>
        <w:t xml:space="preserve"> M. </w:t>
      </w:r>
      <w:proofErr w:type="spellStart"/>
      <w:r>
        <w:rPr>
          <w:rFonts w:ascii="Arial" w:eastAsia="Arial" w:hAnsi="Arial" w:cs="Arial"/>
        </w:rPr>
        <w:t>Photobiomodulation</w:t>
      </w:r>
      <w:proofErr w:type="spellEnd"/>
      <w:r>
        <w:rPr>
          <w:rFonts w:ascii="Arial" w:eastAsia="Arial" w:hAnsi="Arial" w:cs="Arial"/>
        </w:rPr>
        <w:t xml:space="preserve"> effects on periodontal ligame</w:t>
      </w:r>
      <w:r>
        <w:rPr>
          <w:rFonts w:ascii="Arial" w:eastAsia="Arial" w:hAnsi="Arial" w:cs="Arial"/>
        </w:rPr>
        <w:t xml:space="preserve">nt stem cells: A systematic review of in vitro studies. </w:t>
      </w:r>
      <w:r>
        <w:rPr>
          <w:rFonts w:ascii="Arial" w:eastAsia="Arial" w:hAnsi="Arial" w:cs="Arial"/>
          <w:b/>
          <w:bCs/>
        </w:rPr>
        <w:t>Curr Stem Cell Res Ther.</w:t>
      </w:r>
      <w:r>
        <w:rPr>
          <w:rFonts w:ascii="Arial" w:eastAsia="Arial" w:hAnsi="Arial" w:cs="Arial"/>
        </w:rPr>
        <w:t xml:space="preserve"> 2024;19(4):544–558.</w:t>
      </w:r>
      <w:r>
        <w:rPr>
          <w:rFonts w:ascii="Arial" w:eastAsia="Arial" w:hAnsi="Arial" w:cs="Arial"/>
        </w:rPr>
        <w:br/>
        <w:t xml:space="preserve">24.Al </w:t>
      </w:r>
      <w:proofErr w:type="spellStart"/>
      <w:r>
        <w:rPr>
          <w:rFonts w:ascii="Arial" w:eastAsia="Arial" w:hAnsi="Arial" w:cs="Arial"/>
        </w:rPr>
        <w:t>Asmari</w:t>
      </w:r>
      <w:proofErr w:type="spellEnd"/>
      <w:r>
        <w:rPr>
          <w:rFonts w:ascii="Arial" w:eastAsia="Arial" w:hAnsi="Arial" w:cs="Arial"/>
        </w:rPr>
        <w:t xml:space="preserve"> D, </w:t>
      </w:r>
      <w:proofErr w:type="spellStart"/>
      <w:r>
        <w:rPr>
          <w:rFonts w:ascii="Arial" w:eastAsia="Arial" w:hAnsi="Arial" w:cs="Arial"/>
        </w:rPr>
        <w:t>Alenezi</w:t>
      </w:r>
      <w:proofErr w:type="spellEnd"/>
      <w:r>
        <w:rPr>
          <w:rFonts w:ascii="Arial" w:eastAsia="Arial" w:hAnsi="Arial" w:cs="Arial"/>
        </w:rPr>
        <w:t xml:space="preserve"> A. Laser technology in periodontal treatment: Benefits, risks, and future directions—A mini review. </w:t>
      </w:r>
      <w:r>
        <w:rPr>
          <w:rFonts w:ascii="Arial" w:eastAsia="Arial" w:hAnsi="Arial" w:cs="Arial"/>
          <w:b/>
          <w:bCs/>
        </w:rPr>
        <w:t>J Clin Med.</w:t>
      </w:r>
      <w:r>
        <w:rPr>
          <w:rFonts w:ascii="Arial" w:eastAsia="Arial" w:hAnsi="Arial" w:cs="Arial"/>
        </w:rPr>
        <w:t xml:space="preserve"> 2025;14(6):1962.</w:t>
      </w:r>
      <w:r>
        <w:rPr>
          <w:rFonts w:ascii="Arial" w:eastAsia="Arial" w:hAnsi="Arial" w:cs="Arial"/>
        </w:rPr>
        <w:br/>
        <w:t>25</w:t>
      </w:r>
      <w:r>
        <w:rPr>
          <w:rFonts w:ascii="Arial" w:eastAsia="Arial" w:hAnsi="Arial" w:cs="Arial"/>
        </w:rPr>
        <w:t xml:space="preserve">.Zhang Y, Chen L, Wang H, et al. Efficacy of </w:t>
      </w:r>
      <w:proofErr w:type="spellStart"/>
      <w:r>
        <w:rPr>
          <w:rFonts w:ascii="Arial" w:eastAsia="Arial" w:hAnsi="Arial" w:cs="Arial"/>
        </w:rPr>
        <w:t>photobiomodulation</w:t>
      </w:r>
      <w:proofErr w:type="spellEnd"/>
      <w:r>
        <w:rPr>
          <w:rFonts w:ascii="Arial" w:eastAsia="Arial" w:hAnsi="Arial" w:cs="Arial"/>
        </w:rPr>
        <w:t xml:space="preserve"> therapy in reducing dental injection pain in adults: A systematic review and meta-analysis. </w:t>
      </w:r>
      <w:r>
        <w:rPr>
          <w:rFonts w:ascii="Arial" w:eastAsia="Arial" w:hAnsi="Arial" w:cs="Arial"/>
          <w:b/>
          <w:bCs/>
        </w:rPr>
        <w:t>J Dent.</w:t>
      </w:r>
      <w:r>
        <w:rPr>
          <w:rFonts w:ascii="Arial" w:eastAsia="Arial" w:hAnsi="Arial" w:cs="Arial"/>
        </w:rPr>
        <w:t xml:space="preserve"> </w:t>
      </w:r>
      <w:proofErr w:type="gramStart"/>
      <w:r>
        <w:rPr>
          <w:rFonts w:ascii="Arial" w:eastAsia="Arial" w:hAnsi="Arial" w:cs="Arial"/>
        </w:rPr>
        <w:t>2025;162:106003</w:t>
      </w:r>
      <w:proofErr w:type="gramEnd"/>
      <w:r>
        <w:rPr>
          <w:rFonts w:ascii="Arial" w:eastAsia="Arial" w:hAnsi="Arial" w:cs="Arial"/>
        </w:rPr>
        <w:t xml:space="preserve">. </w:t>
      </w:r>
      <w:r>
        <w:rPr>
          <w:rFonts w:ascii="Arial" w:eastAsia="Arial" w:hAnsi="Arial" w:cs="Arial"/>
        </w:rPr>
        <w:br/>
      </w:r>
    </w:p>
    <w:p w:rsidR="00B8529E" w:rsidRDefault="00B8529E">
      <w:pPr>
        <w:rPr>
          <w:rFonts w:ascii="Arial" w:eastAsia="Arial" w:hAnsi="Arial" w:cs="Arial"/>
        </w:rPr>
      </w:pPr>
    </w:p>
    <w:sectPr w:rsidR="00B8529E">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62DB2" w:rsidRDefault="00962DB2">
      <w:pPr>
        <w:spacing w:after="0" w:line="240" w:lineRule="auto"/>
      </w:pPr>
      <w:r>
        <w:separator/>
      </w:r>
    </w:p>
  </w:endnote>
  <w:endnote w:type="continuationSeparator" w:id="0">
    <w:p w:rsidR="00962DB2" w:rsidRDefault="00962D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embedRegular r:id="rId1" w:fontKey="{CC6E3AF5-84E7-46C7-93FE-E04A454B6452}"/>
  </w:font>
  <w:font w:name="Calibri">
    <w:panose1 w:val="020F0502020204030204"/>
    <w:charset w:val="00"/>
    <w:family w:val="swiss"/>
    <w:pitch w:val="variable"/>
    <w:sig w:usb0="E4002EFF" w:usb1="C000247B" w:usb2="00000009" w:usb3="00000000" w:csb0="000001FF" w:csb1="00000000"/>
    <w:embedRegular r:id="rId2" w:fontKey="{D1BDF357-A556-4C43-86B7-70BA2713230E}"/>
    <w:embedBold r:id="rId3" w:fontKey="{58830CF5-2589-44B6-8B23-90C59EA4136F}"/>
    <w:embedItalic r:id="rId4" w:fontKey="{84F82B2F-3B5F-49FB-AC7B-1ED50D49ED75}"/>
    <w:embedBoldItalic r:id="rId5" w:fontKey="{9AC5AB9E-8878-43C0-98E1-9001A1F8AC8B}"/>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62DB2" w:rsidRDefault="00962DB2">
      <w:pPr>
        <w:spacing w:after="0" w:line="240" w:lineRule="auto"/>
      </w:pPr>
      <w:r>
        <w:separator/>
      </w:r>
    </w:p>
  </w:footnote>
  <w:footnote w:type="continuationSeparator" w:id="0">
    <w:p w:rsidR="00962DB2" w:rsidRDefault="00962D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206BC4"/>
    <w:multiLevelType w:val="multilevel"/>
    <w:tmpl w:val="021E9970"/>
    <w:lvl w:ilvl="0">
      <w:start w:val="4"/>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529E"/>
    <w:rsid w:val="000C2826"/>
    <w:rsid w:val="00425E29"/>
    <w:rsid w:val="00962DB2"/>
    <w:rsid w:val="00B433FD"/>
    <w:rsid w:val="00B8529E"/>
    <w:rsid w:val="00E24B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99BAA0"/>
  <w15:docId w15:val="{AAFAB493-DCDF-46A8-A290-FC34B28A2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2"/>
        <w:szCs w:val="22"/>
        <w:lang w:val="en"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uiPriority w:val="9"/>
    <w:semiHidden/>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uiPriority w:val="9"/>
    <w:semiHidden/>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uiPriority w:val="9"/>
    <w:semiHidden/>
    <w:unhideWhenUsed/>
    <w:qFormat/>
    <w:pPr>
      <w:keepNext/>
      <w:keepLines/>
      <w:spacing w:before="200" w:after="0"/>
      <w:outlineLvl w:val="4"/>
    </w:pPr>
    <w:rPr>
      <w:rFonts w:ascii="Calibri" w:eastAsia="Calibri" w:hAnsi="Calibri" w:cs="Calibri"/>
      <w:color w:val="244061"/>
    </w:rPr>
  </w:style>
  <w:style w:type="paragraph" w:styleId="Heading6">
    <w:name w:val="heading 6"/>
    <w:basedOn w:val="Normal"/>
    <w:next w:val="Normal"/>
    <w:uiPriority w:val="9"/>
    <w:semiHidden/>
    <w:unhideWhenUsed/>
    <w:qFormat/>
    <w:pPr>
      <w:keepNext/>
      <w:keepLines/>
      <w:spacing w:before="200" w:after="0"/>
      <w:outlineLvl w:val="5"/>
    </w:pPr>
    <w:rPr>
      <w:rFonts w:ascii="Calibri" w:eastAsia="Calibri" w:hAnsi="Calibri" w:cs="Calibri"/>
      <w:i/>
      <w:iCs/>
      <w:color w:val="2440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bottom w:val="single" w:sz="8" w:space="4" w:color="4F81BD"/>
      </w:pBdr>
      <w:spacing w:after="300" w:line="240" w:lineRule="auto"/>
    </w:pPr>
    <w:rPr>
      <w:rFonts w:ascii="Calibri" w:eastAsia="Calibri" w:hAnsi="Calibri" w:cs="Calibri"/>
      <w:color w:val="17375E"/>
      <w:sz w:val="52"/>
      <w:szCs w:val="52"/>
    </w:rPr>
  </w:style>
  <w:style w:type="paragraph" w:styleId="Subtitle">
    <w:name w:val="Subtitle"/>
    <w:basedOn w:val="Normal"/>
    <w:next w:val="Normal"/>
    <w:uiPriority w:val="11"/>
    <w:qFormat/>
    <w:rPr>
      <w:rFonts w:ascii="Calibri" w:eastAsia="Calibri" w:hAnsi="Calibri" w:cs="Calibri"/>
      <w:i/>
      <w:iCs/>
      <w:color w:val="4F81BD"/>
      <w:sz w:val="24"/>
      <w:szCs w:val="24"/>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CellMar>
        <w:top w:w="0" w:type="dxa"/>
        <w:left w:w="10" w:type="dxa"/>
        <w:bottom w:w="0" w:type="dxa"/>
        <w:right w:w="10" w:type="dxa"/>
      </w:tblCellMar>
    </w:tblPr>
  </w:style>
  <w:style w:type="table" w:customStyle="1" w:styleId="a1">
    <w:basedOn w:val="TableNormal0"/>
    <w:tblPr>
      <w:tblStyleRowBandSize w:val="1"/>
      <w:tblStyleColBandSize w:val="1"/>
      <w:tblCellMar>
        <w:top w:w="0" w:type="dxa"/>
        <w:left w:w="10" w:type="dxa"/>
        <w:bottom w:w="0" w:type="dxa"/>
        <w:right w:w="10" w:type="dxa"/>
      </w:tblCellMar>
    </w:tblPr>
  </w:style>
  <w:style w:type="paragraph" w:styleId="Header">
    <w:name w:val="header"/>
    <w:basedOn w:val="Normal"/>
    <w:link w:val="HeaderChar"/>
    <w:uiPriority w:val="99"/>
    <w:unhideWhenUsed/>
    <w:rsid w:val="00E24B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4BDA"/>
  </w:style>
  <w:style w:type="paragraph" w:styleId="Footer">
    <w:name w:val="footer"/>
    <w:basedOn w:val="Normal"/>
    <w:link w:val="FooterChar"/>
    <w:uiPriority w:val="99"/>
    <w:unhideWhenUsed/>
    <w:rsid w:val="00E24B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4B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12</Pages>
  <Words>3273</Words>
  <Characters>18658</Characters>
  <Application>Microsoft Office Word</Application>
  <DocSecurity>0</DocSecurity>
  <Lines>155</Lines>
  <Paragraphs>43</Paragraphs>
  <ScaleCrop>false</ScaleCrop>
  <Company/>
  <LinksUpToDate>false</LinksUpToDate>
  <CharactersWithSpaces>21888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1089</cp:lastModifiedBy>
  <cp:revision>3</cp:revision>
  <dcterms:created xsi:type="dcterms:W3CDTF">2026-03-18T11:24:00Z</dcterms:created>
  <dcterms:modified xsi:type="dcterms:W3CDTF">2026-03-19T11:34:00Z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71BF6031E7ED44FAB5F9F2973F914ADA_13</vt:lpwstr>
  </property>
</Properties>
</file>