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69F2" w:rsidRDefault="00126F89">
      <w:pPr>
        <w:widowControl w:val="0"/>
        <w:pBdr>
          <w:top w:val="nil"/>
          <w:left w:val="nil"/>
          <w:bottom w:val="nil"/>
          <w:right w:val="nil"/>
          <w:between w:val="nil"/>
        </w:pBdr>
        <w:spacing w:line="276" w:lineRule="auto"/>
      </w:pPr>
      <w:r>
        <w:pict w14:anchorId="268D5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91" type="#_x0000_t136" style="position:absolute;margin-left:-.5pt;margin-top:-.5pt;width:50pt;height:50pt;z-index:251653632;visibility:hidden;mso-position-horizontal:absolute;mso-position-horizontal-relative:margin;mso-position-vertical:absolute;mso-position-vertical-relative:text">
            <o:lock v:ext="edit" selection="t"/>
            <w10:wrap anchorx="margin"/>
          </v:shape>
        </w:pict>
      </w:r>
      <w:r>
        <w:pict w14:anchorId="17C88AE6">
          <v:shape id="_x0000_s3090" type="#_x0000_t136" style="position:absolute;margin-left:-.5pt;margin-top:-.5pt;width:50pt;height:50pt;z-index:251654656;visibility:hidden;mso-position-horizontal:absolute;mso-position-horizontal-relative:margin;mso-position-vertical:absolute;mso-position-vertical-relative:text">
            <o:lock v:ext="edit" selection="t"/>
            <w10:wrap anchorx="margin"/>
          </v:shape>
        </w:pict>
      </w:r>
      <w:r>
        <w:pict w14:anchorId="2C3F39B3">
          <v:shape id="_x0000_s3089" type="#_x0000_t136" style="position:absolute;margin-left:-.5pt;margin-top:-.5pt;width:50pt;height:50pt;z-index:251655680;visibility:hidden;mso-position-horizontal:absolute;mso-position-horizontal-relative:margin;mso-position-vertical:absolute;mso-position-vertical-relative:text">
            <o:lock v:ext="edit" selection="t"/>
            <w10:wrap anchorx="margin"/>
          </v:shape>
        </w:pict>
      </w:r>
      <w:r>
        <w:pict w14:anchorId="4C7F62D7">
          <v:shape id="_x0000_s3088" type="#_x0000_t136" style="position:absolute;margin-left:-.5pt;margin-top:-.5pt;width:50pt;height:50pt;z-index:251656704;visibility:hidden;mso-position-horizontal:absolute;mso-position-horizontal-relative:margin;mso-position-vertical:absolute;mso-position-vertical-relative:text">
            <o:lock v:ext="edit" selection="t"/>
            <w10:wrap anchorx="margin"/>
          </v:shape>
        </w:pict>
      </w:r>
      <w:r>
        <w:pict w14:anchorId="63C1FC9A">
          <v:shape id="_x0000_s3087" type="#_x0000_t136" style="position:absolute;margin-left:-.5pt;margin-top:-.5pt;width:50pt;height:50pt;z-index:251657728;visibility:hidden;mso-position-horizontal:absolute;mso-position-horizontal-relative:margin;mso-position-vertical:absolute;mso-position-vertical-relative:text">
            <o:lock v:ext="edit" selection="t"/>
            <w10:wrap anchorx="margin"/>
          </v:shape>
        </w:pict>
      </w:r>
      <w:r>
        <w:pict w14:anchorId="5E7B3AC1">
          <v:shape id="_x0000_s3086" type="#_x0000_t136" style="position:absolute;margin-left:-.5pt;margin-top:-.5pt;width:50pt;height:50pt;z-index:251658752;visibility:hidden;mso-position-horizontal:absolute;mso-position-horizontal-relative:margin;mso-position-vertical:absolute;mso-position-vertical-relative:text">
            <o:lock v:ext="edit" selection="t"/>
            <w10:wrap anchorx="margin"/>
          </v:shape>
        </w:pict>
      </w:r>
      <w:r>
        <w:pict w14:anchorId="1D0BA7D9">
          <v:shape id="_x0000_s3085" type="#_x0000_t136" style="position:absolute;margin-left:-.5pt;margin-top:-.5pt;width:50pt;height:50pt;z-index:251659776;visibility:hidden;mso-position-horizontal:absolute;mso-position-horizontal-relative:margin;mso-position-vertical:absolute;mso-position-vertical-relative:text">
            <o:lock v:ext="edit" selection="t"/>
            <w10:wrap anchorx="margin"/>
          </v:shape>
        </w:pict>
      </w:r>
      <w:r>
        <w:pict w14:anchorId="332D1507">
          <v:shape id="_x0000_s3084" type="#_x0000_t136" style="position:absolute;margin-left:-.5pt;margin-top:-.5pt;width:50pt;height:50pt;z-index:251660800;visibility:hidden;mso-position-horizontal:absolute;mso-position-horizontal-relative:margin;mso-position-vertical:absolute;mso-position-vertical-relative:text">
            <o:lock v:ext="edit" selection="t"/>
            <w10:wrap anchorx="margin"/>
          </v:shape>
        </w:pict>
      </w:r>
      <w:r>
        <w:pict w14:anchorId="1DB7745E">
          <v:shape id="_x0000_s3083" type="#_x0000_t136" style="position:absolute;margin-left:-.5pt;margin-top:-.5pt;width:50pt;height:50pt;z-index:251661824;visibility:hidden;mso-position-horizontal:absolute;mso-position-horizontal-relative:margin;mso-position-vertical:absolute;mso-position-vertical-relative:text">
            <o:lock v:ext="edit" selection="t"/>
            <w10:wrap anchorx="margin"/>
          </v:shape>
        </w:pict>
      </w:r>
    </w:p>
    <w:p w:rsidR="00E669F2" w:rsidRDefault="00126F89">
      <w:pPr>
        <w:spacing w:before="57" w:line="360" w:lineRule="auto"/>
        <w:ind w:left="115" w:right="59"/>
        <w:jc w:val="both"/>
        <w:rPr>
          <w:b/>
          <w:bCs/>
          <w:i/>
          <w:iCs/>
          <w:sz w:val="32"/>
          <w:szCs w:val="32"/>
          <w:u w:val="single"/>
        </w:rPr>
      </w:pPr>
      <w:r>
        <w:rPr>
          <w:b/>
          <w:bCs/>
          <w:i/>
          <w:iCs/>
          <w:sz w:val="32"/>
          <w:szCs w:val="32"/>
          <w:u w:val="single"/>
        </w:rPr>
        <w:t>Original Research Article</w:t>
      </w:r>
    </w:p>
    <w:p w:rsidR="00E669F2" w:rsidRDefault="00126F89">
      <w:pPr>
        <w:spacing w:before="57" w:line="360" w:lineRule="auto"/>
        <w:ind w:left="115" w:right="59"/>
        <w:jc w:val="both"/>
        <w:rPr>
          <w:sz w:val="32"/>
          <w:szCs w:val="32"/>
        </w:rPr>
      </w:pPr>
      <w:r>
        <w:rPr>
          <w:sz w:val="32"/>
          <w:szCs w:val="32"/>
        </w:rPr>
        <w:t>Oral manifestations associated with hypertensive patients:  A clinical observational study</w:t>
      </w:r>
    </w:p>
    <w:p w:rsidR="00E669F2" w:rsidRDefault="00E669F2">
      <w:pPr>
        <w:keepLines/>
        <w:spacing w:before="57" w:line="360" w:lineRule="auto"/>
        <w:ind w:left="115" w:right="59"/>
        <w:jc w:val="both"/>
        <w:rPr>
          <w:sz w:val="32"/>
          <w:szCs w:val="32"/>
        </w:rPr>
      </w:pPr>
    </w:p>
    <w:p w:rsidR="00E669F2" w:rsidRDefault="00E669F2">
      <w:pPr>
        <w:keepLines/>
        <w:spacing w:line="360" w:lineRule="auto"/>
        <w:jc w:val="both"/>
      </w:pPr>
    </w:p>
    <w:p w:rsidR="00E669F2" w:rsidRDefault="00126F89">
      <w:pPr>
        <w:keepLines/>
        <w:spacing w:line="360" w:lineRule="auto"/>
        <w:ind w:left="100" w:right="8433"/>
        <w:jc w:val="both"/>
        <w:rPr>
          <w:sz w:val="24"/>
          <w:szCs w:val="24"/>
        </w:rPr>
      </w:pPr>
      <w:r>
        <w:rPr>
          <w:b/>
          <w:bCs/>
          <w:sz w:val="24"/>
          <w:szCs w:val="24"/>
        </w:rPr>
        <w:t>ABSTRACT:</w:t>
      </w:r>
    </w:p>
    <w:p w:rsidR="00E669F2" w:rsidRDefault="00E669F2">
      <w:pPr>
        <w:keepLines/>
        <w:spacing w:before="5" w:line="360" w:lineRule="auto"/>
        <w:jc w:val="both"/>
        <w:rPr>
          <w:sz w:val="17"/>
          <w:szCs w:val="17"/>
        </w:rPr>
      </w:pPr>
    </w:p>
    <w:p w:rsidR="00E669F2" w:rsidRDefault="00126F89">
      <w:pPr>
        <w:keepLines/>
        <w:spacing w:line="360" w:lineRule="auto"/>
        <w:ind w:left="100" w:right="642"/>
        <w:jc w:val="both"/>
        <w:rPr>
          <w:sz w:val="24"/>
          <w:szCs w:val="24"/>
        </w:rPr>
      </w:pPr>
      <w:r>
        <w:rPr>
          <w:b/>
          <w:bCs/>
          <w:sz w:val="24"/>
          <w:szCs w:val="24"/>
        </w:rPr>
        <w:t xml:space="preserve">Background: </w:t>
      </w:r>
      <w:r>
        <w:rPr>
          <w:sz w:val="24"/>
          <w:szCs w:val="24"/>
        </w:rPr>
        <w:t xml:space="preserve">Hypertension is a major chronic systemic disease affecting a large population worldwide. It has numerous oral implications either due to the disease process itself or as adverse effects of antihypertensive </w:t>
      </w:r>
      <w:proofErr w:type="spellStart"/>
      <w:proofErr w:type="gramStart"/>
      <w:r>
        <w:rPr>
          <w:sz w:val="24"/>
          <w:szCs w:val="24"/>
        </w:rPr>
        <w:t>medications.Early</w:t>
      </w:r>
      <w:proofErr w:type="spellEnd"/>
      <w:proofErr w:type="gramEnd"/>
      <w:r>
        <w:rPr>
          <w:sz w:val="24"/>
          <w:szCs w:val="24"/>
        </w:rPr>
        <w:t xml:space="preserve"> identification of oral manifesta</w:t>
      </w:r>
      <w:r>
        <w:rPr>
          <w:sz w:val="24"/>
          <w:szCs w:val="24"/>
        </w:rPr>
        <w:t>tions can improve diagnosis, quality of life, and comprehensive management.</w:t>
      </w:r>
    </w:p>
    <w:p w:rsidR="00E669F2" w:rsidRDefault="00E669F2">
      <w:pPr>
        <w:keepLines/>
        <w:spacing w:before="8" w:line="360" w:lineRule="auto"/>
        <w:jc w:val="both"/>
        <w:rPr>
          <w:sz w:val="18"/>
          <w:szCs w:val="18"/>
        </w:rPr>
      </w:pPr>
    </w:p>
    <w:p w:rsidR="00E669F2" w:rsidRDefault="00E669F2">
      <w:pPr>
        <w:keepLines/>
        <w:spacing w:line="360" w:lineRule="auto"/>
        <w:jc w:val="both"/>
      </w:pPr>
    </w:p>
    <w:p w:rsidR="00E669F2" w:rsidRDefault="00126F89">
      <w:pPr>
        <w:keepLines/>
        <w:spacing w:line="360" w:lineRule="auto"/>
        <w:ind w:left="100" w:right="1149"/>
        <w:jc w:val="both"/>
        <w:rPr>
          <w:sz w:val="24"/>
          <w:szCs w:val="24"/>
        </w:rPr>
      </w:pPr>
      <w:r>
        <w:rPr>
          <w:b/>
          <w:bCs/>
          <w:sz w:val="24"/>
          <w:szCs w:val="24"/>
        </w:rPr>
        <w:t xml:space="preserve">Aim: </w:t>
      </w:r>
      <w:r>
        <w:rPr>
          <w:sz w:val="24"/>
          <w:szCs w:val="24"/>
        </w:rPr>
        <w:t>To evaluate the prevalence and types of oral manifestations in hypertensive patients.</w:t>
      </w:r>
    </w:p>
    <w:p w:rsidR="00E669F2" w:rsidRDefault="00E669F2">
      <w:pPr>
        <w:keepLines/>
        <w:spacing w:before="6" w:line="360" w:lineRule="auto"/>
        <w:jc w:val="both"/>
        <w:rPr>
          <w:sz w:val="12"/>
          <w:szCs w:val="12"/>
        </w:rPr>
      </w:pPr>
    </w:p>
    <w:p w:rsidR="00E669F2" w:rsidRDefault="00E669F2">
      <w:pPr>
        <w:keepLines/>
        <w:spacing w:line="360" w:lineRule="auto"/>
        <w:jc w:val="both"/>
      </w:pPr>
    </w:p>
    <w:p w:rsidR="00E669F2" w:rsidRDefault="00E669F2">
      <w:pPr>
        <w:keepLines/>
        <w:spacing w:line="360" w:lineRule="auto"/>
        <w:jc w:val="both"/>
      </w:pPr>
    </w:p>
    <w:p w:rsidR="00E669F2" w:rsidRDefault="00126F89">
      <w:pPr>
        <w:keepLines/>
        <w:spacing w:line="360" w:lineRule="auto"/>
        <w:ind w:left="100" w:right="408"/>
        <w:jc w:val="both"/>
        <w:rPr>
          <w:sz w:val="24"/>
          <w:szCs w:val="24"/>
        </w:rPr>
      </w:pPr>
      <w:r>
        <w:rPr>
          <w:b/>
          <w:bCs/>
          <w:sz w:val="24"/>
          <w:szCs w:val="24"/>
        </w:rPr>
        <w:t xml:space="preserve">Materials and Methods: </w:t>
      </w:r>
      <w:r>
        <w:rPr>
          <w:sz w:val="24"/>
          <w:szCs w:val="24"/>
        </w:rPr>
        <w:t xml:space="preserve">A clinical observational study was conducted on 100 hypertensive patients visiting the outpatient department of Oral Medicine and Radiology in a private dental institute located in </w:t>
      </w:r>
      <w:proofErr w:type="spellStart"/>
      <w:r>
        <w:rPr>
          <w:sz w:val="24"/>
          <w:szCs w:val="24"/>
        </w:rPr>
        <w:t>Melmaruvathur</w:t>
      </w:r>
      <w:proofErr w:type="spellEnd"/>
      <w:r>
        <w:rPr>
          <w:sz w:val="24"/>
          <w:szCs w:val="24"/>
        </w:rPr>
        <w:t xml:space="preserve"> over a period of six months. Detailed case histories were rec</w:t>
      </w:r>
      <w:r>
        <w:rPr>
          <w:sz w:val="24"/>
          <w:szCs w:val="24"/>
        </w:rPr>
        <w:t>orded, including demographic data, duration and hypertension, and antihypertensive medications. Comprehensive intraoral examinations were performed to assess oral soft tissue and hard tissue changes. The collected data were analyzed statistically to determ</w:t>
      </w:r>
      <w:r>
        <w:rPr>
          <w:sz w:val="24"/>
          <w:szCs w:val="24"/>
        </w:rPr>
        <w:t>ine the frequency of various oral findings.</w:t>
      </w:r>
    </w:p>
    <w:p w:rsidR="00E669F2" w:rsidRDefault="00E669F2">
      <w:pPr>
        <w:keepLines/>
        <w:spacing w:before="3" w:line="360" w:lineRule="auto"/>
        <w:jc w:val="both"/>
        <w:rPr>
          <w:sz w:val="19"/>
          <w:szCs w:val="19"/>
        </w:rPr>
      </w:pPr>
    </w:p>
    <w:p w:rsidR="00E669F2" w:rsidRDefault="00E669F2">
      <w:pPr>
        <w:keepLines/>
        <w:spacing w:line="360" w:lineRule="auto"/>
        <w:jc w:val="both"/>
      </w:pPr>
    </w:p>
    <w:p w:rsidR="00E669F2" w:rsidRDefault="00126F89">
      <w:pPr>
        <w:keepLines/>
        <w:spacing w:line="360" w:lineRule="auto"/>
        <w:ind w:left="100" w:right="415"/>
        <w:jc w:val="both"/>
        <w:rPr>
          <w:sz w:val="24"/>
          <w:szCs w:val="24"/>
        </w:rPr>
      </w:pPr>
      <w:r>
        <w:rPr>
          <w:b/>
          <w:bCs/>
          <w:sz w:val="24"/>
          <w:szCs w:val="24"/>
        </w:rPr>
        <w:t xml:space="preserve">Result: </w:t>
      </w:r>
      <w:r>
        <w:rPr>
          <w:sz w:val="24"/>
          <w:szCs w:val="24"/>
        </w:rPr>
        <w:t>Periodontal disease was the most frequently observed oral condition, with periodontitis affecting 70% of the study population. Gingivitis was identified in 29% of patients, while acute necrotizing ulcer</w:t>
      </w:r>
      <w:r>
        <w:rPr>
          <w:sz w:val="24"/>
          <w:szCs w:val="24"/>
        </w:rPr>
        <w:t>ative gingivitis was noted in 1%. The highest prevalence of periodontal disease was observed in individuals aged between 60 and 79 years. Various oral mucosal lesions, including gingival hyperplasia, leukoplakia, lichen planus, and hyposalivation, were als</w:t>
      </w:r>
      <w:r>
        <w:rPr>
          <w:sz w:val="24"/>
          <w:szCs w:val="24"/>
        </w:rPr>
        <w:t>o documented.</w:t>
      </w:r>
    </w:p>
    <w:p w:rsidR="00E669F2" w:rsidRDefault="00E669F2">
      <w:pPr>
        <w:keepLines/>
        <w:spacing w:before="2" w:line="360" w:lineRule="auto"/>
        <w:jc w:val="both"/>
        <w:rPr>
          <w:sz w:val="19"/>
          <w:szCs w:val="19"/>
        </w:rPr>
      </w:pPr>
    </w:p>
    <w:p w:rsidR="00E669F2" w:rsidRDefault="00E669F2">
      <w:pPr>
        <w:keepLines/>
        <w:spacing w:line="360" w:lineRule="auto"/>
        <w:jc w:val="both"/>
      </w:pPr>
    </w:p>
    <w:p w:rsidR="00E669F2" w:rsidRDefault="00126F89">
      <w:pPr>
        <w:keepLines/>
        <w:spacing w:line="360" w:lineRule="auto"/>
        <w:ind w:left="100" w:right="8596"/>
        <w:jc w:val="both"/>
        <w:rPr>
          <w:sz w:val="24"/>
          <w:szCs w:val="24"/>
        </w:rPr>
      </w:pPr>
      <w:r>
        <w:rPr>
          <w:b/>
          <w:bCs/>
          <w:sz w:val="24"/>
          <w:szCs w:val="24"/>
        </w:rPr>
        <w:lastRenderedPageBreak/>
        <w:t>Conclusion:</w:t>
      </w:r>
    </w:p>
    <w:p w:rsidR="00E669F2" w:rsidRDefault="00E669F2">
      <w:pPr>
        <w:keepLines/>
        <w:spacing w:before="2" w:line="360" w:lineRule="auto"/>
        <w:jc w:val="both"/>
        <w:rPr>
          <w:sz w:val="17"/>
          <w:szCs w:val="17"/>
        </w:rPr>
      </w:pPr>
    </w:p>
    <w:p w:rsidR="00E669F2" w:rsidRDefault="00E669F2">
      <w:pPr>
        <w:keepLines/>
        <w:spacing w:line="360" w:lineRule="auto"/>
        <w:jc w:val="both"/>
      </w:pPr>
    </w:p>
    <w:p w:rsidR="00E669F2" w:rsidRDefault="00126F89">
      <w:pPr>
        <w:keepLines/>
        <w:spacing w:line="360" w:lineRule="auto"/>
        <w:ind w:left="100" w:right="413"/>
        <w:jc w:val="both"/>
        <w:rPr>
          <w:sz w:val="24"/>
          <w:szCs w:val="24"/>
        </w:rPr>
      </w:pPr>
      <w:r>
        <w:rPr>
          <w:sz w:val="24"/>
          <w:szCs w:val="24"/>
        </w:rPr>
        <w:t xml:space="preserve">Oral manifestations were commonly observed among hypertensive patients, with periodontal disease being the predominant </w:t>
      </w:r>
      <w:proofErr w:type="spellStart"/>
      <w:proofErr w:type="gramStart"/>
      <w:r>
        <w:rPr>
          <w:sz w:val="24"/>
          <w:szCs w:val="24"/>
        </w:rPr>
        <w:t>finding.Regular</w:t>
      </w:r>
      <w:proofErr w:type="spellEnd"/>
      <w:proofErr w:type="gramEnd"/>
      <w:r>
        <w:rPr>
          <w:sz w:val="24"/>
          <w:szCs w:val="24"/>
        </w:rPr>
        <w:t xml:space="preserve"> oral screening and interdisciplinary collaboration are essential for optimal management of hypertensive individuals.</w:t>
      </w:r>
    </w:p>
    <w:p w:rsidR="005C6293" w:rsidRDefault="005C6293">
      <w:pPr>
        <w:keepLines/>
        <w:spacing w:line="360" w:lineRule="auto"/>
        <w:ind w:left="100" w:right="413"/>
        <w:jc w:val="both"/>
        <w:rPr>
          <w:sz w:val="24"/>
          <w:szCs w:val="24"/>
        </w:rPr>
      </w:pPr>
    </w:p>
    <w:p w:rsidR="005C6293" w:rsidRPr="005C6293" w:rsidRDefault="005C6293" w:rsidP="005C6293">
      <w:pPr>
        <w:rPr>
          <w:sz w:val="24"/>
          <w:szCs w:val="24"/>
        </w:rPr>
      </w:pPr>
    </w:p>
    <w:p w:rsidR="005C6293" w:rsidRPr="005C6293" w:rsidRDefault="005C6293" w:rsidP="005C6293">
      <w:pPr>
        <w:rPr>
          <w:sz w:val="24"/>
          <w:szCs w:val="24"/>
        </w:rPr>
      </w:pPr>
    </w:p>
    <w:p w:rsidR="005C6293" w:rsidRPr="005C6293" w:rsidRDefault="005C6293" w:rsidP="005C6293">
      <w:pPr>
        <w:rPr>
          <w:sz w:val="24"/>
          <w:szCs w:val="24"/>
        </w:rPr>
      </w:pPr>
    </w:p>
    <w:p w:rsidR="005C6293" w:rsidRPr="005C6293" w:rsidRDefault="005C6293" w:rsidP="005C6293">
      <w:pPr>
        <w:rPr>
          <w:sz w:val="24"/>
          <w:szCs w:val="24"/>
        </w:rPr>
        <w:sectPr w:rsidR="005C6293" w:rsidRPr="005C6293">
          <w:headerReference w:type="even" r:id="rId7"/>
          <w:headerReference w:type="default" r:id="rId8"/>
          <w:footerReference w:type="even" r:id="rId9"/>
          <w:footerReference w:type="default" r:id="rId10"/>
          <w:headerReference w:type="first" r:id="rId11"/>
          <w:footerReference w:type="first" r:id="rId12"/>
          <w:pgSz w:w="12240" w:h="15840"/>
          <w:pgMar w:top="1300" w:right="960" w:bottom="280" w:left="1340" w:header="720" w:footer="720" w:gutter="0"/>
          <w:pgNumType w:start="1"/>
          <w:cols w:space="720"/>
        </w:sectPr>
      </w:pPr>
    </w:p>
    <w:p w:rsidR="00E669F2" w:rsidRDefault="00126F89">
      <w:pPr>
        <w:keepLines/>
        <w:spacing w:before="60" w:line="360" w:lineRule="auto"/>
        <w:ind w:left="100" w:right="7488"/>
        <w:jc w:val="both"/>
        <w:rPr>
          <w:sz w:val="24"/>
          <w:szCs w:val="24"/>
        </w:rPr>
      </w:pPr>
      <w:r>
        <w:rPr>
          <w:b/>
          <w:bCs/>
          <w:sz w:val="24"/>
          <w:szCs w:val="24"/>
        </w:rPr>
        <w:lastRenderedPageBreak/>
        <w:t>INTRODUCTION:</w:t>
      </w:r>
    </w:p>
    <w:p w:rsidR="00E669F2" w:rsidRDefault="00E669F2">
      <w:pPr>
        <w:keepLines/>
        <w:spacing w:before="2" w:line="360" w:lineRule="auto"/>
        <w:jc w:val="both"/>
        <w:rPr>
          <w:sz w:val="17"/>
          <w:szCs w:val="17"/>
        </w:rPr>
      </w:pPr>
    </w:p>
    <w:p w:rsidR="00E669F2" w:rsidRDefault="00E669F2">
      <w:pPr>
        <w:keepLines/>
        <w:spacing w:line="360" w:lineRule="auto"/>
        <w:jc w:val="both"/>
      </w:pPr>
    </w:p>
    <w:p w:rsidR="00E669F2" w:rsidRDefault="00126F89">
      <w:pPr>
        <w:keepLines/>
        <w:spacing w:line="360" w:lineRule="auto"/>
        <w:ind w:left="100" w:right="67"/>
        <w:jc w:val="both"/>
        <w:rPr>
          <w:sz w:val="24"/>
          <w:szCs w:val="24"/>
        </w:rPr>
      </w:pPr>
      <w:r>
        <w:rPr>
          <w:sz w:val="24"/>
          <w:szCs w:val="24"/>
        </w:rPr>
        <w:t xml:space="preserve">Hypertension is one of the most common chronic cardiovascular disorders and a major global health burden. Hypertension is the most prevalent non communicable disease and remains the leading cause of morbidity and </w:t>
      </w:r>
      <w:proofErr w:type="spellStart"/>
      <w:r>
        <w:rPr>
          <w:sz w:val="24"/>
          <w:szCs w:val="24"/>
        </w:rPr>
        <w:t>mortality.It</w:t>
      </w:r>
      <w:proofErr w:type="spellEnd"/>
      <w:r>
        <w:rPr>
          <w:sz w:val="24"/>
          <w:szCs w:val="24"/>
        </w:rPr>
        <w:t xml:space="preserve"> affects approx</w:t>
      </w:r>
      <w:r>
        <w:rPr>
          <w:sz w:val="24"/>
          <w:szCs w:val="24"/>
        </w:rPr>
        <w:t>imately 30–40% of the adult population and is a leading risk factor for stroke, myocardial infarction, renal failure, and premature death[</w:t>
      </w:r>
      <w:hyperlink r:id="rId13">
        <w:r>
          <w:rPr>
            <w:color w:val="1153CC"/>
            <w:sz w:val="24"/>
            <w:szCs w:val="24"/>
            <w:u w:val="single"/>
          </w:rPr>
          <w:t>1</w:t>
        </w:r>
      </w:hyperlink>
      <w:hyperlink r:id="rId14">
        <w:r>
          <w:rPr>
            <w:color w:val="000000"/>
            <w:sz w:val="24"/>
            <w:szCs w:val="24"/>
          </w:rPr>
          <w:t>]</w:t>
        </w:r>
      </w:hyperlink>
      <w:r>
        <w:rPr>
          <w:color w:val="000000"/>
          <w:sz w:val="24"/>
          <w:szCs w:val="24"/>
        </w:rPr>
        <w:t xml:space="preserve">.While the systemic consequences of hypertension are well </w:t>
      </w:r>
      <w:proofErr w:type="spellStart"/>
      <w:r>
        <w:rPr>
          <w:color w:val="000000"/>
          <w:sz w:val="24"/>
          <w:szCs w:val="24"/>
        </w:rPr>
        <w:t>recognised,its</w:t>
      </w:r>
      <w:proofErr w:type="spellEnd"/>
      <w:r>
        <w:rPr>
          <w:color w:val="000000"/>
          <w:sz w:val="24"/>
          <w:szCs w:val="24"/>
        </w:rPr>
        <w:t xml:space="preserve"> impact on oral health has gained attention only in recent years. Persistent elevation of systemic arterial pressure can lead to progressive damage to multiple systems of the bod</w:t>
      </w:r>
      <w:r>
        <w:rPr>
          <w:color w:val="000000"/>
          <w:sz w:val="24"/>
          <w:szCs w:val="24"/>
        </w:rPr>
        <w:t>y, including the oral cavity.</w:t>
      </w:r>
    </w:p>
    <w:p w:rsidR="00E669F2" w:rsidRDefault="00E669F2">
      <w:pPr>
        <w:keepLines/>
        <w:spacing w:before="4" w:line="360" w:lineRule="auto"/>
        <w:jc w:val="both"/>
        <w:rPr>
          <w:sz w:val="24"/>
          <w:szCs w:val="24"/>
        </w:rPr>
      </w:pPr>
    </w:p>
    <w:p w:rsidR="00E669F2" w:rsidRDefault="00126F89">
      <w:pPr>
        <w:keepLines/>
        <w:spacing w:line="360" w:lineRule="auto"/>
        <w:ind w:left="100" w:right="72"/>
        <w:jc w:val="both"/>
        <w:rPr>
          <w:sz w:val="24"/>
          <w:szCs w:val="24"/>
        </w:rPr>
      </w:pPr>
      <w:r>
        <w:rPr>
          <w:sz w:val="24"/>
          <w:szCs w:val="24"/>
        </w:rPr>
        <w:t xml:space="preserve">The oral cavity frequently reflects systemic conditions and may exhibit changes due to underlying disease or pharmacological </w:t>
      </w:r>
      <w:proofErr w:type="gramStart"/>
      <w:r>
        <w:rPr>
          <w:sz w:val="24"/>
          <w:szCs w:val="24"/>
        </w:rPr>
        <w:t>therapy[</w:t>
      </w:r>
      <w:proofErr w:type="gramEnd"/>
      <w:r>
        <w:fldChar w:fldCharType="begin"/>
      </w:r>
      <w:r>
        <w:instrText xml:space="preserve"> HYPERLINK "https://www.ijcrt.org/papers/IJCRT2502264.pdf" \h </w:instrText>
      </w:r>
      <w:r>
        <w:fldChar w:fldCharType="separate"/>
      </w:r>
      <w:r>
        <w:rPr>
          <w:color w:val="1155CC"/>
          <w:sz w:val="24"/>
          <w:szCs w:val="24"/>
          <w:u w:val="single"/>
        </w:rPr>
        <w:t>2]</w:t>
      </w:r>
      <w:r>
        <w:rPr>
          <w:color w:val="1155CC"/>
          <w:sz w:val="24"/>
          <w:szCs w:val="24"/>
          <w:u w:val="single"/>
        </w:rPr>
        <w:fldChar w:fldCharType="end"/>
      </w:r>
      <w:r>
        <w:rPr>
          <w:color w:val="000000"/>
          <w:sz w:val="24"/>
          <w:szCs w:val="24"/>
        </w:rPr>
        <w:t xml:space="preserve">. Changes in oral tissue </w:t>
      </w:r>
      <w:r>
        <w:rPr>
          <w:color w:val="000000"/>
          <w:sz w:val="24"/>
          <w:szCs w:val="24"/>
        </w:rPr>
        <w:t xml:space="preserve">may occur due to altered blood </w:t>
      </w:r>
      <w:proofErr w:type="spellStart"/>
      <w:proofErr w:type="gramStart"/>
      <w:r>
        <w:rPr>
          <w:color w:val="000000"/>
          <w:sz w:val="24"/>
          <w:szCs w:val="24"/>
        </w:rPr>
        <w:t>flow,immune</w:t>
      </w:r>
      <w:proofErr w:type="spellEnd"/>
      <w:proofErr w:type="gramEnd"/>
      <w:r>
        <w:rPr>
          <w:color w:val="000000"/>
          <w:sz w:val="24"/>
          <w:szCs w:val="24"/>
        </w:rPr>
        <w:t xml:space="preserve"> </w:t>
      </w:r>
      <w:proofErr w:type="spellStart"/>
      <w:r>
        <w:rPr>
          <w:color w:val="000000"/>
          <w:sz w:val="24"/>
          <w:szCs w:val="24"/>
        </w:rPr>
        <w:t>dysfunction,metabolic</w:t>
      </w:r>
      <w:proofErr w:type="spellEnd"/>
      <w:r>
        <w:rPr>
          <w:color w:val="000000"/>
          <w:sz w:val="24"/>
          <w:szCs w:val="24"/>
        </w:rPr>
        <w:t xml:space="preserve"> disturbances or pharmacological </w:t>
      </w:r>
      <w:proofErr w:type="spellStart"/>
      <w:r>
        <w:rPr>
          <w:color w:val="000000"/>
          <w:sz w:val="24"/>
          <w:szCs w:val="24"/>
        </w:rPr>
        <w:t>therapy.Hypertensive</w:t>
      </w:r>
      <w:proofErr w:type="spellEnd"/>
      <w:r>
        <w:rPr>
          <w:color w:val="000000"/>
          <w:sz w:val="24"/>
          <w:szCs w:val="24"/>
        </w:rPr>
        <w:t xml:space="preserve"> patients frequently present with findings affecting both hard and soft tissues. In hypertensive patients, oral alterations such as xerosto</w:t>
      </w:r>
      <w:r>
        <w:rPr>
          <w:color w:val="000000"/>
          <w:sz w:val="24"/>
          <w:szCs w:val="24"/>
        </w:rPr>
        <w:t>mia, gingival enlargement, mucosal petechiae, lichenoid reactions, burning sensation, impaired wound healing, and altered taste perception are frequently reported[</w:t>
      </w:r>
      <w:hyperlink r:id="rId15">
        <w:r>
          <w:rPr>
            <w:color w:val="1153CC"/>
            <w:sz w:val="24"/>
            <w:szCs w:val="24"/>
            <w:u w:val="single"/>
          </w:rPr>
          <w:t>3</w:t>
        </w:r>
      </w:hyperlink>
      <w:hyperlink r:id="rId16">
        <w:r>
          <w:rPr>
            <w:color w:val="000000"/>
            <w:sz w:val="24"/>
            <w:szCs w:val="24"/>
          </w:rPr>
          <w:t>]</w:t>
        </w:r>
      </w:hyperlink>
      <w:r>
        <w:rPr>
          <w:color w:val="000000"/>
          <w:sz w:val="24"/>
          <w:szCs w:val="24"/>
        </w:rPr>
        <w:t>. Many antihypertensive medications, particularly calcium channel blo</w:t>
      </w:r>
      <w:r>
        <w:rPr>
          <w:color w:val="000000"/>
          <w:sz w:val="24"/>
          <w:szCs w:val="24"/>
        </w:rPr>
        <w:t>ckers, diuretics, and beta blockers, can induce oral side effects including gingival hyperplasia, dryness, or oral</w:t>
      </w:r>
    </w:p>
    <w:p w:rsidR="00E669F2" w:rsidRDefault="00126F89">
      <w:pPr>
        <w:keepLines/>
        <w:spacing w:before="3" w:line="360" w:lineRule="auto"/>
        <w:ind w:left="100" w:right="8154"/>
        <w:jc w:val="both"/>
        <w:rPr>
          <w:sz w:val="24"/>
          <w:szCs w:val="24"/>
        </w:rPr>
      </w:pPr>
      <w:r>
        <w:rPr>
          <w:sz w:val="24"/>
          <w:szCs w:val="24"/>
        </w:rPr>
        <w:t>ulcerations[</w:t>
      </w:r>
      <w:hyperlink r:id="rId17">
        <w:r>
          <w:rPr>
            <w:color w:val="1153CC"/>
            <w:sz w:val="24"/>
            <w:szCs w:val="24"/>
            <w:u w:val="single"/>
          </w:rPr>
          <w:t>4</w:t>
        </w:r>
      </w:hyperlink>
      <w:hyperlink r:id="rId18">
        <w:r>
          <w:rPr>
            <w:color w:val="000000"/>
            <w:sz w:val="24"/>
            <w:szCs w:val="24"/>
          </w:rPr>
          <w:t>]</w:t>
        </w:r>
      </w:hyperlink>
    </w:p>
    <w:p w:rsidR="00E669F2" w:rsidRDefault="00E669F2">
      <w:pPr>
        <w:keepLines/>
        <w:spacing w:before="8" w:line="360" w:lineRule="auto"/>
        <w:jc w:val="both"/>
        <w:rPr>
          <w:sz w:val="15"/>
          <w:szCs w:val="15"/>
        </w:rPr>
      </w:pPr>
    </w:p>
    <w:p w:rsidR="00E669F2" w:rsidRDefault="00E669F2">
      <w:pPr>
        <w:keepLines/>
        <w:spacing w:line="360" w:lineRule="auto"/>
        <w:jc w:val="both"/>
      </w:pPr>
    </w:p>
    <w:p w:rsidR="00E669F2" w:rsidRDefault="00126F89">
      <w:pPr>
        <w:keepLines/>
        <w:spacing w:before="29" w:line="360" w:lineRule="auto"/>
        <w:ind w:left="100" w:right="82"/>
        <w:jc w:val="both"/>
        <w:rPr>
          <w:sz w:val="24"/>
          <w:szCs w:val="24"/>
        </w:rPr>
      </w:pPr>
      <w:r>
        <w:rPr>
          <w:sz w:val="24"/>
          <w:szCs w:val="24"/>
        </w:rPr>
        <w:t>Hy</w:t>
      </w:r>
      <w:r>
        <w:rPr>
          <w:sz w:val="24"/>
          <w:szCs w:val="24"/>
        </w:rPr>
        <w:t>pertension is often described as a “silent killer” because it remains asymptomatic in many individuals until significant target organ damage has occurred. From a pathophysiological perspective, hypertension leads to endothelial dysfunction, vascular remode</w:t>
      </w:r>
      <w:r>
        <w:rPr>
          <w:sz w:val="24"/>
          <w:szCs w:val="24"/>
        </w:rPr>
        <w:t xml:space="preserve">ling, and increased arterial </w:t>
      </w:r>
      <w:proofErr w:type="gramStart"/>
      <w:r>
        <w:rPr>
          <w:sz w:val="24"/>
          <w:szCs w:val="24"/>
        </w:rPr>
        <w:t>stiffness[</w:t>
      </w:r>
      <w:proofErr w:type="gramEnd"/>
      <w:r>
        <w:fldChar w:fldCharType="begin"/>
      </w:r>
      <w:r>
        <w:instrText xml:space="preserve"> HYPERLINK "https://pubmed.ncbi.nlm.nih.gov/29277926/" \h </w:instrText>
      </w:r>
      <w:r>
        <w:fldChar w:fldCharType="separate"/>
      </w:r>
      <w:r>
        <w:rPr>
          <w:color w:val="1155CC"/>
          <w:sz w:val="24"/>
          <w:szCs w:val="24"/>
          <w:u w:val="single"/>
        </w:rPr>
        <w:t>5]</w:t>
      </w:r>
      <w:r>
        <w:rPr>
          <w:color w:val="1155CC"/>
          <w:sz w:val="24"/>
          <w:szCs w:val="24"/>
          <w:u w:val="single"/>
        </w:rPr>
        <w:fldChar w:fldCharType="end"/>
      </w:r>
      <w:r>
        <w:rPr>
          <w:color w:val="000000"/>
          <w:sz w:val="24"/>
          <w:szCs w:val="24"/>
        </w:rPr>
        <w:t>. These vascular changes extend to the microcirculation of the oral cavity,</w:t>
      </w:r>
    </w:p>
    <w:p w:rsidR="00E669F2" w:rsidRDefault="00126F89">
      <w:pPr>
        <w:keepLines/>
        <w:spacing w:before="10" w:line="360" w:lineRule="auto"/>
        <w:ind w:left="100" w:right="2604"/>
        <w:jc w:val="both"/>
        <w:rPr>
          <w:sz w:val="24"/>
          <w:szCs w:val="24"/>
        </w:rPr>
      </w:pPr>
      <w:r>
        <w:rPr>
          <w:sz w:val="24"/>
          <w:szCs w:val="24"/>
        </w:rPr>
        <w:t xml:space="preserve">particularly affecting the periodontium, which is highly </w:t>
      </w:r>
      <w:proofErr w:type="gramStart"/>
      <w:r>
        <w:rPr>
          <w:sz w:val="24"/>
          <w:szCs w:val="24"/>
        </w:rPr>
        <w:t>vascularized[</w:t>
      </w:r>
      <w:proofErr w:type="gramEnd"/>
      <w:r>
        <w:fldChar w:fldCharType="begin"/>
      </w:r>
      <w:r>
        <w:instrText xml:space="preserve"> HYPERLINK "https://pubmed.ncbi.nlm.nih.gov/24526921/" \h </w:instrText>
      </w:r>
      <w:r>
        <w:fldChar w:fldCharType="separate"/>
      </w:r>
      <w:r>
        <w:rPr>
          <w:color w:val="1155CC"/>
          <w:sz w:val="24"/>
          <w:szCs w:val="24"/>
          <w:u w:val="single"/>
        </w:rPr>
        <w:t>6]</w:t>
      </w:r>
      <w:r>
        <w:rPr>
          <w:color w:val="1155CC"/>
          <w:sz w:val="24"/>
          <w:szCs w:val="24"/>
          <w:u w:val="single"/>
        </w:rPr>
        <w:fldChar w:fldCharType="end"/>
      </w:r>
    </w:p>
    <w:p w:rsidR="00E669F2" w:rsidRDefault="00E669F2">
      <w:pPr>
        <w:keepLines/>
        <w:spacing w:before="3" w:line="360" w:lineRule="auto"/>
        <w:jc w:val="both"/>
        <w:rPr>
          <w:sz w:val="15"/>
          <w:szCs w:val="15"/>
        </w:rPr>
      </w:pPr>
    </w:p>
    <w:p w:rsidR="00E669F2" w:rsidRDefault="00126F89">
      <w:pPr>
        <w:keepLines/>
        <w:spacing w:before="75" w:line="360" w:lineRule="auto"/>
        <w:ind w:left="100" w:right="59"/>
        <w:jc w:val="both"/>
        <w:rPr>
          <w:sz w:val="24"/>
          <w:szCs w:val="24"/>
        </w:rPr>
      </w:pPr>
      <w:r>
        <w:rPr>
          <w:sz w:val="24"/>
          <w:szCs w:val="24"/>
        </w:rPr>
        <w:t xml:space="preserve">However, recent studies have focused on the mutual relationship between periodontal disease and systemic conditions like cardiovascular disease and </w:t>
      </w:r>
      <w:proofErr w:type="gramStart"/>
      <w:r>
        <w:rPr>
          <w:sz w:val="24"/>
          <w:szCs w:val="24"/>
        </w:rPr>
        <w:t>hypertension[</w:t>
      </w:r>
      <w:proofErr w:type="gramEnd"/>
      <w:r>
        <w:fldChar w:fldCharType="begin"/>
      </w:r>
      <w:r>
        <w:instrText xml:space="preserve"> HYPERLINK "https://pubmed.ncbi.nlm.nih.gov/21887624/" \h </w:instrText>
      </w:r>
      <w:r>
        <w:fldChar w:fldCharType="separate"/>
      </w:r>
      <w:r>
        <w:rPr>
          <w:color w:val="1155CC"/>
          <w:sz w:val="24"/>
          <w:szCs w:val="24"/>
          <w:u w:val="single"/>
        </w:rPr>
        <w:t>7</w:t>
      </w:r>
      <w:r>
        <w:rPr>
          <w:color w:val="1155CC"/>
          <w:sz w:val="24"/>
          <w:szCs w:val="24"/>
          <w:u w:val="single"/>
        </w:rPr>
        <w:fldChar w:fldCharType="end"/>
      </w:r>
      <w:r>
        <w:rPr>
          <w:sz w:val="24"/>
          <w:szCs w:val="24"/>
        </w:rPr>
        <w:t>]. Hypertension shares common inflammatory pathways with periodontal disease, including increased levels of C-reactive protein, interleukin-6, and tumor necrosis factor-</w:t>
      </w:r>
      <w:proofErr w:type="gramStart"/>
      <w:r>
        <w:rPr>
          <w:sz w:val="24"/>
          <w:szCs w:val="24"/>
        </w:rPr>
        <w:t>alpha[</w:t>
      </w:r>
      <w:proofErr w:type="gramEnd"/>
      <w:r>
        <w:fldChar w:fldCharType="begin"/>
      </w:r>
      <w:r>
        <w:instrText xml:space="preserve"> HYPERLINK "https:/</w:instrText>
      </w:r>
      <w:r>
        <w:instrText xml:space="preserve">/pubmed.ncbi.nlm.nih.gov/31105578/" \h </w:instrText>
      </w:r>
      <w:r>
        <w:fldChar w:fldCharType="separate"/>
      </w:r>
      <w:r>
        <w:rPr>
          <w:color w:val="1155CC"/>
          <w:sz w:val="24"/>
          <w:szCs w:val="24"/>
          <w:u w:val="single"/>
        </w:rPr>
        <w:t>8</w:t>
      </w:r>
      <w:r>
        <w:rPr>
          <w:color w:val="1155CC"/>
          <w:sz w:val="24"/>
          <w:szCs w:val="24"/>
          <w:u w:val="single"/>
        </w:rPr>
        <w:fldChar w:fldCharType="end"/>
      </w:r>
      <w:r>
        <w:rPr>
          <w:sz w:val="24"/>
          <w:szCs w:val="24"/>
        </w:rPr>
        <w:t xml:space="preserve">]. These factors play a major role in endothelial dysfunction and periodontal </w:t>
      </w:r>
      <w:proofErr w:type="gramStart"/>
      <w:r>
        <w:rPr>
          <w:sz w:val="24"/>
          <w:szCs w:val="24"/>
        </w:rPr>
        <w:t>destruction[</w:t>
      </w:r>
      <w:proofErr w:type="gramEnd"/>
      <w:r>
        <w:fldChar w:fldCharType="begin"/>
      </w:r>
      <w:r>
        <w:instrText xml:space="preserve"> HYPERLINK "https://pubmed.ncbi.nlm.nih.gov/28419559/" \h </w:instrText>
      </w:r>
      <w:r>
        <w:fldChar w:fldCharType="separate"/>
      </w:r>
      <w:r>
        <w:rPr>
          <w:color w:val="1155CC"/>
          <w:sz w:val="24"/>
          <w:szCs w:val="24"/>
          <w:u w:val="single"/>
        </w:rPr>
        <w:t>9</w:t>
      </w:r>
      <w:r>
        <w:rPr>
          <w:color w:val="1155CC"/>
          <w:sz w:val="24"/>
          <w:szCs w:val="24"/>
          <w:u w:val="single"/>
        </w:rPr>
        <w:fldChar w:fldCharType="end"/>
      </w:r>
      <w:r>
        <w:rPr>
          <w:sz w:val="24"/>
          <w:szCs w:val="24"/>
        </w:rPr>
        <w:t>].</w:t>
      </w:r>
    </w:p>
    <w:p w:rsidR="00E669F2" w:rsidRDefault="00E669F2">
      <w:pPr>
        <w:keepLines/>
        <w:spacing w:before="75" w:line="360" w:lineRule="auto"/>
        <w:ind w:left="100" w:right="59"/>
        <w:jc w:val="both"/>
        <w:rPr>
          <w:sz w:val="24"/>
          <w:szCs w:val="24"/>
        </w:rPr>
      </w:pPr>
    </w:p>
    <w:p w:rsidR="00E669F2" w:rsidRDefault="00E669F2">
      <w:pPr>
        <w:keepLines/>
        <w:spacing w:before="75" w:line="360" w:lineRule="auto"/>
        <w:ind w:left="100" w:right="59"/>
        <w:jc w:val="both"/>
        <w:rPr>
          <w:sz w:val="24"/>
          <w:szCs w:val="24"/>
        </w:rPr>
      </w:pPr>
    </w:p>
    <w:p w:rsidR="00E669F2" w:rsidRDefault="00126F89">
      <w:pPr>
        <w:keepLines/>
        <w:spacing w:before="75" w:line="360" w:lineRule="auto"/>
        <w:ind w:left="100" w:right="59"/>
        <w:jc w:val="both"/>
        <w:rPr>
          <w:sz w:val="24"/>
          <w:szCs w:val="24"/>
        </w:rPr>
      </w:pPr>
      <w:r>
        <w:rPr>
          <w:sz w:val="24"/>
          <w:szCs w:val="24"/>
        </w:rPr>
        <w:t>Calcium channel blockers have been shown to cause gingival</w:t>
      </w:r>
      <w:r>
        <w:rPr>
          <w:sz w:val="24"/>
          <w:szCs w:val="24"/>
        </w:rPr>
        <w:t xml:space="preserve"> overgrowth[</w:t>
      </w:r>
      <w:hyperlink r:id="rId19">
        <w:r>
          <w:rPr>
            <w:color w:val="1155CC"/>
            <w:sz w:val="24"/>
            <w:szCs w:val="24"/>
            <w:u w:val="single"/>
          </w:rPr>
          <w:t>10</w:t>
        </w:r>
      </w:hyperlink>
      <w:r>
        <w:rPr>
          <w:sz w:val="24"/>
          <w:szCs w:val="24"/>
        </w:rPr>
        <w:t>], while antihypertensive medications have also been linked to xerostomia and decreased salivary flow[</w:t>
      </w:r>
      <w:hyperlink r:id="rId20">
        <w:r>
          <w:rPr>
            <w:color w:val="1155CC"/>
            <w:sz w:val="24"/>
            <w:szCs w:val="24"/>
            <w:u w:val="single"/>
          </w:rPr>
          <w:t>11</w:t>
        </w:r>
      </w:hyperlink>
      <w:r>
        <w:rPr>
          <w:sz w:val="24"/>
          <w:szCs w:val="24"/>
        </w:rPr>
        <w:t>]. Thus,</w:t>
      </w:r>
      <w:r>
        <w:rPr>
          <w:sz w:val="24"/>
          <w:szCs w:val="24"/>
        </w:rPr>
        <w:t xml:space="preserve"> oral health examination may also offer supplementary information regarding systemic inflammatory load and disease progression. Although various studies have established a link between hypertension and changes in oral health, the available literature regar</w:t>
      </w:r>
      <w:r>
        <w:rPr>
          <w:sz w:val="24"/>
          <w:szCs w:val="24"/>
        </w:rPr>
        <w:t>ding the prevalence and distribution of oral manifestations among hypertensive patients is still scarce. Hence, awareness of these relationships is essential for early diagnosis and better patient management. The current study was conducted to assess and a</w:t>
      </w:r>
      <w:r>
        <w:rPr>
          <w:sz w:val="24"/>
          <w:szCs w:val="24"/>
        </w:rPr>
        <w:t>nalyze the oral manifestations among hypertensive patients.</w:t>
      </w:r>
    </w:p>
    <w:p w:rsidR="00E669F2" w:rsidRDefault="00E669F2">
      <w:pPr>
        <w:keepLines/>
        <w:spacing w:before="4" w:line="360" w:lineRule="auto"/>
        <w:jc w:val="both"/>
        <w:rPr>
          <w:sz w:val="28"/>
          <w:szCs w:val="28"/>
        </w:rPr>
      </w:pPr>
    </w:p>
    <w:p w:rsidR="00E669F2" w:rsidRDefault="00126F89">
      <w:pPr>
        <w:keepLines/>
        <w:spacing w:line="360" w:lineRule="auto"/>
        <w:ind w:left="100" w:right="6075"/>
        <w:jc w:val="both"/>
        <w:rPr>
          <w:sz w:val="24"/>
          <w:szCs w:val="24"/>
        </w:rPr>
      </w:pPr>
      <w:r>
        <w:rPr>
          <w:b/>
          <w:bCs/>
          <w:sz w:val="24"/>
          <w:szCs w:val="24"/>
        </w:rPr>
        <w:t>MATERIALS AND METHODS:</w:t>
      </w:r>
    </w:p>
    <w:p w:rsidR="00E669F2" w:rsidRDefault="00E669F2">
      <w:pPr>
        <w:keepLines/>
        <w:spacing w:before="6" w:line="360" w:lineRule="auto"/>
        <w:jc w:val="both"/>
        <w:rPr>
          <w:sz w:val="17"/>
          <w:szCs w:val="17"/>
        </w:rPr>
      </w:pPr>
    </w:p>
    <w:p w:rsidR="00E669F2" w:rsidRDefault="00126F89">
      <w:pPr>
        <w:keepLines/>
        <w:spacing w:line="360" w:lineRule="auto"/>
        <w:ind w:left="100" w:right="248" w:firstLine="14"/>
        <w:jc w:val="both"/>
        <w:rPr>
          <w:sz w:val="24"/>
          <w:szCs w:val="24"/>
        </w:rPr>
      </w:pPr>
      <w:r>
        <w:rPr>
          <w:sz w:val="24"/>
          <w:szCs w:val="24"/>
        </w:rPr>
        <w:t xml:space="preserve">The study sample consisted of 100 known hypertensive patients visiting the outpatient department of oral medicine and radiology in private dental institute located at </w:t>
      </w:r>
      <w:proofErr w:type="spellStart"/>
      <w:proofErr w:type="gramStart"/>
      <w:r>
        <w:rPr>
          <w:sz w:val="24"/>
          <w:szCs w:val="24"/>
        </w:rPr>
        <w:t>melm</w:t>
      </w:r>
      <w:r>
        <w:rPr>
          <w:sz w:val="24"/>
          <w:szCs w:val="24"/>
        </w:rPr>
        <w:t>aruvathur.The</w:t>
      </w:r>
      <w:proofErr w:type="spellEnd"/>
      <w:proofErr w:type="gramEnd"/>
      <w:r>
        <w:rPr>
          <w:sz w:val="24"/>
          <w:szCs w:val="24"/>
        </w:rPr>
        <w:t xml:space="preserve"> study consist of patient between the age group of 20-80 years of which 42 patients were males and 58 were females(Table 1), all patients were from different socio-economic status.</w:t>
      </w:r>
    </w:p>
    <w:p w:rsidR="00E669F2" w:rsidRDefault="00126F89">
      <w:pPr>
        <w:keepLines/>
        <w:spacing w:line="360" w:lineRule="auto"/>
        <w:ind w:left="100" w:right="248" w:firstLine="14"/>
        <w:jc w:val="both"/>
        <w:rPr>
          <w:b/>
          <w:bCs/>
          <w:sz w:val="24"/>
          <w:szCs w:val="24"/>
        </w:rPr>
      </w:pPr>
      <w:r>
        <w:rPr>
          <w:b/>
          <w:bCs/>
          <w:sz w:val="24"/>
          <w:szCs w:val="24"/>
        </w:rPr>
        <w:t>Inclusion Criteria</w:t>
      </w:r>
    </w:p>
    <w:p w:rsidR="00E669F2" w:rsidRDefault="00126F89">
      <w:pPr>
        <w:keepLines/>
        <w:numPr>
          <w:ilvl w:val="0"/>
          <w:numId w:val="1"/>
        </w:numPr>
        <w:spacing w:line="360" w:lineRule="auto"/>
        <w:ind w:right="248"/>
        <w:jc w:val="both"/>
      </w:pPr>
      <w:r>
        <w:rPr>
          <w:sz w:val="24"/>
          <w:szCs w:val="24"/>
        </w:rPr>
        <w:t>Patients with a confirmed diagnosis of hype</w:t>
      </w:r>
      <w:r>
        <w:rPr>
          <w:sz w:val="24"/>
          <w:szCs w:val="24"/>
        </w:rPr>
        <w:t>rtension</w:t>
      </w:r>
    </w:p>
    <w:p w:rsidR="00E669F2" w:rsidRDefault="00126F89">
      <w:pPr>
        <w:keepLines/>
        <w:numPr>
          <w:ilvl w:val="0"/>
          <w:numId w:val="1"/>
        </w:numPr>
        <w:spacing w:line="360" w:lineRule="auto"/>
        <w:ind w:right="248"/>
        <w:jc w:val="both"/>
      </w:pPr>
      <w:r>
        <w:rPr>
          <w:sz w:val="24"/>
          <w:szCs w:val="24"/>
        </w:rPr>
        <w:t>Patients aged 20–80 years</w:t>
      </w:r>
    </w:p>
    <w:p w:rsidR="00E669F2" w:rsidRDefault="00126F89">
      <w:pPr>
        <w:keepLines/>
        <w:numPr>
          <w:ilvl w:val="0"/>
          <w:numId w:val="1"/>
        </w:numPr>
        <w:spacing w:line="360" w:lineRule="auto"/>
        <w:ind w:right="248"/>
        <w:jc w:val="both"/>
      </w:pPr>
      <w:r>
        <w:rPr>
          <w:sz w:val="24"/>
          <w:szCs w:val="24"/>
        </w:rPr>
        <w:t>Patients who were currently receiving antihypertensive medication</w:t>
      </w:r>
    </w:p>
    <w:p w:rsidR="00E669F2" w:rsidRDefault="00126F89">
      <w:pPr>
        <w:keepLines/>
        <w:numPr>
          <w:ilvl w:val="0"/>
          <w:numId w:val="1"/>
        </w:numPr>
        <w:spacing w:line="360" w:lineRule="auto"/>
        <w:ind w:right="248"/>
        <w:jc w:val="both"/>
      </w:pPr>
      <w:r>
        <w:rPr>
          <w:sz w:val="24"/>
          <w:szCs w:val="24"/>
        </w:rPr>
        <w:t>Patients who provided informed consent to participate in the study</w:t>
      </w:r>
    </w:p>
    <w:p w:rsidR="00E669F2" w:rsidRDefault="00126F89">
      <w:pPr>
        <w:keepLines/>
        <w:spacing w:line="360" w:lineRule="auto"/>
        <w:ind w:left="100" w:right="248" w:firstLine="14"/>
        <w:jc w:val="both"/>
        <w:rPr>
          <w:b/>
          <w:bCs/>
          <w:sz w:val="24"/>
          <w:szCs w:val="24"/>
        </w:rPr>
      </w:pPr>
      <w:r>
        <w:rPr>
          <w:b/>
          <w:bCs/>
          <w:sz w:val="24"/>
          <w:szCs w:val="24"/>
        </w:rPr>
        <w:t>Exclusion Criteria</w:t>
      </w:r>
    </w:p>
    <w:p w:rsidR="00E669F2" w:rsidRDefault="00126F89">
      <w:pPr>
        <w:keepLines/>
        <w:numPr>
          <w:ilvl w:val="0"/>
          <w:numId w:val="2"/>
        </w:numPr>
        <w:spacing w:line="360" w:lineRule="auto"/>
        <w:ind w:right="248"/>
        <w:jc w:val="both"/>
      </w:pPr>
      <w:r>
        <w:rPr>
          <w:sz w:val="24"/>
          <w:szCs w:val="24"/>
        </w:rPr>
        <w:t>Patients with other systemic diseases that could influence oral manifestations</w:t>
      </w:r>
    </w:p>
    <w:p w:rsidR="00E669F2" w:rsidRDefault="00126F89">
      <w:pPr>
        <w:keepLines/>
        <w:numPr>
          <w:ilvl w:val="0"/>
          <w:numId w:val="2"/>
        </w:numPr>
        <w:spacing w:line="360" w:lineRule="auto"/>
        <w:ind w:right="248"/>
        <w:jc w:val="both"/>
      </w:pPr>
      <w:r>
        <w:rPr>
          <w:sz w:val="24"/>
          <w:szCs w:val="24"/>
        </w:rPr>
        <w:t>Patients undergoing radiotherapy or chemotherapy</w:t>
      </w:r>
    </w:p>
    <w:p w:rsidR="00E669F2" w:rsidRDefault="00126F89">
      <w:pPr>
        <w:keepLines/>
        <w:numPr>
          <w:ilvl w:val="0"/>
          <w:numId w:val="2"/>
        </w:numPr>
        <w:spacing w:line="360" w:lineRule="auto"/>
        <w:ind w:right="248"/>
        <w:jc w:val="both"/>
      </w:pPr>
      <w:r>
        <w:rPr>
          <w:sz w:val="24"/>
          <w:szCs w:val="24"/>
        </w:rPr>
        <w:t>Patients with incomplete medical history</w:t>
      </w:r>
    </w:p>
    <w:p w:rsidR="00E669F2" w:rsidRDefault="00126F89">
      <w:pPr>
        <w:keepLines/>
        <w:numPr>
          <w:ilvl w:val="0"/>
          <w:numId w:val="2"/>
        </w:numPr>
        <w:spacing w:line="360" w:lineRule="auto"/>
        <w:ind w:right="248"/>
        <w:jc w:val="both"/>
      </w:pPr>
      <w:r>
        <w:rPr>
          <w:sz w:val="24"/>
          <w:szCs w:val="24"/>
        </w:rPr>
        <w:t>Patients who were unwilling to participate</w:t>
      </w:r>
    </w:p>
    <w:p w:rsidR="00E669F2" w:rsidRDefault="00126F89">
      <w:pPr>
        <w:keepLines/>
        <w:spacing w:line="360" w:lineRule="auto"/>
        <w:ind w:left="100" w:right="248" w:firstLine="14"/>
        <w:jc w:val="both"/>
        <w:rPr>
          <w:sz w:val="24"/>
          <w:szCs w:val="24"/>
        </w:rPr>
      </w:pPr>
      <w:r>
        <w:rPr>
          <w:sz w:val="24"/>
          <w:szCs w:val="24"/>
        </w:rPr>
        <w:lastRenderedPageBreak/>
        <w:t xml:space="preserve"> Patients were examined clinically using a mouth mirror, probe, Williams’s periodontal probe to check the periodontal pockets, Russell’s periodontal index was used to estimate the gingival and periodontal health and further histopathological examination fo</w:t>
      </w:r>
      <w:r>
        <w:rPr>
          <w:sz w:val="24"/>
          <w:szCs w:val="24"/>
        </w:rPr>
        <w:t xml:space="preserve">r mucosal changes was also carried out. All the Patients included in the study were known hypertensive patients and who were under the medication of the antihypertensive </w:t>
      </w:r>
      <w:proofErr w:type="spellStart"/>
      <w:proofErr w:type="gramStart"/>
      <w:r>
        <w:rPr>
          <w:sz w:val="24"/>
          <w:szCs w:val="24"/>
        </w:rPr>
        <w:t>drugs.Gingivitis</w:t>
      </w:r>
      <w:proofErr w:type="spellEnd"/>
      <w:proofErr w:type="gramEnd"/>
      <w:r>
        <w:rPr>
          <w:sz w:val="24"/>
          <w:szCs w:val="24"/>
        </w:rPr>
        <w:t xml:space="preserve"> and  periodontitis were confirmed from patients Russell’s periodontal</w:t>
      </w:r>
      <w:r>
        <w:rPr>
          <w:sz w:val="24"/>
          <w:szCs w:val="24"/>
        </w:rPr>
        <w:t xml:space="preserve"> index, and hypo salivation was noted by asking questions to the patients regarding </w:t>
      </w:r>
      <w:proofErr w:type="spellStart"/>
      <w:r>
        <w:rPr>
          <w:sz w:val="24"/>
          <w:szCs w:val="24"/>
        </w:rPr>
        <w:t>symptoms.All</w:t>
      </w:r>
      <w:proofErr w:type="spellEnd"/>
      <w:r>
        <w:rPr>
          <w:sz w:val="24"/>
          <w:szCs w:val="24"/>
        </w:rPr>
        <w:t xml:space="preserve"> the data were collected and </w:t>
      </w:r>
      <w:proofErr w:type="spellStart"/>
      <w:r>
        <w:rPr>
          <w:sz w:val="24"/>
          <w:szCs w:val="24"/>
        </w:rPr>
        <w:t>analysed</w:t>
      </w:r>
      <w:proofErr w:type="spellEnd"/>
      <w:r>
        <w:rPr>
          <w:sz w:val="24"/>
          <w:szCs w:val="24"/>
        </w:rPr>
        <w:t xml:space="preserve"> statistically.</w:t>
      </w:r>
    </w:p>
    <w:p w:rsidR="00E669F2" w:rsidRDefault="00E669F2">
      <w:pPr>
        <w:keepLines/>
        <w:spacing w:line="360" w:lineRule="auto"/>
        <w:jc w:val="both"/>
      </w:pPr>
    </w:p>
    <w:p w:rsidR="00E669F2" w:rsidRDefault="00E669F2">
      <w:pPr>
        <w:keepLines/>
        <w:spacing w:before="5" w:line="360" w:lineRule="auto"/>
        <w:jc w:val="both"/>
        <w:rPr>
          <w:sz w:val="26"/>
          <w:szCs w:val="26"/>
        </w:rPr>
      </w:pPr>
    </w:p>
    <w:p w:rsidR="00E669F2" w:rsidRDefault="00126F89">
      <w:pPr>
        <w:keepLines/>
        <w:spacing w:line="360" w:lineRule="auto"/>
        <w:ind w:left="100" w:right="3420"/>
        <w:jc w:val="both"/>
        <w:rPr>
          <w:sz w:val="24"/>
          <w:szCs w:val="24"/>
        </w:rPr>
      </w:pPr>
      <w:r>
        <w:rPr>
          <w:b/>
          <w:bCs/>
          <w:sz w:val="24"/>
          <w:szCs w:val="24"/>
        </w:rPr>
        <w:t>Questions asked to the patients to evaluate hypo salivation:</w:t>
      </w:r>
    </w:p>
    <w:p w:rsidR="00E669F2" w:rsidRDefault="00E669F2">
      <w:pPr>
        <w:keepLines/>
        <w:spacing w:before="7" w:line="360" w:lineRule="auto"/>
        <w:jc w:val="both"/>
        <w:rPr>
          <w:sz w:val="13"/>
          <w:szCs w:val="13"/>
        </w:rPr>
      </w:pPr>
    </w:p>
    <w:p w:rsidR="00E669F2" w:rsidRDefault="00126F89">
      <w:pPr>
        <w:keepLines/>
        <w:spacing w:line="360" w:lineRule="auto"/>
        <w:ind w:left="100" w:right="480"/>
        <w:jc w:val="both"/>
        <w:rPr>
          <w:sz w:val="24"/>
          <w:szCs w:val="24"/>
        </w:rPr>
      </w:pPr>
      <w:r>
        <w:rPr>
          <w:sz w:val="24"/>
          <w:szCs w:val="24"/>
        </w:rPr>
        <w:t xml:space="preserve">An affirmative response to at least two of </w:t>
      </w:r>
      <w:r>
        <w:rPr>
          <w:sz w:val="24"/>
          <w:szCs w:val="24"/>
        </w:rPr>
        <w:t>these questions were considered as hypo salivation;</w:t>
      </w:r>
    </w:p>
    <w:p w:rsidR="00E669F2" w:rsidRDefault="00E669F2">
      <w:pPr>
        <w:keepLines/>
        <w:spacing w:before="7" w:line="360" w:lineRule="auto"/>
        <w:jc w:val="both"/>
        <w:rPr>
          <w:sz w:val="13"/>
          <w:szCs w:val="13"/>
        </w:rPr>
      </w:pPr>
    </w:p>
    <w:p w:rsidR="00E669F2" w:rsidRDefault="00126F89">
      <w:pPr>
        <w:keepLines/>
        <w:spacing w:line="360" w:lineRule="auto"/>
        <w:ind w:left="100" w:right="5875"/>
        <w:jc w:val="both"/>
        <w:rPr>
          <w:sz w:val="24"/>
          <w:szCs w:val="24"/>
        </w:rPr>
      </w:pPr>
      <w:r>
        <w:rPr>
          <w:sz w:val="24"/>
          <w:szCs w:val="24"/>
        </w:rPr>
        <w:t>1) Does your mouth usually feel dry?</w:t>
      </w:r>
    </w:p>
    <w:p w:rsidR="00E669F2" w:rsidRDefault="00E669F2">
      <w:pPr>
        <w:keepLines/>
        <w:spacing w:before="7" w:line="360" w:lineRule="auto"/>
        <w:jc w:val="both"/>
        <w:rPr>
          <w:sz w:val="13"/>
          <w:szCs w:val="13"/>
        </w:rPr>
      </w:pPr>
    </w:p>
    <w:p w:rsidR="00E669F2" w:rsidRDefault="00126F89">
      <w:pPr>
        <w:keepLines/>
        <w:spacing w:line="360" w:lineRule="auto"/>
        <w:ind w:left="100" w:right="4689"/>
        <w:jc w:val="both"/>
        <w:rPr>
          <w:sz w:val="24"/>
          <w:szCs w:val="24"/>
        </w:rPr>
      </w:pPr>
      <w:r>
        <w:rPr>
          <w:sz w:val="24"/>
          <w:szCs w:val="24"/>
        </w:rPr>
        <w:t>2) Does your mouth feel dry while eating a meal?</w:t>
      </w:r>
    </w:p>
    <w:p w:rsidR="00E669F2" w:rsidRDefault="00E669F2">
      <w:pPr>
        <w:keepLines/>
        <w:spacing w:before="7" w:line="360" w:lineRule="auto"/>
        <w:jc w:val="both"/>
        <w:rPr>
          <w:sz w:val="13"/>
          <w:szCs w:val="13"/>
        </w:rPr>
      </w:pPr>
    </w:p>
    <w:p w:rsidR="00E669F2" w:rsidRDefault="00126F89">
      <w:pPr>
        <w:keepLines/>
        <w:spacing w:line="360" w:lineRule="auto"/>
        <w:ind w:left="100" w:right="4857"/>
        <w:jc w:val="both"/>
        <w:rPr>
          <w:sz w:val="24"/>
          <w:szCs w:val="24"/>
        </w:rPr>
      </w:pPr>
      <w:r>
        <w:rPr>
          <w:sz w:val="24"/>
          <w:szCs w:val="24"/>
        </w:rPr>
        <w:t>3) Do you have difficulty swallowing dry food?</w:t>
      </w:r>
    </w:p>
    <w:p w:rsidR="00E669F2" w:rsidRDefault="00E669F2">
      <w:pPr>
        <w:keepLines/>
        <w:spacing w:before="7" w:line="360" w:lineRule="auto"/>
        <w:jc w:val="both"/>
        <w:rPr>
          <w:sz w:val="13"/>
          <w:szCs w:val="13"/>
        </w:rPr>
      </w:pPr>
    </w:p>
    <w:p w:rsidR="00E669F2" w:rsidRDefault="00126F89">
      <w:pPr>
        <w:keepLines/>
        <w:spacing w:line="360" w:lineRule="auto"/>
        <w:ind w:left="100" w:right="4156"/>
        <w:jc w:val="both"/>
        <w:rPr>
          <w:sz w:val="24"/>
          <w:szCs w:val="24"/>
        </w:rPr>
      </w:pPr>
      <w:r>
        <w:rPr>
          <w:sz w:val="24"/>
          <w:szCs w:val="24"/>
        </w:rPr>
        <w:t>4) Do you often sip water while swallowing dry foods?</w:t>
      </w:r>
    </w:p>
    <w:p w:rsidR="00E669F2" w:rsidRDefault="00E669F2">
      <w:pPr>
        <w:keepLines/>
        <w:spacing w:before="2" w:line="360" w:lineRule="auto"/>
        <w:jc w:val="both"/>
        <w:rPr>
          <w:sz w:val="14"/>
          <w:szCs w:val="14"/>
        </w:rPr>
      </w:pPr>
    </w:p>
    <w:p w:rsidR="00E669F2" w:rsidRDefault="00126F89">
      <w:pPr>
        <w:keepLines/>
        <w:spacing w:line="360" w:lineRule="auto"/>
        <w:ind w:left="100" w:right="2126"/>
        <w:jc w:val="both"/>
        <w:rPr>
          <w:sz w:val="24"/>
          <w:szCs w:val="24"/>
        </w:rPr>
      </w:pPr>
      <w:r>
        <w:rPr>
          <w:sz w:val="24"/>
          <w:szCs w:val="24"/>
        </w:rPr>
        <w:t>5) Is the amount of saliva in your mouth too little, or don’t you  notice it?[</w:t>
      </w:r>
      <w:hyperlink r:id="rId21">
        <w:r>
          <w:rPr>
            <w:color w:val="1153CC"/>
            <w:sz w:val="24"/>
            <w:szCs w:val="24"/>
            <w:u w:val="single"/>
          </w:rPr>
          <w:t>1</w:t>
        </w:r>
      </w:hyperlink>
      <w:hyperlink r:id="rId22">
        <w:r>
          <w:rPr>
            <w:color w:val="000000"/>
            <w:sz w:val="24"/>
            <w:szCs w:val="24"/>
          </w:rPr>
          <w:t>]</w:t>
        </w:r>
      </w:hyperlink>
    </w:p>
    <w:p w:rsidR="00E669F2" w:rsidRDefault="00E669F2">
      <w:pPr>
        <w:keepLines/>
        <w:spacing w:before="2" w:line="360" w:lineRule="auto"/>
        <w:jc w:val="both"/>
        <w:rPr>
          <w:sz w:val="14"/>
          <w:szCs w:val="14"/>
        </w:rPr>
      </w:pPr>
    </w:p>
    <w:p w:rsidR="00E669F2" w:rsidRDefault="00126F89">
      <w:pPr>
        <w:keepLines/>
        <w:spacing w:line="360" w:lineRule="auto"/>
        <w:ind w:left="100" w:right="6694"/>
        <w:jc w:val="both"/>
        <w:rPr>
          <w:sz w:val="24"/>
          <w:szCs w:val="24"/>
        </w:rPr>
      </w:pPr>
      <w:r>
        <w:rPr>
          <w:b/>
          <w:bCs/>
          <w:sz w:val="24"/>
          <w:szCs w:val="24"/>
        </w:rPr>
        <w:t>ETHICAL CLEARANCE:</w:t>
      </w:r>
    </w:p>
    <w:p w:rsidR="00E669F2" w:rsidRDefault="00126F89">
      <w:pPr>
        <w:keepLines/>
        <w:spacing w:line="360" w:lineRule="auto"/>
        <w:ind w:left="100" w:right="64"/>
        <w:jc w:val="both"/>
        <w:rPr>
          <w:sz w:val="24"/>
          <w:szCs w:val="24"/>
        </w:rPr>
      </w:pPr>
      <w:r>
        <w:rPr>
          <w:sz w:val="24"/>
          <w:szCs w:val="24"/>
        </w:rPr>
        <w:t>Ethical approval for this study w</w:t>
      </w:r>
      <w:r>
        <w:rPr>
          <w:sz w:val="24"/>
          <w:szCs w:val="24"/>
        </w:rPr>
        <w:t xml:space="preserve">as </w:t>
      </w:r>
      <w:proofErr w:type="gramStart"/>
      <w:r>
        <w:rPr>
          <w:sz w:val="24"/>
          <w:szCs w:val="24"/>
        </w:rPr>
        <w:t>obtained  from</w:t>
      </w:r>
      <w:proofErr w:type="gramEnd"/>
      <w:r>
        <w:rPr>
          <w:sz w:val="24"/>
          <w:szCs w:val="24"/>
        </w:rPr>
        <w:t xml:space="preserve"> the appropriate ethics committee, and all procedures complied with ethical research standards.</w:t>
      </w:r>
    </w:p>
    <w:p w:rsidR="00E669F2" w:rsidRDefault="00E669F2">
      <w:pPr>
        <w:keepLines/>
        <w:spacing w:line="360" w:lineRule="auto"/>
        <w:ind w:left="100" w:right="64"/>
        <w:jc w:val="both"/>
        <w:rPr>
          <w:sz w:val="24"/>
          <w:szCs w:val="24"/>
        </w:rPr>
      </w:pPr>
    </w:p>
    <w:p w:rsidR="00E669F2" w:rsidRDefault="00126F89">
      <w:pPr>
        <w:keepLines/>
        <w:spacing w:line="360" w:lineRule="auto"/>
        <w:ind w:left="100" w:right="64"/>
        <w:jc w:val="both"/>
        <w:rPr>
          <w:b/>
          <w:bCs/>
          <w:sz w:val="24"/>
          <w:szCs w:val="24"/>
        </w:rPr>
      </w:pPr>
      <w:r>
        <w:rPr>
          <w:b/>
          <w:bCs/>
          <w:sz w:val="24"/>
          <w:szCs w:val="24"/>
        </w:rPr>
        <w:t>STATISTICAL ANALYSIS</w:t>
      </w:r>
    </w:p>
    <w:p w:rsidR="00E669F2" w:rsidRDefault="00126F89">
      <w:pPr>
        <w:keepLines/>
        <w:spacing w:line="360" w:lineRule="auto"/>
        <w:ind w:left="100" w:right="64"/>
        <w:jc w:val="both"/>
        <w:rPr>
          <w:sz w:val="24"/>
          <w:szCs w:val="24"/>
        </w:rPr>
      </w:pPr>
      <w:r>
        <w:rPr>
          <w:sz w:val="24"/>
          <w:szCs w:val="24"/>
        </w:rPr>
        <w:t>All collected data were compiled and analyzed using appropriate statistical methods to determine the frequency and distri</w:t>
      </w:r>
      <w:r>
        <w:rPr>
          <w:sz w:val="24"/>
          <w:szCs w:val="24"/>
        </w:rPr>
        <w:t>bution of oral manifestations among hypertensive patients.</w:t>
      </w:r>
    </w:p>
    <w:p w:rsidR="00E669F2" w:rsidRDefault="00E669F2">
      <w:pPr>
        <w:keepLines/>
        <w:spacing w:line="360" w:lineRule="auto"/>
        <w:ind w:left="100" w:right="64"/>
        <w:jc w:val="both"/>
        <w:rPr>
          <w:sz w:val="24"/>
          <w:szCs w:val="24"/>
        </w:rPr>
      </w:pPr>
    </w:p>
    <w:p w:rsidR="00E669F2" w:rsidRDefault="00126F89">
      <w:pPr>
        <w:keepLines/>
        <w:spacing w:before="10" w:line="360" w:lineRule="auto"/>
        <w:ind w:left="100" w:right="8413"/>
        <w:jc w:val="both"/>
        <w:rPr>
          <w:sz w:val="24"/>
          <w:szCs w:val="24"/>
        </w:rPr>
      </w:pPr>
      <w:r>
        <w:rPr>
          <w:b/>
          <w:bCs/>
          <w:sz w:val="24"/>
          <w:szCs w:val="24"/>
        </w:rPr>
        <w:t>RESULT:</w:t>
      </w:r>
    </w:p>
    <w:p w:rsidR="00E669F2" w:rsidRDefault="00E669F2">
      <w:pPr>
        <w:keepLines/>
        <w:spacing w:before="1" w:line="360" w:lineRule="auto"/>
        <w:jc w:val="both"/>
        <w:rPr>
          <w:sz w:val="18"/>
          <w:szCs w:val="18"/>
        </w:rPr>
      </w:pPr>
    </w:p>
    <w:p w:rsidR="00E669F2" w:rsidRDefault="00126F89">
      <w:pPr>
        <w:keepLines/>
        <w:spacing w:line="360" w:lineRule="auto"/>
        <w:ind w:left="100" w:right="220"/>
        <w:jc w:val="both"/>
        <w:rPr>
          <w:sz w:val="24"/>
          <w:szCs w:val="24"/>
        </w:rPr>
        <w:sectPr w:rsidR="00E669F2">
          <w:pgSz w:w="12240" w:h="15840"/>
          <w:pgMar w:top="1300" w:right="1300" w:bottom="280" w:left="1340" w:header="720" w:footer="720" w:gutter="0"/>
          <w:cols w:space="720"/>
        </w:sectPr>
      </w:pPr>
      <w:r>
        <w:rPr>
          <w:sz w:val="24"/>
          <w:szCs w:val="24"/>
        </w:rPr>
        <w:t>A total of 100 patients were included in the study. The age of the study population ranged from</w:t>
      </w:r>
    </w:p>
    <w:p w:rsidR="00E669F2" w:rsidRDefault="00126F89">
      <w:pPr>
        <w:keepLines/>
        <w:spacing w:before="75" w:line="360" w:lineRule="auto"/>
        <w:ind w:left="100" w:right="169"/>
        <w:jc w:val="both"/>
        <w:rPr>
          <w:sz w:val="24"/>
          <w:szCs w:val="24"/>
        </w:rPr>
      </w:pPr>
      <w:r>
        <w:rPr>
          <w:sz w:val="24"/>
          <w:szCs w:val="24"/>
        </w:rPr>
        <w:lastRenderedPageBreak/>
        <w:t xml:space="preserve">25 to 87 years, with a predominance of middle-aged and elderly </w:t>
      </w:r>
      <w:proofErr w:type="spellStart"/>
      <w:proofErr w:type="gramStart"/>
      <w:r>
        <w:rPr>
          <w:sz w:val="24"/>
          <w:szCs w:val="24"/>
        </w:rPr>
        <w:t>individuals.Female</w:t>
      </w:r>
      <w:proofErr w:type="spellEnd"/>
      <w:proofErr w:type="gramEnd"/>
      <w:r>
        <w:rPr>
          <w:sz w:val="24"/>
          <w:szCs w:val="24"/>
        </w:rPr>
        <w:t xml:space="preserve"> patients constituted the majority of the study population (58%), while males accounted for 42% of the cases.[Fig 1]</w:t>
      </w:r>
    </w:p>
    <w:p w:rsidR="00E669F2" w:rsidRDefault="00126F89">
      <w:pPr>
        <w:keepLines/>
        <w:spacing w:before="20" w:line="360" w:lineRule="auto"/>
        <w:ind w:left="100" w:right="188"/>
        <w:jc w:val="both"/>
        <w:rPr>
          <w:sz w:val="24"/>
          <w:szCs w:val="24"/>
        </w:rPr>
      </w:pPr>
      <w:proofErr w:type="gramStart"/>
      <w:r>
        <w:rPr>
          <w:sz w:val="24"/>
          <w:szCs w:val="24"/>
        </w:rPr>
        <w:t>Among  the</w:t>
      </w:r>
      <w:proofErr w:type="gramEnd"/>
      <w:r>
        <w:rPr>
          <w:sz w:val="24"/>
          <w:szCs w:val="24"/>
        </w:rPr>
        <w:t xml:space="preserve">  study participants,  periodontitis  was  the  </w:t>
      </w:r>
      <w:r>
        <w:rPr>
          <w:sz w:val="24"/>
          <w:szCs w:val="24"/>
        </w:rPr>
        <w:t>most  prevalent  periodontal condition, observed in 70% of patients[Fig 2].Gingivitis was diagnosed in 29% of cases[Fig 3]</w:t>
      </w:r>
      <w:r>
        <w:t xml:space="preserve"> </w:t>
      </w:r>
      <w:r>
        <w:rPr>
          <w:sz w:val="24"/>
          <w:szCs w:val="24"/>
        </w:rPr>
        <w:t>who exhibited gingival inflammation without clinical evidence of periodontal attachment loss or periodontal pocket formation and acut</w:t>
      </w:r>
      <w:r>
        <w:rPr>
          <w:sz w:val="24"/>
          <w:szCs w:val="24"/>
        </w:rPr>
        <w:t>e necrotizing ulcerative gingivitis (ANUG) was observed in 1% of the study population.</w:t>
      </w:r>
    </w:p>
    <w:p w:rsidR="00E669F2" w:rsidRDefault="00126F89">
      <w:pPr>
        <w:keepLines/>
        <w:spacing w:before="22" w:line="360" w:lineRule="auto"/>
        <w:ind w:left="115" w:right="1880"/>
        <w:jc w:val="both"/>
        <w:rPr>
          <w:sz w:val="24"/>
          <w:szCs w:val="24"/>
        </w:rPr>
      </w:pPr>
      <w:r>
        <w:rPr>
          <w:sz w:val="24"/>
          <w:szCs w:val="24"/>
        </w:rPr>
        <w:t>The highest prevalence of periodontal disease was seen in patients aged 60–79</w:t>
      </w:r>
    </w:p>
    <w:p w:rsidR="00E669F2" w:rsidRDefault="00126F89">
      <w:pPr>
        <w:keepLines/>
        <w:spacing w:line="360" w:lineRule="auto"/>
        <w:ind w:right="271"/>
        <w:jc w:val="both"/>
        <w:rPr>
          <w:sz w:val="24"/>
          <w:szCs w:val="24"/>
        </w:rPr>
      </w:pPr>
      <w:r>
        <w:rPr>
          <w:sz w:val="13"/>
          <w:szCs w:val="13"/>
        </w:rPr>
        <w:t xml:space="preserve">  </w:t>
      </w:r>
      <w:r>
        <w:rPr>
          <w:sz w:val="24"/>
          <w:szCs w:val="24"/>
        </w:rPr>
        <w:t>years (46%), followed by those aged 40–59 years (34%). Patients aged 20–39 years and thos</w:t>
      </w:r>
      <w:r>
        <w:rPr>
          <w:sz w:val="24"/>
          <w:szCs w:val="24"/>
        </w:rPr>
        <w:t>e</w:t>
      </w:r>
    </w:p>
    <w:p w:rsidR="00E669F2" w:rsidRDefault="00126F89">
      <w:pPr>
        <w:keepLines/>
        <w:spacing w:line="360" w:lineRule="auto"/>
        <w:ind w:right="3139"/>
        <w:jc w:val="both"/>
      </w:pPr>
      <w:r>
        <w:rPr>
          <w:sz w:val="13"/>
          <w:szCs w:val="13"/>
        </w:rPr>
        <w:t xml:space="preserve">  </w:t>
      </w:r>
      <w:r>
        <w:rPr>
          <w:sz w:val="24"/>
          <w:szCs w:val="24"/>
        </w:rPr>
        <w:t>80 years and above constituted 10% each of the study population.</w:t>
      </w:r>
    </w:p>
    <w:p w:rsidR="00E669F2" w:rsidRDefault="00E669F2">
      <w:pPr>
        <w:keepLines/>
        <w:spacing w:line="360" w:lineRule="auto"/>
        <w:jc w:val="both"/>
      </w:pPr>
    </w:p>
    <w:p w:rsidR="00E669F2" w:rsidRDefault="00126F89">
      <w:pPr>
        <w:keepLines/>
        <w:spacing w:line="360" w:lineRule="auto"/>
        <w:ind w:left="100" w:right="141"/>
        <w:jc w:val="both"/>
        <w:rPr>
          <w:sz w:val="24"/>
          <w:szCs w:val="24"/>
        </w:rPr>
      </w:pPr>
      <w:r>
        <w:rPr>
          <w:sz w:val="24"/>
          <w:szCs w:val="24"/>
        </w:rPr>
        <w:t xml:space="preserve">Associated oral mucosal lesions include gingival </w:t>
      </w:r>
      <w:proofErr w:type="gramStart"/>
      <w:r>
        <w:rPr>
          <w:sz w:val="24"/>
          <w:szCs w:val="24"/>
        </w:rPr>
        <w:t>hyperplasia(</w:t>
      </w:r>
      <w:proofErr w:type="gramEnd"/>
      <w:r>
        <w:rPr>
          <w:sz w:val="24"/>
          <w:szCs w:val="24"/>
        </w:rPr>
        <w:t>6%)[Fig 4,Fig 8],lichen planus</w:t>
      </w:r>
    </w:p>
    <w:p w:rsidR="00E669F2" w:rsidRDefault="00126F89">
      <w:pPr>
        <w:keepLines/>
        <w:spacing w:line="360" w:lineRule="auto"/>
        <w:ind w:right="150"/>
        <w:jc w:val="both"/>
        <w:rPr>
          <w:sz w:val="24"/>
          <w:szCs w:val="24"/>
        </w:rPr>
      </w:pPr>
      <w:r>
        <w:rPr>
          <w:sz w:val="24"/>
          <w:szCs w:val="24"/>
        </w:rPr>
        <w:t>(3</w:t>
      </w:r>
      <w:proofErr w:type="gramStart"/>
      <w:r>
        <w:rPr>
          <w:sz w:val="24"/>
          <w:szCs w:val="24"/>
        </w:rPr>
        <w:t>%)[</w:t>
      </w:r>
      <w:proofErr w:type="gramEnd"/>
      <w:r>
        <w:rPr>
          <w:sz w:val="24"/>
          <w:szCs w:val="24"/>
        </w:rPr>
        <w:t>Fig   9],lichenoid   reactions   (1%)[Fig   5],   leukoplakia   (4%),   leukoedema   (2%)[Fig</w:t>
      </w:r>
    </w:p>
    <w:p w:rsidR="00E669F2" w:rsidRDefault="00126F89">
      <w:pPr>
        <w:keepLines/>
        <w:spacing w:line="360" w:lineRule="auto"/>
        <w:ind w:right="133"/>
        <w:jc w:val="both"/>
        <w:rPr>
          <w:sz w:val="24"/>
          <w:szCs w:val="24"/>
        </w:rPr>
      </w:pPr>
      <w:r>
        <w:rPr>
          <w:sz w:val="14"/>
          <w:szCs w:val="14"/>
        </w:rPr>
        <w:t xml:space="preserve"> </w:t>
      </w:r>
      <w:proofErr w:type="gramStart"/>
      <w:r>
        <w:rPr>
          <w:sz w:val="24"/>
          <w:szCs w:val="24"/>
        </w:rPr>
        <w:t>6],ulcerations</w:t>
      </w:r>
      <w:proofErr w:type="gramEnd"/>
      <w:r>
        <w:rPr>
          <w:sz w:val="24"/>
          <w:szCs w:val="24"/>
        </w:rPr>
        <w:t xml:space="preserve"> (3%), and hyposalivation(7%)[Fig 7]. The remaining 74% of patients did not exhibit any associated oral </w:t>
      </w:r>
      <w:proofErr w:type="spellStart"/>
      <w:proofErr w:type="gramStart"/>
      <w:r>
        <w:rPr>
          <w:sz w:val="24"/>
          <w:szCs w:val="24"/>
        </w:rPr>
        <w:t>lesions.The</w:t>
      </w:r>
      <w:proofErr w:type="spellEnd"/>
      <w:proofErr w:type="gramEnd"/>
      <w:r>
        <w:rPr>
          <w:sz w:val="24"/>
          <w:szCs w:val="24"/>
        </w:rPr>
        <w:t xml:space="preserve"> study showed a significant</w:t>
      </w:r>
      <w:r>
        <w:rPr>
          <w:sz w:val="24"/>
          <w:szCs w:val="24"/>
        </w:rPr>
        <w:t xml:space="preserve"> prevalence of oral manifestations among hypertensive subjects, the most common findings being xerostomia, gingival enlargement. Medication-related effects were also observed in patients taking calcium channel blockers and beta blockers.</w:t>
      </w:r>
    </w:p>
    <w:p w:rsidR="00E669F2" w:rsidRDefault="00E669F2">
      <w:pPr>
        <w:keepLines/>
        <w:spacing w:line="360" w:lineRule="auto"/>
        <w:jc w:val="both"/>
      </w:pPr>
    </w:p>
    <w:p w:rsidR="00E669F2" w:rsidRDefault="00E669F2">
      <w:pPr>
        <w:keepLines/>
        <w:spacing w:before="4" w:line="360" w:lineRule="auto"/>
        <w:jc w:val="both"/>
        <w:rPr>
          <w:sz w:val="28"/>
          <w:szCs w:val="28"/>
        </w:rPr>
      </w:pPr>
    </w:p>
    <w:p w:rsidR="00E669F2" w:rsidRDefault="00126F89">
      <w:pPr>
        <w:keepLines/>
        <w:spacing w:line="360" w:lineRule="auto"/>
        <w:ind w:left="100" w:right="7894"/>
        <w:jc w:val="both"/>
        <w:rPr>
          <w:sz w:val="24"/>
          <w:szCs w:val="24"/>
        </w:rPr>
      </w:pPr>
      <w:r>
        <w:rPr>
          <w:b/>
          <w:bCs/>
          <w:sz w:val="24"/>
          <w:szCs w:val="24"/>
        </w:rPr>
        <w:t>DISCUSSION:</w:t>
      </w:r>
    </w:p>
    <w:p w:rsidR="00E669F2" w:rsidRDefault="00E669F2">
      <w:pPr>
        <w:keepLines/>
        <w:spacing w:line="360" w:lineRule="auto"/>
        <w:jc w:val="both"/>
        <w:rPr>
          <w:sz w:val="18"/>
          <w:szCs w:val="18"/>
        </w:rPr>
      </w:pPr>
    </w:p>
    <w:p w:rsidR="00E669F2" w:rsidRDefault="00126F89">
      <w:pPr>
        <w:keepLines/>
        <w:spacing w:line="360" w:lineRule="auto"/>
        <w:jc w:val="both"/>
        <w:rPr>
          <w:sz w:val="24"/>
          <w:szCs w:val="24"/>
        </w:rPr>
      </w:pPr>
      <w:r>
        <w:rPr>
          <w:sz w:val="24"/>
          <w:szCs w:val="24"/>
        </w:rPr>
        <w:t xml:space="preserve">   </w:t>
      </w:r>
      <w:r>
        <w:rPr>
          <w:sz w:val="24"/>
          <w:szCs w:val="24"/>
        </w:rPr>
        <w:t xml:space="preserve">  Hypertension is a chronic systemic disease with well-established multisystem involvement, including the oral cavity. The current study was undertaken to assess the prevalence and pattern of oral manifestations in hypertensive patients and to correlate th</w:t>
      </w:r>
      <w:r>
        <w:rPr>
          <w:sz w:val="24"/>
          <w:szCs w:val="24"/>
        </w:rPr>
        <w:t>ese observations with the history of the disease.</w:t>
      </w:r>
    </w:p>
    <w:p w:rsidR="00E669F2" w:rsidRDefault="00E669F2">
      <w:pPr>
        <w:keepLines/>
        <w:spacing w:line="360" w:lineRule="auto"/>
        <w:jc w:val="both"/>
        <w:rPr>
          <w:sz w:val="24"/>
          <w:szCs w:val="24"/>
        </w:rPr>
      </w:pPr>
    </w:p>
    <w:p w:rsidR="00E669F2" w:rsidRDefault="00126F89">
      <w:pPr>
        <w:keepLines/>
        <w:spacing w:line="360" w:lineRule="auto"/>
        <w:jc w:val="both"/>
        <w:rPr>
          <w:sz w:val="24"/>
          <w:szCs w:val="24"/>
        </w:rPr>
      </w:pPr>
      <w:r>
        <w:rPr>
          <w:sz w:val="24"/>
          <w:szCs w:val="24"/>
        </w:rPr>
        <w:lastRenderedPageBreak/>
        <w:t>In the current study, a preponderance of middle-aged and older patients was noted, with the maximum prevalence of periodontal disease observed in patients aged 60-79 years. This observation is in accordanc</w:t>
      </w:r>
      <w:r>
        <w:rPr>
          <w:sz w:val="24"/>
          <w:szCs w:val="24"/>
        </w:rPr>
        <w:t>e with previous studies that have demonstrated an increased prevalence and severity of periodontal disease with advancing age, possibly due to increased susceptibility to systemic risk factors for an extended period, impaired immune function, and accumulat</w:t>
      </w:r>
      <w:r>
        <w:rPr>
          <w:sz w:val="24"/>
          <w:szCs w:val="24"/>
        </w:rPr>
        <w:t>ed plaque[</w:t>
      </w:r>
      <w:hyperlink r:id="rId23">
        <w:r>
          <w:rPr>
            <w:color w:val="1155CC"/>
            <w:sz w:val="24"/>
            <w:szCs w:val="24"/>
            <w:u w:val="single"/>
          </w:rPr>
          <w:t>12</w:t>
        </w:r>
      </w:hyperlink>
      <w:r>
        <w:rPr>
          <w:sz w:val="24"/>
          <w:szCs w:val="24"/>
        </w:rPr>
        <w:t xml:space="preserve">]. Female patients comprised a relatively larger proportion of the study population, which may be attributed to greater health-seeking behavior among women, a phenomenon that </w:t>
      </w:r>
      <w:r>
        <w:rPr>
          <w:sz w:val="24"/>
          <w:szCs w:val="24"/>
        </w:rPr>
        <w:t>has been noted in earlier epidemiological studies.</w:t>
      </w:r>
    </w:p>
    <w:p w:rsidR="00E669F2" w:rsidRDefault="00126F89">
      <w:pPr>
        <w:keepLines/>
        <w:spacing w:line="360" w:lineRule="auto"/>
        <w:ind w:right="1513"/>
        <w:jc w:val="both"/>
        <w:rPr>
          <w:sz w:val="24"/>
          <w:szCs w:val="24"/>
        </w:rPr>
      </w:pPr>
      <w:r>
        <w:rPr>
          <w:sz w:val="24"/>
          <w:szCs w:val="24"/>
        </w:rPr>
        <w:t xml:space="preserve">The high prevalence of periodontal disease among hypertensive patients supports </w:t>
      </w:r>
      <w:proofErr w:type="gramStart"/>
      <w:r>
        <w:rPr>
          <w:sz w:val="24"/>
          <w:szCs w:val="24"/>
        </w:rPr>
        <w:t>evidence  suggesting</w:t>
      </w:r>
      <w:proofErr w:type="gramEnd"/>
      <w:r>
        <w:rPr>
          <w:sz w:val="24"/>
          <w:szCs w:val="24"/>
        </w:rPr>
        <w:t xml:space="preserve">  a  bidirectional  association  between  hypertension  and</w:t>
      </w: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pPr>
    </w:p>
    <w:p w:rsidR="00E669F2" w:rsidRDefault="00E669F2">
      <w:pPr>
        <w:keepLines/>
        <w:spacing w:line="360" w:lineRule="auto"/>
        <w:ind w:left="100" w:right="1513" w:firstLine="14"/>
        <w:jc w:val="both"/>
        <w:rPr>
          <w:sz w:val="24"/>
          <w:szCs w:val="24"/>
        </w:rPr>
        <w:sectPr w:rsidR="00E669F2">
          <w:pgSz w:w="12240" w:h="15840"/>
          <w:pgMar w:top="1280" w:right="1340" w:bottom="280" w:left="1340" w:header="720" w:footer="720" w:gutter="0"/>
          <w:cols w:space="720"/>
        </w:sectPr>
      </w:pPr>
    </w:p>
    <w:p w:rsidR="00E669F2" w:rsidRDefault="00126F89">
      <w:pPr>
        <w:keepLines/>
        <w:spacing w:before="75" w:line="360" w:lineRule="auto"/>
        <w:ind w:right="1471"/>
        <w:jc w:val="both"/>
        <w:rPr>
          <w:sz w:val="24"/>
          <w:szCs w:val="24"/>
        </w:rPr>
      </w:pPr>
      <w:r>
        <w:rPr>
          <w:sz w:val="24"/>
          <w:szCs w:val="24"/>
        </w:rPr>
        <w:lastRenderedPageBreak/>
        <w:t>periodontal inflammation[</w:t>
      </w:r>
      <w:hyperlink r:id="rId24">
        <w:r>
          <w:rPr>
            <w:color w:val="1155CC"/>
            <w:sz w:val="24"/>
            <w:szCs w:val="24"/>
            <w:u w:val="single"/>
          </w:rPr>
          <w:t>6]</w:t>
        </w:r>
      </w:hyperlink>
      <w:hyperlink r:id="rId25">
        <w:r>
          <w:rPr>
            <w:color w:val="1153CC"/>
            <w:sz w:val="24"/>
            <w:szCs w:val="24"/>
            <w:u w:val="single"/>
          </w:rPr>
          <w:t>7</w:t>
        </w:r>
      </w:hyperlink>
      <w:hyperlink r:id="rId26">
        <w:r>
          <w:rPr>
            <w:color w:val="000000"/>
            <w:sz w:val="24"/>
            <w:szCs w:val="24"/>
          </w:rPr>
          <w:t>]</w:t>
        </w:r>
      </w:hyperlink>
      <w:r>
        <w:rPr>
          <w:color w:val="000000"/>
          <w:sz w:val="24"/>
          <w:szCs w:val="24"/>
        </w:rPr>
        <w:t>. Long-standing periodontal infections may release inflammatory media</w:t>
      </w:r>
      <w:r>
        <w:rPr>
          <w:color w:val="000000"/>
          <w:sz w:val="24"/>
          <w:szCs w:val="24"/>
        </w:rPr>
        <w:t>tors into the systemic circulation, potentially contributing to endothelial dysfunction and increasing the risk of vascular complications. Chronic periodontal infection may contribute to systemic inflammation and endothelial dysfunction[</w:t>
      </w:r>
      <w:hyperlink r:id="rId27">
        <w:r>
          <w:rPr>
            <w:color w:val="1155CC"/>
            <w:sz w:val="24"/>
            <w:szCs w:val="24"/>
            <w:u w:val="single"/>
          </w:rPr>
          <w:t>8][</w:t>
        </w:r>
      </w:hyperlink>
      <w:hyperlink r:id="rId28">
        <w:r>
          <w:rPr>
            <w:color w:val="1155CC"/>
            <w:sz w:val="24"/>
            <w:szCs w:val="24"/>
            <w:u w:val="single"/>
          </w:rPr>
          <w:t>9]</w:t>
        </w:r>
      </w:hyperlink>
      <w:r>
        <w:rPr>
          <w:color w:val="000000"/>
          <w:sz w:val="24"/>
          <w:szCs w:val="24"/>
        </w:rPr>
        <w:t>. Endothelial dysfunction results in impaired nitric oxide bioavailability, increased oxidative stress, and heightened expression of adhesion molecu</w:t>
      </w:r>
      <w:r>
        <w:rPr>
          <w:color w:val="000000"/>
          <w:sz w:val="24"/>
          <w:szCs w:val="24"/>
        </w:rPr>
        <w:t>les, all of which promote vascular inflammation and remodeling [</w:t>
      </w:r>
      <w:hyperlink r:id="rId29">
        <w:r>
          <w:rPr>
            <w:color w:val="1153CC"/>
            <w:sz w:val="24"/>
            <w:szCs w:val="24"/>
            <w:u w:val="single"/>
          </w:rPr>
          <w:t>5</w:t>
        </w:r>
      </w:hyperlink>
      <w:hyperlink r:id="rId30">
        <w:r>
          <w:rPr>
            <w:color w:val="000000"/>
            <w:sz w:val="24"/>
            <w:szCs w:val="24"/>
          </w:rPr>
          <w:t>]</w:t>
        </w:r>
      </w:hyperlink>
      <w:r>
        <w:rPr>
          <w:color w:val="000000"/>
          <w:sz w:val="24"/>
          <w:szCs w:val="24"/>
        </w:rPr>
        <w:t>. These vascular alterations may compromise gingival microcirculation, reducing oxygen and nutrient delivery to periodontal tissues [</w:t>
      </w:r>
      <w:hyperlink r:id="rId31">
        <w:r>
          <w:rPr>
            <w:color w:val="1155CC"/>
            <w:sz w:val="24"/>
            <w:szCs w:val="24"/>
            <w:u w:val="single"/>
          </w:rPr>
          <w:t>6]</w:t>
        </w:r>
      </w:hyperlink>
      <w:r>
        <w:rPr>
          <w:color w:val="000000"/>
          <w:sz w:val="24"/>
          <w:szCs w:val="24"/>
        </w:rPr>
        <w:t xml:space="preserve">. Conversely, hypertension may </w:t>
      </w:r>
      <w:proofErr w:type="gramStart"/>
      <w:r>
        <w:rPr>
          <w:color w:val="000000"/>
          <w:sz w:val="24"/>
          <w:szCs w:val="24"/>
        </w:rPr>
        <w:t>impair  microcirculation</w:t>
      </w:r>
      <w:proofErr w:type="gramEnd"/>
      <w:r>
        <w:rPr>
          <w:color w:val="000000"/>
          <w:sz w:val="24"/>
          <w:szCs w:val="24"/>
        </w:rPr>
        <w:t xml:space="preserve"> within periodontal tissues,  increasing  susceptibility to periodontal </w:t>
      </w:r>
      <w:proofErr w:type="spellStart"/>
      <w:r>
        <w:rPr>
          <w:color w:val="000000"/>
          <w:sz w:val="24"/>
          <w:szCs w:val="24"/>
        </w:rPr>
        <w:t>breakdown.The</w:t>
      </w:r>
      <w:proofErr w:type="spellEnd"/>
      <w:r>
        <w:rPr>
          <w:color w:val="000000"/>
          <w:sz w:val="24"/>
          <w:szCs w:val="24"/>
        </w:rPr>
        <w:t xml:space="preserve">  finding  that  70%  of hypertensive  patients  exhibit periodontitis suggests that high blood </w:t>
      </w:r>
      <w:r>
        <w:rPr>
          <w:color w:val="000000"/>
          <w:sz w:val="24"/>
          <w:szCs w:val="24"/>
        </w:rPr>
        <w:t>pressure is a significant systemic modifier of periodontal health. Hypertension induces a state of chronic systemic oxidative stress, which leads to micro-angiopathy—a thickening of the basement membrane in small capillaries. In the oral cavity, the gingiv</w:t>
      </w:r>
      <w:r>
        <w:rPr>
          <w:color w:val="000000"/>
          <w:sz w:val="24"/>
          <w:szCs w:val="24"/>
        </w:rPr>
        <w:t xml:space="preserve">a relies on a dense network of micro-vessels for immune surveillance and nutrient delivery. When these vessels are compromised, the tissue experiences localized </w:t>
      </w:r>
      <w:proofErr w:type="spellStart"/>
      <w:proofErr w:type="gramStart"/>
      <w:r>
        <w:rPr>
          <w:color w:val="000000"/>
          <w:sz w:val="24"/>
          <w:szCs w:val="24"/>
        </w:rPr>
        <w:t>hypoxia.Hypoxia</w:t>
      </w:r>
      <w:proofErr w:type="spellEnd"/>
      <w:proofErr w:type="gramEnd"/>
      <w:r>
        <w:rPr>
          <w:color w:val="000000"/>
          <w:sz w:val="24"/>
          <w:szCs w:val="24"/>
        </w:rPr>
        <w:t xml:space="preserve"> induces the expression of Hypoxia-Inducible Factor 1-alpha which promotes the r</w:t>
      </w:r>
      <w:r>
        <w:rPr>
          <w:color w:val="000000"/>
          <w:sz w:val="24"/>
          <w:szCs w:val="24"/>
        </w:rPr>
        <w:t xml:space="preserve">elease of pro- inflammatory cytokines such as IL-1β and TNF-α. This localized inflammatory environment accelerates the breakdown of the periodontal ligament and alveolar bone. Furthermore, reduced blood flow limits the delivery of systemic immune </w:t>
      </w:r>
      <w:proofErr w:type="gramStart"/>
      <w:r>
        <w:rPr>
          <w:color w:val="000000"/>
          <w:sz w:val="24"/>
          <w:szCs w:val="24"/>
        </w:rPr>
        <w:t>cells  to</w:t>
      </w:r>
      <w:proofErr w:type="gramEnd"/>
      <w:r>
        <w:rPr>
          <w:color w:val="000000"/>
          <w:sz w:val="24"/>
          <w:szCs w:val="24"/>
        </w:rPr>
        <w:t xml:space="preserve">  the  periodontal  pocket,  allowing  anaerobic  bacteria  to  proliferate</w:t>
      </w:r>
    </w:p>
    <w:p w:rsidR="00E669F2" w:rsidRDefault="00126F89">
      <w:pPr>
        <w:keepLines/>
        <w:spacing w:before="4" w:line="360" w:lineRule="auto"/>
        <w:ind w:left="100" w:right="8016"/>
        <w:jc w:val="both"/>
        <w:rPr>
          <w:sz w:val="24"/>
          <w:szCs w:val="24"/>
        </w:rPr>
      </w:pPr>
      <w:proofErr w:type="gramStart"/>
      <w:r>
        <w:rPr>
          <w:sz w:val="24"/>
          <w:szCs w:val="24"/>
        </w:rPr>
        <w:t>unchecked[</w:t>
      </w:r>
      <w:proofErr w:type="gramEnd"/>
      <w:r>
        <w:fldChar w:fldCharType="begin"/>
      </w:r>
      <w:r>
        <w:instrText xml:space="preserve"> HYPERLINK "https://pubmed.ncbi.nlm.nih.gov/24526921/" \h </w:instrText>
      </w:r>
      <w:r>
        <w:fldChar w:fldCharType="separate"/>
      </w:r>
      <w:r>
        <w:rPr>
          <w:color w:val="1155CC"/>
          <w:sz w:val="24"/>
          <w:szCs w:val="24"/>
          <w:u w:val="single"/>
        </w:rPr>
        <w:t>6].</w:t>
      </w:r>
      <w:r>
        <w:rPr>
          <w:color w:val="1155CC"/>
          <w:sz w:val="24"/>
          <w:szCs w:val="24"/>
          <w:u w:val="single"/>
        </w:rPr>
        <w:fldChar w:fldCharType="end"/>
      </w:r>
    </w:p>
    <w:p w:rsidR="00E669F2" w:rsidRDefault="00E669F2">
      <w:pPr>
        <w:keepLines/>
        <w:spacing w:line="360" w:lineRule="auto"/>
        <w:jc w:val="both"/>
      </w:pPr>
    </w:p>
    <w:p w:rsidR="00E669F2" w:rsidRDefault="00E669F2">
      <w:pPr>
        <w:keepLines/>
        <w:spacing w:before="17" w:line="360" w:lineRule="auto"/>
        <w:jc w:val="both"/>
        <w:rPr>
          <w:sz w:val="28"/>
          <w:szCs w:val="28"/>
        </w:rPr>
      </w:pPr>
    </w:p>
    <w:p w:rsidR="00E669F2" w:rsidRDefault="00126F89">
      <w:pPr>
        <w:keepLines/>
        <w:spacing w:before="29" w:line="360" w:lineRule="auto"/>
        <w:ind w:left="100" w:right="69" w:firstLine="14"/>
        <w:jc w:val="both"/>
        <w:rPr>
          <w:sz w:val="24"/>
          <w:szCs w:val="24"/>
        </w:rPr>
      </w:pPr>
      <w:proofErr w:type="gramStart"/>
      <w:r>
        <w:rPr>
          <w:sz w:val="24"/>
          <w:szCs w:val="24"/>
        </w:rPr>
        <w:t>The  present</w:t>
      </w:r>
      <w:proofErr w:type="gramEnd"/>
      <w:r>
        <w:rPr>
          <w:sz w:val="24"/>
          <w:szCs w:val="24"/>
        </w:rPr>
        <w:t xml:space="preserve">  study also  demonstrated  a  notable  prevalence  of oral  mucosal  lesions  among hypertensive patients. Gingival hyperplasia was the most frequently observed lesion, particularly among patients receiving calcium channel blockers. This findi</w:t>
      </w:r>
      <w:r>
        <w:rPr>
          <w:sz w:val="24"/>
          <w:szCs w:val="24"/>
        </w:rPr>
        <w:t>ng is in agreement with earlier reports that attribute drug-induced gingival enlargement to altered fibroblast activity and increased extracellular  matrix  production  caused  by  calcium channel  blockade[</w:t>
      </w:r>
      <w:hyperlink r:id="rId32">
        <w:r>
          <w:rPr>
            <w:color w:val="1155CC"/>
            <w:sz w:val="24"/>
            <w:szCs w:val="24"/>
            <w:u w:val="single"/>
          </w:rPr>
          <w:t>10][</w:t>
        </w:r>
      </w:hyperlink>
      <w:hyperlink r:id="rId33">
        <w:r>
          <w:rPr>
            <w:color w:val="1155CC"/>
            <w:sz w:val="24"/>
            <w:szCs w:val="24"/>
            <w:u w:val="single"/>
          </w:rPr>
          <w:t>13]</w:t>
        </w:r>
      </w:hyperlink>
      <w:r>
        <w:rPr>
          <w:color w:val="000000"/>
          <w:sz w:val="24"/>
          <w:szCs w:val="24"/>
        </w:rPr>
        <w:t>.This  condition creates challenge in maintaining oral hygiene and may lead to functional and esthetic concern.</w:t>
      </w:r>
    </w:p>
    <w:p w:rsidR="00E669F2" w:rsidRDefault="00E669F2">
      <w:pPr>
        <w:keepLines/>
        <w:spacing w:before="8" w:line="360" w:lineRule="auto"/>
        <w:jc w:val="both"/>
        <w:rPr>
          <w:sz w:val="18"/>
          <w:szCs w:val="18"/>
        </w:rPr>
      </w:pPr>
    </w:p>
    <w:p w:rsidR="00E669F2" w:rsidRDefault="00E669F2">
      <w:pPr>
        <w:keepLines/>
        <w:spacing w:line="360" w:lineRule="auto"/>
        <w:jc w:val="both"/>
      </w:pPr>
    </w:p>
    <w:p w:rsidR="00E669F2" w:rsidRDefault="00126F89">
      <w:pPr>
        <w:keepLines/>
        <w:spacing w:line="360" w:lineRule="auto"/>
        <w:ind w:left="100" w:right="79" w:firstLine="14"/>
        <w:jc w:val="both"/>
        <w:rPr>
          <w:sz w:val="24"/>
          <w:szCs w:val="24"/>
        </w:rPr>
        <w:sectPr w:rsidR="00E669F2">
          <w:pgSz w:w="12240" w:h="15840"/>
          <w:pgMar w:top="1280" w:right="1380" w:bottom="280" w:left="1340" w:header="720" w:footer="720" w:gutter="0"/>
          <w:cols w:space="720"/>
        </w:sectPr>
      </w:pPr>
      <w:r>
        <w:rPr>
          <w:sz w:val="24"/>
          <w:szCs w:val="24"/>
        </w:rPr>
        <w:lastRenderedPageBreak/>
        <w:t>Lichen planus and lichenoid reactions were also obser</w:t>
      </w:r>
      <w:r>
        <w:rPr>
          <w:sz w:val="24"/>
          <w:szCs w:val="24"/>
        </w:rPr>
        <w:t>ved, which may be attributed to immunologically mediated mechanisms or drug-induced hypersensitivity reactions associate</w:t>
      </w:r>
    </w:p>
    <w:p w:rsidR="00E669F2" w:rsidRDefault="00126F89">
      <w:pPr>
        <w:keepLines/>
        <w:spacing w:before="75" w:line="360" w:lineRule="auto"/>
        <w:ind w:right="163"/>
        <w:jc w:val="both"/>
        <w:rPr>
          <w:sz w:val="24"/>
          <w:szCs w:val="24"/>
        </w:rPr>
      </w:pPr>
      <w:r>
        <w:rPr>
          <w:sz w:val="24"/>
          <w:szCs w:val="24"/>
        </w:rPr>
        <w:lastRenderedPageBreak/>
        <w:t xml:space="preserve">with antihypertensive </w:t>
      </w:r>
      <w:proofErr w:type="spellStart"/>
      <w:proofErr w:type="gramStart"/>
      <w:r>
        <w:rPr>
          <w:sz w:val="24"/>
          <w:szCs w:val="24"/>
        </w:rPr>
        <w:t>therapy.Lichen</w:t>
      </w:r>
      <w:proofErr w:type="spellEnd"/>
      <w:proofErr w:type="gramEnd"/>
      <w:r>
        <w:rPr>
          <w:sz w:val="24"/>
          <w:szCs w:val="24"/>
        </w:rPr>
        <w:t xml:space="preserve"> planus and lichenoid reactions were observed in a combined</w:t>
      </w:r>
    </w:p>
    <w:p w:rsidR="00E669F2" w:rsidRDefault="00E669F2">
      <w:pPr>
        <w:keepLines/>
        <w:spacing w:before="7" w:line="360" w:lineRule="auto"/>
        <w:jc w:val="both"/>
        <w:rPr>
          <w:sz w:val="13"/>
          <w:szCs w:val="13"/>
        </w:rPr>
      </w:pPr>
    </w:p>
    <w:p w:rsidR="00E669F2" w:rsidRDefault="00126F89">
      <w:pPr>
        <w:keepLines/>
        <w:spacing w:line="360" w:lineRule="auto"/>
        <w:ind w:left="100" w:right="152"/>
        <w:jc w:val="both"/>
        <w:rPr>
          <w:sz w:val="24"/>
          <w:szCs w:val="24"/>
        </w:rPr>
      </w:pPr>
      <w:r>
        <w:rPr>
          <w:sz w:val="24"/>
          <w:szCs w:val="24"/>
        </w:rPr>
        <w:t xml:space="preserve">4% of our cohort. While idiopathic lichen planus is an autoimmune condition, lichenoid drug reactions are a delayed hypersensitivity response to medications like </w:t>
      </w:r>
      <w:proofErr w:type="gramStart"/>
      <w:r>
        <w:rPr>
          <w:sz w:val="24"/>
          <w:szCs w:val="24"/>
        </w:rPr>
        <w:t>ACE[</w:t>
      </w:r>
      <w:proofErr w:type="gramEnd"/>
      <w:r>
        <w:rPr>
          <w:sz w:val="24"/>
          <w:szCs w:val="24"/>
        </w:rPr>
        <w:t>Angiotensin converting enzyme] inhibitors and ARBs[Angiotensin receptor blocker]. These le</w:t>
      </w:r>
      <w:r>
        <w:rPr>
          <w:sz w:val="24"/>
          <w:szCs w:val="24"/>
        </w:rPr>
        <w:t>sions often manifest as bilateral white striae on the buccal mucosa [</w:t>
      </w:r>
      <w:hyperlink r:id="rId34">
        <w:r>
          <w:rPr>
            <w:color w:val="1155CC"/>
            <w:sz w:val="24"/>
            <w:szCs w:val="24"/>
            <w:u w:val="single"/>
          </w:rPr>
          <w:t>14][</w:t>
        </w:r>
      </w:hyperlink>
      <w:hyperlink r:id="rId35">
        <w:r>
          <w:rPr>
            <w:color w:val="1153CC"/>
            <w:sz w:val="24"/>
            <w:szCs w:val="24"/>
            <w:u w:val="single"/>
          </w:rPr>
          <w:t>15</w:t>
        </w:r>
      </w:hyperlink>
      <w:hyperlink r:id="rId36">
        <w:r>
          <w:rPr>
            <w:color w:val="000000"/>
            <w:sz w:val="24"/>
            <w:szCs w:val="24"/>
          </w:rPr>
          <w:t>]</w:t>
        </w:r>
      </w:hyperlink>
      <w:r>
        <w:rPr>
          <w:color w:val="000000"/>
          <w:sz w:val="24"/>
          <w:szCs w:val="24"/>
        </w:rPr>
        <w:t>.Such lesions are clinically important because they may resemble idiopathic lichen planus and, in rare instances, carry a risk of malignant transformation. Accurate diagnosis, careful evaluation of med</w:t>
      </w:r>
      <w:r>
        <w:rPr>
          <w:color w:val="000000"/>
          <w:sz w:val="24"/>
          <w:szCs w:val="24"/>
        </w:rPr>
        <w:t>ication history, and periodic follow-up are therefore essential components of patient management.</w:t>
      </w:r>
    </w:p>
    <w:p w:rsidR="00E669F2" w:rsidRDefault="00E669F2">
      <w:pPr>
        <w:keepLines/>
        <w:spacing w:line="360" w:lineRule="auto"/>
        <w:jc w:val="both"/>
      </w:pPr>
    </w:p>
    <w:p w:rsidR="00E669F2" w:rsidRDefault="00126F89">
      <w:pPr>
        <w:keepLines/>
        <w:spacing w:line="360" w:lineRule="auto"/>
        <w:ind w:left="100" w:right="154"/>
        <w:jc w:val="both"/>
        <w:rPr>
          <w:sz w:val="24"/>
          <w:szCs w:val="24"/>
        </w:rPr>
      </w:pPr>
      <w:r>
        <w:rPr>
          <w:sz w:val="24"/>
          <w:szCs w:val="24"/>
        </w:rPr>
        <w:t>Leukoplakia and leukoedema were observed in a subset of patients, particularly among elderly individuals. These lesions may be influenced by long-standing sy</w:t>
      </w:r>
      <w:r>
        <w:rPr>
          <w:sz w:val="24"/>
          <w:szCs w:val="24"/>
        </w:rPr>
        <w:t>stemic disease, compromised oral hygiene, and associated risk factors such as tobacco use. Ulcerations and angular cheilitis, though less frequent, were observed and may be related to xerostomia, nutritional deficiencies, or impaired wound healing commonly</w:t>
      </w:r>
      <w:r>
        <w:rPr>
          <w:sz w:val="24"/>
          <w:szCs w:val="24"/>
        </w:rPr>
        <w:t xml:space="preserve"> seen in hypertensive patients.</w:t>
      </w:r>
    </w:p>
    <w:p w:rsidR="00E669F2" w:rsidRDefault="00E669F2">
      <w:pPr>
        <w:keepLines/>
        <w:spacing w:before="2" w:line="360" w:lineRule="auto"/>
        <w:jc w:val="both"/>
        <w:rPr>
          <w:sz w:val="10"/>
          <w:szCs w:val="10"/>
        </w:rPr>
      </w:pPr>
    </w:p>
    <w:p w:rsidR="00E669F2" w:rsidRDefault="00E669F2">
      <w:pPr>
        <w:keepLines/>
        <w:spacing w:before="29" w:line="360" w:lineRule="auto"/>
        <w:ind w:right="146"/>
        <w:jc w:val="both"/>
      </w:pPr>
    </w:p>
    <w:p w:rsidR="00E669F2" w:rsidRDefault="00126F89">
      <w:pPr>
        <w:keepLines/>
        <w:spacing w:before="29" w:line="360" w:lineRule="auto"/>
        <w:ind w:right="146"/>
        <w:jc w:val="both"/>
        <w:rPr>
          <w:sz w:val="24"/>
          <w:szCs w:val="24"/>
        </w:rPr>
      </w:pPr>
      <w:r>
        <w:rPr>
          <w:sz w:val="24"/>
          <w:szCs w:val="24"/>
        </w:rPr>
        <w:t>In the study conducted by Lucia Ramirez et al</w:t>
      </w:r>
      <w:r>
        <w:rPr>
          <w:color w:val="000000"/>
          <w:sz w:val="24"/>
          <w:szCs w:val="24"/>
        </w:rPr>
        <w:t xml:space="preserve">, xerostomia was one of the most common reported </w:t>
      </w:r>
      <w:proofErr w:type="gramStart"/>
      <w:r>
        <w:rPr>
          <w:color w:val="000000"/>
          <w:sz w:val="24"/>
          <w:szCs w:val="24"/>
        </w:rPr>
        <w:t>symptoms .Xerostomia</w:t>
      </w:r>
      <w:proofErr w:type="gramEnd"/>
      <w:r>
        <w:rPr>
          <w:color w:val="000000"/>
          <w:sz w:val="24"/>
          <w:szCs w:val="24"/>
        </w:rPr>
        <w:t xml:space="preserve"> was one of the most commonly reported symptoms in the present study. This finding is consistent with previo</w:t>
      </w:r>
      <w:r>
        <w:rPr>
          <w:color w:val="000000"/>
          <w:sz w:val="24"/>
          <w:szCs w:val="24"/>
        </w:rPr>
        <w:t xml:space="preserve">us studies that have identified diuretics and beta blockers as major contributors to reduced salivary flow. Salivary hypofunction not only compromises oral comfort but also increases the risk of dental caries, mucosal infections, and periodontal </w:t>
      </w:r>
      <w:proofErr w:type="spellStart"/>
      <w:proofErr w:type="gramStart"/>
      <w:r>
        <w:rPr>
          <w:color w:val="000000"/>
          <w:sz w:val="24"/>
          <w:szCs w:val="24"/>
        </w:rPr>
        <w:t>disease.Th</w:t>
      </w:r>
      <w:r>
        <w:rPr>
          <w:color w:val="000000"/>
          <w:sz w:val="24"/>
          <w:szCs w:val="24"/>
        </w:rPr>
        <w:t>e</w:t>
      </w:r>
      <w:proofErr w:type="spellEnd"/>
      <w:proofErr w:type="gramEnd"/>
      <w:r>
        <w:rPr>
          <w:color w:val="000000"/>
          <w:sz w:val="24"/>
          <w:szCs w:val="24"/>
        </w:rPr>
        <w:t xml:space="preserve"> 7% prevalence of hyposalivation recorded in our study is a critical clinical finding. Saliva provides buffering capacity and antimicrobial proteins like IgA. Antihypertensive drugs, particularly diuretics, cause a reduction in intravascular volume, which</w:t>
      </w:r>
      <w:r>
        <w:rPr>
          <w:color w:val="000000"/>
          <w:sz w:val="24"/>
          <w:szCs w:val="24"/>
        </w:rPr>
        <w:t xml:space="preserve"> leads to secondary dehydration of the salivary acinar cells. Beta-blockers further complicate this by interfering with the sympathetic nervous system's control over salivary protein secretion, </w:t>
      </w:r>
      <w:proofErr w:type="gramStart"/>
      <w:r>
        <w:rPr>
          <w:color w:val="000000"/>
          <w:sz w:val="24"/>
          <w:szCs w:val="24"/>
        </w:rPr>
        <w:t>resulting  in</w:t>
      </w:r>
      <w:proofErr w:type="gramEnd"/>
      <w:r>
        <w:rPr>
          <w:color w:val="000000"/>
          <w:sz w:val="24"/>
          <w:szCs w:val="24"/>
        </w:rPr>
        <w:t xml:space="preserve">  </w:t>
      </w:r>
      <w:proofErr w:type="spellStart"/>
      <w:r>
        <w:rPr>
          <w:color w:val="000000"/>
          <w:sz w:val="24"/>
          <w:szCs w:val="24"/>
        </w:rPr>
        <w:t>thick,</w:t>
      </w:r>
      <w:r>
        <w:rPr>
          <w:sz w:val="24"/>
          <w:szCs w:val="24"/>
        </w:rPr>
        <w:t>viscous</w:t>
      </w:r>
      <w:proofErr w:type="spellEnd"/>
      <w:r>
        <w:rPr>
          <w:sz w:val="24"/>
          <w:szCs w:val="24"/>
        </w:rPr>
        <w:t xml:space="preserve"> saliva that provides less protect</w:t>
      </w:r>
      <w:r>
        <w:rPr>
          <w:sz w:val="24"/>
          <w:szCs w:val="24"/>
        </w:rPr>
        <w:t>ion[</w:t>
      </w:r>
      <w:hyperlink r:id="rId37">
        <w:r>
          <w:rPr>
            <w:color w:val="1155CC"/>
            <w:sz w:val="24"/>
            <w:szCs w:val="24"/>
            <w:u w:val="single"/>
          </w:rPr>
          <w:t>11]</w:t>
        </w:r>
      </w:hyperlink>
    </w:p>
    <w:p w:rsidR="00E669F2" w:rsidRDefault="00E669F2">
      <w:pPr>
        <w:keepLines/>
        <w:spacing w:before="8" w:line="360" w:lineRule="auto"/>
        <w:jc w:val="both"/>
        <w:rPr>
          <w:sz w:val="15"/>
          <w:szCs w:val="15"/>
        </w:rPr>
      </w:pPr>
    </w:p>
    <w:p w:rsidR="00E669F2" w:rsidRDefault="00E669F2">
      <w:pPr>
        <w:keepLines/>
        <w:spacing w:line="360" w:lineRule="auto"/>
        <w:jc w:val="both"/>
      </w:pPr>
    </w:p>
    <w:p w:rsidR="00E669F2" w:rsidRDefault="00126F89">
      <w:pPr>
        <w:keepLines/>
        <w:spacing w:before="29" w:line="360" w:lineRule="auto"/>
        <w:ind w:left="100" w:right="72"/>
        <w:jc w:val="both"/>
        <w:rPr>
          <w:sz w:val="24"/>
          <w:szCs w:val="24"/>
        </w:rPr>
        <w:sectPr w:rsidR="00E669F2">
          <w:pgSz w:w="12240" w:h="15840"/>
          <w:pgMar w:top="1280" w:right="1300" w:bottom="280" w:left="1340" w:header="720" w:footer="720" w:gutter="0"/>
          <w:cols w:space="720"/>
        </w:sectPr>
      </w:pPr>
      <w:r>
        <w:rPr>
          <w:sz w:val="24"/>
          <w:szCs w:val="24"/>
        </w:rPr>
        <w:lastRenderedPageBreak/>
        <w:t>The results of the present investigation emphasize that hypertension should be regarded as a systemic disorder with implications extending beyond the cardiovascular system, inc</w:t>
      </w:r>
      <w:r>
        <w:rPr>
          <w:sz w:val="24"/>
          <w:szCs w:val="24"/>
        </w:rPr>
        <w:t xml:space="preserve">luding notable effects on oral health. The substantial occurrence of periodontal disease among hypertensive participants in this study is consistent with existing evidence suggesting a relationship between elevated blood pressure and periodontal </w:t>
      </w:r>
      <w:proofErr w:type="gramStart"/>
      <w:r>
        <w:rPr>
          <w:sz w:val="24"/>
          <w:szCs w:val="24"/>
        </w:rPr>
        <w:t>inflammati</w:t>
      </w:r>
      <w:r>
        <w:rPr>
          <w:sz w:val="24"/>
          <w:szCs w:val="24"/>
        </w:rPr>
        <w:t>on[</w:t>
      </w:r>
      <w:proofErr w:type="gramEnd"/>
      <w:r>
        <w:fldChar w:fldCharType="begin"/>
      </w:r>
      <w:r>
        <w:instrText xml:space="preserve"> HYPERLINK "https://pubmed.ncbi.nlm.nih.gov/34897644/" \h </w:instrText>
      </w:r>
      <w:r>
        <w:fldChar w:fldCharType="separate"/>
      </w:r>
      <w:r>
        <w:rPr>
          <w:color w:val="1155CC"/>
          <w:sz w:val="24"/>
          <w:szCs w:val="24"/>
          <w:u w:val="single"/>
        </w:rPr>
        <w:t>17]</w:t>
      </w:r>
      <w:r>
        <w:rPr>
          <w:color w:val="1155CC"/>
          <w:sz w:val="24"/>
          <w:szCs w:val="24"/>
          <w:u w:val="single"/>
        </w:rPr>
        <w:fldChar w:fldCharType="end"/>
      </w:r>
      <w:r>
        <w:rPr>
          <w:color w:val="000000"/>
          <w:sz w:val="24"/>
          <w:szCs w:val="24"/>
        </w:rPr>
        <w:t xml:space="preserve">. Chronic inflammatory processes appear to serve as a biological bridge connecting these conditions.  Long-standing   periodontal </w:t>
      </w:r>
      <w:proofErr w:type="gramStart"/>
      <w:r>
        <w:rPr>
          <w:color w:val="000000"/>
          <w:sz w:val="24"/>
          <w:szCs w:val="24"/>
        </w:rPr>
        <w:t>infections  may</w:t>
      </w:r>
      <w:proofErr w:type="gramEnd"/>
      <w:r>
        <w:rPr>
          <w:color w:val="000000"/>
          <w:sz w:val="24"/>
          <w:szCs w:val="24"/>
        </w:rPr>
        <w:t xml:space="preserve"> release  inflammatory  mediators into  the </w:t>
      </w:r>
      <w:r>
        <w:rPr>
          <w:color w:val="000000"/>
          <w:sz w:val="24"/>
          <w:szCs w:val="24"/>
        </w:rPr>
        <w:t xml:space="preserve"> systemic</w:t>
      </w:r>
    </w:p>
    <w:p w:rsidR="00E669F2" w:rsidRDefault="00126F89">
      <w:pPr>
        <w:keepLines/>
        <w:spacing w:before="75" w:line="360" w:lineRule="auto"/>
        <w:ind w:left="100" w:right="82"/>
        <w:jc w:val="both"/>
        <w:rPr>
          <w:sz w:val="24"/>
          <w:szCs w:val="24"/>
        </w:rPr>
      </w:pPr>
      <w:r>
        <w:rPr>
          <w:sz w:val="24"/>
          <w:szCs w:val="24"/>
        </w:rPr>
        <w:lastRenderedPageBreak/>
        <w:t>circulation, potentially contributing to endothelial dysfunction and increasing the risk of vascular complications.</w:t>
      </w:r>
    </w:p>
    <w:p w:rsidR="00E669F2" w:rsidRDefault="00E669F2">
      <w:pPr>
        <w:keepLines/>
        <w:spacing w:before="6" w:line="360" w:lineRule="auto"/>
        <w:jc w:val="both"/>
        <w:rPr>
          <w:sz w:val="24"/>
          <w:szCs w:val="24"/>
        </w:rPr>
      </w:pPr>
    </w:p>
    <w:p w:rsidR="00E669F2" w:rsidRDefault="00126F89">
      <w:pPr>
        <w:keepLines/>
        <w:spacing w:line="360" w:lineRule="auto"/>
        <w:ind w:left="100" w:right="72"/>
        <w:jc w:val="both"/>
        <w:rPr>
          <w:sz w:val="24"/>
          <w:szCs w:val="24"/>
        </w:rPr>
      </w:pPr>
      <w:r>
        <w:rPr>
          <w:sz w:val="24"/>
          <w:szCs w:val="24"/>
        </w:rPr>
        <w:t>The observed higher prevalence of periodontal disease in older participants in this study is consistent with the widely acknowledged evidence that older age served as a cumulative risk factor. Older hypertensive patients tend to have a longer duration of d</w:t>
      </w:r>
      <w:r>
        <w:rPr>
          <w:sz w:val="24"/>
          <w:szCs w:val="24"/>
        </w:rPr>
        <w:t>isease, longer exposure to pharmacological treatment, and co-existing systemic conditions like diabetes mellitus, which can contribute cumulatively to the worsening of periodontal disease. Moreover, the age-related changes in the immune system may impair t</w:t>
      </w:r>
      <w:r>
        <w:rPr>
          <w:sz w:val="24"/>
          <w:szCs w:val="24"/>
        </w:rPr>
        <w:t>he effectiveness of inflammatory regulation, thus predisposing to chronic periodontal injury.[</w:t>
      </w:r>
      <w:hyperlink r:id="rId38">
        <w:r>
          <w:rPr>
            <w:color w:val="1155CC"/>
            <w:sz w:val="24"/>
            <w:szCs w:val="24"/>
            <w:u w:val="single"/>
          </w:rPr>
          <w:t>19</w:t>
        </w:r>
      </w:hyperlink>
      <w:r>
        <w:rPr>
          <w:sz w:val="24"/>
          <w:szCs w:val="24"/>
        </w:rPr>
        <w:t>]</w:t>
      </w:r>
    </w:p>
    <w:p w:rsidR="00E669F2" w:rsidRDefault="00E669F2">
      <w:pPr>
        <w:keepLines/>
        <w:spacing w:line="360" w:lineRule="auto"/>
        <w:ind w:left="100" w:right="72"/>
        <w:jc w:val="both"/>
        <w:rPr>
          <w:sz w:val="24"/>
          <w:szCs w:val="24"/>
        </w:rPr>
      </w:pPr>
    </w:p>
    <w:p w:rsidR="00E669F2" w:rsidRDefault="00126F89">
      <w:pPr>
        <w:keepLines/>
        <w:spacing w:line="360" w:lineRule="auto"/>
        <w:ind w:right="72"/>
        <w:jc w:val="both"/>
        <w:rPr>
          <w:sz w:val="24"/>
          <w:szCs w:val="24"/>
        </w:rPr>
      </w:pPr>
      <w:r>
        <w:rPr>
          <w:sz w:val="24"/>
          <w:szCs w:val="24"/>
        </w:rPr>
        <w:t xml:space="preserve"> It is also</w:t>
      </w:r>
      <w:r>
        <w:rPr>
          <w:sz w:val="24"/>
          <w:szCs w:val="24"/>
        </w:rPr>
        <w:t xml:space="preserve"> important to note that behavioral and lifestyle variables like smoking, alcohol, dietary habits, and psychological stress may affect blood pressure control and oral health </w:t>
      </w:r>
      <w:proofErr w:type="gramStart"/>
      <w:r>
        <w:rPr>
          <w:sz w:val="24"/>
          <w:szCs w:val="24"/>
        </w:rPr>
        <w:t>status[</w:t>
      </w:r>
      <w:proofErr w:type="gramEnd"/>
      <w:r>
        <w:fldChar w:fldCharType="begin"/>
      </w:r>
      <w:r>
        <w:instrText xml:space="preserve"> HYPERLINK "https://pubmed.ncbi.nlm.nih.gov/36844742/" \h </w:instrText>
      </w:r>
      <w:r>
        <w:fldChar w:fldCharType="separate"/>
      </w:r>
      <w:r>
        <w:rPr>
          <w:color w:val="1155CC"/>
          <w:sz w:val="24"/>
          <w:szCs w:val="24"/>
          <w:u w:val="single"/>
        </w:rPr>
        <w:t>18</w:t>
      </w:r>
      <w:r>
        <w:rPr>
          <w:color w:val="1155CC"/>
          <w:sz w:val="24"/>
          <w:szCs w:val="24"/>
          <w:u w:val="single"/>
        </w:rPr>
        <w:fldChar w:fldCharType="end"/>
      </w:r>
      <w:r>
        <w:rPr>
          <w:sz w:val="24"/>
          <w:szCs w:val="24"/>
        </w:rPr>
        <w:t>]. Although t</w:t>
      </w:r>
      <w:r>
        <w:rPr>
          <w:sz w:val="24"/>
          <w:szCs w:val="24"/>
        </w:rPr>
        <w:t>he current study focused on clinical variables, future studies that include lifestyle variables and inflammatory markers may help to shed more light on the mechanisms underlying this association.</w:t>
      </w:r>
    </w:p>
    <w:p w:rsidR="00E669F2" w:rsidRDefault="00E669F2">
      <w:pPr>
        <w:keepLines/>
        <w:spacing w:line="360" w:lineRule="auto"/>
        <w:ind w:right="72"/>
        <w:jc w:val="both"/>
        <w:rPr>
          <w:sz w:val="24"/>
          <w:szCs w:val="24"/>
        </w:rPr>
      </w:pPr>
    </w:p>
    <w:p w:rsidR="00E669F2" w:rsidRDefault="00126F89">
      <w:pPr>
        <w:keepLines/>
        <w:spacing w:line="360" w:lineRule="auto"/>
        <w:ind w:left="100" w:right="72"/>
        <w:jc w:val="both"/>
        <w:rPr>
          <w:sz w:val="24"/>
          <w:szCs w:val="24"/>
        </w:rPr>
      </w:pPr>
      <w:r>
        <w:rPr>
          <w:sz w:val="24"/>
          <w:szCs w:val="24"/>
        </w:rPr>
        <w:t xml:space="preserve">The role of dental professionals in the comprehensive care </w:t>
      </w:r>
      <w:r>
        <w:rPr>
          <w:sz w:val="24"/>
          <w:szCs w:val="24"/>
        </w:rPr>
        <w:t>of hypertensive patients is particularly significant. Routine dental consultations offer opportunities for early detection of oral changes, monitoring of medication-related side effects, and even preliminary blood pressure screening. Close collaboration be</w:t>
      </w:r>
      <w:r>
        <w:rPr>
          <w:sz w:val="24"/>
          <w:szCs w:val="24"/>
        </w:rPr>
        <w:t>tween dentists and physicians can facilitate timely adjustments in therapy</w:t>
      </w:r>
    </w:p>
    <w:p w:rsidR="00E669F2" w:rsidRDefault="00126F89">
      <w:pPr>
        <w:keepLines/>
        <w:spacing w:before="3" w:line="360" w:lineRule="auto"/>
        <w:ind w:left="100" w:right="883"/>
        <w:jc w:val="both"/>
        <w:rPr>
          <w:sz w:val="24"/>
          <w:szCs w:val="24"/>
        </w:rPr>
      </w:pPr>
      <w:r>
        <w:rPr>
          <w:sz w:val="24"/>
          <w:szCs w:val="24"/>
        </w:rPr>
        <w:t xml:space="preserve">when adverse oral reactions are identified, ultimately enhancing patient </w:t>
      </w:r>
      <w:proofErr w:type="spellStart"/>
      <w:r>
        <w:rPr>
          <w:sz w:val="24"/>
          <w:szCs w:val="24"/>
        </w:rPr>
        <w:t>out comes</w:t>
      </w:r>
      <w:proofErr w:type="spellEnd"/>
      <w:r>
        <w:rPr>
          <w:sz w:val="24"/>
          <w:szCs w:val="24"/>
        </w:rPr>
        <w:t>[</w:t>
      </w:r>
      <w:hyperlink r:id="rId39">
        <w:r>
          <w:rPr>
            <w:color w:val="1153CC"/>
            <w:sz w:val="24"/>
            <w:szCs w:val="24"/>
            <w:u w:val="single"/>
          </w:rPr>
          <w:t>7</w:t>
        </w:r>
      </w:hyperlink>
      <w:hyperlink r:id="rId40">
        <w:r>
          <w:rPr>
            <w:color w:val="000000"/>
            <w:sz w:val="24"/>
            <w:szCs w:val="24"/>
          </w:rPr>
          <w:t>][</w:t>
        </w:r>
      </w:hyperlink>
      <w:hyperlink r:id="rId41">
        <w:r>
          <w:rPr>
            <w:color w:val="1155CC"/>
            <w:sz w:val="24"/>
            <w:szCs w:val="24"/>
            <w:u w:val="single"/>
          </w:rPr>
          <w:t>17</w:t>
        </w:r>
      </w:hyperlink>
      <w:r>
        <w:rPr>
          <w:sz w:val="24"/>
          <w:szCs w:val="24"/>
        </w:rPr>
        <w:t>]</w:t>
      </w:r>
    </w:p>
    <w:p w:rsidR="00E669F2" w:rsidRDefault="00E669F2">
      <w:pPr>
        <w:keepLines/>
        <w:spacing w:before="3" w:line="360" w:lineRule="auto"/>
        <w:jc w:val="both"/>
        <w:rPr>
          <w:sz w:val="15"/>
          <w:szCs w:val="15"/>
        </w:rPr>
      </w:pPr>
    </w:p>
    <w:p w:rsidR="00E669F2" w:rsidRDefault="00E669F2">
      <w:pPr>
        <w:keepLines/>
        <w:spacing w:line="360" w:lineRule="auto"/>
        <w:jc w:val="both"/>
      </w:pPr>
    </w:p>
    <w:p w:rsidR="00E669F2" w:rsidRDefault="00126F89">
      <w:pPr>
        <w:keepLines/>
        <w:spacing w:before="29" w:line="360" w:lineRule="auto"/>
        <w:ind w:left="100" w:right="72"/>
        <w:jc w:val="both"/>
        <w:rPr>
          <w:sz w:val="24"/>
          <w:szCs w:val="24"/>
        </w:rPr>
      </w:pPr>
      <w:r>
        <w:rPr>
          <w:sz w:val="24"/>
          <w:szCs w:val="24"/>
        </w:rPr>
        <w:t xml:space="preserve">Patient education is equally essential. Hypertensive individuals should be counseled regarding </w:t>
      </w:r>
      <w:proofErr w:type="gramStart"/>
      <w:r>
        <w:rPr>
          <w:sz w:val="24"/>
          <w:szCs w:val="24"/>
        </w:rPr>
        <w:t>meticulous  oral</w:t>
      </w:r>
      <w:proofErr w:type="gramEnd"/>
      <w:r>
        <w:rPr>
          <w:sz w:val="24"/>
          <w:szCs w:val="24"/>
        </w:rPr>
        <w:t xml:space="preserve"> hygiene  practices  and  the  need for regular den</w:t>
      </w:r>
      <w:r>
        <w:rPr>
          <w:sz w:val="24"/>
          <w:szCs w:val="24"/>
        </w:rPr>
        <w:t>tal visits to detect medication- related side effects at an early stage. Preventive strategies such as professional scaling, plaque control measures, and management of xerostomia can significantly enhance oral comfort and</w:t>
      </w:r>
    </w:p>
    <w:p w:rsidR="00E669F2" w:rsidRDefault="00126F89">
      <w:pPr>
        <w:keepLines/>
        <w:spacing w:before="3" w:line="360" w:lineRule="auto"/>
        <w:ind w:left="100" w:right="7295"/>
        <w:jc w:val="both"/>
        <w:rPr>
          <w:sz w:val="24"/>
          <w:szCs w:val="24"/>
        </w:rPr>
      </w:pPr>
      <w:r>
        <w:rPr>
          <w:sz w:val="24"/>
          <w:szCs w:val="24"/>
        </w:rPr>
        <w:t>quality of life [</w:t>
      </w:r>
      <w:hyperlink r:id="rId42">
        <w:r>
          <w:rPr>
            <w:color w:val="1155CC"/>
            <w:sz w:val="24"/>
            <w:szCs w:val="24"/>
            <w:u w:val="single"/>
          </w:rPr>
          <w:t>11][</w:t>
        </w:r>
      </w:hyperlink>
      <w:hyperlink r:id="rId43">
        <w:r>
          <w:rPr>
            <w:color w:val="1155CC"/>
            <w:sz w:val="24"/>
            <w:szCs w:val="24"/>
            <w:u w:val="single"/>
          </w:rPr>
          <w:t>16]</w:t>
        </w:r>
      </w:hyperlink>
    </w:p>
    <w:p w:rsidR="00E669F2" w:rsidRDefault="00E669F2">
      <w:pPr>
        <w:keepLines/>
        <w:spacing w:before="3" w:line="360" w:lineRule="auto"/>
        <w:jc w:val="both"/>
        <w:rPr>
          <w:sz w:val="15"/>
          <w:szCs w:val="15"/>
        </w:rPr>
      </w:pPr>
    </w:p>
    <w:p w:rsidR="00E669F2" w:rsidRDefault="00E669F2">
      <w:pPr>
        <w:keepLines/>
        <w:spacing w:line="360" w:lineRule="auto"/>
        <w:jc w:val="both"/>
      </w:pPr>
    </w:p>
    <w:p w:rsidR="00E669F2" w:rsidRDefault="00126F89">
      <w:pPr>
        <w:keepLines/>
        <w:spacing w:before="75" w:line="360" w:lineRule="auto"/>
        <w:ind w:left="100" w:right="71"/>
        <w:jc w:val="both"/>
        <w:rPr>
          <w:sz w:val="24"/>
          <w:szCs w:val="24"/>
        </w:rPr>
      </w:pPr>
      <w:r>
        <w:rPr>
          <w:sz w:val="24"/>
          <w:szCs w:val="24"/>
        </w:rPr>
        <w:t>Oral signs can also be used as warning signs for the progression of systemic diseases or drug reactions. Frequent dental evaluations,</w:t>
      </w:r>
      <w:r>
        <w:rPr>
          <w:sz w:val="24"/>
          <w:szCs w:val="24"/>
        </w:rPr>
        <w:t xml:space="preserve"> patient education, and a good working relationship between dental practitioners and physicians are vital for the early detection and management of hypertensive patients.</w:t>
      </w:r>
    </w:p>
    <w:p w:rsidR="00E669F2" w:rsidRDefault="00126F89">
      <w:pPr>
        <w:keepLines/>
        <w:spacing w:before="75" w:line="360" w:lineRule="auto"/>
        <w:ind w:left="100" w:right="71"/>
        <w:jc w:val="both"/>
      </w:pPr>
      <w:r>
        <w:rPr>
          <w:sz w:val="24"/>
          <w:szCs w:val="24"/>
        </w:rPr>
        <w:lastRenderedPageBreak/>
        <w:t>The results also strengthen the emerging awareness of the link between oral and syste</w:t>
      </w:r>
      <w:r>
        <w:rPr>
          <w:sz w:val="24"/>
          <w:szCs w:val="24"/>
        </w:rPr>
        <w:t>mic health. Early detection of oral signs in hypertensive patients can contribute to better patient monitoring, improved quality of life, and more coordinated healthcare delivery.</w:t>
      </w:r>
    </w:p>
    <w:p w:rsidR="00E669F2" w:rsidRDefault="00E669F2">
      <w:pPr>
        <w:keepLines/>
        <w:spacing w:before="75" w:line="360" w:lineRule="auto"/>
        <w:ind w:left="100" w:right="71"/>
        <w:jc w:val="both"/>
      </w:pPr>
    </w:p>
    <w:p w:rsidR="00E669F2" w:rsidRDefault="00126F89">
      <w:pPr>
        <w:keepLines/>
        <w:spacing w:line="360" w:lineRule="auto"/>
        <w:ind w:left="115" w:right="7761"/>
        <w:jc w:val="both"/>
      </w:pPr>
      <w:r>
        <w:rPr>
          <w:b/>
          <w:bCs/>
          <w:sz w:val="24"/>
          <w:szCs w:val="24"/>
        </w:rPr>
        <w:t>CONCLUSION:</w:t>
      </w:r>
    </w:p>
    <w:p w:rsidR="00E669F2" w:rsidRDefault="00126F89">
      <w:pPr>
        <w:keepLines/>
        <w:spacing w:line="360" w:lineRule="auto"/>
        <w:ind w:left="100" w:right="134" w:firstLine="91"/>
        <w:jc w:val="both"/>
        <w:rPr>
          <w:sz w:val="24"/>
          <w:szCs w:val="24"/>
        </w:rPr>
      </w:pPr>
      <w:r>
        <w:rPr>
          <w:sz w:val="24"/>
          <w:szCs w:val="24"/>
        </w:rPr>
        <w:t xml:space="preserve">Oral manifestations are common among hypertensive individuals and can serve as an important diagnostic indicator. Regular oral screening and interdisciplinary management are essential for improved patient </w:t>
      </w:r>
      <w:proofErr w:type="spellStart"/>
      <w:proofErr w:type="gramStart"/>
      <w:r>
        <w:rPr>
          <w:sz w:val="24"/>
          <w:szCs w:val="24"/>
        </w:rPr>
        <w:t>care.The</w:t>
      </w:r>
      <w:proofErr w:type="spellEnd"/>
      <w:proofErr w:type="gramEnd"/>
      <w:r>
        <w:rPr>
          <w:sz w:val="24"/>
          <w:szCs w:val="24"/>
        </w:rPr>
        <w:t xml:space="preserve"> present study revealed a high prevalence o</w:t>
      </w:r>
      <w:r>
        <w:rPr>
          <w:sz w:val="24"/>
          <w:szCs w:val="24"/>
        </w:rPr>
        <w:t>f oral manifestations among hypertensive patients, demonstrating a strong association between hypertension, its pharmacological management, and oral health.</w:t>
      </w:r>
    </w:p>
    <w:p w:rsidR="00E669F2" w:rsidRDefault="00E669F2">
      <w:pPr>
        <w:keepLines/>
        <w:spacing w:line="360" w:lineRule="auto"/>
        <w:ind w:left="100" w:right="134" w:firstLine="91"/>
        <w:jc w:val="both"/>
        <w:rPr>
          <w:sz w:val="24"/>
          <w:szCs w:val="24"/>
        </w:rPr>
      </w:pPr>
    </w:p>
    <w:p w:rsidR="00E669F2" w:rsidRDefault="00126F89">
      <w:pPr>
        <w:keepLines/>
        <w:spacing w:line="360" w:lineRule="auto"/>
        <w:ind w:left="100" w:right="134" w:firstLine="91"/>
        <w:jc w:val="both"/>
        <w:rPr>
          <w:b/>
          <w:bCs/>
          <w:sz w:val="24"/>
          <w:szCs w:val="24"/>
        </w:rPr>
      </w:pPr>
      <w:r>
        <w:rPr>
          <w:b/>
          <w:bCs/>
          <w:sz w:val="24"/>
          <w:szCs w:val="24"/>
        </w:rPr>
        <w:t>LIMITATIONS:</w:t>
      </w:r>
    </w:p>
    <w:p w:rsidR="00E669F2" w:rsidRDefault="00126F89">
      <w:pPr>
        <w:keepLines/>
        <w:spacing w:line="360" w:lineRule="auto"/>
        <w:ind w:left="100" w:right="134" w:firstLine="91"/>
        <w:jc w:val="both"/>
        <w:rPr>
          <w:sz w:val="24"/>
          <w:szCs w:val="24"/>
        </w:rPr>
      </w:pPr>
      <w:r>
        <w:rPr>
          <w:sz w:val="24"/>
          <w:szCs w:val="24"/>
        </w:rPr>
        <w:t>1.Cross-sectional study design: The observational study design of this research makes</w:t>
      </w:r>
      <w:r>
        <w:rPr>
          <w:sz w:val="24"/>
          <w:szCs w:val="24"/>
        </w:rPr>
        <w:t xml:space="preserve"> it impossible to establish any causal relationship between hypertension and oral manifestations. Although certain associations were found, it is impossible to establish whether hypertension or medications were the direct cause of the noted oral manifestat</w:t>
      </w:r>
      <w:r>
        <w:rPr>
          <w:sz w:val="24"/>
          <w:szCs w:val="24"/>
        </w:rPr>
        <w:t>ions.</w:t>
      </w:r>
    </w:p>
    <w:p w:rsidR="00E669F2" w:rsidRDefault="00E669F2">
      <w:pPr>
        <w:keepLines/>
        <w:spacing w:line="360" w:lineRule="auto"/>
        <w:ind w:left="100" w:right="134" w:firstLine="91"/>
        <w:jc w:val="both"/>
        <w:rPr>
          <w:sz w:val="24"/>
          <w:szCs w:val="24"/>
        </w:rPr>
      </w:pPr>
    </w:p>
    <w:p w:rsidR="00E669F2" w:rsidRDefault="00126F89">
      <w:pPr>
        <w:keepLines/>
        <w:spacing w:line="360" w:lineRule="auto"/>
        <w:ind w:left="100" w:right="134" w:firstLine="91"/>
        <w:jc w:val="both"/>
        <w:rPr>
          <w:sz w:val="24"/>
          <w:szCs w:val="24"/>
        </w:rPr>
      </w:pPr>
      <w:r>
        <w:rPr>
          <w:sz w:val="24"/>
          <w:szCs w:val="24"/>
        </w:rPr>
        <w:t xml:space="preserve">2.Sample size and generalizability: The research included 100 patients from a private dental institute in </w:t>
      </w:r>
      <w:proofErr w:type="spellStart"/>
      <w:r>
        <w:rPr>
          <w:sz w:val="24"/>
          <w:szCs w:val="24"/>
        </w:rPr>
        <w:t>Melmaruvathur</w:t>
      </w:r>
      <w:proofErr w:type="spellEnd"/>
      <w:r>
        <w:rPr>
          <w:sz w:val="24"/>
          <w:szCs w:val="24"/>
        </w:rPr>
        <w:t>, which makes it impossible to generalize the results to other populations.</w:t>
      </w:r>
    </w:p>
    <w:p w:rsidR="00E669F2" w:rsidRDefault="00E669F2">
      <w:pPr>
        <w:keepLines/>
        <w:spacing w:line="360" w:lineRule="auto"/>
        <w:ind w:left="100" w:right="134" w:firstLine="91"/>
        <w:jc w:val="both"/>
        <w:rPr>
          <w:sz w:val="24"/>
          <w:szCs w:val="24"/>
        </w:rPr>
      </w:pPr>
    </w:p>
    <w:p w:rsidR="00E669F2" w:rsidRDefault="00126F89">
      <w:pPr>
        <w:keepLines/>
        <w:spacing w:line="360" w:lineRule="auto"/>
        <w:ind w:left="100" w:right="134" w:firstLine="91"/>
        <w:jc w:val="both"/>
        <w:rPr>
          <w:sz w:val="24"/>
          <w:szCs w:val="24"/>
        </w:rPr>
      </w:pPr>
      <w:r>
        <w:rPr>
          <w:sz w:val="24"/>
          <w:szCs w:val="24"/>
        </w:rPr>
        <w:t>3.Lifestyle and behavioral considerations: The resear</w:t>
      </w:r>
      <w:r>
        <w:rPr>
          <w:sz w:val="24"/>
          <w:szCs w:val="24"/>
        </w:rPr>
        <w:t>ch did not consider variables such as smoking, alcohol intake, diet, oral hygiene habits, and stress levels, which are known to affect both hypertension and oral health.</w:t>
      </w:r>
    </w:p>
    <w:p w:rsidR="00E669F2" w:rsidRDefault="00E669F2">
      <w:pPr>
        <w:keepLines/>
        <w:spacing w:line="360" w:lineRule="auto"/>
        <w:ind w:left="100" w:right="134" w:firstLine="91"/>
        <w:jc w:val="both"/>
        <w:rPr>
          <w:sz w:val="24"/>
          <w:szCs w:val="24"/>
        </w:rPr>
      </w:pPr>
    </w:p>
    <w:p w:rsidR="00E669F2" w:rsidRDefault="00126F89">
      <w:pPr>
        <w:keepLines/>
        <w:spacing w:line="360" w:lineRule="auto"/>
        <w:ind w:left="100" w:right="134" w:firstLine="91"/>
        <w:jc w:val="both"/>
        <w:rPr>
          <w:sz w:val="24"/>
          <w:szCs w:val="24"/>
        </w:rPr>
      </w:pPr>
      <w:r>
        <w:rPr>
          <w:sz w:val="24"/>
          <w:szCs w:val="24"/>
        </w:rPr>
        <w:t>4.Variability in medications: Patients took different antihypertensive medications, both alone and in combination, but the study did not consider the oral manifestations in relation to different classes of medications and dosages, which could affect the pr</w:t>
      </w:r>
      <w:r>
        <w:rPr>
          <w:sz w:val="24"/>
          <w:szCs w:val="24"/>
        </w:rPr>
        <w:t>evalence of oral side effects.</w:t>
      </w:r>
    </w:p>
    <w:p w:rsidR="00E669F2" w:rsidRDefault="00E669F2">
      <w:pPr>
        <w:keepLines/>
        <w:spacing w:line="360" w:lineRule="auto"/>
        <w:ind w:left="100" w:right="134" w:firstLine="91"/>
        <w:jc w:val="both"/>
        <w:rPr>
          <w:sz w:val="24"/>
          <w:szCs w:val="24"/>
        </w:rPr>
      </w:pPr>
    </w:p>
    <w:p w:rsidR="00E669F2" w:rsidRDefault="00126F89">
      <w:pPr>
        <w:keepLines/>
        <w:spacing w:line="360" w:lineRule="auto"/>
        <w:ind w:left="100" w:right="134" w:firstLine="91"/>
        <w:jc w:val="both"/>
        <w:rPr>
          <w:sz w:val="24"/>
          <w:szCs w:val="24"/>
        </w:rPr>
      </w:pPr>
      <w:r>
        <w:rPr>
          <w:sz w:val="24"/>
          <w:szCs w:val="24"/>
        </w:rPr>
        <w:t>5.Self-reported salivary symptoms: The study measured hyposalivation through patient questionnaires, which may be prone to reporting bias, as it did not measure salivary flow.</w:t>
      </w:r>
    </w:p>
    <w:p w:rsidR="00E669F2" w:rsidRDefault="00126F89">
      <w:pPr>
        <w:keepLines/>
        <w:spacing w:line="360" w:lineRule="auto"/>
        <w:ind w:right="134"/>
        <w:jc w:val="both"/>
        <w:rPr>
          <w:sz w:val="24"/>
          <w:szCs w:val="24"/>
        </w:rPr>
      </w:pPr>
      <w:r>
        <w:rPr>
          <w:sz w:val="24"/>
          <w:szCs w:val="24"/>
        </w:rPr>
        <w:t>6.Lack of longitudinal follow-up: Without longit</w:t>
      </w:r>
      <w:r>
        <w:rPr>
          <w:sz w:val="24"/>
          <w:szCs w:val="24"/>
        </w:rPr>
        <w:t>udinal follow-up, it was not possible to assess the progression or resolution of the oral manifestations over time, especially in relation to changes in the control of hypertension or changes in medications.</w:t>
      </w:r>
    </w:p>
    <w:p w:rsidR="00E669F2" w:rsidRDefault="00E669F2">
      <w:pPr>
        <w:keepLines/>
        <w:spacing w:line="360" w:lineRule="auto"/>
        <w:ind w:left="100" w:right="134" w:firstLine="91"/>
        <w:jc w:val="both"/>
        <w:rPr>
          <w:sz w:val="24"/>
          <w:szCs w:val="24"/>
        </w:rPr>
      </w:pPr>
    </w:p>
    <w:p w:rsidR="00E669F2" w:rsidRDefault="00126F89">
      <w:pPr>
        <w:keepLines/>
        <w:spacing w:line="360" w:lineRule="auto"/>
        <w:jc w:val="both"/>
        <w:rPr>
          <w:b/>
          <w:bCs/>
          <w:highlight w:val="yellow"/>
        </w:rPr>
      </w:pPr>
      <w:r>
        <w:rPr>
          <w:b/>
          <w:bCs/>
          <w:highlight w:val="yellow"/>
        </w:rPr>
        <w:t>Disclaimer (Artificial intelligence)</w:t>
      </w:r>
    </w:p>
    <w:p w:rsidR="00E669F2" w:rsidRDefault="00126F89">
      <w:pPr>
        <w:keepLines/>
        <w:spacing w:line="360" w:lineRule="auto"/>
        <w:jc w:val="both"/>
        <w:rPr>
          <w:highlight w:val="yellow"/>
        </w:rPr>
      </w:pPr>
      <w:r>
        <w:rPr>
          <w:highlight w:val="yellow"/>
        </w:rPr>
        <w:t xml:space="preserve">Author(s) </w:t>
      </w:r>
      <w:r>
        <w:rPr>
          <w:highlight w:val="yellow"/>
        </w:rPr>
        <w:t>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E669F2" w:rsidRDefault="00E669F2">
      <w:pPr>
        <w:keepLines/>
        <w:spacing w:before="3" w:line="360" w:lineRule="auto"/>
        <w:jc w:val="both"/>
        <w:rPr>
          <w:sz w:val="19"/>
          <w:szCs w:val="19"/>
        </w:rPr>
      </w:pPr>
      <w:bookmarkStart w:id="0" w:name="_wkgb263hq1mu" w:colFirst="0" w:colLast="0"/>
      <w:bookmarkEnd w:id="0"/>
    </w:p>
    <w:p w:rsidR="00E669F2" w:rsidRDefault="00E669F2">
      <w:pPr>
        <w:keepLines/>
        <w:spacing w:line="360" w:lineRule="auto"/>
        <w:jc w:val="both"/>
      </w:pPr>
    </w:p>
    <w:p w:rsidR="00E669F2" w:rsidRDefault="00126F89">
      <w:pPr>
        <w:keepLines/>
        <w:spacing w:line="360" w:lineRule="auto"/>
        <w:ind w:left="115" w:right="7905"/>
        <w:jc w:val="both"/>
        <w:rPr>
          <w:sz w:val="24"/>
          <w:szCs w:val="24"/>
        </w:rPr>
      </w:pPr>
      <w:r>
        <w:rPr>
          <w:b/>
          <w:bCs/>
          <w:sz w:val="24"/>
          <w:szCs w:val="24"/>
        </w:rPr>
        <w:t>REFERENCE:</w:t>
      </w:r>
    </w:p>
    <w:p w:rsidR="00E669F2" w:rsidRDefault="00E669F2">
      <w:pPr>
        <w:keepLines/>
        <w:spacing w:before="6" w:line="360" w:lineRule="auto"/>
        <w:jc w:val="both"/>
        <w:rPr>
          <w:sz w:val="17"/>
          <w:szCs w:val="17"/>
        </w:rPr>
      </w:pPr>
    </w:p>
    <w:p w:rsidR="00E669F2" w:rsidRDefault="00E669F2">
      <w:pPr>
        <w:keepLines/>
        <w:spacing w:line="360" w:lineRule="auto"/>
        <w:jc w:val="both"/>
      </w:pPr>
    </w:p>
    <w:p w:rsidR="00E669F2" w:rsidRDefault="00126F89">
      <w:pPr>
        <w:keepLines/>
        <w:spacing w:line="360" w:lineRule="auto"/>
        <w:ind w:left="821" w:right="86" w:hanging="361"/>
        <w:jc w:val="both"/>
        <w:rPr>
          <w:sz w:val="24"/>
          <w:szCs w:val="24"/>
        </w:rPr>
      </w:pPr>
      <w:r>
        <w:rPr>
          <w:rFonts w:ascii="Arial" w:eastAsia="Arial" w:hAnsi="Arial" w:cs="Arial"/>
          <w:sz w:val="24"/>
          <w:szCs w:val="24"/>
        </w:rPr>
        <w:t xml:space="preserve">1.  </w:t>
      </w:r>
      <w:r>
        <w:rPr>
          <w:b/>
          <w:bCs/>
          <w:sz w:val="24"/>
          <w:szCs w:val="24"/>
        </w:rPr>
        <w:t xml:space="preserve">Kumar P, </w:t>
      </w:r>
      <w:proofErr w:type="spellStart"/>
      <w:r>
        <w:rPr>
          <w:b/>
          <w:bCs/>
          <w:sz w:val="24"/>
          <w:szCs w:val="24"/>
        </w:rPr>
        <w:t>Mastan</w:t>
      </w:r>
      <w:proofErr w:type="spellEnd"/>
      <w:r>
        <w:rPr>
          <w:b/>
          <w:bCs/>
          <w:sz w:val="24"/>
          <w:szCs w:val="24"/>
        </w:rPr>
        <w:t xml:space="preserve"> KMK, Chowdhary R, Shanmugam K. Oral manifestations in hypertensive patients: a clinical study. J Oral </w:t>
      </w:r>
      <w:proofErr w:type="spellStart"/>
      <w:r>
        <w:rPr>
          <w:b/>
          <w:bCs/>
          <w:sz w:val="24"/>
          <w:szCs w:val="24"/>
        </w:rPr>
        <w:t>Maxillofac</w:t>
      </w:r>
      <w:proofErr w:type="spellEnd"/>
      <w:r>
        <w:rPr>
          <w:b/>
          <w:bCs/>
          <w:sz w:val="24"/>
          <w:szCs w:val="24"/>
        </w:rPr>
        <w:t xml:space="preserve"> </w:t>
      </w:r>
      <w:proofErr w:type="spellStart"/>
      <w:r>
        <w:rPr>
          <w:b/>
          <w:bCs/>
          <w:sz w:val="24"/>
          <w:szCs w:val="24"/>
        </w:rPr>
        <w:t>Pathol</w:t>
      </w:r>
      <w:proofErr w:type="spellEnd"/>
      <w:r>
        <w:rPr>
          <w:b/>
          <w:bCs/>
          <w:sz w:val="24"/>
          <w:szCs w:val="24"/>
        </w:rPr>
        <w:t>. 2012;16(2):215-221.</w:t>
      </w:r>
    </w:p>
    <w:p w:rsidR="00E669F2" w:rsidRDefault="00E669F2">
      <w:pPr>
        <w:keepLines/>
        <w:spacing w:line="360" w:lineRule="auto"/>
        <w:jc w:val="both"/>
      </w:pPr>
    </w:p>
    <w:p w:rsidR="00E669F2" w:rsidRDefault="00E669F2">
      <w:pPr>
        <w:keepLines/>
        <w:spacing w:before="18" w:line="360" w:lineRule="auto"/>
        <w:jc w:val="both"/>
      </w:pPr>
    </w:p>
    <w:p w:rsidR="00E669F2" w:rsidRDefault="00126F89">
      <w:pPr>
        <w:keepLines/>
        <w:spacing w:line="360" w:lineRule="auto"/>
        <w:ind w:left="460"/>
        <w:jc w:val="both"/>
        <w:rPr>
          <w:b/>
          <w:bCs/>
          <w:sz w:val="24"/>
          <w:szCs w:val="24"/>
        </w:rPr>
      </w:pPr>
      <w:r>
        <w:rPr>
          <w:rFonts w:ascii="Arial" w:eastAsia="Arial" w:hAnsi="Arial" w:cs="Arial"/>
          <w:sz w:val="24"/>
          <w:szCs w:val="24"/>
        </w:rPr>
        <w:t xml:space="preserve">2.  </w:t>
      </w:r>
      <w:r>
        <w:rPr>
          <w:b/>
          <w:bCs/>
          <w:sz w:val="24"/>
          <w:szCs w:val="24"/>
        </w:rPr>
        <w:t xml:space="preserve">Krishna </w:t>
      </w:r>
      <w:proofErr w:type="spellStart"/>
      <w:r>
        <w:rPr>
          <w:b/>
          <w:bCs/>
          <w:sz w:val="24"/>
          <w:szCs w:val="24"/>
        </w:rPr>
        <w:t>Veni</w:t>
      </w:r>
      <w:proofErr w:type="spellEnd"/>
      <w:r>
        <w:rPr>
          <w:b/>
          <w:bCs/>
          <w:sz w:val="24"/>
          <w:szCs w:val="24"/>
        </w:rPr>
        <w:t xml:space="preserve"> Sankar, </w:t>
      </w:r>
      <w:proofErr w:type="spellStart"/>
      <w:r>
        <w:rPr>
          <w:b/>
          <w:bCs/>
          <w:sz w:val="24"/>
          <w:szCs w:val="24"/>
        </w:rPr>
        <w:t>Jayakarthik</w:t>
      </w:r>
      <w:proofErr w:type="spellEnd"/>
      <w:r>
        <w:rPr>
          <w:b/>
          <w:bCs/>
          <w:sz w:val="24"/>
          <w:szCs w:val="24"/>
        </w:rPr>
        <w:t xml:space="preserve"> SS, </w:t>
      </w:r>
      <w:proofErr w:type="spellStart"/>
      <w:r>
        <w:rPr>
          <w:b/>
          <w:bCs/>
          <w:sz w:val="24"/>
          <w:szCs w:val="24"/>
        </w:rPr>
        <w:t>Mathumala</w:t>
      </w:r>
      <w:proofErr w:type="spellEnd"/>
      <w:r>
        <w:rPr>
          <w:b/>
          <w:bCs/>
          <w:sz w:val="24"/>
          <w:szCs w:val="24"/>
        </w:rPr>
        <w:t xml:space="preserve"> Subramanian, </w:t>
      </w:r>
      <w:proofErr w:type="spellStart"/>
      <w:r>
        <w:rPr>
          <w:b/>
          <w:bCs/>
          <w:sz w:val="24"/>
          <w:szCs w:val="24"/>
        </w:rPr>
        <w:t>Arunchallam</w:t>
      </w:r>
      <w:proofErr w:type="spellEnd"/>
      <w:r>
        <w:rPr>
          <w:b/>
          <w:bCs/>
          <w:sz w:val="24"/>
          <w:szCs w:val="24"/>
        </w:rPr>
        <w:t xml:space="preserve"> M, Sathish Kumar M. O</w:t>
      </w:r>
      <w:r>
        <w:rPr>
          <w:b/>
          <w:bCs/>
          <w:sz w:val="24"/>
          <w:szCs w:val="24"/>
        </w:rPr>
        <w:t xml:space="preserve">ral manifestation of systemic disease: A review. </w:t>
      </w:r>
      <w:r>
        <w:rPr>
          <w:b/>
          <w:bCs/>
          <w:i/>
          <w:iCs/>
          <w:sz w:val="24"/>
          <w:szCs w:val="24"/>
        </w:rPr>
        <w:t xml:space="preserve">Int J </w:t>
      </w:r>
      <w:proofErr w:type="spellStart"/>
      <w:r>
        <w:rPr>
          <w:b/>
          <w:bCs/>
          <w:i/>
          <w:iCs/>
          <w:sz w:val="24"/>
          <w:szCs w:val="24"/>
        </w:rPr>
        <w:t>Creat</w:t>
      </w:r>
      <w:proofErr w:type="spellEnd"/>
      <w:r>
        <w:rPr>
          <w:b/>
          <w:bCs/>
          <w:i/>
          <w:iCs/>
          <w:sz w:val="24"/>
          <w:szCs w:val="24"/>
        </w:rPr>
        <w:t xml:space="preserve"> Res Thoughts</w:t>
      </w:r>
      <w:r>
        <w:rPr>
          <w:b/>
          <w:bCs/>
          <w:sz w:val="24"/>
          <w:szCs w:val="24"/>
        </w:rPr>
        <w:t>. 2025 Feb;13(2):c259.</w:t>
      </w:r>
    </w:p>
    <w:p w:rsidR="00E669F2" w:rsidRDefault="00E669F2">
      <w:pPr>
        <w:keepLines/>
        <w:spacing w:before="9" w:line="360" w:lineRule="auto"/>
        <w:jc w:val="both"/>
        <w:rPr>
          <w:b/>
          <w:bCs/>
          <w:sz w:val="14"/>
          <w:szCs w:val="14"/>
        </w:rPr>
      </w:pPr>
    </w:p>
    <w:p w:rsidR="00E669F2" w:rsidRDefault="00E669F2">
      <w:pPr>
        <w:keepLines/>
        <w:spacing w:line="360" w:lineRule="auto"/>
        <w:jc w:val="both"/>
      </w:pPr>
    </w:p>
    <w:p w:rsidR="00E669F2" w:rsidRDefault="00E669F2">
      <w:pPr>
        <w:keepLines/>
        <w:spacing w:line="360" w:lineRule="auto"/>
        <w:jc w:val="both"/>
      </w:pPr>
    </w:p>
    <w:p w:rsidR="00E669F2" w:rsidRDefault="00126F89">
      <w:pPr>
        <w:keepLines/>
        <w:spacing w:line="360" w:lineRule="auto"/>
        <w:ind w:left="821" w:right="82" w:hanging="361"/>
        <w:jc w:val="both"/>
        <w:rPr>
          <w:sz w:val="24"/>
          <w:szCs w:val="24"/>
        </w:rPr>
      </w:pPr>
      <w:r>
        <w:rPr>
          <w:rFonts w:ascii="Arial" w:eastAsia="Arial" w:hAnsi="Arial" w:cs="Arial"/>
          <w:sz w:val="24"/>
          <w:szCs w:val="24"/>
        </w:rPr>
        <w:t xml:space="preserve">3.  </w:t>
      </w:r>
      <w:proofErr w:type="spellStart"/>
      <w:r>
        <w:rPr>
          <w:b/>
          <w:bCs/>
          <w:sz w:val="24"/>
          <w:szCs w:val="24"/>
        </w:rPr>
        <w:t>Elmi</w:t>
      </w:r>
      <w:proofErr w:type="spellEnd"/>
      <w:r>
        <w:rPr>
          <w:b/>
          <w:bCs/>
          <w:sz w:val="24"/>
          <w:szCs w:val="24"/>
        </w:rPr>
        <w:t xml:space="preserve"> </w:t>
      </w:r>
      <w:proofErr w:type="spellStart"/>
      <w:r>
        <w:rPr>
          <w:b/>
          <w:bCs/>
          <w:sz w:val="24"/>
          <w:szCs w:val="24"/>
        </w:rPr>
        <w:t>Rankohi</w:t>
      </w:r>
      <w:proofErr w:type="spellEnd"/>
      <w:r>
        <w:rPr>
          <w:b/>
          <w:bCs/>
          <w:sz w:val="24"/>
          <w:szCs w:val="24"/>
        </w:rPr>
        <w:t xml:space="preserve"> Z, </w:t>
      </w:r>
      <w:proofErr w:type="spellStart"/>
      <w:r>
        <w:rPr>
          <w:b/>
          <w:bCs/>
          <w:sz w:val="24"/>
          <w:szCs w:val="24"/>
        </w:rPr>
        <w:t>Shabanian</w:t>
      </w:r>
      <w:proofErr w:type="spellEnd"/>
      <w:r>
        <w:rPr>
          <w:b/>
          <w:bCs/>
          <w:sz w:val="24"/>
          <w:szCs w:val="24"/>
        </w:rPr>
        <w:t xml:space="preserve"> M, </w:t>
      </w:r>
      <w:proofErr w:type="spellStart"/>
      <w:r>
        <w:rPr>
          <w:b/>
          <w:bCs/>
          <w:sz w:val="24"/>
          <w:szCs w:val="24"/>
        </w:rPr>
        <w:t>Maleki</w:t>
      </w:r>
      <w:proofErr w:type="spellEnd"/>
      <w:r>
        <w:rPr>
          <w:b/>
          <w:bCs/>
          <w:sz w:val="24"/>
          <w:szCs w:val="24"/>
        </w:rPr>
        <w:t xml:space="preserve"> D. Oral manifestations of patients taking anti- hypertensive medications. J Islam Dent Assoc Iran. 2020;32(3-4):83-88</w:t>
      </w:r>
      <w:r>
        <w:rPr>
          <w:b/>
          <w:bCs/>
          <w:sz w:val="24"/>
          <w:szCs w:val="24"/>
        </w:rPr>
        <w:t>.</w:t>
      </w:r>
    </w:p>
    <w:p w:rsidR="00E669F2" w:rsidRDefault="00E669F2">
      <w:pPr>
        <w:keepLines/>
        <w:spacing w:line="360" w:lineRule="auto"/>
        <w:jc w:val="both"/>
      </w:pPr>
    </w:p>
    <w:p w:rsidR="00E669F2" w:rsidRDefault="00E669F2">
      <w:pPr>
        <w:keepLines/>
        <w:spacing w:before="18" w:line="360" w:lineRule="auto"/>
        <w:jc w:val="both"/>
      </w:pPr>
    </w:p>
    <w:p w:rsidR="00E669F2" w:rsidRDefault="00126F89">
      <w:pPr>
        <w:keepLines/>
        <w:spacing w:line="360" w:lineRule="auto"/>
        <w:ind w:left="821" w:right="72" w:hanging="361"/>
        <w:jc w:val="both"/>
        <w:rPr>
          <w:sz w:val="24"/>
          <w:szCs w:val="24"/>
        </w:rPr>
      </w:pPr>
      <w:r>
        <w:rPr>
          <w:rFonts w:ascii="Arial" w:eastAsia="Arial" w:hAnsi="Arial" w:cs="Arial"/>
          <w:sz w:val="24"/>
          <w:szCs w:val="24"/>
        </w:rPr>
        <w:t xml:space="preserve">4.  </w:t>
      </w:r>
      <w:proofErr w:type="spellStart"/>
      <w:r>
        <w:rPr>
          <w:b/>
          <w:bCs/>
          <w:sz w:val="24"/>
          <w:szCs w:val="24"/>
        </w:rPr>
        <w:t>Langari</w:t>
      </w:r>
      <w:proofErr w:type="spellEnd"/>
      <w:r>
        <w:rPr>
          <w:b/>
          <w:bCs/>
          <w:sz w:val="24"/>
          <w:szCs w:val="24"/>
        </w:rPr>
        <w:t xml:space="preserve"> SF, Hosseini SR, </w:t>
      </w:r>
      <w:proofErr w:type="spellStart"/>
      <w:r>
        <w:rPr>
          <w:b/>
          <w:bCs/>
          <w:sz w:val="24"/>
          <w:szCs w:val="24"/>
        </w:rPr>
        <w:t>Bijani</w:t>
      </w:r>
      <w:proofErr w:type="spellEnd"/>
      <w:r>
        <w:rPr>
          <w:b/>
          <w:bCs/>
          <w:sz w:val="24"/>
          <w:szCs w:val="24"/>
        </w:rPr>
        <w:t xml:space="preserve"> A, et al. Association between antihypertensive drugs and elderly's oral health-related quality of life. Caspian J Intern Med. 2022;13(3):582-</w:t>
      </w:r>
    </w:p>
    <w:p w:rsidR="00E669F2" w:rsidRDefault="00126F89">
      <w:pPr>
        <w:keepLines/>
        <w:spacing w:before="5" w:line="360" w:lineRule="auto"/>
        <w:ind w:left="821"/>
        <w:jc w:val="both"/>
        <w:rPr>
          <w:sz w:val="24"/>
          <w:szCs w:val="24"/>
        </w:rPr>
      </w:pPr>
      <w:r>
        <w:rPr>
          <w:b/>
          <w:bCs/>
          <w:sz w:val="24"/>
          <w:szCs w:val="24"/>
        </w:rPr>
        <w:t>588.</w:t>
      </w:r>
    </w:p>
    <w:p w:rsidR="00E669F2" w:rsidRDefault="00E669F2">
      <w:pPr>
        <w:keepLines/>
        <w:spacing w:before="3" w:line="360" w:lineRule="auto"/>
        <w:jc w:val="both"/>
        <w:rPr>
          <w:sz w:val="15"/>
          <w:szCs w:val="15"/>
        </w:rPr>
      </w:pPr>
    </w:p>
    <w:p w:rsidR="00E669F2" w:rsidRDefault="00E669F2">
      <w:pPr>
        <w:keepLines/>
        <w:spacing w:line="360" w:lineRule="auto"/>
        <w:jc w:val="both"/>
      </w:pPr>
    </w:p>
    <w:p w:rsidR="00E669F2" w:rsidRDefault="00E669F2">
      <w:pPr>
        <w:keepLines/>
        <w:spacing w:line="360" w:lineRule="auto"/>
        <w:jc w:val="both"/>
      </w:pPr>
    </w:p>
    <w:p w:rsidR="00E669F2" w:rsidRDefault="00126F89">
      <w:pPr>
        <w:keepLines/>
        <w:spacing w:line="360" w:lineRule="auto"/>
        <w:ind w:left="821" w:right="100" w:hanging="361"/>
        <w:jc w:val="both"/>
        <w:rPr>
          <w:sz w:val="24"/>
          <w:szCs w:val="24"/>
        </w:rPr>
      </w:pPr>
      <w:r>
        <w:rPr>
          <w:rFonts w:ascii="Arial" w:eastAsia="Arial" w:hAnsi="Arial" w:cs="Arial"/>
          <w:sz w:val="24"/>
          <w:szCs w:val="24"/>
        </w:rPr>
        <w:t xml:space="preserve">5.  </w:t>
      </w:r>
      <w:r>
        <w:rPr>
          <w:b/>
          <w:bCs/>
          <w:sz w:val="24"/>
          <w:szCs w:val="24"/>
        </w:rPr>
        <w:t xml:space="preserve">Graziani F, </w:t>
      </w:r>
      <w:proofErr w:type="spellStart"/>
      <w:r>
        <w:rPr>
          <w:b/>
          <w:bCs/>
          <w:sz w:val="24"/>
          <w:szCs w:val="24"/>
        </w:rPr>
        <w:t>Gennai</w:t>
      </w:r>
      <w:proofErr w:type="spellEnd"/>
      <w:r>
        <w:rPr>
          <w:b/>
          <w:bCs/>
          <w:sz w:val="24"/>
          <w:szCs w:val="24"/>
        </w:rPr>
        <w:t xml:space="preserve"> S, </w:t>
      </w:r>
      <w:proofErr w:type="spellStart"/>
      <w:r>
        <w:rPr>
          <w:b/>
          <w:bCs/>
          <w:sz w:val="24"/>
          <w:szCs w:val="24"/>
        </w:rPr>
        <w:t>Solini</w:t>
      </w:r>
      <w:proofErr w:type="spellEnd"/>
      <w:r>
        <w:rPr>
          <w:b/>
          <w:bCs/>
          <w:sz w:val="24"/>
          <w:szCs w:val="24"/>
        </w:rPr>
        <w:t xml:space="preserve"> A, </w:t>
      </w:r>
      <w:proofErr w:type="spellStart"/>
      <w:r>
        <w:rPr>
          <w:b/>
          <w:bCs/>
          <w:sz w:val="24"/>
          <w:szCs w:val="24"/>
        </w:rPr>
        <w:t>Petrini</w:t>
      </w:r>
      <w:proofErr w:type="spellEnd"/>
      <w:r>
        <w:rPr>
          <w:b/>
          <w:bCs/>
          <w:sz w:val="24"/>
          <w:szCs w:val="24"/>
        </w:rPr>
        <w:t xml:space="preserve"> M. A systematic review and meta-analysis of epidemiologic observational evidence on the effect of periodontitis on diabetes. J Clin </w:t>
      </w:r>
      <w:proofErr w:type="spellStart"/>
      <w:r>
        <w:rPr>
          <w:b/>
          <w:bCs/>
          <w:sz w:val="24"/>
          <w:szCs w:val="24"/>
        </w:rPr>
        <w:t>Periodontol</w:t>
      </w:r>
      <w:proofErr w:type="spellEnd"/>
      <w:r>
        <w:rPr>
          <w:b/>
          <w:bCs/>
          <w:sz w:val="24"/>
          <w:szCs w:val="24"/>
        </w:rPr>
        <w:t>. 2018;45(7):700-712</w:t>
      </w:r>
    </w:p>
    <w:p w:rsidR="00E669F2" w:rsidRDefault="00E669F2">
      <w:pPr>
        <w:keepLines/>
        <w:spacing w:line="360" w:lineRule="auto"/>
        <w:jc w:val="both"/>
      </w:pPr>
    </w:p>
    <w:p w:rsidR="00E669F2" w:rsidRDefault="00E669F2">
      <w:pPr>
        <w:keepLines/>
        <w:spacing w:before="2" w:line="360" w:lineRule="auto"/>
        <w:jc w:val="both"/>
        <w:rPr>
          <w:sz w:val="22"/>
          <w:szCs w:val="22"/>
        </w:rPr>
      </w:pPr>
    </w:p>
    <w:p w:rsidR="00E669F2" w:rsidRDefault="00126F89">
      <w:pPr>
        <w:keepLines/>
        <w:spacing w:line="360" w:lineRule="auto"/>
        <w:ind w:left="821" w:right="87" w:hanging="361"/>
        <w:jc w:val="both"/>
        <w:rPr>
          <w:sz w:val="24"/>
          <w:szCs w:val="24"/>
        </w:rPr>
        <w:sectPr w:rsidR="00E669F2">
          <w:pgSz w:w="12240" w:h="15840"/>
          <w:pgMar w:top="1280" w:right="1300" w:bottom="280" w:left="990" w:header="720" w:footer="720" w:gutter="0"/>
          <w:cols w:space="720"/>
        </w:sectPr>
      </w:pPr>
      <w:r>
        <w:rPr>
          <w:rFonts w:ascii="Arial" w:eastAsia="Arial" w:hAnsi="Arial" w:cs="Arial"/>
          <w:sz w:val="24"/>
          <w:szCs w:val="24"/>
        </w:rPr>
        <w:t>6</w:t>
      </w:r>
      <w:r>
        <w:rPr>
          <w:b/>
          <w:bCs/>
          <w:sz w:val="24"/>
          <w:szCs w:val="24"/>
        </w:rPr>
        <w:t xml:space="preserve">.Leong XF, Ng CY, </w:t>
      </w:r>
      <w:proofErr w:type="spellStart"/>
      <w:r>
        <w:rPr>
          <w:b/>
          <w:bCs/>
          <w:sz w:val="24"/>
          <w:szCs w:val="24"/>
        </w:rPr>
        <w:t>Badiah</w:t>
      </w:r>
      <w:proofErr w:type="spellEnd"/>
      <w:r>
        <w:rPr>
          <w:b/>
          <w:bCs/>
          <w:sz w:val="24"/>
          <w:szCs w:val="24"/>
        </w:rPr>
        <w:t xml:space="preserve"> B, Das S. Assoc</w:t>
      </w:r>
      <w:r>
        <w:rPr>
          <w:b/>
          <w:bCs/>
          <w:sz w:val="24"/>
          <w:szCs w:val="24"/>
        </w:rPr>
        <w:t xml:space="preserve">iation between hypertension and periodontitis: possible mechanisms. </w:t>
      </w:r>
      <w:proofErr w:type="spellStart"/>
      <w:r>
        <w:rPr>
          <w:b/>
          <w:bCs/>
          <w:i/>
          <w:iCs/>
          <w:sz w:val="24"/>
          <w:szCs w:val="24"/>
        </w:rPr>
        <w:t>ScientificWorldJournal</w:t>
      </w:r>
      <w:proofErr w:type="spellEnd"/>
      <w:r>
        <w:rPr>
          <w:b/>
          <w:bCs/>
          <w:sz w:val="24"/>
          <w:szCs w:val="24"/>
        </w:rPr>
        <w:t xml:space="preserve">. </w:t>
      </w:r>
      <w:proofErr w:type="gramStart"/>
      <w:r>
        <w:rPr>
          <w:b/>
          <w:bCs/>
          <w:sz w:val="24"/>
          <w:szCs w:val="24"/>
        </w:rPr>
        <w:t>2014;2014:768237</w:t>
      </w:r>
      <w:proofErr w:type="gramEnd"/>
      <w:r>
        <w:rPr>
          <w:rFonts w:ascii="Arial" w:eastAsia="Arial" w:hAnsi="Arial" w:cs="Arial"/>
          <w:sz w:val="24"/>
          <w:szCs w:val="24"/>
        </w:rPr>
        <w:t xml:space="preserve">. </w:t>
      </w:r>
      <w:r>
        <w:rPr>
          <w:rFonts w:ascii="Courier New" w:eastAsia="Courier New" w:hAnsi="Courier New" w:cs="Courier New"/>
          <w:color w:val="1B1B1B"/>
          <w:sz w:val="24"/>
          <w:szCs w:val="24"/>
          <w:highlight w:val="white"/>
        </w:rPr>
        <w:t>.</w:t>
      </w:r>
    </w:p>
    <w:p w:rsidR="00E669F2" w:rsidRDefault="00126F89">
      <w:pPr>
        <w:keepLines/>
        <w:spacing w:before="79" w:line="360" w:lineRule="auto"/>
        <w:ind w:left="461" w:right="87" w:hanging="361"/>
        <w:jc w:val="both"/>
        <w:rPr>
          <w:sz w:val="24"/>
          <w:szCs w:val="24"/>
        </w:rPr>
      </w:pPr>
      <w:r>
        <w:rPr>
          <w:rFonts w:ascii="Arial" w:eastAsia="Arial" w:hAnsi="Arial" w:cs="Arial"/>
          <w:sz w:val="24"/>
          <w:szCs w:val="24"/>
        </w:rPr>
        <w:lastRenderedPageBreak/>
        <w:t xml:space="preserve">7.  </w:t>
      </w:r>
      <w:r>
        <w:rPr>
          <w:b/>
          <w:bCs/>
          <w:sz w:val="24"/>
          <w:szCs w:val="24"/>
        </w:rPr>
        <w:t xml:space="preserve">Sanz M, Herrera D, </w:t>
      </w:r>
      <w:proofErr w:type="spellStart"/>
      <w:r>
        <w:rPr>
          <w:b/>
          <w:bCs/>
          <w:sz w:val="24"/>
          <w:szCs w:val="24"/>
        </w:rPr>
        <w:t>Kebschull</w:t>
      </w:r>
      <w:proofErr w:type="spellEnd"/>
      <w:r>
        <w:rPr>
          <w:b/>
          <w:bCs/>
          <w:sz w:val="24"/>
          <w:szCs w:val="24"/>
        </w:rPr>
        <w:t xml:space="preserve"> M, et al. Scientific evidence on the links between periodontal diseases and systemic diseases. J Clin </w:t>
      </w:r>
      <w:proofErr w:type="spellStart"/>
      <w:r>
        <w:rPr>
          <w:b/>
          <w:bCs/>
          <w:sz w:val="24"/>
          <w:szCs w:val="24"/>
        </w:rPr>
        <w:t>Periodontol</w:t>
      </w:r>
      <w:proofErr w:type="spellEnd"/>
      <w:r>
        <w:rPr>
          <w:b/>
          <w:bCs/>
          <w:sz w:val="24"/>
          <w:szCs w:val="24"/>
        </w:rPr>
        <w:t>. 2020;47(3):268–288.</w:t>
      </w:r>
    </w:p>
    <w:p w:rsidR="00E669F2" w:rsidRDefault="00E669F2">
      <w:pPr>
        <w:keepLines/>
        <w:spacing w:line="360" w:lineRule="auto"/>
        <w:jc w:val="both"/>
      </w:pPr>
    </w:p>
    <w:p w:rsidR="00E669F2" w:rsidRDefault="00E669F2">
      <w:pPr>
        <w:keepLines/>
        <w:spacing w:before="3" w:line="360" w:lineRule="auto"/>
        <w:jc w:val="both"/>
        <w:rPr>
          <w:sz w:val="22"/>
          <w:szCs w:val="22"/>
        </w:rPr>
      </w:pPr>
    </w:p>
    <w:p w:rsidR="00E669F2" w:rsidRDefault="00126F89">
      <w:pPr>
        <w:keepLines/>
        <w:spacing w:line="360" w:lineRule="auto"/>
        <w:ind w:left="461" w:right="77" w:hanging="361"/>
        <w:jc w:val="both"/>
        <w:rPr>
          <w:b/>
          <w:bCs/>
          <w:sz w:val="24"/>
          <w:szCs w:val="24"/>
        </w:rPr>
      </w:pPr>
      <w:r>
        <w:rPr>
          <w:rFonts w:ascii="Arial" w:eastAsia="Arial" w:hAnsi="Arial" w:cs="Arial"/>
          <w:sz w:val="24"/>
          <w:szCs w:val="24"/>
        </w:rPr>
        <w:t xml:space="preserve">8. </w:t>
      </w:r>
      <w:r>
        <w:rPr>
          <w:b/>
          <w:bCs/>
          <w:sz w:val="24"/>
          <w:szCs w:val="24"/>
        </w:rPr>
        <w:t xml:space="preserve">Zhao MJ, </w:t>
      </w:r>
      <w:proofErr w:type="spellStart"/>
      <w:r>
        <w:rPr>
          <w:b/>
          <w:bCs/>
          <w:sz w:val="24"/>
          <w:szCs w:val="24"/>
        </w:rPr>
        <w:t>Qiao</w:t>
      </w:r>
      <w:proofErr w:type="spellEnd"/>
      <w:r>
        <w:rPr>
          <w:b/>
          <w:bCs/>
          <w:sz w:val="24"/>
          <w:szCs w:val="24"/>
        </w:rPr>
        <w:t xml:space="preserve"> YX, Wu L, Huang Q, Li BH, Zeng XT. Periodontal disease is associated with increased risk of hypertension: a cross-sectional study. </w:t>
      </w:r>
      <w:r>
        <w:rPr>
          <w:b/>
          <w:bCs/>
          <w:i/>
          <w:iCs/>
          <w:sz w:val="24"/>
          <w:szCs w:val="24"/>
        </w:rPr>
        <w:t>Front Physiol</w:t>
      </w:r>
      <w:r>
        <w:rPr>
          <w:b/>
          <w:bCs/>
          <w:sz w:val="24"/>
          <w:szCs w:val="24"/>
        </w:rPr>
        <w:t xml:space="preserve">. </w:t>
      </w:r>
      <w:proofErr w:type="gramStart"/>
      <w:r>
        <w:rPr>
          <w:b/>
          <w:bCs/>
          <w:sz w:val="24"/>
          <w:szCs w:val="24"/>
        </w:rPr>
        <w:t>2019;10:440</w:t>
      </w:r>
      <w:proofErr w:type="gramEnd"/>
      <w:r>
        <w:rPr>
          <w:b/>
          <w:bCs/>
          <w:sz w:val="24"/>
          <w:szCs w:val="24"/>
        </w:rPr>
        <w:t xml:space="preserve">. </w:t>
      </w:r>
    </w:p>
    <w:p w:rsidR="00E669F2" w:rsidRDefault="00E669F2">
      <w:pPr>
        <w:keepLines/>
        <w:spacing w:line="360" w:lineRule="auto"/>
        <w:jc w:val="both"/>
      </w:pPr>
    </w:p>
    <w:p w:rsidR="00E669F2" w:rsidRDefault="00E669F2">
      <w:pPr>
        <w:keepLines/>
        <w:spacing w:before="2" w:line="360" w:lineRule="auto"/>
        <w:jc w:val="both"/>
        <w:rPr>
          <w:sz w:val="22"/>
          <w:szCs w:val="22"/>
        </w:rPr>
      </w:pPr>
    </w:p>
    <w:p w:rsidR="00E669F2" w:rsidRDefault="00126F89">
      <w:pPr>
        <w:keepLines/>
        <w:spacing w:line="360" w:lineRule="auto"/>
        <w:ind w:left="461" w:right="86" w:hanging="361"/>
        <w:jc w:val="both"/>
        <w:rPr>
          <w:b/>
          <w:bCs/>
        </w:rPr>
      </w:pPr>
      <w:r>
        <w:rPr>
          <w:rFonts w:ascii="Arial" w:eastAsia="Arial" w:hAnsi="Arial" w:cs="Arial"/>
          <w:sz w:val="24"/>
          <w:szCs w:val="24"/>
        </w:rPr>
        <w:t xml:space="preserve">9. </w:t>
      </w:r>
      <w:r>
        <w:rPr>
          <w:b/>
          <w:bCs/>
          <w:sz w:val="24"/>
          <w:szCs w:val="24"/>
        </w:rPr>
        <w:t xml:space="preserve"> </w:t>
      </w:r>
      <w:proofErr w:type="spellStart"/>
      <w:r>
        <w:rPr>
          <w:b/>
          <w:bCs/>
          <w:sz w:val="24"/>
          <w:szCs w:val="24"/>
        </w:rPr>
        <w:t>Tonetti</w:t>
      </w:r>
      <w:proofErr w:type="spellEnd"/>
      <w:r>
        <w:rPr>
          <w:b/>
          <w:bCs/>
          <w:sz w:val="24"/>
          <w:szCs w:val="24"/>
        </w:rPr>
        <w:t xml:space="preserve"> MS, Jepsen S, </w:t>
      </w:r>
      <w:proofErr w:type="spellStart"/>
      <w:r>
        <w:rPr>
          <w:b/>
          <w:bCs/>
          <w:sz w:val="24"/>
          <w:szCs w:val="24"/>
        </w:rPr>
        <w:t>Jin</w:t>
      </w:r>
      <w:proofErr w:type="spellEnd"/>
      <w:r>
        <w:rPr>
          <w:b/>
          <w:bCs/>
          <w:sz w:val="24"/>
          <w:szCs w:val="24"/>
        </w:rPr>
        <w:t xml:space="preserve"> L, </w:t>
      </w:r>
      <w:proofErr w:type="spellStart"/>
      <w:r>
        <w:rPr>
          <w:b/>
          <w:bCs/>
          <w:sz w:val="24"/>
          <w:szCs w:val="24"/>
        </w:rPr>
        <w:t>Otomo-Corgel</w:t>
      </w:r>
      <w:proofErr w:type="spellEnd"/>
      <w:r>
        <w:rPr>
          <w:b/>
          <w:bCs/>
          <w:sz w:val="24"/>
          <w:szCs w:val="24"/>
        </w:rPr>
        <w:t xml:space="preserve"> J. Impact of the global burden of </w:t>
      </w:r>
      <w:r>
        <w:rPr>
          <w:b/>
          <w:bCs/>
          <w:sz w:val="24"/>
          <w:szCs w:val="24"/>
        </w:rPr>
        <w:t xml:space="preserve">periodontal diseases on health, nutrition and wellbeing of mankind: a call for global action. </w:t>
      </w:r>
      <w:r>
        <w:rPr>
          <w:b/>
          <w:bCs/>
          <w:i/>
          <w:iCs/>
          <w:sz w:val="24"/>
          <w:szCs w:val="24"/>
        </w:rPr>
        <w:t xml:space="preserve">J Clin </w:t>
      </w:r>
      <w:proofErr w:type="spellStart"/>
      <w:r>
        <w:rPr>
          <w:b/>
          <w:bCs/>
          <w:i/>
          <w:iCs/>
          <w:sz w:val="24"/>
          <w:szCs w:val="24"/>
        </w:rPr>
        <w:t>Periodontol</w:t>
      </w:r>
      <w:proofErr w:type="spellEnd"/>
      <w:r>
        <w:rPr>
          <w:b/>
          <w:bCs/>
          <w:sz w:val="24"/>
          <w:szCs w:val="24"/>
        </w:rPr>
        <w:t>. 2017 May;44(5):456-462.</w:t>
      </w:r>
    </w:p>
    <w:p w:rsidR="00E669F2" w:rsidRDefault="00E669F2">
      <w:pPr>
        <w:keepLines/>
        <w:spacing w:before="7" w:line="360" w:lineRule="auto"/>
        <w:jc w:val="both"/>
        <w:rPr>
          <w:sz w:val="22"/>
          <w:szCs w:val="22"/>
        </w:rPr>
      </w:pPr>
    </w:p>
    <w:p w:rsidR="00E669F2" w:rsidRDefault="00126F89">
      <w:pPr>
        <w:keepLines/>
        <w:spacing w:line="360" w:lineRule="auto"/>
        <w:ind w:left="461" w:right="78" w:hanging="361"/>
        <w:jc w:val="both"/>
        <w:rPr>
          <w:b/>
          <w:bCs/>
          <w:sz w:val="24"/>
          <w:szCs w:val="24"/>
        </w:rPr>
      </w:pPr>
      <w:r>
        <w:rPr>
          <w:rFonts w:ascii="Arial" w:eastAsia="Arial" w:hAnsi="Arial" w:cs="Arial"/>
          <w:sz w:val="24"/>
          <w:szCs w:val="24"/>
        </w:rPr>
        <w:t xml:space="preserve">10. </w:t>
      </w:r>
      <w:r>
        <w:rPr>
          <w:b/>
          <w:bCs/>
          <w:sz w:val="24"/>
          <w:szCs w:val="24"/>
        </w:rPr>
        <w:t>Ellis JS, Seymour RA, Steele JG, Robertson P, Butler TJ, Thomason JM. Prevalence of gingival overgrowth induced b</w:t>
      </w:r>
      <w:r>
        <w:rPr>
          <w:b/>
          <w:bCs/>
          <w:sz w:val="24"/>
          <w:szCs w:val="24"/>
        </w:rPr>
        <w:t xml:space="preserve">y calcium channel blockers: a community-based study. </w:t>
      </w:r>
      <w:r>
        <w:rPr>
          <w:b/>
          <w:bCs/>
          <w:i/>
          <w:iCs/>
          <w:sz w:val="24"/>
          <w:szCs w:val="24"/>
        </w:rPr>
        <w:t xml:space="preserve">J </w:t>
      </w:r>
      <w:proofErr w:type="spellStart"/>
      <w:r>
        <w:rPr>
          <w:b/>
          <w:bCs/>
          <w:i/>
          <w:iCs/>
          <w:sz w:val="24"/>
          <w:szCs w:val="24"/>
        </w:rPr>
        <w:t>Periodontol</w:t>
      </w:r>
      <w:proofErr w:type="spellEnd"/>
      <w:r>
        <w:rPr>
          <w:b/>
          <w:bCs/>
          <w:sz w:val="24"/>
          <w:szCs w:val="24"/>
        </w:rPr>
        <w:t>. 1999;70(1):63-67.</w:t>
      </w:r>
    </w:p>
    <w:p w:rsidR="00E669F2" w:rsidRDefault="00E669F2">
      <w:pPr>
        <w:keepLines/>
        <w:spacing w:line="360" w:lineRule="auto"/>
        <w:jc w:val="both"/>
      </w:pPr>
    </w:p>
    <w:p w:rsidR="00E669F2" w:rsidRDefault="00E669F2">
      <w:pPr>
        <w:keepLines/>
        <w:spacing w:before="7" w:line="360" w:lineRule="auto"/>
        <w:jc w:val="both"/>
        <w:rPr>
          <w:sz w:val="22"/>
          <w:szCs w:val="22"/>
        </w:rPr>
      </w:pPr>
    </w:p>
    <w:p w:rsidR="00E669F2" w:rsidRDefault="00126F89">
      <w:pPr>
        <w:keepLines/>
        <w:spacing w:line="360" w:lineRule="auto"/>
        <w:ind w:left="461" w:right="82" w:hanging="361"/>
        <w:jc w:val="both"/>
        <w:rPr>
          <w:b/>
          <w:bCs/>
          <w:sz w:val="24"/>
          <w:szCs w:val="24"/>
        </w:rPr>
      </w:pPr>
      <w:r>
        <w:rPr>
          <w:rFonts w:ascii="Arial" w:eastAsia="Arial" w:hAnsi="Arial" w:cs="Arial"/>
          <w:sz w:val="24"/>
          <w:szCs w:val="24"/>
        </w:rPr>
        <w:t xml:space="preserve">11. </w:t>
      </w:r>
      <w:r>
        <w:rPr>
          <w:b/>
          <w:bCs/>
          <w:sz w:val="24"/>
          <w:szCs w:val="24"/>
        </w:rPr>
        <w:t>Ramírez Martínez-</w:t>
      </w:r>
      <w:proofErr w:type="spellStart"/>
      <w:r>
        <w:rPr>
          <w:b/>
          <w:bCs/>
          <w:sz w:val="24"/>
          <w:szCs w:val="24"/>
        </w:rPr>
        <w:t>Acitores</w:t>
      </w:r>
      <w:proofErr w:type="spellEnd"/>
      <w:r>
        <w:rPr>
          <w:b/>
          <w:bCs/>
          <w:sz w:val="24"/>
          <w:szCs w:val="24"/>
        </w:rPr>
        <w:t xml:space="preserve"> L, Hernández Ruiz de </w:t>
      </w:r>
      <w:proofErr w:type="spellStart"/>
      <w:r>
        <w:rPr>
          <w:b/>
          <w:bCs/>
          <w:sz w:val="24"/>
          <w:szCs w:val="24"/>
        </w:rPr>
        <w:t>Azcárate</w:t>
      </w:r>
      <w:proofErr w:type="spellEnd"/>
      <w:r>
        <w:rPr>
          <w:b/>
          <w:bCs/>
          <w:sz w:val="24"/>
          <w:szCs w:val="24"/>
        </w:rPr>
        <w:t xml:space="preserve"> F, </w:t>
      </w:r>
      <w:proofErr w:type="spellStart"/>
      <w:r>
        <w:rPr>
          <w:b/>
          <w:bCs/>
          <w:sz w:val="24"/>
          <w:szCs w:val="24"/>
        </w:rPr>
        <w:t>Casañas</w:t>
      </w:r>
      <w:proofErr w:type="spellEnd"/>
      <w:r>
        <w:rPr>
          <w:b/>
          <w:bCs/>
          <w:sz w:val="24"/>
          <w:szCs w:val="24"/>
        </w:rPr>
        <w:t xml:space="preserve"> E, Serrano J, Hernández G, López-</w:t>
      </w:r>
      <w:proofErr w:type="spellStart"/>
      <w:r>
        <w:rPr>
          <w:b/>
          <w:bCs/>
          <w:sz w:val="24"/>
          <w:szCs w:val="24"/>
        </w:rPr>
        <w:t>Pintor</w:t>
      </w:r>
      <w:proofErr w:type="spellEnd"/>
      <w:r>
        <w:rPr>
          <w:b/>
          <w:bCs/>
          <w:sz w:val="24"/>
          <w:szCs w:val="24"/>
        </w:rPr>
        <w:t xml:space="preserve"> RM. Xerostomia and salivary flow in patients taking antih</w:t>
      </w:r>
      <w:r>
        <w:rPr>
          <w:b/>
          <w:bCs/>
          <w:sz w:val="24"/>
          <w:szCs w:val="24"/>
        </w:rPr>
        <w:t xml:space="preserve">ypertensive drugs. </w:t>
      </w:r>
      <w:r>
        <w:rPr>
          <w:b/>
          <w:bCs/>
          <w:i/>
          <w:iCs/>
          <w:sz w:val="24"/>
          <w:szCs w:val="24"/>
        </w:rPr>
        <w:t>Int J Environ Res Public Health</w:t>
      </w:r>
      <w:r>
        <w:rPr>
          <w:b/>
          <w:bCs/>
          <w:sz w:val="24"/>
          <w:szCs w:val="24"/>
        </w:rPr>
        <w:t>. 2020 Apr 5;17(7):2478</w:t>
      </w:r>
    </w:p>
    <w:p w:rsidR="00E669F2" w:rsidRDefault="00E669F2">
      <w:pPr>
        <w:keepLines/>
        <w:spacing w:line="360" w:lineRule="auto"/>
        <w:jc w:val="both"/>
      </w:pPr>
    </w:p>
    <w:p w:rsidR="00E669F2" w:rsidRDefault="00E669F2">
      <w:pPr>
        <w:keepLines/>
        <w:spacing w:before="7" w:line="360" w:lineRule="auto"/>
        <w:jc w:val="both"/>
        <w:rPr>
          <w:sz w:val="22"/>
          <w:szCs w:val="22"/>
        </w:rPr>
      </w:pPr>
    </w:p>
    <w:p w:rsidR="00E669F2" w:rsidRDefault="00126F89">
      <w:pPr>
        <w:keepLines/>
        <w:spacing w:line="360" w:lineRule="auto"/>
        <w:ind w:left="461" w:right="81" w:hanging="361"/>
        <w:jc w:val="both"/>
        <w:rPr>
          <w:b/>
          <w:bCs/>
        </w:rPr>
      </w:pPr>
      <w:r>
        <w:rPr>
          <w:rFonts w:ascii="Arial" w:eastAsia="Arial" w:hAnsi="Arial" w:cs="Arial"/>
          <w:sz w:val="24"/>
          <w:szCs w:val="24"/>
        </w:rPr>
        <w:t xml:space="preserve">12. </w:t>
      </w:r>
      <w:r>
        <w:rPr>
          <w:b/>
          <w:bCs/>
          <w:sz w:val="24"/>
          <w:szCs w:val="24"/>
        </w:rPr>
        <w:t xml:space="preserve">Huang Q, Dong X. Prevalence of periodontal disease in middle-aged and elderly patients and its influencing factors. </w:t>
      </w:r>
      <w:r>
        <w:rPr>
          <w:b/>
          <w:bCs/>
          <w:i/>
          <w:iCs/>
          <w:sz w:val="24"/>
          <w:szCs w:val="24"/>
        </w:rPr>
        <w:t xml:space="preserve">Am J </w:t>
      </w:r>
      <w:proofErr w:type="spellStart"/>
      <w:r>
        <w:rPr>
          <w:b/>
          <w:bCs/>
          <w:i/>
          <w:iCs/>
          <w:sz w:val="24"/>
          <w:szCs w:val="24"/>
        </w:rPr>
        <w:t>Transl</w:t>
      </w:r>
      <w:proofErr w:type="spellEnd"/>
      <w:r>
        <w:rPr>
          <w:b/>
          <w:bCs/>
          <w:i/>
          <w:iCs/>
          <w:sz w:val="24"/>
          <w:szCs w:val="24"/>
        </w:rPr>
        <w:t xml:space="preserve"> Res</w:t>
      </w:r>
      <w:r>
        <w:rPr>
          <w:b/>
          <w:bCs/>
          <w:sz w:val="24"/>
          <w:szCs w:val="24"/>
        </w:rPr>
        <w:t>. 2022;14(8):5677-5684.</w:t>
      </w:r>
    </w:p>
    <w:p w:rsidR="00E669F2" w:rsidRDefault="00E669F2">
      <w:pPr>
        <w:keepLines/>
        <w:spacing w:before="7" w:line="360" w:lineRule="auto"/>
        <w:jc w:val="both"/>
        <w:rPr>
          <w:sz w:val="22"/>
          <w:szCs w:val="22"/>
        </w:rPr>
      </w:pPr>
    </w:p>
    <w:p w:rsidR="00E669F2" w:rsidRDefault="00126F89">
      <w:pPr>
        <w:keepLines/>
        <w:spacing w:line="360" w:lineRule="auto"/>
        <w:ind w:left="461" w:right="81" w:hanging="361"/>
        <w:jc w:val="both"/>
        <w:rPr>
          <w:b/>
          <w:bCs/>
          <w:sz w:val="24"/>
          <w:szCs w:val="24"/>
        </w:rPr>
      </w:pPr>
      <w:r>
        <w:rPr>
          <w:rFonts w:ascii="Arial" w:eastAsia="Arial" w:hAnsi="Arial" w:cs="Arial"/>
          <w:sz w:val="24"/>
          <w:szCs w:val="24"/>
        </w:rPr>
        <w:t xml:space="preserve">13. </w:t>
      </w:r>
      <w:r>
        <w:rPr>
          <w:b/>
          <w:bCs/>
          <w:sz w:val="24"/>
          <w:szCs w:val="24"/>
        </w:rPr>
        <w:t xml:space="preserve">Gopal S, Joseph R, Santhosh VC, Kumar VV, Joseph S, </w:t>
      </w:r>
      <w:proofErr w:type="spellStart"/>
      <w:r>
        <w:rPr>
          <w:b/>
          <w:bCs/>
          <w:sz w:val="24"/>
          <w:szCs w:val="24"/>
        </w:rPr>
        <w:t>Shete</w:t>
      </w:r>
      <w:proofErr w:type="spellEnd"/>
      <w:r>
        <w:rPr>
          <w:b/>
          <w:bCs/>
          <w:sz w:val="24"/>
          <w:szCs w:val="24"/>
        </w:rPr>
        <w:t xml:space="preserve"> AR. Prevalence of gingival overgrowth induced by antihypertensive drugs: a hospital-based study. </w:t>
      </w:r>
      <w:r>
        <w:rPr>
          <w:b/>
          <w:bCs/>
          <w:i/>
          <w:iCs/>
          <w:sz w:val="24"/>
          <w:szCs w:val="24"/>
        </w:rPr>
        <w:t xml:space="preserve">J Indian Soc </w:t>
      </w:r>
      <w:proofErr w:type="spellStart"/>
      <w:r>
        <w:rPr>
          <w:b/>
          <w:bCs/>
          <w:i/>
          <w:iCs/>
          <w:sz w:val="24"/>
          <w:szCs w:val="24"/>
        </w:rPr>
        <w:t>Periodontol</w:t>
      </w:r>
      <w:proofErr w:type="spellEnd"/>
      <w:r>
        <w:rPr>
          <w:b/>
          <w:bCs/>
          <w:sz w:val="24"/>
          <w:szCs w:val="24"/>
        </w:rPr>
        <w:t xml:space="preserve">. 2015 May-Jun;19(3):308-311. </w:t>
      </w:r>
    </w:p>
    <w:p w:rsidR="00E669F2" w:rsidRDefault="00E669F2">
      <w:pPr>
        <w:keepLines/>
        <w:spacing w:line="360" w:lineRule="auto"/>
        <w:jc w:val="both"/>
      </w:pPr>
    </w:p>
    <w:p w:rsidR="00E669F2" w:rsidRDefault="00E669F2">
      <w:pPr>
        <w:keepLines/>
        <w:spacing w:before="2" w:line="360" w:lineRule="auto"/>
        <w:jc w:val="both"/>
        <w:rPr>
          <w:sz w:val="22"/>
          <w:szCs w:val="22"/>
        </w:rPr>
      </w:pPr>
    </w:p>
    <w:p w:rsidR="00E669F2" w:rsidRDefault="00126F89">
      <w:pPr>
        <w:keepLines/>
        <w:spacing w:line="360" w:lineRule="auto"/>
        <w:ind w:left="461" w:right="91" w:hanging="361"/>
        <w:jc w:val="both"/>
        <w:rPr>
          <w:b/>
          <w:bCs/>
          <w:sz w:val="24"/>
          <w:szCs w:val="24"/>
        </w:rPr>
      </w:pPr>
      <w:r>
        <w:rPr>
          <w:rFonts w:ascii="Arial" w:eastAsia="Arial" w:hAnsi="Arial" w:cs="Arial"/>
          <w:sz w:val="24"/>
          <w:szCs w:val="24"/>
        </w:rPr>
        <w:t>14.</w:t>
      </w:r>
      <w:r>
        <w:rPr>
          <w:b/>
          <w:bCs/>
          <w:sz w:val="24"/>
          <w:szCs w:val="24"/>
        </w:rPr>
        <w:t xml:space="preserve"> </w:t>
      </w:r>
      <w:proofErr w:type="spellStart"/>
      <w:r>
        <w:rPr>
          <w:b/>
          <w:bCs/>
          <w:sz w:val="24"/>
          <w:szCs w:val="24"/>
        </w:rPr>
        <w:t>Kaomongkolgit</w:t>
      </w:r>
      <w:proofErr w:type="spellEnd"/>
      <w:r>
        <w:rPr>
          <w:b/>
          <w:bCs/>
          <w:sz w:val="24"/>
          <w:szCs w:val="24"/>
        </w:rPr>
        <w:t xml:space="preserve"> R. Oral lichenoid drug rea</w:t>
      </w:r>
      <w:r>
        <w:rPr>
          <w:b/>
          <w:bCs/>
          <w:sz w:val="24"/>
          <w:szCs w:val="24"/>
        </w:rPr>
        <w:t xml:space="preserve">ction associated with antihypertensive and hypoglycemic drugs. </w:t>
      </w:r>
      <w:r>
        <w:rPr>
          <w:b/>
          <w:bCs/>
          <w:i/>
          <w:iCs/>
          <w:sz w:val="24"/>
          <w:szCs w:val="24"/>
        </w:rPr>
        <w:t>J Drugs Dermatol</w:t>
      </w:r>
      <w:r>
        <w:rPr>
          <w:b/>
          <w:bCs/>
          <w:sz w:val="24"/>
          <w:szCs w:val="24"/>
        </w:rPr>
        <w:t>. 2010 Jan;9(1):73-75</w:t>
      </w:r>
    </w:p>
    <w:p w:rsidR="00E669F2" w:rsidRDefault="00E669F2">
      <w:pPr>
        <w:keepLines/>
        <w:spacing w:line="360" w:lineRule="auto"/>
        <w:jc w:val="both"/>
      </w:pPr>
    </w:p>
    <w:p w:rsidR="00E669F2" w:rsidRDefault="00E669F2">
      <w:pPr>
        <w:keepLines/>
        <w:spacing w:before="3" w:line="360" w:lineRule="auto"/>
        <w:jc w:val="both"/>
        <w:rPr>
          <w:sz w:val="22"/>
          <w:szCs w:val="22"/>
        </w:rPr>
      </w:pPr>
    </w:p>
    <w:p w:rsidR="00E669F2" w:rsidRDefault="00126F89">
      <w:pPr>
        <w:keepLines/>
        <w:spacing w:line="360" w:lineRule="auto"/>
        <w:ind w:left="461" w:right="79" w:hanging="361"/>
        <w:jc w:val="both"/>
        <w:rPr>
          <w:sz w:val="24"/>
          <w:szCs w:val="24"/>
        </w:rPr>
      </w:pPr>
      <w:r>
        <w:rPr>
          <w:rFonts w:ascii="Arial" w:eastAsia="Arial" w:hAnsi="Arial" w:cs="Arial"/>
          <w:sz w:val="24"/>
          <w:szCs w:val="24"/>
        </w:rPr>
        <w:t xml:space="preserve">15. </w:t>
      </w:r>
      <w:proofErr w:type="spellStart"/>
      <w:r>
        <w:rPr>
          <w:b/>
          <w:bCs/>
          <w:sz w:val="24"/>
          <w:szCs w:val="24"/>
        </w:rPr>
        <w:t>Sarafan</w:t>
      </w:r>
      <w:proofErr w:type="spellEnd"/>
      <w:r>
        <w:rPr>
          <w:b/>
          <w:bCs/>
          <w:sz w:val="24"/>
          <w:szCs w:val="24"/>
        </w:rPr>
        <w:t xml:space="preserve"> N, </w:t>
      </w:r>
      <w:proofErr w:type="spellStart"/>
      <w:r>
        <w:rPr>
          <w:b/>
          <w:bCs/>
          <w:sz w:val="24"/>
          <w:szCs w:val="24"/>
        </w:rPr>
        <w:t>Alipour</w:t>
      </w:r>
      <w:proofErr w:type="spellEnd"/>
      <w:r>
        <w:rPr>
          <w:b/>
          <w:bCs/>
          <w:sz w:val="24"/>
          <w:szCs w:val="24"/>
        </w:rPr>
        <w:t xml:space="preserve"> A, Shariati A. Drug-induced oral lichenoid reactions in patients consuming antihypertensive drugs. Cardiovasc Biomed J. 2022;2(2):</w:t>
      </w:r>
      <w:r>
        <w:rPr>
          <w:b/>
          <w:bCs/>
          <w:sz w:val="24"/>
          <w:szCs w:val="24"/>
        </w:rPr>
        <w:t>3-10.</w:t>
      </w:r>
    </w:p>
    <w:p w:rsidR="00E669F2" w:rsidRDefault="00E669F2">
      <w:pPr>
        <w:keepLines/>
        <w:spacing w:line="360" w:lineRule="auto"/>
        <w:jc w:val="both"/>
      </w:pPr>
    </w:p>
    <w:p w:rsidR="00E669F2" w:rsidRDefault="00E669F2">
      <w:pPr>
        <w:keepLines/>
        <w:spacing w:before="17" w:line="360" w:lineRule="auto"/>
        <w:jc w:val="both"/>
      </w:pPr>
    </w:p>
    <w:p w:rsidR="00E669F2" w:rsidRDefault="00126F89">
      <w:pPr>
        <w:keepLines/>
        <w:spacing w:line="360" w:lineRule="auto"/>
        <w:ind w:left="100"/>
        <w:jc w:val="both"/>
        <w:rPr>
          <w:b/>
          <w:bCs/>
          <w:sz w:val="24"/>
          <w:szCs w:val="24"/>
        </w:rPr>
        <w:sectPr w:rsidR="00E669F2">
          <w:pgSz w:w="12240" w:h="15840"/>
          <w:pgMar w:top="1280" w:right="1300" w:bottom="280" w:left="1700" w:header="720" w:footer="720" w:gutter="0"/>
          <w:cols w:space="720"/>
        </w:sectPr>
      </w:pPr>
      <w:r>
        <w:rPr>
          <w:rFonts w:ascii="Arial" w:eastAsia="Arial" w:hAnsi="Arial" w:cs="Arial"/>
          <w:sz w:val="24"/>
          <w:szCs w:val="24"/>
        </w:rPr>
        <w:t>16.</w:t>
      </w:r>
      <w:r>
        <w:rPr>
          <w:b/>
          <w:bCs/>
          <w:sz w:val="24"/>
          <w:szCs w:val="24"/>
        </w:rPr>
        <w:t xml:space="preserve">Villa A, Connell CL, </w:t>
      </w:r>
      <w:proofErr w:type="spellStart"/>
      <w:r>
        <w:rPr>
          <w:b/>
          <w:bCs/>
          <w:sz w:val="24"/>
          <w:szCs w:val="24"/>
        </w:rPr>
        <w:t>Abati</w:t>
      </w:r>
      <w:proofErr w:type="spellEnd"/>
      <w:r>
        <w:rPr>
          <w:b/>
          <w:bCs/>
          <w:sz w:val="24"/>
          <w:szCs w:val="24"/>
        </w:rPr>
        <w:t xml:space="preserve"> S. Diagnosis and management of xerostomia and hyposalivation. </w:t>
      </w:r>
      <w:proofErr w:type="spellStart"/>
      <w:r>
        <w:rPr>
          <w:b/>
          <w:bCs/>
          <w:i/>
          <w:iCs/>
          <w:sz w:val="24"/>
          <w:szCs w:val="24"/>
        </w:rPr>
        <w:t>Ther</w:t>
      </w:r>
      <w:proofErr w:type="spellEnd"/>
      <w:r>
        <w:rPr>
          <w:b/>
          <w:bCs/>
          <w:i/>
          <w:iCs/>
          <w:sz w:val="24"/>
          <w:szCs w:val="24"/>
        </w:rPr>
        <w:t xml:space="preserve"> Clin Risk </w:t>
      </w:r>
      <w:proofErr w:type="spellStart"/>
      <w:r>
        <w:rPr>
          <w:b/>
          <w:bCs/>
          <w:i/>
          <w:iCs/>
          <w:sz w:val="24"/>
          <w:szCs w:val="24"/>
        </w:rPr>
        <w:t>Manag</w:t>
      </w:r>
      <w:proofErr w:type="spellEnd"/>
      <w:r>
        <w:rPr>
          <w:b/>
          <w:bCs/>
          <w:sz w:val="24"/>
          <w:szCs w:val="24"/>
        </w:rPr>
        <w:t xml:space="preserve">. </w:t>
      </w:r>
      <w:proofErr w:type="gramStart"/>
      <w:r>
        <w:rPr>
          <w:b/>
          <w:bCs/>
          <w:sz w:val="24"/>
          <w:szCs w:val="24"/>
        </w:rPr>
        <w:t>2015;11:45</w:t>
      </w:r>
      <w:proofErr w:type="gramEnd"/>
      <w:r>
        <w:rPr>
          <w:b/>
          <w:bCs/>
          <w:sz w:val="24"/>
          <w:szCs w:val="24"/>
        </w:rPr>
        <w:t>-51.</w:t>
      </w:r>
    </w:p>
    <w:p w:rsidR="00E669F2" w:rsidRDefault="00E669F2">
      <w:pPr>
        <w:keepLines/>
        <w:spacing w:before="60" w:line="360" w:lineRule="auto"/>
        <w:jc w:val="both"/>
        <w:rPr>
          <w:sz w:val="24"/>
          <w:szCs w:val="24"/>
        </w:rPr>
      </w:pPr>
    </w:p>
    <w:p w:rsidR="00E669F2" w:rsidRDefault="00E669F2">
      <w:pPr>
        <w:keepLines/>
        <w:spacing w:before="9" w:line="360" w:lineRule="auto"/>
        <w:jc w:val="both"/>
        <w:rPr>
          <w:sz w:val="14"/>
          <w:szCs w:val="14"/>
        </w:rPr>
      </w:pPr>
    </w:p>
    <w:p w:rsidR="00E669F2" w:rsidRDefault="00E669F2">
      <w:pPr>
        <w:keepLines/>
        <w:spacing w:line="360" w:lineRule="auto"/>
        <w:jc w:val="both"/>
      </w:pPr>
    </w:p>
    <w:p w:rsidR="00E669F2" w:rsidRDefault="00E669F2">
      <w:pPr>
        <w:keepLines/>
        <w:spacing w:line="360" w:lineRule="auto"/>
        <w:jc w:val="both"/>
      </w:pPr>
    </w:p>
    <w:p w:rsidR="00E669F2" w:rsidRDefault="00126F89">
      <w:pPr>
        <w:keepLines/>
        <w:spacing w:line="360" w:lineRule="auto"/>
        <w:ind w:right="73"/>
        <w:jc w:val="both"/>
        <w:rPr>
          <w:b/>
          <w:bCs/>
          <w:sz w:val="24"/>
          <w:szCs w:val="24"/>
        </w:rPr>
      </w:pPr>
      <w:r>
        <w:rPr>
          <w:rFonts w:ascii="Arial" w:eastAsia="Arial" w:hAnsi="Arial" w:cs="Arial"/>
          <w:sz w:val="24"/>
          <w:szCs w:val="24"/>
        </w:rPr>
        <w:t>17.</w:t>
      </w:r>
      <w:r>
        <w:rPr>
          <w:b/>
          <w:bCs/>
          <w:sz w:val="24"/>
          <w:szCs w:val="24"/>
        </w:rPr>
        <w:t xml:space="preserve">Luo Y, Ye H, Liu W, </w:t>
      </w:r>
      <w:proofErr w:type="spellStart"/>
      <w:r>
        <w:rPr>
          <w:b/>
          <w:bCs/>
          <w:sz w:val="24"/>
          <w:szCs w:val="24"/>
        </w:rPr>
        <w:t>Lv</w:t>
      </w:r>
      <w:proofErr w:type="spellEnd"/>
      <w:r>
        <w:rPr>
          <w:b/>
          <w:bCs/>
          <w:sz w:val="24"/>
          <w:szCs w:val="24"/>
        </w:rPr>
        <w:t xml:space="preserve"> Z, Jia Y, Li C, Zhang Y. Effect of periodontal treatments on blood pressure. </w:t>
      </w:r>
      <w:r>
        <w:rPr>
          <w:b/>
          <w:bCs/>
          <w:i/>
          <w:iCs/>
          <w:sz w:val="24"/>
          <w:szCs w:val="24"/>
        </w:rPr>
        <w:t>Cochrane Database Syst Rev</w:t>
      </w:r>
      <w:r>
        <w:rPr>
          <w:b/>
          <w:bCs/>
          <w:sz w:val="24"/>
          <w:szCs w:val="24"/>
        </w:rPr>
        <w:t>. 2021 Dec 12;12(12):CD009409.</w:t>
      </w:r>
    </w:p>
    <w:p w:rsidR="00E669F2" w:rsidRDefault="00126F89">
      <w:pPr>
        <w:keepLines/>
        <w:spacing w:line="360" w:lineRule="auto"/>
        <w:jc w:val="both"/>
        <w:rPr>
          <w:b/>
          <w:bCs/>
          <w:sz w:val="24"/>
          <w:szCs w:val="24"/>
        </w:rPr>
      </w:pPr>
      <w:r>
        <w:t xml:space="preserve">  </w:t>
      </w:r>
      <w:r>
        <w:rPr>
          <w:b/>
          <w:bCs/>
          <w:sz w:val="24"/>
          <w:szCs w:val="24"/>
        </w:rPr>
        <w:t xml:space="preserve">      </w:t>
      </w:r>
    </w:p>
    <w:p w:rsidR="00E669F2" w:rsidRDefault="00126F89">
      <w:pPr>
        <w:keepLines/>
        <w:spacing w:line="360" w:lineRule="auto"/>
        <w:jc w:val="both"/>
        <w:rPr>
          <w:b/>
          <w:bCs/>
          <w:sz w:val="24"/>
          <w:szCs w:val="24"/>
        </w:rPr>
      </w:pPr>
      <w:r>
        <w:rPr>
          <w:b/>
          <w:bCs/>
          <w:sz w:val="24"/>
          <w:szCs w:val="24"/>
        </w:rPr>
        <w:t xml:space="preserve"> 18.Gao N, Liu T, Wang Y, Chen M, Yu L, Fu C, Xu K. Assessing the </w:t>
      </w:r>
      <w:proofErr w:type="gramStart"/>
      <w:r>
        <w:rPr>
          <w:b/>
          <w:bCs/>
          <w:sz w:val="24"/>
          <w:szCs w:val="24"/>
        </w:rPr>
        <w:t>association  between</w:t>
      </w:r>
      <w:proofErr w:type="gramEnd"/>
      <w:r>
        <w:rPr>
          <w:b/>
          <w:bCs/>
          <w:sz w:val="24"/>
          <w:szCs w:val="24"/>
        </w:rPr>
        <w:t xml:space="preserve"> smoking and hypertension: Smoking status, type of tobacco products, and interaction with alcohol consum</w:t>
      </w:r>
      <w:r>
        <w:rPr>
          <w:b/>
          <w:bCs/>
          <w:sz w:val="24"/>
          <w:szCs w:val="24"/>
        </w:rPr>
        <w:t xml:space="preserve">ption. </w:t>
      </w:r>
      <w:r>
        <w:rPr>
          <w:b/>
          <w:bCs/>
          <w:i/>
          <w:iCs/>
          <w:sz w:val="24"/>
          <w:szCs w:val="24"/>
        </w:rPr>
        <w:t>Front Cardiovasc Med</w:t>
      </w:r>
      <w:r>
        <w:rPr>
          <w:b/>
          <w:bCs/>
          <w:sz w:val="24"/>
          <w:szCs w:val="24"/>
        </w:rPr>
        <w:t xml:space="preserve">. </w:t>
      </w:r>
      <w:proofErr w:type="gramStart"/>
      <w:r>
        <w:rPr>
          <w:b/>
          <w:bCs/>
          <w:sz w:val="24"/>
          <w:szCs w:val="24"/>
        </w:rPr>
        <w:t>2023;10:1027988</w:t>
      </w:r>
      <w:proofErr w:type="gramEnd"/>
      <w:r>
        <w:rPr>
          <w:b/>
          <w:bCs/>
          <w:sz w:val="24"/>
          <w:szCs w:val="24"/>
        </w:rPr>
        <w:t>.</w:t>
      </w:r>
    </w:p>
    <w:p w:rsidR="00E669F2" w:rsidRDefault="00E669F2">
      <w:pPr>
        <w:keepLines/>
        <w:spacing w:line="360" w:lineRule="auto"/>
        <w:jc w:val="both"/>
        <w:rPr>
          <w:b/>
          <w:bCs/>
          <w:sz w:val="24"/>
          <w:szCs w:val="24"/>
        </w:rPr>
      </w:pPr>
    </w:p>
    <w:p w:rsidR="00E669F2" w:rsidRDefault="00126F89">
      <w:pPr>
        <w:keepLines/>
        <w:spacing w:line="360" w:lineRule="auto"/>
        <w:jc w:val="both"/>
        <w:rPr>
          <w:b/>
          <w:bCs/>
          <w:sz w:val="24"/>
          <w:szCs w:val="24"/>
        </w:rPr>
      </w:pPr>
      <w:r>
        <w:rPr>
          <w:b/>
          <w:bCs/>
          <w:sz w:val="24"/>
          <w:szCs w:val="24"/>
        </w:rPr>
        <w:t xml:space="preserve">19.Topor G, </w:t>
      </w:r>
      <w:proofErr w:type="spellStart"/>
      <w:r>
        <w:rPr>
          <w:b/>
          <w:bCs/>
          <w:sz w:val="24"/>
          <w:szCs w:val="24"/>
        </w:rPr>
        <w:t>Salcianu</w:t>
      </w:r>
      <w:proofErr w:type="spellEnd"/>
      <w:r>
        <w:rPr>
          <w:b/>
          <w:bCs/>
          <w:sz w:val="24"/>
          <w:szCs w:val="24"/>
        </w:rPr>
        <w:t xml:space="preserve"> IA, Calin AM, </w:t>
      </w:r>
      <w:proofErr w:type="spellStart"/>
      <w:r>
        <w:rPr>
          <w:b/>
          <w:bCs/>
          <w:sz w:val="24"/>
          <w:szCs w:val="24"/>
        </w:rPr>
        <w:t>Sarbu</w:t>
      </w:r>
      <w:proofErr w:type="spellEnd"/>
      <w:r>
        <w:rPr>
          <w:b/>
          <w:bCs/>
          <w:sz w:val="24"/>
          <w:szCs w:val="24"/>
        </w:rPr>
        <w:t xml:space="preserve"> N, </w:t>
      </w:r>
      <w:proofErr w:type="spellStart"/>
      <w:r>
        <w:rPr>
          <w:b/>
          <w:bCs/>
          <w:sz w:val="24"/>
          <w:szCs w:val="24"/>
        </w:rPr>
        <w:t>Campanu</w:t>
      </w:r>
      <w:proofErr w:type="spellEnd"/>
      <w:r>
        <w:rPr>
          <w:b/>
          <w:bCs/>
          <w:sz w:val="24"/>
          <w:szCs w:val="24"/>
        </w:rPr>
        <w:t xml:space="preserve"> (Banu) M, </w:t>
      </w:r>
      <w:proofErr w:type="spellStart"/>
      <w:r>
        <w:rPr>
          <w:b/>
          <w:bCs/>
          <w:sz w:val="24"/>
          <w:szCs w:val="24"/>
        </w:rPr>
        <w:t>Dumitriu‑Buzia</w:t>
      </w:r>
      <w:proofErr w:type="spellEnd"/>
      <w:r>
        <w:rPr>
          <w:b/>
          <w:bCs/>
          <w:sz w:val="24"/>
          <w:szCs w:val="24"/>
        </w:rPr>
        <w:t xml:space="preserve"> O, </w:t>
      </w:r>
      <w:proofErr w:type="spellStart"/>
      <w:r>
        <w:rPr>
          <w:b/>
          <w:bCs/>
          <w:sz w:val="24"/>
          <w:szCs w:val="24"/>
        </w:rPr>
        <w:t>Sorina</w:t>
      </w:r>
      <w:proofErr w:type="spellEnd"/>
      <w:r>
        <w:rPr>
          <w:b/>
          <w:bCs/>
          <w:sz w:val="24"/>
          <w:szCs w:val="24"/>
        </w:rPr>
        <w:t xml:space="preserve"> S, </w:t>
      </w:r>
      <w:proofErr w:type="spellStart"/>
      <w:r>
        <w:rPr>
          <w:b/>
          <w:bCs/>
          <w:sz w:val="24"/>
          <w:szCs w:val="24"/>
        </w:rPr>
        <w:t>Stefanescu</w:t>
      </w:r>
      <w:proofErr w:type="spellEnd"/>
      <w:r>
        <w:rPr>
          <w:b/>
          <w:bCs/>
          <w:sz w:val="24"/>
          <w:szCs w:val="24"/>
        </w:rPr>
        <w:t xml:space="preserve"> V, </w:t>
      </w:r>
      <w:proofErr w:type="spellStart"/>
      <w:r>
        <w:rPr>
          <w:b/>
          <w:bCs/>
          <w:sz w:val="24"/>
          <w:szCs w:val="24"/>
        </w:rPr>
        <w:t>Forna</w:t>
      </w:r>
      <w:proofErr w:type="spellEnd"/>
      <w:r>
        <w:rPr>
          <w:b/>
          <w:bCs/>
          <w:sz w:val="24"/>
          <w:szCs w:val="24"/>
        </w:rPr>
        <w:t xml:space="preserve"> NC, </w:t>
      </w:r>
      <w:proofErr w:type="spellStart"/>
      <w:r>
        <w:rPr>
          <w:b/>
          <w:bCs/>
          <w:sz w:val="24"/>
          <w:szCs w:val="24"/>
        </w:rPr>
        <w:t>Bratu</w:t>
      </w:r>
      <w:proofErr w:type="spellEnd"/>
      <w:r>
        <w:rPr>
          <w:b/>
          <w:bCs/>
          <w:sz w:val="24"/>
          <w:szCs w:val="24"/>
        </w:rPr>
        <w:t xml:space="preserve"> IC. Risks and considerations in oral rehabilitation of elderly hypertensive patients. </w:t>
      </w:r>
      <w:r>
        <w:rPr>
          <w:b/>
          <w:bCs/>
          <w:i/>
          <w:iCs/>
          <w:sz w:val="24"/>
          <w:szCs w:val="24"/>
        </w:rPr>
        <w:t>Rom</w:t>
      </w:r>
      <w:r>
        <w:rPr>
          <w:b/>
          <w:bCs/>
          <w:i/>
          <w:iCs/>
          <w:sz w:val="24"/>
          <w:szCs w:val="24"/>
        </w:rPr>
        <w:t>anian Journal of Oral Rehabilitation</w:t>
      </w:r>
      <w:r>
        <w:rPr>
          <w:b/>
          <w:bCs/>
          <w:sz w:val="24"/>
          <w:szCs w:val="24"/>
        </w:rPr>
        <w:t>. 2024;16(2):658–670.</w:t>
      </w:r>
    </w:p>
    <w:p w:rsidR="00E669F2" w:rsidRDefault="00E669F2">
      <w:pPr>
        <w:spacing w:line="360" w:lineRule="auto"/>
        <w:jc w:val="both"/>
      </w:pPr>
    </w:p>
    <w:p w:rsidR="00E669F2" w:rsidRDefault="00126F89">
      <w:pPr>
        <w:spacing w:line="360" w:lineRule="auto"/>
        <w:jc w:val="both"/>
        <w:rPr>
          <w:b/>
          <w:bCs/>
          <w:sz w:val="24"/>
          <w:szCs w:val="24"/>
        </w:rPr>
      </w:pPr>
      <w:r>
        <w:rPr>
          <w:b/>
          <w:bCs/>
          <w:sz w:val="24"/>
          <w:szCs w:val="24"/>
        </w:rPr>
        <w:t>LEGENDS:</w:t>
      </w:r>
    </w:p>
    <w:p w:rsidR="00E669F2" w:rsidRDefault="00E669F2"/>
    <w:p w:rsidR="00E669F2" w:rsidRDefault="00126F89">
      <w:pPr>
        <w:rPr>
          <w:b/>
          <w:bCs/>
        </w:rPr>
      </w:pPr>
      <w:r>
        <w:rPr>
          <w:b/>
          <w:bCs/>
        </w:rPr>
        <w:t>Table 1: Demographic Characteristics of the Study Population (n = 100)</w:t>
      </w:r>
    </w:p>
    <w:p w:rsidR="00E669F2" w:rsidRDefault="00E669F2">
      <w:pPr>
        <w:rPr>
          <w:b/>
          <w:bCs/>
        </w:rPr>
      </w:pPr>
    </w:p>
    <w:tbl>
      <w:tblPr>
        <w:tblStyle w:val="a"/>
        <w:tblW w:w="64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9"/>
        <w:gridCol w:w="944"/>
        <w:gridCol w:w="1133"/>
        <w:gridCol w:w="966"/>
        <w:gridCol w:w="1544"/>
      </w:tblGrid>
      <w:tr w:rsidR="00E669F2">
        <w:tc>
          <w:tcPr>
            <w:tcW w:w="1850" w:type="dxa"/>
          </w:tcPr>
          <w:p w:rsidR="00E669F2" w:rsidRDefault="00126F89">
            <w:pPr>
              <w:rPr>
                <w:b/>
                <w:bCs/>
              </w:rPr>
            </w:pPr>
            <w:r>
              <w:rPr>
                <w:b/>
                <w:bCs/>
              </w:rPr>
              <w:t>Age Group (Years)</w:t>
            </w:r>
          </w:p>
        </w:tc>
        <w:tc>
          <w:tcPr>
            <w:tcW w:w="944" w:type="dxa"/>
          </w:tcPr>
          <w:p w:rsidR="00E669F2" w:rsidRDefault="00126F89">
            <w:pPr>
              <w:rPr>
                <w:b/>
                <w:bCs/>
              </w:rPr>
            </w:pPr>
            <w:r>
              <w:rPr>
                <w:b/>
                <w:bCs/>
              </w:rPr>
              <w:t>Male (n)</w:t>
            </w:r>
          </w:p>
        </w:tc>
        <w:tc>
          <w:tcPr>
            <w:tcW w:w="1133" w:type="dxa"/>
          </w:tcPr>
          <w:p w:rsidR="00E669F2" w:rsidRDefault="00126F89">
            <w:pPr>
              <w:rPr>
                <w:b/>
                <w:bCs/>
              </w:rPr>
            </w:pPr>
            <w:r>
              <w:rPr>
                <w:b/>
                <w:bCs/>
              </w:rPr>
              <w:t>Female (n)</w:t>
            </w:r>
          </w:p>
        </w:tc>
        <w:tc>
          <w:tcPr>
            <w:tcW w:w="966" w:type="dxa"/>
          </w:tcPr>
          <w:p w:rsidR="00E669F2" w:rsidRDefault="00126F89">
            <w:pPr>
              <w:rPr>
                <w:b/>
                <w:bCs/>
              </w:rPr>
            </w:pPr>
            <w:r>
              <w:rPr>
                <w:b/>
                <w:bCs/>
              </w:rPr>
              <w:t>Total (n)</w:t>
            </w:r>
          </w:p>
        </w:tc>
        <w:tc>
          <w:tcPr>
            <w:tcW w:w="1544" w:type="dxa"/>
          </w:tcPr>
          <w:p w:rsidR="00E669F2" w:rsidRDefault="00126F89">
            <w:pPr>
              <w:rPr>
                <w:b/>
                <w:bCs/>
              </w:rPr>
            </w:pPr>
            <w:r>
              <w:rPr>
                <w:b/>
                <w:bCs/>
              </w:rPr>
              <w:t>Percentage (%)</w:t>
            </w:r>
          </w:p>
        </w:tc>
      </w:tr>
      <w:tr w:rsidR="00E669F2">
        <w:tc>
          <w:tcPr>
            <w:tcW w:w="1850" w:type="dxa"/>
          </w:tcPr>
          <w:p w:rsidR="00E669F2" w:rsidRDefault="00126F89">
            <w:r>
              <w:t>20–39</w:t>
            </w:r>
          </w:p>
        </w:tc>
        <w:tc>
          <w:tcPr>
            <w:tcW w:w="944" w:type="dxa"/>
          </w:tcPr>
          <w:p w:rsidR="00E669F2" w:rsidRDefault="00126F89">
            <w:r>
              <w:t>4</w:t>
            </w:r>
          </w:p>
        </w:tc>
        <w:tc>
          <w:tcPr>
            <w:tcW w:w="1133" w:type="dxa"/>
          </w:tcPr>
          <w:p w:rsidR="00E669F2" w:rsidRDefault="00126F89">
            <w:r>
              <w:t>6</w:t>
            </w:r>
          </w:p>
        </w:tc>
        <w:tc>
          <w:tcPr>
            <w:tcW w:w="966" w:type="dxa"/>
          </w:tcPr>
          <w:p w:rsidR="00E669F2" w:rsidRDefault="00126F89">
            <w:r>
              <w:t>10</w:t>
            </w:r>
          </w:p>
        </w:tc>
        <w:tc>
          <w:tcPr>
            <w:tcW w:w="1544" w:type="dxa"/>
          </w:tcPr>
          <w:p w:rsidR="00E669F2" w:rsidRDefault="00126F89">
            <w:r>
              <w:t>10%</w:t>
            </w:r>
          </w:p>
        </w:tc>
      </w:tr>
      <w:tr w:rsidR="00E669F2">
        <w:tc>
          <w:tcPr>
            <w:tcW w:w="1850" w:type="dxa"/>
          </w:tcPr>
          <w:p w:rsidR="00E669F2" w:rsidRDefault="00126F89">
            <w:r>
              <w:t>40–59</w:t>
            </w:r>
          </w:p>
        </w:tc>
        <w:tc>
          <w:tcPr>
            <w:tcW w:w="944" w:type="dxa"/>
          </w:tcPr>
          <w:p w:rsidR="00E669F2" w:rsidRDefault="00126F89">
            <w:r>
              <w:t>14</w:t>
            </w:r>
          </w:p>
        </w:tc>
        <w:tc>
          <w:tcPr>
            <w:tcW w:w="1133" w:type="dxa"/>
          </w:tcPr>
          <w:p w:rsidR="00E669F2" w:rsidRDefault="00126F89">
            <w:r>
              <w:t>20</w:t>
            </w:r>
          </w:p>
        </w:tc>
        <w:tc>
          <w:tcPr>
            <w:tcW w:w="966" w:type="dxa"/>
          </w:tcPr>
          <w:p w:rsidR="00E669F2" w:rsidRDefault="00126F89">
            <w:r>
              <w:t>34</w:t>
            </w:r>
          </w:p>
        </w:tc>
        <w:tc>
          <w:tcPr>
            <w:tcW w:w="1544" w:type="dxa"/>
          </w:tcPr>
          <w:p w:rsidR="00E669F2" w:rsidRDefault="00126F89">
            <w:r>
              <w:t>34%</w:t>
            </w:r>
          </w:p>
        </w:tc>
      </w:tr>
      <w:tr w:rsidR="00E669F2">
        <w:tc>
          <w:tcPr>
            <w:tcW w:w="1850" w:type="dxa"/>
          </w:tcPr>
          <w:p w:rsidR="00E669F2" w:rsidRDefault="00126F89">
            <w:r>
              <w:t>60–79</w:t>
            </w:r>
          </w:p>
        </w:tc>
        <w:tc>
          <w:tcPr>
            <w:tcW w:w="944" w:type="dxa"/>
          </w:tcPr>
          <w:p w:rsidR="00E669F2" w:rsidRDefault="00126F89">
            <w:r>
              <w:t>20</w:t>
            </w:r>
          </w:p>
        </w:tc>
        <w:tc>
          <w:tcPr>
            <w:tcW w:w="1133" w:type="dxa"/>
          </w:tcPr>
          <w:p w:rsidR="00E669F2" w:rsidRDefault="00126F89">
            <w:r>
              <w:t>26</w:t>
            </w:r>
          </w:p>
        </w:tc>
        <w:tc>
          <w:tcPr>
            <w:tcW w:w="966" w:type="dxa"/>
          </w:tcPr>
          <w:p w:rsidR="00E669F2" w:rsidRDefault="00126F89">
            <w:r>
              <w:t>46</w:t>
            </w:r>
          </w:p>
        </w:tc>
        <w:tc>
          <w:tcPr>
            <w:tcW w:w="1544" w:type="dxa"/>
          </w:tcPr>
          <w:p w:rsidR="00E669F2" w:rsidRDefault="00126F89">
            <w:r>
              <w:t>46%</w:t>
            </w:r>
          </w:p>
        </w:tc>
      </w:tr>
      <w:tr w:rsidR="00E669F2">
        <w:tc>
          <w:tcPr>
            <w:tcW w:w="1850" w:type="dxa"/>
          </w:tcPr>
          <w:p w:rsidR="00E669F2" w:rsidRDefault="00126F89">
            <w:r>
              <w:t>≥80</w:t>
            </w:r>
          </w:p>
        </w:tc>
        <w:tc>
          <w:tcPr>
            <w:tcW w:w="944" w:type="dxa"/>
          </w:tcPr>
          <w:p w:rsidR="00E669F2" w:rsidRDefault="00126F89">
            <w:r>
              <w:t>4</w:t>
            </w:r>
          </w:p>
        </w:tc>
        <w:tc>
          <w:tcPr>
            <w:tcW w:w="1133" w:type="dxa"/>
          </w:tcPr>
          <w:p w:rsidR="00E669F2" w:rsidRDefault="00126F89">
            <w:r>
              <w:t>6</w:t>
            </w:r>
          </w:p>
        </w:tc>
        <w:tc>
          <w:tcPr>
            <w:tcW w:w="966" w:type="dxa"/>
          </w:tcPr>
          <w:p w:rsidR="00E669F2" w:rsidRDefault="00126F89">
            <w:r>
              <w:t>10</w:t>
            </w:r>
          </w:p>
        </w:tc>
        <w:tc>
          <w:tcPr>
            <w:tcW w:w="1544" w:type="dxa"/>
          </w:tcPr>
          <w:p w:rsidR="00E669F2" w:rsidRDefault="00126F89">
            <w:r>
              <w:t>10%</w:t>
            </w:r>
          </w:p>
        </w:tc>
      </w:tr>
      <w:tr w:rsidR="00E669F2">
        <w:tc>
          <w:tcPr>
            <w:tcW w:w="1850" w:type="dxa"/>
          </w:tcPr>
          <w:p w:rsidR="00E669F2" w:rsidRDefault="00126F89">
            <w:r>
              <w:rPr>
                <w:b/>
                <w:bCs/>
              </w:rPr>
              <w:t>Total</w:t>
            </w:r>
          </w:p>
        </w:tc>
        <w:tc>
          <w:tcPr>
            <w:tcW w:w="944" w:type="dxa"/>
          </w:tcPr>
          <w:p w:rsidR="00E669F2" w:rsidRDefault="00126F89">
            <w:r>
              <w:rPr>
                <w:b/>
                <w:bCs/>
              </w:rPr>
              <w:t>42</w:t>
            </w:r>
          </w:p>
        </w:tc>
        <w:tc>
          <w:tcPr>
            <w:tcW w:w="1133" w:type="dxa"/>
          </w:tcPr>
          <w:p w:rsidR="00E669F2" w:rsidRDefault="00126F89">
            <w:r>
              <w:rPr>
                <w:b/>
                <w:bCs/>
              </w:rPr>
              <w:t>58</w:t>
            </w:r>
          </w:p>
        </w:tc>
        <w:tc>
          <w:tcPr>
            <w:tcW w:w="966" w:type="dxa"/>
          </w:tcPr>
          <w:p w:rsidR="00E669F2" w:rsidRDefault="00126F89">
            <w:r>
              <w:rPr>
                <w:b/>
                <w:bCs/>
              </w:rPr>
              <w:t>100</w:t>
            </w:r>
          </w:p>
        </w:tc>
        <w:tc>
          <w:tcPr>
            <w:tcW w:w="1544" w:type="dxa"/>
          </w:tcPr>
          <w:p w:rsidR="00E669F2" w:rsidRDefault="00126F89">
            <w:r>
              <w:rPr>
                <w:b/>
                <w:bCs/>
              </w:rPr>
              <w:t>100%</w:t>
            </w:r>
          </w:p>
        </w:tc>
      </w:tr>
    </w:tbl>
    <w:p w:rsidR="00E669F2" w:rsidRDefault="00E669F2"/>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E669F2">
      <w:pPr>
        <w:spacing w:before="9" w:line="360" w:lineRule="auto"/>
        <w:jc w:val="both"/>
      </w:pPr>
    </w:p>
    <w:p w:rsidR="00E669F2" w:rsidRDefault="00126F89">
      <w:pPr>
        <w:spacing w:line="360" w:lineRule="auto"/>
        <w:ind w:left="180"/>
        <w:jc w:val="both"/>
      </w:pPr>
      <w:r>
        <w:rPr>
          <w:b/>
          <w:bCs/>
          <w:sz w:val="24"/>
          <w:szCs w:val="24"/>
        </w:rPr>
        <w:t>FIGURE 1-SHOWING GENDER DISTRIBUTION</w:t>
      </w:r>
    </w:p>
    <w:p w:rsidR="00E669F2" w:rsidRDefault="00E669F2">
      <w:pPr>
        <w:spacing w:line="360" w:lineRule="auto"/>
        <w:jc w:val="both"/>
      </w:pPr>
      <w:bookmarkStart w:id="1" w:name="_GoBack"/>
      <w:bookmarkEnd w:id="1"/>
    </w:p>
    <w:p w:rsidR="00E669F2" w:rsidRDefault="00E669F2">
      <w:pPr>
        <w:spacing w:line="360" w:lineRule="auto"/>
        <w:jc w:val="both"/>
      </w:pPr>
    </w:p>
    <w:p w:rsidR="00E669F2" w:rsidRDefault="00E669F2">
      <w:pPr>
        <w:spacing w:before="15" w:line="360" w:lineRule="auto"/>
        <w:jc w:val="both"/>
        <w:rPr>
          <w:sz w:val="26"/>
          <w:szCs w:val="26"/>
        </w:rPr>
      </w:pPr>
    </w:p>
    <w:p w:rsidR="00E669F2" w:rsidRDefault="005C6293">
      <w:pPr>
        <w:spacing w:line="360" w:lineRule="auto"/>
        <w:ind w:left="862"/>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125.6pt">
            <v:imagedata r:id="rId44" o:title=""/>
          </v:shape>
        </w:pict>
      </w:r>
    </w:p>
    <w:p w:rsidR="00E669F2" w:rsidRDefault="00E669F2">
      <w:pPr>
        <w:spacing w:line="360" w:lineRule="auto"/>
        <w:jc w:val="both"/>
      </w:pPr>
    </w:p>
    <w:p w:rsidR="00E669F2" w:rsidRDefault="00E669F2">
      <w:pPr>
        <w:spacing w:line="360" w:lineRule="auto"/>
        <w:jc w:val="both"/>
      </w:pPr>
    </w:p>
    <w:p w:rsidR="00E669F2" w:rsidRDefault="00126F89">
      <w:pPr>
        <w:spacing w:line="360" w:lineRule="auto"/>
        <w:ind w:left="180" w:right="1679"/>
        <w:jc w:val="both"/>
        <w:rPr>
          <w:sz w:val="26"/>
          <w:szCs w:val="26"/>
        </w:rPr>
      </w:pPr>
      <w:r>
        <w:rPr>
          <w:b/>
          <w:bCs/>
          <w:sz w:val="24"/>
          <w:szCs w:val="24"/>
        </w:rPr>
        <w:t>FIGURE    2-</w:t>
      </w:r>
      <w:proofErr w:type="gramStart"/>
      <w:r>
        <w:rPr>
          <w:b/>
          <w:bCs/>
          <w:sz w:val="24"/>
          <w:szCs w:val="24"/>
        </w:rPr>
        <w:t>SHOWING  PERCENTAGE</w:t>
      </w:r>
      <w:proofErr w:type="gramEnd"/>
      <w:r>
        <w:rPr>
          <w:b/>
          <w:bCs/>
          <w:sz w:val="24"/>
          <w:szCs w:val="24"/>
        </w:rPr>
        <w:t xml:space="preserve">  OF   PERIODONTITIS </w:t>
      </w:r>
    </w:p>
    <w:p w:rsidR="00E669F2" w:rsidRDefault="005C6293">
      <w:pPr>
        <w:spacing w:line="360" w:lineRule="auto"/>
        <w:ind w:left="253"/>
        <w:jc w:val="both"/>
      </w:pPr>
      <w:r>
        <w:pict>
          <v:shape id="_x0000_i1026" type="#_x0000_t75" style="width:236.1pt;height:192.55pt">
            <v:imagedata r:id="rId45" o:title=""/>
          </v:shape>
        </w:pict>
      </w:r>
    </w:p>
    <w:p w:rsidR="00E669F2" w:rsidRDefault="00E669F2">
      <w:pPr>
        <w:spacing w:before="8" w:line="360" w:lineRule="auto"/>
        <w:jc w:val="both"/>
        <w:rPr>
          <w:sz w:val="14"/>
          <w:szCs w:val="14"/>
        </w:rPr>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126F89">
      <w:pPr>
        <w:spacing w:before="100" w:line="360" w:lineRule="auto"/>
        <w:ind w:left="228"/>
        <w:jc w:val="both"/>
      </w:pPr>
      <w:r>
        <w:rPr>
          <w:b/>
          <w:bCs/>
          <w:sz w:val="24"/>
          <w:szCs w:val="24"/>
        </w:rPr>
        <w:t>FIGURE 3-SHOWING PERCENTAGE OF GINGIVITIS</w:t>
      </w:r>
      <w:r>
        <w:t xml:space="preserve"> </w:t>
      </w:r>
    </w:p>
    <w:p w:rsidR="00E669F2" w:rsidRDefault="00E669F2">
      <w:pPr>
        <w:spacing w:line="360" w:lineRule="auto"/>
        <w:jc w:val="both"/>
      </w:pPr>
    </w:p>
    <w:p w:rsidR="00E669F2" w:rsidRDefault="00E669F2">
      <w:pPr>
        <w:spacing w:line="360" w:lineRule="auto"/>
        <w:jc w:val="both"/>
      </w:pPr>
    </w:p>
    <w:p w:rsidR="00E669F2" w:rsidRDefault="00126F89">
      <w:pPr>
        <w:spacing w:before="20" w:line="360" w:lineRule="auto"/>
        <w:jc w:val="both"/>
        <w:rPr>
          <w:sz w:val="24"/>
          <w:szCs w:val="24"/>
        </w:rPr>
      </w:pPr>
      <w:r>
        <w:rPr>
          <w:noProof/>
        </w:rPr>
        <w:drawing>
          <wp:inline distT="0" distB="0" distL="0" distR="0">
            <wp:extent cx="2407920" cy="195072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2407920" cy="1950720"/>
                    </a:xfrm>
                    <a:prstGeom prst="rect">
                      <a:avLst/>
                    </a:prstGeom>
                    <a:ln/>
                  </pic:spPr>
                </pic:pic>
              </a:graphicData>
            </a:graphic>
          </wp:inline>
        </w:drawing>
      </w:r>
    </w:p>
    <w:p w:rsidR="00E669F2" w:rsidRDefault="00E669F2">
      <w:pPr>
        <w:spacing w:before="20" w:line="360" w:lineRule="auto"/>
        <w:jc w:val="both"/>
        <w:rPr>
          <w:sz w:val="24"/>
          <w:szCs w:val="24"/>
        </w:rPr>
      </w:pPr>
    </w:p>
    <w:p w:rsidR="00E669F2" w:rsidRDefault="00126F89">
      <w:pPr>
        <w:spacing w:before="23" w:line="360" w:lineRule="auto"/>
        <w:ind w:left="185" w:right="1519" w:hanging="5"/>
        <w:jc w:val="both"/>
        <w:rPr>
          <w:sz w:val="24"/>
          <w:szCs w:val="24"/>
        </w:rPr>
        <w:sectPr w:rsidR="00E669F2">
          <w:headerReference w:type="even" r:id="rId47"/>
          <w:headerReference w:type="default" r:id="rId48"/>
          <w:headerReference w:type="first" r:id="rId49"/>
          <w:pgSz w:w="12240" w:h="15840"/>
          <w:pgMar w:top="1740" w:right="810" w:bottom="280" w:left="1260" w:header="1391" w:footer="0" w:gutter="0"/>
          <w:cols w:space="720"/>
        </w:sectPr>
      </w:pPr>
      <w:r>
        <w:rPr>
          <w:b/>
          <w:bCs/>
          <w:sz w:val="24"/>
          <w:szCs w:val="24"/>
        </w:rPr>
        <w:lastRenderedPageBreak/>
        <w:t>FIGURE 4-SHOWING PERCENTAGE OF GINGIVAL HYPERPLASIA</w:t>
      </w:r>
    </w:p>
    <w:p w:rsidR="00E669F2" w:rsidRDefault="005C6293">
      <w:pPr>
        <w:spacing w:line="360" w:lineRule="auto"/>
        <w:jc w:val="both"/>
      </w:pPr>
      <w:r>
        <w:lastRenderedPageBreak/>
        <w:pict>
          <v:shape id="_x0000_i1027" type="#_x0000_t75" style="width:192.55pt;height:157.4pt">
            <v:imagedata r:id="rId50" o:title=""/>
          </v:shape>
        </w:pict>
      </w:r>
    </w:p>
    <w:p w:rsidR="00E669F2" w:rsidRDefault="00E669F2">
      <w:pPr>
        <w:spacing w:before="2" w:line="360" w:lineRule="auto"/>
        <w:jc w:val="both"/>
        <w:rPr>
          <w:sz w:val="10"/>
          <w:szCs w:val="10"/>
        </w:rPr>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126F89">
      <w:pPr>
        <w:spacing w:line="360" w:lineRule="auto"/>
        <w:jc w:val="both"/>
      </w:pPr>
      <w:r>
        <w:rPr>
          <w:b/>
          <w:bCs/>
          <w:sz w:val="24"/>
          <w:szCs w:val="24"/>
        </w:rPr>
        <w:t>FIGURE5-SHOWING   OVERALL CLINICAL FINDINGS</w:t>
      </w:r>
    </w:p>
    <w:p w:rsidR="00E669F2" w:rsidRDefault="00E669F2">
      <w:pPr>
        <w:spacing w:line="360" w:lineRule="auto"/>
        <w:jc w:val="both"/>
      </w:pPr>
    </w:p>
    <w:p w:rsidR="00E669F2" w:rsidRDefault="00E669F2">
      <w:pPr>
        <w:spacing w:before="15" w:line="360" w:lineRule="auto"/>
        <w:jc w:val="both"/>
      </w:pPr>
    </w:p>
    <w:p w:rsidR="00E669F2" w:rsidRDefault="005C6293">
      <w:pPr>
        <w:spacing w:line="360" w:lineRule="auto"/>
        <w:ind w:left="191"/>
        <w:jc w:val="both"/>
      </w:pPr>
      <w:r>
        <w:pict>
          <v:shape id="_x0000_i1028" type="#_x0000_t75" style="width:278.8pt;height:154.05pt">
            <v:imagedata r:id="rId51" o:title=""/>
          </v:shape>
        </w:pict>
      </w:r>
    </w:p>
    <w:p w:rsidR="00E669F2" w:rsidRDefault="00E669F2">
      <w:pPr>
        <w:spacing w:before="4" w:line="360" w:lineRule="auto"/>
        <w:jc w:val="both"/>
        <w:rPr>
          <w:sz w:val="10"/>
          <w:szCs w:val="10"/>
        </w:rPr>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126F89">
      <w:pPr>
        <w:spacing w:line="360" w:lineRule="auto"/>
        <w:ind w:left="20" w:right="-36"/>
        <w:jc w:val="both"/>
        <w:rPr>
          <w:sz w:val="24"/>
          <w:szCs w:val="24"/>
        </w:rPr>
      </w:pPr>
      <w:r>
        <w:rPr>
          <w:b/>
          <w:bCs/>
          <w:sz w:val="24"/>
          <w:szCs w:val="24"/>
        </w:rPr>
        <w:t>FIGURE 6-SHOWING PERCENTAGE OF WHITE ORAL LESION</w:t>
      </w:r>
    </w:p>
    <w:p w:rsidR="00E669F2" w:rsidRDefault="005C6293">
      <w:pPr>
        <w:spacing w:before="100" w:line="360" w:lineRule="auto"/>
        <w:ind w:left="452"/>
        <w:jc w:val="both"/>
      </w:pPr>
      <w:r>
        <w:lastRenderedPageBreak/>
        <w:pict>
          <v:shape id="_x0000_i1029" type="#_x0000_t75" style="width:272.1pt;height:158.25pt">
            <v:imagedata r:id="rId52" o:title=""/>
          </v:shape>
        </w:pict>
      </w:r>
    </w:p>
    <w:p w:rsidR="00E669F2" w:rsidRDefault="00E669F2">
      <w:pPr>
        <w:spacing w:before="9" w:line="360" w:lineRule="auto"/>
        <w:jc w:val="both"/>
        <w:rPr>
          <w:sz w:val="18"/>
          <w:szCs w:val="18"/>
        </w:rPr>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E669F2">
      <w:pPr>
        <w:spacing w:line="360" w:lineRule="auto"/>
        <w:jc w:val="both"/>
      </w:pPr>
    </w:p>
    <w:p w:rsidR="00E669F2" w:rsidRDefault="00126F89">
      <w:pPr>
        <w:spacing w:before="29" w:line="360" w:lineRule="auto"/>
        <w:ind w:left="100" w:right="2257"/>
        <w:jc w:val="both"/>
        <w:rPr>
          <w:sz w:val="24"/>
          <w:szCs w:val="24"/>
        </w:rPr>
      </w:pPr>
      <w:r>
        <w:rPr>
          <w:b/>
          <w:bCs/>
          <w:sz w:val="24"/>
          <w:szCs w:val="24"/>
        </w:rPr>
        <w:t xml:space="preserve">FIGURE 7-SHOWING PERCENTAGE OF HYPOSALIVATION </w:t>
      </w:r>
    </w:p>
    <w:p w:rsidR="00E669F2" w:rsidRDefault="00E669F2">
      <w:pPr>
        <w:spacing w:line="360" w:lineRule="auto"/>
        <w:jc w:val="both"/>
      </w:pPr>
    </w:p>
    <w:p w:rsidR="00E669F2" w:rsidRDefault="00E669F2">
      <w:pPr>
        <w:spacing w:line="360" w:lineRule="auto"/>
        <w:jc w:val="both"/>
      </w:pPr>
    </w:p>
    <w:p w:rsidR="00E669F2" w:rsidRDefault="00E669F2">
      <w:pPr>
        <w:spacing w:before="12" w:line="360" w:lineRule="auto"/>
        <w:jc w:val="both"/>
        <w:rPr>
          <w:sz w:val="24"/>
          <w:szCs w:val="24"/>
        </w:rPr>
      </w:pPr>
    </w:p>
    <w:p w:rsidR="00E669F2" w:rsidRDefault="005C6293">
      <w:pPr>
        <w:spacing w:line="360" w:lineRule="auto"/>
        <w:ind w:left="467"/>
        <w:jc w:val="both"/>
      </w:pPr>
      <w:r>
        <w:pict>
          <v:shape id="_x0000_i1030" type="#_x0000_t75" style="width:185.85pt;height:149.85pt">
            <v:imagedata r:id="rId53" o:title=""/>
          </v:shape>
        </w:pict>
      </w:r>
    </w:p>
    <w:p w:rsidR="00E669F2" w:rsidRDefault="00E669F2">
      <w:pPr>
        <w:spacing w:before="1" w:line="360" w:lineRule="auto"/>
        <w:jc w:val="both"/>
        <w:rPr>
          <w:sz w:val="15"/>
          <w:szCs w:val="15"/>
        </w:rPr>
      </w:pPr>
    </w:p>
    <w:p w:rsidR="00E669F2" w:rsidRDefault="00E669F2">
      <w:pPr>
        <w:spacing w:line="360" w:lineRule="auto"/>
        <w:jc w:val="both"/>
      </w:pPr>
    </w:p>
    <w:p w:rsidR="00E669F2" w:rsidRDefault="00E669F2">
      <w:pPr>
        <w:spacing w:line="360" w:lineRule="auto"/>
        <w:jc w:val="both"/>
      </w:pPr>
    </w:p>
    <w:p w:rsidR="00E669F2" w:rsidRDefault="00126F89">
      <w:pPr>
        <w:spacing w:line="360" w:lineRule="auto"/>
        <w:jc w:val="both"/>
      </w:pPr>
      <w:r>
        <w:rPr>
          <w:b/>
          <w:bCs/>
          <w:sz w:val="24"/>
          <w:szCs w:val="24"/>
        </w:rPr>
        <w:t>FIGURE 8 -SHOWING GINGIVAL HYPERPLASIA</w:t>
      </w:r>
    </w:p>
    <w:p w:rsidR="00E669F2" w:rsidRDefault="00E669F2">
      <w:pPr>
        <w:spacing w:line="360" w:lineRule="auto"/>
        <w:jc w:val="both"/>
      </w:pPr>
    </w:p>
    <w:p w:rsidR="00E669F2" w:rsidRDefault="00E669F2">
      <w:pPr>
        <w:spacing w:line="360" w:lineRule="auto"/>
        <w:jc w:val="both"/>
      </w:pPr>
    </w:p>
    <w:p w:rsidR="00E669F2" w:rsidRDefault="00E669F2">
      <w:pPr>
        <w:spacing w:before="9" w:line="360" w:lineRule="auto"/>
        <w:jc w:val="both"/>
        <w:rPr>
          <w:sz w:val="22"/>
          <w:szCs w:val="22"/>
        </w:rPr>
      </w:pPr>
    </w:p>
    <w:p w:rsidR="00E669F2" w:rsidRDefault="005C6293">
      <w:pPr>
        <w:spacing w:line="360" w:lineRule="auto"/>
        <w:ind w:left="880"/>
        <w:jc w:val="both"/>
        <w:sectPr w:rsidR="00E669F2">
          <w:pgSz w:w="12240" w:h="15840"/>
          <w:pgMar w:top="1380" w:right="1720" w:bottom="280" w:left="1100" w:header="720" w:footer="720" w:gutter="0"/>
          <w:cols w:space="720"/>
        </w:sectPr>
      </w:pPr>
      <w:r>
        <w:lastRenderedPageBreak/>
        <w:pict>
          <v:shape id="_x0000_i1031" type="#_x0000_t75" style="width:244.45pt;height:161.6pt">
            <v:imagedata r:id="rId54" o:title=""/>
          </v:shape>
        </w:pict>
      </w:r>
    </w:p>
    <w:p w:rsidR="00E669F2" w:rsidRDefault="005C6293">
      <w:pPr>
        <w:spacing w:line="360" w:lineRule="auto"/>
        <w:ind w:left="179"/>
        <w:jc w:val="both"/>
        <w:rPr>
          <w:sz w:val="28"/>
          <w:szCs w:val="28"/>
        </w:rPr>
      </w:pPr>
      <w:r>
        <w:lastRenderedPageBreak/>
        <w:pict>
          <v:shape id="_x0000_i1032" type="#_x0000_t75" style="width:218.5pt;height:134.8pt">
            <v:imagedata r:id="rId55" o:title=""/>
          </v:shape>
        </w:pict>
      </w:r>
    </w:p>
    <w:p w:rsidR="00E669F2" w:rsidRDefault="00E669F2">
      <w:pPr>
        <w:spacing w:line="360" w:lineRule="auto"/>
        <w:ind w:left="179"/>
        <w:jc w:val="both"/>
      </w:pPr>
    </w:p>
    <w:p w:rsidR="00E669F2" w:rsidRDefault="00E669F2">
      <w:pPr>
        <w:spacing w:before="2" w:line="360" w:lineRule="auto"/>
        <w:jc w:val="both"/>
        <w:rPr>
          <w:sz w:val="12"/>
          <w:szCs w:val="12"/>
        </w:rPr>
      </w:pPr>
    </w:p>
    <w:p w:rsidR="00E669F2" w:rsidRDefault="00E669F2">
      <w:pPr>
        <w:spacing w:line="360" w:lineRule="auto"/>
        <w:jc w:val="both"/>
      </w:pPr>
    </w:p>
    <w:p w:rsidR="00E669F2" w:rsidRDefault="00E669F2">
      <w:pPr>
        <w:spacing w:line="360" w:lineRule="auto"/>
        <w:jc w:val="both"/>
      </w:pPr>
    </w:p>
    <w:p w:rsidR="00E669F2" w:rsidRDefault="00126F89">
      <w:pPr>
        <w:spacing w:before="21" w:line="360" w:lineRule="auto"/>
        <w:ind w:left="100"/>
        <w:jc w:val="both"/>
        <w:rPr>
          <w:sz w:val="24"/>
          <w:szCs w:val="24"/>
        </w:rPr>
      </w:pPr>
      <w:r>
        <w:rPr>
          <w:b/>
          <w:bCs/>
          <w:sz w:val="24"/>
          <w:szCs w:val="24"/>
        </w:rPr>
        <w:t>FIGURE 9-SHOWING LICHEN PLANUS</w:t>
      </w:r>
    </w:p>
    <w:p w:rsidR="00E669F2" w:rsidRDefault="00E669F2">
      <w:pPr>
        <w:spacing w:before="29"/>
        <w:ind w:left="113"/>
        <w:rPr>
          <w:b/>
          <w:bCs/>
          <w:sz w:val="24"/>
          <w:szCs w:val="24"/>
        </w:rPr>
      </w:pPr>
    </w:p>
    <w:p w:rsidR="00E669F2" w:rsidRDefault="00E669F2">
      <w:pPr>
        <w:spacing w:before="29"/>
        <w:ind w:left="113"/>
        <w:rPr>
          <w:b/>
          <w:bCs/>
          <w:sz w:val="24"/>
          <w:szCs w:val="24"/>
        </w:rPr>
      </w:pPr>
    </w:p>
    <w:p w:rsidR="00E669F2" w:rsidRDefault="00E669F2">
      <w:pPr>
        <w:spacing w:before="29"/>
        <w:ind w:left="113"/>
        <w:rPr>
          <w:b/>
          <w:bCs/>
          <w:sz w:val="24"/>
          <w:szCs w:val="24"/>
        </w:rPr>
      </w:pPr>
    </w:p>
    <w:p w:rsidR="00E669F2" w:rsidRDefault="00E669F2">
      <w:pPr>
        <w:spacing w:before="29"/>
        <w:ind w:left="113"/>
        <w:rPr>
          <w:sz w:val="24"/>
          <w:szCs w:val="24"/>
        </w:rPr>
      </w:pPr>
    </w:p>
    <w:p w:rsidR="00E669F2" w:rsidRDefault="00E669F2">
      <w:pPr>
        <w:spacing w:before="1" w:line="120" w:lineRule="auto"/>
        <w:rPr>
          <w:sz w:val="12"/>
          <w:szCs w:val="12"/>
        </w:rPr>
      </w:pPr>
    </w:p>
    <w:p w:rsidR="00E669F2" w:rsidRDefault="00E669F2">
      <w:pPr>
        <w:spacing w:line="200" w:lineRule="auto"/>
      </w:pPr>
    </w:p>
    <w:p w:rsidR="00E669F2" w:rsidRDefault="00E669F2">
      <w:pPr>
        <w:spacing w:line="200" w:lineRule="auto"/>
      </w:pPr>
    </w:p>
    <w:p w:rsidR="00E669F2" w:rsidRDefault="00E669F2">
      <w:pPr>
        <w:spacing w:line="120" w:lineRule="auto"/>
        <w:rPr>
          <w:sz w:val="13"/>
          <w:szCs w:val="13"/>
        </w:rPr>
      </w:pPr>
    </w:p>
    <w:p w:rsidR="00E669F2" w:rsidRDefault="00E669F2">
      <w:pPr>
        <w:spacing w:line="200" w:lineRule="auto"/>
      </w:pPr>
    </w:p>
    <w:p w:rsidR="00E669F2" w:rsidRDefault="00E669F2">
      <w:pPr>
        <w:spacing w:before="6" w:line="180" w:lineRule="auto"/>
        <w:rPr>
          <w:sz w:val="18"/>
          <w:szCs w:val="18"/>
        </w:rPr>
      </w:pPr>
    </w:p>
    <w:p w:rsidR="00E669F2" w:rsidRDefault="00E669F2">
      <w:pPr>
        <w:spacing w:line="200" w:lineRule="auto"/>
      </w:pPr>
    </w:p>
    <w:sectPr w:rsidR="00E669F2">
      <w:headerReference w:type="even" r:id="rId56"/>
      <w:headerReference w:type="default" r:id="rId57"/>
      <w:headerReference w:type="first" r:id="rId58"/>
      <w:pgSz w:w="12240" w:h="15840"/>
      <w:pgMar w:top="1740" w:right="1720" w:bottom="280" w:left="1340" w:header="13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6F89" w:rsidRDefault="00126F89">
      <w:r>
        <w:separator/>
      </w:r>
    </w:p>
  </w:endnote>
  <w:endnote w:type="continuationSeparator" w:id="0">
    <w:p w:rsidR="00126F89" w:rsidRDefault="00126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956BC2F-E69F-48AB-B6D0-C24E2F636EAB}"/>
    <w:embedBold r:id="rId2" w:fontKey="{BA03E7C6-D839-4CF0-82CD-2E49D9D8B7C1}"/>
    <w:embedBoldItalic r:id="rId3" w:fontKey="{3D191F35-7090-4BEC-9921-D78BD530CB93}"/>
  </w:font>
  <w:font w:name="Calibri">
    <w:panose1 w:val="020F0502020204030204"/>
    <w:charset w:val="00"/>
    <w:family w:val="swiss"/>
    <w:pitch w:val="variable"/>
    <w:sig w:usb0="E4002EFF" w:usb1="C000247B" w:usb2="00000009" w:usb3="00000000" w:csb0="000001FF" w:csb1="00000000"/>
    <w:embedRegular r:id="rId4" w:fontKey="{205252FD-7DDC-404A-A748-4AAB949BCDFE}"/>
    <w:embedBold r:id="rId5" w:fontKey="{DBDC995C-B408-4831-AFEF-AFDD113D1FCE}"/>
    <w:embedBoldItalic r:id="rId6" w:fontKey="{61E18DBC-C55A-4523-BABF-EFF4E5E32C52}"/>
  </w:font>
  <w:font w:name="Georgia">
    <w:panose1 w:val="02040502050405020303"/>
    <w:charset w:val="00"/>
    <w:family w:val="roman"/>
    <w:pitch w:val="variable"/>
    <w:sig w:usb0="00000287" w:usb1="00000000" w:usb2="00000000" w:usb3="00000000" w:csb0="0000009F" w:csb1="00000000"/>
    <w:embedItalic r:id="rId7" w:fontKey="{11E7699D-2E67-4B87-A840-C331800B09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E669F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E669F2">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E669F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6F89" w:rsidRDefault="00126F89">
      <w:r>
        <w:separator/>
      </w:r>
    </w:p>
  </w:footnote>
  <w:footnote w:type="continuationSeparator" w:id="0">
    <w:p w:rsidR="00126F89" w:rsidRDefault="00126F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4656" behindDoc="1" locked="0" layoutInCell="1" hidden="0" allowOverlap="1">
              <wp:simplePos x="0" y="0"/>
              <wp:positionH relativeFrom="margin">
                <wp:align>center</wp:align>
              </wp:positionH>
              <wp:positionV relativeFrom="margin">
                <wp:align>center</wp:align>
              </wp:positionV>
              <wp:extent cx="7996555" cy="902335"/>
              <wp:effectExtent l="0" t="0" r="0" b="0"/>
              <wp:wrapNone/>
              <wp:docPr id="8" name="Rectangle 8"/>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8" o:spid="_x0000_s1026" style="position:absolute;margin-left:0;margin-top:0;width:629.65pt;height:71.05pt;rotation:-45;z-index:-25166182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3632" behindDoc="1" locked="0" layoutInCell="1" hidden="0" allowOverlap="1">
              <wp:simplePos x="0" y="0"/>
              <wp:positionH relativeFrom="margin">
                <wp:align>center</wp:align>
              </wp:positionH>
              <wp:positionV relativeFrom="margin">
                <wp:align>center</wp:align>
              </wp:positionV>
              <wp:extent cx="7996555" cy="902335"/>
              <wp:effectExtent l="0" t="0" r="0" b="0"/>
              <wp:wrapNone/>
              <wp:docPr id="2" name="Rectangle 2"/>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2" o:spid="_x0000_s1027" style="position:absolute;margin-left:0;margin-top:0;width:629.65pt;height:71.05pt;rotation:-45;z-index:-25166284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29.65pt;height:71.05pt;rotation:315;z-index:-25165465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7728" behindDoc="1" locked="0" layoutInCell="1" hidden="0" allowOverlap="1">
              <wp:simplePos x="0" y="0"/>
              <wp:positionH relativeFrom="margin">
                <wp:align>center</wp:align>
              </wp:positionH>
              <wp:positionV relativeFrom="margin">
                <wp:align>center</wp:align>
              </wp:positionV>
              <wp:extent cx="7996555" cy="902335"/>
              <wp:effectExtent l="0" t="0" r="0" b="0"/>
              <wp:wrapNone/>
              <wp:docPr id="1" name="Rectangle 1"/>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 xml:space="preserve">UNDER </w:t>
                          </w:r>
                          <w:r>
                            <w:rPr>
                              <w:color w:val="C0C0C0"/>
                              <w:sz w:val="144"/>
                            </w:rPr>
                            <w:t>PEER REVIEW</w:t>
                          </w:r>
                        </w:p>
                      </w:txbxContent>
                    </wps:txbx>
                    <wps:bodyPr spcFirstLastPara="1" wrap="square" lIns="91425" tIns="91425" rIns="91425" bIns="91425" anchor="ctr" anchorCtr="0">
                      <a:noAutofit/>
                    </wps:bodyPr>
                  </wps:wsp>
                </a:graphicData>
              </a:graphic>
            </wp:anchor>
          </w:drawing>
        </mc:Choice>
        <mc:Fallback>
          <w:pict>
            <v:rect id="Rectangle 1" o:spid="_x0000_s1028" style="position:absolute;margin-left:0;margin-top:0;width:629.65pt;height:71.05pt;rotation:-45;z-index:-2516587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" filled="f" stroked="f">
              <v:textbox inset="2.53958mm,2.53958mm,2.53958mm,2.53958mm">
                <w:txbxContent>
                  <w:p w:rsidR="00CE6411" w:rsidRDefault="00126F89">
                    <w:pPr>
                      <w:jc w:val="center"/>
                      <w:textDirection w:val="btLr"/>
                    </w:pPr>
                    <w:r>
                      <w:rPr>
                        <w:color w:val="C0C0C0"/>
                        <w:sz w:val="144"/>
                      </w:rPr>
                      <w:t xml:space="preserve">UNDER </w:t>
                    </w:r>
                    <w:r>
                      <w:rPr>
                        <w:color w:val="C0C0C0"/>
                        <w:sz w:val="144"/>
                      </w:rPr>
                      <w:t>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spacing w:line="200" w:lineRule="auto"/>
    </w:pPr>
    <w:r>
      <w:rPr>
        <w:noProof/>
      </w:rPr>
      <mc:AlternateContent>
        <mc:Choice Requires="wps">
          <w:drawing>
            <wp:anchor distT="0" distB="0" distL="0" distR="0" simplePos="0" relativeHeight="251655680" behindDoc="1" locked="0" layoutInCell="1" hidden="0" allowOverlap="1">
              <wp:simplePos x="0" y="0"/>
              <wp:positionH relativeFrom="margin">
                <wp:align>center</wp:align>
              </wp:positionH>
              <wp:positionV relativeFrom="margin">
                <wp:align>center</wp:align>
              </wp:positionV>
              <wp:extent cx="7996555" cy="902335"/>
              <wp:effectExtent l="0" t="0" r="0" b="0"/>
              <wp:wrapNone/>
              <wp:docPr id="4" name="Rectangle 4"/>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4" o:spid="_x0000_s1029" style="position:absolute;margin-left:0;margin-top:0;width:629.65pt;height:71.05pt;rotation:-45;z-index:-25166080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6704" behindDoc="1" locked="0" layoutInCell="1" hidden="0" allowOverlap="1">
              <wp:simplePos x="0" y="0"/>
              <wp:positionH relativeFrom="margin">
                <wp:align>center</wp:align>
              </wp:positionH>
              <wp:positionV relativeFrom="margin">
                <wp:align>center</wp:align>
              </wp:positionV>
              <wp:extent cx="7996555" cy="902335"/>
              <wp:effectExtent l="0" t="0" r="0" b="0"/>
              <wp:wrapNone/>
              <wp:docPr id="5" name="Rectangle 5"/>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5" o:spid="_x0000_s1030" style="position:absolute;margin-left:0;margin-top:0;width:629.65pt;height:71.05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60800" behindDoc="1" locked="0" layoutInCell="1" hidden="0" allowOverlap="1">
              <wp:simplePos x="0" y="0"/>
              <wp:positionH relativeFrom="margin">
                <wp:align>center</wp:align>
              </wp:positionH>
              <wp:positionV relativeFrom="margin">
                <wp:align>center</wp:align>
              </wp:positionV>
              <wp:extent cx="7996555" cy="902335"/>
              <wp:effectExtent l="0" t="0" r="0" b="0"/>
              <wp:wrapNone/>
              <wp:docPr id="6" name="Rectangle 6"/>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6" o:spid="_x0000_s1031" style="position:absolute;margin-left:0;margin-top:0;width:629.65pt;height:71.05pt;rotation:-45;z-index:-25165568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spacing w:line="200" w:lineRule="auto"/>
    </w:pPr>
    <w:r>
      <w:rPr>
        <w:noProof/>
      </w:rPr>
      <mc:AlternateContent>
        <mc:Choice Requires="wps">
          <w:drawing>
            <wp:anchor distT="0" distB="0" distL="0" distR="0" simplePos="0" relativeHeight="251658752" behindDoc="1" locked="0" layoutInCell="1" hidden="0" allowOverlap="1">
              <wp:simplePos x="0" y="0"/>
              <wp:positionH relativeFrom="margin">
                <wp:align>center</wp:align>
              </wp:positionH>
              <wp:positionV relativeFrom="margin">
                <wp:align>center</wp:align>
              </wp:positionV>
              <wp:extent cx="7996555" cy="902335"/>
              <wp:effectExtent l="0" t="0" r="0" b="0"/>
              <wp:wrapNone/>
              <wp:docPr id="3" name="Rectangle 3"/>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3" o:spid="_x0000_s1032" style="position:absolute;margin-left:0;margin-top:0;width:629.65pt;height:71.05pt;rotation:-45;z-index:-25165772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9F2" w:rsidRDefault="00126F89">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9776" behindDoc="1" locked="0" layoutInCell="1" hidden="0" allowOverlap="1">
              <wp:simplePos x="0" y="0"/>
              <wp:positionH relativeFrom="margin">
                <wp:align>center</wp:align>
              </wp:positionH>
              <wp:positionV relativeFrom="margin">
                <wp:align>center</wp:align>
              </wp:positionV>
              <wp:extent cx="7996555" cy="902335"/>
              <wp:effectExtent l="0" t="0" r="0" b="0"/>
              <wp:wrapNone/>
              <wp:docPr id="7" name="Rectangle 7"/>
              <wp:cNvGraphicFramePr/>
              <a:graphic xmlns:a="http://schemas.openxmlformats.org/drawingml/2006/main">
                <a:graphicData uri="http://schemas.microsoft.com/office/word/2010/wordprocessingShape">
                  <wps:wsp>
                    <wps:cNvSpPr/>
                    <wps:spPr>
                      <a:xfrm rot="-2700000">
                        <a:off x="0" y="0"/>
                        <a:ext cx="7996555" cy="902335"/>
                      </a:xfrm>
                      <a:prstGeom prst="rect">
                        <a:avLst/>
                      </a:prstGeom>
                    </wps:spPr>
                    <wps:txbx>
                      <w:txbxContent>
                        <w:p w:rsidR="00CE6411" w:rsidRDefault="00126F89">
                          <w:pPr>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7" o:spid="_x0000_s1033" style="position:absolute;margin-left:0;margin-top:0;width:629.65pt;height:71.05pt;rotation:-45;z-index:-25165670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" filled="f" stroked="f">
              <v:textbox inset="2.53958mm,2.53958mm,2.53958mm,2.53958mm">
                <w:txbxContent>
                  <w:p w:rsidR="00CE6411" w:rsidRDefault="00126F89">
                    <w:pPr>
                      <w:jc w:val="center"/>
                      <w:textDirection w:val="btLr"/>
                    </w:pPr>
                    <w:r>
                      <w:rPr>
                        <w:color w:val="C0C0C0"/>
                        <w:sz w:val="144"/>
                      </w:rPr>
                      <w:t>UNDER PEER REVIEW</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AD442D"/>
    <w:multiLevelType w:val="multilevel"/>
    <w:tmpl w:val="6A965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D3C455A"/>
    <w:multiLevelType w:val="multilevel"/>
    <w:tmpl w:val="C6A42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309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9F2"/>
    <w:rsid w:val="00126F89"/>
    <w:rsid w:val="005C6293"/>
    <w:rsid w:val="00E6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92"/>
    <o:shapelayout v:ext="edit">
      <o:idmap v:ext="edit" data="1,3"/>
    </o:shapelayout>
  </w:shapeDefaults>
  <w:decimalSymbol w:val="."/>
  <w:listSeparator w:val=","/>
  <w14:docId w14:val="6F207FFA"/>
  <w15:docId w15:val="{86007185-D2A1-4607-9546-13421E5E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bCs/>
      <w:i/>
      <w:iCs/>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ubmed.ncbi.nlm.nih.gov/22923893/" TargetMode="External"/><Relationship Id="rId18" Type="http://schemas.openxmlformats.org/officeDocument/2006/relationships/hyperlink" Target="https://pubmed.ncbi.nlm.nih.gov/35974945/" TargetMode="External"/><Relationship Id="rId26" Type="http://schemas.openxmlformats.org/officeDocument/2006/relationships/hyperlink" Target="https://pubmed.ncbi.nlm.nih.gov/21887624/" TargetMode="External"/><Relationship Id="rId39" Type="http://schemas.openxmlformats.org/officeDocument/2006/relationships/hyperlink" Target="https://pubmed.ncbi.nlm.nih.gov/21887624/" TargetMode="External"/><Relationship Id="rId21" Type="http://schemas.openxmlformats.org/officeDocument/2006/relationships/hyperlink" Target="https://pubmed.ncbi.nlm.nih.gov/22923893/" TargetMode="External"/><Relationship Id="rId34" Type="http://schemas.openxmlformats.org/officeDocument/2006/relationships/hyperlink" Target="https://pubmed.ncbi.nlm.nih.gov/20120430/" TargetMode="External"/><Relationship Id="rId42" Type="http://schemas.openxmlformats.org/officeDocument/2006/relationships/hyperlink" Target="https://pmc.ncbi.nlm.nih.gov/articles/PMC7177425/" TargetMode="External"/><Relationship Id="rId47" Type="http://schemas.openxmlformats.org/officeDocument/2006/relationships/header" Target="header4.xml"/><Relationship Id="rId50" Type="http://schemas.openxmlformats.org/officeDocument/2006/relationships/image" Target="media/image4.jpeg"/><Relationship Id="rId55" Type="http://schemas.openxmlformats.org/officeDocument/2006/relationships/image" Target="media/image9.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searchgate.net/publication/354213086_Oral_Manifestations_of_Patients_Taking_Anti-Hypertensive_Medications" TargetMode="External"/><Relationship Id="rId29" Type="http://schemas.openxmlformats.org/officeDocument/2006/relationships/hyperlink" Target="https://forschung.medunigraz.at/fodok/suchen.citation_classics?sprache_in=en&amp;ansicht_in&amp;menue_id_in=400&amp;suchfeld_in" TargetMode="External"/><Relationship Id="rId11" Type="http://schemas.openxmlformats.org/officeDocument/2006/relationships/header" Target="header3.xml"/><Relationship Id="rId24" Type="http://schemas.openxmlformats.org/officeDocument/2006/relationships/hyperlink" Target="https://pubmed.ncbi.nlm.nih.gov/24526921/" TargetMode="External"/><Relationship Id="rId32" Type="http://schemas.openxmlformats.org/officeDocument/2006/relationships/hyperlink" Target="https://pubmed.ncbi.nlm.nih.gov/10052772/" TargetMode="External"/><Relationship Id="rId37" Type="http://schemas.openxmlformats.org/officeDocument/2006/relationships/hyperlink" Target="https://pubmed.ncbi.nlm.nih.gov/32260482/" TargetMode="External"/><Relationship Id="rId40" Type="http://schemas.openxmlformats.org/officeDocument/2006/relationships/hyperlink" Target="https://pubmed.ncbi.nlm.nih.gov/21887624/" TargetMode="External"/><Relationship Id="rId45" Type="http://schemas.openxmlformats.org/officeDocument/2006/relationships/image" Target="media/image2.jpeg"/><Relationship Id="rId53" Type="http://schemas.openxmlformats.org/officeDocument/2006/relationships/image" Target="media/image7.jpeg"/><Relationship Id="rId58" Type="http://schemas.openxmlformats.org/officeDocument/2006/relationships/header" Target="header9.xml"/><Relationship Id="rId5" Type="http://schemas.openxmlformats.org/officeDocument/2006/relationships/footnotes" Target="footnotes.xml"/><Relationship Id="rId19" Type="http://schemas.openxmlformats.org/officeDocument/2006/relationships/hyperlink" Target="https://pubmed.ncbi.nlm.nih.gov/1005277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ubmed.ncbi.nlm.nih.gov/22923893/" TargetMode="External"/><Relationship Id="rId22" Type="http://schemas.openxmlformats.org/officeDocument/2006/relationships/hyperlink" Target="https://pubmed.ncbi.nlm.nih.gov/22923893/" TargetMode="External"/><Relationship Id="rId27" Type="http://schemas.openxmlformats.org/officeDocument/2006/relationships/hyperlink" Target="https://pubmed.ncbi.nlm.nih.gov/31105578/" TargetMode="External"/><Relationship Id="rId30" Type="http://schemas.openxmlformats.org/officeDocument/2006/relationships/hyperlink" Target="https://forschung.medunigraz.at/fodok/suchen.citation_classics?sprache_in=en&amp;ansicht_in&amp;menue_id_in=400&amp;suchfeld_in" TargetMode="External"/><Relationship Id="rId35" Type="http://schemas.openxmlformats.org/officeDocument/2006/relationships/hyperlink" Target="https://publish.kne-publishing.com/index.php/CBJ/article/view/12155" TargetMode="External"/><Relationship Id="rId43" Type="http://schemas.openxmlformats.org/officeDocument/2006/relationships/hyperlink" Target="https://pubmed.ncbi.nlm.nih.gov/25653532/" TargetMode="External"/><Relationship Id="rId48" Type="http://schemas.openxmlformats.org/officeDocument/2006/relationships/header" Target="header5.xml"/><Relationship Id="rId56" Type="http://schemas.openxmlformats.org/officeDocument/2006/relationships/header" Target="header7.xml"/><Relationship Id="rId8" Type="http://schemas.openxmlformats.org/officeDocument/2006/relationships/header" Target="header2.xm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pubmed.ncbi.nlm.nih.gov/35974945/" TargetMode="External"/><Relationship Id="rId25" Type="http://schemas.openxmlformats.org/officeDocument/2006/relationships/hyperlink" Target="https://pubmed.ncbi.nlm.nih.gov/21887624/" TargetMode="External"/><Relationship Id="rId33" Type="http://schemas.openxmlformats.org/officeDocument/2006/relationships/hyperlink" Target="https://pubmed.ncbi.nlm.nih.gov/26229273/" TargetMode="External"/><Relationship Id="rId38" Type="http://schemas.openxmlformats.org/officeDocument/2006/relationships/hyperlink" Target="http://rjor.ro/wp-content/uploads/2024/06/RISKS-AND-CONSIDERATIONS-IN-ORAL-REHABILITATION-OF-ELDERLY-HYPERTENSIVE-PATIENTS.pdf" TargetMode="External"/><Relationship Id="rId46" Type="http://schemas.openxmlformats.org/officeDocument/2006/relationships/image" Target="media/image3.png"/><Relationship Id="rId59" Type="http://schemas.openxmlformats.org/officeDocument/2006/relationships/fontTable" Target="fontTable.xml"/><Relationship Id="rId20" Type="http://schemas.openxmlformats.org/officeDocument/2006/relationships/hyperlink" Target="https://pmc.ncbi.nlm.nih.gov/articles/PMC7177425/" TargetMode="External"/><Relationship Id="rId41" Type="http://schemas.openxmlformats.org/officeDocument/2006/relationships/hyperlink" Target="https://pubmed.ncbi.nlm.nih.gov/34897644/" TargetMode="External"/><Relationship Id="rId54"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searchgate.net/publication/354213086_Oral_Manifestations_of_Patients_Taking_Anti-Hypertensive_Medications" TargetMode="External"/><Relationship Id="rId23" Type="http://schemas.openxmlformats.org/officeDocument/2006/relationships/hyperlink" Target="https://pmc.ncbi.nlm.nih.gov/articles/PMC9452307/" TargetMode="External"/><Relationship Id="rId28" Type="http://schemas.openxmlformats.org/officeDocument/2006/relationships/hyperlink" Target="https://pubmed.ncbi.nlm.nih.gov/28419559/" TargetMode="External"/><Relationship Id="rId36" Type="http://schemas.openxmlformats.org/officeDocument/2006/relationships/hyperlink" Target="https://publish.kne-publishing.com/index.php/CBJ/article/view/12155" TargetMode="External"/><Relationship Id="rId49" Type="http://schemas.openxmlformats.org/officeDocument/2006/relationships/header" Target="header6.xml"/><Relationship Id="rId57" Type="http://schemas.openxmlformats.org/officeDocument/2006/relationships/header" Target="header8.xml"/><Relationship Id="rId10" Type="http://schemas.openxmlformats.org/officeDocument/2006/relationships/footer" Target="footer2.xml"/><Relationship Id="rId31" Type="http://schemas.openxmlformats.org/officeDocument/2006/relationships/hyperlink" Target="https://pubmed.ncbi.nlm.nih.gov/24526921/" TargetMode="External"/><Relationship Id="rId44" Type="http://schemas.openxmlformats.org/officeDocument/2006/relationships/image" Target="media/image1.jpeg"/><Relationship Id="rId52" Type="http://schemas.openxmlformats.org/officeDocument/2006/relationships/image" Target="media/image6.jpeg"/><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4087</Words>
  <Characters>23301</Characters>
  <Application>Microsoft Office Word</Application>
  <DocSecurity>0</DocSecurity>
  <Lines>194</Lines>
  <Paragraphs>54</Paragraphs>
  <ScaleCrop>false</ScaleCrop>
  <Company/>
  <LinksUpToDate>false</LinksUpToDate>
  <CharactersWithSpaces>27334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cp:revision>
  <dcterms:created xsi:type="dcterms:W3CDTF">2026-03-06T12:14:00Z</dcterms:created>
  <dcterms:modified xsi:type="dcterms:W3CDTF">2026-03-06T12:17:00Z</dcterms:modified>
</cp:coreProperties>
</file>