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0D5CA" w14:textId="77777777" w:rsidR="00754C9A" w:rsidRDefault="00754C9A" w:rsidP="00441B6F">
      <w:pPr>
        <w:pStyle w:val="Titre"/>
        <w:spacing w:after="0"/>
        <w:jc w:val="both"/>
        <w:rPr>
          <w:rFonts w:ascii="Arial" w:hAnsi="Arial" w:cs="Arial"/>
        </w:rPr>
      </w:pPr>
    </w:p>
    <w:p w14:paraId="0BEC1A5F" w14:textId="77777777" w:rsidR="00322F12" w:rsidRPr="00AD457A" w:rsidRDefault="00322F12" w:rsidP="00322F12">
      <w:pPr>
        <w:pStyle w:val="NormalWeb"/>
        <w:jc w:val="center"/>
        <w:rPr>
          <w:rFonts w:asciiTheme="minorBidi" w:hAnsiTheme="minorBidi" w:cstheme="minorBidi"/>
          <w:b/>
          <w:bCs/>
          <w:i/>
          <w:iCs/>
          <w:sz w:val="36"/>
          <w:szCs w:val="36"/>
          <w:u w:val="single"/>
          <w:lang w:val="en-IN"/>
        </w:rPr>
      </w:pPr>
      <w:r w:rsidRPr="00AD457A">
        <w:rPr>
          <w:rFonts w:asciiTheme="minorBidi" w:hAnsiTheme="minorBidi" w:cstheme="minorBidi"/>
          <w:b/>
          <w:bCs/>
          <w:i/>
          <w:iCs/>
          <w:sz w:val="36"/>
          <w:szCs w:val="36"/>
          <w:u w:val="single"/>
          <w:lang w:val="en-IN"/>
        </w:rPr>
        <w:t xml:space="preserve">Case study </w:t>
      </w:r>
    </w:p>
    <w:p w14:paraId="06DDF4DE" w14:textId="7577F313" w:rsidR="00703E0F" w:rsidRPr="00322F12" w:rsidRDefault="00322F12" w:rsidP="00322F12">
      <w:pPr>
        <w:pStyle w:val="NormalWeb"/>
        <w:jc w:val="center"/>
        <w:rPr>
          <w:rFonts w:asciiTheme="minorBidi" w:hAnsiTheme="minorBidi" w:cstheme="minorBidi"/>
          <w:b/>
          <w:bCs/>
          <w:i/>
          <w:iCs/>
          <w:sz w:val="36"/>
          <w:szCs w:val="36"/>
          <w:u w:val="single"/>
          <w:lang w:val="en-IN"/>
        </w:rPr>
      </w:pPr>
      <w:r w:rsidRPr="00322F12">
        <w:rPr>
          <w:rFonts w:asciiTheme="minorBidi" w:hAnsiTheme="minorBidi" w:cstheme="minorBidi"/>
          <w:b/>
          <w:bCs/>
          <w:i/>
          <w:iCs/>
          <w:sz w:val="36"/>
          <w:szCs w:val="36"/>
          <w:u w:val="single"/>
          <w:lang w:val="en-IN"/>
        </w:rPr>
        <w:t xml:space="preserve">Clinical and Radiological Outcomes of </w:t>
      </w:r>
      <w:proofErr w:type="spellStart"/>
      <w:r w:rsidRPr="00322F12">
        <w:rPr>
          <w:rFonts w:asciiTheme="minorBidi" w:hAnsiTheme="minorBidi" w:cstheme="minorBidi"/>
          <w:b/>
          <w:bCs/>
          <w:i/>
          <w:iCs/>
          <w:sz w:val="36"/>
          <w:szCs w:val="36"/>
          <w:u w:val="single"/>
          <w:lang w:val="en-IN"/>
        </w:rPr>
        <w:t>Dega</w:t>
      </w:r>
      <w:proofErr w:type="spellEnd"/>
      <w:r w:rsidRPr="00322F12">
        <w:rPr>
          <w:rFonts w:asciiTheme="minorBidi" w:hAnsiTheme="minorBidi" w:cstheme="minorBidi"/>
          <w:b/>
          <w:bCs/>
          <w:i/>
          <w:iCs/>
          <w:sz w:val="36"/>
          <w:szCs w:val="36"/>
          <w:u w:val="single"/>
          <w:lang w:val="en-IN"/>
        </w:rPr>
        <w:t xml:space="preserve"> Pelvic Osteotomy in Developmental Dysplasia of the Hip: A Case Series of 12 Hips in Children</w:t>
      </w:r>
    </w:p>
    <w:p w14:paraId="77301509" w14:textId="009247ED" w:rsidR="00B01FCD" w:rsidRPr="00FB3A86" w:rsidRDefault="008E2E89" w:rsidP="00441B6F">
      <w:pPr>
        <w:pStyle w:val="Copyright"/>
        <w:spacing w:after="0" w:line="240" w:lineRule="auto"/>
        <w:jc w:val="both"/>
        <w:rPr>
          <w:rFonts w:ascii="Arial" w:hAnsi="Arial" w:cs="Arial"/>
        </w:rPr>
        <w:sectPr w:rsidR="00B01FCD" w:rsidRPr="00FB3A86" w:rsidSect="003371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1F754A1" wp14:editId="2876756A">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65649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AA3F395" w14:textId="77777777" w:rsidR="00790ADA" w:rsidRPr="00FB3A86" w:rsidRDefault="00B01FCD" w:rsidP="004C41BA">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4E5B161" w14:textId="77777777" w:rsidTr="001E44FE">
        <w:tc>
          <w:tcPr>
            <w:tcW w:w="9576" w:type="dxa"/>
            <w:shd w:val="clear" w:color="auto" w:fill="F2F2F2"/>
          </w:tcPr>
          <w:p w14:paraId="4EC4519A" w14:textId="77777777" w:rsidR="004C41BA" w:rsidRPr="00D23EA4" w:rsidRDefault="004C41BA" w:rsidP="004C41BA">
            <w:pPr>
              <w:pStyle w:val="Body"/>
              <w:spacing w:after="0"/>
              <w:rPr>
                <w:rFonts w:ascii="Arial" w:eastAsia="Calibri" w:hAnsi="Arial" w:cs="Arial"/>
                <w:b/>
                <w:bCs/>
                <w:szCs w:val="22"/>
              </w:rPr>
            </w:pPr>
            <w:r w:rsidRPr="00D23EA4">
              <w:rPr>
                <w:rFonts w:ascii="Arial" w:eastAsia="Calibri" w:hAnsi="Arial" w:cs="Arial"/>
                <w:b/>
                <w:bCs/>
                <w:szCs w:val="22"/>
              </w:rPr>
              <w:t xml:space="preserve">Introduction: </w:t>
            </w:r>
          </w:p>
          <w:p w14:paraId="5C7B5CCE"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Developmental dysplasia of the hip (DDH) diagnosed after walking age often requires surgical correction to restore adequate femoral head coverage and prevent long-term joint degeneration. Among pelvic osteotomies, the Dega osteotomy is widely used in skeletally immature patients because it allows controlled acetabular remodeling while preserving pelvic stability.</w:t>
            </w:r>
          </w:p>
          <w:p w14:paraId="03A43F34"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b/>
                <w:bCs/>
                <w:szCs w:val="22"/>
              </w:rPr>
              <w:t>Methods</w:t>
            </w:r>
            <w:r>
              <w:rPr>
                <w:rFonts w:ascii="Arial" w:eastAsia="Calibri" w:hAnsi="Arial" w:cs="Arial"/>
                <w:b/>
                <w:bCs/>
                <w:szCs w:val="22"/>
              </w:rPr>
              <w:t>:</w:t>
            </w:r>
          </w:p>
          <w:p w14:paraId="4F1964BD"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 xml:space="preserve">We conducted a retrospective case series including 12 dysplastic hips in 8 children treated with Dega pelvic osteotomy between December 2020 and December 2023 in a tertiary pediatric orthopedic center. Clinical outcomes were assessed using the modified McKay classification. Radiological evaluation included the acetabular index (AI), lateral center-edge angle (LCEA), Wagner index, and </w:t>
            </w:r>
            <w:proofErr w:type="spellStart"/>
            <w:r w:rsidRPr="00D23EA4">
              <w:rPr>
                <w:rFonts w:ascii="Arial" w:eastAsia="Calibri" w:hAnsi="Arial" w:cs="Arial"/>
                <w:szCs w:val="22"/>
              </w:rPr>
              <w:t>Tönnis</w:t>
            </w:r>
            <w:proofErr w:type="spellEnd"/>
            <w:r w:rsidRPr="00D23EA4">
              <w:rPr>
                <w:rFonts w:ascii="Arial" w:eastAsia="Calibri" w:hAnsi="Arial" w:cs="Arial"/>
                <w:szCs w:val="22"/>
              </w:rPr>
              <w:t xml:space="preserve"> and </w:t>
            </w:r>
            <w:proofErr w:type="spellStart"/>
            <w:r w:rsidRPr="00D23EA4">
              <w:rPr>
                <w:rFonts w:ascii="Arial" w:eastAsia="Calibri" w:hAnsi="Arial" w:cs="Arial"/>
                <w:szCs w:val="22"/>
              </w:rPr>
              <w:t>Severin</w:t>
            </w:r>
            <w:proofErr w:type="spellEnd"/>
            <w:r w:rsidRPr="00D23EA4">
              <w:rPr>
                <w:rFonts w:ascii="Arial" w:eastAsia="Calibri" w:hAnsi="Arial" w:cs="Arial"/>
                <w:szCs w:val="22"/>
              </w:rPr>
              <w:t xml:space="preserve"> classifications.</w:t>
            </w:r>
          </w:p>
          <w:p w14:paraId="1C3A7F01"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b/>
                <w:bCs/>
                <w:szCs w:val="22"/>
              </w:rPr>
              <w:t>Results</w:t>
            </w:r>
            <w:r>
              <w:rPr>
                <w:rFonts w:ascii="Arial" w:eastAsia="Calibri" w:hAnsi="Arial" w:cs="Arial"/>
                <w:b/>
                <w:bCs/>
                <w:szCs w:val="22"/>
              </w:rPr>
              <w:t>:</w:t>
            </w:r>
          </w:p>
          <w:p w14:paraId="0B2702C3"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The mean age at surgery was 4 years (range: 2–6 years) with a female predominance (75%). At final follow-up (mean: 18 months; range: 6–36 months), satisfactory clinical outcomes (McKay grades I and II) were observed in 87.5% of patients</w:t>
            </w:r>
            <w:proofErr w:type="gramStart"/>
            <w:r w:rsidRPr="00D23EA4">
              <w:rPr>
                <w:rFonts w:ascii="Arial" w:eastAsia="Calibri" w:hAnsi="Arial" w:cs="Arial"/>
                <w:szCs w:val="22"/>
              </w:rPr>
              <w:t>..</w:t>
            </w:r>
            <w:proofErr w:type="gramEnd"/>
            <w:r w:rsidRPr="00D23EA4">
              <w:rPr>
                <w:rFonts w:ascii="Arial" w:eastAsia="Calibri" w:hAnsi="Arial" w:cs="Arial"/>
                <w:szCs w:val="22"/>
              </w:rPr>
              <w:t xml:space="preserve"> The mean acetabular index improved from 30.9° preoperatively to 11.3°at final follow-up, while the mean lateral center-edge angle increased from 16° to 28.9°. The Wagner index normalized with a mean value of 90%. Radiological outcomes according to the </w:t>
            </w:r>
            <w:proofErr w:type="spellStart"/>
            <w:r w:rsidRPr="00D23EA4">
              <w:rPr>
                <w:rFonts w:ascii="Arial" w:eastAsia="Calibri" w:hAnsi="Arial" w:cs="Arial"/>
                <w:szCs w:val="22"/>
              </w:rPr>
              <w:t>Tönnis</w:t>
            </w:r>
            <w:proofErr w:type="spellEnd"/>
            <w:r w:rsidRPr="00D23EA4">
              <w:rPr>
                <w:rFonts w:ascii="Arial" w:eastAsia="Calibri" w:hAnsi="Arial" w:cs="Arial"/>
                <w:szCs w:val="22"/>
              </w:rPr>
              <w:t xml:space="preserve"> and </w:t>
            </w:r>
            <w:proofErr w:type="spellStart"/>
            <w:r w:rsidRPr="00D23EA4">
              <w:rPr>
                <w:rFonts w:ascii="Arial" w:eastAsia="Calibri" w:hAnsi="Arial" w:cs="Arial"/>
                <w:szCs w:val="22"/>
              </w:rPr>
              <w:t>Severin</w:t>
            </w:r>
            <w:proofErr w:type="spellEnd"/>
            <w:r w:rsidRPr="00D23EA4">
              <w:rPr>
                <w:rFonts w:ascii="Arial" w:eastAsia="Calibri" w:hAnsi="Arial" w:cs="Arial"/>
                <w:szCs w:val="22"/>
              </w:rPr>
              <w:t xml:space="preserve"> classifications were satisfactory in all hips. Complications were limited and included transient stiffness,</w:t>
            </w:r>
            <w:r w:rsidR="00FB1B07">
              <w:rPr>
                <w:rFonts w:ascii="Arial" w:eastAsia="Calibri" w:hAnsi="Arial" w:cs="Arial"/>
                <w:szCs w:val="22"/>
              </w:rPr>
              <w:t xml:space="preserve"> </w:t>
            </w:r>
            <w:r w:rsidRPr="00D23EA4">
              <w:rPr>
                <w:rFonts w:ascii="Arial" w:eastAsia="Calibri" w:hAnsi="Arial" w:cs="Arial"/>
                <w:szCs w:val="22"/>
              </w:rPr>
              <w:t>one recurrence and one patient presented an avascular necrosis of the hip.</w:t>
            </w:r>
          </w:p>
          <w:p w14:paraId="72A1AB8F"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b/>
                <w:bCs/>
                <w:szCs w:val="22"/>
              </w:rPr>
              <w:t>Conclusion</w:t>
            </w:r>
            <w:r>
              <w:rPr>
                <w:rFonts w:ascii="Arial" w:eastAsia="Calibri" w:hAnsi="Arial" w:cs="Arial"/>
                <w:b/>
                <w:bCs/>
                <w:szCs w:val="22"/>
              </w:rPr>
              <w:t>:</w:t>
            </w:r>
          </w:p>
          <w:p w14:paraId="66544344" w14:textId="77777777" w:rsidR="00730460" w:rsidRPr="00CB7DEE" w:rsidRDefault="00730460" w:rsidP="00730460">
            <w:pPr>
              <w:spacing w:before="100" w:beforeAutospacing="1" w:after="100" w:afterAutospacing="1"/>
              <w:rPr>
                <w:rFonts w:asciiTheme="minorBidi" w:hAnsiTheme="minorBidi" w:cstheme="minorBidi"/>
                <w:lang w:eastAsia="fr-FR"/>
              </w:rPr>
            </w:pPr>
            <w:r w:rsidRPr="00CB7DEE">
              <w:rPr>
                <w:rFonts w:asciiTheme="minorBidi" w:hAnsiTheme="minorBidi" w:cstheme="minorBidi"/>
                <w:highlight w:val="yellow"/>
                <w:lang w:eastAsia="fr-FR"/>
              </w:rPr>
              <w:t xml:space="preserve">In this retrospective case series of </w:t>
            </w:r>
            <w:r w:rsidRPr="00730460">
              <w:rPr>
                <w:rFonts w:asciiTheme="minorBidi" w:hAnsiTheme="minorBidi" w:cstheme="minorBidi"/>
                <w:b/>
                <w:bCs/>
                <w:highlight w:val="yellow"/>
                <w:lang w:eastAsia="fr-FR"/>
              </w:rPr>
              <w:t>12 hips in 8 children with a mean follow-up of 18 months</w:t>
            </w:r>
            <w:r w:rsidRPr="00CB7DEE">
              <w:rPr>
                <w:rFonts w:asciiTheme="minorBidi" w:hAnsiTheme="minorBidi" w:cstheme="minorBidi"/>
                <w:highlight w:val="yellow"/>
                <w:lang w:eastAsia="fr-FR"/>
              </w:rPr>
              <w:t xml:space="preserve">, </w:t>
            </w:r>
            <w:proofErr w:type="spellStart"/>
            <w:r w:rsidRPr="00CB7DEE">
              <w:rPr>
                <w:rFonts w:asciiTheme="minorBidi" w:hAnsiTheme="minorBidi" w:cstheme="minorBidi"/>
                <w:highlight w:val="yellow"/>
                <w:lang w:eastAsia="fr-FR"/>
              </w:rPr>
              <w:t>Dega</w:t>
            </w:r>
            <w:proofErr w:type="spellEnd"/>
            <w:r w:rsidRPr="00CB7DEE">
              <w:rPr>
                <w:rFonts w:asciiTheme="minorBidi" w:hAnsiTheme="minorBidi" w:cstheme="minorBidi"/>
                <w:highlight w:val="yellow"/>
                <w:lang w:eastAsia="fr-FR"/>
              </w:rPr>
              <w:t xml:space="preserve"> pelvic osteotomy proved to be a reliable surgical option for the treatment of pediatric hip dysplasia, providing significant improvement in </w:t>
            </w:r>
            <w:proofErr w:type="spellStart"/>
            <w:r w:rsidRPr="00CB7DEE">
              <w:rPr>
                <w:rFonts w:asciiTheme="minorBidi" w:hAnsiTheme="minorBidi" w:cstheme="minorBidi"/>
                <w:highlight w:val="yellow"/>
                <w:lang w:eastAsia="fr-FR"/>
              </w:rPr>
              <w:t>acetabular</w:t>
            </w:r>
            <w:proofErr w:type="spellEnd"/>
            <w:r w:rsidRPr="00CB7DEE">
              <w:rPr>
                <w:rFonts w:asciiTheme="minorBidi" w:hAnsiTheme="minorBidi" w:cstheme="minorBidi"/>
                <w:highlight w:val="yellow"/>
                <w:lang w:eastAsia="fr-FR"/>
              </w:rPr>
              <w:t xml:space="preserve"> coverage and satisfactory clinical outcomes with a low complication rate. </w:t>
            </w:r>
            <w:r w:rsidRPr="00730460">
              <w:rPr>
                <w:rFonts w:asciiTheme="minorBidi" w:hAnsiTheme="minorBidi" w:cstheme="minorBidi"/>
                <w:b/>
                <w:bCs/>
                <w:highlight w:val="yellow"/>
                <w:lang w:eastAsia="fr-FR"/>
              </w:rPr>
              <w:t>Longer follow-up studies are required to confirm the durability of these results.</w:t>
            </w:r>
          </w:p>
          <w:p w14:paraId="3F3F7A0C" w14:textId="00CA2759"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w:t>
            </w:r>
          </w:p>
          <w:p w14:paraId="0139E3D2" w14:textId="77777777" w:rsidR="00505F06" w:rsidRPr="00BA1B01" w:rsidRDefault="00505F06" w:rsidP="00441B6F">
            <w:pPr>
              <w:pStyle w:val="Body"/>
              <w:spacing w:after="0"/>
              <w:rPr>
                <w:rFonts w:ascii="Arial" w:eastAsia="Calibri" w:hAnsi="Arial" w:cs="Arial"/>
                <w:szCs w:val="22"/>
              </w:rPr>
            </w:pPr>
          </w:p>
        </w:tc>
      </w:tr>
    </w:tbl>
    <w:p w14:paraId="1AD291A9" w14:textId="77777777" w:rsidR="00636EB2" w:rsidRDefault="00636EB2" w:rsidP="00441B6F">
      <w:pPr>
        <w:pStyle w:val="Body"/>
        <w:spacing w:after="0"/>
        <w:rPr>
          <w:rFonts w:ascii="Arial" w:hAnsi="Arial" w:cs="Arial"/>
          <w:i/>
        </w:rPr>
      </w:pPr>
    </w:p>
    <w:p w14:paraId="1B2AC0F3" w14:textId="77777777" w:rsidR="0024282C" w:rsidRDefault="00A24E7E" w:rsidP="004C41BA">
      <w:pPr>
        <w:pStyle w:val="Body"/>
        <w:spacing w:after="0"/>
        <w:rPr>
          <w:rFonts w:ascii="Arial" w:hAnsi="Arial" w:cs="Arial"/>
          <w:i/>
          <w:sz w:val="18"/>
        </w:rPr>
      </w:pPr>
      <w:r>
        <w:rPr>
          <w:rFonts w:ascii="Arial" w:hAnsi="Arial" w:cs="Arial"/>
          <w:i/>
        </w:rPr>
        <w:t xml:space="preserve">Keywords: </w:t>
      </w:r>
      <w:r w:rsidR="004C41BA" w:rsidRPr="00D23EA4">
        <w:rPr>
          <w:rFonts w:ascii="Arial" w:hAnsi="Arial" w:cs="Arial"/>
          <w:i/>
        </w:rPr>
        <w:t>Developmental dysplasia of the hip;</w:t>
      </w:r>
      <w:r w:rsidR="00FB1B07">
        <w:rPr>
          <w:rFonts w:ascii="Arial" w:hAnsi="Arial" w:cs="Arial"/>
          <w:i/>
        </w:rPr>
        <w:t xml:space="preserve"> </w:t>
      </w:r>
      <w:r w:rsidR="004C41BA" w:rsidRPr="00D23EA4">
        <w:rPr>
          <w:rFonts w:ascii="Arial" w:hAnsi="Arial" w:cs="Arial"/>
          <w:i/>
        </w:rPr>
        <w:t>Dega osteotomy;</w:t>
      </w:r>
      <w:r w:rsidR="00FB1B07">
        <w:rPr>
          <w:rFonts w:ascii="Arial" w:hAnsi="Arial" w:cs="Arial"/>
          <w:i/>
        </w:rPr>
        <w:t xml:space="preserve"> </w:t>
      </w:r>
      <w:r w:rsidR="004C41BA" w:rsidRPr="00D23EA4">
        <w:rPr>
          <w:rFonts w:ascii="Arial" w:hAnsi="Arial" w:cs="Arial"/>
          <w:i/>
        </w:rPr>
        <w:t>Pelvic osteotomy;</w:t>
      </w:r>
      <w:r w:rsidR="00FB1B07">
        <w:rPr>
          <w:rFonts w:ascii="Arial" w:hAnsi="Arial" w:cs="Arial"/>
          <w:i/>
        </w:rPr>
        <w:t xml:space="preserve"> </w:t>
      </w:r>
      <w:r w:rsidR="004C41BA" w:rsidRPr="00D23EA4">
        <w:rPr>
          <w:rFonts w:ascii="Arial" w:hAnsi="Arial" w:cs="Arial"/>
          <w:i/>
        </w:rPr>
        <w:t>Pediatric orthopedics;</w:t>
      </w:r>
      <w:r w:rsidR="00FB1B07">
        <w:rPr>
          <w:rFonts w:ascii="Arial" w:hAnsi="Arial" w:cs="Arial"/>
          <w:i/>
        </w:rPr>
        <w:t xml:space="preserve"> </w:t>
      </w:r>
      <w:proofErr w:type="spellStart"/>
      <w:r w:rsidR="004C41BA" w:rsidRPr="00D23EA4">
        <w:rPr>
          <w:rFonts w:ascii="Arial" w:hAnsi="Arial" w:cs="Arial"/>
          <w:i/>
        </w:rPr>
        <w:t>Acetabuloplasty</w:t>
      </w:r>
      <w:proofErr w:type="spellEnd"/>
    </w:p>
    <w:p w14:paraId="5238DD1E" w14:textId="77777777" w:rsidR="00505F06" w:rsidRPr="00A24E7E" w:rsidRDefault="00505F06" w:rsidP="00441B6F">
      <w:pPr>
        <w:pStyle w:val="Body"/>
        <w:spacing w:after="0"/>
        <w:rPr>
          <w:rFonts w:ascii="Arial" w:hAnsi="Arial" w:cs="Arial"/>
          <w:i/>
        </w:rPr>
      </w:pPr>
    </w:p>
    <w:p w14:paraId="6A8797E2" w14:textId="77777777" w:rsidR="007F7B32" w:rsidRDefault="00902823" w:rsidP="00927048">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927048">
        <w:rPr>
          <w:rFonts w:ascii="Arial" w:hAnsi="Arial" w:cs="Arial"/>
        </w:rPr>
        <w:t xml:space="preserve"> </w:t>
      </w:r>
    </w:p>
    <w:p w14:paraId="6EDAA24C" w14:textId="77777777" w:rsidR="00790ADA" w:rsidRPr="00FB3A86" w:rsidRDefault="00790ADA" w:rsidP="00441B6F">
      <w:pPr>
        <w:pStyle w:val="AbstHead"/>
        <w:spacing w:after="0"/>
        <w:jc w:val="both"/>
        <w:rPr>
          <w:rFonts w:ascii="Arial" w:hAnsi="Arial" w:cs="Arial"/>
        </w:rPr>
      </w:pPr>
    </w:p>
    <w:p w14:paraId="54913EB6" w14:textId="77777777" w:rsidR="00343589" w:rsidRDefault="00343589" w:rsidP="00343589">
      <w:pPr>
        <w:pStyle w:val="Body"/>
        <w:spacing w:after="0"/>
        <w:rPr>
          <w:rFonts w:ascii="Arial" w:hAnsi="Arial" w:cs="Arial"/>
        </w:rPr>
      </w:pPr>
      <w:r w:rsidRPr="00D23EA4">
        <w:rPr>
          <w:rFonts w:ascii="Arial" w:hAnsi="Arial" w:cs="Arial"/>
        </w:rPr>
        <w:t xml:space="preserve">Several types of pelvic osteotomies have been developed with the aim of improving femoral head coverage and enhancing the stability of the hip joint. Among the most commonly used techniques are reorientation osteotomies, such as the Salter innominate osteotomy and the triple pelvic osteotomy described by Pol Le </w:t>
      </w:r>
      <w:proofErr w:type="spellStart"/>
      <w:r w:rsidRPr="00D23EA4">
        <w:rPr>
          <w:rFonts w:ascii="Arial" w:hAnsi="Arial" w:cs="Arial"/>
        </w:rPr>
        <w:t>Cœur</w:t>
      </w:r>
      <w:proofErr w:type="spellEnd"/>
      <w:r w:rsidRPr="00D23EA4">
        <w:rPr>
          <w:rFonts w:ascii="Arial" w:hAnsi="Arial" w:cs="Arial"/>
        </w:rPr>
        <w:t xml:space="preserve">; </w:t>
      </w:r>
      <w:proofErr w:type="spellStart"/>
      <w:r w:rsidRPr="00D23EA4">
        <w:rPr>
          <w:rFonts w:ascii="Arial" w:hAnsi="Arial" w:cs="Arial"/>
        </w:rPr>
        <w:t>acetabuloplasties</w:t>
      </w:r>
      <w:proofErr w:type="spellEnd"/>
      <w:r w:rsidRPr="00D23EA4">
        <w:rPr>
          <w:rFonts w:ascii="Arial" w:hAnsi="Arial" w:cs="Arial"/>
        </w:rPr>
        <w:t>, including the Pemberton and Dega procedures; the Chiari medial displacement osteotomy; as well as pelvic osteotomies performed in the management of bladder exstrophy [1].</w:t>
      </w:r>
    </w:p>
    <w:p w14:paraId="631FA4C1" w14:textId="77777777" w:rsidR="00343589" w:rsidRPr="00D23EA4" w:rsidRDefault="00343589" w:rsidP="00343589">
      <w:pPr>
        <w:pStyle w:val="Body"/>
        <w:spacing w:after="0"/>
        <w:rPr>
          <w:rFonts w:ascii="Arial" w:hAnsi="Arial" w:cs="Arial"/>
        </w:rPr>
      </w:pPr>
    </w:p>
    <w:p w14:paraId="50007BBF" w14:textId="77777777" w:rsidR="00343589" w:rsidRDefault="00343589" w:rsidP="00343589">
      <w:pPr>
        <w:pStyle w:val="Body"/>
        <w:spacing w:after="0"/>
        <w:rPr>
          <w:rFonts w:ascii="Arial" w:hAnsi="Arial" w:cs="Arial"/>
        </w:rPr>
      </w:pPr>
      <w:r w:rsidRPr="00D23EA4">
        <w:rPr>
          <w:rFonts w:ascii="Arial" w:hAnsi="Arial" w:cs="Arial"/>
        </w:rPr>
        <w:t>Developmental dysplasia of the hip (DDH) represents one of the most common pediatric orthopedic disorders and, if left untreated, may lead to progressive joint instability, gait abnormalities, and early degenerative osteoarthritis in adulthood. Early and appropriate management is therefore essential to restore normal hip biomechanics and prevent long-term disability.</w:t>
      </w:r>
    </w:p>
    <w:p w14:paraId="3D981CFD" w14:textId="77777777" w:rsidR="00343589" w:rsidRPr="00D23EA4" w:rsidRDefault="00343589" w:rsidP="00343589">
      <w:pPr>
        <w:pStyle w:val="Body"/>
        <w:spacing w:after="0"/>
        <w:rPr>
          <w:rFonts w:ascii="Arial" w:hAnsi="Arial" w:cs="Arial"/>
        </w:rPr>
      </w:pPr>
    </w:p>
    <w:p w14:paraId="0F9CDE25" w14:textId="77777777" w:rsidR="00343589" w:rsidRDefault="00343589" w:rsidP="00343589">
      <w:pPr>
        <w:pStyle w:val="Body"/>
        <w:spacing w:after="0"/>
        <w:rPr>
          <w:rFonts w:ascii="Arial" w:hAnsi="Arial" w:cs="Arial"/>
        </w:rPr>
      </w:pPr>
      <w:r w:rsidRPr="00D23EA4">
        <w:rPr>
          <w:rFonts w:ascii="Arial" w:hAnsi="Arial" w:cs="Arial"/>
        </w:rPr>
        <w:t>Dega osteotomy is one of the most frequently used surgical techniques for the treatment of developmental dysplasia of the hip (DDH) in children. The procedure was first performed and recorded by Wiktor Dega in 1958 at the Poznan Hospital in Poland [2]. Although briefly mentioned in a German publication in 1964, the technique was fully described only in 1969 in a Polish publication, where it was referred to as a semicircular supra-acetabular osteotomy [2].</w:t>
      </w:r>
    </w:p>
    <w:p w14:paraId="1002E8D1" w14:textId="77777777" w:rsidR="00343589" w:rsidRPr="00D23EA4" w:rsidRDefault="00343589" w:rsidP="00343589">
      <w:pPr>
        <w:pStyle w:val="Body"/>
        <w:spacing w:after="0"/>
        <w:rPr>
          <w:rFonts w:ascii="Arial" w:hAnsi="Arial" w:cs="Arial"/>
        </w:rPr>
      </w:pPr>
    </w:p>
    <w:p w14:paraId="5AAA5651" w14:textId="77777777" w:rsidR="00343589" w:rsidRDefault="00343589" w:rsidP="00343589">
      <w:pPr>
        <w:pStyle w:val="Body"/>
        <w:spacing w:after="0"/>
        <w:rPr>
          <w:rFonts w:ascii="Arial" w:hAnsi="Arial" w:cs="Arial"/>
        </w:rPr>
      </w:pPr>
      <w:r w:rsidRPr="00D23EA4">
        <w:rPr>
          <w:rFonts w:ascii="Arial" w:hAnsi="Arial" w:cs="Arial"/>
        </w:rPr>
        <w:t xml:space="preserve">Dega osteotomy is an iliac </w:t>
      </w:r>
      <w:proofErr w:type="spellStart"/>
      <w:r w:rsidRPr="00D23EA4">
        <w:rPr>
          <w:rFonts w:ascii="Arial" w:hAnsi="Arial" w:cs="Arial"/>
        </w:rPr>
        <w:t>acetabuloplasty</w:t>
      </w:r>
      <w:proofErr w:type="spellEnd"/>
      <w:r w:rsidRPr="00D23EA4">
        <w:rPr>
          <w:rFonts w:ascii="Arial" w:hAnsi="Arial" w:cs="Arial"/>
        </w:rPr>
        <w:t xml:space="preserve"> that modifies the shape and inclination of the acetabulum, allowing selective correction of anterior, lateral, and particularly posterior acetabular deficiencies. Unlike complete reorientation osteotomies, this technique preserves the posterior pelvic column and provides stable yet adaptable acetabular remodeling, making it particularly suitable for skeletally immature patients.</w:t>
      </w:r>
    </w:p>
    <w:p w14:paraId="53BE4AB3" w14:textId="77777777" w:rsidR="00343589" w:rsidRPr="00D23EA4" w:rsidRDefault="00343589" w:rsidP="00343589">
      <w:pPr>
        <w:pStyle w:val="Body"/>
        <w:spacing w:after="0"/>
        <w:rPr>
          <w:rFonts w:ascii="Arial" w:hAnsi="Arial" w:cs="Arial"/>
        </w:rPr>
      </w:pPr>
    </w:p>
    <w:p w14:paraId="6D75B6C3" w14:textId="77777777" w:rsidR="00730460" w:rsidRPr="00CB7DEE" w:rsidRDefault="00730460" w:rsidP="00730460">
      <w:pPr>
        <w:spacing w:before="100" w:beforeAutospacing="1" w:after="100" w:afterAutospacing="1"/>
        <w:rPr>
          <w:rFonts w:asciiTheme="minorBidi" w:hAnsiTheme="minorBidi" w:cstheme="minorBidi"/>
          <w:lang w:eastAsia="fr-FR"/>
        </w:rPr>
      </w:pPr>
      <w:r w:rsidRPr="00CB7DEE">
        <w:rPr>
          <w:rFonts w:asciiTheme="minorBidi" w:hAnsiTheme="minorBidi" w:cstheme="minorBidi"/>
          <w:highlight w:val="yellow"/>
          <w:lang w:eastAsia="fr-FR"/>
        </w:rPr>
        <w:t xml:space="preserve">The aim of this study was </w:t>
      </w:r>
      <w:r w:rsidRPr="00730460">
        <w:rPr>
          <w:rFonts w:asciiTheme="minorBidi" w:hAnsiTheme="minorBidi" w:cstheme="minorBidi"/>
          <w:highlight w:val="yellow"/>
          <w:lang w:eastAsia="fr-FR"/>
        </w:rPr>
        <w:t xml:space="preserve">to evaluate the clinical and radiological outcomes of </w:t>
      </w:r>
      <w:proofErr w:type="spellStart"/>
      <w:r w:rsidRPr="00730460">
        <w:rPr>
          <w:rFonts w:asciiTheme="minorBidi" w:hAnsiTheme="minorBidi" w:cstheme="minorBidi"/>
          <w:highlight w:val="yellow"/>
          <w:lang w:eastAsia="fr-FR"/>
        </w:rPr>
        <w:t>Dega</w:t>
      </w:r>
      <w:proofErr w:type="spellEnd"/>
      <w:r w:rsidRPr="00730460">
        <w:rPr>
          <w:rFonts w:asciiTheme="minorBidi" w:hAnsiTheme="minorBidi" w:cstheme="minorBidi"/>
          <w:highlight w:val="yellow"/>
          <w:lang w:eastAsia="fr-FR"/>
        </w:rPr>
        <w:t xml:space="preserve"> pelvic osteotomy in children presenting with developmental dysplasia of the hip beyond the walking age</w:t>
      </w:r>
      <w:r w:rsidRPr="00CB7DEE">
        <w:rPr>
          <w:rFonts w:asciiTheme="minorBidi" w:hAnsiTheme="minorBidi" w:cstheme="minorBidi"/>
          <w:highlight w:val="yellow"/>
          <w:lang w:eastAsia="fr-FR"/>
        </w:rPr>
        <w:t xml:space="preserve">, and </w:t>
      </w:r>
      <w:r w:rsidRPr="00730460">
        <w:rPr>
          <w:rFonts w:asciiTheme="minorBidi" w:hAnsiTheme="minorBidi" w:cstheme="minorBidi"/>
          <w:highlight w:val="yellow"/>
          <w:lang w:eastAsia="fr-FR"/>
        </w:rPr>
        <w:t xml:space="preserve">to assess its effectiveness in improving </w:t>
      </w:r>
      <w:proofErr w:type="spellStart"/>
      <w:r w:rsidRPr="00730460">
        <w:rPr>
          <w:rFonts w:asciiTheme="minorBidi" w:hAnsiTheme="minorBidi" w:cstheme="minorBidi"/>
          <w:highlight w:val="yellow"/>
          <w:lang w:eastAsia="fr-FR"/>
        </w:rPr>
        <w:t>acetabular</w:t>
      </w:r>
      <w:proofErr w:type="spellEnd"/>
      <w:r w:rsidRPr="00730460">
        <w:rPr>
          <w:rFonts w:asciiTheme="minorBidi" w:hAnsiTheme="minorBidi" w:cstheme="minorBidi"/>
          <w:highlight w:val="yellow"/>
          <w:lang w:eastAsia="fr-FR"/>
        </w:rPr>
        <w:t xml:space="preserve"> coverage and hip stability in a retrospective case series of 12 hips in 8 patients</w:t>
      </w:r>
      <w:r w:rsidRPr="00CB7DEE">
        <w:rPr>
          <w:rFonts w:asciiTheme="minorBidi" w:hAnsiTheme="minorBidi" w:cstheme="minorBidi"/>
          <w:highlight w:val="yellow"/>
          <w:lang w:eastAsia="fr-FR"/>
        </w:rPr>
        <w:t>.</w:t>
      </w:r>
    </w:p>
    <w:p w14:paraId="47A60DB3" w14:textId="77777777" w:rsidR="00790ADA" w:rsidRPr="00FB3A86" w:rsidRDefault="00902823" w:rsidP="0034358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84FC59" w14:textId="77777777" w:rsidR="00730460" w:rsidRPr="00CB7DEE" w:rsidRDefault="00730460" w:rsidP="00730460">
      <w:pPr>
        <w:spacing w:before="100" w:beforeAutospacing="1" w:after="100" w:afterAutospacing="1"/>
        <w:rPr>
          <w:rFonts w:asciiTheme="minorBidi" w:hAnsiTheme="minorBidi" w:cstheme="minorBidi"/>
          <w:highlight w:val="yellow"/>
          <w:lang w:eastAsia="fr-FR"/>
        </w:rPr>
      </w:pPr>
      <w:r w:rsidRPr="00CB7DEE">
        <w:rPr>
          <w:rFonts w:asciiTheme="minorBidi" w:hAnsiTheme="minorBidi" w:cstheme="minorBidi"/>
          <w:highlight w:val="yellow"/>
          <w:lang w:eastAsia="fr-FR"/>
        </w:rPr>
        <w:t xml:space="preserve">This retrospective case series was conducted over a three-year period, from December 2020 to December 2023, and included </w:t>
      </w:r>
      <w:r w:rsidRPr="00730460">
        <w:rPr>
          <w:rFonts w:asciiTheme="minorBidi" w:hAnsiTheme="minorBidi" w:cstheme="minorBidi"/>
          <w:highlight w:val="yellow"/>
          <w:lang w:eastAsia="fr-FR"/>
        </w:rPr>
        <w:t>12 dysplastic hips in 8 pediatric patients</w:t>
      </w:r>
      <w:r w:rsidRPr="00CB7DEE">
        <w:rPr>
          <w:rFonts w:asciiTheme="minorBidi" w:hAnsiTheme="minorBidi" w:cstheme="minorBidi"/>
          <w:highlight w:val="yellow"/>
          <w:lang w:eastAsia="fr-FR"/>
        </w:rPr>
        <w:t xml:space="preserve"> treated and followed at the Pediatric Trauma and Orthopedic Surgery Department of CHU Mohammed VI, Tangier. The </w:t>
      </w:r>
      <w:r w:rsidRPr="00730460">
        <w:rPr>
          <w:rFonts w:asciiTheme="minorBidi" w:hAnsiTheme="minorBidi" w:cstheme="minorBidi"/>
          <w:highlight w:val="yellow"/>
          <w:lang w:eastAsia="fr-FR"/>
        </w:rPr>
        <w:t>mean postoperative follow-up was 18 months (range: 6–36 months)</w:t>
      </w:r>
      <w:r w:rsidRPr="00CB7DEE">
        <w:rPr>
          <w:rFonts w:asciiTheme="minorBidi" w:hAnsiTheme="minorBidi" w:cstheme="minorBidi"/>
          <w:highlight w:val="yellow"/>
          <w:lang w:eastAsia="fr-FR"/>
        </w:rPr>
        <w:t>, allowing adequate clinical and radiological evaluation of surgical outcomes.</w:t>
      </w:r>
    </w:p>
    <w:p w14:paraId="15D1C983" w14:textId="77777777" w:rsidR="00730460" w:rsidRPr="00CB7DEE" w:rsidRDefault="00730460" w:rsidP="00730460">
      <w:pPr>
        <w:spacing w:before="100" w:beforeAutospacing="1" w:after="100" w:afterAutospacing="1"/>
        <w:rPr>
          <w:rFonts w:asciiTheme="minorBidi" w:hAnsiTheme="minorBidi" w:cstheme="minorBidi"/>
          <w:lang w:eastAsia="fr-FR"/>
        </w:rPr>
      </w:pPr>
      <w:r w:rsidRPr="00CB7DEE">
        <w:rPr>
          <w:rFonts w:asciiTheme="minorBidi" w:hAnsiTheme="minorBidi" w:cstheme="minorBidi"/>
          <w:highlight w:val="yellow"/>
          <w:lang w:eastAsia="fr-FR"/>
        </w:rPr>
        <w:t xml:space="preserve">This study was conducted in accordance with the ethical standards of the institutional review board of CHU Mohammed VI Tangier and with the principles of the Declaration of Helsinki. </w:t>
      </w:r>
      <w:r w:rsidRPr="00730460">
        <w:rPr>
          <w:rFonts w:asciiTheme="minorBidi" w:hAnsiTheme="minorBidi" w:cstheme="minorBidi"/>
          <w:highlight w:val="yellow"/>
          <w:lang w:eastAsia="fr-FR"/>
        </w:rPr>
        <w:t>Given the retrospective observational design of the study, formal ethical committee approval was waived according to institutional regulations</w:t>
      </w:r>
      <w:r w:rsidRPr="00CB7DEE">
        <w:rPr>
          <w:rFonts w:asciiTheme="minorBidi" w:hAnsiTheme="minorBidi" w:cstheme="minorBidi"/>
          <w:b/>
          <w:bCs/>
          <w:lang w:eastAsia="fr-FR"/>
        </w:rPr>
        <w:t>.</w:t>
      </w:r>
    </w:p>
    <w:p w14:paraId="59722C24" w14:textId="77777777" w:rsidR="00927048" w:rsidRPr="007F4B08" w:rsidRDefault="00927048" w:rsidP="00343589">
      <w:pPr>
        <w:pStyle w:val="Body"/>
        <w:spacing w:after="0"/>
        <w:rPr>
          <w:rFonts w:ascii="Arial" w:hAnsi="Arial" w:cs="Arial"/>
        </w:rPr>
      </w:pPr>
    </w:p>
    <w:p w14:paraId="0C1454B2" w14:textId="77777777" w:rsidR="00343589" w:rsidRDefault="00343589" w:rsidP="00343589">
      <w:pPr>
        <w:pStyle w:val="Body"/>
        <w:spacing w:after="0"/>
        <w:rPr>
          <w:rFonts w:ascii="Arial" w:hAnsi="Arial" w:cs="Arial"/>
        </w:rPr>
      </w:pPr>
      <w:r w:rsidRPr="007F4B08">
        <w:rPr>
          <w:rFonts w:ascii="Arial" w:hAnsi="Arial" w:cs="Arial"/>
        </w:rPr>
        <w:t xml:space="preserve">The study included children presenting with hip dysplasia, either isolated or occurring in the context of congenital or neurologic hip dislocation, who were treated with Dega pelvic osteotomy. Patients with incomplete medical records, those lost to follow-up, those with a </w:t>
      </w:r>
      <w:r w:rsidRPr="007F4B08">
        <w:rPr>
          <w:rFonts w:ascii="Arial" w:hAnsi="Arial" w:cs="Arial"/>
        </w:rPr>
        <w:lastRenderedPageBreak/>
        <w:t>follow-up period shorter than six months, and patients treated with surgical techniques other than Dega osteotomy were excluded from the analysis.</w:t>
      </w:r>
    </w:p>
    <w:p w14:paraId="0301EE8F" w14:textId="77777777" w:rsidR="00927048" w:rsidRPr="007F4B08" w:rsidRDefault="00927048" w:rsidP="00343589">
      <w:pPr>
        <w:pStyle w:val="Body"/>
        <w:spacing w:after="0"/>
        <w:rPr>
          <w:rFonts w:ascii="Arial" w:hAnsi="Arial" w:cs="Arial"/>
        </w:rPr>
      </w:pPr>
    </w:p>
    <w:p w14:paraId="2C2C5EB6" w14:textId="77777777" w:rsidR="00730460" w:rsidRDefault="00343589" w:rsidP="00343589">
      <w:pPr>
        <w:pStyle w:val="Body"/>
        <w:spacing w:after="0"/>
        <w:rPr>
          <w:rFonts w:ascii="Arial" w:hAnsi="Arial" w:cs="Arial"/>
        </w:rPr>
      </w:pPr>
      <w:r w:rsidRPr="007F4B08">
        <w:rPr>
          <w:rFonts w:ascii="Arial" w:hAnsi="Arial" w:cs="Arial"/>
        </w:rPr>
        <w:t xml:space="preserve">Data were retrospectively collected from hospitalization records, operative reports, and clinical and radiological follow-up files. A specifically designed data collection form was used to compile epidemiological, clinical, therapeutic, and outcome-related data. </w:t>
      </w:r>
    </w:p>
    <w:p w14:paraId="7C2998C5" w14:textId="065AD69C" w:rsidR="00343589" w:rsidRPr="00730460" w:rsidRDefault="00730460" w:rsidP="00343589">
      <w:pPr>
        <w:pStyle w:val="Body"/>
        <w:spacing w:after="0"/>
        <w:rPr>
          <w:rFonts w:ascii="Arial" w:hAnsi="Arial" w:cs="Arial"/>
        </w:rPr>
      </w:pPr>
      <w:r w:rsidRPr="00730460">
        <w:rPr>
          <w:rFonts w:asciiTheme="minorBidi" w:hAnsiTheme="minorBidi" w:cstheme="minorBidi"/>
          <w:highlight w:val="yellow"/>
          <w:lang w:eastAsia="fr-FR"/>
        </w:rPr>
        <w:t>Clinical outcomes were analyzed per patient, whereas radiological outcomes were analyzed per hip</w:t>
      </w:r>
      <w:r w:rsidRPr="00CB7DEE">
        <w:rPr>
          <w:rFonts w:asciiTheme="minorBidi" w:hAnsiTheme="minorBidi" w:cstheme="minorBidi"/>
          <w:highlight w:val="yellow"/>
          <w:lang w:eastAsia="fr-FR"/>
        </w:rPr>
        <w:t>, since several patients presented bilateral involvement</w:t>
      </w:r>
      <w:r w:rsidR="00343589" w:rsidRPr="00730460">
        <w:rPr>
          <w:rFonts w:ascii="Arial" w:hAnsi="Arial" w:cs="Arial"/>
        </w:rPr>
        <w:t>.</w:t>
      </w:r>
    </w:p>
    <w:p w14:paraId="62D6BFF1" w14:textId="77777777" w:rsidR="00927048" w:rsidRPr="007F4B08" w:rsidRDefault="00927048" w:rsidP="00343589">
      <w:pPr>
        <w:pStyle w:val="Body"/>
        <w:spacing w:after="0"/>
        <w:rPr>
          <w:rFonts w:ascii="Arial" w:hAnsi="Arial" w:cs="Arial"/>
        </w:rPr>
      </w:pPr>
    </w:p>
    <w:p w14:paraId="638E7390" w14:textId="65E7C6AE" w:rsidR="00343589" w:rsidRDefault="00343589" w:rsidP="00343589">
      <w:pPr>
        <w:pStyle w:val="Body"/>
        <w:spacing w:after="0"/>
        <w:rPr>
          <w:rFonts w:ascii="Arial" w:hAnsi="Arial" w:cs="Arial"/>
        </w:rPr>
      </w:pPr>
      <w:r w:rsidRPr="007F4B08">
        <w:rPr>
          <w:rFonts w:ascii="Arial" w:hAnsi="Arial" w:cs="Arial"/>
        </w:rPr>
        <w:t xml:space="preserve">Clinical evaluation at the last follow-up visit was performed using the modified McKay classification [3], which assesses pain, joint mobility, muscle strength, and gait. Outcomes were classified as excellent, good, fair, or poor, </w:t>
      </w:r>
      <w:r w:rsidRPr="00730460">
        <w:rPr>
          <w:rFonts w:ascii="Arial" w:hAnsi="Arial" w:cs="Arial"/>
          <w:highlight w:val="yellow"/>
        </w:rPr>
        <w:t>with excellent and good results considered satisfactory</w:t>
      </w:r>
      <w:r w:rsidR="00730460" w:rsidRPr="00730460">
        <w:rPr>
          <w:rFonts w:ascii="Arial" w:hAnsi="Arial" w:cs="Arial"/>
          <w:highlight w:val="yellow"/>
        </w:rPr>
        <w:t xml:space="preserve"> outcomes</w:t>
      </w:r>
      <w:r w:rsidRPr="00730460">
        <w:rPr>
          <w:rFonts w:ascii="Arial" w:hAnsi="Arial" w:cs="Arial"/>
          <w:highlight w:val="yellow"/>
        </w:rPr>
        <w:t>.</w:t>
      </w:r>
      <w:r w:rsidRPr="007F4B08">
        <w:rPr>
          <w:rFonts w:ascii="Arial" w:hAnsi="Arial" w:cs="Arial"/>
        </w:rPr>
        <w:t xml:space="preserve"> During the same consultation, lower limb length discrepancy was systematically assessed using clinical measurement and recorded in centimeters.</w:t>
      </w:r>
    </w:p>
    <w:p w14:paraId="6AF4548B" w14:textId="77777777" w:rsidR="00927048" w:rsidRPr="007F4B08" w:rsidRDefault="00927048" w:rsidP="00343589">
      <w:pPr>
        <w:pStyle w:val="Body"/>
        <w:spacing w:after="0"/>
        <w:rPr>
          <w:rFonts w:ascii="Arial" w:hAnsi="Arial" w:cs="Arial"/>
        </w:rPr>
      </w:pPr>
    </w:p>
    <w:p w14:paraId="07BE0144" w14:textId="77777777" w:rsidR="00730460" w:rsidRDefault="00343589" w:rsidP="00343589">
      <w:pPr>
        <w:pStyle w:val="Body"/>
        <w:spacing w:after="0"/>
        <w:rPr>
          <w:rFonts w:ascii="Arial" w:hAnsi="Arial" w:cs="Arial"/>
        </w:rPr>
      </w:pPr>
      <w:r w:rsidRPr="007F4B08">
        <w:rPr>
          <w:rFonts w:ascii="Arial" w:hAnsi="Arial" w:cs="Arial"/>
        </w:rPr>
        <w:t xml:space="preserve">Radiological evaluation was based on standard anteroposterior pelvic radiographs. The acetabular index </w:t>
      </w:r>
      <w:r w:rsidRPr="00FB1B07">
        <w:rPr>
          <w:rFonts w:ascii="Arial" w:hAnsi="Arial" w:cs="Arial"/>
        </w:rPr>
        <w:t>(AI),</w:t>
      </w:r>
      <w:r w:rsidRPr="007F4B08">
        <w:rPr>
          <w:rFonts w:ascii="Arial" w:hAnsi="Arial" w:cs="Arial"/>
        </w:rPr>
        <w:t xml:space="preserve"> also referred to as </w:t>
      </w:r>
      <w:proofErr w:type="spellStart"/>
      <w:r w:rsidRPr="007F4B08">
        <w:rPr>
          <w:rFonts w:ascii="Arial" w:hAnsi="Arial" w:cs="Arial"/>
        </w:rPr>
        <w:t>Hilgenreiner’s</w:t>
      </w:r>
      <w:proofErr w:type="spellEnd"/>
      <w:r w:rsidRPr="007F4B08">
        <w:rPr>
          <w:rFonts w:ascii="Arial" w:hAnsi="Arial" w:cs="Arial"/>
        </w:rPr>
        <w:t xml:space="preserve"> angle in some literature (HTE) [4], was measured preoperatively and at the last follow-up. </w:t>
      </w:r>
    </w:p>
    <w:p w14:paraId="3A5C54A7" w14:textId="60925610" w:rsidR="00343589" w:rsidRDefault="00730460" w:rsidP="00343589">
      <w:pPr>
        <w:pStyle w:val="Body"/>
        <w:spacing w:after="0"/>
        <w:rPr>
          <w:rFonts w:ascii="Arial" w:hAnsi="Arial" w:cs="Arial"/>
        </w:rPr>
      </w:pPr>
      <w:r w:rsidRPr="00CB7DEE">
        <w:rPr>
          <w:rFonts w:asciiTheme="minorBidi" w:hAnsiTheme="minorBidi" w:cstheme="minorBidi"/>
          <w:highlight w:val="yellow"/>
          <w:lang w:eastAsia="fr-FR"/>
        </w:rPr>
        <w:t xml:space="preserve">The severity of hip dysplasia was assessed using the </w:t>
      </w:r>
      <w:proofErr w:type="spellStart"/>
      <w:r w:rsidRPr="00CB7DEE">
        <w:rPr>
          <w:rFonts w:asciiTheme="minorBidi" w:hAnsiTheme="minorBidi" w:cstheme="minorBidi"/>
          <w:highlight w:val="yellow"/>
          <w:lang w:eastAsia="fr-FR"/>
        </w:rPr>
        <w:t>Tönnis</w:t>
      </w:r>
      <w:proofErr w:type="spellEnd"/>
      <w:r w:rsidRPr="00CB7DEE">
        <w:rPr>
          <w:rFonts w:asciiTheme="minorBidi" w:hAnsiTheme="minorBidi" w:cstheme="minorBidi"/>
          <w:highlight w:val="yellow"/>
          <w:lang w:eastAsia="fr-FR"/>
        </w:rPr>
        <w:t xml:space="preserve"> classification [5]. At final follow-up, hips were evaluated using the </w:t>
      </w:r>
      <w:proofErr w:type="spellStart"/>
      <w:r w:rsidRPr="00730460">
        <w:rPr>
          <w:rFonts w:asciiTheme="minorBidi" w:hAnsiTheme="minorBidi" w:cstheme="minorBidi"/>
          <w:highlight w:val="yellow"/>
          <w:lang w:eastAsia="fr-FR"/>
        </w:rPr>
        <w:t>Severin</w:t>
      </w:r>
      <w:proofErr w:type="spellEnd"/>
      <w:r w:rsidRPr="00730460">
        <w:rPr>
          <w:rFonts w:asciiTheme="minorBidi" w:hAnsiTheme="minorBidi" w:cstheme="minorBidi"/>
          <w:highlight w:val="yellow"/>
          <w:lang w:eastAsia="fr-FR"/>
        </w:rPr>
        <w:t xml:space="preserve"> classification</w:t>
      </w:r>
      <w:r w:rsidRPr="00CB7DEE">
        <w:rPr>
          <w:rFonts w:asciiTheme="minorBidi" w:hAnsiTheme="minorBidi" w:cstheme="minorBidi"/>
          <w:highlight w:val="yellow"/>
          <w:lang w:eastAsia="fr-FR"/>
        </w:rPr>
        <w:t xml:space="preserve">, which assesses </w:t>
      </w:r>
      <w:proofErr w:type="spellStart"/>
      <w:r w:rsidRPr="00CB7DEE">
        <w:rPr>
          <w:rFonts w:asciiTheme="minorBidi" w:hAnsiTheme="minorBidi" w:cstheme="minorBidi"/>
          <w:highlight w:val="yellow"/>
          <w:lang w:eastAsia="fr-FR"/>
        </w:rPr>
        <w:t>acetabular</w:t>
      </w:r>
      <w:proofErr w:type="spellEnd"/>
      <w:r w:rsidRPr="00CB7DEE">
        <w:rPr>
          <w:rFonts w:asciiTheme="minorBidi" w:hAnsiTheme="minorBidi" w:cstheme="minorBidi"/>
          <w:highlight w:val="yellow"/>
          <w:lang w:eastAsia="fr-FR"/>
        </w:rPr>
        <w:t xml:space="preserve"> morphology and femoral head coverage</w:t>
      </w:r>
      <w:r w:rsidR="00343589" w:rsidRPr="007F4B08">
        <w:rPr>
          <w:rFonts w:ascii="Arial" w:hAnsi="Arial" w:cs="Arial"/>
        </w:rPr>
        <w:t>.</w:t>
      </w:r>
    </w:p>
    <w:p w14:paraId="032863C3" w14:textId="77777777" w:rsidR="00927048" w:rsidRPr="007F4B08" w:rsidRDefault="00927048" w:rsidP="00343589">
      <w:pPr>
        <w:pStyle w:val="Body"/>
        <w:spacing w:after="0"/>
        <w:rPr>
          <w:rFonts w:ascii="Arial" w:hAnsi="Arial" w:cs="Arial"/>
        </w:rPr>
      </w:pPr>
    </w:p>
    <w:p w14:paraId="3F87E231" w14:textId="77777777" w:rsidR="00343589" w:rsidRDefault="00343589" w:rsidP="00343589">
      <w:pPr>
        <w:pStyle w:val="Body"/>
        <w:spacing w:after="0"/>
        <w:rPr>
          <w:rFonts w:ascii="Arial" w:hAnsi="Arial" w:cs="Arial"/>
          <w:b/>
          <w:bCs/>
        </w:rPr>
      </w:pPr>
      <w:r w:rsidRPr="00927048">
        <w:rPr>
          <w:rFonts w:ascii="Arial" w:hAnsi="Arial" w:cs="Arial"/>
        </w:rPr>
        <w:t>All radiological measurements were performed on standardized anteroposterior pelvic radiographs obtained with the patient in the supine position and both lower limbs in neutral rotation in order to ensure measurement reproducibility</w:t>
      </w:r>
      <w:r w:rsidRPr="007F4B08">
        <w:rPr>
          <w:rFonts w:ascii="Arial" w:hAnsi="Arial" w:cs="Arial"/>
          <w:b/>
          <w:bCs/>
        </w:rPr>
        <w:t>.</w:t>
      </w:r>
    </w:p>
    <w:p w14:paraId="5AFD4E0A" w14:textId="77777777" w:rsidR="00927048" w:rsidRPr="007F4B08" w:rsidRDefault="00927048" w:rsidP="00343589">
      <w:pPr>
        <w:pStyle w:val="Body"/>
        <w:spacing w:after="0"/>
        <w:rPr>
          <w:rFonts w:ascii="Arial" w:hAnsi="Arial" w:cs="Arial"/>
        </w:rPr>
      </w:pPr>
    </w:p>
    <w:p w14:paraId="42A7B71D" w14:textId="77777777" w:rsidR="00343589" w:rsidRDefault="00343589" w:rsidP="00343589">
      <w:pPr>
        <w:pStyle w:val="Body"/>
        <w:spacing w:after="0"/>
        <w:rPr>
          <w:rFonts w:ascii="Arial" w:hAnsi="Arial" w:cs="Arial"/>
        </w:rPr>
      </w:pPr>
      <w:r w:rsidRPr="007F4B08">
        <w:rPr>
          <w:rFonts w:ascii="Arial" w:hAnsi="Arial" w:cs="Arial"/>
        </w:rPr>
        <w:t>All surgical procedures were performed under general anesthesia, with the patient positioned supine and a bolster placed beneath the ipsilateral buttock. A bikini-type incision was made approximately 1 cm below the iliac crest, followed by detachment of the abdominal wall muscles from the iliac crest and longitudinal splitting of the iliac cartilage. Subperiosteal dissection of the outer iliac table was carried out from the anterior superior iliac spine to the sciatic notch, with careful protection of the sciatic nerve.</w:t>
      </w:r>
    </w:p>
    <w:p w14:paraId="3728B970" w14:textId="77777777" w:rsidR="00927048" w:rsidRPr="007F4B08" w:rsidRDefault="00927048" w:rsidP="00343589">
      <w:pPr>
        <w:pStyle w:val="Body"/>
        <w:spacing w:after="0"/>
        <w:rPr>
          <w:rFonts w:ascii="Arial" w:hAnsi="Arial" w:cs="Arial"/>
        </w:rPr>
      </w:pPr>
    </w:p>
    <w:p w14:paraId="1696CF7E" w14:textId="4D2A6F6C" w:rsidR="00790ADA" w:rsidRPr="00FB3A86" w:rsidRDefault="00B40F8F" w:rsidP="00441B6F">
      <w:pPr>
        <w:pStyle w:val="Body"/>
        <w:spacing w:after="0"/>
        <w:rPr>
          <w:rFonts w:ascii="Arial" w:hAnsi="Arial" w:cs="Arial"/>
        </w:rPr>
      </w:pPr>
      <w:r>
        <w:rPr>
          <w:rFonts w:ascii="Arial" w:hAnsi="Arial" w:cs="Arial"/>
        </w:rPr>
        <w:t>3. RESULTS</w:t>
      </w:r>
    </w:p>
    <w:p w14:paraId="08703E6C" w14:textId="77777777" w:rsidR="00B40F8F" w:rsidRPr="00B40F8F" w:rsidRDefault="00B40F8F" w:rsidP="00B40F8F">
      <w:pPr>
        <w:pStyle w:val="NormalWeb"/>
        <w:rPr>
          <w:highlight w:val="yellow"/>
          <w:lang w:val="en-US"/>
        </w:rPr>
      </w:pPr>
      <w:r w:rsidRPr="00B40F8F">
        <w:rPr>
          <w:highlight w:val="yellow"/>
          <w:lang w:val="en-US"/>
        </w:rPr>
        <w:t xml:space="preserve">A total of </w:t>
      </w:r>
      <w:r w:rsidRPr="00B40F8F">
        <w:rPr>
          <w:rStyle w:val="lev"/>
          <w:b w:val="0"/>
          <w:bCs w:val="0"/>
          <w:highlight w:val="yellow"/>
          <w:lang w:val="en-US"/>
        </w:rPr>
        <w:t>12 dysplastic hips in 8 patients</w:t>
      </w:r>
      <w:r w:rsidRPr="00B40F8F">
        <w:rPr>
          <w:highlight w:val="yellow"/>
          <w:lang w:val="en-US"/>
        </w:rPr>
        <w:t xml:space="preserve"> were included in this study. The mean age at surgery was </w:t>
      </w:r>
      <w:r w:rsidRPr="00B40F8F">
        <w:rPr>
          <w:rStyle w:val="lev"/>
          <w:b w:val="0"/>
          <w:bCs w:val="0"/>
          <w:highlight w:val="yellow"/>
          <w:lang w:val="en-US"/>
        </w:rPr>
        <w:t>4 years</w:t>
      </w:r>
      <w:r w:rsidRPr="00B40F8F">
        <w:rPr>
          <w:highlight w:val="yellow"/>
          <w:lang w:val="en-US"/>
        </w:rPr>
        <w:t xml:space="preserve"> (range: 2–6 years). A female predominance was observed, with </w:t>
      </w:r>
      <w:r w:rsidRPr="00B40F8F">
        <w:rPr>
          <w:rStyle w:val="lev"/>
          <w:b w:val="0"/>
          <w:bCs w:val="0"/>
          <w:highlight w:val="yellow"/>
          <w:lang w:val="en-US"/>
        </w:rPr>
        <w:t>six girls (75.0%) and two boys (25.0%)</w:t>
      </w:r>
      <w:r w:rsidRPr="00B40F8F">
        <w:rPr>
          <w:highlight w:val="yellow"/>
          <w:lang w:val="en-US"/>
        </w:rPr>
        <w:t>.</w:t>
      </w:r>
    </w:p>
    <w:p w14:paraId="55175800" w14:textId="77777777" w:rsidR="00B40F8F" w:rsidRPr="00B40F8F" w:rsidRDefault="00B40F8F" w:rsidP="00B40F8F">
      <w:pPr>
        <w:pStyle w:val="NormalWeb"/>
        <w:rPr>
          <w:highlight w:val="yellow"/>
          <w:lang w:val="en-US"/>
        </w:rPr>
      </w:pPr>
      <w:r w:rsidRPr="00B40F8F">
        <w:rPr>
          <w:highlight w:val="yellow"/>
          <w:lang w:val="en-US"/>
        </w:rPr>
        <w:t xml:space="preserve">Hip involvement was </w:t>
      </w:r>
      <w:r w:rsidRPr="00B40F8F">
        <w:rPr>
          <w:rStyle w:val="lev"/>
          <w:b w:val="0"/>
          <w:bCs w:val="0"/>
          <w:highlight w:val="yellow"/>
          <w:lang w:val="en-US"/>
        </w:rPr>
        <w:t>bilateral in four patients</w:t>
      </w:r>
      <w:r w:rsidRPr="00B40F8F">
        <w:rPr>
          <w:highlight w:val="yellow"/>
          <w:lang w:val="en-US"/>
        </w:rPr>
        <w:t xml:space="preserve">, while </w:t>
      </w:r>
      <w:r w:rsidRPr="00B40F8F">
        <w:rPr>
          <w:rStyle w:val="lev"/>
          <w:b w:val="0"/>
          <w:bCs w:val="0"/>
          <w:highlight w:val="yellow"/>
          <w:lang w:val="en-US"/>
        </w:rPr>
        <w:t>two patients had left-sided involvement and two had right-sided involvement</w:t>
      </w:r>
      <w:r w:rsidRPr="00B40F8F">
        <w:rPr>
          <w:highlight w:val="yellow"/>
          <w:lang w:val="en-US"/>
        </w:rPr>
        <w:t xml:space="preserve">. No significant personal or familial medical history was identified in most patients, except for one case in which the mother had a history of </w:t>
      </w:r>
      <w:proofErr w:type="spellStart"/>
      <w:r w:rsidRPr="00B40F8F">
        <w:rPr>
          <w:highlight w:val="yellow"/>
          <w:lang w:val="en-US"/>
        </w:rPr>
        <w:t>oligohydramnios</w:t>
      </w:r>
      <w:proofErr w:type="spellEnd"/>
      <w:r w:rsidRPr="00B40F8F">
        <w:rPr>
          <w:highlight w:val="yellow"/>
          <w:lang w:val="en-US"/>
        </w:rPr>
        <w:t>.</w:t>
      </w:r>
    </w:p>
    <w:p w14:paraId="7B97DCA0" w14:textId="77777777" w:rsidR="00B40F8F" w:rsidRPr="00B40F8F" w:rsidRDefault="00B40F8F" w:rsidP="00B40F8F">
      <w:pPr>
        <w:pStyle w:val="NormalWeb"/>
        <w:rPr>
          <w:highlight w:val="yellow"/>
          <w:lang w:val="en-US"/>
        </w:rPr>
      </w:pPr>
      <w:r w:rsidRPr="00B40F8F">
        <w:rPr>
          <w:highlight w:val="yellow"/>
          <w:lang w:val="en-US"/>
        </w:rPr>
        <w:t xml:space="preserve">The main circumstances leading to diagnosis were predominantly clinical. </w:t>
      </w:r>
      <w:r w:rsidRPr="00B40F8F">
        <w:rPr>
          <w:rStyle w:val="lev"/>
          <w:b w:val="0"/>
          <w:bCs w:val="0"/>
          <w:highlight w:val="yellow"/>
          <w:lang w:val="en-US"/>
        </w:rPr>
        <w:t>Six patients (75.0%) presented with gait limping</w:t>
      </w:r>
      <w:r w:rsidRPr="00B40F8F">
        <w:rPr>
          <w:highlight w:val="yellow"/>
          <w:lang w:val="en-US"/>
        </w:rPr>
        <w:t xml:space="preserve">, one patient (12.5%) reported </w:t>
      </w:r>
      <w:r w:rsidRPr="00B40F8F">
        <w:rPr>
          <w:rStyle w:val="lev"/>
          <w:b w:val="0"/>
          <w:bCs w:val="0"/>
          <w:highlight w:val="yellow"/>
          <w:lang w:val="en-US"/>
        </w:rPr>
        <w:t>pain during walking</w:t>
      </w:r>
      <w:r w:rsidRPr="00B40F8F">
        <w:rPr>
          <w:highlight w:val="yellow"/>
          <w:lang w:val="en-US"/>
        </w:rPr>
        <w:t xml:space="preserve">, and one patient (12.5%), who had a </w:t>
      </w:r>
      <w:r w:rsidRPr="00B40F8F">
        <w:rPr>
          <w:rStyle w:val="lev"/>
          <w:b w:val="0"/>
          <w:bCs w:val="0"/>
          <w:highlight w:val="yellow"/>
          <w:lang w:val="en-US"/>
        </w:rPr>
        <w:t>neurologic hip dislocation</w:t>
      </w:r>
      <w:r w:rsidRPr="00B40F8F">
        <w:rPr>
          <w:highlight w:val="yellow"/>
          <w:lang w:val="en-US"/>
        </w:rPr>
        <w:t xml:space="preserve">, presented with </w:t>
      </w:r>
      <w:r w:rsidRPr="00B40F8F">
        <w:rPr>
          <w:rStyle w:val="lev"/>
          <w:b w:val="0"/>
          <w:bCs w:val="0"/>
          <w:highlight w:val="yellow"/>
          <w:lang w:val="en-US"/>
        </w:rPr>
        <w:t>delayed walking</w:t>
      </w:r>
      <w:r w:rsidRPr="00B40F8F">
        <w:rPr>
          <w:highlight w:val="yellow"/>
          <w:lang w:val="en-US"/>
        </w:rPr>
        <w:t>.</w:t>
      </w:r>
    </w:p>
    <w:p w14:paraId="0BF7E428" w14:textId="77777777" w:rsidR="00B40F8F" w:rsidRPr="00B40F8F" w:rsidRDefault="00B40F8F" w:rsidP="00B40F8F">
      <w:pPr>
        <w:pStyle w:val="NormalWeb"/>
        <w:rPr>
          <w:highlight w:val="yellow"/>
          <w:lang w:val="en-US"/>
        </w:rPr>
      </w:pPr>
      <w:r w:rsidRPr="00B40F8F">
        <w:rPr>
          <w:highlight w:val="yellow"/>
          <w:lang w:val="en-US"/>
        </w:rPr>
        <w:lastRenderedPageBreak/>
        <w:t xml:space="preserve">Regarding the final diagnosis, </w:t>
      </w:r>
      <w:r w:rsidRPr="00B40F8F">
        <w:rPr>
          <w:rStyle w:val="lev"/>
          <w:b w:val="0"/>
          <w:bCs w:val="0"/>
          <w:highlight w:val="yellow"/>
          <w:lang w:val="en-US"/>
        </w:rPr>
        <w:t>congenital hip dislocation was identified in six patients (75.0%)</w:t>
      </w:r>
      <w:r w:rsidRPr="00B40F8F">
        <w:rPr>
          <w:highlight w:val="yellow"/>
          <w:lang w:val="en-US"/>
        </w:rPr>
        <w:t xml:space="preserve">, </w:t>
      </w:r>
      <w:r w:rsidRPr="00B40F8F">
        <w:rPr>
          <w:rStyle w:val="lev"/>
          <w:b w:val="0"/>
          <w:bCs w:val="0"/>
          <w:highlight w:val="yellow"/>
          <w:lang w:val="en-US"/>
        </w:rPr>
        <w:t>isolated congenital hip dysplasia in one patient (12.5%)</w:t>
      </w:r>
      <w:r w:rsidRPr="00B40F8F">
        <w:rPr>
          <w:highlight w:val="yellow"/>
          <w:lang w:val="en-US"/>
        </w:rPr>
        <w:t xml:space="preserve">, and </w:t>
      </w:r>
      <w:r w:rsidRPr="00B40F8F">
        <w:rPr>
          <w:rStyle w:val="lev"/>
          <w:b w:val="0"/>
          <w:bCs w:val="0"/>
          <w:highlight w:val="yellow"/>
          <w:lang w:val="en-US"/>
        </w:rPr>
        <w:t>neurologic hip dislocation in one patient (12.5%)</w:t>
      </w:r>
      <w:r w:rsidRPr="00B40F8F">
        <w:rPr>
          <w:highlight w:val="yellow"/>
          <w:lang w:val="en-US"/>
        </w:rPr>
        <w:t>.</w:t>
      </w:r>
    </w:p>
    <w:p w14:paraId="3FF89A17" w14:textId="77777777" w:rsidR="00B40F8F" w:rsidRPr="00B40F8F" w:rsidRDefault="00B40F8F" w:rsidP="00B40F8F">
      <w:pPr>
        <w:pStyle w:val="NormalWeb"/>
        <w:rPr>
          <w:highlight w:val="yellow"/>
          <w:lang w:val="en-US"/>
        </w:rPr>
      </w:pPr>
      <w:r w:rsidRPr="00B40F8F">
        <w:rPr>
          <w:highlight w:val="yellow"/>
          <w:lang w:val="en-US"/>
        </w:rPr>
        <w:t xml:space="preserve">Preoperative radiological assessment was performed using standard </w:t>
      </w:r>
      <w:proofErr w:type="spellStart"/>
      <w:r w:rsidRPr="00B40F8F">
        <w:rPr>
          <w:rStyle w:val="lev"/>
          <w:b w:val="0"/>
          <w:bCs w:val="0"/>
          <w:highlight w:val="yellow"/>
          <w:lang w:val="en-US"/>
        </w:rPr>
        <w:t>anteroposterior</w:t>
      </w:r>
      <w:proofErr w:type="spellEnd"/>
      <w:r w:rsidRPr="00B40F8F">
        <w:rPr>
          <w:rStyle w:val="lev"/>
          <w:b w:val="0"/>
          <w:bCs w:val="0"/>
          <w:highlight w:val="yellow"/>
          <w:lang w:val="en-US"/>
        </w:rPr>
        <w:t xml:space="preserve"> pelvic radiographs</w:t>
      </w:r>
      <w:r w:rsidRPr="00B40F8F">
        <w:rPr>
          <w:highlight w:val="yellow"/>
          <w:lang w:val="en-US"/>
        </w:rPr>
        <w:t xml:space="preserve">. Radiological outcomes were analyzed </w:t>
      </w:r>
      <w:r w:rsidRPr="00B40F8F">
        <w:rPr>
          <w:rStyle w:val="lev"/>
          <w:b w:val="0"/>
          <w:bCs w:val="0"/>
          <w:highlight w:val="yellow"/>
          <w:lang w:val="en-US"/>
        </w:rPr>
        <w:t>per hip</w:t>
      </w:r>
      <w:r w:rsidRPr="00B40F8F">
        <w:rPr>
          <w:highlight w:val="yellow"/>
          <w:lang w:val="en-US"/>
        </w:rPr>
        <w:t xml:space="preserve">, as </w:t>
      </w:r>
      <w:r w:rsidRPr="00B40F8F">
        <w:rPr>
          <w:rStyle w:val="lev"/>
          <w:b w:val="0"/>
          <w:bCs w:val="0"/>
          <w:highlight w:val="yellow"/>
          <w:lang w:val="en-US"/>
        </w:rPr>
        <w:t>12 dysplastic hips were treated in 8 patients</w:t>
      </w:r>
      <w:r w:rsidRPr="00B40F8F">
        <w:rPr>
          <w:highlight w:val="yellow"/>
          <w:lang w:val="en-US"/>
        </w:rPr>
        <w:t>.</w:t>
      </w:r>
    </w:p>
    <w:p w14:paraId="3F3C29BD" w14:textId="77777777" w:rsidR="00B40F8F" w:rsidRPr="00B40F8F" w:rsidRDefault="00B40F8F" w:rsidP="00B40F8F">
      <w:pPr>
        <w:pStyle w:val="NormalWeb"/>
        <w:rPr>
          <w:highlight w:val="yellow"/>
          <w:lang w:val="en-US"/>
        </w:rPr>
      </w:pPr>
      <w:r w:rsidRPr="00B40F8F">
        <w:rPr>
          <w:highlight w:val="yellow"/>
          <w:lang w:val="en-US"/>
        </w:rPr>
        <w:t xml:space="preserve">Preoperative radiological measurements showed marked </w:t>
      </w:r>
      <w:proofErr w:type="spellStart"/>
      <w:r w:rsidRPr="00B40F8F">
        <w:rPr>
          <w:highlight w:val="yellow"/>
          <w:lang w:val="en-US"/>
        </w:rPr>
        <w:t>acetabular</w:t>
      </w:r>
      <w:proofErr w:type="spellEnd"/>
      <w:r w:rsidRPr="00B40F8F">
        <w:rPr>
          <w:highlight w:val="yellow"/>
          <w:lang w:val="en-US"/>
        </w:rPr>
        <w:t xml:space="preserve"> insufficiency. The mean </w:t>
      </w:r>
      <w:proofErr w:type="spellStart"/>
      <w:r w:rsidRPr="00B40F8F">
        <w:rPr>
          <w:rStyle w:val="lev"/>
          <w:b w:val="0"/>
          <w:bCs w:val="0"/>
          <w:highlight w:val="yellow"/>
          <w:lang w:val="en-US"/>
        </w:rPr>
        <w:t>acetabular</w:t>
      </w:r>
      <w:proofErr w:type="spellEnd"/>
      <w:r w:rsidRPr="00B40F8F">
        <w:rPr>
          <w:rStyle w:val="lev"/>
          <w:b w:val="0"/>
          <w:bCs w:val="0"/>
          <w:highlight w:val="yellow"/>
          <w:lang w:val="en-US"/>
        </w:rPr>
        <w:t xml:space="preserve"> index (AI)</w:t>
      </w:r>
      <w:r w:rsidRPr="00B40F8F">
        <w:rPr>
          <w:highlight w:val="yellow"/>
          <w:lang w:val="en-US"/>
        </w:rPr>
        <w:t xml:space="preserve"> was </w:t>
      </w:r>
      <w:r w:rsidRPr="00B40F8F">
        <w:rPr>
          <w:rStyle w:val="lev"/>
          <w:b w:val="0"/>
          <w:bCs w:val="0"/>
          <w:highlight w:val="yellow"/>
          <w:lang w:val="en-US"/>
        </w:rPr>
        <w:t>30.9° (range: 29°–34°)</w:t>
      </w:r>
      <w:r w:rsidRPr="00B40F8F">
        <w:rPr>
          <w:highlight w:val="yellow"/>
          <w:lang w:val="en-US"/>
        </w:rPr>
        <w:t xml:space="preserve">, the mean </w:t>
      </w:r>
      <w:r w:rsidRPr="00B40F8F">
        <w:rPr>
          <w:rStyle w:val="lev"/>
          <w:b w:val="0"/>
          <w:bCs w:val="0"/>
          <w:highlight w:val="yellow"/>
          <w:lang w:val="en-US"/>
        </w:rPr>
        <w:t>lateral center-edge (VCE) angle</w:t>
      </w:r>
      <w:r w:rsidRPr="00B40F8F">
        <w:rPr>
          <w:highlight w:val="yellow"/>
          <w:lang w:val="en-US"/>
        </w:rPr>
        <w:t xml:space="preserve"> was </w:t>
      </w:r>
      <w:r w:rsidRPr="00B40F8F">
        <w:rPr>
          <w:rStyle w:val="lev"/>
          <w:b w:val="0"/>
          <w:bCs w:val="0"/>
          <w:highlight w:val="yellow"/>
          <w:lang w:val="en-US"/>
        </w:rPr>
        <w:t>16° (range: 10°–21°)</w:t>
      </w:r>
      <w:r w:rsidRPr="00B40F8F">
        <w:rPr>
          <w:highlight w:val="yellow"/>
          <w:lang w:val="en-US"/>
        </w:rPr>
        <w:t xml:space="preserve">, and the mean </w:t>
      </w:r>
      <w:r w:rsidRPr="00B40F8F">
        <w:rPr>
          <w:rStyle w:val="lev"/>
          <w:b w:val="0"/>
          <w:bCs w:val="0"/>
          <w:highlight w:val="yellow"/>
          <w:lang w:val="en-US"/>
        </w:rPr>
        <w:t>Wagner index (</w:t>
      </w:r>
      <w:proofErr w:type="spellStart"/>
      <w:r w:rsidRPr="00B40F8F">
        <w:rPr>
          <w:rStyle w:val="lev"/>
          <w:b w:val="0"/>
          <w:bCs w:val="0"/>
          <w:highlight w:val="yellow"/>
          <w:lang w:val="en-US"/>
        </w:rPr>
        <w:t>acetabular</w:t>
      </w:r>
      <w:proofErr w:type="spellEnd"/>
      <w:r w:rsidRPr="00B40F8F">
        <w:rPr>
          <w:rStyle w:val="lev"/>
          <w:b w:val="0"/>
          <w:bCs w:val="0"/>
          <w:highlight w:val="yellow"/>
          <w:lang w:val="en-US"/>
        </w:rPr>
        <w:t xml:space="preserve"> coverage ratio)</w:t>
      </w:r>
      <w:r w:rsidRPr="00B40F8F">
        <w:rPr>
          <w:highlight w:val="yellow"/>
          <w:lang w:val="en-US"/>
        </w:rPr>
        <w:t xml:space="preserve"> was </w:t>
      </w:r>
      <w:r w:rsidRPr="00B40F8F">
        <w:rPr>
          <w:rStyle w:val="lev"/>
          <w:b w:val="0"/>
          <w:bCs w:val="0"/>
          <w:highlight w:val="yellow"/>
          <w:lang w:val="en-US"/>
        </w:rPr>
        <w:t>44.0% (range: 40%–61%)</w:t>
      </w:r>
      <w:r w:rsidRPr="00B40F8F">
        <w:rPr>
          <w:highlight w:val="yellow"/>
          <w:lang w:val="en-US"/>
        </w:rPr>
        <w:t>.</w:t>
      </w:r>
    </w:p>
    <w:p w14:paraId="021A1925" w14:textId="77777777" w:rsidR="00B40F8F" w:rsidRPr="00B40F8F" w:rsidRDefault="00B40F8F" w:rsidP="00B40F8F">
      <w:pPr>
        <w:pStyle w:val="NormalWeb"/>
        <w:rPr>
          <w:highlight w:val="yellow"/>
          <w:lang w:val="en-US"/>
        </w:rPr>
      </w:pPr>
      <w:r w:rsidRPr="00B40F8F">
        <w:rPr>
          <w:highlight w:val="yellow"/>
          <w:lang w:val="en-US"/>
        </w:rPr>
        <w:t xml:space="preserve">Immediate postoperative radiological evaluation demonstrated a significant improvement in </w:t>
      </w:r>
      <w:proofErr w:type="spellStart"/>
      <w:r w:rsidRPr="00B40F8F">
        <w:rPr>
          <w:highlight w:val="yellow"/>
          <w:lang w:val="en-US"/>
        </w:rPr>
        <w:t>acetabular</w:t>
      </w:r>
      <w:proofErr w:type="spellEnd"/>
      <w:r w:rsidRPr="00B40F8F">
        <w:rPr>
          <w:highlight w:val="yellow"/>
          <w:lang w:val="en-US"/>
        </w:rPr>
        <w:t xml:space="preserve"> coverage (Figure 1). The mean </w:t>
      </w:r>
      <w:proofErr w:type="spellStart"/>
      <w:r w:rsidRPr="00B40F8F">
        <w:rPr>
          <w:rStyle w:val="lev"/>
          <w:b w:val="0"/>
          <w:bCs w:val="0"/>
          <w:highlight w:val="yellow"/>
          <w:lang w:val="en-US"/>
        </w:rPr>
        <w:t>acetabular</w:t>
      </w:r>
      <w:proofErr w:type="spellEnd"/>
      <w:r w:rsidRPr="00B40F8F">
        <w:rPr>
          <w:rStyle w:val="lev"/>
          <w:b w:val="0"/>
          <w:bCs w:val="0"/>
          <w:highlight w:val="yellow"/>
          <w:lang w:val="en-US"/>
        </w:rPr>
        <w:t xml:space="preserve"> index decreased from 30.9° preoperatively to 15.08°</w:t>
      </w:r>
      <w:r w:rsidRPr="00B40F8F">
        <w:rPr>
          <w:highlight w:val="yellow"/>
          <w:lang w:val="en-US"/>
        </w:rPr>
        <w:t xml:space="preserve">, the mean </w:t>
      </w:r>
      <w:r w:rsidRPr="00B40F8F">
        <w:rPr>
          <w:rStyle w:val="lev"/>
          <w:b w:val="0"/>
          <w:bCs w:val="0"/>
          <w:highlight w:val="yellow"/>
          <w:lang w:val="en-US"/>
        </w:rPr>
        <w:t>VCE angle increased from 16° to 20°</w:t>
      </w:r>
      <w:r w:rsidRPr="00B40F8F">
        <w:rPr>
          <w:highlight w:val="yellow"/>
          <w:lang w:val="en-US"/>
        </w:rPr>
        <w:t xml:space="preserve">, and the </w:t>
      </w:r>
      <w:r w:rsidRPr="00B40F8F">
        <w:rPr>
          <w:rStyle w:val="lev"/>
          <w:b w:val="0"/>
          <w:bCs w:val="0"/>
          <w:highlight w:val="yellow"/>
          <w:lang w:val="en-US"/>
        </w:rPr>
        <w:t>Wagner index increased from 44.0% to 70.5%</w:t>
      </w:r>
      <w:r w:rsidRPr="00B40F8F">
        <w:rPr>
          <w:highlight w:val="yellow"/>
          <w:lang w:val="en-US"/>
        </w:rPr>
        <w:t>.</w:t>
      </w:r>
    </w:p>
    <w:p w14:paraId="351BC9C0" w14:textId="77777777" w:rsidR="00B40F8F" w:rsidRPr="00B40F8F" w:rsidRDefault="00B40F8F" w:rsidP="00B40F8F">
      <w:pPr>
        <w:pStyle w:val="Body"/>
        <w:spacing w:after="0"/>
        <w:rPr>
          <w:rFonts w:ascii="Arial" w:hAnsi="Arial" w:cs="Arial"/>
          <w:highlight w:val="yellow"/>
        </w:rPr>
      </w:pPr>
    </w:p>
    <w:p w14:paraId="06178F50" w14:textId="77777777" w:rsidR="00B40F8F" w:rsidRPr="00B40F8F" w:rsidRDefault="00B40F8F" w:rsidP="00B40F8F">
      <w:pPr>
        <w:pStyle w:val="Body"/>
        <w:spacing w:after="0"/>
        <w:jc w:val="center"/>
        <w:rPr>
          <w:rFonts w:ascii="Arial" w:hAnsi="Arial" w:cs="Arial"/>
          <w:highlight w:val="yellow"/>
        </w:rPr>
      </w:pPr>
      <w:r w:rsidRPr="00B40F8F">
        <w:rPr>
          <w:noProof/>
          <w:highlight w:val="yellow"/>
          <w:lang w:val="fr-FR" w:eastAsia="fr-FR"/>
        </w:rPr>
        <w:drawing>
          <wp:inline distT="0" distB="0" distL="0" distR="0" wp14:anchorId="7C73C97B" wp14:editId="010570F8">
            <wp:extent cx="3352160" cy="2942590"/>
            <wp:effectExtent l="0" t="0" r="0" b="0"/>
            <wp:docPr id="9" name="Imag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CBF0D4-59FB-97E7-0182-0EF67246F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CBF0D4-59FB-97E7-0182-0EF67246F96D}"/>
                        </a:ext>
                      </a:extLst>
                    </pic:cNvPr>
                    <pic:cNvPicPr>
                      <a:picLocks noChangeAspect="1"/>
                    </pic:cNvPicPr>
                  </pic:nvPicPr>
                  <pic:blipFill rotWithShape="1">
                    <a:blip r:embed="rId14"/>
                    <a:srcRect t="4209" r="14853" b="19299"/>
                    <a:stretch/>
                  </pic:blipFill>
                  <pic:spPr bwMode="auto">
                    <a:xfrm>
                      <a:off x="0" y="0"/>
                      <a:ext cx="3352940" cy="2943274"/>
                    </a:xfrm>
                    <a:prstGeom prst="rect">
                      <a:avLst/>
                    </a:prstGeom>
                    <a:ln>
                      <a:noFill/>
                    </a:ln>
                    <a:extLst>
                      <a:ext uri="{53640926-AAD7-44D8-BBD7-CCE9431645EC}">
                        <a14:shadowObscured xmlns:a14="http://schemas.microsoft.com/office/drawing/2010/main"/>
                      </a:ext>
                    </a:extLst>
                  </pic:spPr>
                </pic:pic>
              </a:graphicData>
            </a:graphic>
          </wp:inline>
        </w:drawing>
      </w:r>
    </w:p>
    <w:p w14:paraId="50E1AB41" w14:textId="77777777" w:rsidR="00B40F8F" w:rsidRPr="00B40F8F" w:rsidRDefault="00B40F8F" w:rsidP="00B40F8F">
      <w:pPr>
        <w:jc w:val="center"/>
        <w:rPr>
          <w:highlight w:val="yellow"/>
        </w:rPr>
      </w:pPr>
      <w:r w:rsidRPr="00B40F8F">
        <w:rPr>
          <w:rFonts w:ascii="Arial" w:hAnsi="Arial" w:cs="Arial"/>
          <w:highlight w:val="yellow"/>
        </w:rPr>
        <w:t xml:space="preserve">Figure 1: </w:t>
      </w:r>
      <w:r w:rsidRPr="00B40F8F">
        <w:rPr>
          <w:highlight w:val="yellow"/>
        </w:rPr>
        <w:t xml:space="preserve">Immediate postoperative pelvic radiograph demonstrating improved </w:t>
      </w:r>
      <w:proofErr w:type="spellStart"/>
      <w:r w:rsidRPr="00B40F8F">
        <w:rPr>
          <w:highlight w:val="yellow"/>
        </w:rPr>
        <w:t>acetabular</w:t>
      </w:r>
      <w:proofErr w:type="spellEnd"/>
      <w:r w:rsidRPr="00B40F8F">
        <w:rPr>
          <w:highlight w:val="yellow"/>
        </w:rPr>
        <w:t xml:space="preserve"> coverage following </w:t>
      </w:r>
      <w:proofErr w:type="spellStart"/>
      <w:r w:rsidRPr="00B40F8F">
        <w:rPr>
          <w:highlight w:val="yellow"/>
        </w:rPr>
        <w:t>Dega</w:t>
      </w:r>
      <w:proofErr w:type="spellEnd"/>
      <w:r w:rsidRPr="00B40F8F">
        <w:rPr>
          <w:highlight w:val="yellow"/>
        </w:rPr>
        <w:t xml:space="preserve"> pelvic osteotomy.</w:t>
      </w:r>
    </w:p>
    <w:p w14:paraId="70015268" w14:textId="77777777" w:rsidR="00B40F8F" w:rsidRPr="00B40F8F" w:rsidRDefault="00B40F8F" w:rsidP="00B40F8F">
      <w:pPr>
        <w:pStyle w:val="NormalWeb"/>
        <w:rPr>
          <w:highlight w:val="yellow"/>
          <w:lang w:val="en-US"/>
        </w:rPr>
      </w:pPr>
    </w:p>
    <w:p w14:paraId="3E435FFB" w14:textId="77777777" w:rsidR="00B40F8F" w:rsidRPr="00B40F8F" w:rsidRDefault="00B40F8F" w:rsidP="00B40F8F">
      <w:pPr>
        <w:pStyle w:val="NormalWeb"/>
        <w:rPr>
          <w:highlight w:val="yellow"/>
          <w:lang w:val="en-US"/>
        </w:rPr>
      </w:pPr>
      <w:r w:rsidRPr="00B40F8F">
        <w:rPr>
          <w:highlight w:val="yellow"/>
          <w:lang w:val="en-US"/>
        </w:rPr>
        <w:t xml:space="preserve">According to the </w:t>
      </w:r>
      <w:proofErr w:type="spellStart"/>
      <w:r w:rsidRPr="00B40F8F">
        <w:rPr>
          <w:rStyle w:val="lev"/>
          <w:b w:val="0"/>
          <w:bCs w:val="0"/>
          <w:highlight w:val="yellow"/>
          <w:lang w:val="en-US"/>
        </w:rPr>
        <w:t>Tönnis</w:t>
      </w:r>
      <w:proofErr w:type="spellEnd"/>
      <w:r w:rsidRPr="00B40F8F">
        <w:rPr>
          <w:rStyle w:val="lev"/>
          <w:b w:val="0"/>
          <w:bCs w:val="0"/>
          <w:highlight w:val="yellow"/>
          <w:lang w:val="en-US"/>
        </w:rPr>
        <w:t xml:space="preserve"> classification</w:t>
      </w:r>
      <w:r w:rsidRPr="00B40F8F">
        <w:rPr>
          <w:highlight w:val="yellow"/>
          <w:lang w:val="en-US"/>
        </w:rPr>
        <w:t>, two hips (</w:t>
      </w:r>
      <w:r w:rsidRPr="00B40F8F">
        <w:rPr>
          <w:rStyle w:val="lev"/>
          <w:b w:val="0"/>
          <w:bCs w:val="0"/>
          <w:highlight w:val="yellow"/>
          <w:lang w:val="en-US"/>
        </w:rPr>
        <w:t>16.7%</w:t>
      </w:r>
      <w:r w:rsidRPr="00B40F8F">
        <w:rPr>
          <w:highlight w:val="yellow"/>
          <w:lang w:val="en-US"/>
        </w:rPr>
        <w:t xml:space="preserve">) were classified as </w:t>
      </w:r>
      <w:r w:rsidRPr="00B40F8F">
        <w:rPr>
          <w:rStyle w:val="lev"/>
          <w:b w:val="0"/>
          <w:bCs w:val="0"/>
          <w:highlight w:val="yellow"/>
          <w:lang w:val="en-US"/>
        </w:rPr>
        <w:t>Grade I</w:t>
      </w:r>
      <w:r w:rsidRPr="00B40F8F">
        <w:rPr>
          <w:highlight w:val="yellow"/>
          <w:lang w:val="en-US"/>
        </w:rPr>
        <w:t xml:space="preserve"> and ten hips (</w:t>
      </w:r>
      <w:r w:rsidRPr="00B40F8F">
        <w:rPr>
          <w:rStyle w:val="lev"/>
          <w:b w:val="0"/>
          <w:bCs w:val="0"/>
          <w:highlight w:val="yellow"/>
          <w:lang w:val="en-US"/>
        </w:rPr>
        <w:t>83.3%</w:t>
      </w:r>
      <w:r w:rsidRPr="00B40F8F">
        <w:rPr>
          <w:highlight w:val="yellow"/>
          <w:lang w:val="en-US"/>
        </w:rPr>
        <w:t xml:space="preserve">) as </w:t>
      </w:r>
      <w:r w:rsidRPr="00B40F8F">
        <w:rPr>
          <w:rStyle w:val="lev"/>
          <w:b w:val="0"/>
          <w:bCs w:val="0"/>
          <w:highlight w:val="yellow"/>
          <w:lang w:val="en-US"/>
        </w:rPr>
        <w:t>Grade II</w:t>
      </w:r>
      <w:r w:rsidRPr="00B40F8F">
        <w:rPr>
          <w:highlight w:val="yellow"/>
          <w:lang w:val="en-US"/>
        </w:rPr>
        <w:t xml:space="preserve"> in the immediate postoperative period.</w:t>
      </w:r>
    </w:p>
    <w:p w14:paraId="39C5FB39" w14:textId="77777777" w:rsidR="00B40F8F" w:rsidRPr="00B40F8F" w:rsidRDefault="00B40F8F" w:rsidP="00B40F8F">
      <w:pPr>
        <w:pStyle w:val="NormalWeb"/>
        <w:rPr>
          <w:highlight w:val="yellow"/>
          <w:lang w:val="en-US"/>
        </w:rPr>
      </w:pPr>
      <w:r w:rsidRPr="00B40F8F">
        <w:rPr>
          <w:highlight w:val="yellow"/>
          <w:lang w:val="en-US"/>
        </w:rPr>
        <w:lastRenderedPageBreak/>
        <w:t xml:space="preserve">At the </w:t>
      </w:r>
      <w:r w:rsidRPr="00B40F8F">
        <w:rPr>
          <w:rStyle w:val="lev"/>
          <w:b w:val="0"/>
          <w:bCs w:val="0"/>
          <w:highlight w:val="yellow"/>
          <w:lang w:val="en-US"/>
        </w:rPr>
        <w:t>final follow-up (mean: 18 months; range: 6–36 months)</w:t>
      </w:r>
      <w:r w:rsidRPr="00B40F8F">
        <w:rPr>
          <w:highlight w:val="yellow"/>
          <w:lang w:val="en-US"/>
        </w:rPr>
        <w:t xml:space="preserve">, radiological parameters continued to improve. The mean </w:t>
      </w:r>
      <w:proofErr w:type="spellStart"/>
      <w:r w:rsidRPr="00B40F8F">
        <w:rPr>
          <w:rStyle w:val="lev"/>
          <w:b w:val="0"/>
          <w:bCs w:val="0"/>
          <w:highlight w:val="yellow"/>
          <w:lang w:val="en-US"/>
        </w:rPr>
        <w:t>acetabular</w:t>
      </w:r>
      <w:proofErr w:type="spellEnd"/>
      <w:r w:rsidRPr="00B40F8F">
        <w:rPr>
          <w:rStyle w:val="lev"/>
          <w:b w:val="0"/>
          <w:bCs w:val="0"/>
          <w:highlight w:val="yellow"/>
          <w:lang w:val="en-US"/>
        </w:rPr>
        <w:t xml:space="preserve"> index further decreased to 11.3° (range: 11°–13°)</w:t>
      </w:r>
      <w:r w:rsidRPr="00B40F8F">
        <w:rPr>
          <w:highlight w:val="yellow"/>
          <w:lang w:val="en-US"/>
        </w:rPr>
        <w:t xml:space="preserve">, indicating sustained </w:t>
      </w:r>
      <w:proofErr w:type="spellStart"/>
      <w:r w:rsidRPr="00B40F8F">
        <w:rPr>
          <w:highlight w:val="yellow"/>
          <w:lang w:val="en-US"/>
        </w:rPr>
        <w:t>acetabular</w:t>
      </w:r>
      <w:proofErr w:type="spellEnd"/>
      <w:r w:rsidRPr="00B40F8F">
        <w:rPr>
          <w:highlight w:val="yellow"/>
          <w:lang w:val="en-US"/>
        </w:rPr>
        <w:t xml:space="preserve"> correction (Figure 2). The mean </w:t>
      </w:r>
      <w:r w:rsidRPr="00B40F8F">
        <w:rPr>
          <w:rStyle w:val="lev"/>
          <w:b w:val="0"/>
          <w:bCs w:val="0"/>
          <w:highlight w:val="yellow"/>
          <w:lang w:val="en-US"/>
        </w:rPr>
        <w:t>VCE angle increased to 28.9° (range: 21°–45°)</w:t>
      </w:r>
      <w:r w:rsidRPr="00B40F8F">
        <w:rPr>
          <w:highlight w:val="yellow"/>
          <w:lang w:val="en-US"/>
        </w:rPr>
        <w:t xml:space="preserve">, and the </w:t>
      </w:r>
      <w:r w:rsidRPr="00B40F8F">
        <w:rPr>
          <w:rStyle w:val="lev"/>
          <w:b w:val="0"/>
          <w:bCs w:val="0"/>
          <w:highlight w:val="yellow"/>
          <w:lang w:val="en-US"/>
        </w:rPr>
        <w:t>Wagner index normalized with a mean value of 90% (range: 80%–92%)</w:t>
      </w:r>
      <w:r w:rsidRPr="00B40F8F">
        <w:rPr>
          <w:highlight w:val="yellow"/>
          <w:lang w:val="en-US"/>
        </w:rPr>
        <w:t>.</w:t>
      </w:r>
    </w:p>
    <w:p w14:paraId="7B439EC8" w14:textId="77777777" w:rsidR="00B40F8F" w:rsidRPr="00B40F8F" w:rsidRDefault="00B40F8F" w:rsidP="00B40F8F">
      <w:pPr>
        <w:pStyle w:val="NormalWeb"/>
        <w:rPr>
          <w:highlight w:val="yellow"/>
          <w:lang w:val="en-US"/>
        </w:rPr>
      </w:pPr>
      <w:r w:rsidRPr="00B40F8F">
        <w:rPr>
          <w:highlight w:val="yellow"/>
          <w:lang w:val="en-US"/>
        </w:rPr>
        <w:t xml:space="preserve">According to the </w:t>
      </w:r>
      <w:proofErr w:type="spellStart"/>
      <w:r w:rsidRPr="00B40F8F">
        <w:rPr>
          <w:rStyle w:val="lev"/>
          <w:b w:val="0"/>
          <w:bCs w:val="0"/>
          <w:highlight w:val="yellow"/>
          <w:lang w:val="en-US"/>
        </w:rPr>
        <w:t>Tönnis</w:t>
      </w:r>
      <w:proofErr w:type="spellEnd"/>
      <w:r w:rsidRPr="00B40F8F">
        <w:rPr>
          <w:rStyle w:val="lev"/>
          <w:b w:val="0"/>
          <w:bCs w:val="0"/>
          <w:highlight w:val="yellow"/>
          <w:lang w:val="en-US"/>
        </w:rPr>
        <w:t xml:space="preserve"> classification at final follow-up</w:t>
      </w:r>
      <w:r w:rsidRPr="00B40F8F">
        <w:rPr>
          <w:highlight w:val="yellow"/>
          <w:lang w:val="en-US"/>
        </w:rPr>
        <w:t>, five hips (</w:t>
      </w:r>
      <w:r w:rsidRPr="00B40F8F">
        <w:rPr>
          <w:rStyle w:val="lev"/>
          <w:b w:val="0"/>
          <w:bCs w:val="0"/>
          <w:highlight w:val="yellow"/>
          <w:lang w:val="en-US"/>
        </w:rPr>
        <w:t>41.7%</w:t>
      </w:r>
      <w:r w:rsidRPr="00B40F8F">
        <w:rPr>
          <w:highlight w:val="yellow"/>
          <w:lang w:val="en-US"/>
        </w:rPr>
        <w:t xml:space="preserve">) were classified as </w:t>
      </w:r>
      <w:r w:rsidRPr="00B40F8F">
        <w:rPr>
          <w:rStyle w:val="lev"/>
          <w:b w:val="0"/>
          <w:bCs w:val="0"/>
          <w:highlight w:val="yellow"/>
          <w:lang w:val="en-US"/>
        </w:rPr>
        <w:t>Grade I</w:t>
      </w:r>
      <w:r w:rsidRPr="00B40F8F">
        <w:rPr>
          <w:highlight w:val="yellow"/>
          <w:lang w:val="en-US"/>
        </w:rPr>
        <w:t xml:space="preserve"> and seven hips (</w:t>
      </w:r>
      <w:r w:rsidRPr="00B40F8F">
        <w:rPr>
          <w:rStyle w:val="lev"/>
          <w:b w:val="0"/>
          <w:bCs w:val="0"/>
          <w:highlight w:val="yellow"/>
          <w:lang w:val="en-US"/>
        </w:rPr>
        <w:t>58.3%</w:t>
      </w:r>
      <w:r w:rsidRPr="00B40F8F">
        <w:rPr>
          <w:highlight w:val="yellow"/>
          <w:lang w:val="en-US"/>
        </w:rPr>
        <w:t xml:space="preserve">) as </w:t>
      </w:r>
      <w:r w:rsidRPr="00B40F8F">
        <w:rPr>
          <w:rStyle w:val="lev"/>
          <w:b w:val="0"/>
          <w:bCs w:val="0"/>
          <w:highlight w:val="yellow"/>
          <w:lang w:val="en-US"/>
        </w:rPr>
        <w:t>Grade II</w:t>
      </w:r>
      <w:r w:rsidRPr="00B40F8F">
        <w:rPr>
          <w:highlight w:val="yellow"/>
          <w:lang w:val="en-US"/>
        </w:rPr>
        <w:t>, indicating satisfactory radiological outcomes in all cases.</w:t>
      </w:r>
    </w:p>
    <w:p w14:paraId="6C2F6021" w14:textId="77777777" w:rsidR="00B40F8F" w:rsidRPr="00B40F8F" w:rsidRDefault="00B40F8F" w:rsidP="00B40F8F">
      <w:pPr>
        <w:pStyle w:val="NormalWeb"/>
        <w:rPr>
          <w:highlight w:val="yellow"/>
          <w:lang w:val="en-US"/>
        </w:rPr>
      </w:pPr>
      <w:r w:rsidRPr="00B40F8F">
        <w:rPr>
          <w:highlight w:val="yellow"/>
          <w:lang w:val="en-US"/>
        </w:rPr>
        <w:t xml:space="preserve">Clinical follow-up also demonstrated improvement in functional outcomes. At the last follow-up visit, </w:t>
      </w:r>
      <w:r w:rsidRPr="00B40F8F">
        <w:rPr>
          <w:rStyle w:val="lev"/>
          <w:b w:val="0"/>
          <w:bCs w:val="0"/>
          <w:highlight w:val="yellow"/>
          <w:lang w:val="en-US"/>
        </w:rPr>
        <w:t>six patients (75.0%) had no residual limping</w:t>
      </w:r>
      <w:r w:rsidRPr="00B40F8F">
        <w:rPr>
          <w:highlight w:val="yellow"/>
          <w:lang w:val="en-US"/>
        </w:rPr>
        <w:t xml:space="preserve">, while </w:t>
      </w:r>
      <w:r w:rsidRPr="00B40F8F">
        <w:rPr>
          <w:rStyle w:val="lev"/>
          <w:b w:val="0"/>
          <w:bCs w:val="0"/>
          <w:highlight w:val="yellow"/>
          <w:lang w:val="en-US"/>
        </w:rPr>
        <w:t>one patient (12.5%) presented with persistent limping related to recurrence requiring surgical revision</w:t>
      </w:r>
      <w:r w:rsidRPr="00B40F8F">
        <w:rPr>
          <w:highlight w:val="yellow"/>
          <w:lang w:val="en-US"/>
        </w:rPr>
        <w:t>. Clinical gait evaluation was not conclusive in one patient (</w:t>
      </w:r>
      <w:r w:rsidRPr="00B40F8F">
        <w:rPr>
          <w:rStyle w:val="lev"/>
          <w:b w:val="0"/>
          <w:bCs w:val="0"/>
          <w:highlight w:val="yellow"/>
          <w:lang w:val="en-US"/>
        </w:rPr>
        <w:t>12.5%</w:t>
      </w:r>
      <w:r w:rsidRPr="00B40F8F">
        <w:rPr>
          <w:highlight w:val="yellow"/>
          <w:lang w:val="en-US"/>
        </w:rPr>
        <w:t>) due to neurologic hip dislocation.</w:t>
      </w:r>
    </w:p>
    <w:p w14:paraId="7087CD64" w14:textId="77777777" w:rsidR="00B40F8F" w:rsidRPr="00B40F8F" w:rsidRDefault="00B40F8F" w:rsidP="00B40F8F">
      <w:pPr>
        <w:pStyle w:val="NormalWeb"/>
        <w:rPr>
          <w:highlight w:val="yellow"/>
          <w:lang w:val="en-US"/>
        </w:rPr>
      </w:pPr>
      <w:r w:rsidRPr="00B40F8F">
        <w:rPr>
          <w:highlight w:val="yellow"/>
          <w:lang w:val="en-US"/>
        </w:rPr>
        <w:t xml:space="preserve">Lower limb length discrepancy was </w:t>
      </w:r>
      <w:r w:rsidRPr="00B40F8F">
        <w:rPr>
          <w:rStyle w:val="lev"/>
          <w:b w:val="0"/>
          <w:bCs w:val="0"/>
          <w:highlight w:val="yellow"/>
          <w:lang w:val="en-US"/>
        </w:rPr>
        <w:t>absent in four patients (50.0%)</w:t>
      </w:r>
      <w:r w:rsidRPr="00B40F8F">
        <w:rPr>
          <w:highlight w:val="yellow"/>
          <w:lang w:val="en-US"/>
        </w:rPr>
        <w:t xml:space="preserve">, </w:t>
      </w:r>
      <w:r w:rsidRPr="00B40F8F">
        <w:rPr>
          <w:rStyle w:val="lev"/>
          <w:b w:val="0"/>
          <w:bCs w:val="0"/>
          <w:highlight w:val="yellow"/>
          <w:lang w:val="en-US"/>
        </w:rPr>
        <w:t>less than 1 cm in three patients (37.5%)</w:t>
      </w:r>
      <w:r w:rsidRPr="00B40F8F">
        <w:rPr>
          <w:highlight w:val="yellow"/>
          <w:lang w:val="en-US"/>
        </w:rPr>
        <w:t xml:space="preserve">, and </w:t>
      </w:r>
      <w:r w:rsidRPr="00B40F8F">
        <w:rPr>
          <w:rStyle w:val="lev"/>
          <w:b w:val="0"/>
          <w:bCs w:val="0"/>
          <w:highlight w:val="yellow"/>
          <w:lang w:val="en-US"/>
        </w:rPr>
        <w:t>between 1 and 2 cm in one patient (12.5%)</w:t>
      </w:r>
      <w:r w:rsidRPr="00B40F8F">
        <w:rPr>
          <w:highlight w:val="yellow"/>
          <w:lang w:val="en-US"/>
        </w:rPr>
        <w:t>.</w:t>
      </w:r>
    </w:p>
    <w:p w14:paraId="24DF7BD4" w14:textId="77777777" w:rsidR="00B40F8F" w:rsidRPr="00B40F8F" w:rsidRDefault="00B40F8F" w:rsidP="00B40F8F">
      <w:pPr>
        <w:pStyle w:val="NormalWeb"/>
        <w:rPr>
          <w:highlight w:val="yellow"/>
          <w:lang w:val="en-US"/>
        </w:rPr>
      </w:pPr>
      <w:r w:rsidRPr="00B40F8F">
        <w:rPr>
          <w:highlight w:val="yellow"/>
          <w:lang w:val="en-US"/>
        </w:rPr>
        <w:t xml:space="preserve">According to the </w:t>
      </w:r>
      <w:r w:rsidRPr="00B40F8F">
        <w:rPr>
          <w:rStyle w:val="lev"/>
          <w:b w:val="0"/>
          <w:bCs w:val="0"/>
          <w:highlight w:val="yellow"/>
          <w:lang w:val="en-US"/>
        </w:rPr>
        <w:t>modified McKay classification</w:t>
      </w:r>
      <w:r w:rsidRPr="00B40F8F">
        <w:rPr>
          <w:highlight w:val="yellow"/>
          <w:lang w:val="en-US"/>
        </w:rPr>
        <w:t xml:space="preserve">, postoperative clinical outcomes were satisfactory in the majority of patients: </w:t>
      </w:r>
      <w:r w:rsidRPr="00B40F8F">
        <w:rPr>
          <w:rStyle w:val="lev"/>
          <w:b w:val="0"/>
          <w:bCs w:val="0"/>
          <w:highlight w:val="yellow"/>
          <w:lang w:val="en-US"/>
        </w:rPr>
        <w:t>one patient (12.5%) was classified as Grade I, six patients (75.0%) as Grade II, and one patient (12.5%) as Grade III</w:t>
      </w:r>
      <w:r w:rsidRPr="00B40F8F">
        <w:rPr>
          <w:highlight w:val="yellow"/>
          <w:lang w:val="en-US"/>
        </w:rPr>
        <w:t xml:space="preserve">, resulting in </w:t>
      </w:r>
      <w:r w:rsidRPr="00B40F8F">
        <w:rPr>
          <w:rStyle w:val="lev"/>
          <w:b w:val="0"/>
          <w:bCs w:val="0"/>
          <w:highlight w:val="yellow"/>
          <w:lang w:val="en-US"/>
        </w:rPr>
        <w:t>87.5% satisfactory outcomes (Grades I and II)</w:t>
      </w:r>
      <w:r w:rsidRPr="00B40F8F">
        <w:rPr>
          <w:highlight w:val="yellow"/>
          <w:lang w:val="en-US"/>
        </w:rPr>
        <w:t>.</w:t>
      </w:r>
    </w:p>
    <w:p w14:paraId="2C9E294B" w14:textId="77777777" w:rsidR="00B40F8F" w:rsidRPr="00B40F8F" w:rsidRDefault="00B40F8F" w:rsidP="00B40F8F">
      <w:pPr>
        <w:pStyle w:val="NormalWeb"/>
        <w:rPr>
          <w:highlight w:val="yellow"/>
          <w:lang w:val="en-US"/>
        </w:rPr>
      </w:pPr>
      <w:r w:rsidRPr="00B40F8F">
        <w:rPr>
          <w:highlight w:val="yellow"/>
          <w:lang w:val="en-US"/>
        </w:rPr>
        <w:t xml:space="preserve">Postoperative complications were limited. </w:t>
      </w:r>
      <w:r w:rsidRPr="00B40F8F">
        <w:rPr>
          <w:rStyle w:val="lev"/>
          <w:b w:val="0"/>
          <w:bCs w:val="0"/>
          <w:highlight w:val="yellow"/>
          <w:lang w:val="en-US"/>
        </w:rPr>
        <w:t>Ten hips (83.3%) had no complications</w:t>
      </w:r>
      <w:r w:rsidRPr="00B40F8F">
        <w:rPr>
          <w:highlight w:val="yellow"/>
          <w:lang w:val="en-US"/>
        </w:rPr>
        <w:t xml:space="preserve">, while </w:t>
      </w:r>
      <w:r w:rsidRPr="00B40F8F">
        <w:rPr>
          <w:rStyle w:val="lev"/>
          <w:b w:val="0"/>
          <w:bCs w:val="0"/>
          <w:highlight w:val="yellow"/>
          <w:lang w:val="en-US"/>
        </w:rPr>
        <w:t>one hip (8.3%) developed postoperative stiffness</w:t>
      </w:r>
      <w:r w:rsidRPr="00B40F8F">
        <w:rPr>
          <w:highlight w:val="yellow"/>
          <w:lang w:val="en-US"/>
        </w:rPr>
        <w:t xml:space="preserve"> and </w:t>
      </w:r>
      <w:r w:rsidRPr="00B40F8F">
        <w:rPr>
          <w:rStyle w:val="lev"/>
          <w:b w:val="0"/>
          <w:bCs w:val="0"/>
          <w:highlight w:val="yellow"/>
          <w:lang w:val="en-US"/>
        </w:rPr>
        <w:t>one hip (8.3%) developed a superficial wound infection</w:t>
      </w:r>
      <w:r w:rsidRPr="00B40F8F">
        <w:rPr>
          <w:highlight w:val="yellow"/>
          <w:lang w:val="en-US"/>
        </w:rPr>
        <w:t xml:space="preserve">. In addition, </w:t>
      </w:r>
      <w:r w:rsidRPr="00B40F8F">
        <w:rPr>
          <w:rStyle w:val="lev"/>
          <w:b w:val="0"/>
          <w:bCs w:val="0"/>
          <w:highlight w:val="yellow"/>
          <w:lang w:val="en-US"/>
        </w:rPr>
        <w:t>one hip (8.3%) developed radiographic signs of avascular necrosis of the femoral head during follow-up</w:t>
      </w:r>
      <w:r w:rsidRPr="00B40F8F">
        <w:rPr>
          <w:highlight w:val="yellow"/>
          <w:lang w:val="en-US"/>
        </w:rPr>
        <w:t>.</w:t>
      </w:r>
    </w:p>
    <w:p w14:paraId="4AA2DB57" w14:textId="77777777" w:rsidR="00B40F8F" w:rsidRPr="00B40F8F" w:rsidRDefault="00B40F8F" w:rsidP="00B40F8F">
      <w:pPr>
        <w:pStyle w:val="NormalWeb"/>
        <w:rPr>
          <w:highlight w:val="yellow"/>
          <w:lang w:val="en-US"/>
        </w:rPr>
      </w:pPr>
      <w:r w:rsidRPr="00B40F8F">
        <w:rPr>
          <w:highlight w:val="yellow"/>
          <w:lang w:val="en-US"/>
        </w:rPr>
        <w:t xml:space="preserve">Overall, both </w:t>
      </w:r>
      <w:r w:rsidRPr="00B40F8F">
        <w:rPr>
          <w:rStyle w:val="lev"/>
          <w:b w:val="0"/>
          <w:bCs w:val="0"/>
          <w:highlight w:val="yellow"/>
          <w:lang w:val="en-US"/>
        </w:rPr>
        <w:t xml:space="preserve">clinical and radiological outcomes demonstrated significant improvement following </w:t>
      </w:r>
      <w:proofErr w:type="spellStart"/>
      <w:r w:rsidRPr="00B40F8F">
        <w:rPr>
          <w:rStyle w:val="lev"/>
          <w:b w:val="0"/>
          <w:bCs w:val="0"/>
          <w:highlight w:val="yellow"/>
          <w:lang w:val="en-US"/>
        </w:rPr>
        <w:t>Dega</w:t>
      </w:r>
      <w:proofErr w:type="spellEnd"/>
      <w:r w:rsidRPr="00B40F8F">
        <w:rPr>
          <w:rStyle w:val="lev"/>
          <w:b w:val="0"/>
          <w:bCs w:val="0"/>
          <w:highlight w:val="yellow"/>
          <w:lang w:val="en-US"/>
        </w:rPr>
        <w:t xml:space="preserve"> pelvic osteotomy</w:t>
      </w:r>
      <w:r w:rsidRPr="00B40F8F">
        <w:rPr>
          <w:highlight w:val="yellow"/>
          <w:lang w:val="en-US"/>
        </w:rPr>
        <w:t xml:space="preserve">, with restoration of </w:t>
      </w:r>
      <w:proofErr w:type="spellStart"/>
      <w:r w:rsidRPr="00B40F8F">
        <w:rPr>
          <w:highlight w:val="yellow"/>
          <w:lang w:val="en-US"/>
        </w:rPr>
        <w:t>acetabular</w:t>
      </w:r>
      <w:proofErr w:type="spellEnd"/>
      <w:r w:rsidRPr="00B40F8F">
        <w:rPr>
          <w:highlight w:val="yellow"/>
          <w:lang w:val="en-US"/>
        </w:rPr>
        <w:t xml:space="preserve"> coverage and satisfactory functional outcomes in the majority of patients.</w:t>
      </w:r>
    </w:p>
    <w:p w14:paraId="330D5619" w14:textId="77777777" w:rsidR="008327D4" w:rsidRPr="00B40F8F" w:rsidRDefault="008327D4" w:rsidP="008327D4">
      <w:pPr>
        <w:rPr>
          <w:rFonts w:ascii="Arial" w:hAnsi="Arial" w:cs="Arial"/>
          <w:highlight w:val="yellow"/>
        </w:rPr>
      </w:pPr>
    </w:p>
    <w:p w14:paraId="21ACC624" w14:textId="77777777" w:rsidR="00343589" w:rsidRPr="00B40F8F" w:rsidRDefault="00343589" w:rsidP="00343589">
      <w:pPr>
        <w:pStyle w:val="Body"/>
        <w:spacing w:after="0"/>
        <w:rPr>
          <w:rFonts w:ascii="Arial" w:hAnsi="Arial" w:cs="Arial"/>
          <w:highlight w:val="yellow"/>
        </w:rPr>
      </w:pPr>
      <w:r w:rsidRPr="00B40F8F">
        <w:rPr>
          <w:rFonts w:ascii="Arial" w:hAnsi="Arial" w:cs="Arial"/>
          <w:highlight w:val="yellow"/>
        </w:rPr>
        <w:t xml:space="preserve"> The mean acetabular index (AI) decreased from 30.9° preoperatively to 15.08°, the mean VCE angle increased from 16° to 20°, and the mean Wagner index (acetabular coverage ratio) increased from 44.0% to 70.5%.According to the </w:t>
      </w:r>
      <w:proofErr w:type="spellStart"/>
      <w:r w:rsidRPr="00B40F8F">
        <w:rPr>
          <w:rFonts w:ascii="Arial" w:hAnsi="Arial" w:cs="Arial"/>
          <w:highlight w:val="yellow"/>
        </w:rPr>
        <w:t>Tönnis</w:t>
      </w:r>
      <w:proofErr w:type="spellEnd"/>
      <w:r w:rsidRPr="00B40F8F">
        <w:rPr>
          <w:rFonts w:ascii="Arial" w:hAnsi="Arial" w:cs="Arial"/>
          <w:highlight w:val="yellow"/>
        </w:rPr>
        <w:t xml:space="preserve"> classification, two hips (16.7%) were classified as Grade I and ten hips (83.3%) as Grade II in the immediate postoperative period.</w:t>
      </w:r>
    </w:p>
    <w:p w14:paraId="7C3A0A5F" w14:textId="77777777" w:rsidR="00927048" w:rsidRPr="00B40F8F" w:rsidRDefault="00927048" w:rsidP="00343589">
      <w:pPr>
        <w:pStyle w:val="Body"/>
        <w:spacing w:after="0"/>
        <w:rPr>
          <w:rFonts w:ascii="Arial" w:hAnsi="Arial" w:cs="Arial"/>
          <w:highlight w:val="yellow"/>
        </w:rPr>
      </w:pPr>
    </w:p>
    <w:p w14:paraId="59ACE0A9" w14:textId="77777777" w:rsidR="00927048" w:rsidRPr="00B40F8F" w:rsidRDefault="00343589" w:rsidP="00343589">
      <w:pPr>
        <w:pStyle w:val="Body"/>
        <w:spacing w:after="0"/>
        <w:rPr>
          <w:rFonts w:ascii="Arial" w:hAnsi="Arial" w:cs="Arial"/>
          <w:highlight w:val="yellow"/>
        </w:rPr>
      </w:pPr>
      <w:r w:rsidRPr="00B40F8F">
        <w:rPr>
          <w:rFonts w:ascii="Arial" w:hAnsi="Arial" w:cs="Arial"/>
          <w:highlight w:val="yellow"/>
        </w:rPr>
        <w:t xml:space="preserve">At the final follow-up, performed after a mean duration of 18 months postoperatively (range: 6–36 months), radiological parameters continued to improve and approached physiological </w:t>
      </w:r>
      <w:proofErr w:type="spellStart"/>
      <w:r w:rsidRPr="00B40F8F">
        <w:rPr>
          <w:rFonts w:ascii="Arial" w:hAnsi="Arial" w:cs="Arial"/>
          <w:highlight w:val="yellow"/>
        </w:rPr>
        <w:t>values.The</w:t>
      </w:r>
      <w:proofErr w:type="spellEnd"/>
      <w:r w:rsidRPr="00B40F8F">
        <w:rPr>
          <w:rFonts w:ascii="Arial" w:hAnsi="Arial" w:cs="Arial"/>
          <w:highlight w:val="yellow"/>
        </w:rPr>
        <w:t xml:space="preserve"> mean </w:t>
      </w:r>
      <w:proofErr w:type="spellStart"/>
      <w:r w:rsidRPr="00B40F8F">
        <w:rPr>
          <w:rFonts w:ascii="Arial" w:hAnsi="Arial" w:cs="Arial"/>
          <w:highlight w:val="yellow"/>
        </w:rPr>
        <w:t>acetabular</w:t>
      </w:r>
      <w:proofErr w:type="spellEnd"/>
      <w:r w:rsidRPr="00B40F8F">
        <w:rPr>
          <w:rFonts w:ascii="Arial" w:hAnsi="Arial" w:cs="Arial"/>
          <w:highlight w:val="yellow"/>
        </w:rPr>
        <w:t xml:space="preserve"> index (AI) further decreased to 11.3° (range: 11°–13°), indicating sustained acetabular correction (Figure 2).</w:t>
      </w:r>
    </w:p>
    <w:p w14:paraId="5833A0DD" w14:textId="77777777" w:rsidR="00927048" w:rsidRPr="00B40F8F" w:rsidRDefault="00927048" w:rsidP="00927048">
      <w:pPr>
        <w:rPr>
          <w:highlight w:val="yellow"/>
        </w:rPr>
      </w:pPr>
    </w:p>
    <w:p w14:paraId="4FAF2696" w14:textId="77777777" w:rsidR="003371AE" w:rsidRPr="00B40F8F" w:rsidRDefault="003371AE" w:rsidP="00927048">
      <w:pPr>
        <w:jc w:val="center"/>
        <w:rPr>
          <w:highlight w:val="yellow"/>
        </w:rPr>
      </w:pPr>
    </w:p>
    <w:p w14:paraId="0D681C57" w14:textId="77777777" w:rsidR="003371AE" w:rsidRPr="00B40F8F" w:rsidRDefault="003371AE" w:rsidP="00927048">
      <w:pPr>
        <w:pStyle w:val="Body"/>
        <w:spacing w:after="0"/>
        <w:jc w:val="center"/>
        <w:rPr>
          <w:rFonts w:ascii="Arial" w:hAnsi="Arial" w:cs="Arial"/>
          <w:highlight w:val="yellow"/>
        </w:rPr>
      </w:pPr>
      <w:r w:rsidRPr="00B40F8F">
        <w:rPr>
          <w:noProof/>
          <w:highlight w:val="yellow"/>
          <w:lang w:val="fr-FR" w:eastAsia="fr-FR"/>
        </w:rPr>
        <w:lastRenderedPageBreak/>
        <w:drawing>
          <wp:inline distT="0" distB="0" distL="0" distR="0" wp14:anchorId="27136EF2" wp14:editId="2F93FACE">
            <wp:extent cx="3937799" cy="3105236"/>
            <wp:effectExtent l="0" t="0" r="5715" b="0"/>
            <wp:docPr id="13" name="Image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6CA5FE-E610-7111-9717-10CAA4178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6CA5FE-E610-7111-9717-10CAA41786C2}"/>
                        </a:ext>
                      </a:extLst>
                    </pic:cNvPr>
                    <pic:cNvPicPr>
                      <a:picLocks noChangeAspect="1"/>
                    </pic:cNvPicPr>
                  </pic:nvPicPr>
                  <pic:blipFill>
                    <a:blip r:embed="rId15"/>
                    <a:stretch>
                      <a:fillRect/>
                    </a:stretch>
                  </pic:blipFill>
                  <pic:spPr>
                    <a:xfrm>
                      <a:off x="0" y="0"/>
                      <a:ext cx="3937799" cy="3105236"/>
                    </a:xfrm>
                    <a:prstGeom prst="rect">
                      <a:avLst/>
                    </a:prstGeom>
                  </pic:spPr>
                </pic:pic>
              </a:graphicData>
            </a:graphic>
          </wp:inline>
        </w:drawing>
      </w:r>
    </w:p>
    <w:p w14:paraId="6E13F2E5" w14:textId="77777777" w:rsidR="008327D4" w:rsidRPr="003673A1" w:rsidRDefault="003371AE" w:rsidP="008327D4">
      <w:pPr>
        <w:jc w:val="center"/>
      </w:pPr>
      <w:r w:rsidRPr="00B40F8F">
        <w:rPr>
          <w:rFonts w:ascii="Arial" w:hAnsi="Arial" w:cs="Arial"/>
          <w:highlight w:val="yellow"/>
        </w:rPr>
        <w:t>Figure 2</w:t>
      </w:r>
      <w:proofErr w:type="gramStart"/>
      <w:r w:rsidRPr="00B40F8F">
        <w:rPr>
          <w:rFonts w:ascii="Arial" w:hAnsi="Arial" w:cs="Arial"/>
          <w:highlight w:val="yellow"/>
        </w:rPr>
        <w:t>:</w:t>
      </w:r>
      <w:r w:rsidR="008327D4" w:rsidRPr="00B40F8F">
        <w:rPr>
          <w:highlight w:val="yellow"/>
        </w:rPr>
        <w:t>Pelvic</w:t>
      </w:r>
      <w:proofErr w:type="gramEnd"/>
      <w:r w:rsidR="008327D4" w:rsidRPr="00B40F8F">
        <w:rPr>
          <w:highlight w:val="yellow"/>
        </w:rPr>
        <w:t xml:space="preserve"> radiograph at 6-month follow-up showing maintained correction and satisfactory acetabular remodeling</w:t>
      </w:r>
      <w:bookmarkStart w:id="0" w:name="_GoBack"/>
      <w:bookmarkEnd w:id="0"/>
      <w:r w:rsidR="008327D4" w:rsidRPr="00DF1E43">
        <w:t>.</w:t>
      </w:r>
    </w:p>
    <w:p w14:paraId="0E5A2B5D" w14:textId="77777777" w:rsidR="003371AE" w:rsidRDefault="003371AE" w:rsidP="008327D4">
      <w:pPr>
        <w:pStyle w:val="Body"/>
        <w:spacing w:after="0"/>
        <w:jc w:val="center"/>
        <w:rPr>
          <w:rFonts w:ascii="Arial" w:hAnsi="Arial" w:cs="Arial"/>
        </w:rPr>
      </w:pPr>
    </w:p>
    <w:p w14:paraId="6F4E070C" w14:textId="48CB822E" w:rsidR="00343589" w:rsidRPr="00DA1BFC" w:rsidRDefault="00343589" w:rsidP="00B40F8F">
      <w:pPr>
        <w:pStyle w:val="Body"/>
        <w:spacing w:after="0"/>
        <w:rPr>
          <w:rFonts w:ascii="Arial" w:hAnsi="Arial" w:cs="Arial"/>
        </w:rPr>
      </w:pPr>
      <w:r w:rsidRPr="007F4B08">
        <w:rPr>
          <w:rFonts w:ascii="Arial" w:hAnsi="Arial" w:cs="Arial"/>
        </w:rPr>
        <w:t xml:space="preserve"> </w:t>
      </w:r>
    </w:p>
    <w:p w14:paraId="1F7146B5" w14:textId="77777777" w:rsidR="00343589" w:rsidRDefault="00343589" w:rsidP="00441B6F">
      <w:pPr>
        <w:pStyle w:val="Head1"/>
        <w:spacing w:after="0"/>
        <w:jc w:val="both"/>
        <w:rPr>
          <w:rFonts w:ascii="Arial" w:hAnsi="Arial" w:cs="Arial"/>
        </w:rPr>
      </w:pPr>
    </w:p>
    <w:p w14:paraId="0E399E8B" w14:textId="0547D269" w:rsidR="00B40F8F" w:rsidRDefault="00343589" w:rsidP="00B40F8F">
      <w:pPr>
        <w:pStyle w:val="NormalWeb"/>
        <w:rPr>
          <w:rFonts w:ascii="Arial" w:hAnsi="Arial" w:cs="Arial"/>
          <w:lang w:val="en-US"/>
        </w:rPr>
      </w:pPr>
      <w:proofErr w:type="gramStart"/>
      <w:r w:rsidRPr="00B40F8F">
        <w:rPr>
          <w:rFonts w:ascii="Arial" w:hAnsi="Arial" w:cs="Arial"/>
          <w:lang w:val="en-US"/>
        </w:rPr>
        <w:t>4.</w:t>
      </w:r>
      <w:r w:rsidR="00B40F8F" w:rsidRPr="00B40F8F">
        <w:rPr>
          <w:rFonts w:ascii="Arial" w:hAnsi="Arial" w:cs="Arial"/>
          <w:b/>
          <w:bCs/>
          <w:lang w:val="en-US"/>
        </w:rPr>
        <w:t>DISCUSSION</w:t>
      </w:r>
      <w:proofErr w:type="gramEnd"/>
    </w:p>
    <w:p w14:paraId="11432B05" w14:textId="5383E07C" w:rsidR="00B40F8F" w:rsidRPr="00B40F8F" w:rsidRDefault="00343589" w:rsidP="00B40F8F">
      <w:pPr>
        <w:pStyle w:val="NormalWeb"/>
        <w:rPr>
          <w:highlight w:val="yellow"/>
          <w:lang w:val="en-US"/>
        </w:rPr>
      </w:pPr>
      <w:r w:rsidRPr="00B40F8F">
        <w:rPr>
          <w:rFonts w:ascii="Arial" w:hAnsi="Arial" w:cs="Arial"/>
          <w:lang w:val="en-US"/>
        </w:rPr>
        <w:t xml:space="preserve"> </w:t>
      </w:r>
      <w:r w:rsidR="00B40F8F" w:rsidRPr="00B40F8F">
        <w:rPr>
          <w:highlight w:val="yellow"/>
          <w:lang w:val="en-US"/>
        </w:rPr>
        <w:t>The optimal timing of pelvic osteotomy in pediatric hip dysplasia remains debated, and age alone does not appear to be a consistent predictor of radiological outcome. Several studies have reported no significant correlation between surgical results and the age at the time of surgery [6], suggesting that a younger age at intervention does not necessarily guarantee superior radiological outcomes [2]. In our series, the mean age at surgery was 4 years, which is consistent with previously reported series where the mean age ranged from 1.3 to 5.8 years [2</w:t>
      </w:r>
      <w:proofErr w:type="gramStart"/>
      <w:r w:rsidR="00B40F8F" w:rsidRPr="00B40F8F">
        <w:rPr>
          <w:highlight w:val="yellow"/>
          <w:lang w:val="en-US"/>
        </w:rPr>
        <w:t>,7</w:t>
      </w:r>
      <w:proofErr w:type="gramEnd"/>
      <w:r w:rsidR="00B40F8F" w:rsidRPr="00B40F8F">
        <w:rPr>
          <w:highlight w:val="yellow"/>
          <w:lang w:val="en-US"/>
        </w:rPr>
        <w:t xml:space="preserve">–11]. These findings support the concept that </w:t>
      </w:r>
      <w:proofErr w:type="spellStart"/>
      <w:r w:rsidR="00B40F8F" w:rsidRPr="00B40F8F">
        <w:rPr>
          <w:highlight w:val="yellow"/>
          <w:lang w:val="en-US"/>
        </w:rPr>
        <w:t>Dega</w:t>
      </w:r>
      <w:proofErr w:type="spellEnd"/>
      <w:r w:rsidR="00B40F8F" w:rsidRPr="00B40F8F">
        <w:rPr>
          <w:highlight w:val="yellow"/>
          <w:lang w:val="en-US"/>
        </w:rPr>
        <w:t xml:space="preserve"> osteotomy can be effectively performed across a broad pediatric age range, particularly while the </w:t>
      </w:r>
      <w:proofErr w:type="spellStart"/>
      <w:r w:rsidR="00B40F8F" w:rsidRPr="00B40F8F">
        <w:rPr>
          <w:highlight w:val="yellow"/>
          <w:lang w:val="en-US"/>
        </w:rPr>
        <w:t>triradiate</w:t>
      </w:r>
      <w:proofErr w:type="spellEnd"/>
      <w:r w:rsidR="00B40F8F" w:rsidRPr="00B40F8F">
        <w:rPr>
          <w:highlight w:val="yellow"/>
          <w:lang w:val="en-US"/>
        </w:rPr>
        <w:t xml:space="preserve"> cartilage remains open and flexible. Most </w:t>
      </w:r>
      <w:proofErr w:type="gramStart"/>
      <w:r w:rsidR="00B40F8F" w:rsidRPr="00B40F8F">
        <w:rPr>
          <w:highlight w:val="yellow"/>
          <w:lang w:val="en-US"/>
        </w:rPr>
        <w:t>authors</w:t>
      </w:r>
      <w:proofErr w:type="gramEnd"/>
      <w:r w:rsidR="00B40F8F" w:rsidRPr="00B40F8F">
        <w:rPr>
          <w:highlight w:val="yellow"/>
          <w:lang w:val="en-US"/>
        </w:rPr>
        <w:t xml:space="preserve"> consider the optimal indication for this procedure between 2 and 6 years of age [12].</w:t>
      </w:r>
    </w:p>
    <w:p w14:paraId="58D61DD4" w14:textId="77777777" w:rsidR="00B40F8F" w:rsidRPr="00B40F8F" w:rsidRDefault="00B40F8F" w:rsidP="00B40F8F">
      <w:pPr>
        <w:pStyle w:val="NormalWeb"/>
        <w:rPr>
          <w:highlight w:val="yellow"/>
          <w:lang w:val="en-US"/>
        </w:rPr>
      </w:pPr>
      <w:r w:rsidRPr="00B40F8F">
        <w:rPr>
          <w:highlight w:val="yellow"/>
          <w:lang w:val="en-US"/>
        </w:rPr>
        <w:t>A female predominance in developmental dysplasia of the hip is consistently reported in the literature. In our cohort, females represented 75% of patients, which corresponds to the range reported in previous studies (approximately 66.6% to 90%) [2</w:t>
      </w:r>
      <w:proofErr w:type="gramStart"/>
      <w:r w:rsidRPr="00B40F8F">
        <w:rPr>
          <w:highlight w:val="yellow"/>
          <w:lang w:val="en-US"/>
        </w:rPr>
        <w:t>,7</w:t>
      </w:r>
      <w:proofErr w:type="gramEnd"/>
      <w:r w:rsidRPr="00B40F8F">
        <w:rPr>
          <w:highlight w:val="yellow"/>
          <w:lang w:val="en-US"/>
        </w:rPr>
        <w:t xml:space="preserve">–11]. Similarly, the distribution of baseline diagnoses in our series reflects patterns described in other reports. </w:t>
      </w:r>
      <w:proofErr w:type="spellStart"/>
      <w:r w:rsidRPr="00B40F8F">
        <w:rPr>
          <w:highlight w:val="yellow"/>
          <w:lang w:val="en-US"/>
        </w:rPr>
        <w:t>Czubak</w:t>
      </w:r>
      <w:proofErr w:type="spellEnd"/>
      <w:r w:rsidRPr="00B40F8F">
        <w:rPr>
          <w:highlight w:val="yellow"/>
          <w:lang w:val="en-US"/>
        </w:rPr>
        <w:t xml:space="preserve"> et al. noted that approximately 73% of dysplastic hips were associated with congenital dislocation and 27% with isolated dysplasia [2]. In our population, most hips were dysplastic in the context of </w:t>
      </w:r>
      <w:r w:rsidRPr="00B40F8F">
        <w:rPr>
          <w:highlight w:val="yellow"/>
          <w:lang w:val="en-US"/>
        </w:rPr>
        <w:lastRenderedPageBreak/>
        <w:t>congenital hip dislocation, with a smaller proportion of isolated dysplasia and one neurologic hip dislocation.</w:t>
      </w:r>
    </w:p>
    <w:p w14:paraId="29434501" w14:textId="77777777" w:rsidR="00B40F8F" w:rsidRPr="00B40F8F" w:rsidRDefault="00B40F8F" w:rsidP="00B40F8F">
      <w:pPr>
        <w:pStyle w:val="NormalWeb"/>
        <w:rPr>
          <w:highlight w:val="yellow"/>
          <w:lang w:val="en-US"/>
        </w:rPr>
      </w:pPr>
      <w:r w:rsidRPr="00B40F8F">
        <w:rPr>
          <w:highlight w:val="yellow"/>
          <w:lang w:val="en-US"/>
        </w:rPr>
        <w:t xml:space="preserve">Clinically, hip dysplasia diagnosed after walking age often presents with limping or pain during walking. In our series, limping was the most frequent presenting symptom, highlighting the importance of clinical evaluation in older children. Physical examination remains essential for assessing range of motion, gait abnormalities, and muscle strength. Limitation of hip abduction is often an early and characteristic finding in dysplastic hips [13]. </w:t>
      </w:r>
      <w:proofErr w:type="spellStart"/>
      <w:r w:rsidRPr="00B40F8F">
        <w:rPr>
          <w:highlight w:val="yellow"/>
          <w:lang w:val="en-US"/>
        </w:rPr>
        <w:t>Pecquer</w:t>
      </w:r>
      <w:proofErr w:type="spellEnd"/>
      <w:r w:rsidRPr="00B40F8F">
        <w:rPr>
          <w:highlight w:val="yellow"/>
          <w:lang w:val="en-US"/>
        </w:rPr>
        <w:t xml:space="preserve"> reported reduced abduction and internal rotation compared with the contralateral side [14], observations that were also consistent with our clinical findings.</w:t>
      </w:r>
    </w:p>
    <w:p w14:paraId="14BAFBED" w14:textId="77777777" w:rsidR="00B40F8F" w:rsidRPr="00B40F8F" w:rsidRDefault="00B40F8F" w:rsidP="00B40F8F">
      <w:pPr>
        <w:pStyle w:val="NormalWeb"/>
        <w:rPr>
          <w:highlight w:val="yellow"/>
          <w:lang w:val="en-US"/>
        </w:rPr>
      </w:pPr>
      <w:r w:rsidRPr="00B40F8F">
        <w:rPr>
          <w:highlight w:val="yellow"/>
          <w:lang w:val="en-US"/>
        </w:rPr>
        <w:t xml:space="preserve">Radiological evaluation remains the cornerstone of diagnosis and postoperative assessment. Standard </w:t>
      </w:r>
      <w:proofErr w:type="spellStart"/>
      <w:r w:rsidRPr="00B40F8F">
        <w:rPr>
          <w:highlight w:val="yellow"/>
          <w:lang w:val="en-US"/>
        </w:rPr>
        <w:t>anteroposterior</w:t>
      </w:r>
      <w:proofErr w:type="spellEnd"/>
      <w:r w:rsidRPr="00B40F8F">
        <w:rPr>
          <w:highlight w:val="yellow"/>
          <w:lang w:val="en-US"/>
        </w:rPr>
        <w:t xml:space="preserve"> pelvic radiographs allow measurement of key parameters such as the </w:t>
      </w:r>
      <w:proofErr w:type="spellStart"/>
      <w:r w:rsidRPr="00B40F8F">
        <w:rPr>
          <w:highlight w:val="yellow"/>
          <w:lang w:val="en-US"/>
        </w:rPr>
        <w:t>acetabular</w:t>
      </w:r>
      <w:proofErr w:type="spellEnd"/>
      <w:r w:rsidRPr="00B40F8F">
        <w:rPr>
          <w:highlight w:val="yellow"/>
          <w:lang w:val="en-US"/>
        </w:rPr>
        <w:t xml:space="preserve"> index (AI), the lateral center-edge (VCE) angle of </w:t>
      </w:r>
      <w:proofErr w:type="spellStart"/>
      <w:r w:rsidRPr="00B40F8F">
        <w:rPr>
          <w:highlight w:val="yellow"/>
          <w:lang w:val="en-US"/>
        </w:rPr>
        <w:t>Wiberg</w:t>
      </w:r>
      <w:proofErr w:type="spellEnd"/>
      <w:r w:rsidRPr="00B40F8F">
        <w:rPr>
          <w:highlight w:val="yellow"/>
          <w:lang w:val="en-US"/>
        </w:rPr>
        <w:t xml:space="preserve">, and other indices used to assess </w:t>
      </w:r>
      <w:proofErr w:type="spellStart"/>
      <w:r w:rsidRPr="00B40F8F">
        <w:rPr>
          <w:highlight w:val="yellow"/>
          <w:lang w:val="en-US"/>
        </w:rPr>
        <w:t>acetabular</w:t>
      </w:r>
      <w:proofErr w:type="spellEnd"/>
      <w:r w:rsidRPr="00B40F8F">
        <w:rPr>
          <w:highlight w:val="yellow"/>
          <w:lang w:val="en-US"/>
        </w:rPr>
        <w:t xml:space="preserve"> coverage and hip stability. Radiographic evaluation also allows classification-based analysis using systems such as the </w:t>
      </w:r>
      <w:proofErr w:type="spellStart"/>
      <w:r w:rsidRPr="00B40F8F">
        <w:rPr>
          <w:highlight w:val="yellow"/>
          <w:lang w:val="en-US"/>
        </w:rPr>
        <w:t>Tönnis</w:t>
      </w:r>
      <w:proofErr w:type="spellEnd"/>
      <w:r w:rsidRPr="00B40F8F">
        <w:rPr>
          <w:highlight w:val="yellow"/>
          <w:lang w:val="en-US"/>
        </w:rPr>
        <w:t xml:space="preserve"> and </w:t>
      </w:r>
      <w:proofErr w:type="spellStart"/>
      <w:r w:rsidRPr="00B40F8F">
        <w:rPr>
          <w:highlight w:val="yellow"/>
          <w:lang w:val="en-US"/>
        </w:rPr>
        <w:t>Severin</w:t>
      </w:r>
      <w:proofErr w:type="spellEnd"/>
      <w:r w:rsidRPr="00B40F8F">
        <w:rPr>
          <w:highlight w:val="yellow"/>
          <w:lang w:val="en-US"/>
        </w:rPr>
        <w:t xml:space="preserve"> classifications [5]. Although conventional radiography does not provide early diagnosis in infancy, it remains essential for evaluating dysplasia severity, monitoring </w:t>
      </w:r>
      <w:proofErr w:type="spellStart"/>
      <w:r w:rsidRPr="00B40F8F">
        <w:rPr>
          <w:highlight w:val="yellow"/>
          <w:lang w:val="en-US"/>
        </w:rPr>
        <w:t>acetabular</w:t>
      </w:r>
      <w:proofErr w:type="spellEnd"/>
      <w:r w:rsidRPr="00B40F8F">
        <w:rPr>
          <w:highlight w:val="yellow"/>
          <w:lang w:val="en-US"/>
        </w:rPr>
        <w:t xml:space="preserve"> remodeling, and assessing treatment outcomes.</w:t>
      </w:r>
    </w:p>
    <w:p w14:paraId="645F6E4A" w14:textId="77777777" w:rsidR="00B40F8F" w:rsidRPr="00B40F8F" w:rsidRDefault="00B40F8F" w:rsidP="00B40F8F">
      <w:pPr>
        <w:pStyle w:val="NormalWeb"/>
        <w:rPr>
          <w:highlight w:val="yellow"/>
          <w:lang w:val="en-US"/>
        </w:rPr>
      </w:pPr>
      <w:r w:rsidRPr="00B40F8F">
        <w:rPr>
          <w:highlight w:val="yellow"/>
          <w:lang w:val="en-US"/>
        </w:rPr>
        <w:t xml:space="preserve">Advanced imaging techniques may provide complementary information in selected cases. Computed tomography can offer more precise evaluation of anterior and posterior </w:t>
      </w:r>
      <w:proofErr w:type="spellStart"/>
      <w:r w:rsidRPr="00B40F8F">
        <w:rPr>
          <w:highlight w:val="yellow"/>
          <w:lang w:val="en-US"/>
        </w:rPr>
        <w:t>acetabular</w:t>
      </w:r>
      <w:proofErr w:type="spellEnd"/>
      <w:r w:rsidRPr="00B40F8F">
        <w:rPr>
          <w:highlight w:val="yellow"/>
          <w:lang w:val="en-US"/>
        </w:rPr>
        <w:t xml:space="preserve"> coverage and femoral version through axial measurements [13</w:t>
      </w:r>
      <w:proofErr w:type="gramStart"/>
      <w:r w:rsidRPr="00B40F8F">
        <w:rPr>
          <w:highlight w:val="yellow"/>
          <w:lang w:val="en-US"/>
        </w:rPr>
        <w:t>,15</w:t>
      </w:r>
      <w:proofErr w:type="gramEnd"/>
      <w:r w:rsidRPr="00B40F8F">
        <w:rPr>
          <w:highlight w:val="yellow"/>
          <w:lang w:val="en-US"/>
        </w:rPr>
        <w:t xml:space="preserve">], while three-dimensional reconstructions allow improved visualization of </w:t>
      </w:r>
      <w:proofErr w:type="spellStart"/>
      <w:r w:rsidRPr="00B40F8F">
        <w:rPr>
          <w:highlight w:val="yellow"/>
          <w:lang w:val="en-US"/>
        </w:rPr>
        <w:t>acetabular</w:t>
      </w:r>
      <w:proofErr w:type="spellEnd"/>
      <w:r w:rsidRPr="00B40F8F">
        <w:rPr>
          <w:highlight w:val="yellow"/>
          <w:lang w:val="en-US"/>
        </w:rPr>
        <w:t xml:space="preserve"> morphology [16]. Magnetic resonance imaging may also be useful for evaluating cartilaginous structures and determining </w:t>
      </w:r>
      <w:proofErr w:type="spellStart"/>
      <w:r w:rsidRPr="00B40F8F">
        <w:rPr>
          <w:highlight w:val="yellow"/>
          <w:lang w:val="en-US"/>
        </w:rPr>
        <w:t>sectoral</w:t>
      </w:r>
      <w:proofErr w:type="spellEnd"/>
      <w:r w:rsidRPr="00B40F8F">
        <w:rPr>
          <w:highlight w:val="yellow"/>
          <w:lang w:val="en-US"/>
        </w:rPr>
        <w:t xml:space="preserve"> </w:t>
      </w:r>
      <w:proofErr w:type="spellStart"/>
      <w:r w:rsidRPr="00B40F8F">
        <w:rPr>
          <w:highlight w:val="yellow"/>
          <w:lang w:val="en-US"/>
        </w:rPr>
        <w:t>acetabular</w:t>
      </w:r>
      <w:proofErr w:type="spellEnd"/>
      <w:r w:rsidRPr="00B40F8F">
        <w:rPr>
          <w:highlight w:val="yellow"/>
          <w:lang w:val="en-US"/>
        </w:rPr>
        <w:t xml:space="preserve"> deficiencies, which may assist in selecting the most appropriate pelvic osteotomy technique [17]. In our clinical setting, however, advanced imaging was used sparingly due to contextual constraints.</w:t>
      </w:r>
    </w:p>
    <w:p w14:paraId="3C16F9C1" w14:textId="77777777" w:rsidR="00B40F8F" w:rsidRPr="00B40F8F" w:rsidRDefault="00B40F8F" w:rsidP="00B40F8F">
      <w:pPr>
        <w:pStyle w:val="NormalWeb"/>
        <w:rPr>
          <w:highlight w:val="yellow"/>
          <w:lang w:val="en-US"/>
        </w:rPr>
      </w:pPr>
      <w:r w:rsidRPr="00B40F8F">
        <w:rPr>
          <w:highlight w:val="yellow"/>
          <w:lang w:val="en-US"/>
        </w:rPr>
        <w:t xml:space="preserve">Our radiological results demonstrate a significant improvement in </w:t>
      </w:r>
      <w:proofErr w:type="spellStart"/>
      <w:r w:rsidRPr="00B40F8F">
        <w:rPr>
          <w:highlight w:val="yellow"/>
          <w:lang w:val="en-US"/>
        </w:rPr>
        <w:t>acetabular</w:t>
      </w:r>
      <w:proofErr w:type="spellEnd"/>
      <w:r w:rsidRPr="00B40F8F">
        <w:rPr>
          <w:highlight w:val="yellow"/>
          <w:lang w:val="en-US"/>
        </w:rPr>
        <w:t xml:space="preserve"> coverage following </w:t>
      </w:r>
      <w:proofErr w:type="spellStart"/>
      <w:r w:rsidRPr="00B40F8F">
        <w:rPr>
          <w:highlight w:val="yellow"/>
          <w:lang w:val="en-US"/>
        </w:rPr>
        <w:t>Dega</w:t>
      </w:r>
      <w:proofErr w:type="spellEnd"/>
      <w:r w:rsidRPr="00B40F8F">
        <w:rPr>
          <w:highlight w:val="yellow"/>
          <w:lang w:val="en-US"/>
        </w:rPr>
        <w:t xml:space="preserve"> osteotomy. The </w:t>
      </w:r>
      <w:proofErr w:type="spellStart"/>
      <w:r w:rsidRPr="00B40F8F">
        <w:rPr>
          <w:highlight w:val="yellow"/>
          <w:lang w:val="en-US"/>
        </w:rPr>
        <w:t>acetabular</w:t>
      </w:r>
      <w:proofErr w:type="spellEnd"/>
      <w:r w:rsidRPr="00B40F8F">
        <w:rPr>
          <w:highlight w:val="yellow"/>
          <w:lang w:val="en-US"/>
        </w:rPr>
        <w:t xml:space="preserve"> index decreased substantially from the preoperative period to the immediate postoperative stage and continued to improve at the final follow-up. Similarly, the VCE angle increased toward values considered satisfactory. The Wagner index also normalized, reaching values regarded as normal in the literature (≥80%) [18]. </w:t>
      </w:r>
      <w:proofErr w:type="gramStart"/>
      <w:r w:rsidRPr="00B40F8F">
        <w:rPr>
          <w:highlight w:val="yellow"/>
          <w:lang w:val="en-US"/>
        </w:rPr>
        <w:t>These</w:t>
      </w:r>
      <w:proofErr w:type="gramEnd"/>
      <w:r w:rsidRPr="00B40F8F">
        <w:rPr>
          <w:highlight w:val="yellow"/>
          <w:lang w:val="en-US"/>
        </w:rPr>
        <w:t xml:space="preserve"> improvements are consistent with previously published studies reporting significant postoperative gains in </w:t>
      </w:r>
      <w:proofErr w:type="spellStart"/>
      <w:r w:rsidRPr="00B40F8F">
        <w:rPr>
          <w:highlight w:val="yellow"/>
          <w:lang w:val="en-US"/>
        </w:rPr>
        <w:t>acetabular</w:t>
      </w:r>
      <w:proofErr w:type="spellEnd"/>
      <w:r w:rsidRPr="00B40F8F">
        <w:rPr>
          <w:highlight w:val="yellow"/>
          <w:lang w:val="en-US"/>
        </w:rPr>
        <w:t xml:space="preserve"> coverage after </w:t>
      </w:r>
      <w:proofErr w:type="spellStart"/>
      <w:r w:rsidRPr="00B40F8F">
        <w:rPr>
          <w:highlight w:val="yellow"/>
          <w:lang w:val="en-US"/>
        </w:rPr>
        <w:t>Dega</w:t>
      </w:r>
      <w:proofErr w:type="spellEnd"/>
      <w:r w:rsidRPr="00B40F8F">
        <w:rPr>
          <w:highlight w:val="yellow"/>
          <w:lang w:val="en-US"/>
        </w:rPr>
        <w:t xml:space="preserve"> osteotomy. For example, </w:t>
      </w:r>
      <w:proofErr w:type="spellStart"/>
      <w:r w:rsidRPr="00B40F8F">
        <w:rPr>
          <w:highlight w:val="yellow"/>
          <w:lang w:val="en-US"/>
        </w:rPr>
        <w:t>Czubak</w:t>
      </w:r>
      <w:proofErr w:type="spellEnd"/>
      <w:r w:rsidRPr="00B40F8F">
        <w:rPr>
          <w:highlight w:val="yellow"/>
          <w:lang w:val="en-US"/>
        </w:rPr>
        <w:t xml:space="preserve"> et al. reported a mean postoperative VCE angle of approximately 26° [19], while </w:t>
      </w:r>
      <w:proofErr w:type="spellStart"/>
      <w:r w:rsidRPr="00B40F8F">
        <w:rPr>
          <w:highlight w:val="yellow"/>
          <w:lang w:val="en-US"/>
        </w:rPr>
        <w:t>Ruszkowski</w:t>
      </w:r>
      <w:proofErr w:type="spellEnd"/>
      <w:r w:rsidRPr="00B40F8F">
        <w:rPr>
          <w:highlight w:val="yellow"/>
          <w:lang w:val="en-US"/>
        </w:rPr>
        <w:t xml:space="preserve"> and </w:t>
      </w:r>
      <w:proofErr w:type="spellStart"/>
      <w:r w:rsidRPr="00B40F8F">
        <w:rPr>
          <w:highlight w:val="yellow"/>
          <w:lang w:val="en-US"/>
        </w:rPr>
        <w:t>Pucher</w:t>
      </w:r>
      <w:proofErr w:type="spellEnd"/>
      <w:r w:rsidRPr="00B40F8F">
        <w:rPr>
          <w:highlight w:val="yellow"/>
          <w:lang w:val="en-US"/>
        </w:rPr>
        <w:t xml:space="preserve"> observed postoperative </w:t>
      </w:r>
      <w:proofErr w:type="spellStart"/>
      <w:r w:rsidRPr="00B40F8F">
        <w:rPr>
          <w:highlight w:val="yellow"/>
          <w:lang w:val="en-US"/>
        </w:rPr>
        <w:t>acetabular</w:t>
      </w:r>
      <w:proofErr w:type="spellEnd"/>
      <w:r w:rsidRPr="00B40F8F">
        <w:rPr>
          <w:highlight w:val="yellow"/>
          <w:lang w:val="en-US"/>
        </w:rPr>
        <w:t xml:space="preserve"> index values close to 11° [8]. Overall, published studies report postoperative </w:t>
      </w:r>
      <w:proofErr w:type="spellStart"/>
      <w:r w:rsidRPr="00B40F8F">
        <w:rPr>
          <w:highlight w:val="yellow"/>
          <w:lang w:val="en-US"/>
        </w:rPr>
        <w:t>acetabular</w:t>
      </w:r>
      <w:proofErr w:type="spellEnd"/>
      <w:r w:rsidRPr="00B40F8F">
        <w:rPr>
          <w:highlight w:val="yellow"/>
          <w:lang w:val="en-US"/>
        </w:rPr>
        <w:t xml:space="preserve"> index values between 11° and 25°, with VCE angles generally in the mid-to-high twenties or higher [2,7–10]. Our </w:t>
      </w:r>
      <w:r w:rsidRPr="00B40F8F">
        <w:rPr>
          <w:highlight w:val="yellow"/>
          <w:lang w:val="en-US"/>
        </w:rPr>
        <w:lastRenderedPageBreak/>
        <w:t xml:space="preserve">results fall within these reported ranges, supporting the reliability and reproducibility of </w:t>
      </w:r>
      <w:proofErr w:type="spellStart"/>
      <w:r w:rsidRPr="00B40F8F">
        <w:rPr>
          <w:highlight w:val="yellow"/>
          <w:lang w:val="en-US"/>
        </w:rPr>
        <w:t>Dega</w:t>
      </w:r>
      <w:proofErr w:type="spellEnd"/>
      <w:r w:rsidRPr="00B40F8F">
        <w:rPr>
          <w:highlight w:val="yellow"/>
          <w:lang w:val="en-US"/>
        </w:rPr>
        <w:t xml:space="preserve"> osteotomy.</w:t>
      </w:r>
    </w:p>
    <w:p w14:paraId="58783807" w14:textId="77777777" w:rsidR="00B40F8F" w:rsidRPr="00B40F8F" w:rsidRDefault="00B40F8F" w:rsidP="00B40F8F">
      <w:pPr>
        <w:pStyle w:val="NormalWeb"/>
        <w:rPr>
          <w:highlight w:val="yellow"/>
          <w:lang w:val="en-US"/>
        </w:rPr>
      </w:pPr>
      <w:r w:rsidRPr="00B40F8F">
        <w:rPr>
          <w:highlight w:val="yellow"/>
          <w:lang w:val="en-US"/>
        </w:rPr>
        <w:t xml:space="preserve">From a technical standpoint, </w:t>
      </w:r>
      <w:proofErr w:type="spellStart"/>
      <w:r w:rsidRPr="00B40F8F">
        <w:rPr>
          <w:highlight w:val="yellow"/>
          <w:lang w:val="en-US"/>
        </w:rPr>
        <w:t>Dega</w:t>
      </w:r>
      <w:proofErr w:type="spellEnd"/>
      <w:r w:rsidRPr="00B40F8F">
        <w:rPr>
          <w:highlight w:val="yellow"/>
          <w:lang w:val="en-US"/>
        </w:rPr>
        <w:t xml:space="preserve"> osteotomy is particularly advantageous in skeletally immature patients because it is an incomplete </w:t>
      </w:r>
      <w:proofErr w:type="spellStart"/>
      <w:r w:rsidRPr="00B40F8F">
        <w:rPr>
          <w:highlight w:val="yellow"/>
          <w:lang w:val="en-US"/>
        </w:rPr>
        <w:t>transiliac</w:t>
      </w:r>
      <w:proofErr w:type="spellEnd"/>
      <w:r w:rsidRPr="00B40F8F">
        <w:rPr>
          <w:highlight w:val="yellow"/>
          <w:lang w:val="en-US"/>
        </w:rPr>
        <w:t xml:space="preserve"> osteotomy that preserves the posterior pelvic column. By using the flexibility of the </w:t>
      </w:r>
      <w:proofErr w:type="spellStart"/>
      <w:r w:rsidRPr="00B40F8F">
        <w:rPr>
          <w:highlight w:val="yellow"/>
          <w:lang w:val="en-US"/>
        </w:rPr>
        <w:t>triradiate</w:t>
      </w:r>
      <w:proofErr w:type="spellEnd"/>
      <w:r w:rsidRPr="00B40F8F">
        <w:rPr>
          <w:highlight w:val="yellow"/>
          <w:lang w:val="en-US"/>
        </w:rPr>
        <w:t xml:space="preserve"> cartilage, this procedure allows controlled reshaping of the </w:t>
      </w:r>
      <w:proofErr w:type="spellStart"/>
      <w:r w:rsidRPr="00B40F8F">
        <w:rPr>
          <w:highlight w:val="yellow"/>
          <w:lang w:val="en-US"/>
        </w:rPr>
        <w:t>acetabular</w:t>
      </w:r>
      <w:proofErr w:type="spellEnd"/>
      <w:r w:rsidRPr="00B40F8F">
        <w:rPr>
          <w:highlight w:val="yellow"/>
          <w:lang w:val="en-US"/>
        </w:rPr>
        <w:t xml:space="preserve"> roof and targeted correction of </w:t>
      </w:r>
      <w:proofErr w:type="spellStart"/>
      <w:r w:rsidRPr="00B40F8F">
        <w:rPr>
          <w:highlight w:val="yellow"/>
          <w:lang w:val="en-US"/>
        </w:rPr>
        <w:t>acetabular</w:t>
      </w:r>
      <w:proofErr w:type="spellEnd"/>
      <w:r w:rsidRPr="00B40F8F">
        <w:rPr>
          <w:highlight w:val="yellow"/>
          <w:lang w:val="en-US"/>
        </w:rPr>
        <w:t xml:space="preserve"> deficiency, particularly in the anterolateral region [1]. Compared with complete reorientation osteotomies, </w:t>
      </w:r>
      <w:proofErr w:type="spellStart"/>
      <w:r w:rsidRPr="00B40F8F">
        <w:rPr>
          <w:highlight w:val="yellow"/>
          <w:lang w:val="en-US"/>
        </w:rPr>
        <w:t>acetabuloplasties</w:t>
      </w:r>
      <w:proofErr w:type="spellEnd"/>
      <w:r w:rsidRPr="00B40F8F">
        <w:rPr>
          <w:highlight w:val="yellow"/>
          <w:lang w:val="en-US"/>
        </w:rPr>
        <w:t xml:space="preserve"> such as </w:t>
      </w:r>
      <w:proofErr w:type="spellStart"/>
      <w:r w:rsidRPr="00B40F8F">
        <w:rPr>
          <w:highlight w:val="yellow"/>
          <w:lang w:val="en-US"/>
        </w:rPr>
        <w:t>Dega</w:t>
      </w:r>
      <w:proofErr w:type="spellEnd"/>
      <w:r w:rsidRPr="00B40F8F">
        <w:rPr>
          <w:highlight w:val="yellow"/>
          <w:lang w:val="en-US"/>
        </w:rPr>
        <w:t xml:space="preserve"> and Pemberton primarily reshape the acetabulum while maintaining pelvic stability [6].</w:t>
      </w:r>
    </w:p>
    <w:p w14:paraId="170A595C" w14:textId="77777777" w:rsidR="00B40F8F" w:rsidRPr="00B40F8F" w:rsidRDefault="00B40F8F" w:rsidP="00B40F8F">
      <w:pPr>
        <w:pStyle w:val="NormalWeb"/>
        <w:rPr>
          <w:highlight w:val="yellow"/>
          <w:lang w:val="en-US"/>
        </w:rPr>
      </w:pPr>
      <w:r w:rsidRPr="00B40F8F">
        <w:rPr>
          <w:highlight w:val="yellow"/>
          <w:lang w:val="en-US"/>
        </w:rPr>
        <w:t xml:space="preserve">Reorientation osteotomies, such as Salter’s innominate osteotomy described in 1961, rotate the acetabulum to improve femoral head coverage but require a complete pelvic osteotomy and structural grafting [21–23]. Double and triple pelvic osteotomies were later developed to overcome limitations related to pelvic stiffness; however, these procedures are technically more demanding and may be associated with higher complication rates [6,20,24]. In contrast, </w:t>
      </w:r>
      <w:proofErr w:type="spellStart"/>
      <w:r w:rsidRPr="00B40F8F">
        <w:rPr>
          <w:highlight w:val="yellow"/>
          <w:lang w:val="en-US"/>
        </w:rPr>
        <w:t>acetabuloplasties</w:t>
      </w:r>
      <w:proofErr w:type="spellEnd"/>
      <w:r w:rsidRPr="00B40F8F">
        <w:rPr>
          <w:highlight w:val="yellow"/>
          <w:lang w:val="en-US"/>
        </w:rPr>
        <w:t xml:space="preserve"> maintain a cortical hinge near the </w:t>
      </w:r>
      <w:proofErr w:type="spellStart"/>
      <w:r w:rsidRPr="00B40F8F">
        <w:rPr>
          <w:highlight w:val="yellow"/>
          <w:lang w:val="en-US"/>
        </w:rPr>
        <w:t>triradiate</w:t>
      </w:r>
      <w:proofErr w:type="spellEnd"/>
      <w:r w:rsidRPr="00B40F8F">
        <w:rPr>
          <w:highlight w:val="yellow"/>
          <w:lang w:val="en-US"/>
        </w:rPr>
        <w:t xml:space="preserve"> cartilage and allow progressive remodeling of the </w:t>
      </w:r>
      <w:proofErr w:type="spellStart"/>
      <w:r w:rsidRPr="00B40F8F">
        <w:rPr>
          <w:highlight w:val="yellow"/>
          <w:lang w:val="en-US"/>
        </w:rPr>
        <w:t>acetabular</w:t>
      </w:r>
      <w:proofErr w:type="spellEnd"/>
      <w:r w:rsidRPr="00B40F8F">
        <w:rPr>
          <w:highlight w:val="yellow"/>
          <w:lang w:val="en-US"/>
        </w:rPr>
        <w:t xml:space="preserve"> roof [6]. More complex procedures such as </w:t>
      </w:r>
      <w:proofErr w:type="spellStart"/>
      <w:r w:rsidRPr="00B40F8F">
        <w:rPr>
          <w:highlight w:val="yellow"/>
          <w:lang w:val="en-US"/>
        </w:rPr>
        <w:t>periacetabular</w:t>
      </w:r>
      <w:proofErr w:type="spellEnd"/>
      <w:r w:rsidRPr="00B40F8F">
        <w:rPr>
          <w:highlight w:val="yellow"/>
          <w:lang w:val="en-US"/>
        </w:rPr>
        <w:t xml:space="preserve"> osteotomy (</w:t>
      </w:r>
      <w:proofErr w:type="spellStart"/>
      <w:r w:rsidRPr="00B40F8F">
        <w:rPr>
          <w:highlight w:val="yellow"/>
          <w:lang w:val="en-US"/>
        </w:rPr>
        <w:t>Ganz</w:t>
      </w:r>
      <w:proofErr w:type="spellEnd"/>
      <w:r w:rsidRPr="00B40F8F">
        <w:rPr>
          <w:highlight w:val="yellow"/>
          <w:lang w:val="en-US"/>
        </w:rPr>
        <w:t xml:space="preserve"> technique) are usually reserved for older adolescents or adults [25], whereas salvage procedures such as </w:t>
      </w:r>
      <w:proofErr w:type="spellStart"/>
      <w:r w:rsidRPr="00B40F8F">
        <w:rPr>
          <w:highlight w:val="yellow"/>
          <w:lang w:val="en-US"/>
        </w:rPr>
        <w:t>Chiari</w:t>
      </w:r>
      <w:proofErr w:type="spellEnd"/>
      <w:r w:rsidRPr="00B40F8F">
        <w:rPr>
          <w:highlight w:val="yellow"/>
          <w:lang w:val="en-US"/>
        </w:rPr>
        <w:t xml:space="preserve"> osteotomy are generally indicated in severe or neglected cases [23</w:t>
      </w:r>
      <w:proofErr w:type="gramStart"/>
      <w:r w:rsidRPr="00B40F8F">
        <w:rPr>
          <w:highlight w:val="yellow"/>
          <w:lang w:val="en-US"/>
        </w:rPr>
        <w:t>,26</w:t>
      </w:r>
      <w:proofErr w:type="gramEnd"/>
      <w:r w:rsidRPr="00B40F8F">
        <w:rPr>
          <w:highlight w:val="yellow"/>
          <w:lang w:val="en-US"/>
        </w:rPr>
        <w:t xml:space="preserve">]. These comparisons highlight the practical role of </w:t>
      </w:r>
      <w:proofErr w:type="spellStart"/>
      <w:r w:rsidRPr="00B40F8F">
        <w:rPr>
          <w:highlight w:val="yellow"/>
          <w:lang w:val="en-US"/>
        </w:rPr>
        <w:t>Dega</w:t>
      </w:r>
      <w:proofErr w:type="spellEnd"/>
      <w:r w:rsidRPr="00B40F8F">
        <w:rPr>
          <w:highlight w:val="yellow"/>
          <w:lang w:val="en-US"/>
        </w:rPr>
        <w:t xml:space="preserve"> osteotomy as a balanced surgical option in young children with </w:t>
      </w:r>
      <w:proofErr w:type="spellStart"/>
      <w:r w:rsidRPr="00B40F8F">
        <w:rPr>
          <w:highlight w:val="yellow"/>
          <w:lang w:val="en-US"/>
        </w:rPr>
        <w:t>acetabular</w:t>
      </w:r>
      <w:proofErr w:type="spellEnd"/>
      <w:r w:rsidRPr="00B40F8F">
        <w:rPr>
          <w:highlight w:val="yellow"/>
          <w:lang w:val="en-US"/>
        </w:rPr>
        <w:t xml:space="preserve"> dysplasia.</w:t>
      </w:r>
    </w:p>
    <w:p w14:paraId="0312D8B8" w14:textId="77777777" w:rsidR="00B40F8F" w:rsidRPr="00B40F8F" w:rsidRDefault="00B40F8F" w:rsidP="00B40F8F">
      <w:pPr>
        <w:pStyle w:val="NormalWeb"/>
        <w:rPr>
          <w:highlight w:val="yellow"/>
          <w:lang w:val="en-US"/>
        </w:rPr>
      </w:pPr>
      <w:r w:rsidRPr="00B40F8F">
        <w:rPr>
          <w:highlight w:val="yellow"/>
          <w:lang w:val="en-US"/>
        </w:rPr>
        <w:t>Postoperative complications must also be considered when evaluating the outcomes of pelvic osteotomy. In our series, complications were limited and mainly included transient stiffness, one superficial infection, and one recurrence. Similar complications have been described in the literature. El-</w:t>
      </w:r>
      <w:proofErr w:type="spellStart"/>
      <w:r w:rsidRPr="00B40F8F">
        <w:rPr>
          <w:highlight w:val="yellow"/>
          <w:lang w:val="en-US"/>
        </w:rPr>
        <w:t>Sayed</w:t>
      </w:r>
      <w:proofErr w:type="spellEnd"/>
      <w:r w:rsidRPr="00B40F8F">
        <w:rPr>
          <w:highlight w:val="yellow"/>
          <w:lang w:val="en-US"/>
        </w:rPr>
        <w:t xml:space="preserve"> et al. reported superficial wound infection, transient lateral femoral cutaneous nerve injury, and femoral shaft fracture after cast removal [10]. These findings emphasize the importance of meticulous surgical technique, careful postoperative immobilization, and appropriate rehabilitation to minimize complications.</w:t>
      </w:r>
    </w:p>
    <w:p w14:paraId="0510CA76" w14:textId="77777777" w:rsidR="00B40F8F" w:rsidRPr="00B40F8F" w:rsidRDefault="00B40F8F" w:rsidP="00B40F8F">
      <w:pPr>
        <w:pStyle w:val="NormalWeb"/>
        <w:rPr>
          <w:highlight w:val="yellow"/>
          <w:lang w:val="en-US"/>
        </w:rPr>
      </w:pPr>
      <w:r w:rsidRPr="00B40F8F">
        <w:rPr>
          <w:highlight w:val="yellow"/>
          <w:lang w:val="en-US"/>
        </w:rPr>
        <w:t>Avascular necrosis (AVN) of the femoral head is another recognized complication following surgical treatment of developmental dysplasia of the hip. This complication is usually related to excessive pressure on the femoral head after reduction, prolonged immobilization, or aggressive surgical manipulation. In our series, one case of avascular necrosis was observed during follow-up. Although the mean follow-up period was 18 months, longer observation is required to evaluate the long-term evolution of such complications.</w:t>
      </w:r>
    </w:p>
    <w:p w14:paraId="7033CC83" w14:textId="77777777" w:rsidR="00B40F8F" w:rsidRPr="00B40F8F" w:rsidRDefault="00B40F8F" w:rsidP="00B40F8F">
      <w:pPr>
        <w:pStyle w:val="NormalWeb"/>
        <w:rPr>
          <w:lang w:val="en-US"/>
        </w:rPr>
      </w:pPr>
      <w:r w:rsidRPr="00B40F8F">
        <w:rPr>
          <w:highlight w:val="yellow"/>
          <w:lang w:val="en-US"/>
        </w:rPr>
        <w:t xml:space="preserve">Overall, our results suggest that </w:t>
      </w:r>
      <w:proofErr w:type="spellStart"/>
      <w:r w:rsidRPr="00B40F8F">
        <w:rPr>
          <w:highlight w:val="yellow"/>
          <w:lang w:val="en-US"/>
        </w:rPr>
        <w:t>Dega</w:t>
      </w:r>
      <w:proofErr w:type="spellEnd"/>
      <w:r w:rsidRPr="00B40F8F">
        <w:rPr>
          <w:highlight w:val="yellow"/>
          <w:lang w:val="en-US"/>
        </w:rPr>
        <w:t xml:space="preserve"> pelvic osteotomy is an effective surgical option for the treatment of developmental dysplasia of the hip in children, providing </w:t>
      </w:r>
      <w:r w:rsidRPr="00B40F8F">
        <w:rPr>
          <w:highlight w:val="yellow"/>
          <w:lang w:val="en-US"/>
        </w:rPr>
        <w:lastRenderedPageBreak/>
        <w:t xml:space="preserve">meaningful radiological improvement and satisfactory clinical outcomes in most cases. However, this study has several limitations, including the relatively small sample size and the short follow-up period inherent to a single-center retrospective case series. Longer follow-up studies with larger cohorts are therefore required to better evaluate the durability of </w:t>
      </w:r>
      <w:proofErr w:type="spellStart"/>
      <w:r w:rsidRPr="00B40F8F">
        <w:rPr>
          <w:highlight w:val="yellow"/>
          <w:lang w:val="en-US"/>
        </w:rPr>
        <w:t>acetabular</w:t>
      </w:r>
      <w:proofErr w:type="spellEnd"/>
      <w:r w:rsidRPr="00B40F8F">
        <w:rPr>
          <w:highlight w:val="yellow"/>
          <w:lang w:val="en-US"/>
        </w:rPr>
        <w:t xml:space="preserve"> remodeling and long-term hip stability after </w:t>
      </w:r>
      <w:proofErr w:type="spellStart"/>
      <w:r w:rsidRPr="00B40F8F">
        <w:rPr>
          <w:highlight w:val="yellow"/>
          <w:lang w:val="en-US"/>
        </w:rPr>
        <w:t>Dega</w:t>
      </w:r>
      <w:proofErr w:type="spellEnd"/>
      <w:r w:rsidRPr="00B40F8F">
        <w:rPr>
          <w:highlight w:val="yellow"/>
          <w:lang w:val="en-US"/>
        </w:rPr>
        <w:t xml:space="preserve"> osteotomy.</w:t>
      </w:r>
    </w:p>
    <w:p w14:paraId="7A1B0A69" w14:textId="6FC66140" w:rsidR="00343589" w:rsidRPr="007F4B08" w:rsidRDefault="00343589" w:rsidP="00B40F8F">
      <w:pPr>
        <w:pStyle w:val="Head1"/>
        <w:spacing w:after="0"/>
        <w:jc w:val="both"/>
        <w:rPr>
          <w:rFonts w:ascii="Arial" w:hAnsi="Arial" w:cs="Arial"/>
        </w:rPr>
      </w:pPr>
    </w:p>
    <w:p w14:paraId="7A6B5414" w14:textId="77777777" w:rsidR="00E053D0" w:rsidRDefault="00E053D0" w:rsidP="00441B6F">
      <w:pPr>
        <w:pStyle w:val="Body"/>
        <w:spacing w:after="0"/>
        <w:rPr>
          <w:rFonts w:ascii="Arial" w:hAnsi="Arial" w:cs="Arial"/>
        </w:rPr>
      </w:pPr>
    </w:p>
    <w:p w14:paraId="02857FE0" w14:textId="77777777" w:rsidR="00790ADA" w:rsidRPr="00FB3A86" w:rsidRDefault="00790ADA" w:rsidP="00441B6F">
      <w:pPr>
        <w:pStyle w:val="Body"/>
        <w:spacing w:after="0"/>
        <w:rPr>
          <w:rFonts w:ascii="Arial" w:hAnsi="Arial" w:cs="Arial"/>
        </w:rPr>
      </w:pPr>
    </w:p>
    <w:p w14:paraId="56876A8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0F6337" w14:textId="77777777" w:rsidR="00790ADA" w:rsidRPr="00FB3A86" w:rsidRDefault="00790ADA" w:rsidP="00441B6F">
      <w:pPr>
        <w:pStyle w:val="ConcHead"/>
        <w:spacing w:after="0"/>
        <w:jc w:val="both"/>
        <w:rPr>
          <w:rFonts w:ascii="Arial" w:hAnsi="Arial" w:cs="Arial"/>
        </w:rPr>
      </w:pPr>
    </w:p>
    <w:p w14:paraId="7D5E041A" w14:textId="77777777" w:rsidR="00343589" w:rsidRDefault="00343589" w:rsidP="00343589">
      <w:pPr>
        <w:pStyle w:val="Body"/>
        <w:spacing w:after="0"/>
        <w:rPr>
          <w:rFonts w:ascii="Arial" w:hAnsi="Arial" w:cs="Arial"/>
        </w:rPr>
      </w:pPr>
      <w:r w:rsidRPr="001E34D0">
        <w:rPr>
          <w:rFonts w:ascii="Arial" w:hAnsi="Arial" w:cs="Arial"/>
        </w:rPr>
        <w:t xml:space="preserve">Dega pelvic osteotomy represents an effective and reliable surgical option in the management of pediatric hip dysplasia. In our case series of 12 dysplastic hips, this technique provided significant clinical and radiological improvement, particularly in terms of acetabular coverage, hip stability, and functional outcome. Its incomplete </w:t>
      </w:r>
      <w:proofErr w:type="spellStart"/>
      <w:r w:rsidRPr="001E34D0">
        <w:rPr>
          <w:rFonts w:ascii="Arial" w:hAnsi="Arial" w:cs="Arial"/>
        </w:rPr>
        <w:t>transiliac</w:t>
      </w:r>
      <w:proofErr w:type="spellEnd"/>
      <w:r w:rsidRPr="001E34D0">
        <w:rPr>
          <w:rFonts w:ascii="Arial" w:hAnsi="Arial" w:cs="Arial"/>
        </w:rPr>
        <w:t xml:space="preserve"> design allows controlled acetabular remodeling while preserving pelvic stability, making it especially suitable for skeletally immature patients.</w:t>
      </w:r>
    </w:p>
    <w:p w14:paraId="1AD05275" w14:textId="77777777" w:rsidR="00246D9E" w:rsidRPr="001E34D0" w:rsidRDefault="00246D9E" w:rsidP="00343589">
      <w:pPr>
        <w:pStyle w:val="Body"/>
        <w:spacing w:after="0"/>
        <w:rPr>
          <w:rFonts w:ascii="Arial" w:hAnsi="Arial" w:cs="Arial"/>
        </w:rPr>
      </w:pPr>
    </w:p>
    <w:p w14:paraId="44F81377" w14:textId="77777777" w:rsidR="00343589" w:rsidRDefault="00343589" w:rsidP="00343589">
      <w:pPr>
        <w:pStyle w:val="Body"/>
        <w:spacing w:after="0"/>
        <w:rPr>
          <w:rFonts w:ascii="Arial" w:hAnsi="Arial" w:cs="Arial"/>
        </w:rPr>
      </w:pPr>
      <w:r w:rsidRPr="001E34D0">
        <w:rPr>
          <w:rFonts w:ascii="Arial" w:hAnsi="Arial" w:cs="Arial"/>
        </w:rPr>
        <w:t>Despite its favorable results, careful patient selection, accurate preoperative planning, and meticulous surgical technique remain essential to minimize complications and optimize outcomes. The procedure should be integrated into an individualized treatment strategy that considers patient age, severity of dysplasia, and associated deformities.</w:t>
      </w:r>
    </w:p>
    <w:p w14:paraId="7C0FA893" w14:textId="77777777" w:rsidR="00246D9E" w:rsidRPr="001E34D0" w:rsidRDefault="00246D9E" w:rsidP="00343589">
      <w:pPr>
        <w:pStyle w:val="Body"/>
        <w:spacing w:after="0"/>
        <w:rPr>
          <w:rFonts w:ascii="Arial" w:hAnsi="Arial" w:cs="Arial"/>
        </w:rPr>
      </w:pPr>
    </w:p>
    <w:p w14:paraId="7FC30244" w14:textId="77777777" w:rsidR="00343589" w:rsidRDefault="00343589" w:rsidP="00343589">
      <w:pPr>
        <w:pStyle w:val="Body"/>
        <w:spacing w:after="0"/>
        <w:rPr>
          <w:rFonts w:ascii="Arial" w:hAnsi="Arial" w:cs="Arial"/>
        </w:rPr>
      </w:pPr>
      <w:r w:rsidRPr="007F4B08">
        <w:rPr>
          <w:rFonts w:ascii="Arial" w:hAnsi="Arial" w:cs="Arial"/>
        </w:rPr>
        <w:t>Nevertheless, the relatively short follow-up period represents a limitation of this study, as long-term evaluation is required to fully assess the durability of acetabular remodeling and hip stability after Dega osteotomy.</w:t>
      </w:r>
    </w:p>
    <w:p w14:paraId="773AD613" w14:textId="77777777" w:rsidR="00246D9E" w:rsidRPr="001E34D0" w:rsidRDefault="00246D9E" w:rsidP="00343589">
      <w:pPr>
        <w:pStyle w:val="Body"/>
        <w:spacing w:after="0"/>
        <w:rPr>
          <w:rFonts w:ascii="Arial" w:hAnsi="Arial" w:cs="Arial"/>
        </w:rPr>
      </w:pPr>
    </w:p>
    <w:p w14:paraId="27337BFC" w14:textId="77777777" w:rsidR="00343589" w:rsidRPr="007F4B08" w:rsidRDefault="00343589" w:rsidP="00343589">
      <w:pPr>
        <w:pStyle w:val="Body"/>
        <w:spacing w:after="0"/>
        <w:rPr>
          <w:rFonts w:ascii="Arial" w:hAnsi="Arial" w:cs="Arial"/>
        </w:rPr>
      </w:pPr>
      <w:r w:rsidRPr="001E34D0">
        <w:rPr>
          <w:rFonts w:ascii="Arial" w:hAnsi="Arial" w:cs="Arial"/>
        </w:rPr>
        <w:t>Further studies with longer follow-up periods and larger cohorts are warranted to better assess the long-term outcomes of Dega osteotomy and to compare its effectiveness with other pelvic osteotomies in the treatment of developmental dysplasia of the hip.</w:t>
      </w:r>
    </w:p>
    <w:p w14:paraId="7D28275E" w14:textId="59156D35" w:rsidR="00790ADA" w:rsidRDefault="00790ADA" w:rsidP="00441B6F">
      <w:pPr>
        <w:pStyle w:val="Body"/>
        <w:spacing w:after="0"/>
        <w:rPr>
          <w:rFonts w:ascii="Arial" w:hAnsi="Arial" w:cs="Arial"/>
        </w:rPr>
      </w:pPr>
    </w:p>
    <w:p w14:paraId="260B690A" w14:textId="1EC975DC" w:rsidR="00AD457A" w:rsidRDefault="00AD457A" w:rsidP="00441B6F">
      <w:pPr>
        <w:pStyle w:val="Body"/>
        <w:spacing w:after="0"/>
        <w:rPr>
          <w:rFonts w:ascii="Arial" w:hAnsi="Arial" w:cs="Arial"/>
        </w:rPr>
      </w:pPr>
    </w:p>
    <w:p w14:paraId="333290B7" w14:textId="77777777" w:rsidR="00AD457A" w:rsidRPr="00AD457A" w:rsidRDefault="00AD457A" w:rsidP="00AD457A">
      <w:pPr>
        <w:rPr>
          <w:rFonts w:ascii="Times New Roman" w:eastAsia="Calibri" w:hAnsi="Times New Roman"/>
          <w:kern w:val="2"/>
          <w:sz w:val="22"/>
          <w:szCs w:val="22"/>
          <w:highlight w:val="yellow"/>
        </w:rPr>
      </w:pPr>
      <w:bookmarkStart w:id="1" w:name="_Hlk198031404"/>
      <w:bookmarkStart w:id="2" w:name="_Hlk219125673"/>
      <w:bookmarkStart w:id="3" w:name="_Hlk220510767"/>
      <w:r w:rsidRPr="00AD457A">
        <w:rPr>
          <w:rFonts w:ascii="Times New Roman" w:eastAsia="Calibri" w:hAnsi="Times New Roman"/>
          <w:kern w:val="2"/>
          <w:sz w:val="22"/>
          <w:szCs w:val="22"/>
          <w:highlight w:val="yellow"/>
        </w:rPr>
        <w:t>Disclaimer (Artificial intelligence)</w:t>
      </w:r>
    </w:p>
    <w:p w14:paraId="35E694E6" w14:textId="77777777" w:rsidR="00AD457A" w:rsidRPr="00AD457A" w:rsidRDefault="00AD457A" w:rsidP="00AD457A">
      <w:pPr>
        <w:rPr>
          <w:rFonts w:ascii="Times New Roman" w:eastAsia="Calibri" w:hAnsi="Times New Roman"/>
          <w:kern w:val="2"/>
          <w:sz w:val="22"/>
          <w:szCs w:val="22"/>
          <w:highlight w:val="yellow"/>
        </w:rPr>
      </w:pPr>
    </w:p>
    <w:p w14:paraId="69EAFBEA" w14:textId="77777777" w:rsidR="00AD457A" w:rsidRPr="00AD457A" w:rsidRDefault="00AD457A" w:rsidP="00AD457A">
      <w:pPr>
        <w:rPr>
          <w:rFonts w:ascii="Times New Roman" w:eastAsia="Calibri" w:hAnsi="Times New Roman"/>
          <w:kern w:val="2"/>
          <w:sz w:val="22"/>
          <w:szCs w:val="22"/>
          <w:highlight w:val="yellow"/>
        </w:rPr>
      </w:pPr>
      <w:r w:rsidRPr="00AD457A">
        <w:rPr>
          <w:rFonts w:ascii="Times New Roman" w:eastAsia="Calibri" w:hAnsi="Times New Roman"/>
          <w:kern w:val="2"/>
          <w:sz w:val="22"/>
          <w:szCs w:val="22"/>
          <w:highlight w:val="yellow"/>
        </w:rPr>
        <w:t>Author(s) hereby declare that NO generative AI technologies such as Large Language Models (</w:t>
      </w:r>
      <w:proofErr w:type="spellStart"/>
      <w:r w:rsidRPr="00AD457A">
        <w:rPr>
          <w:rFonts w:ascii="Times New Roman" w:eastAsia="Calibri" w:hAnsi="Times New Roman"/>
          <w:kern w:val="2"/>
          <w:sz w:val="22"/>
          <w:szCs w:val="22"/>
          <w:highlight w:val="yellow"/>
        </w:rPr>
        <w:t>ChatGPT</w:t>
      </w:r>
      <w:proofErr w:type="spellEnd"/>
      <w:r w:rsidRPr="00AD457A">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1"/>
    <w:p w14:paraId="76CF4155" w14:textId="77777777" w:rsidR="00AD457A" w:rsidRPr="00AD457A" w:rsidRDefault="00AD457A" w:rsidP="00AD457A">
      <w:pPr>
        <w:spacing w:after="200" w:line="276" w:lineRule="auto"/>
        <w:rPr>
          <w:rFonts w:asciiTheme="minorHAnsi" w:eastAsiaTheme="minorHAnsi" w:hAnsiTheme="minorHAnsi" w:cstheme="minorBidi"/>
          <w:sz w:val="28"/>
          <w:szCs w:val="22"/>
        </w:rPr>
      </w:pPr>
    </w:p>
    <w:bookmarkEnd w:id="2"/>
    <w:p w14:paraId="080A475A" w14:textId="77777777" w:rsidR="00AD457A" w:rsidRPr="00AD457A" w:rsidRDefault="00AD457A" w:rsidP="00AD457A">
      <w:pPr>
        <w:spacing w:after="200" w:line="276" w:lineRule="auto"/>
        <w:rPr>
          <w:rFonts w:asciiTheme="minorHAnsi" w:eastAsiaTheme="minorHAnsi" w:hAnsiTheme="minorHAnsi" w:cstheme="minorBidi"/>
          <w:sz w:val="28"/>
          <w:szCs w:val="22"/>
          <w:lang w:val="en-GB"/>
        </w:rPr>
      </w:pPr>
    </w:p>
    <w:bookmarkEnd w:id="3"/>
    <w:p w14:paraId="31BB2881" w14:textId="77777777" w:rsidR="00AD457A" w:rsidRPr="00AD457A" w:rsidRDefault="00AD457A" w:rsidP="00441B6F">
      <w:pPr>
        <w:pStyle w:val="Body"/>
        <w:spacing w:after="0"/>
        <w:rPr>
          <w:rFonts w:ascii="Arial" w:hAnsi="Arial" w:cs="Arial"/>
          <w:lang w:val="en-GB"/>
        </w:rPr>
      </w:pPr>
    </w:p>
    <w:p w14:paraId="08EE309B" w14:textId="77777777" w:rsidR="00860000" w:rsidRDefault="00860000" w:rsidP="00441B6F">
      <w:pPr>
        <w:pStyle w:val="ReferHead"/>
        <w:spacing w:after="0"/>
        <w:jc w:val="both"/>
        <w:rPr>
          <w:rFonts w:ascii="Arial" w:hAnsi="Arial" w:cs="Arial"/>
        </w:rPr>
      </w:pPr>
    </w:p>
    <w:p w14:paraId="34CB601C" w14:textId="77777777" w:rsidR="00B01FCD" w:rsidRPr="003371AE" w:rsidRDefault="00B01FCD" w:rsidP="00441B6F">
      <w:pPr>
        <w:pStyle w:val="ReferHead"/>
        <w:spacing w:after="0"/>
        <w:jc w:val="both"/>
        <w:rPr>
          <w:rFonts w:ascii="Arial" w:hAnsi="Arial" w:cs="Arial"/>
          <w:lang w:val="fr-FR"/>
        </w:rPr>
      </w:pPr>
      <w:r w:rsidRPr="003371AE">
        <w:rPr>
          <w:rFonts w:ascii="Arial" w:hAnsi="Arial" w:cs="Arial"/>
          <w:lang w:val="fr-FR"/>
        </w:rPr>
        <w:t>References</w:t>
      </w:r>
      <w:r w:rsidR="003371AE" w:rsidRPr="003371AE">
        <w:rPr>
          <w:rFonts w:ascii="Arial" w:hAnsi="Arial" w:cs="Arial"/>
          <w:lang w:val="fr-FR"/>
        </w:rPr>
        <w:t xml:space="preserve">: </w:t>
      </w:r>
    </w:p>
    <w:p w14:paraId="7932D5AE"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Masson E. Ostéotomies pelviennes chez l’enfant. EM-Consulte. Consulté le 21 mars 2024.</w:t>
      </w:r>
    </w:p>
    <w:p w14:paraId="2E3C674D"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Czubak J, Kowalik K, Kawalec A, Kwiatkowska M. Dega pelvic osteotomy: indications, results and complications. J Child </w:t>
      </w:r>
      <w:proofErr w:type="spellStart"/>
      <w:r w:rsidRPr="007D4B78">
        <w:rPr>
          <w:rFonts w:ascii="Arial" w:hAnsi="Arial" w:cs="Arial"/>
        </w:rPr>
        <w:t>Orthop</w:t>
      </w:r>
      <w:proofErr w:type="spellEnd"/>
      <w:r w:rsidRPr="007D4B78">
        <w:rPr>
          <w:rFonts w:ascii="Arial" w:hAnsi="Arial" w:cs="Arial"/>
        </w:rPr>
        <w:t>. 2018;12(4):342-348.</w:t>
      </w:r>
    </w:p>
    <w:p w14:paraId="5E53CECF" w14:textId="77777777" w:rsidR="003371AE" w:rsidRPr="00E81DFE" w:rsidRDefault="003371AE" w:rsidP="00E81DFE">
      <w:pPr>
        <w:pStyle w:val="Body"/>
        <w:numPr>
          <w:ilvl w:val="0"/>
          <w:numId w:val="31"/>
        </w:numPr>
        <w:spacing w:after="0"/>
        <w:rPr>
          <w:rFonts w:ascii="Arial" w:hAnsi="Arial" w:cs="Arial"/>
        </w:rPr>
      </w:pPr>
      <w:proofErr w:type="spellStart"/>
      <w:r w:rsidRPr="007D4B78">
        <w:rPr>
          <w:rFonts w:ascii="Arial" w:hAnsi="Arial" w:cs="Arial"/>
        </w:rPr>
        <w:lastRenderedPageBreak/>
        <w:t>Bursali</w:t>
      </w:r>
      <w:proofErr w:type="spellEnd"/>
      <w:r w:rsidRPr="007D4B78">
        <w:rPr>
          <w:rFonts w:ascii="Arial" w:hAnsi="Arial" w:cs="Arial"/>
        </w:rPr>
        <w:t xml:space="preserve"> A, </w:t>
      </w:r>
      <w:proofErr w:type="spellStart"/>
      <w:r w:rsidRPr="007D4B78">
        <w:rPr>
          <w:rFonts w:ascii="Arial" w:hAnsi="Arial" w:cs="Arial"/>
        </w:rPr>
        <w:t>Tonbul</w:t>
      </w:r>
      <w:proofErr w:type="spellEnd"/>
      <w:r w:rsidRPr="007D4B78">
        <w:rPr>
          <w:rFonts w:ascii="Arial" w:hAnsi="Arial" w:cs="Arial"/>
        </w:rPr>
        <w:t xml:space="preserve"> M. How are outcomes affected by combining the Pemberton and Salter osteotomies? </w:t>
      </w:r>
      <w:r w:rsidRPr="003371AE">
        <w:rPr>
          <w:rFonts w:ascii="Arial" w:hAnsi="Arial" w:cs="Arial"/>
          <w:lang w:val="fr-FR"/>
        </w:rPr>
        <w:t xml:space="preserve">Clin </w:t>
      </w:r>
      <w:proofErr w:type="spellStart"/>
      <w:r w:rsidRPr="003371AE">
        <w:rPr>
          <w:rFonts w:ascii="Arial" w:hAnsi="Arial" w:cs="Arial"/>
          <w:lang w:val="fr-FR"/>
        </w:rPr>
        <w:t>Orthop</w:t>
      </w:r>
      <w:proofErr w:type="spellEnd"/>
      <w:r w:rsidRPr="003371AE">
        <w:rPr>
          <w:rFonts w:ascii="Arial" w:hAnsi="Arial" w:cs="Arial"/>
          <w:lang w:val="fr-FR"/>
        </w:rPr>
        <w:t xml:space="preserve"> </w:t>
      </w:r>
      <w:proofErr w:type="spellStart"/>
      <w:r w:rsidRPr="003371AE">
        <w:rPr>
          <w:rFonts w:ascii="Arial" w:hAnsi="Arial" w:cs="Arial"/>
          <w:lang w:val="fr-FR"/>
        </w:rPr>
        <w:t>Relat</w:t>
      </w:r>
      <w:proofErr w:type="spellEnd"/>
      <w:r w:rsidRPr="003371AE">
        <w:rPr>
          <w:rFonts w:ascii="Arial" w:hAnsi="Arial" w:cs="Arial"/>
          <w:lang w:val="fr-FR"/>
        </w:rPr>
        <w:t xml:space="preserve"> </w:t>
      </w:r>
      <w:proofErr w:type="spellStart"/>
      <w:r w:rsidRPr="003371AE">
        <w:rPr>
          <w:rFonts w:ascii="Arial" w:hAnsi="Arial" w:cs="Arial"/>
          <w:lang w:val="fr-FR"/>
        </w:rPr>
        <w:t>Res</w:t>
      </w:r>
      <w:proofErr w:type="spellEnd"/>
      <w:r w:rsidRPr="003371AE">
        <w:rPr>
          <w:rFonts w:ascii="Arial" w:hAnsi="Arial" w:cs="Arial"/>
          <w:lang w:val="fr-FR"/>
        </w:rPr>
        <w:t>. 2008;466:837-846.</w:t>
      </w:r>
    </w:p>
    <w:p w14:paraId="5031D33C"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 xml:space="preserve">Bourgeois E. La luxation congénitale de hanche, résultats </w:t>
      </w:r>
      <w:proofErr w:type="spellStart"/>
      <w:r w:rsidRPr="003371AE">
        <w:rPr>
          <w:rFonts w:ascii="Arial" w:hAnsi="Arial" w:cs="Arial"/>
          <w:lang w:val="fr-FR"/>
        </w:rPr>
        <w:t>coxométriques</w:t>
      </w:r>
      <w:proofErr w:type="spellEnd"/>
      <w:r w:rsidRPr="003371AE">
        <w:rPr>
          <w:rFonts w:ascii="Arial" w:hAnsi="Arial" w:cs="Arial"/>
          <w:lang w:val="fr-FR"/>
        </w:rPr>
        <w:t xml:space="preserve"> et évaluation des traitements.</w:t>
      </w:r>
    </w:p>
    <w:p w14:paraId="22817E30"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Ward WT, Vogt M, </w:t>
      </w:r>
      <w:proofErr w:type="spellStart"/>
      <w:r w:rsidRPr="007D4B78">
        <w:rPr>
          <w:rFonts w:ascii="Arial" w:hAnsi="Arial" w:cs="Arial"/>
        </w:rPr>
        <w:t>Grudziak</w:t>
      </w:r>
      <w:proofErr w:type="spellEnd"/>
      <w:r w:rsidRPr="007D4B78">
        <w:rPr>
          <w:rFonts w:ascii="Arial" w:hAnsi="Arial" w:cs="Arial"/>
        </w:rPr>
        <w:t xml:space="preserve"> JS, et al. Severin classification system for evaluation of the results of operative treatment of congenital dislocation of the hip. J Bone Joint Surg Am. 1997</w:t>
      </w:r>
      <w:proofErr w:type="gramStart"/>
      <w:r w:rsidRPr="007D4B78">
        <w:rPr>
          <w:rFonts w:ascii="Arial" w:hAnsi="Arial" w:cs="Arial"/>
        </w:rPr>
        <w:t>;79:656</w:t>
      </w:r>
      <w:proofErr w:type="gramEnd"/>
      <w:r w:rsidRPr="007D4B78">
        <w:rPr>
          <w:rFonts w:ascii="Arial" w:hAnsi="Arial" w:cs="Arial"/>
        </w:rPr>
        <w:t>-663.</w:t>
      </w:r>
    </w:p>
    <w:p w14:paraId="5CD2C5A9"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Tronzo RG, ed. Surgery of the Hip Joint. Vol II. Springer; 1987.</w:t>
      </w:r>
    </w:p>
    <w:p w14:paraId="1CF5D683" w14:textId="77777777" w:rsidR="003371AE" w:rsidRPr="007D4B78" w:rsidRDefault="003371AE" w:rsidP="00E81DFE">
      <w:pPr>
        <w:pStyle w:val="Body"/>
        <w:numPr>
          <w:ilvl w:val="0"/>
          <w:numId w:val="31"/>
        </w:numPr>
        <w:spacing w:after="0"/>
        <w:rPr>
          <w:rFonts w:ascii="Arial" w:hAnsi="Arial" w:cs="Arial"/>
        </w:rPr>
      </w:pPr>
      <w:proofErr w:type="spellStart"/>
      <w:r w:rsidRPr="007D4B78">
        <w:rPr>
          <w:rFonts w:ascii="Arial" w:hAnsi="Arial" w:cs="Arial"/>
        </w:rPr>
        <w:t>Grudziak</w:t>
      </w:r>
      <w:proofErr w:type="spellEnd"/>
      <w:r w:rsidRPr="007D4B78">
        <w:rPr>
          <w:rFonts w:ascii="Arial" w:hAnsi="Arial" w:cs="Arial"/>
        </w:rPr>
        <w:t xml:space="preserve"> JS, Ward WT. Dega osteotomy for the treatment of congenital dysplasia of the hip. J Bone Joint Surg Am. 2001</w:t>
      </w:r>
      <w:proofErr w:type="gramStart"/>
      <w:r w:rsidRPr="007D4B78">
        <w:rPr>
          <w:rFonts w:ascii="Arial" w:hAnsi="Arial" w:cs="Arial"/>
        </w:rPr>
        <w:t>;83:845</w:t>
      </w:r>
      <w:proofErr w:type="gramEnd"/>
      <w:r w:rsidRPr="007D4B78">
        <w:rPr>
          <w:rFonts w:ascii="Arial" w:hAnsi="Arial" w:cs="Arial"/>
        </w:rPr>
        <w:t>-854.</w:t>
      </w:r>
    </w:p>
    <w:p w14:paraId="1E332B92"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Ruszkowski K, Pucher A. Simultaneous open reduction and </w:t>
      </w:r>
      <w:proofErr w:type="spellStart"/>
      <w:r w:rsidRPr="007D4B78">
        <w:rPr>
          <w:rFonts w:ascii="Arial" w:hAnsi="Arial" w:cs="Arial"/>
        </w:rPr>
        <w:t>Dega</w:t>
      </w:r>
      <w:proofErr w:type="spellEnd"/>
      <w:r w:rsidRPr="007D4B78">
        <w:rPr>
          <w:rFonts w:ascii="Arial" w:hAnsi="Arial" w:cs="Arial"/>
        </w:rPr>
        <w:t xml:space="preserve"> </w:t>
      </w:r>
      <w:proofErr w:type="spellStart"/>
      <w:r w:rsidRPr="007D4B78">
        <w:rPr>
          <w:rFonts w:ascii="Arial" w:hAnsi="Arial" w:cs="Arial"/>
        </w:rPr>
        <w:t>transiliac</w:t>
      </w:r>
      <w:proofErr w:type="spellEnd"/>
      <w:r w:rsidRPr="007D4B78">
        <w:rPr>
          <w:rFonts w:ascii="Arial" w:hAnsi="Arial" w:cs="Arial"/>
        </w:rPr>
        <w:t xml:space="preserve"> osteotomy for DDH.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2005</w:t>
      </w:r>
      <w:proofErr w:type="gramStart"/>
      <w:r w:rsidRPr="007D4B78">
        <w:rPr>
          <w:rFonts w:ascii="Arial" w:hAnsi="Arial" w:cs="Arial"/>
        </w:rPr>
        <w:t>;25:695</w:t>
      </w:r>
      <w:proofErr w:type="gramEnd"/>
      <w:r w:rsidRPr="007D4B78">
        <w:rPr>
          <w:rFonts w:ascii="Arial" w:hAnsi="Arial" w:cs="Arial"/>
        </w:rPr>
        <w:t>-701.</w:t>
      </w:r>
    </w:p>
    <w:p w14:paraId="2C1B3A8F" w14:textId="77777777" w:rsidR="003371AE" w:rsidRPr="007D4B78" w:rsidRDefault="003371AE" w:rsidP="00E81DFE">
      <w:pPr>
        <w:pStyle w:val="Body"/>
        <w:numPr>
          <w:ilvl w:val="0"/>
          <w:numId w:val="31"/>
        </w:numPr>
        <w:spacing w:after="0"/>
        <w:rPr>
          <w:rFonts w:ascii="Arial" w:hAnsi="Arial" w:cs="Arial"/>
        </w:rPr>
      </w:pPr>
      <w:r w:rsidRPr="00E81DFE">
        <w:rPr>
          <w:rFonts w:ascii="Arial" w:hAnsi="Arial" w:cs="Arial"/>
          <w:lang w:val="fr-FR"/>
        </w:rPr>
        <w:t xml:space="preserve">Al-Ghamdi A, Rendon JS, Al-Faya F, et al. </w:t>
      </w:r>
      <w:r w:rsidRPr="007D4B78">
        <w:rPr>
          <w:rFonts w:ascii="Arial" w:hAnsi="Arial" w:cs="Arial"/>
        </w:rPr>
        <w:t xml:space="preserve">Dega osteotomy for correction of acetabular dysplasia.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2012</w:t>
      </w:r>
      <w:proofErr w:type="gramStart"/>
      <w:r w:rsidRPr="007D4B78">
        <w:rPr>
          <w:rFonts w:ascii="Arial" w:hAnsi="Arial" w:cs="Arial"/>
        </w:rPr>
        <w:t>;32:113</w:t>
      </w:r>
      <w:proofErr w:type="gramEnd"/>
      <w:r w:rsidRPr="007D4B78">
        <w:rPr>
          <w:rFonts w:ascii="Arial" w:hAnsi="Arial" w:cs="Arial"/>
        </w:rPr>
        <w:t>-120.</w:t>
      </w:r>
    </w:p>
    <w:p w14:paraId="2BA25478"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El-</w:t>
      </w:r>
      <w:proofErr w:type="spellStart"/>
      <w:r w:rsidRPr="007D4B78">
        <w:rPr>
          <w:rFonts w:ascii="Arial" w:hAnsi="Arial" w:cs="Arial"/>
        </w:rPr>
        <w:t>Sayed</w:t>
      </w:r>
      <w:proofErr w:type="spellEnd"/>
      <w:r w:rsidRPr="007D4B78">
        <w:rPr>
          <w:rFonts w:ascii="Arial" w:hAnsi="Arial" w:cs="Arial"/>
        </w:rPr>
        <w:t xml:space="preserve"> MMH, </w:t>
      </w:r>
      <w:proofErr w:type="spellStart"/>
      <w:r w:rsidRPr="007D4B78">
        <w:rPr>
          <w:rFonts w:ascii="Arial" w:hAnsi="Arial" w:cs="Arial"/>
        </w:rPr>
        <w:t>Hegazy</w:t>
      </w:r>
      <w:proofErr w:type="spellEnd"/>
      <w:r w:rsidRPr="007D4B78">
        <w:rPr>
          <w:rFonts w:ascii="Arial" w:hAnsi="Arial" w:cs="Arial"/>
        </w:rPr>
        <w:t xml:space="preserve"> M, </w:t>
      </w:r>
      <w:proofErr w:type="spellStart"/>
      <w:r w:rsidRPr="007D4B78">
        <w:rPr>
          <w:rFonts w:ascii="Arial" w:hAnsi="Arial" w:cs="Arial"/>
        </w:rPr>
        <w:t>Abdelatif</w:t>
      </w:r>
      <w:proofErr w:type="spellEnd"/>
      <w:r w:rsidRPr="007D4B78">
        <w:rPr>
          <w:rFonts w:ascii="Arial" w:hAnsi="Arial" w:cs="Arial"/>
        </w:rPr>
        <w:t xml:space="preserve"> NM, et al. Dega osteotomy for DDH in children aged 2–8 years. J Child </w:t>
      </w:r>
      <w:proofErr w:type="spellStart"/>
      <w:r w:rsidRPr="007D4B78">
        <w:rPr>
          <w:rFonts w:ascii="Arial" w:hAnsi="Arial" w:cs="Arial"/>
        </w:rPr>
        <w:t>Orthop</w:t>
      </w:r>
      <w:proofErr w:type="spellEnd"/>
      <w:r w:rsidRPr="007D4B78">
        <w:rPr>
          <w:rFonts w:ascii="Arial" w:hAnsi="Arial" w:cs="Arial"/>
        </w:rPr>
        <w:t>. 2015</w:t>
      </w:r>
      <w:proofErr w:type="gramStart"/>
      <w:r w:rsidRPr="007D4B78">
        <w:rPr>
          <w:rFonts w:ascii="Arial" w:hAnsi="Arial" w:cs="Arial"/>
        </w:rPr>
        <w:t>;9:191</w:t>
      </w:r>
      <w:proofErr w:type="gramEnd"/>
      <w:r w:rsidRPr="007D4B78">
        <w:rPr>
          <w:rFonts w:ascii="Arial" w:hAnsi="Arial" w:cs="Arial"/>
        </w:rPr>
        <w:t>-198.</w:t>
      </w:r>
    </w:p>
    <w:p w14:paraId="0D8F553D"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Karlen JW, Skaggs DL, Ramachandran M, Kay RM. The Dega osteotomy: a versatile osteotomy.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2009</w:t>
      </w:r>
      <w:proofErr w:type="gramStart"/>
      <w:r w:rsidRPr="007D4B78">
        <w:rPr>
          <w:rFonts w:ascii="Arial" w:hAnsi="Arial" w:cs="Arial"/>
        </w:rPr>
        <w:t>;29:676</w:t>
      </w:r>
      <w:proofErr w:type="gramEnd"/>
      <w:r w:rsidRPr="007D4B78">
        <w:rPr>
          <w:rFonts w:ascii="Arial" w:hAnsi="Arial" w:cs="Arial"/>
        </w:rPr>
        <w:t>-682.</w:t>
      </w:r>
    </w:p>
    <w:p w14:paraId="4EC5D03D"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Pemberton PA. Pericapsular osteotomy of the ilium for the treatment of congenitally dislocated hips. </w:t>
      </w:r>
      <w:proofErr w:type="spellStart"/>
      <w:r w:rsidRPr="007D4B78">
        <w:rPr>
          <w:rFonts w:ascii="Arial" w:hAnsi="Arial" w:cs="Arial"/>
        </w:rPr>
        <w:t>Clin</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1974</w:t>
      </w:r>
      <w:proofErr w:type="gramStart"/>
      <w:r w:rsidRPr="007D4B78">
        <w:rPr>
          <w:rFonts w:ascii="Arial" w:hAnsi="Arial" w:cs="Arial"/>
        </w:rPr>
        <w:t>;98:41</w:t>
      </w:r>
      <w:proofErr w:type="gramEnd"/>
      <w:r w:rsidRPr="007D4B78">
        <w:rPr>
          <w:rFonts w:ascii="Arial" w:hAnsi="Arial" w:cs="Arial"/>
        </w:rPr>
        <w:t>-54.</w:t>
      </w:r>
    </w:p>
    <w:p w14:paraId="15D28E27"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Juanico M, </w:t>
      </w:r>
      <w:proofErr w:type="spellStart"/>
      <w:r w:rsidRPr="007D4B78">
        <w:rPr>
          <w:rFonts w:ascii="Arial" w:hAnsi="Arial" w:cs="Arial"/>
        </w:rPr>
        <w:t>Heng</w:t>
      </w:r>
      <w:proofErr w:type="spellEnd"/>
      <w:r w:rsidRPr="007D4B78">
        <w:rPr>
          <w:rFonts w:ascii="Arial" w:hAnsi="Arial" w:cs="Arial"/>
        </w:rPr>
        <w:t xml:space="preserve"> S, </w:t>
      </w:r>
      <w:proofErr w:type="spellStart"/>
      <w:r w:rsidRPr="007D4B78">
        <w:rPr>
          <w:rFonts w:ascii="Arial" w:hAnsi="Arial" w:cs="Arial"/>
        </w:rPr>
        <w:t>Bronfen</w:t>
      </w:r>
      <w:proofErr w:type="spellEnd"/>
      <w:r w:rsidRPr="007D4B78">
        <w:rPr>
          <w:rFonts w:ascii="Arial" w:hAnsi="Arial" w:cs="Arial"/>
        </w:rPr>
        <w:t xml:space="preserve"> C, Mallet JF. </w:t>
      </w:r>
      <w:r w:rsidRPr="003371AE">
        <w:rPr>
          <w:rFonts w:ascii="Arial" w:hAnsi="Arial" w:cs="Arial"/>
          <w:lang w:val="fr-FR"/>
        </w:rPr>
        <w:t xml:space="preserve">Analyse radio-clinique de 27 ostéotomies de Chiari. </w:t>
      </w:r>
      <w:r w:rsidRPr="007D4B78">
        <w:rPr>
          <w:rFonts w:ascii="Arial" w:hAnsi="Arial" w:cs="Arial"/>
        </w:rPr>
        <w:t xml:space="preserve">Rev </w:t>
      </w:r>
      <w:proofErr w:type="spellStart"/>
      <w:r w:rsidRPr="007D4B78">
        <w:rPr>
          <w:rFonts w:ascii="Arial" w:hAnsi="Arial" w:cs="Arial"/>
        </w:rPr>
        <w:t>Chir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xml:space="preserve"> </w:t>
      </w:r>
      <w:proofErr w:type="spellStart"/>
      <w:r w:rsidRPr="007D4B78">
        <w:rPr>
          <w:rFonts w:ascii="Arial" w:hAnsi="Arial" w:cs="Arial"/>
        </w:rPr>
        <w:t>Traumatol</w:t>
      </w:r>
      <w:proofErr w:type="spellEnd"/>
      <w:r w:rsidRPr="007D4B78">
        <w:rPr>
          <w:rFonts w:ascii="Arial" w:hAnsi="Arial" w:cs="Arial"/>
        </w:rPr>
        <w:t>. 2014</w:t>
      </w:r>
      <w:proofErr w:type="gramStart"/>
      <w:r w:rsidRPr="007D4B78">
        <w:rPr>
          <w:rFonts w:ascii="Arial" w:hAnsi="Arial" w:cs="Arial"/>
        </w:rPr>
        <w:t>;100:S79</w:t>
      </w:r>
      <w:proofErr w:type="gramEnd"/>
      <w:r w:rsidRPr="007D4B78">
        <w:rPr>
          <w:rFonts w:ascii="Arial" w:hAnsi="Arial" w:cs="Arial"/>
        </w:rPr>
        <w:t>-S86.</w:t>
      </w:r>
    </w:p>
    <w:p w14:paraId="49A4276A" w14:textId="77777777" w:rsidR="003371AE" w:rsidRPr="007D4B78" w:rsidRDefault="003371AE" w:rsidP="00E81DFE">
      <w:pPr>
        <w:pStyle w:val="Body"/>
        <w:numPr>
          <w:ilvl w:val="0"/>
          <w:numId w:val="31"/>
        </w:numPr>
        <w:spacing w:after="0"/>
        <w:rPr>
          <w:rFonts w:ascii="Arial" w:hAnsi="Arial" w:cs="Arial"/>
        </w:rPr>
      </w:pPr>
      <w:proofErr w:type="spellStart"/>
      <w:r w:rsidRPr="007D4B78">
        <w:rPr>
          <w:rFonts w:ascii="Arial" w:hAnsi="Arial" w:cs="Arial"/>
        </w:rPr>
        <w:t>Pecquery</w:t>
      </w:r>
      <w:proofErr w:type="spellEnd"/>
      <w:r w:rsidRPr="007D4B78">
        <w:rPr>
          <w:rFonts w:ascii="Arial" w:hAnsi="Arial" w:cs="Arial"/>
        </w:rPr>
        <w:t xml:space="preserve"> R, </w:t>
      </w:r>
      <w:proofErr w:type="spellStart"/>
      <w:r w:rsidRPr="007D4B78">
        <w:rPr>
          <w:rFonts w:ascii="Arial" w:hAnsi="Arial" w:cs="Arial"/>
        </w:rPr>
        <w:t>Laville</w:t>
      </w:r>
      <w:proofErr w:type="spellEnd"/>
      <w:r w:rsidRPr="007D4B78">
        <w:rPr>
          <w:rFonts w:ascii="Arial" w:hAnsi="Arial" w:cs="Arial"/>
        </w:rPr>
        <w:t xml:space="preserve"> JM, Salmeron F. Legg-</w:t>
      </w:r>
      <w:proofErr w:type="spellStart"/>
      <w:r w:rsidRPr="007D4B78">
        <w:rPr>
          <w:rFonts w:ascii="Arial" w:hAnsi="Arial" w:cs="Arial"/>
        </w:rPr>
        <w:t>Calvé</w:t>
      </w:r>
      <w:proofErr w:type="spellEnd"/>
      <w:r w:rsidRPr="007D4B78">
        <w:rPr>
          <w:rFonts w:ascii="Arial" w:hAnsi="Arial" w:cs="Arial"/>
        </w:rPr>
        <w:t>-</w:t>
      </w:r>
      <w:proofErr w:type="spellStart"/>
      <w:r w:rsidRPr="007D4B78">
        <w:rPr>
          <w:rFonts w:ascii="Arial" w:hAnsi="Arial" w:cs="Arial"/>
        </w:rPr>
        <w:t>Perthes</w:t>
      </w:r>
      <w:proofErr w:type="spellEnd"/>
      <w:r w:rsidRPr="007D4B78">
        <w:rPr>
          <w:rFonts w:ascii="Arial" w:hAnsi="Arial" w:cs="Arial"/>
        </w:rPr>
        <w:t xml:space="preserve"> disease treatment by augmentation </w:t>
      </w:r>
      <w:proofErr w:type="spellStart"/>
      <w:r w:rsidRPr="007D4B78">
        <w:rPr>
          <w:rFonts w:ascii="Arial" w:hAnsi="Arial" w:cs="Arial"/>
        </w:rPr>
        <w:t>acetabuloplasty</w:t>
      </w:r>
      <w:proofErr w:type="spellEnd"/>
      <w:r w:rsidRPr="007D4B78">
        <w:rPr>
          <w:rFonts w:ascii="Arial" w:hAnsi="Arial" w:cs="Arial"/>
        </w:rPr>
        <w:t>. OTSR. 2010</w:t>
      </w:r>
      <w:proofErr w:type="gramStart"/>
      <w:r w:rsidRPr="007D4B78">
        <w:rPr>
          <w:rFonts w:ascii="Arial" w:hAnsi="Arial" w:cs="Arial"/>
        </w:rPr>
        <w:t>;96:166</w:t>
      </w:r>
      <w:proofErr w:type="gramEnd"/>
      <w:r w:rsidRPr="007D4B78">
        <w:rPr>
          <w:rFonts w:ascii="Arial" w:hAnsi="Arial" w:cs="Arial"/>
        </w:rPr>
        <w:t>-174.</w:t>
      </w:r>
    </w:p>
    <w:p w14:paraId="3988DEA8"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Gauzy JD. Indications des ostéotomies pelviennes chez l’enfant. 1997.</w:t>
      </w:r>
    </w:p>
    <w:p w14:paraId="52D2A201"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 xml:space="preserve">Dutoit M. La maladie de Legg-Perthes-Calvé. </w:t>
      </w:r>
      <w:proofErr w:type="spellStart"/>
      <w:r w:rsidRPr="003371AE">
        <w:rPr>
          <w:rFonts w:ascii="Arial" w:hAnsi="Arial" w:cs="Arial"/>
          <w:lang w:val="fr-FR"/>
        </w:rPr>
        <w:t>Arch</w:t>
      </w:r>
      <w:proofErr w:type="spellEnd"/>
      <w:r w:rsidRPr="003371AE">
        <w:rPr>
          <w:rFonts w:ascii="Arial" w:hAnsi="Arial" w:cs="Arial"/>
          <w:lang w:val="fr-FR"/>
        </w:rPr>
        <w:t xml:space="preserve"> </w:t>
      </w:r>
      <w:proofErr w:type="spellStart"/>
      <w:r w:rsidRPr="003371AE">
        <w:rPr>
          <w:rFonts w:ascii="Arial" w:hAnsi="Arial" w:cs="Arial"/>
          <w:lang w:val="fr-FR"/>
        </w:rPr>
        <w:t>Pediatr</w:t>
      </w:r>
      <w:proofErr w:type="spellEnd"/>
      <w:r w:rsidRPr="003371AE">
        <w:rPr>
          <w:rFonts w:ascii="Arial" w:hAnsi="Arial" w:cs="Arial"/>
          <w:lang w:val="fr-FR"/>
        </w:rPr>
        <w:t>. 2007;14:109-115.</w:t>
      </w:r>
    </w:p>
    <w:p w14:paraId="759DEB6F" w14:textId="77777777" w:rsidR="003371AE" w:rsidRPr="003371AE" w:rsidRDefault="003371AE" w:rsidP="00E81DFE">
      <w:pPr>
        <w:pStyle w:val="Body"/>
        <w:numPr>
          <w:ilvl w:val="0"/>
          <w:numId w:val="31"/>
        </w:numPr>
        <w:spacing w:after="0"/>
        <w:rPr>
          <w:rFonts w:ascii="Arial" w:hAnsi="Arial" w:cs="Arial"/>
          <w:lang w:val="fr-FR"/>
        </w:rPr>
      </w:pPr>
      <w:proofErr w:type="spellStart"/>
      <w:r w:rsidRPr="003371AE">
        <w:rPr>
          <w:rFonts w:ascii="Arial" w:hAnsi="Arial" w:cs="Arial"/>
          <w:lang w:val="fr-FR"/>
        </w:rPr>
        <w:t>Acquemier</w:t>
      </w:r>
      <w:proofErr w:type="spellEnd"/>
      <w:r w:rsidRPr="003371AE">
        <w:rPr>
          <w:rFonts w:ascii="Arial" w:hAnsi="Arial" w:cs="Arial"/>
          <w:lang w:val="fr-FR"/>
        </w:rPr>
        <w:t xml:space="preserve"> M. Contribution à l’étude du développement du cotyle. Thèse médecine. Marseille; 1999.</w:t>
      </w:r>
    </w:p>
    <w:p w14:paraId="465DF0D1" w14:textId="77777777" w:rsidR="003371AE" w:rsidRPr="003371AE" w:rsidRDefault="003371AE" w:rsidP="00E81DFE">
      <w:pPr>
        <w:pStyle w:val="Body"/>
        <w:numPr>
          <w:ilvl w:val="0"/>
          <w:numId w:val="31"/>
        </w:numPr>
        <w:spacing w:after="0"/>
        <w:rPr>
          <w:rFonts w:ascii="Arial" w:hAnsi="Arial" w:cs="Arial"/>
          <w:lang w:val="fr-FR"/>
        </w:rPr>
      </w:pPr>
      <w:r w:rsidRPr="00E81DFE">
        <w:rPr>
          <w:rFonts w:ascii="Arial" w:hAnsi="Arial" w:cs="Arial"/>
        </w:rPr>
        <w:t xml:space="preserve">Canavese F. Percutaneous pelvic osteotomy in cerebral palsy patients. </w:t>
      </w:r>
      <w:r w:rsidRPr="003371AE">
        <w:rPr>
          <w:rFonts w:ascii="Arial" w:hAnsi="Arial" w:cs="Arial"/>
          <w:lang w:val="fr-FR"/>
        </w:rPr>
        <w:t xml:space="preserve">World J </w:t>
      </w:r>
      <w:proofErr w:type="spellStart"/>
      <w:r w:rsidRPr="003371AE">
        <w:rPr>
          <w:rFonts w:ascii="Arial" w:hAnsi="Arial" w:cs="Arial"/>
          <w:lang w:val="fr-FR"/>
        </w:rPr>
        <w:t>Orthop</w:t>
      </w:r>
      <w:proofErr w:type="spellEnd"/>
      <w:r w:rsidRPr="003371AE">
        <w:rPr>
          <w:rFonts w:ascii="Arial" w:hAnsi="Arial" w:cs="Arial"/>
          <w:lang w:val="fr-FR"/>
        </w:rPr>
        <w:t>. 2013;4:279.</w:t>
      </w:r>
    </w:p>
    <w:p w14:paraId="1CEC668F" w14:textId="77777777" w:rsidR="003371AE" w:rsidRPr="007D4B78" w:rsidRDefault="003371AE" w:rsidP="00E81DFE">
      <w:pPr>
        <w:pStyle w:val="Body"/>
        <w:numPr>
          <w:ilvl w:val="0"/>
          <w:numId w:val="31"/>
        </w:numPr>
        <w:spacing w:after="0"/>
        <w:rPr>
          <w:rFonts w:ascii="Arial" w:hAnsi="Arial" w:cs="Arial"/>
        </w:rPr>
      </w:pPr>
      <w:r w:rsidRPr="003371AE">
        <w:rPr>
          <w:rFonts w:ascii="Arial" w:hAnsi="Arial" w:cs="Arial"/>
          <w:lang w:val="fr-FR"/>
        </w:rPr>
        <w:t xml:space="preserve">Sales de </w:t>
      </w:r>
      <w:proofErr w:type="spellStart"/>
      <w:r w:rsidRPr="003371AE">
        <w:rPr>
          <w:rFonts w:ascii="Arial" w:hAnsi="Arial" w:cs="Arial"/>
          <w:lang w:val="fr-FR"/>
        </w:rPr>
        <w:t>Gauzy</w:t>
      </w:r>
      <w:proofErr w:type="spellEnd"/>
      <w:r w:rsidRPr="003371AE">
        <w:rPr>
          <w:rFonts w:ascii="Arial" w:hAnsi="Arial" w:cs="Arial"/>
          <w:lang w:val="fr-FR"/>
        </w:rPr>
        <w:t xml:space="preserve"> J. Ostéotomies pelviennes de réorientation et </w:t>
      </w:r>
      <w:proofErr w:type="spellStart"/>
      <w:r w:rsidRPr="003371AE">
        <w:rPr>
          <w:rFonts w:ascii="Arial" w:hAnsi="Arial" w:cs="Arial"/>
          <w:lang w:val="fr-FR"/>
        </w:rPr>
        <w:t>acétabuloplasties</w:t>
      </w:r>
      <w:proofErr w:type="spellEnd"/>
      <w:r w:rsidRPr="003371AE">
        <w:rPr>
          <w:rFonts w:ascii="Arial" w:hAnsi="Arial" w:cs="Arial"/>
          <w:lang w:val="fr-FR"/>
        </w:rPr>
        <w:t xml:space="preserve"> chez l’enfant. </w:t>
      </w:r>
      <w:r w:rsidRPr="007D4B78">
        <w:rPr>
          <w:rFonts w:ascii="Arial" w:hAnsi="Arial" w:cs="Arial"/>
        </w:rPr>
        <w:t>RCOT. 2010</w:t>
      </w:r>
      <w:proofErr w:type="gramStart"/>
      <w:r w:rsidRPr="007D4B78">
        <w:rPr>
          <w:rFonts w:ascii="Arial" w:hAnsi="Arial" w:cs="Arial"/>
        </w:rPr>
        <w:t>;96:850</w:t>
      </w:r>
      <w:proofErr w:type="gramEnd"/>
      <w:r w:rsidRPr="007D4B78">
        <w:rPr>
          <w:rFonts w:ascii="Arial" w:hAnsi="Arial" w:cs="Arial"/>
        </w:rPr>
        <w:t>-857.</w:t>
      </w:r>
    </w:p>
    <w:p w14:paraId="34272D41" w14:textId="77777777" w:rsidR="003371AE" w:rsidRPr="007D4B78" w:rsidRDefault="003371AE" w:rsidP="00E81DFE">
      <w:pPr>
        <w:pStyle w:val="Body"/>
        <w:numPr>
          <w:ilvl w:val="0"/>
          <w:numId w:val="31"/>
        </w:numPr>
        <w:spacing w:after="0"/>
        <w:rPr>
          <w:rFonts w:ascii="Arial" w:hAnsi="Arial" w:cs="Arial"/>
        </w:rPr>
      </w:pPr>
      <w:r w:rsidRPr="00E81DFE">
        <w:rPr>
          <w:rFonts w:ascii="Arial" w:hAnsi="Arial" w:cs="Arial"/>
          <w:lang w:val="fr-FR"/>
        </w:rPr>
        <w:t xml:space="preserve">Flecher X, Ollivier M, Argenson JN. </w:t>
      </w:r>
      <w:r w:rsidRPr="007D4B78">
        <w:rPr>
          <w:rFonts w:ascii="Arial" w:hAnsi="Arial" w:cs="Arial"/>
        </w:rPr>
        <w:t>Lower limb length and offset in THA. OTSR. 2016</w:t>
      </w:r>
      <w:proofErr w:type="gramStart"/>
      <w:r w:rsidRPr="007D4B78">
        <w:rPr>
          <w:rFonts w:ascii="Arial" w:hAnsi="Arial" w:cs="Arial"/>
        </w:rPr>
        <w:t>;102:S9</w:t>
      </w:r>
      <w:proofErr w:type="gramEnd"/>
      <w:r w:rsidRPr="007D4B78">
        <w:rPr>
          <w:rFonts w:ascii="Arial" w:hAnsi="Arial" w:cs="Arial"/>
        </w:rPr>
        <w:t>-S20.</w:t>
      </w:r>
    </w:p>
    <w:p w14:paraId="5DFFDE05"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Salter RB. Innominate osteotomy in the treatment of congenital dislocation of the hip. </w:t>
      </w:r>
      <w:proofErr w:type="spellStart"/>
      <w:r w:rsidRPr="007D4B78">
        <w:rPr>
          <w:rFonts w:ascii="Arial" w:hAnsi="Arial" w:cs="Arial"/>
        </w:rPr>
        <w:t>Clin</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1978</w:t>
      </w:r>
      <w:proofErr w:type="gramStart"/>
      <w:r w:rsidRPr="007D4B78">
        <w:rPr>
          <w:rFonts w:ascii="Arial" w:hAnsi="Arial" w:cs="Arial"/>
        </w:rPr>
        <w:t>;137:2</w:t>
      </w:r>
      <w:proofErr w:type="gramEnd"/>
      <w:r w:rsidRPr="007D4B78">
        <w:rPr>
          <w:rFonts w:ascii="Arial" w:hAnsi="Arial" w:cs="Arial"/>
        </w:rPr>
        <w:t>-14.</w:t>
      </w:r>
    </w:p>
    <w:p w14:paraId="3BF543A1"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Fong HC, Lu W, Li YH, Leong JC. Chiari osteotomy and shelf augmentation.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2000</w:t>
      </w:r>
      <w:proofErr w:type="gramStart"/>
      <w:r w:rsidRPr="007D4B78">
        <w:rPr>
          <w:rFonts w:ascii="Arial" w:hAnsi="Arial" w:cs="Arial"/>
        </w:rPr>
        <w:t>;20:740</w:t>
      </w:r>
      <w:proofErr w:type="gramEnd"/>
      <w:r w:rsidRPr="007D4B78">
        <w:rPr>
          <w:rFonts w:ascii="Arial" w:hAnsi="Arial" w:cs="Arial"/>
        </w:rPr>
        <w:t>-744.</w:t>
      </w:r>
    </w:p>
    <w:p w14:paraId="4B303AD9"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Calvert PT, August AC, Albert JS, Kemp HB, Catterall A. The Chiari pelvic osteotomy: long-term results. J Bone Joint Surg Br. 1987;69:551-555</w:t>
      </w:r>
    </w:p>
    <w:p w14:paraId="144E7BFD" w14:textId="77777777" w:rsidR="00790ADA" w:rsidRPr="00FB3A86" w:rsidRDefault="00790ADA" w:rsidP="00441B6F">
      <w:pPr>
        <w:pStyle w:val="ReferHead"/>
        <w:spacing w:after="0"/>
        <w:jc w:val="both"/>
        <w:rPr>
          <w:rFonts w:ascii="Arial" w:hAnsi="Arial" w:cs="Arial"/>
        </w:rPr>
      </w:pPr>
    </w:p>
    <w:sectPr w:rsidR="00790ADA" w:rsidRPr="00FB3A86" w:rsidSect="003371A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39469" w14:textId="77777777" w:rsidR="00E57162" w:rsidRDefault="00E57162" w:rsidP="00C37E61">
      <w:r>
        <w:separator/>
      </w:r>
    </w:p>
  </w:endnote>
  <w:endnote w:type="continuationSeparator" w:id="0">
    <w:p w14:paraId="5804031B" w14:textId="77777777" w:rsidR="00E57162" w:rsidRDefault="00E57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80353" w14:textId="77777777" w:rsidR="00E74620" w:rsidRDefault="00E7462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BEBB" w14:textId="77777777" w:rsidR="00E74620" w:rsidRDefault="00E7462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AC55" w14:textId="77777777" w:rsidR="009E048A" w:rsidRDefault="009E048A">
    <w:pPr>
      <w:pStyle w:val="Pieddepage"/>
      <w:rPr>
        <w:rFonts w:ascii="Arial" w:hAnsi="Arial" w:cs="Arial"/>
        <w:sz w:val="16"/>
      </w:rPr>
    </w:pPr>
  </w:p>
  <w:p w14:paraId="70A2E083"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8C052A" w14:textId="77777777" w:rsidR="009E048A" w:rsidRDefault="009E048A">
    <w:pPr>
      <w:pStyle w:val="Pieddepage"/>
      <w:rPr>
        <w:rFonts w:ascii="Arial" w:hAnsi="Arial" w:cs="Arial"/>
        <w:sz w:val="16"/>
      </w:rPr>
    </w:pPr>
  </w:p>
  <w:p w14:paraId="1DAEF49A" w14:textId="75DE15C7" w:rsidR="00754C9A" w:rsidRPr="009E048A" w:rsidRDefault="00754C9A">
    <w:pPr>
      <w:pStyle w:val="Pieddepage"/>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228C3" w14:textId="77777777" w:rsidR="00E57162" w:rsidRDefault="00E57162" w:rsidP="00C37E61">
      <w:r>
        <w:separator/>
      </w:r>
    </w:p>
  </w:footnote>
  <w:footnote w:type="continuationSeparator" w:id="0">
    <w:p w14:paraId="6C36F5CF" w14:textId="77777777" w:rsidR="00E57162" w:rsidRDefault="00E5716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BD9EF" w14:textId="222071B4" w:rsidR="00E74620" w:rsidRDefault="00E57162">
    <w:pPr>
      <w:pStyle w:val="En-tte"/>
    </w:pPr>
    <w:r>
      <w:rPr>
        <w:noProof/>
      </w:rPr>
      <w:pict w14:anchorId="4C34D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3EFDF" w14:textId="6513B4C1" w:rsidR="00E74620" w:rsidRDefault="00E57162">
    <w:pPr>
      <w:pStyle w:val="En-tte"/>
    </w:pPr>
    <w:r>
      <w:rPr>
        <w:noProof/>
      </w:rPr>
      <w:pict w14:anchorId="4AD4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5ECD9" w14:textId="21241761" w:rsidR="00296529" w:rsidRPr="00296529" w:rsidRDefault="00E57162" w:rsidP="00296529">
    <w:pPr>
      <w:ind w:left="2160"/>
      <w:jc w:val="center"/>
      <w:rPr>
        <w:rFonts w:ascii="Times New Roman" w:eastAsia="Calibri" w:hAnsi="Times New Roman"/>
        <w:i/>
        <w:sz w:val="18"/>
        <w:szCs w:val="22"/>
      </w:rPr>
    </w:pPr>
    <w:r>
      <w:rPr>
        <w:noProof/>
      </w:rPr>
      <w:pict w14:anchorId="41277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2C08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3F2A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3E5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B66EA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C0A5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9E2571" w14:textId="77777777" w:rsidR="00296529" w:rsidRDefault="00754C9A">
    <w:pPr>
      <w:pStyle w:val="En-tte"/>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CF3439"/>
    <w:multiLevelType w:val="hybridMultilevel"/>
    <w:tmpl w:val="8D5C76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7D11"/>
    <w:rsid w:val="00231920"/>
    <w:rsid w:val="0023195C"/>
    <w:rsid w:val="0024282C"/>
    <w:rsid w:val="002460DC"/>
    <w:rsid w:val="00246D9E"/>
    <w:rsid w:val="00250985"/>
    <w:rsid w:val="002556F6"/>
    <w:rsid w:val="00283105"/>
    <w:rsid w:val="00284C4C"/>
    <w:rsid w:val="00287E68"/>
    <w:rsid w:val="00296529"/>
    <w:rsid w:val="002B27FB"/>
    <w:rsid w:val="002B685A"/>
    <w:rsid w:val="002C57D2"/>
    <w:rsid w:val="002C73C1"/>
    <w:rsid w:val="002E0D56"/>
    <w:rsid w:val="00315186"/>
    <w:rsid w:val="00322F12"/>
    <w:rsid w:val="0033343E"/>
    <w:rsid w:val="003371AE"/>
    <w:rsid w:val="0034358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41B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37606"/>
    <w:rsid w:val="0066510A"/>
    <w:rsid w:val="00672D7E"/>
    <w:rsid w:val="00673F9F"/>
    <w:rsid w:val="00686953"/>
    <w:rsid w:val="00687DEA"/>
    <w:rsid w:val="00687E67"/>
    <w:rsid w:val="006967F7"/>
    <w:rsid w:val="006A250C"/>
    <w:rsid w:val="006B21D3"/>
    <w:rsid w:val="006B57D0"/>
    <w:rsid w:val="006D30FF"/>
    <w:rsid w:val="006D6940"/>
    <w:rsid w:val="006F11EC"/>
    <w:rsid w:val="0070082C"/>
    <w:rsid w:val="00703E0F"/>
    <w:rsid w:val="00730460"/>
    <w:rsid w:val="007369E6"/>
    <w:rsid w:val="00746E59"/>
    <w:rsid w:val="00754C9A"/>
    <w:rsid w:val="0075599A"/>
    <w:rsid w:val="00761D52"/>
    <w:rsid w:val="0077749E"/>
    <w:rsid w:val="00790ADA"/>
    <w:rsid w:val="007D2288"/>
    <w:rsid w:val="007E088F"/>
    <w:rsid w:val="007F7B32"/>
    <w:rsid w:val="00804BC2"/>
    <w:rsid w:val="0081431A"/>
    <w:rsid w:val="0083216F"/>
    <w:rsid w:val="008327D4"/>
    <w:rsid w:val="008419EF"/>
    <w:rsid w:val="00860000"/>
    <w:rsid w:val="00863BD3"/>
    <w:rsid w:val="008641ED"/>
    <w:rsid w:val="00866D66"/>
    <w:rsid w:val="008671C6"/>
    <w:rsid w:val="00875803"/>
    <w:rsid w:val="008B459E"/>
    <w:rsid w:val="008E13AE"/>
    <w:rsid w:val="008E1506"/>
    <w:rsid w:val="008E2E89"/>
    <w:rsid w:val="008E710C"/>
    <w:rsid w:val="008F69D6"/>
    <w:rsid w:val="008F7CA4"/>
    <w:rsid w:val="00902823"/>
    <w:rsid w:val="00915CA6"/>
    <w:rsid w:val="0092704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457A"/>
    <w:rsid w:val="00AE008F"/>
    <w:rsid w:val="00B01FCD"/>
    <w:rsid w:val="00B1776C"/>
    <w:rsid w:val="00B40F8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D70"/>
    <w:rsid w:val="00C70F1B"/>
    <w:rsid w:val="00C71A47"/>
    <w:rsid w:val="00C7464C"/>
    <w:rsid w:val="00C85588"/>
    <w:rsid w:val="00CD6755"/>
    <w:rsid w:val="00CD6856"/>
    <w:rsid w:val="00CD6E41"/>
    <w:rsid w:val="00CE0089"/>
    <w:rsid w:val="00CE793C"/>
    <w:rsid w:val="00CF193C"/>
    <w:rsid w:val="00D173F1"/>
    <w:rsid w:val="00D74CB0"/>
    <w:rsid w:val="00D8295D"/>
    <w:rsid w:val="00DA1BFC"/>
    <w:rsid w:val="00DC2A65"/>
    <w:rsid w:val="00DE15F0"/>
    <w:rsid w:val="00DE5663"/>
    <w:rsid w:val="00DE78AA"/>
    <w:rsid w:val="00E053D0"/>
    <w:rsid w:val="00E15994"/>
    <w:rsid w:val="00E3114E"/>
    <w:rsid w:val="00E31A70"/>
    <w:rsid w:val="00E35B02"/>
    <w:rsid w:val="00E57162"/>
    <w:rsid w:val="00E66496"/>
    <w:rsid w:val="00E66B35"/>
    <w:rsid w:val="00E66E10"/>
    <w:rsid w:val="00E74620"/>
    <w:rsid w:val="00E769F6"/>
    <w:rsid w:val="00E81DFE"/>
    <w:rsid w:val="00E8407C"/>
    <w:rsid w:val="00E84F3C"/>
    <w:rsid w:val="00EA012C"/>
    <w:rsid w:val="00EC6A55"/>
    <w:rsid w:val="00ED0288"/>
    <w:rsid w:val="00EE43BC"/>
    <w:rsid w:val="00EE52CB"/>
    <w:rsid w:val="00EF581D"/>
    <w:rsid w:val="00EF7FD8"/>
    <w:rsid w:val="00F06F59"/>
    <w:rsid w:val="00F17988"/>
    <w:rsid w:val="00F469F0"/>
    <w:rsid w:val="00F503E6"/>
    <w:rsid w:val="00F53273"/>
    <w:rsid w:val="00F755E4"/>
    <w:rsid w:val="00F77D02"/>
    <w:rsid w:val="00FB1B0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3E74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uiPriority w:val="9"/>
    <w:semiHidden/>
    <w:unhideWhenUsed/>
    <w:qFormat/>
    <w:rsid w:val="003371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4C41BA"/>
    <w:pPr>
      <w:spacing w:before="100" w:beforeAutospacing="1" w:after="100" w:afterAutospacing="1"/>
    </w:pPr>
    <w:rPr>
      <w:rFonts w:ascii="Times New Roman" w:hAnsi="Times New Roman"/>
      <w:sz w:val="24"/>
      <w:szCs w:val="24"/>
      <w:lang w:val="fr-FR" w:eastAsia="fr-FR"/>
    </w:rPr>
  </w:style>
  <w:style w:type="character" w:customStyle="1" w:styleId="Titre2Car">
    <w:name w:val="Titre 2 Car"/>
    <w:basedOn w:val="Policepardfaut"/>
    <w:link w:val="Titre2"/>
    <w:uiPriority w:val="9"/>
    <w:semiHidden/>
    <w:rsid w:val="003371AE"/>
    <w:rPr>
      <w:rFonts w:asciiTheme="majorHAnsi" w:eastAsiaTheme="majorEastAsia" w:hAnsiTheme="majorHAnsi" w:cstheme="majorBidi"/>
      <w:color w:val="365F91" w:themeColor="accent1" w:themeShade="BF"/>
      <w:sz w:val="26"/>
      <w:szCs w:val="26"/>
      <w:lang w:val="fr-FR"/>
    </w:rPr>
  </w:style>
  <w:style w:type="character" w:styleId="lev">
    <w:name w:val="Strong"/>
    <w:basedOn w:val="Policepardfaut"/>
    <w:uiPriority w:val="22"/>
    <w:qFormat/>
    <w:rsid w:val="00337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136732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06780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8B72-FF35-46FA-83D2-39D32E67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10</Pages>
  <Words>3779</Words>
  <Characters>20786</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24516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HIND</cp:lastModifiedBy>
  <cp:revision>32</cp:revision>
  <cp:lastPrinted>1999-07-06T11:00:00Z</cp:lastPrinted>
  <dcterms:created xsi:type="dcterms:W3CDTF">2026-03-07T15:57:00Z</dcterms:created>
  <dcterms:modified xsi:type="dcterms:W3CDTF">2026-03-16T23:42:00Z</dcterms:modified>
</cp:coreProperties>
</file>