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6DB37" w14:textId="77777777" w:rsidR="00037C8E" w:rsidRPr="00037C8E" w:rsidRDefault="00037C8E" w:rsidP="00037C8E">
      <w:pPr>
        <w:pStyle w:val="Author"/>
        <w:tabs>
          <w:tab w:val="left" w:pos="525"/>
        </w:tabs>
        <w:jc w:val="center"/>
        <w:rPr>
          <w:rFonts w:ascii="Arial" w:hAnsi="Arial" w:cs="Arial"/>
          <w:bCs/>
          <w:i/>
          <w:iCs/>
          <w:sz w:val="22"/>
          <w:szCs w:val="22"/>
          <w:u w:val="single"/>
        </w:rPr>
      </w:pPr>
      <w:r w:rsidRPr="00037C8E">
        <w:rPr>
          <w:rFonts w:ascii="Arial" w:hAnsi="Arial" w:cs="Arial"/>
          <w:bCs/>
          <w:i/>
          <w:iCs/>
          <w:sz w:val="22"/>
          <w:szCs w:val="22"/>
          <w:u w:val="single"/>
        </w:rPr>
        <w:t xml:space="preserve">Case report </w:t>
      </w:r>
    </w:p>
    <w:p w14:paraId="1E8096D3" w14:textId="18A88719" w:rsidR="00D44844" w:rsidRDefault="00D44844" w:rsidP="00D44844">
      <w:pPr>
        <w:pStyle w:val="Author"/>
        <w:tabs>
          <w:tab w:val="left" w:pos="525"/>
        </w:tabs>
        <w:spacing w:line="240" w:lineRule="auto"/>
        <w:jc w:val="center"/>
        <w:rPr>
          <w:rFonts w:ascii="Arial" w:hAnsi="Arial" w:cs="Arial"/>
          <w:sz w:val="22"/>
          <w:szCs w:val="22"/>
        </w:rPr>
      </w:pPr>
      <w:r w:rsidRPr="00D44844">
        <w:rPr>
          <w:rFonts w:ascii="Arial" w:hAnsi="Arial" w:cs="Arial"/>
          <w:sz w:val="22"/>
          <w:szCs w:val="22"/>
        </w:rPr>
        <w:t>Dehydrated Amniotic Membrane as Adjunctive Therapy for Recurrent Immunological Corneal Ulcer: A Case Report</w:t>
      </w:r>
    </w:p>
    <w:p w14:paraId="4226A9D3" w14:textId="77777777" w:rsidR="00E673B4" w:rsidRDefault="00E673B4" w:rsidP="00D44844">
      <w:pPr>
        <w:pStyle w:val="Author"/>
        <w:tabs>
          <w:tab w:val="left" w:pos="525"/>
        </w:tabs>
        <w:spacing w:line="240" w:lineRule="auto"/>
        <w:jc w:val="center"/>
        <w:rPr>
          <w:rFonts w:ascii="Arial" w:hAnsi="Arial" w:cs="Arial"/>
          <w:sz w:val="22"/>
          <w:szCs w:val="22"/>
        </w:rPr>
      </w:pPr>
    </w:p>
    <w:p w14:paraId="7D0A1560" w14:textId="77777777" w:rsidR="002C57D2" w:rsidRPr="00FB3A86" w:rsidRDefault="002C57D2" w:rsidP="00441B6F">
      <w:pPr>
        <w:pStyle w:val="Affiliation"/>
        <w:spacing w:after="0" w:line="240" w:lineRule="auto"/>
        <w:jc w:val="both"/>
        <w:rPr>
          <w:rFonts w:ascii="Arial" w:hAnsi="Arial" w:cs="Arial"/>
        </w:rPr>
      </w:pPr>
    </w:p>
    <w:p w14:paraId="06E30714" w14:textId="426BBA78" w:rsidR="00B01FCD" w:rsidRPr="00FB3A86" w:rsidRDefault="00355A22" w:rsidP="00441B6F">
      <w:pPr>
        <w:pStyle w:val="Copyright"/>
        <w:spacing w:after="0" w:line="240" w:lineRule="auto"/>
        <w:jc w:val="both"/>
        <w:rPr>
          <w:rFonts w:ascii="Arial" w:hAnsi="Arial" w:cs="Arial"/>
        </w:rPr>
        <w:sectPr w:rsidR="00B01FCD" w:rsidRPr="00FB3A86" w:rsidSect="007357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674792" wp14:editId="671F9A34">
                <wp:extent cx="5303520" cy="635"/>
                <wp:effectExtent l="11430" t="17145" r="9525" b="11430"/>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C28E9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MlxLXP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4E933FD7" w14:textId="6EECA5D6" w:rsidR="00B01FCD" w:rsidRDefault="00B01FCD" w:rsidP="00441B6F">
      <w:pPr>
        <w:pStyle w:val="AbstHead"/>
        <w:spacing w:after="0"/>
        <w:jc w:val="both"/>
        <w:rPr>
          <w:rFonts w:ascii="Arial" w:hAnsi="Arial" w:cs="Arial"/>
        </w:rPr>
      </w:pPr>
      <w:r w:rsidRPr="00FB3A86">
        <w:rPr>
          <w:rFonts w:ascii="Arial" w:hAnsi="Arial" w:cs="Arial"/>
        </w:rPr>
        <w:t>ABSTRACT</w:t>
      </w:r>
    </w:p>
    <w:p w14:paraId="0204F01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AF68AAB" w14:textId="77777777" w:rsidTr="00002694">
        <w:trPr>
          <w:trHeight w:val="558"/>
        </w:trPr>
        <w:tc>
          <w:tcPr>
            <w:tcW w:w="9576" w:type="dxa"/>
            <w:shd w:val="clear" w:color="auto" w:fill="F2F2F2"/>
          </w:tcPr>
          <w:p w14:paraId="42F222D9" w14:textId="5401EF23" w:rsidR="00D44844" w:rsidRPr="002B0787" w:rsidRDefault="00D44844" w:rsidP="00D44844">
            <w:pPr>
              <w:pStyle w:val="NormalWeb"/>
              <w:rPr>
                <w:lang w:val="en-IN"/>
              </w:rPr>
            </w:pPr>
            <w:r w:rsidRPr="002B0787">
              <w:rPr>
                <w:rStyle w:val="Strong"/>
                <w:lang w:val="en-IN"/>
              </w:rPr>
              <w:t>Introduction:</w:t>
            </w:r>
          </w:p>
          <w:p w14:paraId="5E2FC628" w14:textId="77777777" w:rsidR="00D44844" w:rsidRPr="002B0787" w:rsidRDefault="00D44844" w:rsidP="00D44844">
            <w:pPr>
              <w:pStyle w:val="NormalWeb"/>
              <w:rPr>
                <w:lang w:val="en-IN"/>
              </w:rPr>
            </w:pPr>
            <w:r w:rsidRPr="002B0787">
              <w:rPr>
                <w:lang w:val="en-IN"/>
              </w:rPr>
              <w:t>Amniotic membrane transplantation has become an established therapeutic approach for ocular surface reconstruction. It is commonly used in persistent epithelial defects, corneal ulcers, chemical burns, and after pterygium surgery. Dehydrated amniotic membrane (DAM) is a processed form of human amniotic tissue that can be stored at room temperature and easily applied in outpatient settings. DAM provides anti-inflammatory, anti-angiogenic, and epithelial regenerative properties. The aim of this report is to highlight the therapeutic role of dehydrated amniotic membrane in the management of recurrent immunological corneal ulcers.</w:t>
            </w:r>
          </w:p>
          <w:p w14:paraId="69D1D8E0" w14:textId="693FF811" w:rsidR="00D44844" w:rsidRPr="002B0787" w:rsidRDefault="00D44844" w:rsidP="00D44844">
            <w:pPr>
              <w:pStyle w:val="NormalWeb"/>
              <w:rPr>
                <w:lang w:val="en-IN"/>
              </w:rPr>
            </w:pPr>
            <w:r w:rsidRPr="002B0787">
              <w:rPr>
                <w:rStyle w:val="Strong"/>
                <w:lang w:val="en-IN"/>
              </w:rPr>
              <w:t>Case Presentation:</w:t>
            </w:r>
          </w:p>
          <w:p w14:paraId="3279FC3E" w14:textId="77777777" w:rsidR="00D44844" w:rsidRPr="002B0787" w:rsidRDefault="00D44844" w:rsidP="00D44844">
            <w:pPr>
              <w:pStyle w:val="NormalWeb"/>
              <w:rPr>
                <w:lang w:val="en-IN"/>
              </w:rPr>
            </w:pPr>
            <w:r w:rsidRPr="002B0787">
              <w:rPr>
                <w:lang w:val="en-IN"/>
              </w:rPr>
              <w:t>We report the case of a 68-year-old woman with dermatomyositis treated with systemic corticosteroids, associated with Raynaud’s phenomenon and livedo. She presented with a painful red left eye and decreased visual acuity. Five months earlier, the patient had developed a corneal ulcer in the same eye that healed slowly after intensive medical therapy.</w:t>
            </w:r>
          </w:p>
          <w:p w14:paraId="0CCE9B76" w14:textId="77777777" w:rsidR="00D44844" w:rsidRPr="002B0787" w:rsidRDefault="00D44844" w:rsidP="00D44844">
            <w:pPr>
              <w:pStyle w:val="NormalWeb"/>
              <w:rPr>
                <w:lang w:val="en-IN"/>
              </w:rPr>
            </w:pPr>
            <w:r w:rsidRPr="002B0787">
              <w:rPr>
                <w:lang w:val="en-IN"/>
              </w:rPr>
              <w:t>On admission, visual acuity was limited to hand motion perception. Slit-lamp examination revealed a deep marginal corneal ulcer measuring approximately 10 × 5 mm with positive fluorescein staining. Corneal sensitivity was preserved and the Schirmer test measured 20 mm, suggesting reflex tearing. The anterior chamber was well formed and a total white cataract prevented fundus visualization. The contralateral eye showed mild ocular surface disease with diffuse superficial punctate keratitis, tear break-up time of 5 seconds, and Schirmer test of 9 mm.</w:t>
            </w:r>
          </w:p>
          <w:p w14:paraId="6D2EB589" w14:textId="77777777" w:rsidR="00D44844" w:rsidRPr="002B0787" w:rsidRDefault="00D44844" w:rsidP="00D44844">
            <w:pPr>
              <w:pStyle w:val="NormalWeb"/>
              <w:rPr>
                <w:lang w:val="en-IN"/>
              </w:rPr>
            </w:pPr>
            <w:r w:rsidRPr="002B0787">
              <w:rPr>
                <w:lang w:val="en-IN"/>
              </w:rPr>
              <w:t>Initial management included preservative-free lubricating agents and antibiotic prophylaxis. Due to the absence of clinical improvement, a dehydrated amniotic membrane was applied in order to promote corneal epithelial healing.</w:t>
            </w:r>
          </w:p>
          <w:p w14:paraId="33F74766" w14:textId="77777777" w:rsidR="00D44844" w:rsidRPr="002B0787" w:rsidRDefault="00D44844" w:rsidP="00D44844">
            <w:pPr>
              <w:pStyle w:val="NormalWeb"/>
              <w:rPr>
                <w:lang w:val="en-IN"/>
              </w:rPr>
            </w:pPr>
            <w:r w:rsidRPr="002B0787">
              <w:rPr>
                <w:lang w:val="en-IN"/>
              </w:rPr>
              <w:t>Complete epithelial healing was observed within 10 days after membrane placement.</w:t>
            </w:r>
          </w:p>
          <w:p w14:paraId="307AECFF" w14:textId="77777777" w:rsidR="00D44844" w:rsidRPr="002B0787" w:rsidRDefault="00D44844" w:rsidP="00D44844">
            <w:pPr>
              <w:pStyle w:val="NormalWeb"/>
              <w:rPr>
                <w:lang w:val="en-IN"/>
              </w:rPr>
            </w:pPr>
            <w:r w:rsidRPr="002B0787">
              <w:rPr>
                <w:rStyle w:val="Strong"/>
                <w:lang w:val="en-IN"/>
              </w:rPr>
              <w:t>Conclusion</w:t>
            </w:r>
          </w:p>
          <w:p w14:paraId="57F05B97" w14:textId="19B28FF3" w:rsidR="00B76A23" w:rsidRPr="002B0787" w:rsidRDefault="00D44844" w:rsidP="00D44844">
            <w:pPr>
              <w:pStyle w:val="NormalWeb"/>
              <w:rPr>
                <w:lang w:val="en-IN"/>
              </w:rPr>
            </w:pPr>
            <w:r w:rsidRPr="002B0787">
              <w:rPr>
                <w:lang w:val="en-IN"/>
              </w:rPr>
              <w:t>Dehydrated amniotic membrane represents a safe and effective adjunctive therapy for immunological corneal ulcers, particularly in settings where access to cryopreserved amniotic membrane is limited.</w:t>
            </w:r>
          </w:p>
        </w:tc>
      </w:tr>
    </w:tbl>
    <w:p w14:paraId="1F32A1A8" w14:textId="77777777" w:rsidR="00636EB2" w:rsidRDefault="00636EB2" w:rsidP="00441B6F">
      <w:pPr>
        <w:pStyle w:val="Body"/>
        <w:spacing w:after="0"/>
        <w:rPr>
          <w:rFonts w:ascii="Arial" w:hAnsi="Arial" w:cs="Arial"/>
          <w:i/>
        </w:rPr>
      </w:pPr>
    </w:p>
    <w:p w14:paraId="01B85098" w14:textId="77777777" w:rsidR="00D44844" w:rsidRPr="002B0787" w:rsidRDefault="00D44844" w:rsidP="00D44844">
      <w:pPr>
        <w:spacing w:before="100" w:beforeAutospacing="1" w:after="100" w:afterAutospacing="1"/>
        <w:outlineLvl w:val="0"/>
        <w:rPr>
          <w:rFonts w:ascii="Times New Roman" w:hAnsi="Times New Roman"/>
          <w:b/>
          <w:bCs/>
          <w:kern w:val="36"/>
          <w:sz w:val="48"/>
          <w:szCs w:val="48"/>
          <w:lang w:val="en-IN" w:eastAsia="fr-FR"/>
        </w:rPr>
      </w:pPr>
      <w:r w:rsidRPr="002B0787">
        <w:rPr>
          <w:rFonts w:ascii="Times New Roman" w:hAnsi="Times New Roman"/>
          <w:b/>
          <w:bCs/>
          <w:kern w:val="36"/>
          <w:sz w:val="48"/>
          <w:szCs w:val="48"/>
          <w:lang w:val="en-IN" w:eastAsia="fr-FR"/>
        </w:rPr>
        <w:lastRenderedPageBreak/>
        <w:t>Keywords</w:t>
      </w:r>
    </w:p>
    <w:p w14:paraId="16F893FD" w14:textId="2A22DE29" w:rsidR="00D44844" w:rsidRPr="002B0787" w:rsidRDefault="00D44844" w:rsidP="00D44844">
      <w:pPr>
        <w:spacing w:before="100" w:beforeAutospacing="1" w:after="100" w:afterAutospacing="1"/>
        <w:rPr>
          <w:rFonts w:ascii="Times New Roman" w:hAnsi="Times New Roman"/>
          <w:sz w:val="24"/>
          <w:szCs w:val="24"/>
          <w:lang w:val="en-IN" w:eastAsia="fr-FR"/>
        </w:rPr>
      </w:pPr>
      <w:r w:rsidRPr="002B0787">
        <w:rPr>
          <w:rFonts w:ascii="Times New Roman" w:hAnsi="Times New Roman"/>
          <w:sz w:val="24"/>
          <w:szCs w:val="24"/>
          <w:lang w:val="en-IN" w:eastAsia="fr-FR"/>
        </w:rPr>
        <w:t>Amniotic membrane transplantation</w:t>
      </w:r>
      <w:r w:rsidR="007001AB">
        <w:rPr>
          <w:rFonts w:ascii="Times New Roman" w:hAnsi="Times New Roman"/>
          <w:sz w:val="24"/>
          <w:szCs w:val="24"/>
          <w:lang w:val="en-IN" w:eastAsia="fr-FR"/>
        </w:rPr>
        <w:t xml:space="preserve">, </w:t>
      </w:r>
      <w:r w:rsidRPr="002B0787">
        <w:rPr>
          <w:rFonts w:ascii="Times New Roman" w:hAnsi="Times New Roman"/>
          <w:sz w:val="24"/>
          <w:szCs w:val="24"/>
          <w:lang w:val="en-IN" w:eastAsia="fr-FR"/>
        </w:rPr>
        <w:t>Dehydrated amniotic membrane</w:t>
      </w:r>
      <w:r w:rsidR="007001AB">
        <w:rPr>
          <w:rFonts w:ascii="Times New Roman" w:hAnsi="Times New Roman"/>
          <w:sz w:val="24"/>
          <w:szCs w:val="24"/>
          <w:lang w:val="en-IN" w:eastAsia="fr-FR"/>
        </w:rPr>
        <w:t xml:space="preserve">, </w:t>
      </w:r>
      <w:r w:rsidRPr="002B0787">
        <w:rPr>
          <w:rFonts w:ascii="Times New Roman" w:hAnsi="Times New Roman"/>
          <w:sz w:val="24"/>
          <w:szCs w:val="24"/>
          <w:lang w:val="en-IN" w:eastAsia="fr-FR"/>
        </w:rPr>
        <w:t>Immunological corneal ulcer</w:t>
      </w:r>
      <w:r w:rsidR="007001AB">
        <w:rPr>
          <w:rFonts w:ascii="Times New Roman" w:hAnsi="Times New Roman"/>
          <w:sz w:val="24"/>
          <w:szCs w:val="24"/>
          <w:lang w:val="en-IN" w:eastAsia="fr-FR"/>
        </w:rPr>
        <w:t xml:space="preserve">, </w:t>
      </w:r>
      <w:r w:rsidRPr="002B0787">
        <w:rPr>
          <w:rFonts w:ascii="Times New Roman" w:hAnsi="Times New Roman"/>
          <w:sz w:val="24"/>
          <w:szCs w:val="24"/>
          <w:lang w:val="en-IN" w:eastAsia="fr-FR"/>
        </w:rPr>
        <w:t>Ocular surface reconstruction</w:t>
      </w:r>
      <w:r w:rsidR="007001AB">
        <w:rPr>
          <w:rFonts w:ascii="Times New Roman" w:hAnsi="Times New Roman"/>
          <w:sz w:val="24"/>
          <w:szCs w:val="24"/>
          <w:lang w:val="en-IN" w:eastAsia="fr-FR"/>
        </w:rPr>
        <w:t xml:space="preserve">, </w:t>
      </w:r>
      <w:bookmarkStart w:id="0" w:name="_GoBack"/>
      <w:bookmarkEnd w:id="0"/>
      <w:r w:rsidRPr="002B0787">
        <w:rPr>
          <w:rFonts w:ascii="Times New Roman" w:hAnsi="Times New Roman"/>
          <w:sz w:val="24"/>
          <w:szCs w:val="24"/>
          <w:lang w:val="en-IN" w:eastAsia="fr-FR"/>
        </w:rPr>
        <w:t>Autoimmune keratitis</w:t>
      </w:r>
    </w:p>
    <w:p w14:paraId="19270EB7" w14:textId="77777777" w:rsidR="00790ADA" w:rsidRDefault="00790ADA" w:rsidP="00441B6F">
      <w:pPr>
        <w:pStyle w:val="Body"/>
        <w:spacing w:after="0"/>
        <w:rPr>
          <w:rFonts w:ascii="Arial" w:hAnsi="Arial" w:cs="Arial"/>
          <w:i/>
        </w:rPr>
      </w:pPr>
    </w:p>
    <w:p w14:paraId="72BF7F48" w14:textId="77777777" w:rsidR="0024282C" w:rsidRDefault="0024282C" w:rsidP="00441B6F">
      <w:pPr>
        <w:pStyle w:val="Body"/>
        <w:spacing w:after="0"/>
        <w:rPr>
          <w:rFonts w:ascii="Arial" w:hAnsi="Arial" w:cs="Arial"/>
          <w:i/>
          <w:sz w:val="18"/>
        </w:rPr>
      </w:pPr>
    </w:p>
    <w:p w14:paraId="3782EFFB" w14:textId="77777777" w:rsidR="00505F06" w:rsidRPr="00A24E7E" w:rsidRDefault="00505F06" w:rsidP="00441B6F">
      <w:pPr>
        <w:pStyle w:val="Body"/>
        <w:spacing w:after="0"/>
        <w:rPr>
          <w:rFonts w:ascii="Arial" w:hAnsi="Arial" w:cs="Arial"/>
          <w:i/>
        </w:rPr>
      </w:pPr>
    </w:p>
    <w:p w14:paraId="353D4FB8" w14:textId="47F98FFF" w:rsidR="007F7B32" w:rsidRPr="00F80351" w:rsidRDefault="00902823" w:rsidP="00441B6F">
      <w:pPr>
        <w:pStyle w:val="AbstHead"/>
        <w:spacing w:after="0"/>
        <w:jc w:val="both"/>
        <w:rPr>
          <w:rFonts w:ascii="Arial" w:hAnsi="Arial" w:cs="Arial"/>
          <w:szCs w:val="22"/>
        </w:rPr>
      </w:pPr>
      <w:r w:rsidRPr="00F80351">
        <w:rPr>
          <w:rFonts w:ascii="Arial" w:hAnsi="Arial" w:cs="Arial"/>
          <w:szCs w:val="22"/>
        </w:rPr>
        <w:t xml:space="preserve">1. </w:t>
      </w:r>
      <w:r w:rsidR="00B01FCD" w:rsidRPr="00F80351">
        <w:rPr>
          <w:rFonts w:ascii="Arial" w:hAnsi="Arial" w:cs="Arial"/>
          <w:szCs w:val="22"/>
        </w:rPr>
        <w:t>INTRODUCTION</w:t>
      </w:r>
      <w:r w:rsidR="00F80351">
        <w:rPr>
          <w:rFonts w:ascii="Arial" w:hAnsi="Arial" w:cs="Arial"/>
          <w:szCs w:val="22"/>
        </w:rPr>
        <w:t>:</w:t>
      </w:r>
    </w:p>
    <w:p w14:paraId="7FCF3BA8" w14:textId="77777777" w:rsidR="00D44844" w:rsidRPr="002B0787" w:rsidRDefault="00D44844" w:rsidP="00D44844">
      <w:pPr>
        <w:pStyle w:val="NormalWeb"/>
        <w:rPr>
          <w:lang w:val="en-IN"/>
        </w:rPr>
      </w:pPr>
      <w:r w:rsidRPr="002B0787">
        <w:rPr>
          <w:lang w:val="en-IN"/>
        </w:rPr>
        <w:t>Immunological corneal ulcers represent a severe form of ocular surface disease frequently associated with autoimmune or systemic inflammatory disorders. These ulcers are characterized by stromal inflammation, progressive tissue destruction, and delayed epithelial healing. If left untreated, they may lead to severe complications such as stromal thinning, corneal perforation, and permanent visual impairment.</w:t>
      </w:r>
    </w:p>
    <w:p w14:paraId="4C308D8C" w14:textId="77777777" w:rsidR="00D44844" w:rsidRPr="002B0787" w:rsidRDefault="00D44844" w:rsidP="00D44844">
      <w:pPr>
        <w:pStyle w:val="NormalWeb"/>
        <w:rPr>
          <w:lang w:val="en-IN"/>
        </w:rPr>
      </w:pPr>
      <w:r w:rsidRPr="002B0787">
        <w:rPr>
          <w:lang w:val="en-IN"/>
        </w:rPr>
        <w:t>The pathophysiology of immunological corneal ulcers involves immune-mediated inflammatory mechanisms leading to the release of cytokines and proteolytic enzymes that cause stromal degradation. Management is often challenging and requires a combination of local therapy, systemic immunosuppressive treatment, and sometimes surgical interventions when medical therapy alone is insufficient.</w:t>
      </w:r>
    </w:p>
    <w:p w14:paraId="7DB314E3" w14:textId="350628D7" w:rsidR="00D44844" w:rsidRPr="002B0787" w:rsidRDefault="00040DC0" w:rsidP="00D44844">
      <w:pPr>
        <w:pStyle w:val="NormalWeb"/>
        <w:rPr>
          <w:lang w:val="en-IN"/>
        </w:rPr>
      </w:pPr>
      <w:r w:rsidRPr="00040DC0">
        <w:rPr>
          <w:lang w:val="en-IN"/>
        </w:rPr>
        <w:t>Amniotic membrane transplantation has been widely used in ophthalmology (1,3,8,9). It has been extensively studied for its anti-inflammatory and regenerative properties in ocular surface disorders</w:t>
      </w:r>
      <w:r w:rsidR="00D44844" w:rsidRPr="002B0787">
        <w:rPr>
          <w:lang w:val="en-IN"/>
        </w:rPr>
        <w:t>. The amniotic membrane acts as a biological scaffold that promotes epithelial cell migration and differentiation while reducing inflammation and inhibiting corneal neovascularization. These properties make it particularly useful in the management of persistent epithelial defects and corneal ulcers.</w:t>
      </w:r>
    </w:p>
    <w:p w14:paraId="5A355148" w14:textId="19A709FA" w:rsidR="00D44844" w:rsidRPr="002B0787" w:rsidRDefault="00D44844" w:rsidP="00D44844">
      <w:pPr>
        <w:pStyle w:val="NormalWeb"/>
        <w:rPr>
          <w:lang w:val="en-IN"/>
        </w:rPr>
      </w:pPr>
      <w:r w:rsidRPr="002B0787">
        <w:rPr>
          <w:lang w:val="en-IN"/>
        </w:rPr>
        <w:t>Amniotic membrane is available in several forms including fresh, cryopreserved, and dehydrated preparations. Dehydrated amniotic membrane is an allogeneic tissue derived from human amniotic membrane that undergoes special processing allowing long-term storage at room temperature. Compared with fresh or cryopreserved membranes,</w:t>
      </w:r>
      <w:r w:rsidR="00040DC0">
        <w:rPr>
          <w:lang w:val="en-IN"/>
        </w:rPr>
        <w:t xml:space="preserve"> d</w:t>
      </w:r>
      <w:r w:rsidR="00040DC0" w:rsidRPr="00040DC0">
        <w:rPr>
          <w:lang w:val="en-IN"/>
        </w:rPr>
        <w:t>ehydrated amniotic membrane offers important logistical advantages (8,10), including ease of storage, immediate availability, and simplified handling in outpatient settings.</w:t>
      </w:r>
    </w:p>
    <w:p w14:paraId="4A7C2B12" w14:textId="77777777" w:rsidR="00D44844" w:rsidRPr="002B0787" w:rsidRDefault="00D44844" w:rsidP="00D44844">
      <w:pPr>
        <w:pStyle w:val="NormalWeb"/>
        <w:rPr>
          <w:lang w:val="en-IN"/>
        </w:rPr>
      </w:pPr>
      <w:r w:rsidRPr="002B0787">
        <w:rPr>
          <w:lang w:val="en-IN"/>
        </w:rPr>
        <w:t>Immunological corneal ulcers remain challenging to manage due to their recurrent nature and the high risk of corneal perforation, particularly in patients with underlying autoimmune diseases. In resource-limited settings where access to cryopreserved amniotic membrane is restricted, dehydrated amniotic membrane may represent a valuable therapeutic alternative.</w:t>
      </w:r>
    </w:p>
    <w:p w14:paraId="188D2B4E" w14:textId="77777777" w:rsidR="00D44844" w:rsidRPr="002B0787" w:rsidRDefault="00D44844" w:rsidP="00D44844">
      <w:pPr>
        <w:pStyle w:val="NormalWeb"/>
        <w:rPr>
          <w:lang w:val="en-IN"/>
        </w:rPr>
      </w:pPr>
      <w:r w:rsidRPr="002B0787">
        <w:rPr>
          <w:lang w:val="en-IN"/>
        </w:rPr>
        <w:t>The aim of this study is to report a case of recurrent immunological corneal ulcer successfully treated with dehydrated amniotic membrane and to discuss its therapeutic potential.</w:t>
      </w:r>
    </w:p>
    <w:p w14:paraId="7993CC3E" w14:textId="77777777" w:rsidR="00D44844" w:rsidRPr="00F80351" w:rsidRDefault="00D44844" w:rsidP="00741DE9">
      <w:pPr>
        <w:pStyle w:val="Body"/>
        <w:rPr>
          <w:rFonts w:ascii="Arial" w:hAnsi="Arial" w:cs="Arial"/>
          <w:bCs/>
          <w:sz w:val="22"/>
          <w:szCs w:val="22"/>
        </w:rPr>
      </w:pPr>
    </w:p>
    <w:p w14:paraId="723B2E91" w14:textId="3C54A28B" w:rsidR="007F7B32" w:rsidRPr="00F80351" w:rsidRDefault="00902823" w:rsidP="00F80351">
      <w:pPr>
        <w:pStyle w:val="AbstHead"/>
        <w:spacing w:after="0"/>
        <w:rPr>
          <w:rFonts w:ascii="Arial" w:hAnsi="Arial" w:cs="Arial"/>
          <w:szCs w:val="22"/>
        </w:rPr>
      </w:pPr>
      <w:r w:rsidRPr="00F80351">
        <w:rPr>
          <w:rFonts w:ascii="Arial" w:hAnsi="Arial" w:cs="Arial"/>
          <w:szCs w:val="22"/>
        </w:rPr>
        <w:t xml:space="preserve">2. </w:t>
      </w:r>
      <w:r w:rsidR="00703E09" w:rsidRPr="00F80351">
        <w:rPr>
          <w:rFonts w:ascii="Arial" w:hAnsi="Arial" w:cs="Arial"/>
          <w:szCs w:val="22"/>
        </w:rPr>
        <w:t>Case presentation:</w:t>
      </w:r>
    </w:p>
    <w:p w14:paraId="3A5D4414" w14:textId="1F284405" w:rsidR="00D44844" w:rsidRPr="002B0787" w:rsidRDefault="00D44844" w:rsidP="00D44844">
      <w:pPr>
        <w:pStyle w:val="NormalWeb"/>
        <w:rPr>
          <w:lang w:val="en-IN"/>
        </w:rPr>
      </w:pPr>
      <w:r w:rsidRPr="002B0787">
        <w:rPr>
          <w:lang w:val="en-IN"/>
        </w:rPr>
        <w:t>A 68-year-old female patient with a history of dermatomyositis treated with systemic corticosteroids presented to the ophthalmology emergency department with a painful red left eye associated with decreased vision. The patient also had Raynaud’s phenomenon and livedo and was receiving angiotensin receptor blocker therapy.</w:t>
      </w:r>
    </w:p>
    <w:p w14:paraId="270995A6" w14:textId="77777777" w:rsidR="00D44844" w:rsidRPr="002B0787" w:rsidRDefault="00D44844" w:rsidP="00D44844">
      <w:pPr>
        <w:pStyle w:val="NormalWeb"/>
        <w:rPr>
          <w:lang w:val="en-IN"/>
        </w:rPr>
      </w:pPr>
      <w:r w:rsidRPr="002B0787">
        <w:rPr>
          <w:lang w:val="en-IN"/>
        </w:rPr>
        <w:t xml:space="preserve">Five months before the current consultation, the patient had developed a corneal ulcer in the same eye. At that time, the ulcer had been treated with fortified topical antibiotics, lubricating agents, and oral antibiotic therapy. </w:t>
      </w:r>
      <w:r w:rsidRPr="002B0787">
        <w:rPr>
          <w:lang w:val="en-IN"/>
        </w:rPr>
        <w:lastRenderedPageBreak/>
        <w:t>Although the corneal surface eventually healed, the healing process was slow and required approximately two months.</w:t>
      </w:r>
    </w:p>
    <w:p w14:paraId="35BEC7BD" w14:textId="77777777" w:rsidR="00D44844" w:rsidRPr="002B0787" w:rsidRDefault="00D44844" w:rsidP="00D44844">
      <w:pPr>
        <w:pStyle w:val="NormalWeb"/>
        <w:rPr>
          <w:lang w:val="en-IN"/>
        </w:rPr>
      </w:pPr>
      <w:r w:rsidRPr="002B0787">
        <w:rPr>
          <w:lang w:val="en-IN"/>
        </w:rPr>
        <w:t xml:space="preserve">At presentation, best-corrected visual acuity in the affected eye was limited to hand motion perception. Slit-lamp examination revealed conjunctival </w:t>
      </w:r>
      <w:proofErr w:type="spellStart"/>
      <w:r w:rsidRPr="002B0787">
        <w:rPr>
          <w:lang w:val="en-IN"/>
        </w:rPr>
        <w:t>hyperemia</w:t>
      </w:r>
      <w:proofErr w:type="spellEnd"/>
      <w:r w:rsidRPr="002B0787">
        <w:rPr>
          <w:lang w:val="en-IN"/>
        </w:rPr>
        <w:t xml:space="preserve"> and a deep marginal corneal ulcer measuring approximately 10 × 5 mm. Fluorescein staining was positive, confirming epithelial loss. Corneal sensitivity was preserved. The Schirmer test measured 20 mm, consistent with reflex tearing.</w:t>
      </w:r>
    </w:p>
    <w:p w14:paraId="73016D9B" w14:textId="77777777" w:rsidR="00D44844" w:rsidRPr="002B0787" w:rsidRDefault="00D44844" w:rsidP="00D44844">
      <w:pPr>
        <w:pStyle w:val="NormalWeb"/>
        <w:rPr>
          <w:lang w:val="en-IN"/>
        </w:rPr>
      </w:pPr>
      <w:r w:rsidRPr="002B0787">
        <w:rPr>
          <w:lang w:val="en-IN"/>
        </w:rPr>
        <w:t>The anterior chamber was well formed and showed no inflammatory reaction. A total white cataract prevented visualization of the posterior segment.</w:t>
      </w:r>
    </w:p>
    <w:p w14:paraId="18D6CC3F" w14:textId="77777777" w:rsidR="00D44844" w:rsidRPr="002B0787" w:rsidRDefault="00D44844" w:rsidP="00D44844">
      <w:pPr>
        <w:pStyle w:val="NormalWeb"/>
        <w:rPr>
          <w:lang w:val="en-IN"/>
        </w:rPr>
      </w:pPr>
      <w:r w:rsidRPr="002B0787">
        <w:rPr>
          <w:lang w:val="en-IN"/>
        </w:rPr>
        <w:t>Examination of the contralateral eye revealed corrected visual acuity of 7/10. Slit-lamp examination demonstrated diffuse superficial punctate keratitis associated with tear film instability with a tear break-up time of 5 seconds. The Schirmer test measured 9 mm, indicating moderate dry eye. The remainder of the examination was unremarkable.</w:t>
      </w:r>
    </w:p>
    <w:p w14:paraId="036646F6" w14:textId="77777777" w:rsidR="00D44844" w:rsidRPr="002B0787" w:rsidRDefault="00D44844" w:rsidP="00D44844">
      <w:pPr>
        <w:pStyle w:val="NormalWeb"/>
        <w:rPr>
          <w:lang w:val="en-IN"/>
        </w:rPr>
      </w:pPr>
      <w:r w:rsidRPr="002B0787">
        <w:rPr>
          <w:lang w:val="en-IN"/>
        </w:rPr>
        <w:t>The Ocular Surface Disease Index (OSDI) score was 100 in the affected eye and 28 in the fellow eye.</w:t>
      </w:r>
    </w:p>
    <w:p w14:paraId="05BCF615" w14:textId="77777777" w:rsidR="00D44844" w:rsidRPr="002B0787" w:rsidRDefault="00D44844" w:rsidP="00D44844">
      <w:pPr>
        <w:pStyle w:val="NormalWeb"/>
        <w:rPr>
          <w:lang w:val="en-IN"/>
        </w:rPr>
      </w:pPr>
      <w:r w:rsidRPr="002B0787">
        <w:rPr>
          <w:lang w:val="en-IN"/>
        </w:rPr>
        <w:t>Initial management consisted of intensive ocular surface treatment including preservative-free lubricants, topical antibiotic prophylaxis, and close clinical monitoring. The patient was referred to the internal medicine department for reassessment of systemic disease and visceral evaluation. No additional systemic abnormalities were detected.</w:t>
      </w:r>
    </w:p>
    <w:p w14:paraId="3D392546" w14:textId="77777777" w:rsidR="00D44844" w:rsidRPr="002B0787" w:rsidRDefault="00D44844" w:rsidP="00D44844">
      <w:pPr>
        <w:pStyle w:val="NormalWeb"/>
        <w:rPr>
          <w:lang w:val="en-IN"/>
        </w:rPr>
      </w:pPr>
      <w:r w:rsidRPr="002B0787">
        <w:rPr>
          <w:lang w:val="en-IN"/>
        </w:rPr>
        <w:t>Because of the lack of clinical improvement, the decision was made to apply a dehydrated amniotic membrane in order to accelerate epithelial healing.</w:t>
      </w:r>
    </w:p>
    <w:p w14:paraId="5457B742" w14:textId="77777777" w:rsidR="00D44844" w:rsidRPr="002B0787" w:rsidRDefault="00D44844" w:rsidP="00D44844">
      <w:pPr>
        <w:pStyle w:val="NormalWeb"/>
        <w:rPr>
          <w:lang w:val="en-IN"/>
        </w:rPr>
      </w:pPr>
      <w:r w:rsidRPr="002B0787">
        <w:rPr>
          <w:lang w:val="en-IN"/>
        </w:rPr>
        <w:t>Three days after placement of the membrane, a clear reduction in inflammation and progressive epithelialization of the ulcer were observed. By day 10, the amniotic membrane had been completely resorbed and the therapeutic contact lens was removed. Complete epithelial healing was achieved.</w:t>
      </w:r>
    </w:p>
    <w:p w14:paraId="441E4E18" w14:textId="77777777" w:rsidR="00D44844" w:rsidRPr="002B0787" w:rsidRDefault="00D44844" w:rsidP="00D44844">
      <w:pPr>
        <w:pStyle w:val="NormalWeb"/>
        <w:rPr>
          <w:lang w:val="en-IN"/>
        </w:rPr>
      </w:pPr>
      <w:r w:rsidRPr="002B0787">
        <w:rPr>
          <w:lang w:val="en-IN"/>
        </w:rPr>
        <w:t>At the three-month follow-up visit, the corneal surface remained stable with no recurrence of the ulcer and significant improvement in ocular comfort.</w:t>
      </w:r>
    </w:p>
    <w:p w14:paraId="57D9B6D1" w14:textId="59A6D6DE" w:rsidR="00741DE9" w:rsidRDefault="00741DE9" w:rsidP="00D44844">
      <w:pPr>
        <w:pStyle w:val="AbstHead"/>
        <w:spacing w:after="0"/>
        <w:rPr>
          <w:rFonts w:ascii="Arial" w:hAnsi="Arial" w:cs="Arial"/>
          <w:b w:val="0"/>
          <w:bCs/>
          <w:szCs w:val="22"/>
        </w:rPr>
      </w:pPr>
    </w:p>
    <w:p w14:paraId="35EA458E" w14:textId="77777777" w:rsidR="008F543E" w:rsidRDefault="008F543E" w:rsidP="00F80351">
      <w:pPr>
        <w:pStyle w:val="AbstHead"/>
        <w:spacing w:after="0"/>
        <w:rPr>
          <w:rFonts w:ascii="Arial" w:hAnsi="Arial" w:cs="Arial"/>
          <w:b w:val="0"/>
          <w:bCs/>
          <w:szCs w:val="22"/>
        </w:rPr>
      </w:pPr>
    </w:p>
    <w:p w14:paraId="3C640DB3" w14:textId="3B9E34DD" w:rsidR="006A2B43" w:rsidRPr="00F80351" w:rsidRDefault="006A2B43" w:rsidP="00F80351">
      <w:pPr>
        <w:pStyle w:val="Body"/>
        <w:spacing w:after="0"/>
        <w:jc w:val="center"/>
        <w:rPr>
          <w:rFonts w:ascii="Arial" w:hAnsi="Arial" w:cs="Arial"/>
          <w:sz w:val="22"/>
          <w:szCs w:val="22"/>
        </w:rPr>
      </w:pPr>
    </w:p>
    <w:p w14:paraId="01835386" w14:textId="77777777" w:rsidR="008F543E" w:rsidRDefault="008F543E" w:rsidP="00495BD7">
      <w:pPr>
        <w:pStyle w:val="Body"/>
        <w:tabs>
          <w:tab w:val="left" w:pos="6030"/>
        </w:tabs>
        <w:spacing w:after="0"/>
        <w:jc w:val="left"/>
        <w:rPr>
          <w:rFonts w:ascii="Arial" w:hAnsi="Arial" w:cs="Arial"/>
          <w:b/>
          <w:bCs/>
          <w:sz w:val="22"/>
          <w:szCs w:val="22"/>
        </w:rPr>
      </w:pPr>
    </w:p>
    <w:p w14:paraId="2A6DE0CE" w14:textId="4A5B2185" w:rsidR="00495BD7" w:rsidRDefault="008F543E" w:rsidP="008F543E">
      <w:pPr>
        <w:pStyle w:val="Body"/>
        <w:tabs>
          <w:tab w:val="left" w:pos="6030"/>
        </w:tabs>
        <w:spacing w:after="0"/>
        <w:ind w:firstLine="720"/>
        <w:jc w:val="center"/>
        <w:rPr>
          <w:rFonts w:ascii="Arial" w:hAnsi="Arial" w:cs="Arial"/>
          <w:b/>
          <w:bCs/>
          <w:sz w:val="22"/>
          <w:szCs w:val="22"/>
        </w:rPr>
      </w:pPr>
      <w:r>
        <w:rPr>
          <w:rFonts w:ascii="Arial" w:hAnsi="Arial" w:cs="Arial"/>
          <w:b/>
          <w:bCs/>
          <w:sz w:val="22"/>
          <w:szCs w:val="22"/>
        </w:rPr>
        <w:lastRenderedPageBreak/>
        <w:br w:type="textWrapping" w:clear="all"/>
      </w:r>
      <w:r>
        <w:rPr>
          <w:rFonts w:ascii="Arial" w:hAnsi="Arial" w:cs="Arial"/>
          <w:b/>
          <w:bCs/>
          <w:noProof/>
          <w:sz w:val="22"/>
          <w:szCs w:val="22"/>
        </w:rPr>
        <w:drawing>
          <wp:inline distT="0" distB="0" distL="0" distR="0" wp14:anchorId="211CE7FE" wp14:editId="0CCA3FAE">
            <wp:extent cx="5248275" cy="26955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275" cy="2695575"/>
                    </a:xfrm>
                    <a:prstGeom prst="rect">
                      <a:avLst/>
                    </a:prstGeom>
                    <a:noFill/>
                  </pic:spPr>
                </pic:pic>
              </a:graphicData>
            </a:graphic>
          </wp:inline>
        </w:drawing>
      </w:r>
    </w:p>
    <w:p w14:paraId="09418754" w14:textId="212CF2B7" w:rsidR="008F543E" w:rsidRPr="008F543E" w:rsidRDefault="008F543E" w:rsidP="008F543E">
      <w:pPr>
        <w:pStyle w:val="Body"/>
        <w:tabs>
          <w:tab w:val="left" w:pos="6030"/>
        </w:tabs>
        <w:spacing w:after="0"/>
        <w:rPr>
          <w:rFonts w:ascii="Arial" w:hAnsi="Arial" w:cs="Arial"/>
          <w:b/>
          <w:bCs/>
          <w:sz w:val="22"/>
          <w:szCs w:val="22"/>
          <w:lang w:val="fr-FR"/>
        </w:rPr>
      </w:pPr>
      <w:r>
        <w:rPr>
          <w:noProof/>
        </w:rPr>
        <w:drawing>
          <wp:anchor distT="0" distB="0" distL="114300" distR="114300" simplePos="0" relativeHeight="251659264" behindDoc="0" locked="0" layoutInCell="1" allowOverlap="1" wp14:anchorId="4D435340" wp14:editId="561C82A9">
            <wp:simplePos x="0" y="0"/>
            <wp:positionH relativeFrom="column">
              <wp:posOffset>1266825</wp:posOffset>
            </wp:positionH>
            <wp:positionV relativeFrom="paragraph">
              <wp:posOffset>120650</wp:posOffset>
            </wp:positionV>
            <wp:extent cx="4095750" cy="2095500"/>
            <wp:effectExtent l="57150" t="57150" r="57150" b="57150"/>
            <wp:wrapNone/>
            <wp:docPr id="8" name="Espace réservé du contenu 4">
              <a:extLst xmlns:a="http://schemas.openxmlformats.org/drawingml/2006/main">
                <a:ext uri="{FF2B5EF4-FFF2-40B4-BE49-F238E27FC236}">
                  <a16:creationId xmlns:a16="http://schemas.microsoft.com/office/drawing/2014/main" id="{564AC0A8-AB06-C44E-9AE7-2DFBDCDCE2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564AC0A8-AB06-C44E-9AE7-2DFBDCDCE27B}"/>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5750" cy="2095500"/>
                    </a:xfrm>
                    <a:prstGeom prst="rect">
                      <a:avLst/>
                    </a:prstGeom>
                    <a:effectLst>
                      <a:outerShdw blurRad="50800" dir="1440000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93C83F0" w14:textId="5F9CE5E9" w:rsidR="008F543E" w:rsidRPr="008F543E" w:rsidRDefault="008F543E" w:rsidP="008F543E">
      <w:pPr>
        <w:pStyle w:val="Body"/>
        <w:tabs>
          <w:tab w:val="left" w:pos="6030"/>
        </w:tabs>
        <w:spacing w:after="0"/>
        <w:ind w:firstLine="720"/>
        <w:rPr>
          <w:rFonts w:ascii="Arial" w:hAnsi="Arial" w:cs="Arial"/>
          <w:b/>
          <w:bCs/>
          <w:sz w:val="22"/>
          <w:szCs w:val="22"/>
          <w:lang w:val="fr-FR"/>
        </w:rPr>
      </w:pPr>
      <w:r>
        <w:rPr>
          <w:noProof/>
        </w:rPr>
        <mc:AlternateContent>
          <mc:Choice Requires="wps">
            <w:drawing>
              <wp:anchor distT="0" distB="0" distL="114300" distR="114300" simplePos="0" relativeHeight="251660288" behindDoc="0" locked="0" layoutInCell="1" allowOverlap="1" wp14:anchorId="10435CF6" wp14:editId="51D8024D">
                <wp:simplePos x="0" y="0"/>
                <wp:positionH relativeFrom="column">
                  <wp:posOffset>7629525</wp:posOffset>
                </wp:positionH>
                <wp:positionV relativeFrom="paragraph">
                  <wp:posOffset>1464945</wp:posOffset>
                </wp:positionV>
                <wp:extent cx="2336474" cy="899032"/>
                <wp:effectExtent l="0" t="0" r="0" b="0"/>
                <wp:wrapNone/>
                <wp:docPr id="6" name="ZoneTexte 5">
                  <a:extLst xmlns:a="http://schemas.openxmlformats.org/drawingml/2006/main">
                    <a:ext uri="{FF2B5EF4-FFF2-40B4-BE49-F238E27FC236}">
                      <a16:creationId xmlns:a16="http://schemas.microsoft.com/office/drawing/2014/main" id="{F008A79A-CBAF-E243-91BE-ADE3DC3D74E1}"/>
                    </a:ext>
                  </a:extLst>
                </wp:docPr>
                <wp:cNvGraphicFramePr/>
                <a:graphic xmlns:a="http://schemas.openxmlformats.org/drawingml/2006/main">
                  <a:graphicData uri="http://schemas.microsoft.com/office/word/2010/wordprocessingShape">
                    <wps:wsp>
                      <wps:cNvSpPr txBox="1"/>
                      <wps:spPr>
                        <a:xfrm>
                          <a:off x="0" y="0"/>
                          <a:ext cx="2336474" cy="899032"/>
                        </a:xfrm>
                        <a:prstGeom prst="rect">
                          <a:avLst/>
                        </a:prstGeom>
                        <a:noFill/>
                      </wps:spPr>
                      <wps:txbx>
                        <w:txbxContent>
                          <w:p w14:paraId="4268DB63" w14:textId="77777777" w:rsidR="008F543E" w:rsidRPr="002B0787" w:rsidRDefault="008F543E" w:rsidP="008F543E">
                            <w:pPr>
                              <w:jc w:val="center"/>
                              <w:rPr>
                                <w:rFonts w:asciiTheme="minorHAnsi" w:hAnsi="Calibri" w:cstheme="minorBidi"/>
                                <w:color w:val="000000" w:themeColor="text1"/>
                                <w:kern w:val="24"/>
                                <w:sz w:val="48"/>
                                <w:szCs w:val="48"/>
                                <w:lang w:val="fr-FR"/>
                              </w:rPr>
                            </w:pPr>
                            <w:r w:rsidRPr="002B0787">
                              <w:rPr>
                                <w:rFonts w:asciiTheme="minorHAnsi" w:hAnsi="Calibri" w:cstheme="minorBidi"/>
                                <w:color w:val="000000" w:themeColor="text1"/>
                                <w:kern w:val="24"/>
                                <w:sz w:val="48"/>
                                <w:szCs w:val="48"/>
                                <w:lang w:val="fr-FR"/>
                              </w:rPr>
                              <w:t>Aspect trois jours après la pose de la membrane amniotique déshydratée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435CF6" id="_x0000_t202" coordsize="21600,21600" o:spt="202" path="m,l,21600r21600,l21600,xe">
                <v:stroke joinstyle="miter"/>
                <v:path gradientshapeok="t" o:connecttype="rect"/>
              </v:shapetype>
              <v:shape id="ZoneTexte 5" o:spid="_x0000_s1026" type="#_x0000_t202" style="position:absolute;left:0;text-align:left;margin-left:600.75pt;margin-top:115.35pt;width:183.95pt;height: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" filled="f" stroked="f">
                <v:textbox>
                  <w:txbxContent>
                    <w:p w14:paraId="4268DB63" w14:textId="77777777" w:rsidR="008F543E" w:rsidRPr="002B0787" w:rsidRDefault="008F543E" w:rsidP="008F543E">
                      <w:pPr>
                        <w:jc w:val="center"/>
                        <w:rPr>
                          <w:rFonts w:asciiTheme="minorHAnsi" w:hAnsi="Calibri" w:cstheme="minorBidi"/>
                          <w:color w:val="000000" w:themeColor="text1"/>
                          <w:kern w:val="24"/>
                          <w:sz w:val="48"/>
                          <w:szCs w:val="48"/>
                          <w:lang w:val="fr-FR"/>
                        </w:rPr>
                      </w:pPr>
                      <w:r w:rsidRPr="002B0787">
                        <w:rPr>
                          <w:rFonts w:asciiTheme="minorHAnsi" w:hAnsi="Calibri" w:cstheme="minorBidi"/>
                          <w:color w:val="000000" w:themeColor="text1"/>
                          <w:kern w:val="24"/>
                          <w:sz w:val="48"/>
                          <w:szCs w:val="48"/>
                          <w:lang w:val="fr-FR"/>
                        </w:rPr>
                        <w:t>Aspect trois jours après la pose de la membrane amniotique déshydratée</w:t>
                      </w:r>
                    </w:p>
                  </w:txbxContent>
                </v:textbox>
              </v:shape>
            </w:pict>
          </mc:Fallback>
        </mc:AlternateContent>
      </w:r>
    </w:p>
    <w:p w14:paraId="2521C95A" w14:textId="74D1A68F" w:rsidR="008F543E" w:rsidRDefault="008F543E" w:rsidP="008F543E">
      <w:pPr>
        <w:pStyle w:val="Body"/>
        <w:tabs>
          <w:tab w:val="left" w:pos="6030"/>
        </w:tabs>
        <w:spacing w:after="0"/>
        <w:ind w:firstLine="720"/>
        <w:jc w:val="left"/>
        <w:rPr>
          <w:rFonts w:ascii="Arial" w:hAnsi="Arial" w:cs="Arial"/>
          <w:b/>
          <w:bCs/>
          <w:sz w:val="22"/>
          <w:szCs w:val="22"/>
        </w:rPr>
      </w:pPr>
    </w:p>
    <w:p w14:paraId="29EF9F15" w14:textId="1CD3CC77" w:rsidR="008F543E" w:rsidRDefault="008F543E" w:rsidP="008F543E">
      <w:pPr>
        <w:pStyle w:val="Body"/>
        <w:tabs>
          <w:tab w:val="left" w:pos="6030"/>
        </w:tabs>
        <w:spacing w:after="0"/>
        <w:ind w:firstLine="720"/>
        <w:jc w:val="left"/>
        <w:rPr>
          <w:rFonts w:ascii="Arial" w:hAnsi="Arial" w:cs="Arial"/>
          <w:b/>
          <w:bCs/>
          <w:sz w:val="22"/>
          <w:szCs w:val="22"/>
        </w:rPr>
      </w:pPr>
    </w:p>
    <w:p w14:paraId="0457B498" w14:textId="054A5627" w:rsidR="008F543E" w:rsidRDefault="008F543E" w:rsidP="008F543E">
      <w:pPr>
        <w:pStyle w:val="Body"/>
        <w:tabs>
          <w:tab w:val="left" w:pos="6030"/>
        </w:tabs>
        <w:spacing w:after="0"/>
        <w:ind w:firstLine="720"/>
        <w:jc w:val="left"/>
        <w:rPr>
          <w:rFonts w:ascii="Arial" w:hAnsi="Arial" w:cs="Arial"/>
          <w:b/>
          <w:bCs/>
          <w:sz w:val="22"/>
          <w:szCs w:val="22"/>
        </w:rPr>
      </w:pPr>
    </w:p>
    <w:p w14:paraId="0FD7CDB2" w14:textId="1AF28F41" w:rsidR="008F543E" w:rsidRDefault="008F543E" w:rsidP="008F543E">
      <w:pPr>
        <w:pStyle w:val="Body"/>
        <w:tabs>
          <w:tab w:val="left" w:pos="6030"/>
        </w:tabs>
        <w:spacing w:after="0"/>
        <w:ind w:firstLine="720"/>
        <w:jc w:val="left"/>
        <w:rPr>
          <w:rFonts w:ascii="Arial" w:hAnsi="Arial" w:cs="Arial"/>
          <w:b/>
          <w:bCs/>
          <w:sz w:val="22"/>
          <w:szCs w:val="22"/>
        </w:rPr>
      </w:pPr>
    </w:p>
    <w:p w14:paraId="666E72D9" w14:textId="11DE3B33" w:rsidR="008F543E" w:rsidRDefault="008F543E" w:rsidP="008F543E">
      <w:pPr>
        <w:pStyle w:val="Body"/>
        <w:tabs>
          <w:tab w:val="left" w:pos="6030"/>
        </w:tabs>
        <w:spacing w:after="0"/>
        <w:ind w:firstLine="720"/>
        <w:jc w:val="left"/>
        <w:rPr>
          <w:rFonts w:ascii="Arial" w:hAnsi="Arial" w:cs="Arial"/>
          <w:b/>
          <w:bCs/>
          <w:sz w:val="22"/>
          <w:szCs w:val="22"/>
        </w:rPr>
      </w:pPr>
    </w:p>
    <w:p w14:paraId="1591DD09" w14:textId="7D89F240" w:rsidR="008F543E" w:rsidRDefault="008F543E" w:rsidP="008F543E">
      <w:pPr>
        <w:pStyle w:val="Body"/>
        <w:tabs>
          <w:tab w:val="left" w:pos="6030"/>
        </w:tabs>
        <w:spacing w:after="0"/>
        <w:ind w:firstLine="720"/>
        <w:jc w:val="left"/>
        <w:rPr>
          <w:rFonts w:ascii="Arial" w:hAnsi="Arial" w:cs="Arial"/>
          <w:b/>
          <w:bCs/>
          <w:sz w:val="22"/>
          <w:szCs w:val="22"/>
        </w:rPr>
      </w:pPr>
    </w:p>
    <w:p w14:paraId="301F86D9" w14:textId="2934648D" w:rsidR="008F543E" w:rsidRDefault="008F543E" w:rsidP="008F543E">
      <w:pPr>
        <w:pStyle w:val="Body"/>
        <w:tabs>
          <w:tab w:val="left" w:pos="6030"/>
        </w:tabs>
        <w:spacing w:after="0"/>
        <w:ind w:firstLine="720"/>
        <w:jc w:val="left"/>
        <w:rPr>
          <w:rFonts w:ascii="Arial" w:hAnsi="Arial" w:cs="Arial"/>
          <w:b/>
          <w:bCs/>
          <w:sz w:val="22"/>
          <w:szCs w:val="22"/>
        </w:rPr>
      </w:pPr>
    </w:p>
    <w:p w14:paraId="5A024060" w14:textId="7FF99970" w:rsidR="008F543E" w:rsidRDefault="008F543E" w:rsidP="008F543E">
      <w:pPr>
        <w:pStyle w:val="Body"/>
        <w:tabs>
          <w:tab w:val="left" w:pos="6030"/>
        </w:tabs>
        <w:spacing w:after="0"/>
        <w:ind w:firstLine="720"/>
        <w:jc w:val="left"/>
        <w:rPr>
          <w:rFonts w:ascii="Arial" w:hAnsi="Arial" w:cs="Arial"/>
          <w:b/>
          <w:bCs/>
          <w:sz w:val="22"/>
          <w:szCs w:val="22"/>
        </w:rPr>
      </w:pPr>
    </w:p>
    <w:p w14:paraId="25805BB8" w14:textId="462031EC" w:rsidR="008F543E" w:rsidRDefault="008F543E" w:rsidP="008F543E">
      <w:pPr>
        <w:pStyle w:val="Body"/>
        <w:tabs>
          <w:tab w:val="left" w:pos="6030"/>
        </w:tabs>
        <w:spacing w:after="0"/>
        <w:ind w:firstLine="720"/>
        <w:jc w:val="left"/>
        <w:rPr>
          <w:rFonts w:ascii="Arial" w:hAnsi="Arial" w:cs="Arial"/>
          <w:b/>
          <w:bCs/>
          <w:sz w:val="22"/>
          <w:szCs w:val="22"/>
        </w:rPr>
      </w:pPr>
    </w:p>
    <w:p w14:paraId="5C280F8D" w14:textId="7CF91F1D" w:rsidR="008F543E" w:rsidRDefault="008F543E" w:rsidP="008F543E">
      <w:pPr>
        <w:pStyle w:val="Body"/>
        <w:tabs>
          <w:tab w:val="left" w:pos="6030"/>
        </w:tabs>
        <w:spacing w:after="0"/>
        <w:ind w:firstLine="720"/>
        <w:jc w:val="left"/>
        <w:rPr>
          <w:rFonts w:ascii="Arial" w:hAnsi="Arial" w:cs="Arial"/>
          <w:b/>
          <w:bCs/>
          <w:sz w:val="22"/>
          <w:szCs w:val="22"/>
        </w:rPr>
      </w:pPr>
    </w:p>
    <w:p w14:paraId="7C2BA1CE" w14:textId="6494B608" w:rsidR="008F543E" w:rsidRDefault="008F543E" w:rsidP="008F543E">
      <w:pPr>
        <w:pStyle w:val="Body"/>
        <w:tabs>
          <w:tab w:val="left" w:pos="6030"/>
        </w:tabs>
        <w:spacing w:after="0"/>
        <w:ind w:firstLine="720"/>
        <w:jc w:val="left"/>
        <w:rPr>
          <w:rFonts w:ascii="Arial" w:hAnsi="Arial" w:cs="Arial"/>
          <w:b/>
          <w:bCs/>
          <w:sz w:val="22"/>
          <w:szCs w:val="22"/>
        </w:rPr>
      </w:pPr>
    </w:p>
    <w:p w14:paraId="381836A9" w14:textId="03EE185F" w:rsidR="008F543E" w:rsidRDefault="008F543E" w:rsidP="008F543E">
      <w:pPr>
        <w:pStyle w:val="Body"/>
        <w:tabs>
          <w:tab w:val="left" w:pos="6030"/>
        </w:tabs>
        <w:spacing w:after="0"/>
        <w:ind w:firstLine="720"/>
        <w:jc w:val="left"/>
        <w:rPr>
          <w:rFonts w:ascii="Arial" w:hAnsi="Arial" w:cs="Arial"/>
          <w:b/>
          <w:bCs/>
          <w:sz w:val="22"/>
          <w:szCs w:val="22"/>
        </w:rPr>
      </w:pPr>
    </w:p>
    <w:p w14:paraId="6029B1CD" w14:textId="5E91773E" w:rsidR="008F543E" w:rsidRDefault="00A863BF" w:rsidP="008F543E">
      <w:pPr>
        <w:pStyle w:val="Body"/>
        <w:tabs>
          <w:tab w:val="left" w:pos="6030"/>
        </w:tabs>
        <w:spacing w:after="0"/>
        <w:ind w:firstLine="720"/>
        <w:jc w:val="left"/>
        <w:rPr>
          <w:rFonts w:ascii="Arial" w:hAnsi="Arial" w:cs="Arial"/>
          <w:b/>
          <w:bCs/>
          <w:sz w:val="22"/>
          <w:szCs w:val="22"/>
        </w:rPr>
      </w:pPr>
      <w:r>
        <w:rPr>
          <w:rFonts w:ascii="Arial" w:hAnsi="Arial" w:cs="Arial"/>
          <w:b/>
          <w:bCs/>
          <w:sz w:val="22"/>
          <w:szCs w:val="22"/>
        </w:rPr>
        <w:t xml:space="preserve">Fig </w:t>
      </w:r>
      <w:proofErr w:type="gramStart"/>
      <w:r>
        <w:rPr>
          <w:rFonts w:ascii="Arial" w:hAnsi="Arial" w:cs="Arial"/>
          <w:b/>
          <w:bCs/>
          <w:sz w:val="22"/>
          <w:szCs w:val="22"/>
        </w:rPr>
        <w:t>1 :</w:t>
      </w:r>
      <w:proofErr w:type="gramEnd"/>
      <w:r>
        <w:rPr>
          <w:rFonts w:ascii="Arial" w:hAnsi="Arial" w:cs="Arial"/>
          <w:b/>
          <w:bCs/>
          <w:sz w:val="22"/>
          <w:szCs w:val="22"/>
        </w:rPr>
        <w:t xml:space="preserve"> </w:t>
      </w:r>
      <w:r w:rsidR="008F543E" w:rsidRPr="008F543E">
        <w:rPr>
          <w:rFonts w:ascii="Arial" w:hAnsi="Arial" w:cs="Arial"/>
          <w:b/>
          <w:bCs/>
          <w:sz w:val="22"/>
          <w:szCs w:val="22"/>
        </w:rPr>
        <w:t>Appearance three days after placement of the dehydrated amniotic membrane</w:t>
      </w:r>
    </w:p>
    <w:p w14:paraId="65B8CDE2" w14:textId="77777777" w:rsidR="008F543E" w:rsidRDefault="008F543E" w:rsidP="008F543E">
      <w:pPr>
        <w:pStyle w:val="Body"/>
        <w:tabs>
          <w:tab w:val="left" w:pos="6030"/>
        </w:tabs>
        <w:spacing w:after="0"/>
        <w:ind w:firstLine="720"/>
        <w:jc w:val="left"/>
        <w:rPr>
          <w:rFonts w:ascii="Arial" w:hAnsi="Arial" w:cs="Arial"/>
          <w:b/>
          <w:bCs/>
          <w:sz w:val="22"/>
          <w:szCs w:val="22"/>
        </w:rPr>
      </w:pPr>
    </w:p>
    <w:p w14:paraId="421AAAC7" w14:textId="07BF1F77" w:rsidR="008F543E" w:rsidRDefault="008F543E" w:rsidP="008F543E">
      <w:pPr>
        <w:pStyle w:val="Body"/>
        <w:tabs>
          <w:tab w:val="left" w:pos="6030"/>
        </w:tabs>
        <w:spacing w:after="0"/>
        <w:ind w:firstLine="720"/>
        <w:jc w:val="left"/>
        <w:rPr>
          <w:rFonts w:ascii="Arial" w:hAnsi="Arial" w:cs="Arial"/>
          <w:b/>
          <w:bCs/>
          <w:sz w:val="22"/>
          <w:szCs w:val="22"/>
        </w:rPr>
      </w:pPr>
      <w:r>
        <w:rPr>
          <w:noProof/>
        </w:rPr>
        <w:drawing>
          <wp:inline distT="0" distB="0" distL="0" distR="0" wp14:anchorId="4A26C94F" wp14:editId="7F964413">
            <wp:extent cx="2943859" cy="1943100"/>
            <wp:effectExtent l="57150" t="57150" r="66675" b="57150"/>
            <wp:docPr id="11" name="Espace réservé du contenu 4">
              <a:extLst xmlns:a="http://schemas.openxmlformats.org/drawingml/2006/main">
                <a:ext uri="{FF2B5EF4-FFF2-40B4-BE49-F238E27FC236}">
                  <a16:creationId xmlns:a16="http://schemas.microsoft.com/office/drawing/2014/main" id="{0BAA155A-8528-694E-B9B9-39EA849371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0BAA155A-8528-694E-B9B9-39EA84937143}"/>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1884" cy="1948397"/>
                    </a:xfrm>
                    <a:prstGeom prst="rect">
                      <a:avLst/>
                    </a:prstGeom>
                    <a:effectLst>
                      <a:outerShdw blurRad="50800" dir="14400000">
                        <a:srgbClr val="000000">
                          <a:alpha val="40000"/>
                        </a:srgbClr>
                      </a:outerShdw>
                    </a:effectLst>
                  </pic:spPr>
                </pic:pic>
              </a:graphicData>
            </a:graphic>
          </wp:inline>
        </w:drawing>
      </w:r>
      <w:r>
        <w:rPr>
          <w:rFonts w:ascii="Arial" w:hAnsi="Arial" w:cs="Arial"/>
          <w:b/>
          <w:bCs/>
          <w:noProof/>
          <w:sz w:val="22"/>
          <w:szCs w:val="22"/>
        </w:rPr>
        <w:drawing>
          <wp:anchor distT="0" distB="0" distL="114300" distR="114300" simplePos="0" relativeHeight="251661312" behindDoc="0" locked="0" layoutInCell="1" allowOverlap="1" wp14:anchorId="08C07E87" wp14:editId="43676864">
            <wp:simplePos x="914400" y="3829050"/>
            <wp:positionH relativeFrom="column">
              <wp:align>left</wp:align>
            </wp:positionH>
            <wp:positionV relativeFrom="paragraph">
              <wp:align>top</wp:align>
            </wp:positionV>
            <wp:extent cx="2886075" cy="19526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1952625"/>
                    </a:xfrm>
                    <a:prstGeom prst="rect">
                      <a:avLst/>
                    </a:prstGeom>
                    <a:noFill/>
                  </pic:spPr>
                </pic:pic>
              </a:graphicData>
            </a:graphic>
          </wp:anchor>
        </w:drawing>
      </w:r>
    </w:p>
    <w:p w14:paraId="3C609674" w14:textId="77777777" w:rsidR="008F543E" w:rsidRPr="008F543E" w:rsidRDefault="008F543E" w:rsidP="008F543E"/>
    <w:p w14:paraId="12BD2146" w14:textId="77777777" w:rsidR="008F543E" w:rsidRPr="008F543E" w:rsidRDefault="008F543E" w:rsidP="008F543E"/>
    <w:p w14:paraId="0E28B559" w14:textId="6FA8BAB0" w:rsidR="008F543E" w:rsidRPr="00B71A01" w:rsidRDefault="00A863BF" w:rsidP="008F543E">
      <w:pPr>
        <w:jc w:val="center"/>
        <w:rPr>
          <w:b/>
          <w:bCs/>
        </w:rPr>
      </w:pPr>
      <w:r>
        <w:rPr>
          <w:b/>
          <w:bCs/>
        </w:rPr>
        <w:t xml:space="preserve">Fig </w:t>
      </w:r>
      <w:proofErr w:type="gramStart"/>
      <w:r>
        <w:rPr>
          <w:b/>
          <w:bCs/>
        </w:rPr>
        <w:t>2 :</w:t>
      </w:r>
      <w:proofErr w:type="gramEnd"/>
      <w:r>
        <w:rPr>
          <w:b/>
          <w:bCs/>
        </w:rPr>
        <w:t xml:space="preserve"> </w:t>
      </w:r>
      <w:r w:rsidR="008F543E" w:rsidRPr="00B71A01">
        <w:rPr>
          <w:b/>
          <w:bCs/>
        </w:rPr>
        <w:t>Appearance on day 10 after resorption of the dehydrated amniotic membrane</w:t>
      </w:r>
    </w:p>
    <w:p w14:paraId="59AC398E" w14:textId="4AC1DC7E" w:rsidR="008F543E" w:rsidRPr="00B71A01" w:rsidRDefault="008F543E" w:rsidP="008F543E">
      <w:pPr>
        <w:jc w:val="center"/>
        <w:rPr>
          <w:b/>
          <w:bCs/>
        </w:rPr>
      </w:pPr>
      <w:r w:rsidRPr="00B71A01">
        <w:rPr>
          <w:b/>
          <w:bCs/>
        </w:rPr>
        <w:t>and removal of the therapeutic lens</w:t>
      </w:r>
    </w:p>
    <w:p w14:paraId="214BB082" w14:textId="4C9522C5" w:rsidR="008F543E" w:rsidRPr="008F543E" w:rsidRDefault="008F543E" w:rsidP="008F543E"/>
    <w:p w14:paraId="12F56676" w14:textId="77777777" w:rsidR="008F543E" w:rsidRDefault="008F543E" w:rsidP="008F543E">
      <w:pPr>
        <w:pStyle w:val="Body"/>
        <w:tabs>
          <w:tab w:val="left" w:pos="6030"/>
        </w:tabs>
        <w:spacing w:after="0"/>
        <w:ind w:firstLine="720"/>
        <w:jc w:val="left"/>
        <w:rPr>
          <w:rFonts w:ascii="Arial" w:hAnsi="Arial" w:cs="Arial"/>
          <w:b/>
          <w:bCs/>
          <w:sz w:val="22"/>
          <w:szCs w:val="22"/>
        </w:rPr>
      </w:pPr>
    </w:p>
    <w:p w14:paraId="6CAA00EC" w14:textId="6FBF24D8" w:rsidR="008F543E" w:rsidRDefault="008F543E" w:rsidP="008F543E">
      <w:pPr>
        <w:pStyle w:val="Body"/>
        <w:tabs>
          <w:tab w:val="left" w:pos="6030"/>
        </w:tabs>
        <w:spacing w:after="0"/>
        <w:ind w:firstLine="720"/>
        <w:jc w:val="left"/>
        <w:rPr>
          <w:rFonts w:ascii="Arial" w:hAnsi="Arial" w:cs="Arial"/>
          <w:b/>
          <w:bCs/>
          <w:sz w:val="22"/>
          <w:szCs w:val="22"/>
        </w:rPr>
      </w:pPr>
      <w:r>
        <w:rPr>
          <w:rFonts w:ascii="Arial" w:hAnsi="Arial" w:cs="Arial"/>
          <w:b/>
          <w:bCs/>
          <w:sz w:val="22"/>
          <w:szCs w:val="22"/>
        </w:rPr>
        <w:br w:type="textWrapping" w:clear="all"/>
      </w:r>
    </w:p>
    <w:p w14:paraId="0A2B5E15" w14:textId="555DAC1D" w:rsidR="008F543E" w:rsidRDefault="008F543E" w:rsidP="008F543E">
      <w:pPr>
        <w:pStyle w:val="Body"/>
        <w:tabs>
          <w:tab w:val="left" w:pos="6030"/>
        </w:tabs>
        <w:spacing w:after="0"/>
        <w:ind w:firstLine="720"/>
        <w:jc w:val="left"/>
        <w:rPr>
          <w:rFonts w:ascii="Arial" w:hAnsi="Arial" w:cs="Arial"/>
          <w:b/>
          <w:bCs/>
          <w:sz w:val="22"/>
          <w:szCs w:val="22"/>
        </w:rPr>
      </w:pPr>
    </w:p>
    <w:p w14:paraId="05A0ADDB" w14:textId="77777777" w:rsidR="008F543E" w:rsidRDefault="008F543E" w:rsidP="008F543E">
      <w:pPr>
        <w:pStyle w:val="Body"/>
        <w:tabs>
          <w:tab w:val="left" w:pos="6030"/>
        </w:tabs>
        <w:spacing w:after="0"/>
        <w:ind w:firstLine="720"/>
        <w:jc w:val="left"/>
        <w:rPr>
          <w:rFonts w:ascii="Arial" w:hAnsi="Arial" w:cs="Arial"/>
          <w:b/>
          <w:bCs/>
          <w:sz w:val="22"/>
          <w:szCs w:val="22"/>
        </w:rPr>
      </w:pPr>
    </w:p>
    <w:p w14:paraId="1419A2BF" w14:textId="77777777" w:rsidR="00B71A01" w:rsidRDefault="00570D0D" w:rsidP="00495BD7">
      <w:pPr>
        <w:pStyle w:val="Body"/>
        <w:tabs>
          <w:tab w:val="left" w:pos="6030"/>
        </w:tabs>
        <w:spacing w:after="0"/>
        <w:jc w:val="left"/>
        <w:rPr>
          <w:rFonts w:ascii="Arial" w:hAnsi="Arial" w:cs="Arial"/>
          <w:b/>
          <w:bCs/>
          <w:sz w:val="22"/>
          <w:szCs w:val="22"/>
        </w:rPr>
      </w:pPr>
      <w:r w:rsidRPr="00570D0D">
        <w:rPr>
          <w:rFonts w:ascii="Arial" w:hAnsi="Arial" w:cs="Arial"/>
          <w:b/>
          <w:bCs/>
          <w:sz w:val="22"/>
          <w:szCs w:val="22"/>
        </w:rPr>
        <w:t>3</w:t>
      </w:r>
      <w:r w:rsidR="000F0C19" w:rsidRPr="00570D0D">
        <w:rPr>
          <w:rFonts w:ascii="Arial" w:hAnsi="Arial" w:cs="Arial"/>
          <w:b/>
          <w:bCs/>
          <w:sz w:val="22"/>
          <w:szCs w:val="22"/>
        </w:rPr>
        <w:t>.DISCUSSION</w:t>
      </w:r>
      <w:r w:rsidRPr="00570D0D">
        <w:rPr>
          <w:rFonts w:ascii="Arial" w:hAnsi="Arial" w:cs="Arial"/>
          <w:b/>
          <w:bCs/>
          <w:sz w:val="22"/>
          <w:szCs w:val="22"/>
        </w:rPr>
        <w:t>:</w:t>
      </w:r>
    </w:p>
    <w:p w14:paraId="56A18D38" w14:textId="7545DC19" w:rsidR="000F0C19" w:rsidRDefault="00495BD7" w:rsidP="00495BD7">
      <w:pPr>
        <w:pStyle w:val="Body"/>
        <w:tabs>
          <w:tab w:val="left" w:pos="6030"/>
        </w:tabs>
        <w:spacing w:after="0"/>
        <w:jc w:val="left"/>
        <w:rPr>
          <w:rFonts w:ascii="Arial" w:hAnsi="Arial" w:cs="Arial"/>
          <w:b/>
          <w:bCs/>
          <w:sz w:val="22"/>
          <w:szCs w:val="22"/>
        </w:rPr>
      </w:pPr>
      <w:r>
        <w:rPr>
          <w:rFonts w:ascii="Arial" w:hAnsi="Arial" w:cs="Arial"/>
          <w:b/>
          <w:bCs/>
          <w:sz w:val="22"/>
          <w:szCs w:val="22"/>
        </w:rPr>
        <w:tab/>
      </w:r>
    </w:p>
    <w:p w14:paraId="563252E9" w14:textId="5BBDB0A8" w:rsidR="00D44844" w:rsidRPr="002B0787" w:rsidRDefault="00D44844" w:rsidP="00D44844">
      <w:pPr>
        <w:pStyle w:val="NormalWeb"/>
        <w:rPr>
          <w:lang w:val="en-IN"/>
        </w:rPr>
      </w:pPr>
      <w:r w:rsidRPr="002B0787">
        <w:rPr>
          <w:lang w:val="en-IN"/>
        </w:rPr>
        <w:t xml:space="preserve">Amniotic membrane transplantation has become an important therapeutic option for the treatment of ocular surface diseases. </w:t>
      </w:r>
      <w:r w:rsidR="00040DC0" w:rsidRPr="00040DC0">
        <w:rPr>
          <w:lang w:val="en-IN"/>
        </w:rPr>
        <w:t>The amniotic membrane contains multiple growth factors (3,8,9), including epidermal growth factor and keratinocyte growth factor, which promote epithelial regeneration and accelerate wound healing.</w:t>
      </w:r>
    </w:p>
    <w:p w14:paraId="63A391B4" w14:textId="77777777" w:rsidR="00D44844" w:rsidRPr="002B0787" w:rsidRDefault="00D44844" w:rsidP="00D44844">
      <w:pPr>
        <w:pStyle w:val="NormalWeb"/>
        <w:rPr>
          <w:lang w:val="en-IN"/>
        </w:rPr>
      </w:pPr>
      <w:r w:rsidRPr="002B0787">
        <w:rPr>
          <w:lang w:val="en-IN"/>
        </w:rPr>
        <w:t>In addition to stimulating epithelial cell migration, amniotic membrane exerts significant anti-inflammatory effects by suppressing pro-inflammatory cytokines and inhibiting matrix metalloproteinases responsible for stromal degradation. These properties contribute to the stabilization of the ocular surface and prevention of further tissue damage.</w:t>
      </w:r>
    </w:p>
    <w:p w14:paraId="15199729" w14:textId="77777777" w:rsidR="00D44844" w:rsidRPr="002B0787" w:rsidRDefault="00D44844" w:rsidP="00D44844">
      <w:pPr>
        <w:pStyle w:val="NormalWeb"/>
        <w:rPr>
          <w:lang w:val="en-IN"/>
        </w:rPr>
      </w:pPr>
      <w:r w:rsidRPr="002B0787">
        <w:rPr>
          <w:lang w:val="en-IN"/>
        </w:rPr>
        <w:t>Another important advantage of amniotic membrane is its ability to inhibit corneal neovascularization and fibrosis, thereby preserving corneal transparency. These biological effects make amniotic membrane transplantation particularly useful in persistent epithelial defects, neurotrophic keratitis, and immunological corneal ulcers.</w:t>
      </w:r>
    </w:p>
    <w:p w14:paraId="11C8C189" w14:textId="77777777" w:rsidR="00D44844" w:rsidRPr="002B0787" w:rsidRDefault="00D44844" w:rsidP="00D44844">
      <w:pPr>
        <w:pStyle w:val="NormalWeb"/>
        <w:rPr>
          <w:lang w:val="en-IN"/>
        </w:rPr>
      </w:pPr>
      <w:r w:rsidRPr="002B0787">
        <w:rPr>
          <w:lang w:val="en-IN"/>
        </w:rPr>
        <w:t>Traditionally, amniotic membrane transplantation is performed using fresh or cryopreserved membranes obtained from tissue banks. However, the availability of such tissues may be limited in many countries. In Morocco, for instance, the number of amniotic membrane banks remains very limited, which restricts access to cryopreserved membranes.</w:t>
      </w:r>
    </w:p>
    <w:p w14:paraId="5DB55CBD" w14:textId="6EF761F7" w:rsidR="00D44844" w:rsidRPr="002B0787" w:rsidRDefault="00D44844" w:rsidP="00D44844">
      <w:pPr>
        <w:pStyle w:val="NormalWeb"/>
        <w:rPr>
          <w:lang w:val="en-IN"/>
        </w:rPr>
      </w:pPr>
      <w:r w:rsidRPr="002B0787">
        <w:rPr>
          <w:lang w:val="en-IN"/>
        </w:rPr>
        <w:t>Dehydrated amniotic membrane offers several advantages over conventional preparations</w:t>
      </w:r>
      <w:r w:rsidR="00782C00">
        <w:rPr>
          <w:lang w:val="en-IN"/>
        </w:rPr>
        <w:t>(10,11)</w:t>
      </w:r>
      <w:r w:rsidRPr="002B0787">
        <w:rPr>
          <w:lang w:val="en-IN"/>
        </w:rPr>
        <w:t>. It can be stored at room temperature, has a long shelf life, and can be easily applied in outpatient settings without the need for an operating room. These characteristics significantly simplify its use in routine clinical practice.</w:t>
      </w:r>
    </w:p>
    <w:p w14:paraId="11B3B2CD" w14:textId="77777777" w:rsidR="00D44844" w:rsidRPr="002B0787" w:rsidRDefault="00D44844" w:rsidP="00D44844">
      <w:pPr>
        <w:pStyle w:val="NormalWeb"/>
        <w:rPr>
          <w:lang w:val="en-IN"/>
        </w:rPr>
      </w:pPr>
      <w:r w:rsidRPr="002B0787">
        <w:rPr>
          <w:lang w:val="en-IN"/>
        </w:rPr>
        <w:t xml:space="preserve">Several techniques can be used when applying amniotic membrane. The </w:t>
      </w:r>
      <w:r w:rsidRPr="002B0787">
        <w:rPr>
          <w:rStyle w:val="Strong"/>
          <w:lang w:val="en-IN"/>
        </w:rPr>
        <w:t>inlay technique</w:t>
      </w:r>
      <w:r w:rsidRPr="002B0787">
        <w:rPr>
          <w:lang w:val="en-IN"/>
        </w:rPr>
        <w:t xml:space="preserve"> involves placing the stromal side of the membrane downward so that the basement membrane acts as a scaffold for epithelial growth. In contrast, the </w:t>
      </w:r>
      <w:r w:rsidRPr="002B0787">
        <w:rPr>
          <w:rStyle w:val="Strong"/>
          <w:lang w:val="en-IN"/>
        </w:rPr>
        <w:t>overlay technique</w:t>
      </w:r>
      <w:r w:rsidRPr="002B0787">
        <w:rPr>
          <w:lang w:val="en-IN"/>
        </w:rPr>
        <w:t xml:space="preserve"> places the membrane over the corneal surface as a biological bandage protecting the ulcer.</w:t>
      </w:r>
    </w:p>
    <w:p w14:paraId="35DF2AC8" w14:textId="77777777" w:rsidR="00D44844" w:rsidRPr="002B0787" w:rsidRDefault="00D44844" w:rsidP="00D44844">
      <w:pPr>
        <w:pStyle w:val="NormalWeb"/>
        <w:rPr>
          <w:lang w:val="en-IN"/>
        </w:rPr>
      </w:pPr>
      <w:r w:rsidRPr="002B0787">
        <w:rPr>
          <w:lang w:val="en-IN"/>
        </w:rPr>
        <w:t>Our case demonstrates the effectiveness of dehydrated amniotic membrane in promoting rapid epithelial healing in a recurrent immunological corneal ulcer associated with systemic autoimmune disease.</w:t>
      </w:r>
    </w:p>
    <w:p w14:paraId="4D78F8FF" w14:textId="13AA5AA4" w:rsidR="00D44844" w:rsidRDefault="00D44844" w:rsidP="00D44844">
      <w:pPr>
        <w:pStyle w:val="NormalWeb"/>
        <w:rPr>
          <w:lang w:val="en-IN"/>
        </w:rPr>
      </w:pPr>
      <w:r w:rsidRPr="002B0787">
        <w:rPr>
          <w:lang w:val="en-IN"/>
        </w:rPr>
        <w:t>The main limitation of this report is the description of a single clinical case. Further studies involving larger patient populations are necessary to better evaluate the long-term efficacy of dehydrated amniotic membrane in the management of immunological corneal ulcers.</w:t>
      </w:r>
    </w:p>
    <w:p w14:paraId="096410BC" w14:textId="4818706D" w:rsidR="00040DC0" w:rsidRPr="002B0787" w:rsidRDefault="00040DC0" w:rsidP="00D44844">
      <w:pPr>
        <w:pStyle w:val="NormalWeb"/>
        <w:rPr>
          <w:lang w:val="en-IN"/>
        </w:rPr>
      </w:pPr>
      <w:r w:rsidRPr="00040DC0">
        <w:rPr>
          <w:lang w:val="en-IN"/>
        </w:rPr>
        <w:t>These findings are consistent with previously published studies highlighting the effectiveness of amniotic membrane in promoting corneal healing and reducing inflammation in ocular surface disorders.</w:t>
      </w:r>
    </w:p>
    <w:p w14:paraId="5C628520" w14:textId="34F52D46" w:rsidR="00B71A01" w:rsidRPr="00F80351" w:rsidRDefault="00B71A01" w:rsidP="00D44844">
      <w:pPr>
        <w:pStyle w:val="Body"/>
        <w:jc w:val="left"/>
        <w:rPr>
          <w:rFonts w:ascii="Arial" w:hAnsi="Arial" w:cs="Arial"/>
          <w:sz w:val="22"/>
          <w:szCs w:val="22"/>
        </w:rPr>
      </w:pPr>
    </w:p>
    <w:p w14:paraId="30FE9F84" w14:textId="1E0FE8A3" w:rsidR="00F80351" w:rsidRPr="00F80351" w:rsidRDefault="000F0C19" w:rsidP="00570D0D">
      <w:pPr>
        <w:pStyle w:val="Body"/>
        <w:jc w:val="left"/>
        <w:rPr>
          <w:rFonts w:ascii="Arial" w:hAnsi="Arial" w:cs="Arial"/>
          <w:sz w:val="22"/>
          <w:szCs w:val="22"/>
        </w:rPr>
      </w:pPr>
      <w:r w:rsidRPr="00F80351">
        <w:rPr>
          <w:rFonts w:ascii="Arial" w:hAnsi="Arial" w:cs="Arial"/>
          <w:sz w:val="22"/>
          <w:szCs w:val="22"/>
        </w:rPr>
        <w:tab/>
      </w:r>
    </w:p>
    <w:p w14:paraId="1CC3D1C6" w14:textId="77777777" w:rsidR="00D60B50" w:rsidRPr="00F80351" w:rsidRDefault="00D60B50" w:rsidP="00570D0D">
      <w:pPr>
        <w:pStyle w:val="Body"/>
        <w:jc w:val="left"/>
        <w:rPr>
          <w:rFonts w:ascii="Arial" w:hAnsi="Arial" w:cs="Arial"/>
          <w:sz w:val="22"/>
          <w:szCs w:val="22"/>
        </w:rPr>
      </w:pPr>
    </w:p>
    <w:p w14:paraId="6F34E4F8" w14:textId="0C01EF11" w:rsidR="00D60B50" w:rsidRPr="00570D0D" w:rsidRDefault="00570D0D" w:rsidP="00570D0D">
      <w:pPr>
        <w:pStyle w:val="Body"/>
        <w:jc w:val="left"/>
        <w:rPr>
          <w:rFonts w:ascii="Arial" w:hAnsi="Arial" w:cs="Arial"/>
          <w:b/>
          <w:bCs/>
          <w:sz w:val="22"/>
          <w:szCs w:val="22"/>
        </w:rPr>
      </w:pPr>
      <w:r w:rsidRPr="00570D0D">
        <w:rPr>
          <w:rFonts w:ascii="Arial" w:hAnsi="Arial" w:cs="Arial"/>
          <w:b/>
          <w:bCs/>
          <w:sz w:val="22"/>
          <w:szCs w:val="22"/>
        </w:rPr>
        <w:t>4</w:t>
      </w:r>
      <w:r w:rsidR="00D60B50" w:rsidRPr="00570D0D">
        <w:rPr>
          <w:rFonts w:ascii="Arial" w:hAnsi="Arial" w:cs="Arial"/>
          <w:b/>
          <w:bCs/>
          <w:sz w:val="22"/>
          <w:szCs w:val="22"/>
        </w:rPr>
        <w:t>. CONCLUSION</w:t>
      </w:r>
      <w:r w:rsidRPr="00570D0D">
        <w:rPr>
          <w:rFonts w:ascii="Arial" w:hAnsi="Arial" w:cs="Arial"/>
          <w:b/>
          <w:bCs/>
          <w:sz w:val="22"/>
          <w:szCs w:val="22"/>
        </w:rPr>
        <w:t>:</w:t>
      </w:r>
    </w:p>
    <w:p w14:paraId="605E4B84" w14:textId="4FC650F3" w:rsidR="00D44844" w:rsidRPr="002B0787" w:rsidRDefault="00D44844" w:rsidP="00D44844">
      <w:pPr>
        <w:pStyle w:val="NormalWeb"/>
        <w:rPr>
          <w:lang w:val="en-IN"/>
        </w:rPr>
      </w:pPr>
      <w:r w:rsidRPr="002B0787">
        <w:rPr>
          <w:lang w:val="en-IN"/>
        </w:rPr>
        <w:lastRenderedPageBreak/>
        <w:t>Dehydrated amniotic membrane represents a safe, accessible, and reproducible therapeutic option for the treatment of immunological corneal ulcers. Its ease of storage and outpatient application makes it particularly useful in settings with limited access to cryopreserved amniotic membrane.</w:t>
      </w:r>
      <w:r w:rsidR="00791D61" w:rsidRPr="002B0787">
        <w:rPr>
          <w:lang w:val="en-IN"/>
        </w:rPr>
        <w:t xml:space="preserve"> </w:t>
      </w:r>
      <w:r w:rsidRPr="002B0787">
        <w:rPr>
          <w:lang w:val="en-IN"/>
        </w:rPr>
        <w:t>Early use of this technique may accelerate corneal healing and improve patient outcomes.</w:t>
      </w:r>
    </w:p>
    <w:p w14:paraId="17218567" w14:textId="1DDD3303" w:rsidR="008B4C7C" w:rsidRDefault="008B4C7C" w:rsidP="00441B6F">
      <w:pPr>
        <w:pStyle w:val="ConcHead"/>
        <w:spacing w:after="0"/>
        <w:jc w:val="both"/>
        <w:rPr>
          <w:rFonts w:ascii="Arial" w:hAnsi="Arial" w:cs="Arial"/>
        </w:rPr>
      </w:pPr>
    </w:p>
    <w:p w14:paraId="66415747" w14:textId="77777777" w:rsidR="00790ADA" w:rsidRPr="00FB3A86" w:rsidRDefault="00790ADA" w:rsidP="00441B6F">
      <w:pPr>
        <w:pStyle w:val="ConcHead"/>
        <w:spacing w:after="0"/>
        <w:jc w:val="both"/>
        <w:rPr>
          <w:rFonts w:ascii="Arial" w:hAnsi="Arial" w:cs="Arial"/>
        </w:rPr>
      </w:pPr>
    </w:p>
    <w:p w14:paraId="63783A56" w14:textId="77777777" w:rsidR="00790ADA" w:rsidRPr="00FB3A86" w:rsidRDefault="00790ADA" w:rsidP="00441B6F">
      <w:pPr>
        <w:pStyle w:val="Body"/>
        <w:spacing w:after="0"/>
        <w:rPr>
          <w:rFonts w:ascii="Arial" w:hAnsi="Arial" w:cs="Arial"/>
        </w:rPr>
      </w:pPr>
    </w:p>
    <w:p w14:paraId="1E4AFCDC" w14:textId="37B3BD46"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4E2F345D" w14:textId="4D57A1C5" w:rsidR="001A29D8" w:rsidRDefault="001A29D8" w:rsidP="00441B6F">
      <w:pPr>
        <w:pStyle w:val="ReferHead"/>
        <w:spacing w:after="0"/>
        <w:jc w:val="both"/>
        <w:rPr>
          <w:rFonts w:ascii="Arial" w:hAnsi="Arial" w:cs="Arial"/>
          <w:b w:val="0"/>
          <w:caps w:val="0"/>
          <w:sz w:val="20"/>
        </w:rPr>
      </w:pPr>
    </w:p>
    <w:p w14:paraId="35E5EC11" w14:textId="12665CC6" w:rsidR="009049BA" w:rsidRDefault="001B1C34" w:rsidP="00441B6F">
      <w:pPr>
        <w:pStyle w:val="ReferHead"/>
        <w:spacing w:after="0"/>
        <w:jc w:val="both"/>
        <w:rPr>
          <w:rFonts w:ascii="Arial" w:hAnsi="Arial" w:cs="Arial"/>
          <w:b w:val="0"/>
          <w:caps w:val="0"/>
          <w:sz w:val="20"/>
        </w:rPr>
      </w:pPr>
      <w:r>
        <w:rPr>
          <w:rFonts w:ascii="Arial" w:hAnsi="Arial" w:cs="Arial"/>
          <w:b w:val="0"/>
          <w:caps w:val="0"/>
          <w:sz w:val="20"/>
        </w:rPr>
        <w:t>Written informed consent was obtained from all participants prior to their inclusion in the study.</w:t>
      </w:r>
    </w:p>
    <w:p w14:paraId="03F8BD24" w14:textId="77777777" w:rsidR="005C784C" w:rsidRDefault="005C784C" w:rsidP="00441B6F">
      <w:pPr>
        <w:pStyle w:val="ReferHead"/>
        <w:spacing w:after="0"/>
        <w:jc w:val="both"/>
        <w:rPr>
          <w:rFonts w:ascii="Arial" w:hAnsi="Arial" w:cs="Arial"/>
          <w:b w:val="0"/>
          <w:caps w:val="0"/>
          <w:sz w:val="20"/>
        </w:rPr>
      </w:pPr>
    </w:p>
    <w:p w14:paraId="787CB57D" w14:textId="6AD768A1"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871D9BD" w14:textId="21246FE4" w:rsidR="00696340" w:rsidRDefault="00696340" w:rsidP="00441B6F">
      <w:pPr>
        <w:pStyle w:val="ReferHead"/>
        <w:spacing w:after="0"/>
        <w:jc w:val="both"/>
        <w:rPr>
          <w:rFonts w:ascii="Arial" w:hAnsi="Arial" w:cs="Arial"/>
          <w:bCs/>
        </w:rPr>
      </w:pPr>
    </w:p>
    <w:p w14:paraId="4506DF58" w14:textId="49FAACF7" w:rsidR="00860000" w:rsidRDefault="00696340" w:rsidP="00441B6F">
      <w:pPr>
        <w:pStyle w:val="ReferHead"/>
        <w:spacing w:after="0"/>
        <w:jc w:val="both"/>
        <w:rPr>
          <w:rFonts w:ascii="Arial" w:hAnsi="Arial" w:cs="Arial"/>
          <w:b w:val="0"/>
          <w:caps w:val="0"/>
          <w:sz w:val="20"/>
        </w:rPr>
      </w:pPr>
      <w:r>
        <w:rPr>
          <w:rFonts w:ascii="Arial" w:hAnsi="Arial" w:cs="Arial"/>
          <w:b w:val="0"/>
          <w:caps w:val="0"/>
          <w:sz w:val="20"/>
        </w:rPr>
        <w:t xml:space="preserve">Ethical approval for this prospective study was obtained from the Ethics Committee of the 20 August 1953 Hospital, Ibn </w:t>
      </w:r>
      <w:proofErr w:type="spellStart"/>
      <w:r>
        <w:rPr>
          <w:rFonts w:ascii="Arial" w:hAnsi="Arial" w:cs="Arial"/>
          <w:b w:val="0"/>
          <w:caps w:val="0"/>
          <w:sz w:val="20"/>
        </w:rPr>
        <w:t>Rochd</w:t>
      </w:r>
      <w:proofErr w:type="spellEnd"/>
      <w:r>
        <w:rPr>
          <w:rFonts w:ascii="Arial" w:hAnsi="Arial" w:cs="Arial"/>
          <w:b w:val="0"/>
          <w:caps w:val="0"/>
          <w:sz w:val="20"/>
        </w:rPr>
        <w:t xml:space="preserve"> University Hospital Center, Casablanca, Morocco. The study was conducted in accordance with the principles of the Declaration of He</w:t>
      </w:r>
      <w:r w:rsidR="001B1C34">
        <w:rPr>
          <w:rFonts w:ascii="Arial" w:hAnsi="Arial" w:cs="Arial"/>
          <w:b w:val="0"/>
          <w:caps w:val="0"/>
          <w:sz w:val="20"/>
        </w:rPr>
        <w:t>l</w:t>
      </w:r>
      <w:r>
        <w:rPr>
          <w:rFonts w:ascii="Arial" w:hAnsi="Arial" w:cs="Arial"/>
          <w:b w:val="0"/>
          <w:caps w:val="0"/>
          <w:sz w:val="20"/>
        </w:rPr>
        <w:t>sinki.</w:t>
      </w:r>
    </w:p>
    <w:p w14:paraId="30CA6662" w14:textId="5FC69198" w:rsidR="002B0787" w:rsidRDefault="002B0787" w:rsidP="00441B6F">
      <w:pPr>
        <w:pStyle w:val="ReferHead"/>
        <w:spacing w:after="0"/>
        <w:jc w:val="both"/>
        <w:rPr>
          <w:rFonts w:ascii="Arial" w:hAnsi="Arial" w:cs="Arial"/>
          <w:b w:val="0"/>
          <w:caps w:val="0"/>
          <w:sz w:val="20"/>
        </w:rPr>
      </w:pPr>
    </w:p>
    <w:p w14:paraId="10E3A4ED" w14:textId="77777777" w:rsidR="002B0787" w:rsidRPr="002B0787" w:rsidRDefault="002B0787" w:rsidP="002B0787">
      <w:pPr>
        <w:rPr>
          <w:rFonts w:ascii="Times New Roman" w:eastAsia="Calibri" w:hAnsi="Times New Roman"/>
          <w:kern w:val="2"/>
          <w:sz w:val="22"/>
          <w:szCs w:val="22"/>
          <w:highlight w:val="yellow"/>
        </w:rPr>
      </w:pPr>
      <w:bookmarkStart w:id="1" w:name="_Hlk198031404"/>
      <w:bookmarkStart w:id="2" w:name="_Hlk219125673"/>
      <w:r w:rsidRPr="002B0787">
        <w:rPr>
          <w:rFonts w:ascii="Times New Roman" w:eastAsia="Calibri" w:hAnsi="Times New Roman"/>
          <w:kern w:val="2"/>
          <w:sz w:val="22"/>
          <w:szCs w:val="22"/>
          <w:highlight w:val="yellow"/>
        </w:rPr>
        <w:t>Disclaimer (Artificial intelligence)</w:t>
      </w:r>
    </w:p>
    <w:p w14:paraId="083AC98E" w14:textId="77777777" w:rsidR="002B0787" w:rsidRPr="002B0787" w:rsidRDefault="002B0787" w:rsidP="002B0787">
      <w:pPr>
        <w:rPr>
          <w:rFonts w:ascii="Times New Roman" w:eastAsia="Calibri" w:hAnsi="Times New Roman"/>
          <w:kern w:val="2"/>
          <w:sz w:val="22"/>
          <w:szCs w:val="22"/>
          <w:highlight w:val="yellow"/>
        </w:rPr>
      </w:pPr>
    </w:p>
    <w:p w14:paraId="5252FB91" w14:textId="77777777" w:rsidR="002B0787" w:rsidRPr="002B0787" w:rsidRDefault="002B0787" w:rsidP="002B0787">
      <w:pPr>
        <w:rPr>
          <w:rFonts w:ascii="Times New Roman" w:eastAsia="Calibri" w:hAnsi="Times New Roman"/>
          <w:kern w:val="2"/>
          <w:sz w:val="22"/>
          <w:szCs w:val="22"/>
          <w:highlight w:val="yellow"/>
        </w:rPr>
      </w:pPr>
      <w:r w:rsidRPr="002B0787">
        <w:rPr>
          <w:rFonts w:ascii="Times New Roman" w:eastAsia="Calibri" w:hAnsi="Times New Roman"/>
          <w:kern w:val="2"/>
          <w:sz w:val="22"/>
          <w:szCs w:val="22"/>
          <w:highlight w:val="yellow"/>
        </w:rPr>
        <w:t>Author(s) hereby declare that NO generative AI technologies such as Large Language Models (</w:t>
      </w:r>
      <w:proofErr w:type="spellStart"/>
      <w:r w:rsidRPr="002B0787">
        <w:rPr>
          <w:rFonts w:ascii="Times New Roman" w:eastAsia="Calibri" w:hAnsi="Times New Roman"/>
          <w:kern w:val="2"/>
          <w:sz w:val="22"/>
          <w:szCs w:val="22"/>
          <w:highlight w:val="yellow"/>
        </w:rPr>
        <w:t>ChatGPT</w:t>
      </w:r>
      <w:proofErr w:type="spellEnd"/>
      <w:r w:rsidRPr="002B0787">
        <w:rPr>
          <w:rFonts w:ascii="Times New Roman" w:eastAsia="Calibri" w:hAnsi="Times New Roman"/>
          <w:kern w:val="2"/>
          <w:sz w:val="22"/>
          <w:szCs w:val="22"/>
          <w:highlight w:val="yellow"/>
        </w:rPr>
        <w:t xml:space="preserve">, COPILOT, etc.) and text-to-image generators have been used during the writing or editing of this manuscript. </w:t>
      </w:r>
    </w:p>
    <w:bookmarkEnd w:id="1"/>
    <w:p w14:paraId="5489BF3E" w14:textId="77777777" w:rsidR="002B0787" w:rsidRPr="002B0787" w:rsidRDefault="002B0787" w:rsidP="002B0787">
      <w:pPr>
        <w:spacing w:after="200" w:line="276" w:lineRule="auto"/>
        <w:rPr>
          <w:rFonts w:asciiTheme="minorHAnsi" w:eastAsiaTheme="minorHAnsi" w:hAnsiTheme="minorHAnsi" w:cstheme="minorBidi"/>
          <w:sz w:val="28"/>
          <w:szCs w:val="22"/>
        </w:rPr>
      </w:pPr>
    </w:p>
    <w:bookmarkEnd w:id="2"/>
    <w:p w14:paraId="5FCC65CF" w14:textId="77777777" w:rsidR="002B0787" w:rsidRDefault="002B0787" w:rsidP="00441B6F">
      <w:pPr>
        <w:pStyle w:val="ReferHead"/>
        <w:spacing w:after="0"/>
        <w:jc w:val="both"/>
        <w:rPr>
          <w:rFonts w:ascii="Arial" w:hAnsi="Arial" w:cs="Arial"/>
          <w:b w:val="0"/>
          <w:caps w:val="0"/>
          <w:sz w:val="20"/>
        </w:rPr>
      </w:pPr>
    </w:p>
    <w:p w14:paraId="11FB821E" w14:textId="77777777" w:rsidR="00696340" w:rsidRDefault="00696340" w:rsidP="00441B6F">
      <w:pPr>
        <w:pStyle w:val="ReferHead"/>
        <w:spacing w:after="0"/>
        <w:jc w:val="both"/>
        <w:rPr>
          <w:rFonts w:ascii="Arial" w:hAnsi="Arial" w:cs="Arial"/>
        </w:rPr>
      </w:pPr>
    </w:p>
    <w:p w14:paraId="33B311A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BA0A76" w14:textId="77777777" w:rsidR="00790ADA" w:rsidRPr="00FB3A86" w:rsidRDefault="00790ADA" w:rsidP="00441B6F">
      <w:pPr>
        <w:pStyle w:val="ReferHead"/>
        <w:spacing w:after="0"/>
        <w:jc w:val="both"/>
        <w:rPr>
          <w:rFonts w:ascii="Arial" w:hAnsi="Arial" w:cs="Arial"/>
        </w:rPr>
      </w:pPr>
    </w:p>
    <w:p w14:paraId="0DD30393" w14:textId="77777777" w:rsidR="00791D61" w:rsidRPr="002B0787" w:rsidRDefault="00791D61" w:rsidP="00F80351">
      <w:pPr>
        <w:pStyle w:val="Appendix"/>
        <w:spacing w:after="0"/>
        <w:jc w:val="both"/>
        <w:rPr>
          <w:lang w:val="fr-FR"/>
        </w:rPr>
      </w:pPr>
      <w:r>
        <w:t xml:space="preserve">1 Tseng SCG. How does amniotic membrane work. </w:t>
      </w:r>
      <w:r w:rsidRPr="002B0787">
        <w:rPr>
          <w:lang w:val="fr-FR"/>
        </w:rPr>
        <w:t>Ocul Surf. 2004</w:t>
      </w:r>
    </w:p>
    <w:p w14:paraId="125CCAA4" w14:textId="77777777" w:rsidR="00791D61" w:rsidRDefault="00791D61" w:rsidP="00F80351">
      <w:pPr>
        <w:pStyle w:val="Appendix"/>
        <w:spacing w:after="0"/>
        <w:jc w:val="both"/>
      </w:pPr>
      <w:r w:rsidRPr="002B0787">
        <w:rPr>
          <w:lang w:val="fr-FR"/>
        </w:rPr>
        <w:br/>
        <w:t xml:space="preserve">2 Meller D et al. </w:t>
      </w:r>
      <w:r>
        <w:t>Amniotic membrane transplantation in chemical burns. Ophthalmology. 2000</w:t>
      </w:r>
    </w:p>
    <w:p w14:paraId="0BFC9D4E" w14:textId="77777777" w:rsidR="00791D61" w:rsidRDefault="00791D61" w:rsidP="00F80351">
      <w:pPr>
        <w:pStyle w:val="Appendix"/>
        <w:spacing w:after="0"/>
        <w:jc w:val="both"/>
      </w:pPr>
      <w:r>
        <w:br/>
        <w:t>3 Dua HS et al. The amniotic membrane in ophthalmology. Surv Ophthalmol. 2004</w:t>
      </w:r>
    </w:p>
    <w:p w14:paraId="580BE513" w14:textId="77777777" w:rsidR="00791D61" w:rsidRDefault="00791D61" w:rsidP="00F80351">
      <w:pPr>
        <w:pStyle w:val="Appendix"/>
        <w:spacing w:after="0"/>
        <w:jc w:val="both"/>
      </w:pPr>
      <w:r>
        <w:br/>
        <w:t>4 Heiligenhaus A et al. Amniotic membrane transplantation in ulcerative keratitis. Graefes Arch Clin Exp Ophthalmol. 2001</w:t>
      </w:r>
    </w:p>
    <w:p w14:paraId="74B49D97" w14:textId="77777777" w:rsidR="00791D61" w:rsidRDefault="00791D61" w:rsidP="00F80351">
      <w:pPr>
        <w:pStyle w:val="Appendix"/>
        <w:spacing w:after="0"/>
        <w:jc w:val="both"/>
      </w:pPr>
      <w:r>
        <w:br/>
        <w:t>5 Singh V et al. Clinical outcomes of dehydrated amniotic membrane. Int Ophthalmol. 2019</w:t>
      </w:r>
    </w:p>
    <w:p w14:paraId="79626457" w14:textId="77777777" w:rsidR="00791D61" w:rsidRDefault="00791D61" w:rsidP="00F80351">
      <w:pPr>
        <w:pStyle w:val="Appendix"/>
        <w:spacing w:after="0"/>
        <w:jc w:val="both"/>
      </w:pPr>
      <w:r>
        <w:br/>
        <w:t>6 Zhang T et al. Amniotic membrane transplantation in ocular surface diseases. Surv Ophthalmol. 2021</w:t>
      </w:r>
    </w:p>
    <w:p w14:paraId="7673FFB0" w14:textId="5B24F042" w:rsidR="00782C00" w:rsidRPr="00782C00" w:rsidRDefault="00791D61" w:rsidP="00F80351">
      <w:pPr>
        <w:pStyle w:val="Appendix"/>
        <w:spacing w:after="0"/>
        <w:jc w:val="both"/>
        <w:rPr>
          <w:rFonts w:ascii="Arial" w:hAnsi="Arial" w:cs="Arial"/>
          <w:szCs w:val="22"/>
        </w:rPr>
      </w:pPr>
      <w:r w:rsidRPr="00782C00">
        <w:rPr>
          <w:rFonts w:ascii="Arial" w:hAnsi="Arial" w:cs="Arial"/>
          <w:szCs w:val="22"/>
        </w:rPr>
        <w:br/>
        <w:t>7 Said DG, Dua HS. Amniotic membrane transplantation in ophthalmology. Br J Ophthalmol. 2023</w:t>
      </w:r>
    </w:p>
    <w:p w14:paraId="54650180" w14:textId="41F767BD" w:rsidR="00782C00" w:rsidRPr="00782C00" w:rsidRDefault="00782C00" w:rsidP="00782C00">
      <w:pPr>
        <w:rPr>
          <w:rFonts w:ascii="Arial" w:hAnsi="Arial" w:cs="Arial"/>
          <w:b/>
          <w:caps/>
          <w:sz w:val="22"/>
          <w:szCs w:val="22"/>
        </w:rPr>
      </w:pPr>
    </w:p>
    <w:p w14:paraId="7FA03D44" w14:textId="37C43B90" w:rsidR="00782C00" w:rsidRPr="00782C00" w:rsidRDefault="00782C00" w:rsidP="00782C00">
      <w:pPr>
        <w:rPr>
          <w:rFonts w:ascii="Arial" w:hAnsi="Arial" w:cs="Arial"/>
          <w:b/>
          <w:sz w:val="22"/>
          <w:szCs w:val="22"/>
        </w:rPr>
      </w:pPr>
      <w:proofErr w:type="gramStart"/>
      <w:r w:rsidRPr="00782C00">
        <w:rPr>
          <w:rFonts w:ascii="Arial" w:hAnsi="Arial" w:cs="Arial"/>
          <w:b/>
          <w:sz w:val="22"/>
          <w:szCs w:val="22"/>
        </w:rPr>
        <w:t xml:space="preserve">8  </w:t>
      </w:r>
      <w:proofErr w:type="spellStart"/>
      <w:r w:rsidRPr="00782C00">
        <w:rPr>
          <w:rFonts w:ascii="Arial" w:hAnsi="Arial" w:cs="Arial"/>
          <w:b/>
          <w:sz w:val="22"/>
          <w:szCs w:val="22"/>
        </w:rPr>
        <w:t>Ljubimov</w:t>
      </w:r>
      <w:proofErr w:type="spellEnd"/>
      <w:proofErr w:type="gramEnd"/>
      <w:r w:rsidRPr="00782C00">
        <w:rPr>
          <w:rFonts w:ascii="Arial" w:hAnsi="Arial" w:cs="Arial"/>
          <w:b/>
          <w:sz w:val="22"/>
          <w:szCs w:val="22"/>
        </w:rPr>
        <w:t xml:space="preserve"> AV, </w:t>
      </w:r>
      <w:proofErr w:type="spellStart"/>
      <w:r w:rsidRPr="00782C00">
        <w:rPr>
          <w:rFonts w:ascii="Arial" w:hAnsi="Arial" w:cs="Arial"/>
          <w:b/>
          <w:sz w:val="22"/>
          <w:szCs w:val="22"/>
        </w:rPr>
        <w:t>Saghizadeh</w:t>
      </w:r>
      <w:proofErr w:type="spellEnd"/>
      <w:r w:rsidRPr="00782C00">
        <w:rPr>
          <w:rFonts w:ascii="Arial" w:hAnsi="Arial" w:cs="Arial"/>
          <w:b/>
          <w:sz w:val="22"/>
          <w:szCs w:val="22"/>
        </w:rPr>
        <w:t xml:space="preserve"> M. Amniotic membrane transplantation in ocular surface </w:t>
      </w:r>
      <w:proofErr w:type="spellStart"/>
      <w:r w:rsidRPr="00782C00">
        <w:rPr>
          <w:rFonts w:ascii="Arial" w:hAnsi="Arial" w:cs="Arial"/>
          <w:b/>
          <w:sz w:val="22"/>
          <w:szCs w:val="22"/>
        </w:rPr>
        <w:t>reconstruction.Prog</w:t>
      </w:r>
      <w:proofErr w:type="spellEnd"/>
      <w:r w:rsidRPr="00782C00">
        <w:rPr>
          <w:rFonts w:ascii="Arial" w:hAnsi="Arial" w:cs="Arial"/>
          <w:b/>
          <w:sz w:val="22"/>
          <w:szCs w:val="22"/>
        </w:rPr>
        <w:t xml:space="preserve"> Retin Eye Res. 2020;75:100777.</w:t>
      </w:r>
    </w:p>
    <w:p w14:paraId="415B515D" w14:textId="77777777" w:rsidR="00782C00" w:rsidRPr="00782C00" w:rsidRDefault="00782C00" w:rsidP="00782C00">
      <w:pPr>
        <w:rPr>
          <w:rFonts w:ascii="Arial" w:hAnsi="Arial" w:cs="Arial"/>
          <w:b/>
          <w:sz w:val="22"/>
          <w:szCs w:val="22"/>
        </w:rPr>
      </w:pPr>
    </w:p>
    <w:p w14:paraId="41BB9CF9" w14:textId="5326AF07" w:rsidR="00782C00" w:rsidRPr="00782C00" w:rsidRDefault="00782C00" w:rsidP="00782C00">
      <w:pPr>
        <w:rPr>
          <w:rFonts w:ascii="Arial" w:hAnsi="Arial" w:cs="Arial"/>
          <w:b/>
          <w:sz w:val="22"/>
          <w:szCs w:val="22"/>
        </w:rPr>
      </w:pPr>
      <w:proofErr w:type="gramStart"/>
      <w:r w:rsidRPr="00782C00">
        <w:rPr>
          <w:rFonts w:ascii="Arial" w:hAnsi="Arial" w:cs="Arial"/>
          <w:b/>
          <w:sz w:val="22"/>
          <w:szCs w:val="22"/>
        </w:rPr>
        <w:t>9  Said</w:t>
      </w:r>
      <w:proofErr w:type="gramEnd"/>
      <w:r w:rsidRPr="00782C00">
        <w:rPr>
          <w:rFonts w:ascii="Arial" w:hAnsi="Arial" w:cs="Arial"/>
          <w:b/>
          <w:sz w:val="22"/>
          <w:szCs w:val="22"/>
        </w:rPr>
        <w:t xml:space="preserve"> DG, </w:t>
      </w:r>
      <w:proofErr w:type="spellStart"/>
      <w:r w:rsidRPr="00782C00">
        <w:rPr>
          <w:rFonts w:ascii="Arial" w:hAnsi="Arial" w:cs="Arial"/>
          <w:b/>
          <w:sz w:val="22"/>
          <w:szCs w:val="22"/>
        </w:rPr>
        <w:t>Dua</w:t>
      </w:r>
      <w:proofErr w:type="spellEnd"/>
      <w:r w:rsidRPr="00782C00">
        <w:rPr>
          <w:rFonts w:ascii="Arial" w:hAnsi="Arial" w:cs="Arial"/>
          <w:b/>
          <w:sz w:val="22"/>
          <w:szCs w:val="22"/>
        </w:rPr>
        <w:t xml:space="preserve"> HS. Human amniotic membrane in ophthalmology. Br J </w:t>
      </w:r>
      <w:proofErr w:type="spellStart"/>
      <w:r w:rsidRPr="00782C00">
        <w:rPr>
          <w:rFonts w:ascii="Arial" w:hAnsi="Arial" w:cs="Arial"/>
          <w:b/>
          <w:sz w:val="22"/>
          <w:szCs w:val="22"/>
        </w:rPr>
        <w:t>Ophthalmol</w:t>
      </w:r>
      <w:proofErr w:type="spellEnd"/>
      <w:r w:rsidRPr="00782C00">
        <w:rPr>
          <w:rFonts w:ascii="Arial" w:hAnsi="Arial" w:cs="Arial"/>
          <w:b/>
          <w:sz w:val="22"/>
          <w:szCs w:val="22"/>
        </w:rPr>
        <w:t>. 2023;107(1):1-9.</w:t>
      </w:r>
    </w:p>
    <w:p w14:paraId="5581C0F1" w14:textId="77777777" w:rsidR="00782C00" w:rsidRPr="00782C00" w:rsidRDefault="00782C00" w:rsidP="00782C00">
      <w:pPr>
        <w:rPr>
          <w:rFonts w:ascii="Arial" w:hAnsi="Arial" w:cs="Arial"/>
          <w:b/>
          <w:sz w:val="22"/>
          <w:szCs w:val="22"/>
        </w:rPr>
      </w:pPr>
    </w:p>
    <w:p w14:paraId="39C18CFA" w14:textId="53D86109" w:rsidR="00782C00" w:rsidRPr="00782C00" w:rsidRDefault="00782C00" w:rsidP="00782C00">
      <w:pPr>
        <w:rPr>
          <w:rFonts w:ascii="Arial" w:hAnsi="Arial" w:cs="Arial"/>
          <w:b/>
          <w:sz w:val="22"/>
          <w:szCs w:val="22"/>
        </w:rPr>
      </w:pPr>
      <w:r w:rsidRPr="00782C00">
        <w:rPr>
          <w:rFonts w:ascii="Arial" w:hAnsi="Arial" w:cs="Arial"/>
          <w:b/>
          <w:sz w:val="22"/>
          <w:szCs w:val="22"/>
        </w:rPr>
        <w:t>10</w:t>
      </w:r>
      <w:proofErr w:type="gramStart"/>
      <w:r w:rsidRPr="00782C00">
        <w:rPr>
          <w:rFonts w:ascii="Arial" w:hAnsi="Arial" w:cs="Arial"/>
          <w:b/>
          <w:sz w:val="22"/>
          <w:szCs w:val="22"/>
        </w:rPr>
        <w:t>-  Zhang</w:t>
      </w:r>
      <w:proofErr w:type="gramEnd"/>
      <w:r w:rsidRPr="00782C00">
        <w:rPr>
          <w:rFonts w:ascii="Arial" w:hAnsi="Arial" w:cs="Arial"/>
          <w:b/>
          <w:sz w:val="22"/>
          <w:szCs w:val="22"/>
        </w:rPr>
        <w:t xml:space="preserve"> T, Yam GH, Riau AK, et al. The use of amniotic membrane in ocular surface diseases. </w:t>
      </w:r>
      <w:proofErr w:type="spellStart"/>
      <w:r w:rsidRPr="00782C00">
        <w:rPr>
          <w:rFonts w:ascii="Arial" w:hAnsi="Arial" w:cs="Arial"/>
          <w:b/>
          <w:sz w:val="22"/>
          <w:szCs w:val="22"/>
        </w:rPr>
        <w:t>Surv</w:t>
      </w:r>
      <w:proofErr w:type="spellEnd"/>
      <w:r w:rsidRPr="00782C00">
        <w:rPr>
          <w:rFonts w:ascii="Arial" w:hAnsi="Arial" w:cs="Arial"/>
          <w:b/>
          <w:sz w:val="22"/>
          <w:szCs w:val="22"/>
        </w:rPr>
        <w:t xml:space="preserve"> </w:t>
      </w:r>
      <w:proofErr w:type="spellStart"/>
      <w:r w:rsidRPr="00782C00">
        <w:rPr>
          <w:rFonts w:ascii="Arial" w:hAnsi="Arial" w:cs="Arial"/>
          <w:b/>
          <w:sz w:val="22"/>
          <w:szCs w:val="22"/>
        </w:rPr>
        <w:t>Ophthalmol</w:t>
      </w:r>
      <w:proofErr w:type="spellEnd"/>
      <w:r w:rsidRPr="00782C00">
        <w:rPr>
          <w:rFonts w:ascii="Arial" w:hAnsi="Arial" w:cs="Arial"/>
          <w:b/>
          <w:sz w:val="22"/>
          <w:szCs w:val="22"/>
        </w:rPr>
        <w:t>. 2021;66(4):639-660.</w:t>
      </w:r>
    </w:p>
    <w:p w14:paraId="514A1368" w14:textId="77777777" w:rsidR="00782C00" w:rsidRPr="00782C00" w:rsidRDefault="00782C00" w:rsidP="00782C00">
      <w:pPr>
        <w:rPr>
          <w:rFonts w:ascii="Arial" w:hAnsi="Arial" w:cs="Arial"/>
          <w:b/>
          <w:sz w:val="22"/>
          <w:szCs w:val="22"/>
        </w:rPr>
      </w:pPr>
    </w:p>
    <w:p w14:paraId="0D1355FF" w14:textId="100B635A" w:rsidR="00782C00" w:rsidRPr="00782C00" w:rsidRDefault="00782C00" w:rsidP="00782C00">
      <w:pPr>
        <w:rPr>
          <w:rFonts w:ascii="Arial" w:hAnsi="Arial" w:cs="Arial"/>
          <w:b/>
          <w:sz w:val="22"/>
          <w:szCs w:val="22"/>
        </w:rPr>
      </w:pPr>
      <w:r w:rsidRPr="00782C00">
        <w:rPr>
          <w:rFonts w:ascii="Arial" w:hAnsi="Arial" w:cs="Arial"/>
          <w:b/>
          <w:sz w:val="22"/>
          <w:szCs w:val="22"/>
        </w:rPr>
        <w:lastRenderedPageBreak/>
        <w:t>11</w:t>
      </w:r>
      <w:proofErr w:type="gramStart"/>
      <w:r w:rsidRPr="00782C00">
        <w:rPr>
          <w:rFonts w:ascii="Arial" w:hAnsi="Arial" w:cs="Arial"/>
          <w:b/>
          <w:sz w:val="22"/>
          <w:szCs w:val="22"/>
        </w:rPr>
        <w:t>-  Shen</w:t>
      </w:r>
      <w:proofErr w:type="gramEnd"/>
      <w:r w:rsidRPr="00782C00">
        <w:rPr>
          <w:rFonts w:ascii="Arial" w:hAnsi="Arial" w:cs="Arial"/>
          <w:b/>
          <w:sz w:val="22"/>
          <w:szCs w:val="22"/>
        </w:rPr>
        <w:t xml:space="preserve"> L, Sun P, Zhang C. Clinical applications of dehydrated amniotic membrane in ocular surface disorders. Cornea. 2021;40(3):356-362.</w:t>
      </w:r>
    </w:p>
    <w:p w14:paraId="39D6C0B3" w14:textId="77777777" w:rsidR="00782C00" w:rsidRPr="00782C00" w:rsidRDefault="00782C00" w:rsidP="00782C00">
      <w:pPr>
        <w:rPr>
          <w:rFonts w:ascii="Arial" w:hAnsi="Arial" w:cs="Arial"/>
          <w:b/>
          <w:sz w:val="22"/>
          <w:szCs w:val="22"/>
        </w:rPr>
      </w:pPr>
    </w:p>
    <w:p w14:paraId="1E1BCAA4" w14:textId="67A4F803" w:rsidR="00782C00" w:rsidRPr="00782C00" w:rsidRDefault="00782C00" w:rsidP="00782C00">
      <w:pPr>
        <w:rPr>
          <w:rFonts w:ascii="Arial" w:hAnsi="Arial" w:cs="Arial"/>
          <w:b/>
          <w:sz w:val="22"/>
          <w:szCs w:val="22"/>
        </w:rPr>
      </w:pPr>
      <w:r w:rsidRPr="00782C00">
        <w:rPr>
          <w:rFonts w:ascii="Arial" w:hAnsi="Arial" w:cs="Arial"/>
          <w:b/>
          <w:sz w:val="22"/>
          <w:szCs w:val="22"/>
        </w:rPr>
        <w:t>12</w:t>
      </w:r>
      <w:proofErr w:type="gramStart"/>
      <w:r w:rsidRPr="00782C00">
        <w:rPr>
          <w:rFonts w:ascii="Arial" w:hAnsi="Arial" w:cs="Arial"/>
          <w:b/>
          <w:sz w:val="22"/>
          <w:szCs w:val="22"/>
        </w:rPr>
        <w:t xml:space="preserve">-  </w:t>
      </w:r>
      <w:proofErr w:type="spellStart"/>
      <w:r w:rsidRPr="00782C00">
        <w:rPr>
          <w:rFonts w:ascii="Arial" w:hAnsi="Arial" w:cs="Arial"/>
          <w:b/>
          <w:sz w:val="22"/>
          <w:szCs w:val="22"/>
        </w:rPr>
        <w:t>Meller</w:t>
      </w:r>
      <w:proofErr w:type="spellEnd"/>
      <w:proofErr w:type="gramEnd"/>
      <w:r w:rsidRPr="00782C00">
        <w:rPr>
          <w:rFonts w:ascii="Arial" w:hAnsi="Arial" w:cs="Arial"/>
          <w:b/>
          <w:sz w:val="22"/>
          <w:szCs w:val="22"/>
        </w:rPr>
        <w:t xml:space="preserve"> D, </w:t>
      </w:r>
      <w:proofErr w:type="spellStart"/>
      <w:r w:rsidRPr="00782C00">
        <w:rPr>
          <w:rFonts w:ascii="Arial" w:hAnsi="Arial" w:cs="Arial"/>
          <w:b/>
          <w:sz w:val="22"/>
          <w:szCs w:val="22"/>
        </w:rPr>
        <w:t>Pauklin</w:t>
      </w:r>
      <w:proofErr w:type="spellEnd"/>
      <w:r w:rsidRPr="00782C00">
        <w:rPr>
          <w:rFonts w:ascii="Arial" w:hAnsi="Arial" w:cs="Arial"/>
          <w:b/>
          <w:sz w:val="22"/>
          <w:szCs w:val="22"/>
        </w:rPr>
        <w:t xml:space="preserve"> M, </w:t>
      </w:r>
      <w:proofErr w:type="spellStart"/>
      <w:r w:rsidRPr="00782C00">
        <w:rPr>
          <w:rFonts w:ascii="Arial" w:hAnsi="Arial" w:cs="Arial"/>
          <w:b/>
          <w:sz w:val="22"/>
          <w:szCs w:val="22"/>
        </w:rPr>
        <w:t>Thomasen</w:t>
      </w:r>
      <w:proofErr w:type="spellEnd"/>
      <w:r w:rsidRPr="00782C00">
        <w:rPr>
          <w:rFonts w:ascii="Arial" w:hAnsi="Arial" w:cs="Arial"/>
          <w:b/>
          <w:sz w:val="22"/>
          <w:szCs w:val="22"/>
        </w:rPr>
        <w:t xml:space="preserve"> H, et al. Amniotic membrane transplantation in the human eye. </w:t>
      </w:r>
      <w:proofErr w:type="spellStart"/>
      <w:r w:rsidRPr="00782C00">
        <w:rPr>
          <w:rFonts w:ascii="Arial" w:hAnsi="Arial" w:cs="Arial"/>
          <w:b/>
          <w:sz w:val="22"/>
          <w:szCs w:val="22"/>
        </w:rPr>
        <w:t>Dtsch</w:t>
      </w:r>
      <w:proofErr w:type="spellEnd"/>
      <w:r w:rsidRPr="00782C00">
        <w:rPr>
          <w:rFonts w:ascii="Arial" w:hAnsi="Arial" w:cs="Arial"/>
          <w:b/>
          <w:sz w:val="22"/>
          <w:szCs w:val="22"/>
        </w:rPr>
        <w:t xml:space="preserve"> </w:t>
      </w:r>
      <w:proofErr w:type="spellStart"/>
      <w:r w:rsidRPr="00782C00">
        <w:rPr>
          <w:rFonts w:ascii="Arial" w:hAnsi="Arial" w:cs="Arial"/>
          <w:b/>
          <w:sz w:val="22"/>
          <w:szCs w:val="22"/>
        </w:rPr>
        <w:t>Arztebl</w:t>
      </w:r>
      <w:proofErr w:type="spellEnd"/>
      <w:r w:rsidRPr="00782C00">
        <w:rPr>
          <w:rFonts w:ascii="Arial" w:hAnsi="Arial" w:cs="Arial"/>
          <w:b/>
          <w:sz w:val="22"/>
          <w:szCs w:val="22"/>
        </w:rPr>
        <w:t xml:space="preserve"> Int. 2011;108(14):243-248.</w:t>
      </w:r>
    </w:p>
    <w:p w14:paraId="2B39B904" w14:textId="77777777" w:rsidR="00782C00" w:rsidRPr="00782C00" w:rsidRDefault="00782C00" w:rsidP="00782C00">
      <w:pPr>
        <w:rPr>
          <w:rFonts w:ascii="Arial" w:hAnsi="Arial" w:cs="Arial"/>
          <w:b/>
          <w:sz w:val="22"/>
          <w:szCs w:val="22"/>
        </w:rPr>
      </w:pPr>
    </w:p>
    <w:p w14:paraId="4B539686" w14:textId="56763043" w:rsidR="00782C00" w:rsidRDefault="00782C00" w:rsidP="00782C00">
      <w:pPr>
        <w:rPr>
          <w:rFonts w:ascii="Arial" w:hAnsi="Arial" w:cs="Arial"/>
          <w:b/>
          <w:sz w:val="22"/>
          <w:szCs w:val="22"/>
        </w:rPr>
      </w:pPr>
      <w:r w:rsidRPr="00782C00">
        <w:rPr>
          <w:rFonts w:ascii="Arial" w:hAnsi="Arial" w:cs="Arial"/>
          <w:b/>
          <w:sz w:val="22"/>
          <w:szCs w:val="22"/>
        </w:rPr>
        <w:t>13</w:t>
      </w:r>
      <w:proofErr w:type="gramStart"/>
      <w:r w:rsidRPr="00782C00">
        <w:rPr>
          <w:rFonts w:ascii="Arial" w:hAnsi="Arial" w:cs="Arial"/>
          <w:b/>
          <w:sz w:val="22"/>
          <w:szCs w:val="22"/>
        </w:rPr>
        <w:t>-  Suri</w:t>
      </w:r>
      <w:proofErr w:type="gramEnd"/>
      <w:r w:rsidRPr="00782C00">
        <w:rPr>
          <w:rFonts w:ascii="Arial" w:hAnsi="Arial" w:cs="Arial"/>
          <w:b/>
          <w:sz w:val="22"/>
          <w:szCs w:val="22"/>
        </w:rPr>
        <w:t xml:space="preserve"> K, </w:t>
      </w:r>
      <w:proofErr w:type="spellStart"/>
      <w:r w:rsidRPr="00782C00">
        <w:rPr>
          <w:rFonts w:ascii="Arial" w:hAnsi="Arial" w:cs="Arial"/>
          <w:b/>
          <w:sz w:val="22"/>
          <w:szCs w:val="22"/>
        </w:rPr>
        <w:t>Kosker</w:t>
      </w:r>
      <w:proofErr w:type="spellEnd"/>
      <w:r w:rsidRPr="00782C00">
        <w:rPr>
          <w:rFonts w:ascii="Arial" w:hAnsi="Arial" w:cs="Arial"/>
          <w:b/>
          <w:sz w:val="22"/>
          <w:szCs w:val="22"/>
        </w:rPr>
        <w:t xml:space="preserve"> M, </w:t>
      </w:r>
      <w:proofErr w:type="spellStart"/>
      <w:r w:rsidRPr="00782C00">
        <w:rPr>
          <w:rFonts w:ascii="Arial" w:hAnsi="Arial" w:cs="Arial"/>
          <w:b/>
          <w:sz w:val="22"/>
          <w:szCs w:val="22"/>
        </w:rPr>
        <w:t>Raber</w:t>
      </w:r>
      <w:proofErr w:type="spellEnd"/>
      <w:r w:rsidRPr="00782C00">
        <w:rPr>
          <w:rFonts w:ascii="Arial" w:hAnsi="Arial" w:cs="Arial"/>
          <w:b/>
          <w:sz w:val="22"/>
          <w:szCs w:val="22"/>
        </w:rPr>
        <w:t xml:space="preserve"> IM, et al. </w:t>
      </w:r>
      <w:proofErr w:type="spellStart"/>
      <w:r w:rsidRPr="00782C00">
        <w:rPr>
          <w:rFonts w:ascii="Arial" w:hAnsi="Arial" w:cs="Arial"/>
          <w:b/>
          <w:sz w:val="22"/>
          <w:szCs w:val="22"/>
        </w:rPr>
        <w:t>Sutureless</w:t>
      </w:r>
      <w:proofErr w:type="spellEnd"/>
      <w:r w:rsidRPr="00782C00">
        <w:rPr>
          <w:rFonts w:ascii="Arial" w:hAnsi="Arial" w:cs="Arial"/>
          <w:b/>
          <w:sz w:val="22"/>
          <w:szCs w:val="22"/>
        </w:rPr>
        <w:t xml:space="preserve"> amniotic membrane transplantation for ocular surface disease. Am J </w:t>
      </w:r>
      <w:proofErr w:type="spellStart"/>
      <w:r w:rsidRPr="00782C00">
        <w:rPr>
          <w:rFonts w:ascii="Arial" w:hAnsi="Arial" w:cs="Arial"/>
          <w:b/>
          <w:sz w:val="22"/>
          <w:szCs w:val="22"/>
        </w:rPr>
        <w:t>Ophthalmol</w:t>
      </w:r>
      <w:proofErr w:type="spellEnd"/>
      <w:r w:rsidRPr="00782C00">
        <w:rPr>
          <w:rFonts w:ascii="Arial" w:hAnsi="Arial" w:cs="Arial"/>
          <w:b/>
          <w:sz w:val="22"/>
          <w:szCs w:val="22"/>
        </w:rPr>
        <w:t>. 2013;156(4):641-650.</w:t>
      </w:r>
    </w:p>
    <w:p w14:paraId="0F266245" w14:textId="4E94A212" w:rsidR="00750FFF" w:rsidRDefault="00750FFF" w:rsidP="00782C00">
      <w:pPr>
        <w:rPr>
          <w:rFonts w:ascii="Arial" w:hAnsi="Arial" w:cs="Arial"/>
          <w:b/>
          <w:sz w:val="22"/>
          <w:szCs w:val="22"/>
        </w:rPr>
      </w:pPr>
    </w:p>
    <w:p w14:paraId="371A5E70" w14:textId="77777777" w:rsidR="00750FFF" w:rsidRPr="00782C00" w:rsidRDefault="00750FFF" w:rsidP="00782C00">
      <w:pPr>
        <w:rPr>
          <w:rFonts w:ascii="Arial" w:hAnsi="Arial" w:cs="Arial"/>
          <w:b/>
          <w:sz w:val="22"/>
          <w:szCs w:val="22"/>
        </w:rPr>
      </w:pPr>
    </w:p>
    <w:sectPr w:rsidR="00750FFF" w:rsidRPr="00782C00" w:rsidSect="007357FF">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FFF31" w14:textId="77777777" w:rsidR="0015022F" w:rsidRDefault="0015022F" w:rsidP="00C37E61">
      <w:r>
        <w:separator/>
      </w:r>
    </w:p>
  </w:endnote>
  <w:endnote w:type="continuationSeparator" w:id="0">
    <w:p w14:paraId="06A008C1" w14:textId="77777777" w:rsidR="0015022F" w:rsidRDefault="001502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11F3" w14:textId="77777777" w:rsidR="007357FF" w:rsidRDefault="00735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3FB0F" w14:textId="77777777" w:rsidR="007357FF" w:rsidRDefault="00735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25C5" w14:textId="77777777" w:rsidR="009E048A" w:rsidRDefault="009E048A">
    <w:pPr>
      <w:pStyle w:val="Footer"/>
      <w:rPr>
        <w:rFonts w:ascii="Arial" w:hAnsi="Arial" w:cs="Arial"/>
        <w:sz w:val="16"/>
      </w:rPr>
    </w:pPr>
  </w:p>
  <w:p w14:paraId="5C83C1B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5AB90CD" w14:textId="77777777" w:rsidR="009E048A" w:rsidRDefault="009E048A">
    <w:pPr>
      <w:pStyle w:val="Footer"/>
      <w:rPr>
        <w:rFonts w:ascii="Arial" w:hAnsi="Arial" w:cs="Arial"/>
        <w:sz w:val="16"/>
      </w:rPr>
    </w:pPr>
  </w:p>
  <w:p w14:paraId="61DEE3F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6674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7BC00" w14:textId="77777777" w:rsidR="0015022F" w:rsidRDefault="0015022F" w:rsidP="00C37E61">
      <w:r>
        <w:separator/>
      </w:r>
    </w:p>
  </w:footnote>
  <w:footnote w:type="continuationSeparator" w:id="0">
    <w:p w14:paraId="1D9C091A" w14:textId="77777777" w:rsidR="0015022F" w:rsidRDefault="001502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4A78" w14:textId="27F8E4AB" w:rsidR="007357FF" w:rsidRDefault="0015022F">
    <w:pPr>
      <w:pStyle w:val="Header"/>
    </w:pPr>
    <w:r>
      <w:rPr>
        <w:noProof/>
      </w:rPr>
      <w:pict w14:anchorId="192E8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16239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41344" w14:textId="547DE8A0" w:rsidR="007357FF" w:rsidRDefault="0015022F">
    <w:pPr>
      <w:pStyle w:val="Header"/>
    </w:pPr>
    <w:r>
      <w:rPr>
        <w:noProof/>
      </w:rPr>
      <w:pict w14:anchorId="22DB5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16239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941C" w14:textId="4700ADD2" w:rsidR="00296529" w:rsidRPr="00296529" w:rsidRDefault="0015022F" w:rsidP="00296529">
    <w:pPr>
      <w:ind w:left="2160"/>
      <w:jc w:val="center"/>
      <w:rPr>
        <w:rFonts w:ascii="Times New Roman" w:eastAsia="Calibri" w:hAnsi="Times New Roman"/>
        <w:i/>
        <w:sz w:val="18"/>
        <w:szCs w:val="22"/>
      </w:rPr>
    </w:pPr>
    <w:r>
      <w:rPr>
        <w:noProof/>
      </w:rPr>
      <w:pict w14:anchorId="36466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16239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EE5F7E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6310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6B03E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82B9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1036A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0D9D6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1C7DD" w14:textId="71BE8C8D" w:rsidR="007357FF" w:rsidRDefault="0015022F">
    <w:pPr>
      <w:pStyle w:val="Header"/>
    </w:pPr>
    <w:r>
      <w:rPr>
        <w:noProof/>
      </w:rPr>
      <w:pict w14:anchorId="58453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16239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4B935" w14:textId="6951CAC6" w:rsidR="007357FF" w:rsidRDefault="0015022F">
    <w:pPr>
      <w:pStyle w:val="Header"/>
    </w:pPr>
    <w:r>
      <w:rPr>
        <w:noProof/>
      </w:rPr>
      <w:pict w14:anchorId="16F5A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16239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38B0" w14:textId="122AE6BC" w:rsidR="007357FF" w:rsidRDefault="0015022F">
    <w:pPr>
      <w:pStyle w:val="Header"/>
    </w:pPr>
    <w:r>
      <w:rPr>
        <w:noProof/>
      </w:rPr>
      <w:pict w14:anchorId="52D00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16239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E3643"/>
    <w:multiLevelType w:val="hybridMultilevel"/>
    <w:tmpl w:val="B6B83652"/>
    <w:lvl w:ilvl="0" w:tplc="73CE3770">
      <w:start w:val="1"/>
      <w:numFmt w:val="decimal"/>
      <w:lvlText w:val="%1."/>
      <w:lvlJc w:val="left"/>
      <w:pPr>
        <w:tabs>
          <w:tab w:val="num" w:pos="720"/>
        </w:tabs>
        <w:ind w:left="720" w:hanging="360"/>
      </w:pPr>
    </w:lvl>
    <w:lvl w:ilvl="1" w:tplc="22C2B29C" w:tentative="1">
      <w:start w:val="1"/>
      <w:numFmt w:val="decimal"/>
      <w:lvlText w:val="%2."/>
      <w:lvlJc w:val="left"/>
      <w:pPr>
        <w:tabs>
          <w:tab w:val="num" w:pos="1440"/>
        </w:tabs>
        <w:ind w:left="1440" w:hanging="360"/>
      </w:pPr>
    </w:lvl>
    <w:lvl w:ilvl="2" w:tplc="BE067CA4" w:tentative="1">
      <w:start w:val="1"/>
      <w:numFmt w:val="decimal"/>
      <w:lvlText w:val="%3."/>
      <w:lvlJc w:val="left"/>
      <w:pPr>
        <w:tabs>
          <w:tab w:val="num" w:pos="2160"/>
        </w:tabs>
        <w:ind w:left="2160" w:hanging="360"/>
      </w:pPr>
    </w:lvl>
    <w:lvl w:ilvl="3" w:tplc="0954353A" w:tentative="1">
      <w:start w:val="1"/>
      <w:numFmt w:val="decimal"/>
      <w:lvlText w:val="%4."/>
      <w:lvlJc w:val="left"/>
      <w:pPr>
        <w:tabs>
          <w:tab w:val="num" w:pos="2880"/>
        </w:tabs>
        <w:ind w:left="2880" w:hanging="360"/>
      </w:pPr>
    </w:lvl>
    <w:lvl w:ilvl="4" w:tplc="3BDE2012" w:tentative="1">
      <w:start w:val="1"/>
      <w:numFmt w:val="decimal"/>
      <w:lvlText w:val="%5."/>
      <w:lvlJc w:val="left"/>
      <w:pPr>
        <w:tabs>
          <w:tab w:val="num" w:pos="3600"/>
        </w:tabs>
        <w:ind w:left="3600" w:hanging="360"/>
      </w:pPr>
    </w:lvl>
    <w:lvl w:ilvl="5" w:tplc="CE30B694" w:tentative="1">
      <w:start w:val="1"/>
      <w:numFmt w:val="decimal"/>
      <w:lvlText w:val="%6."/>
      <w:lvlJc w:val="left"/>
      <w:pPr>
        <w:tabs>
          <w:tab w:val="num" w:pos="4320"/>
        </w:tabs>
        <w:ind w:left="4320" w:hanging="360"/>
      </w:pPr>
    </w:lvl>
    <w:lvl w:ilvl="6" w:tplc="FB0C8AF0" w:tentative="1">
      <w:start w:val="1"/>
      <w:numFmt w:val="decimal"/>
      <w:lvlText w:val="%7."/>
      <w:lvlJc w:val="left"/>
      <w:pPr>
        <w:tabs>
          <w:tab w:val="num" w:pos="5040"/>
        </w:tabs>
        <w:ind w:left="5040" w:hanging="360"/>
      </w:pPr>
    </w:lvl>
    <w:lvl w:ilvl="7" w:tplc="9724C682" w:tentative="1">
      <w:start w:val="1"/>
      <w:numFmt w:val="decimal"/>
      <w:lvlText w:val="%8."/>
      <w:lvlJc w:val="left"/>
      <w:pPr>
        <w:tabs>
          <w:tab w:val="num" w:pos="5760"/>
        </w:tabs>
        <w:ind w:left="5760" w:hanging="360"/>
      </w:pPr>
    </w:lvl>
    <w:lvl w:ilvl="8" w:tplc="DEC2450A"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694"/>
    <w:rsid w:val="00021CA3"/>
    <w:rsid w:val="00030174"/>
    <w:rsid w:val="00037C8E"/>
    <w:rsid w:val="00040DC0"/>
    <w:rsid w:val="0004579C"/>
    <w:rsid w:val="000A47FA"/>
    <w:rsid w:val="000A65D3"/>
    <w:rsid w:val="000B1E33"/>
    <w:rsid w:val="000D689F"/>
    <w:rsid w:val="000D6E17"/>
    <w:rsid w:val="000E7B7B"/>
    <w:rsid w:val="000E7D62"/>
    <w:rsid w:val="000F0292"/>
    <w:rsid w:val="000F0C19"/>
    <w:rsid w:val="00101F33"/>
    <w:rsid w:val="00103357"/>
    <w:rsid w:val="0011379F"/>
    <w:rsid w:val="00123C9F"/>
    <w:rsid w:val="00126190"/>
    <w:rsid w:val="00130F17"/>
    <w:rsid w:val="001320BF"/>
    <w:rsid w:val="0015022F"/>
    <w:rsid w:val="001571AF"/>
    <w:rsid w:val="00163BC4"/>
    <w:rsid w:val="00191062"/>
    <w:rsid w:val="00192B72"/>
    <w:rsid w:val="00192ED7"/>
    <w:rsid w:val="001A29D8"/>
    <w:rsid w:val="001A5CAA"/>
    <w:rsid w:val="001B0427"/>
    <w:rsid w:val="001B1C34"/>
    <w:rsid w:val="001D3A51"/>
    <w:rsid w:val="001E10D2"/>
    <w:rsid w:val="001E25B4"/>
    <w:rsid w:val="001E44FE"/>
    <w:rsid w:val="00200595"/>
    <w:rsid w:val="00204835"/>
    <w:rsid w:val="00231920"/>
    <w:rsid w:val="0023195C"/>
    <w:rsid w:val="0024282C"/>
    <w:rsid w:val="002460DC"/>
    <w:rsid w:val="00250985"/>
    <w:rsid w:val="002556F6"/>
    <w:rsid w:val="00283105"/>
    <w:rsid w:val="00283C6C"/>
    <w:rsid w:val="00284C4C"/>
    <w:rsid w:val="00287E68"/>
    <w:rsid w:val="00296529"/>
    <w:rsid w:val="002A5A32"/>
    <w:rsid w:val="002B0787"/>
    <w:rsid w:val="002B27FB"/>
    <w:rsid w:val="002B685A"/>
    <w:rsid w:val="002C57D2"/>
    <w:rsid w:val="002E0D56"/>
    <w:rsid w:val="0031219E"/>
    <w:rsid w:val="00315186"/>
    <w:rsid w:val="0033343E"/>
    <w:rsid w:val="003512C2"/>
    <w:rsid w:val="00355A22"/>
    <w:rsid w:val="00371FB6"/>
    <w:rsid w:val="003763C1"/>
    <w:rsid w:val="00376BBE"/>
    <w:rsid w:val="0039224F"/>
    <w:rsid w:val="0039715A"/>
    <w:rsid w:val="003A43A4"/>
    <w:rsid w:val="003A7E18"/>
    <w:rsid w:val="003B00D2"/>
    <w:rsid w:val="003B48EB"/>
    <w:rsid w:val="003B7E32"/>
    <w:rsid w:val="003C4C86"/>
    <w:rsid w:val="003C6258"/>
    <w:rsid w:val="003E2904"/>
    <w:rsid w:val="00401927"/>
    <w:rsid w:val="0041027F"/>
    <w:rsid w:val="00412475"/>
    <w:rsid w:val="00423789"/>
    <w:rsid w:val="00440F43"/>
    <w:rsid w:val="00441B6F"/>
    <w:rsid w:val="00446221"/>
    <w:rsid w:val="00450E62"/>
    <w:rsid w:val="004539DB"/>
    <w:rsid w:val="00471A80"/>
    <w:rsid w:val="00475329"/>
    <w:rsid w:val="00495BD7"/>
    <w:rsid w:val="004A37AE"/>
    <w:rsid w:val="004D305E"/>
    <w:rsid w:val="004D4277"/>
    <w:rsid w:val="00502516"/>
    <w:rsid w:val="00505F06"/>
    <w:rsid w:val="00506828"/>
    <w:rsid w:val="0053056E"/>
    <w:rsid w:val="00544722"/>
    <w:rsid w:val="00554FDA"/>
    <w:rsid w:val="005707A7"/>
    <w:rsid w:val="00570D0D"/>
    <w:rsid w:val="00577A0F"/>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1699"/>
    <w:rsid w:val="00696340"/>
    <w:rsid w:val="006967F7"/>
    <w:rsid w:val="006A250C"/>
    <w:rsid w:val="006A2B43"/>
    <w:rsid w:val="006B21D3"/>
    <w:rsid w:val="006B57D0"/>
    <w:rsid w:val="006D30FF"/>
    <w:rsid w:val="006D3817"/>
    <w:rsid w:val="006D6940"/>
    <w:rsid w:val="006F11EC"/>
    <w:rsid w:val="007001AB"/>
    <w:rsid w:val="0070082C"/>
    <w:rsid w:val="00703E09"/>
    <w:rsid w:val="007357FF"/>
    <w:rsid w:val="007369E6"/>
    <w:rsid w:val="00741DE9"/>
    <w:rsid w:val="00746E59"/>
    <w:rsid w:val="00750FFF"/>
    <w:rsid w:val="00754C9A"/>
    <w:rsid w:val="0075599A"/>
    <w:rsid w:val="0075772B"/>
    <w:rsid w:val="0076003F"/>
    <w:rsid w:val="00761D52"/>
    <w:rsid w:val="0077749E"/>
    <w:rsid w:val="00782C00"/>
    <w:rsid w:val="00790ADA"/>
    <w:rsid w:val="00791D61"/>
    <w:rsid w:val="007D2288"/>
    <w:rsid w:val="007E088F"/>
    <w:rsid w:val="007F7B32"/>
    <w:rsid w:val="00804BC2"/>
    <w:rsid w:val="00812FDE"/>
    <w:rsid w:val="0081431A"/>
    <w:rsid w:val="0083216F"/>
    <w:rsid w:val="00860000"/>
    <w:rsid w:val="00863BD3"/>
    <w:rsid w:val="008641ED"/>
    <w:rsid w:val="00866D66"/>
    <w:rsid w:val="008671C6"/>
    <w:rsid w:val="00875803"/>
    <w:rsid w:val="00891D1D"/>
    <w:rsid w:val="00897F2D"/>
    <w:rsid w:val="008A424A"/>
    <w:rsid w:val="008A64A6"/>
    <w:rsid w:val="008B459E"/>
    <w:rsid w:val="008B4C7C"/>
    <w:rsid w:val="008D6869"/>
    <w:rsid w:val="008E13AE"/>
    <w:rsid w:val="008E1506"/>
    <w:rsid w:val="008E710C"/>
    <w:rsid w:val="008F543E"/>
    <w:rsid w:val="008F69D6"/>
    <w:rsid w:val="00902823"/>
    <w:rsid w:val="009049BA"/>
    <w:rsid w:val="00915CA6"/>
    <w:rsid w:val="00927834"/>
    <w:rsid w:val="009500A6"/>
    <w:rsid w:val="00957C18"/>
    <w:rsid w:val="0096457A"/>
    <w:rsid w:val="009659BA"/>
    <w:rsid w:val="00983040"/>
    <w:rsid w:val="009B3FB9"/>
    <w:rsid w:val="009C2465"/>
    <w:rsid w:val="009D35A0"/>
    <w:rsid w:val="009D757D"/>
    <w:rsid w:val="009D7EB7"/>
    <w:rsid w:val="009E048A"/>
    <w:rsid w:val="009E08E9"/>
    <w:rsid w:val="009E3DB9"/>
    <w:rsid w:val="009E6E35"/>
    <w:rsid w:val="009E749F"/>
    <w:rsid w:val="009F0EDA"/>
    <w:rsid w:val="00A03B96"/>
    <w:rsid w:val="00A05B19"/>
    <w:rsid w:val="00A1134E"/>
    <w:rsid w:val="00A24E7E"/>
    <w:rsid w:val="00A258C3"/>
    <w:rsid w:val="00A347C0"/>
    <w:rsid w:val="00A35637"/>
    <w:rsid w:val="00A51431"/>
    <w:rsid w:val="00A539AD"/>
    <w:rsid w:val="00A863BF"/>
    <w:rsid w:val="00A87D8B"/>
    <w:rsid w:val="00A94063"/>
    <w:rsid w:val="00AA6219"/>
    <w:rsid w:val="00AA74E0"/>
    <w:rsid w:val="00AB703F"/>
    <w:rsid w:val="00AC6BB8"/>
    <w:rsid w:val="00AE008F"/>
    <w:rsid w:val="00AE65F2"/>
    <w:rsid w:val="00B01FCD"/>
    <w:rsid w:val="00B1776C"/>
    <w:rsid w:val="00B2646C"/>
    <w:rsid w:val="00B52583"/>
    <w:rsid w:val="00B52896"/>
    <w:rsid w:val="00B71A01"/>
    <w:rsid w:val="00B76A23"/>
    <w:rsid w:val="00B94523"/>
    <w:rsid w:val="00B95236"/>
    <w:rsid w:val="00B96BD9"/>
    <w:rsid w:val="00B9706E"/>
    <w:rsid w:val="00BA1B01"/>
    <w:rsid w:val="00BA2641"/>
    <w:rsid w:val="00BB37AA"/>
    <w:rsid w:val="00BC53A0"/>
    <w:rsid w:val="00BE62AD"/>
    <w:rsid w:val="00BF121F"/>
    <w:rsid w:val="00BF1F80"/>
    <w:rsid w:val="00C03FEB"/>
    <w:rsid w:val="00C166EF"/>
    <w:rsid w:val="00C17EB0"/>
    <w:rsid w:val="00C27F5F"/>
    <w:rsid w:val="00C30A0F"/>
    <w:rsid w:val="00C37E61"/>
    <w:rsid w:val="00C66665"/>
    <w:rsid w:val="00C70F1B"/>
    <w:rsid w:val="00C71A47"/>
    <w:rsid w:val="00C7464C"/>
    <w:rsid w:val="00C85588"/>
    <w:rsid w:val="00CA3984"/>
    <w:rsid w:val="00CD6755"/>
    <w:rsid w:val="00CD6856"/>
    <w:rsid w:val="00CE0089"/>
    <w:rsid w:val="00CE793C"/>
    <w:rsid w:val="00CF193C"/>
    <w:rsid w:val="00D06804"/>
    <w:rsid w:val="00D173F1"/>
    <w:rsid w:val="00D44844"/>
    <w:rsid w:val="00D60B50"/>
    <w:rsid w:val="00D74CB0"/>
    <w:rsid w:val="00D8295D"/>
    <w:rsid w:val="00DC2A65"/>
    <w:rsid w:val="00DD508B"/>
    <w:rsid w:val="00DE15F0"/>
    <w:rsid w:val="00DE5663"/>
    <w:rsid w:val="00DE78AA"/>
    <w:rsid w:val="00E053D0"/>
    <w:rsid w:val="00E15994"/>
    <w:rsid w:val="00E3114E"/>
    <w:rsid w:val="00E31A70"/>
    <w:rsid w:val="00E35B02"/>
    <w:rsid w:val="00E3651C"/>
    <w:rsid w:val="00E64980"/>
    <w:rsid w:val="00E66496"/>
    <w:rsid w:val="00E66B35"/>
    <w:rsid w:val="00E66E10"/>
    <w:rsid w:val="00E673B4"/>
    <w:rsid w:val="00E769F6"/>
    <w:rsid w:val="00E8407C"/>
    <w:rsid w:val="00E84F3C"/>
    <w:rsid w:val="00E91CB7"/>
    <w:rsid w:val="00EA012C"/>
    <w:rsid w:val="00EC6A55"/>
    <w:rsid w:val="00ED0288"/>
    <w:rsid w:val="00ED1904"/>
    <w:rsid w:val="00EE52CB"/>
    <w:rsid w:val="00EF581D"/>
    <w:rsid w:val="00EF7FD8"/>
    <w:rsid w:val="00F06F59"/>
    <w:rsid w:val="00F17988"/>
    <w:rsid w:val="00F469F0"/>
    <w:rsid w:val="00F53273"/>
    <w:rsid w:val="00F61EA8"/>
    <w:rsid w:val="00F755E4"/>
    <w:rsid w:val="00F77D02"/>
    <w:rsid w:val="00F80351"/>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D3855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49B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A2B43"/>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3971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5928136">
      <w:bodyDiv w:val="1"/>
      <w:marLeft w:val="0"/>
      <w:marRight w:val="0"/>
      <w:marTop w:val="0"/>
      <w:marBottom w:val="0"/>
      <w:divBdr>
        <w:top w:val="none" w:sz="0" w:space="0" w:color="auto"/>
        <w:left w:val="none" w:sz="0" w:space="0" w:color="auto"/>
        <w:bottom w:val="none" w:sz="0" w:space="0" w:color="auto"/>
        <w:right w:val="none" w:sz="0" w:space="0" w:color="auto"/>
      </w:divBdr>
    </w:div>
    <w:div w:id="12374233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395983">
      <w:bodyDiv w:val="1"/>
      <w:marLeft w:val="0"/>
      <w:marRight w:val="0"/>
      <w:marTop w:val="0"/>
      <w:marBottom w:val="0"/>
      <w:divBdr>
        <w:top w:val="none" w:sz="0" w:space="0" w:color="auto"/>
        <w:left w:val="none" w:sz="0" w:space="0" w:color="auto"/>
        <w:bottom w:val="none" w:sz="0" w:space="0" w:color="auto"/>
        <w:right w:val="none" w:sz="0" w:space="0" w:color="auto"/>
      </w:divBdr>
      <w:divsChild>
        <w:div w:id="1940521631">
          <w:marLeft w:val="547"/>
          <w:marRight w:val="0"/>
          <w:marTop w:val="0"/>
          <w:marBottom w:val="0"/>
          <w:divBdr>
            <w:top w:val="none" w:sz="0" w:space="0" w:color="auto"/>
            <w:left w:val="none" w:sz="0" w:space="0" w:color="auto"/>
            <w:bottom w:val="none" w:sz="0" w:space="0" w:color="auto"/>
            <w:right w:val="none" w:sz="0" w:space="0" w:color="auto"/>
          </w:divBdr>
        </w:div>
        <w:div w:id="1909879099">
          <w:marLeft w:val="547"/>
          <w:marRight w:val="0"/>
          <w:marTop w:val="0"/>
          <w:marBottom w:val="0"/>
          <w:divBdr>
            <w:top w:val="none" w:sz="0" w:space="0" w:color="auto"/>
            <w:left w:val="none" w:sz="0" w:space="0" w:color="auto"/>
            <w:bottom w:val="none" w:sz="0" w:space="0" w:color="auto"/>
            <w:right w:val="none" w:sz="0" w:space="0" w:color="auto"/>
          </w:divBdr>
        </w:div>
      </w:divsChild>
    </w:div>
    <w:div w:id="17743387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5840539">
      <w:bodyDiv w:val="1"/>
      <w:marLeft w:val="0"/>
      <w:marRight w:val="0"/>
      <w:marTop w:val="0"/>
      <w:marBottom w:val="0"/>
      <w:divBdr>
        <w:top w:val="none" w:sz="0" w:space="0" w:color="auto"/>
        <w:left w:val="none" w:sz="0" w:space="0" w:color="auto"/>
        <w:bottom w:val="none" w:sz="0" w:space="0" w:color="auto"/>
        <w:right w:val="none" w:sz="0" w:space="0" w:color="auto"/>
      </w:divBdr>
    </w:div>
    <w:div w:id="418990935">
      <w:bodyDiv w:val="1"/>
      <w:marLeft w:val="0"/>
      <w:marRight w:val="0"/>
      <w:marTop w:val="0"/>
      <w:marBottom w:val="0"/>
      <w:divBdr>
        <w:top w:val="none" w:sz="0" w:space="0" w:color="auto"/>
        <w:left w:val="none" w:sz="0" w:space="0" w:color="auto"/>
        <w:bottom w:val="none" w:sz="0" w:space="0" w:color="auto"/>
        <w:right w:val="none" w:sz="0" w:space="0" w:color="auto"/>
      </w:divBdr>
    </w:div>
    <w:div w:id="431167506">
      <w:bodyDiv w:val="1"/>
      <w:marLeft w:val="0"/>
      <w:marRight w:val="0"/>
      <w:marTop w:val="0"/>
      <w:marBottom w:val="0"/>
      <w:divBdr>
        <w:top w:val="none" w:sz="0" w:space="0" w:color="auto"/>
        <w:left w:val="none" w:sz="0" w:space="0" w:color="auto"/>
        <w:bottom w:val="none" w:sz="0" w:space="0" w:color="auto"/>
        <w:right w:val="none" w:sz="0" w:space="0" w:color="auto"/>
      </w:divBdr>
    </w:div>
    <w:div w:id="50987925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2629401">
      <w:bodyDiv w:val="1"/>
      <w:marLeft w:val="0"/>
      <w:marRight w:val="0"/>
      <w:marTop w:val="0"/>
      <w:marBottom w:val="0"/>
      <w:divBdr>
        <w:top w:val="none" w:sz="0" w:space="0" w:color="auto"/>
        <w:left w:val="none" w:sz="0" w:space="0" w:color="auto"/>
        <w:bottom w:val="none" w:sz="0" w:space="0" w:color="auto"/>
        <w:right w:val="none" w:sz="0" w:space="0" w:color="auto"/>
      </w:divBdr>
    </w:div>
    <w:div w:id="779377697">
      <w:bodyDiv w:val="1"/>
      <w:marLeft w:val="0"/>
      <w:marRight w:val="0"/>
      <w:marTop w:val="0"/>
      <w:marBottom w:val="0"/>
      <w:divBdr>
        <w:top w:val="none" w:sz="0" w:space="0" w:color="auto"/>
        <w:left w:val="none" w:sz="0" w:space="0" w:color="auto"/>
        <w:bottom w:val="none" w:sz="0" w:space="0" w:color="auto"/>
        <w:right w:val="none" w:sz="0" w:space="0" w:color="auto"/>
      </w:divBdr>
    </w:div>
    <w:div w:id="810250728">
      <w:bodyDiv w:val="1"/>
      <w:marLeft w:val="0"/>
      <w:marRight w:val="0"/>
      <w:marTop w:val="0"/>
      <w:marBottom w:val="0"/>
      <w:divBdr>
        <w:top w:val="none" w:sz="0" w:space="0" w:color="auto"/>
        <w:left w:val="none" w:sz="0" w:space="0" w:color="auto"/>
        <w:bottom w:val="none" w:sz="0" w:space="0" w:color="auto"/>
        <w:right w:val="none" w:sz="0" w:space="0" w:color="auto"/>
      </w:divBdr>
    </w:div>
    <w:div w:id="863175660">
      <w:bodyDiv w:val="1"/>
      <w:marLeft w:val="0"/>
      <w:marRight w:val="0"/>
      <w:marTop w:val="0"/>
      <w:marBottom w:val="0"/>
      <w:divBdr>
        <w:top w:val="none" w:sz="0" w:space="0" w:color="auto"/>
        <w:left w:val="none" w:sz="0" w:space="0" w:color="auto"/>
        <w:bottom w:val="none" w:sz="0" w:space="0" w:color="auto"/>
        <w:right w:val="none" w:sz="0" w:space="0" w:color="auto"/>
      </w:divBdr>
    </w:div>
    <w:div w:id="93382356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8079407">
      <w:bodyDiv w:val="1"/>
      <w:marLeft w:val="0"/>
      <w:marRight w:val="0"/>
      <w:marTop w:val="0"/>
      <w:marBottom w:val="0"/>
      <w:divBdr>
        <w:top w:val="none" w:sz="0" w:space="0" w:color="auto"/>
        <w:left w:val="none" w:sz="0" w:space="0" w:color="auto"/>
        <w:bottom w:val="none" w:sz="0" w:space="0" w:color="auto"/>
        <w:right w:val="none" w:sz="0" w:space="0" w:color="auto"/>
      </w:divBdr>
    </w:div>
    <w:div w:id="998462876">
      <w:bodyDiv w:val="1"/>
      <w:marLeft w:val="0"/>
      <w:marRight w:val="0"/>
      <w:marTop w:val="0"/>
      <w:marBottom w:val="0"/>
      <w:divBdr>
        <w:top w:val="none" w:sz="0" w:space="0" w:color="auto"/>
        <w:left w:val="none" w:sz="0" w:space="0" w:color="auto"/>
        <w:bottom w:val="none" w:sz="0" w:space="0" w:color="auto"/>
        <w:right w:val="none" w:sz="0" w:space="0" w:color="auto"/>
      </w:divBdr>
      <w:divsChild>
        <w:div w:id="909577346">
          <w:marLeft w:val="547"/>
          <w:marRight w:val="0"/>
          <w:marTop w:val="0"/>
          <w:marBottom w:val="0"/>
          <w:divBdr>
            <w:top w:val="none" w:sz="0" w:space="0" w:color="auto"/>
            <w:left w:val="none" w:sz="0" w:space="0" w:color="auto"/>
            <w:bottom w:val="none" w:sz="0" w:space="0" w:color="auto"/>
            <w:right w:val="none" w:sz="0" w:space="0" w:color="auto"/>
          </w:divBdr>
        </w:div>
        <w:div w:id="839319784">
          <w:marLeft w:val="547"/>
          <w:marRight w:val="0"/>
          <w:marTop w:val="0"/>
          <w:marBottom w:val="0"/>
          <w:divBdr>
            <w:top w:val="none" w:sz="0" w:space="0" w:color="auto"/>
            <w:left w:val="none" w:sz="0" w:space="0" w:color="auto"/>
            <w:bottom w:val="none" w:sz="0" w:space="0" w:color="auto"/>
            <w:right w:val="none" w:sz="0" w:space="0" w:color="auto"/>
          </w:divBdr>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49858554">
      <w:bodyDiv w:val="1"/>
      <w:marLeft w:val="0"/>
      <w:marRight w:val="0"/>
      <w:marTop w:val="0"/>
      <w:marBottom w:val="0"/>
      <w:divBdr>
        <w:top w:val="none" w:sz="0" w:space="0" w:color="auto"/>
        <w:left w:val="none" w:sz="0" w:space="0" w:color="auto"/>
        <w:bottom w:val="none" w:sz="0" w:space="0" w:color="auto"/>
        <w:right w:val="none" w:sz="0" w:space="0" w:color="auto"/>
      </w:divBdr>
    </w:div>
    <w:div w:id="1523936400">
      <w:bodyDiv w:val="1"/>
      <w:marLeft w:val="0"/>
      <w:marRight w:val="0"/>
      <w:marTop w:val="0"/>
      <w:marBottom w:val="0"/>
      <w:divBdr>
        <w:top w:val="none" w:sz="0" w:space="0" w:color="auto"/>
        <w:left w:val="none" w:sz="0" w:space="0" w:color="auto"/>
        <w:bottom w:val="none" w:sz="0" w:space="0" w:color="auto"/>
        <w:right w:val="none" w:sz="0" w:space="0" w:color="auto"/>
      </w:divBdr>
    </w:div>
    <w:div w:id="171461872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0223122">
      <w:bodyDiv w:val="1"/>
      <w:marLeft w:val="0"/>
      <w:marRight w:val="0"/>
      <w:marTop w:val="0"/>
      <w:marBottom w:val="0"/>
      <w:divBdr>
        <w:top w:val="none" w:sz="0" w:space="0" w:color="auto"/>
        <w:left w:val="none" w:sz="0" w:space="0" w:color="auto"/>
        <w:bottom w:val="none" w:sz="0" w:space="0" w:color="auto"/>
        <w:right w:val="none" w:sz="0" w:space="0" w:color="auto"/>
      </w:divBdr>
    </w:div>
    <w:div w:id="192383691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3C6A8-B3C9-4DFB-9FD8-B7CC8CB2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7</Pages>
  <Words>1910</Words>
  <Characters>10888</Characters>
  <Application>Microsoft Office Word</Application>
  <DocSecurity>0</DocSecurity>
  <Lines>90</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12773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5</cp:revision>
  <cp:lastPrinted>1999-07-06T11:00:00Z</cp:lastPrinted>
  <dcterms:created xsi:type="dcterms:W3CDTF">2026-03-17T21:46:00Z</dcterms:created>
  <dcterms:modified xsi:type="dcterms:W3CDTF">2026-03-19T12:06:00Z</dcterms:modified>
</cp:coreProperties>
</file>