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6A2" w:rsidRPr="00D040F5" w:rsidRDefault="00D040F5" w:rsidP="002E5B1A">
      <w:pPr>
        <w:pStyle w:val="NormalWeb"/>
        <w:rPr>
          <w:rFonts w:asciiTheme="minorBidi" w:hAnsiTheme="minorBidi" w:cstheme="minorBidi"/>
          <w:sz w:val="20"/>
          <w:szCs w:val="20"/>
          <w:highlight w:val="yellow"/>
        </w:rPr>
      </w:pPr>
      <w:bookmarkStart w:id="0" w:name="_GoBack"/>
      <w:bookmarkEnd w:id="0"/>
      <w:r w:rsidRPr="00D040F5">
        <w:rPr>
          <w:rFonts w:asciiTheme="minorBidi" w:hAnsiTheme="minorBidi" w:cstheme="minorBidi"/>
          <w:sz w:val="20"/>
          <w:szCs w:val="20"/>
          <w:highlight w:val="yellow"/>
        </w:rPr>
        <w:t>An Exceptional Femoral Artery Aneurysm in Severe Vasculo-Behçet Disease Associated with Hughes–Stovin Syndrome: A Case Report</w:t>
      </w:r>
    </w:p>
    <w:p w:rsidR="00D040F5" w:rsidRPr="00D040F5" w:rsidRDefault="00D040F5" w:rsidP="002E5B1A">
      <w:pPr>
        <w:pStyle w:val="NormalWeb"/>
        <w:rPr>
          <w:rFonts w:asciiTheme="minorBidi" w:hAnsiTheme="minorBidi" w:cstheme="minorBidi"/>
          <w:sz w:val="20"/>
          <w:szCs w:val="20"/>
          <w:highlight w:val="yellow"/>
        </w:rPr>
      </w:pPr>
    </w:p>
    <w:p w:rsidR="002E5B1A" w:rsidRPr="00F26704" w:rsidRDefault="002E5B1A" w:rsidP="002E5B1A">
      <w:pPr>
        <w:pStyle w:val="Heading2"/>
        <w:rPr>
          <w:rFonts w:asciiTheme="minorBidi" w:hAnsiTheme="minorBidi" w:cstheme="minorBidi"/>
          <w:sz w:val="20"/>
          <w:szCs w:val="20"/>
        </w:rPr>
      </w:pPr>
      <w:r w:rsidRPr="00F26704">
        <w:rPr>
          <w:rFonts w:asciiTheme="minorBidi" w:hAnsiTheme="minorBidi" w:cstheme="minorBidi"/>
          <w:sz w:val="20"/>
          <w:szCs w:val="20"/>
        </w:rPr>
        <w:t>Abstract :</w:t>
      </w:r>
    </w:p>
    <w:p w:rsidR="002E5B1A" w:rsidRDefault="002E5B1A" w:rsidP="002E5B1A">
      <w:pPr>
        <w:pStyle w:val="Heading2"/>
        <w:rPr>
          <w:rFonts w:asciiTheme="minorBidi" w:hAnsiTheme="minorBidi" w:cstheme="minorBidi"/>
          <w:sz w:val="20"/>
          <w:szCs w:val="20"/>
        </w:rPr>
      </w:pPr>
      <w:r w:rsidRPr="00F26704">
        <w:rPr>
          <w:rFonts w:asciiTheme="minorBidi" w:hAnsiTheme="minorBidi" w:cstheme="minorBidi"/>
          <w:sz w:val="20"/>
          <w:szCs w:val="20"/>
        </w:rPr>
        <w:t>Introduction</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Arterial aneurysmal involvement in Behçet’s disease represents one of the most severe vascular manifestations and constitutes a major therapeutic challenge.</w:t>
      </w:r>
      <w:r w:rsidR="00B23A74" w:rsidRPr="00B23A74">
        <w:rPr>
          <w:rFonts w:asciiTheme="minorBidi" w:eastAsia="Times New Roman" w:hAnsiTheme="minorBidi"/>
          <w:sz w:val="20"/>
          <w:szCs w:val="20"/>
          <w:lang w:eastAsia="fr-FR"/>
        </w:rPr>
        <w:t xml:space="preserve"> </w:t>
      </w:r>
      <w:r w:rsidR="00B23A74" w:rsidRPr="00B23A74">
        <w:rPr>
          <w:rFonts w:asciiTheme="minorBidi" w:hAnsiTheme="minorBidi"/>
          <w:sz w:val="20"/>
          <w:szCs w:val="20"/>
        </w:rPr>
        <w:t>This is a serious vascular complication, occurring in 3-5% of cases, often in young people.</w:t>
      </w:r>
      <w:r w:rsidRPr="00EC3EC8">
        <w:rPr>
          <w:rFonts w:asciiTheme="minorBidi" w:eastAsia="Times New Roman" w:hAnsiTheme="minorBidi"/>
          <w:sz w:val="20"/>
          <w:szCs w:val="20"/>
          <w:lang w:eastAsia="fr-FR"/>
        </w:rPr>
        <w:t xml:space="preserve"> It results from an intense inflammatory process affecting the vascular wall, leading to destruction of the elastic and muscular components of the artery and consequently promoting the formation of pseudoaneurysms. These lesions are particularly concerning because of their often rapid and unpredictable progression, with a high risk of spontaneous rupture that may be life-threatening. The most frequently reported locations involve the pulmonary arteries, the aorta, and peripheral arteries, particularly the femoral arteries.</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The management of these vascular complications primarily relies on strict control of inflammation through intensive immunosuppressive therapy aimed at stabilizing the disease and preventing the progression of vascular lesions. Surgical or endovascular intervention may subsequently be required in certain situations, particularly in the presence of large, symptomatic aneurysms or those at high risk of rupture. However, these procedures remain technically challenging due to the underlying inflammatory environment and the risk of aneurysmal recurrence or postoperative complications.</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Hughes–Stovin syndrome is a rare disorder of still poorly understood etiology, characterized by the association of pulmonary artery aneurysms and deep venous thrombosis, and is often considered a particular or incomplete form of Behçet’s disease. We report the case of a patient hospitalized in the internal medicine department in whom the diagnosis of Behçet’s disease was established, presenting an exceptional vascular manifestation consisting of a thrombosed aneurysm of the left superficial femoral artery associated with Hughes–Stovin syndrome.</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This case highlights the potential severity of arterial involvement in Behçet’s disease and emphasizes the importance of early diagnosis and prompt multidisciplinary therapeutic management. Close clinical and radiological monitoring is essential to detect early progression of vascular lesions and to reduce the risk of severe complications, particularly aneurysmal rupture, massive hemorrhage, and related morbidity.</w:t>
      </w:r>
    </w:p>
    <w:p w:rsidR="00EC3EC8" w:rsidRPr="00F26704" w:rsidRDefault="00EC3EC8" w:rsidP="002E5B1A">
      <w:pPr>
        <w:pStyle w:val="Heading2"/>
        <w:rPr>
          <w:rFonts w:asciiTheme="minorBidi" w:hAnsiTheme="minorBidi" w:cstheme="minorBidi"/>
          <w:sz w:val="20"/>
          <w:szCs w:val="20"/>
        </w:rPr>
      </w:pPr>
    </w:p>
    <w:p w:rsidR="002E5B1A" w:rsidRPr="00F26704" w:rsidRDefault="002E5B1A" w:rsidP="002E5B1A">
      <w:pPr>
        <w:pStyle w:val="NormalWeb"/>
        <w:rPr>
          <w:rFonts w:asciiTheme="minorBidi" w:hAnsiTheme="minorBidi" w:cstheme="minorBidi"/>
          <w:b/>
          <w:bCs/>
          <w:sz w:val="20"/>
          <w:szCs w:val="20"/>
        </w:rPr>
      </w:pPr>
      <w:r w:rsidRPr="00F26704">
        <w:rPr>
          <w:rFonts w:asciiTheme="minorBidi" w:hAnsiTheme="minorBidi" w:cstheme="minorBidi"/>
          <w:b/>
          <w:bCs/>
          <w:sz w:val="20"/>
          <w:szCs w:val="20"/>
        </w:rPr>
        <w:t>Case report :</w:t>
      </w: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We report the case of a patient with Behçet’s disease presenting an unusual vascular manifestation consisting of a thrombosed aneurysm of the left superficial femoral artery associated with pulmonary artery aneurysm and deep venous thrombosis, suggesting Hughes-Stovin syndrome.</w:t>
      </w:r>
    </w:p>
    <w:p w:rsidR="002E5B1A" w:rsidRPr="002E5B1A" w:rsidRDefault="002E5B1A" w:rsidP="002E5B1A">
      <w:pPr>
        <w:spacing w:before="100" w:beforeAutospacing="1" w:after="100" w:afterAutospacing="1" w:line="240" w:lineRule="auto"/>
        <w:outlineLvl w:val="0"/>
        <w:rPr>
          <w:rFonts w:asciiTheme="minorBidi" w:eastAsia="Times New Roman" w:hAnsiTheme="minorBidi"/>
          <w:b/>
          <w:bCs/>
          <w:kern w:val="36"/>
          <w:sz w:val="20"/>
          <w:szCs w:val="20"/>
          <w:lang w:eastAsia="fr-FR"/>
        </w:rPr>
      </w:pPr>
      <w:r w:rsidRPr="00F26704">
        <w:rPr>
          <w:rFonts w:asciiTheme="minorBidi" w:eastAsia="Times New Roman" w:hAnsiTheme="minorBidi"/>
          <w:b/>
          <w:bCs/>
          <w:kern w:val="36"/>
          <w:sz w:val="20"/>
          <w:szCs w:val="20"/>
          <w:lang w:eastAsia="fr-FR"/>
        </w:rPr>
        <w:t xml:space="preserve">Discussion / </w:t>
      </w:r>
      <w:r w:rsidRPr="002E5B1A">
        <w:rPr>
          <w:rFonts w:asciiTheme="minorBidi" w:eastAsia="Times New Roman" w:hAnsiTheme="minorBidi"/>
          <w:b/>
          <w:bCs/>
          <w:kern w:val="36"/>
          <w:sz w:val="20"/>
          <w:szCs w:val="20"/>
          <w:lang w:eastAsia="fr-FR"/>
        </w:rPr>
        <w:t>Conclusion</w:t>
      </w:r>
      <w:r w:rsidRPr="00F26704">
        <w:rPr>
          <w:rFonts w:asciiTheme="minorBidi" w:eastAsia="Times New Roman" w:hAnsiTheme="minorBidi"/>
          <w:b/>
          <w:bCs/>
          <w:kern w:val="36"/>
          <w:sz w:val="20"/>
          <w:szCs w:val="20"/>
          <w:lang w:eastAsia="fr-FR"/>
        </w:rPr>
        <w:t> :</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Arterial aneurysmal involvement in Behçet’s disease represents a severe and potentially life-threatening manifestation. Early recognition and prompt initiation of immunosuppressive therapy combined with appropriate vascular intervention are essential to prevent catastrophic complications such as aneurysmal rupture.</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Regular follow-up and strict therapeutic adherence are crucial to detect new vascular lesions and improve long-term prognosis.</w:t>
      </w: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F26704" w:rsidRDefault="009A1F8D" w:rsidP="002E5B1A">
      <w:pPr>
        <w:spacing w:before="100" w:beforeAutospacing="1" w:after="100" w:afterAutospacing="1" w:line="240" w:lineRule="auto"/>
        <w:rPr>
          <w:rFonts w:asciiTheme="minorBidi" w:eastAsia="Times New Roman" w:hAnsiTheme="minorBidi"/>
          <w:sz w:val="20"/>
          <w:szCs w:val="20"/>
          <w:lang w:eastAsia="fr-FR"/>
        </w:rPr>
      </w:pPr>
      <w:r>
        <w:rPr>
          <w:rFonts w:asciiTheme="minorBidi" w:eastAsia="Times New Roman" w:hAnsiTheme="minorBidi"/>
          <w:sz w:val="20"/>
          <w:szCs w:val="20"/>
          <w:lang w:eastAsia="fr-FR"/>
        </w:rPr>
        <w:lastRenderedPageBreak/>
        <w:t xml:space="preserve">Keywords : </w:t>
      </w:r>
      <w:r w:rsidRPr="009A1F8D">
        <w:rPr>
          <w:rFonts w:asciiTheme="minorBidi" w:eastAsia="Times New Roman" w:hAnsiTheme="minorBidi"/>
          <w:sz w:val="20"/>
          <w:szCs w:val="20"/>
          <w:lang w:eastAsia="fr-FR"/>
        </w:rPr>
        <w:t>Behçet's Disease</w:t>
      </w:r>
      <w:r>
        <w:rPr>
          <w:rFonts w:asciiTheme="minorBidi" w:eastAsia="Times New Roman" w:hAnsiTheme="minorBidi"/>
          <w:sz w:val="20"/>
          <w:szCs w:val="20"/>
          <w:lang w:eastAsia="fr-FR"/>
        </w:rPr>
        <w:t>,</w:t>
      </w:r>
      <w:r w:rsidRPr="009A1F8D">
        <w:t xml:space="preserve"> </w:t>
      </w:r>
      <w:r w:rsidRPr="009A1F8D">
        <w:rPr>
          <w:rFonts w:asciiTheme="minorBidi" w:eastAsia="Times New Roman" w:hAnsiTheme="minorBidi"/>
          <w:sz w:val="20"/>
          <w:szCs w:val="20"/>
          <w:lang w:eastAsia="fr-FR"/>
        </w:rPr>
        <w:t>Hughes–Stovin Syndrome</w:t>
      </w:r>
      <w:r>
        <w:rPr>
          <w:rFonts w:asciiTheme="minorBidi" w:eastAsia="Times New Roman" w:hAnsiTheme="minorBidi"/>
          <w:sz w:val="20"/>
          <w:szCs w:val="20"/>
          <w:lang w:eastAsia="fr-FR"/>
        </w:rPr>
        <w:t>,</w:t>
      </w:r>
      <w:r w:rsidRPr="009A1F8D">
        <w:t xml:space="preserve"> </w:t>
      </w:r>
      <w:r w:rsidRPr="009A1F8D">
        <w:rPr>
          <w:rFonts w:asciiTheme="minorBidi" w:eastAsia="Times New Roman" w:hAnsiTheme="minorBidi"/>
          <w:sz w:val="20"/>
          <w:szCs w:val="20"/>
          <w:lang w:eastAsia="fr-FR"/>
        </w:rPr>
        <w:t>Femoral Artery Aneurysm</w:t>
      </w:r>
      <w:r>
        <w:rPr>
          <w:rFonts w:asciiTheme="minorBidi" w:eastAsia="Times New Roman" w:hAnsiTheme="minorBidi"/>
          <w:sz w:val="20"/>
          <w:szCs w:val="20"/>
          <w:lang w:eastAsia="fr-FR"/>
        </w:rPr>
        <w:t>,</w:t>
      </w:r>
      <w:r w:rsidR="00334BDC" w:rsidRPr="00334BDC">
        <w:t xml:space="preserve"> </w:t>
      </w:r>
      <w:r w:rsidR="00334BDC" w:rsidRPr="00334BDC">
        <w:rPr>
          <w:rFonts w:asciiTheme="minorBidi" w:eastAsia="Times New Roman" w:hAnsiTheme="minorBidi"/>
          <w:sz w:val="20"/>
          <w:szCs w:val="20"/>
          <w:lang w:eastAsia="fr-FR"/>
        </w:rPr>
        <w:t>vascular lesions</w:t>
      </w: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F26704" w:rsidRDefault="002E5B1A" w:rsidP="002E5B1A">
      <w:pPr>
        <w:pStyle w:val="NormalWeb"/>
        <w:rPr>
          <w:rFonts w:asciiTheme="minorBidi" w:hAnsiTheme="minorBidi" w:cstheme="minorBidi"/>
          <w:sz w:val="20"/>
          <w:szCs w:val="20"/>
        </w:rPr>
      </w:pPr>
    </w:p>
    <w:p w:rsidR="002E5B1A" w:rsidRPr="002E5B1A" w:rsidRDefault="002E5B1A" w:rsidP="002E5B1A">
      <w:pPr>
        <w:spacing w:before="100" w:beforeAutospacing="1" w:after="100" w:afterAutospacing="1" w:line="240" w:lineRule="auto"/>
        <w:outlineLvl w:val="0"/>
        <w:rPr>
          <w:rFonts w:asciiTheme="minorBidi" w:eastAsia="Times New Roman" w:hAnsiTheme="minorBidi"/>
          <w:b/>
          <w:bCs/>
          <w:kern w:val="36"/>
          <w:sz w:val="20"/>
          <w:szCs w:val="20"/>
          <w:lang w:eastAsia="fr-FR"/>
        </w:rPr>
      </w:pPr>
      <w:r w:rsidRPr="002E5B1A">
        <w:rPr>
          <w:rFonts w:asciiTheme="minorBidi" w:eastAsia="Times New Roman" w:hAnsiTheme="minorBidi"/>
          <w:b/>
          <w:bCs/>
          <w:kern w:val="36"/>
          <w:sz w:val="20"/>
          <w:szCs w:val="20"/>
          <w:lang w:eastAsia="fr-FR"/>
        </w:rPr>
        <w:t>Introduction</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Arterial aneurysmal involvement in Behçet’s disease represents one of the most severe vascular manifestations and constitutes a major therapeutic challenge.</w:t>
      </w:r>
      <w:r w:rsidR="00B23A74" w:rsidRPr="00B23A74">
        <w:rPr>
          <w:rFonts w:asciiTheme="minorBidi" w:hAnsiTheme="minorBidi"/>
          <w:sz w:val="20"/>
          <w:szCs w:val="20"/>
        </w:rPr>
        <w:t xml:space="preserve"> This is a serious vascular complication, occurring in 3-5% of cases, often in young people</w:t>
      </w:r>
      <w:r w:rsidR="00B23A74">
        <w:rPr>
          <w:rFonts w:asciiTheme="minorBidi" w:hAnsiTheme="minorBidi"/>
          <w:sz w:val="20"/>
          <w:szCs w:val="20"/>
        </w:rPr>
        <w:t>.</w:t>
      </w:r>
      <w:r w:rsidRPr="00EC3EC8">
        <w:rPr>
          <w:rFonts w:asciiTheme="minorBidi" w:eastAsia="Times New Roman" w:hAnsiTheme="minorBidi"/>
          <w:sz w:val="20"/>
          <w:szCs w:val="20"/>
          <w:lang w:eastAsia="fr-FR"/>
        </w:rPr>
        <w:t xml:space="preserve"> It results from an intense inflammatory process affecting the vascular wall, leading to destruction of the elastic and muscular components of the artery and consequently promoting the formation of pseudoaneurysms. These lesions are particularly concerning because of their often rapid and unpredictable progression, with a high risk of spontaneous rupture that may be life-threatening. The most frequently reported locations involve the pulmonary arteries, the aorta, and peripheral arteries, particularly the femoral arteries.</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The management of these vascular complications primarily relies on strict control of inflammation through intensive immunosuppressive therapy aimed at stabilizing the disease and preventing the progression of vascular lesions. Surgical or endovascular intervention may subsequently be required in certain situations, particularly in the presence of large, symptomatic aneurysms or those at high risk of rupture. However, these procedures remain technically challenging due to the underlying inflammatory environment and the risk of aneurysmal recurrence or postoperative complications.</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Hughes–Stovin syndrome is a rare disorder of still poorly understood etiology, characterized by the association of pulmonary artery aneurysms and deep venous thrombosis, and is often considered a particular or incomplete form of Behçet’s disease. We report the case of a patient hospitalized in the internal medicine department in whom the diagnosis of Behçet’s disease was established, presenting an exceptional vascular manifestation consisting of a thrombosed aneurysm of the left superficial femoral artery associated with Hughes–Stovin syndrome.</w:t>
      </w:r>
    </w:p>
    <w:p w:rsidR="00EC3EC8" w:rsidRPr="00EC3EC8" w:rsidRDefault="00EC3EC8" w:rsidP="00EC3EC8">
      <w:pPr>
        <w:spacing w:before="100" w:beforeAutospacing="1" w:after="100" w:afterAutospacing="1" w:line="240" w:lineRule="auto"/>
        <w:rPr>
          <w:rFonts w:asciiTheme="minorBidi" w:eastAsia="Times New Roman" w:hAnsiTheme="minorBidi"/>
          <w:sz w:val="20"/>
          <w:szCs w:val="20"/>
          <w:lang w:eastAsia="fr-FR"/>
        </w:rPr>
      </w:pPr>
      <w:r w:rsidRPr="00EC3EC8">
        <w:rPr>
          <w:rFonts w:asciiTheme="minorBidi" w:eastAsia="Times New Roman" w:hAnsiTheme="minorBidi"/>
          <w:sz w:val="20"/>
          <w:szCs w:val="20"/>
          <w:lang w:eastAsia="fr-FR"/>
        </w:rPr>
        <w:t>This case highlights the potential severity of arterial involvement in Behçet’s disease and emphasizes the importance of early diagnosis and prompt multidisciplinary therapeutic management. Close clinical and radiological monitoring is essential to detect early progression of vascular lesions and to reduce the risk of severe complications, particularly aneurysmal rupture, massive hemorrhage, and related morbidity.</w:t>
      </w:r>
    </w:p>
    <w:p w:rsidR="002E5B1A" w:rsidRPr="002E5B1A" w:rsidRDefault="002E5B1A" w:rsidP="00EC3EC8">
      <w:pPr>
        <w:spacing w:before="100" w:beforeAutospacing="1" w:after="100" w:afterAutospacing="1" w:line="240" w:lineRule="auto"/>
        <w:rPr>
          <w:rFonts w:asciiTheme="minorBidi" w:eastAsia="Times New Roman" w:hAnsiTheme="minorBidi"/>
          <w:sz w:val="20"/>
          <w:szCs w:val="20"/>
          <w:lang w:eastAsia="fr-FR"/>
        </w:rPr>
      </w:pPr>
    </w:p>
    <w:p w:rsidR="002E5B1A" w:rsidRPr="002E5B1A" w:rsidRDefault="002E5B1A" w:rsidP="002E5B1A">
      <w:pPr>
        <w:spacing w:after="0" w:line="240" w:lineRule="auto"/>
        <w:rPr>
          <w:rFonts w:asciiTheme="minorBidi" w:eastAsia="Times New Roman" w:hAnsiTheme="minorBidi"/>
          <w:sz w:val="20"/>
          <w:szCs w:val="20"/>
          <w:lang w:eastAsia="fr-FR"/>
        </w:rPr>
      </w:pPr>
    </w:p>
    <w:p w:rsidR="002E5B1A" w:rsidRPr="002E5B1A" w:rsidRDefault="002E5B1A" w:rsidP="002E5B1A">
      <w:pPr>
        <w:spacing w:before="100" w:beforeAutospacing="1" w:after="100" w:afterAutospacing="1" w:line="240" w:lineRule="auto"/>
        <w:outlineLvl w:val="0"/>
        <w:rPr>
          <w:rFonts w:asciiTheme="minorBidi" w:eastAsia="Times New Roman" w:hAnsiTheme="minorBidi"/>
          <w:b/>
          <w:bCs/>
          <w:kern w:val="36"/>
          <w:sz w:val="20"/>
          <w:szCs w:val="20"/>
          <w:lang w:eastAsia="fr-FR"/>
        </w:rPr>
      </w:pPr>
      <w:r w:rsidRPr="002E5B1A">
        <w:rPr>
          <w:rFonts w:asciiTheme="minorBidi" w:eastAsia="Times New Roman" w:hAnsiTheme="minorBidi"/>
          <w:b/>
          <w:bCs/>
          <w:kern w:val="36"/>
          <w:sz w:val="20"/>
          <w:szCs w:val="20"/>
          <w:lang w:eastAsia="fr-FR"/>
        </w:rPr>
        <w:t xml:space="preserve">Case </w:t>
      </w:r>
      <w:r w:rsidR="00D040F5">
        <w:rPr>
          <w:rFonts w:asciiTheme="minorBidi" w:eastAsia="Times New Roman" w:hAnsiTheme="minorBidi"/>
          <w:b/>
          <w:bCs/>
          <w:kern w:val="36"/>
          <w:sz w:val="20"/>
          <w:szCs w:val="20"/>
          <w:lang w:eastAsia="fr-FR"/>
        </w:rPr>
        <w:t>Presentation</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 40-year-old male patient with a history of forearm osteosynthesis performed at the age of 34 years was admitted for cutaneous manifestations evolving for three years. These included erythema nodosum affecting the lower limbs associated with dorsal pseudofolliculitis, as well as mucosal involvement characterized by recurrent oral and genital aphthosis occurring more than three times per year.</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lastRenderedPageBreak/>
        <w:t>Vascular involvement was initially revealed by an episode of deep vein thrombosis of the left lower limb three years prior to admission, which had been treated. Two years later, the patient presented with recurrent pain in the same limb.</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Venous Doppler ultrasound of the lower limbs revealed an aneurysm of the bifurcation of the left common femoral artery.</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The infectious etiological workup, including HIV and syphilis serologies, was negative. Laboratory tests showed regenerative normocytic normochromic anemia (hemoglobin 10 g/dL) associated with elevated C-reactive protein levels (77 mg/L).</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As part of vascular mapping, ultrasound of the supra-aortic trunks was normal. Thoracic CT angiography revealed an aneurysm involving a segmental branch of the right pulmonary artery. Abdominopelvic CT angiography confirmed the aneurysm of the bifurcation of the left femoral artery and revealed portal cavernoma.</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Based on the international diagnostic criteria, the diagnosis of Behçet’s disease with mucocutaneous and vascular involvement was established (total score of five points). The diagnosis was supported by the presence of recurrent oral and genital aphthosis and vascular involvement consisting of deep venous thrombosis and pulmonary artery aneurysm, compatible with Hughes-Stovin syndrome, in addition to the femoral artery aneurysm.</w:t>
      </w:r>
    </w:p>
    <w:p w:rsidR="002E5B1A" w:rsidRPr="00F26704"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Therapeutically, the patient received intravenous methylprednisolone pulses (1 g/day for three days), followed by high-dose oral corticosteroids (60 mg/day) with progressive tapering. Three pulses of cyclophosphamide were administered and subsequently switched to azathioprine (150 mg/day). The patient was then referred to the cardiovascular surgery department for endovascular management.</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p>
    <w:p w:rsidR="002E5B1A" w:rsidRPr="002E5B1A" w:rsidRDefault="002E5B1A" w:rsidP="002E5B1A">
      <w:pPr>
        <w:spacing w:before="100" w:beforeAutospacing="1" w:after="100" w:afterAutospacing="1" w:line="240" w:lineRule="auto"/>
        <w:outlineLvl w:val="0"/>
        <w:rPr>
          <w:rFonts w:asciiTheme="minorBidi" w:eastAsia="Times New Roman" w:hAnsiTheme="minorBidi"/>
          <w:b/>
          <w:bCs/>
          <w:kern w:val="36"/>
          <w:sz w:val="20"/>
          <w:szCs w:val="20"/>
          <w:lang w:eastAsia="fr-FR"/>
        </w:rPr>
      </w:pPr>
      <w:r w:rsidRPr="002E5B1A">
        <w:rPr>
          <w:rFonts w:asciiTheme="minorBidi" w:eastAsia="Times New Roman" w:hAnsiTheme="minorBidi"/>
          <w:b/>
          <w:bCs/>
          <w:kern w:val="36"/>
          <w:sz w:val="20"/>
          <w:szCs w:val="20"/>
          <w:lang w:eastAsia="fr-FR"/>
        </w:rPr>
        <w:t>Discussion</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Arterial involvement in Behçet’s disease results from transmural vasculitis characterized by infiltration of neutrophils and lymphocytes, leading to destruction of the vascular media and adventitia and consequent weakening of the vessel wall. This process predisposes to the formation of aneurysms or pseudoaneurysms (2,6).</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Inflammation is also associated with endothelial dysfunction and a prothrombotic state, explaining the frequent coexistence of arterial and venous thrombosis in these patients. Moreover, vascular inflammation contributes to the formation of pseudoaneurysms at puncture or anastomotic sites (2,3).</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Although less frequent than venous involvement, arterial lesions may be occlusive or aneurysmal and are associated with significant morbidity and mortality (7). In our patient, arterial involvement represented the inaugural manifestation of Behçet’s disease.</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Femoral artery aneurysms may clinically present as a painful pulsatile mass in the groin or thigh and may be associated with compressive symptoms, thrombosis, or distal ischemia. However, rapid progression toward rupture may occur, constituting a life-threatening emergency.</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Doppler ultrasound is usually the first-line imaging modality for diagnosis, whereas CT angiography or MR angiography is essential to assess lesion extent, identify other arterial localizations, and guide therapeutic planning (9).</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The coexistence in our patient of deep venous thrombosis and pulmonary artery aneurysm strongly suggests Hughes-Stovin syndrome, a rare clinical entity first described in 1959. This syndrome predominantly affects young men and is characterized by the association of pulmonary artery aneurysms and venous thromboembolic manifestations.</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lastRenderedPageBreak/>
        <w:t>Several authors consider Hughes-Stovin syndrome to represent an incomplete or limited form of Behçet’s disease due to overlapping clinical and pathophysiological features (2,5,6). However, the presence of additional peripheral arterial involvement, such as the femoral artery aneurysm observed in our patient, strongly supports the diagnosis of severe systemic vasculo-Behçet disease rather than isolated Hughes-Stovin syndrome.</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Management of arterial aneurysms in Behçet’s disease requires a combined medical and interventional approach. Control of systemic inflammation with high-dose corticosteroids and immunosuppressive therapy, particularly cyclophosphamide, is essential before any surgical or endovascular intervention.</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Endovascular treatment with covered stent placement has emerged as a less invasive alternative to open surgery, particularly in emergency situations or in patients with high surgical risk. However, long-term immunosuppressive therapy remains essential to reduce recurrence and improve long-term outcomes (1–3).</w:t>
      </w:r>
    </w:p>
    <w:p w:rsidR="002E5B1A" w:rsidRPr="00F26704" w:rsidRDefault="002E5B1A" w:rsidP="002E5B1A">
      <w:pPr>
        <w:spacing w:after="0" w:line="240" w:lineRule="auto"/>
        <w:rPr>
          <w:rFonts w:asciiTheme="minorBidi" w:eastAsia="Times New Roman" w:hAnsiTheme="minorBidi"/>
          <w:sz w:val="20"/>
          <w:szCs w:val="20"/>
          <w:lang w:eastAsia="fr-FR"/>
        </w:rPr>
      </w:pPr>
    </w:p>
    <w:p w:rsidR="00492CDA" w:rsidRDefault="00492CDA" w:rsidP="002E5B1A">
      <w:pPr>
        <w:spacing w:after="0" w:line="240" w:lineRule="auto"/>
        <w:rPr>
          <w:rFonts w:asciiTheme="minorBidi" w:eastAsia="Times New Roman" w:hAnsiTheme="minorBidi"/>
          <w:sz w:val="20"/>
          <w:szCs w:val="20"/>
          <w:lang w:eastAsia="fr-FR"/>
        </w:rPr>
      </w:pPr>
    </w:p>
    <w:p w:rsidR="00664C1A" w:rsidRDefault="00664C1A" w:rsidP="002E5B1A">
      <w:pPr>
        <w:spacing w:after="0" w:line="240" w:lineRule="auto"/>
        <w:rPr>
          <w:rFonts w:asciiTheme="minorBidi" w:eastAsia="Times New Roman" w:hAnsiTheme="minorBidi"/>
          <w:sz w:val="20"/>
          <w:szCs w:val="20"/>
          <w:lang w:eastAsia="fr-FR"/>
        </w:rPr>
      </w:pPr>
    </w:p>
    <w:p w:rsidR="00664C1A" w:rsidRDefault="00664C1A" w:rsidP="002E5B1A">
      <w:pPr>
        <w:spacing w:after="0" w:line="240" w:lineRule="auto"/>
        <w:rPr>
          <w:rFonts w:asciiTheme="minorBidi" w:eastAsia="Times New Roman" w:hAnsiTheme="minorBidi"/>
          <w:sz w:val="20"/>
          <w:szCs w:val="20"/>
          <w:lang w:eastAsia="fr-FR"/>
        </w:rPr>
      </w:pPr>
    </w:p>
    <w:p w:rsidR="00664C1A" w:rsidRDefault="00664C1A" w:rsidP="002E5B1A">
      <w:pPr>
        <w:spacing w:after="0" w:line="240" w:lineRule="auto"/>
        <w:rPr>
          <w:rFonts w:asciiTheme="minorBidi" w:eastAsia="Times New Roman" w:hAnsiTheme="minorBidi"/>
          <w:sz w:val="20"/>
          <w:szCs w:val="20"/>
          <w:lang w:eastAsia="fr-FR"/>
        </w:rPr>
      </w:pPr>
    </w:p>
    <w:p w:rsidR="00664C1A" w:rsidRPr="002E5B1A" w:rsidRDefault="00664C1A" w:rsidP="002E5B1A">
      <w:pPr>
        <w:spacing w:after="0" w:line="240" w:lineRule="auto"/>
        <w:rPr>
          <w:rFonts w:asciiTheme="minorBidi" w:eastAsia="Times New Roman" w:hAnsiTheme="minorBidi"/>
          <w:sz w:val="20"/>
          <w:szCs w:val="20"/>
          <w:lang w:eastAsia="fr-FR"/>
        </w:rPr>
      </w:pPr>
    </w:p>
    <w:p w:rsidR="002E5B1A" w:rsidRPr="002E5B1A" w:rsidRDefault="002E5B1A" w:rsidP="002E5B1A">
      <w:pPr>
        <w:spacing w:before="100" w:beforeAutospacing="1" w:after="100" w:afterAutospacing="1" w:line="240" w:lineRule="auto"/>
        <w:outlineLvl w:val="0"/>
        <w:rPr>
          <w:rFonts w:asciiTheme="minorBidi" w:eastAsia="Times New Roman" w:hAnsiTheme="minorBidi"/>
          <w:b/>
          <w:bCs/>
          <w:kern w:val="36"/>
          <w:sz w:val="20"/>
          <w:szCs w:val="20"/>
          <w:lang w:eastAsia="fr-FR"/>
        </w:rPr>
      </w:pPr>
      <w:r w:rsidRPr="002E5B1A">
        <w:rPr>
          <w:rFonts w:asciiTheme="minorBidi" w:eastAsia="Times New Roman" w:hAnsiTheme="minorBidi"/>
          <w:b/>
          <w:bCs/>
          <w:kern w:val="36"/>
          <w:sz w:val="20"/>
          <w:szCs w:val="20"/>
          <w:lang w:eastAsia="fr-FR"/>
        </w:rPr>
        <w:t>Conclusion</w:t>
      </w:r>
      <w:r w:rsidR="00664C1A">
        <w:rPr>
          <w:rFonts w:asciiTheme="minorBidi" w:eastAsia="Times New Roman" w:hAnsiTheme="minorBidi"/>
          <w:b/>
          <w:bCs/>
          <w:kern w:val="36"/>
          <w:sz w:val="20"/>
          <w:szCs w:val="20"/>
          <w:lang w:eastAsia="fr-FR"/>
        </w:rPr>
        <w:t> :</w:t>
      </w:r>
    </w:p>
    <w:p w:rsidR="002E5B1A" w:rsidRP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Arterial aneurysmal involvement in Behçet’s disease represents a severe and potentially life-threatening manifestation. Early recognition and prompt initiation of immunosuppressive therapy combined with appropriate vascular intervention are essential to prevent catastrophic complications such as aneurysmal rupture.</w:t>
      </w:r>
    </w:p>
    <w:p w:rsidR="002E5B1A" w:rsidRDefault="002E5B1A" w:rsidP="002E5B1A">
      <w:pPr>
        <w:spacing w:before="100" w:beforeAutospacing="1" w:after="100" w:afterAutospacing="1" w:line="240" w:lineRule="auto"/>
        <w:rPr>
          <w:rFonts w:asciiTheme="minorBidi" w:eastAsia="Times New Roman" w:hAnsiTheme="minorBidi"/>
          <w:sz w:val="20"/>
          <w:szCs w:val="20"/>
          <w:lang w:eastAsia="fr-FR"/>
        </w:rPr>
      </w:pPr>
      <w:r w:rsidRPr="002E5B1A">
        <w:rPr>
          <w:rFonts w:asciiTheme="minorBidi" w:eastAsia="Times New Roman" w:hAnsiTheme="minorBidi"/>
          <w:sz w:val="20"/>
          <w:szCs w:val="20"/>
          <w:lang w:eastAsia="fr-FR"/>
        </w:rPr>
        <w:t>Regular follow-up and strict therapeutic adherence are crucial to detect new vascular lesions and improve long-term prognosis.</w:t>
      </w:r>
    </w:p>
    <w:p w:rsidR="00D5593B" w:rsidRPr="00D5593B" w:rsidRDefault="00D5593B" w:rsidP="00D5593B">
      <w:pPr>
        <w:spacing w:before="100" w:beforeAutospacing="1" w:after="100" w:afterAutospacing="1" w:line="240" w:lineRule="auto"/>
        <w:rPr>
          <w:rFonts w:asciiTheme="minorBidi" w:eastAsia="Times New Roman" w:hAnsiTheme="minorBidi"/>
          <w:sz w:val="20"/>
          <w:szCs w:val="20"/>
          <w:lang w:eastAsia="fr-FR"/>
        </w:rPr>
      </w:pPr>
      <w:r w:rsidRPr="00D5593B">
        <w:rPr>
          <w:rFonts w:asciiTheme="minorBidi" w:eastAsia="Times New Roman" w:hAnsiTheme="minorBidi"/>
          <w:sz w:val="20"/>
          <w:szCs w:val="20"/>
          <w:lang w:eastAsia="fr-FR"/>
        </w:rPr>
        <w:t xml:space="preserve">Consent </w:t>
      </w:r>
    </w:p>
    <w:p w:rsidR="00D5593B" w:rsidRDefault="00D5593B" w:rsidP="00D5593B">
      <w:pPr>
        <w:spacing w:before="100" w:beforeAutospacing="1" w:after="100" w:afterAutospacing="1" w:line="240" w:lineRule="auto"/>
        <w:rPr>
          <w:rFonts w:asciiTheme="minorBidi" w:eastAsia="Times New Roman" w:hAnsiTheme="minorBidi"/>
          <w:sz w:val="20"/>
          <w:szCs w:val="20"/>
          <w:lang w:eastAsia="fr-FR"/>
        </w:rPr>
      </w:pPr>
      <w:r w:rsidRPr="00D5593B">
        <w:rPr>
          <w:rFonts w:asciiTheme="minorBidi" w:eastAsia="Times New Roman" w:hAnsiTheme="minorBidi"/>
          <w:sz w:val="20"/>
          <w:szCs w:val="20"/>
          <w:lang w:eastAsia="fr-FR"/>
        </w:rPr>
        <w:t>As per international standards or university standards, patient(s) written consent has been collected and preserved by the author(s).</w:t>
      </w:r>
    </w:p>
    <w:p w:rsidR="00D5593B" w:rsidRPr="00D5593B" w:rsidRDefault="00D5593B" w:rsidP="00D5593B">
      <w:pPr>
        <w:spacing w:before="100" w:beforeAutospacing="1" w:after="100" w:afterAutospacing="1" w:line="240" w:lineRule="auto"/>
        <w:rPr>
          <w:rFonts w:asciiTheme="minorBidi" w:eastAsia="Times New Roman" w:hAnsiTheme="minorBidi"/>
          <w:sz w:val="20"/>
          <w:szCs w:val="20"/>
          <w:lang w:eastAsia="fr-FR"/>
        </w:rPr>
      </w:pPr>
      <w:r w:rsidRPr="00D5593B">
        <w:rPr>
          <w:rFonts w:asciiTheme="minorBidi" w:eastAsia="Times New Roman" w:hAnsiTheme="minorBidi"/>
          <w:sz w:val="20"/>
          <w:szCs w:val="20"/>
          <w:lang w:eastAsia="fr-FR"/>
        </w:rPr>
        <w:t>Ethical Approval:</w:t>
      </w:r>
    </w:p>
    <w:p w:rsidR="00D5593B" w:rsidRPr="00D5593B" w:rsidRDefault="00D5593B" w:rsidP="00D5593B">
      <w:pPr>
        <w:spacing w:before="100" w:beforeAutospacing="1" w:after="100" w:afterAutospacing="1" w:line="240" w:lineRule="auto"/>
        <w:rPr>
          <w:rFonts w:asciiTheme="minorBidi" w:eastAsia="Times New Roman" w:hAnsiTheme="minorBidi"/>
          <w:sz w:val="20"/>
          <w:szCs w:val="20"/>
          <w:lang w:eastAsia="fr-FR"/>
        </w:rPr>
      </w:pPr>
    </w:p>
    <w:p w:rsidR="00D5593B" w:rsidRDefault="00D5593B" w:rsidP="00D5593B">
      <w:pPr>
        <w:spacing w:before="100" w:beforeAutospacing="1" w:after="100" w:afterAutospacing="1" w:line="240" w:lineRule="auto"/>
        <w:rPr>
          <w:rFonts w:asciiTheme="minorBidi" w:eastAsia="Times New Roman" w:hAnsiTheme="minorBidi"/>
          <w:sz w:val="20"/>
          <w:szCs w:val="20"/>
          <w:lang w:eastAsia="fr-FR"/>
        </w:rPr>
      </w:pPr>
      <w:r w:rsidRPr="00D5593B">
        <w:rPr>
          <w:rFonts w:asciiTheme="minorBidi" w:eastAsia="Times New Roman" w:hAnsiTheme="minorBidi"/>
          <w:sz w:val="20"/>
          <w:szCs w:val="20"/>
          <w:lang w:eastAsia="fr-FR"/>
        </w:rPr>
        <w:t>As per international standards or university standards written ethical approval has been collected and preserved by the author(s).</w:t>
      </w:r>
    </w:p>
    <w:p w:rsidR="00D040F5" w:rsidRPr="00D040F5" w:rsidRDefault="00D040F5" w:rsidP="00D040F5">
      <w:pPr>
        <w:spacing w:before="100" w:beforeAutospacing="1" w:after="100" w:afterAutospacing="1" w:line="240" w:lineRule="auto"/>
        <w:rPr>
          <w:rFonts w:asciiTheme="minorBidi" w:eastAsia="Times New Roman" w:hAnsiTheme="minorBidi"/>
          <w:sz w:val="20"/>
          <w:szCs w:val="20"/>
          <w:lang w:eastAsia="fr-FR"/>
        </w:rPr>
      </w:pPr>
      <w:r w:rsidRPr="00D040F5">
        <w:rPr>
          <w:rFonts w:asciiTheme="minorBidi" w:eastAsia="Times New Roman" w:hAnsiTheme="minorBidi"/>
          <w:sz w:val="20"/>
          <w:szCs w:val="20"/>
          <w:lang w:eastAsia="fr-FR"/>
        </w:rPr>
        <w:t>Disclaimer (Artificial intelligence)</w:t>
      </w:r>
    </w:p>
    <w:p w:rsidR="00D040F5" w:rsidRPr="002E5B1A" w:rsidRDefault="00D040F5" w:rsidP="00D040F5">
      <w:pPr>
        <w:spacing w:before="100" w:beforeAutospacing="1" w:after="100" w:afterAutospacing="1" w:line="240" w:lineRule="auto"/>
        <w:rPr>
          <w:rFonts w:asciiTheme="minorBidi" w:eastAsia="Times New Roman" w:hAnsiTheme="minorBidi"/>
          <w:sz w:val="20"/>
          <w:szCs w:val="20"/>
          <w:lang w:eastAsia="fr-FR"/>
        </w:rPr>
      </w:pPr>
      <w:r w:rsidRPr="00D040F5">
        <w:rPr>
          <w:rFonts w:asciiTheme="minorBidi" w:eastAsia="Times New Roman" w:hAnsiTheme="minorBidi"/>
          <w:sz w:val="20"/>
          <w:szCs w:val="20"/>
          <w:lang w:eastAsia="fr-FR"/>
        </w:rPr>
        <w:t>Author(s) hereby declare that NO generative AI technologies such as Large Language Models (ChatGPT, COPILOT, etc.) and text-to-image generators have been used during the writing or editing of this manuscript.</w:t>
      </w:r>
    </w:p>
    <w:p w:rsidR="00C24741" w:rsidRPr="00F26704" w:rsidRDefault="00492CDA">
      <w:pPr>
        <w:rPr>
          <w:rFonts w:asciiTheme="minorBidi" w:hAnsiTheme="minorBidi"/>
          <w:b/>
          <w:bCs/>
          <w:sz w:val="20"/>
          <w:szCs w:val="20"/>
        </w:rPr>
      </w:pPr>
      <w:r w:rsidRPr="00F26704">
        <w:rPr>
          <w:rFonts w:asciiTheme="minorBidi" w:hAnsiTheme="minorBidi"/>
          <w:b/>
          <w:bCs/>
          <w:sz w:val="20"/>
          <w:szCs w:val="20"/>
        </w:rPr>
        <w:t>References</w:t>
      </w:r>
      <w:r w:rsidR="00990A3A" w:rsidRPr="00F26704">
        <w:rPr>
          <w:rFonts w:asciiTheme="minorBidi" w:hAnsiTheme="minorBidi"/>
          <w:b/>
          <w:bCs/>
          <w:sz w:val="20"/>
          <w:szCs w:val="20"/>
        </w:rPr>
        <w:t> :</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eastAsia="Times New Roman" w:hAnsiTheme="minorBidi"/>
          <w:sz w:val="20"/>
          <w:szCs w:val="20"/>
          <w:lang w:eastAsia="fr-FR"/>
        </w:rPr>
        <w:t xml:space="preserve">1.Hatemi G, Christensen R, Bang D, et al. 2018 update of the EULAR recommendations for the management of Behçet’s syndrome. </w:t>
      </w:r>
      <w:r w:rsidRPr="00F26704">
        <w:rPr>
          <w:rFonts w:asciiTheme="minorBidi" w:eastAsia="Times New Roman" w:hAnsiTheme="minorBidi"/>
          <w:i/>
          <w:iCs/>
          <w:sz w:val="20"/>
          <w:szCs w:val="20"/>
          <w:lang w:eastAsia="fr-FR"/>
        </w:rPr>
        <w:t>Ann Rheum Dis</w:t>
      </w:r>
      <w:r w:rsidRPr="00F26704">
        <w:rPr>
          <w:rFonts w:asciiTheme="minorBidi" w:eastAsia="Times New Roman" w:hAnsiTheme="minorBidi"/>
          <w:sz w:val="20"/>
          <w:szCs w:val="20"/>
          <w:lang w:eastAsia="fr-FR"/>
        </w:rPr>
        <w:t>. 2018;77:808–818.</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eastAsia="Times New Roman" w:hAnsiTheme="minorBidi"/>
          <w:sz w:val="20"/>
          <w:szCs w:val="20"/>
          <w:lang w:eastAsia="fr-FR"/>
        </w:rPr>
        <w:lastRenderedPageBreak/>
        <w:t xml:space="preserve">2.Seyahi E. Behçet’s disease: How to diagnose and treat vascular involvement. </w:t>
      </w:r>
      <w:r w:rsidRPr="00F26704">
        <w:rPr>
          <w:rFonts w:asciiTheme="minorBidi" w:eastAsia="Times New Roman" w:hAnsiTheme="minorBidi"/>
          <w:i/>
          <w:iCs/>
          <w:sz w:val="20"/>
          <w:szCs w:val="20"/>
          <w:lang w:eastAsia="fr-FR"/>
        </w:rPr>
        <w:t>Best Pract Res Clin Rheumatol</w:t>
      </w:r>
      <w:r w:rsidRPr="00F26704">
        <w:rPr>
          <w:rFonts w:asciiTheme="minorBidi" w:eastAsia="Times New Roman" w:hAnsiTheme="minorBidi"/>
          <w:sz w:val="20"/>
          <w:szCs w:val="20"/>
          <w:lang w:eastAsia="fr-FR"/>
        </w:rPr>
        <w:t>. 2016;30:279–295.</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eastAsia="Times New Roman" w:hAnsiTheme="minorBidi"/>
          <w:sz w:val="20"/>
          <w:szCs w:val="20"/>
          <w:lang w:eastAsia="fr-FR"/>
        </w:rPr>
        <w:t xml:space="preserve">3.Calamia KT, Schirmer M, Melikoglu M. Major vessel involvement in Behçet disease. </w:t>
      </w:r>
      <w:r w:rsidRPr="00F26704">
        <w:rPr>
          <w:rFonts w:asciiTheme="minorBidi" w:eastAsia="Times New Roman" w:hAnsiTheme="minorBidi"/>
          <w:i/>
          <w:iCs/>
          <w:sz w:val="20"/>
          <w:szCs w:val="20"/>
          <w:lang w:eastAsia="fr-FR"/>
        </w:rPr>
        <w:t>Curr Opin Rheumatol</w:t>
      </w:r>
      <w:r w:rsidRPr="00F26704">
        <w:rPr>
          <w:rFonts w:asciiTheme="minorBidi" w:eastAsia="Times New Roman" w:hAnsiTheme="minorBidi"/>
          <w:sz w:val="20"/>
          <w:szCs w:val="20"/>
          <w:lang w:eastAsia="fr-FR"/>
        </w:rPr>
        <w:t>. 2011;23:24–31.</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eastAsia="Times New Roman" w:hAnsiTheme="minorBidi"/>
          <w:sz w:val="20"/>
          <w:szCs w:val="20"/>
          <w:lang w:eastAsia="fr-FR"/>
        </w:rPr>
        <w:t xml:space="preserve">4.Tascilar K, et al. Vascular involvement in Behçet’s syndrome: Associations and outcomes. </w:t>
      </w:r>
      <w:r w:rsidRPr="00F26704">
        <w:rPr>
          <w:rFonts w:asciiTheme="minorBidi" w:eastAsia="Times New Roman" w:hAnsiTheme="minorBidi"/>
          <w:i/>
          <w:iCs/>
          <w:sz w:val="20"/>
          <w:szCs w:val="20"/>
          <w:lang w:eastAsia="fr-FR"/>
        </w:rPr>
        <w:t>Clin Exp Rheumatol</w:t>
      </w:r>
      <w:r w:rsidRPr="00F26704">
        <w:rPr>
          <w:rFonts w:asciiTheme="minorBidi" w:eastAsia="Times New Roman" w:hAnsiTheme="minorBidi"/>
          <w:sz w:val="20"/>
          <w:szCs w:val="20"/>
          <w:lang w:eastAsia="fr-FR"/>
        </w:rPr>
        <w:t>. 2014;32(Suppl 84):S54–S59.</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Style w:val="given-name"/>
          <w:rFonts w:asciiTheme="minorBidi" w:hAnsiTheme="minorBidi"/>
          <w:color w:val="000000" w:themeColor="text1"/>
          <w:sz w:val="20"/>
          <w:szCs w:val="20"/>
        </w:rPr>
        <w:t>5.S</w:t>
      </w:r>
      <w:r w:rsidRPr="00F26704">
        <w:rPr>
          <w:rStyle w:val="given-name"/>
          <w:rFonts w:asciiTheme="minorBidi" w:hAnsiTheme="minorBidi"/>
          <w:color w:val="1F1F1F"/>
          <w:sz w:val="20"/>
          <w:szCs w:val="20"/>
        </w:rPr>
        <w:t>.</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Slatni</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1</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Y.</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Righi</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1</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A.</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Messaoudi</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2</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R.</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Benguerba</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1</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D.</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Roula</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3</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R.</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Malek</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4</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S.</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Rouabehia</w:t>
      </w:r>
      <w:r w:rsidRPr="00F26704">
        <w:rPr>
          <w:rStyle w:val="react-xocs-alternative-link"/>
          <w:rFonts w:asciiTheme="minorBidi" w:hAnsiTheme="minorBidi"/>
          <w:color w:val="1F1F1F"/>
          <w:sz w:val="20"/>
          <w:szCs w:val="20"/>
        </w:rPr>
        <w:t> </w:t>
      </w:r>
      <w:r w:rsidRPr="00F26704">
        <w:rPr>
          <w:rStyle w:val="author-ref"/>
          <w:rFonts w:asciiTheme="minorBidi" w:hAnsiTheme="minorBidi"/>
          <w:color w:val="1F1F1F"/>
          <w:sz w:val="20"/>
          <w:szCs w:val="20"/>
          <w:vertAlign w:val="superscript"/>
        </w:rPr>
        <w:t>5</w:t>
      </w:r>
      <w:r w:rsidRPr="00F26704">
        <w:rPr>
          <w:rFonts w:asciiTheme="minorBidi" w:hAnsiTheme="minorBidi"/>
          <w:color w:val="1F1F1F"/>
          <w:sz w:val="20"/>
          <w:szCs w:val="20"/>
        </w:rPr>
        <w:t>, </w:t>
      </w:r>
      <w:r w:rsidRPr="00F26704">
        <w:rPr>
          <w:rStyle w:val="given-name"/>
          <w:rFonts w:asciiTheme="minorBidi" w:hAnsiTheme="minorBidi"/>
          <w:color w:val="1F1F1F"/>
          <w:sz w:val="20"/>
          <w:szCs w:val="20"/>
        </w:rPr>
        <w:t>S.</w:t>
      </w:r>
      <w:r w:rsidRPr="00F26704">
        <w:rPr>
          <w:rStyle w:val="react-xocs-alternative-link"/>
          <w:rFonts w:asciiTheme="minorBidi" w:hAnsiTheme="minorBidi"/>
          <w:color w:val="1F1F1F"/>
          <w:sz w:val="20"/>
          <w:szCs w:val="20"/>
        </w:rPr>
        <w:t> </w:t>
      </w:r>
      <w:r w:rsidRPr="00F26704">
        <w:rPr>
          <w:rStyle w:val="text"/>
          <w:rFonts w:asciiTheme="minorBidi" w:hAnsiTheme="minorBidi"/>
          <w:color w:val="1F1F1F"/>
          <w:sz w:val="20"/>
          <w:szCs w:val="20"/>
        </w:rPr>
        <w:t>Ali-Guechi</w:t>
      </w:r>
      <w:r w:rsidRPr="00F26704">
        <w:rPr>
          <w:rStyle w:val="react-xocs-alternative-link"/>
          <w:rFonts w:asciiTheme="minorBidi" w:hAnsiTheme="minorBidi"/>
          <w:color w:val="1F1F1F"/>
          <w:sz w:val="20"/>
          <w:szCs w:val="20"/>
        </w:rPr>
        <w:t> </w:t>
      </w:r>
      <w:r w:rsidRPr="00F26704">
        <w:rPr>
          <w:rStyle w:val="title-text"/>
          <w:rFonts w:asciiTheme="minorBidi" w:hAnsiTheme="minorBidi"/>
          <w:color w:val="1F1F1F"/>
          <w:sz w:val="20"/>
          <w:szCs w:val="20"/>
        </w:rPr>
        <w:t xml:space="preserve">Anévrismes artériels au cours de la maladie de Behçet : à propos de 20 cas dans une série de 501 patients  </w:t>
      </w:r>
      <w:hyperlink r:id="rId4" w:tooltip="Go to table of contents for this volume/issue" w:history="1">
        <w:r w:rsidRPr="00F26704">
          <w:rPr>
            <w:rStyle w:val="anchor-text"/>
            <w:rFonts w:asciiTheme="minorBidi" w:hAnsiTheme="minorBidi"/>
            <w:color w:val="0272B1"/>
            <w:sz w:val="20"/>
            <w:szCs w:val="20"/>
          </w:rPr>
          <w:t>Volume 44, Supplement 2</w:t>
        </w:r>
      </w:hyperlink>
      <w:r w:rsidRPr="00F26704">
        <w:rPr>
          <w:rFonts w:asciiTheme="minorBidi" w:hAnsiTheme="minorBidi"/>
          <w:color w:val="1F1F1F"/>
          <w:sz w:val="20"/>
          <w:szCs w:val="20"/>
        </w:rPr>
        <w:t>, December 2023, Pages A559-A56</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hAnsiTheme="minorBidi"/>
          <w:sz w:val="20"/>
          <w:szCs w:val="20"/>
        </w:rPr>
        <w:t xml:space="preserve">6.Saadoun D, Wechsler B, Desseaux K, et al. Mortality in Behçet’s disease. </w:t>
      </w:r>
      <w:r w:rsidRPr="00F26704">
        <w:rPr>
          <w:rStyle w:val="Emphasis"/>
          <w:rFonts w:asciiTheme="minorBidi" w:hAnsiTheme="minorBidi"/>
          <w:sz w:val="20"/>
          <w:szCs w:val="20"/>
        </w:rPr>
        <w:t>Arthritis Rheum</w:t>
      </w:r>
      <w:r w:rsidRPr="00F26704">
        <w:rPr>
          <w:rFonts w:asciiTheme="minorBidi" w:hAnsiTheme="minorBidi"/>
          <w:sz w:val="20"/>
          <w:szCs w:val="20"/>
        </w:rPr>
        <w:t>. 2010;62:2806–2812.</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hAnsiTheme="minorBidi"/>
          <w:sz w:val="20"/>
          <w:szCs w:val="20"/>
        </w:rPr>
        <w:t xml:space="preserve">7. Rezziki A, Ouledtaib A, Elhoumaidi A, Boutaouer A, Benzirar A, Elmahi O. Faux anévrisme de l’artère iliaque interne au cours de l’évolution d’une maladie de Behc¸et. J Mal Vasc 2015;40:196—9. </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Fonts w:asciiTheme="minorBidi" w:hAnsiTheme="minorBidi"/>
          <w:sz w:val="20"/>
          <w:szCs w:val="20"/>
        </w:rPr>
        <w:t>8.Desbois AC, Wechsler B, Cluzel P, Helft G, Boutin D, Piette JC, et al. Cardiovascular involvement in Behc¸et’s disease. Rev Med Interne 2014;35:103—11.</w:t>
      </w:r>
    </w:p>
    <w:p w:rsidR="00990A3A" w:rsidRPr="00F26704" w:rsidRDefault="00990A3A" w:rsidP="00990A3A">
      <w:pPr>
        <w:pStyle w:val="ListParagraph"/>
        <w:rPr>
          <w:rFonts w:asciiTheme="minorBidi" w:eastAsia="Times New Roman" w:hAnsiTheme="minorBidi"/>
          <w:sz w:val="20"/>
          <w:szCs w:val="20"/>
          <w:lang w:eastAsia="fr-FR"/>
        </w:rPr>
      </w:pPr>
    </w:p>
    <w:p w:rsidR="00990A3A" w:rsidRPr="00F26704" w:rsidRDefault="00990A3A" w:rsidP="00990A3A">
      <w:pPr>
        <w:pStyle w:val="ListParagraph"/>
        <w:rPr>
          <w:rFonts w:asciiTheme="minorBidi" w:hAnsiTheme="minorBidi"/>
          <w:sz w:val="20"/>
          <w:szCs w:val="20"/>
        </w:rPr>
      </w:pPr>
      <w:r w:rsidRPr="00F26704">
        <w:rPr>
          <w:rFonts w:asciiTheme="minorBidi" w:hAnsiTheme="minorBidi"/>
          <w:sz w:val="20"/>
          <w:szCs w:val="20"/>
        </w:rPr>
        <w:t xml:space="preserve">9.E. Kwon Koo B, et al. Surgical outcomes of arterial lesions in Behçet disease. </w:t>
      </w:r>
      <w:r w:rsidRPr="00F26704">
        <w:rPr>
          <w:rStyle w:val="Emphasis"/>
          <w:rFonts w:asciiTheme="minorBidi" w:hAnsiTheme="minorBidi"/>
          <w:sz w:val="20"/>
          <w:szCs w:val="20"/>
        </w:rPr>
        <w:t>J Vasc Surg</w:t>
      </w:r>
      <w:r w:rsidRPr="00F26704">
        <w:rPr>
          <w:rFonts w:asciiTheme="minorBidi" w:hAnsiTheme="minorBidi"/>
          <w:sz w:val="20"/>
          <w:szCs w:val="20"/>
        </w:rPr>
        <w:t>. 2014;59:1395–1402.</w:t>
      </w: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r w:rsidRPr="00F26704">
        <w:rPr>
          <w:rStyle w:val="given-name"/>
          <w:rFonts w:asciiTheme="minorBidi" w:hAnsiTheme="minorBidi"/>
          <w:color w:val="262626" w:themeColor="text1" w:themeTint="D9"/>
          <w:sz w:val="20"/>
          <w:szCs w:val="20"/>
        </w:rPr>
        <w:t>10.T.</w:t>
      </w:r>
      <w:r w:rsidRPr="00F26704">
        <w:rPr>
          <w:rStyle w:val="react-xocs-alternative-link"/>
          <w:rFonts w:asciiTheme="minorBidi" w:hAnsiTheme="minorBidi"/>
          <w:color w:val="262626" w:themeColor="text1" w:themeTint="D9"/>
          <w:sz w:val="20"/>
          <w:szCs w:val="20"/>
        </w:rPr>
        <w:t> </w:t>
      </w:r>
      <w:r w:rsidRPr="00F26704">
        <w:rPr>
          <w:rStyle w:val="text"/>
          <w:rFonts w:asciiTheme="minorBidi" w:hAnsiTheme="minorBidi"/>
          <w:color w:val="262626" w:themeColor="text1" w:themeTint="D9"/>
          <w:sz w:val="20"/>
          <w:szCs w:val="20"/>
        </w:rPr>
        <w:t>El Jammal</w:t>
      </w:r>
      <w:r w:rsidRPr="00F26704">
        <w:rPr>
          <w:rStyle w:val="react-xocs-alternative-link"/>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a</w:t>
      </w:r>
      <w:r w:rsidRPr="00F26704">
        <w:rPr>
          <w:rStyle w:val="button-link-text"/>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b</w:t>
      </w:r>
      <w:r w:rsidRPr="00F26704">
        <w:rPr>
          <w:rFonts w:asciiTheme="minorBidi" w:hAnsiTheme="minorBidi"/>
          <w:color w:val="262626" w:themeColor="text1" w:themeTint="D9"/>
          <w:sz w:val="20"/>
          <w:szCs w:val="20"/>
        </w:rPr>
        <w:t>, </w:t>
      </w:r>
      <w:r w:rsidRPr="00F26704">
        <w:rPr>
          <w:rStyle w:val="given-name"/>
          <w:rFonts w:asciiTheme="minorBidi" w:hAnsiTheme="minorBidi"/>
          <w:color w:val="262626" w:themeColor="text1" w:themeTint="D9"/>
          <w:sz w:val="20"/>
          <w:szCs w:val="20"/>
        </w:rPr>
        <w:t>P  E.</w:t>
      </w:r>
      <w:r w:rsidRPr="00F26704">
        <w:rPr>
          <w:rStyle w:val="react-xocs-alternative-link"/>
          <w:rFonts w:asciiTheme="minorBidi" w:hAnsiTheme="minorBidi"/>
          <w:color w:val="262626" w:themeColor="text1" w:themeTint="D9"/>
          <w:sz w:val="20"/>
          <w:szCs w:val="20"/>
        </w:rPr>
        <w:t> </w:t>
      </w:r>
      <w:r w:rsidRPr="00F26704">
        <w:rPr>
          <w:rStyle w:val="text"/>
          <w:rFonts w:asciiTheme="minorBidi" w:hAnsiTheme="minorBidi"/>
          <w:color w:val="262626" w:themeColor="text1" w:themeTint="D9"/>
          <w:sz w:val="20"/>
          <w:szCs w:val="20"/>
        </w:rPr>
        <w:t>Gavand</w:t>
      </w:r>
      <w:r w:rsidRPr="00F26704">
        <w:rPr>
          <w:rStyle w:val="react-xocs-alternative-link"/>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a</w:t>
      </w:r>
      <w:r w:rsidRPr="00F26704">
        <w:rPr>
          <w:rStyle w:val="button-link-text"/>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b</w:t>
      </w:r>
      <w:r w:rsidRPr="00F26704">
        <w:rPr>
          <w:rFonts w:asciiTheme="minorBidi" w:hAnsiTheme="minorBidi"/>
          <w:color w:val="262626" w:themeColor="text1" w:themeTint="D9"/>
          <w:sz w:val="20"/>
          <w:szCs w:val="20"/>
        </w:rPr>
        <w:t>, </w:t>
      </w:r>
      <w:r w:rsidRPr="00F26704">
        <w:rPr>
          <w:rStyle w:val="given-name"/>
          <w:rFonts w:asciiTheme="minorBidi" w:hAnsiTheme="minorBidi"/>
          <w:color w:val="262626" w:themeColor="text1" w:themeTint="D9"/>
          <w:sz w:val="20"/>
          <w:szCs w:val="20"/>
        </w:rPr>
        <w:t>M.</w:t>
      </w:r>
      <w:r w:rsidRPr="00F26704">
        <w:rPr>
          <w:rStyle w:val="react-xocs-alternative-link"/>
          <w:rFonts w:asciiTheme="minorBidi" w:hAnsiTheme="minorBidi"/>
          <w:color w:val="262626" w:themeColor="text1" w:themeTint="D9"/>
          <w:sz w:val="20"/>
          <w:szCs w:val="20"/>
        </w:rPr>
        <w:t> </w:t>
      </w:r>
      <w:r w:rsidRPr="00F26704">
        <w:rPr>
          <w:rStyle w:val="text"/>
          <w:rFonts w:asciiTheme="minorBidi" w:hAnsiTheme="minorBidi"/>
          <w:color w:val="262626" w:themeColor="text1" w:themeTint="D9"/>
          <w:sz w:val="20"/>
          <w:szCs w:val="20"/>
        </w:rPr>
        <w:t>Martin</w:t>
      </w:r>
      <w:r w:rsidRPr="00F26704">
        <w:rPr>
          <w:rStyle w:val="react-xocs-alternative-link"/>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c</w:t>
      </w:r>
      <w:r w:rsidRPr="00F26704">
        <w:rPr>
          <w:rStyle w:val="button-link-text"/>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d</w:t>
      </w:r>
      <w:r w:rsidRPr="00F26704">
        <w:rPr>
          <w:rFonts w:asciiTheme="minorBidi" w:hAnsiTheme="minorBidi"/>
          <w:color w:val="262626" w:themeColor="text1" w:themeTint="D9"/>
          <w:sz w:val="20"/>
          <w:szCs w:val="20"/>
        </w:rPr>
        <w:t>, </w:t>
      </w:r>
      <w:hyperlink r:id="rId5" w:history="1">
        <w:r w:rsidRPr="00F26704">
          <w:rPr>
            <w:rStyle w:val="given-name"/>
            <w:rFonts w:asciiTheme="minorBidi" w:hAnsiTheme="minorBidi"/>
            <w:color w:val="262626" w:themeColor="text1" w:themeTint="D9"/>
            <w:sz w:val="20"/>
            <w:szCs w:val="20"/>
          </w:rPr>
          <w:t>A.-S.</w:t>
        </w:r>
        <w:r w:rsidRPr="00F26704">
          <w:rPr>
            <w:rStyle w:val="react-xocs-alternative-link"/>
            <w:rFonts w:asciiTheme="minorBidi" w:hAnsiTheme="minorBidi"/>
            <w:color w:val="262626" w:themeColor="text1" w:themeTint="D9"/>
            <w:sz w:val="20"/>
            <w:szCs w:val="20"/>
          </w:rPr>
          <w:t> </w:t>
        </w:r>
        <w:r w:rsidRPr="00F26704">
          <w:rPr>
            <w:rStyle w:val="text"/>
            <w:rFonts w:asciiTheme="minorBidi" w:hAnsiTheme="minorBidi"/>
            <w:color w:val="262626" w:themeColor="text1" w:themeTint="D9"/>
            <w:sz w:val="20"/>
            <w:szCs w:val="20"/>
          </w:rPr>
          <w:t>Korganow</w:t>
        </w:r>
        <w:r w:rsidRPr="00F26704">
          <w:rPr>
            <w:rStyle w:val="react-xocs-alternative-link"/>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a</w:t>
        </w:r>
        <w:r w:rsidRPr="00F26704">
          <w:rPr>
            <w:rStyle w:val="anchor-text"/>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b</w:t>
        </w:r>
      </w:hyperlink>
      <w:r w:rsidRPr="00F26704">
        <w:rPr>
          <w:rFonts w:asciiTheme="minorBidi" w:hAnsiTheme="minorBidi"/>
          <w:color w:val="262626" w:themeColor="text1" w:themeTint="D9"/>
          <w:sz w:val="20"/>
          <w:szCs w:val="20"/>
        </w:rPr>
        <w:t>, </w:t>
      </w:r>
      <w:hyperlink r:id="rId6" w:history="1">
        <w:r w:rsidRPr="00F26704">
          <w:rPr>
            <w:rStyle w:val="given-name"/>
            <w:rFonts w:asciiTheme="minorBidi" w:hAnsiTheme="minorBidi"/>
            <w:color w:val="262626" w:themeColor="text1" w:themeTint="D9"/>
            <w:sz w:val="20"/>
            <w:szCs w:val="20"/>
          </w:rPr>
          <w:t>A.</w:t>
        </w:r>
        <w:r w:rsidRPr="00F26704">
          <w:rPr>
            <w:rStyle w:val="react-xocs-alternative-link"/>
            <w:rFonts w:asciiTheme="minorBidi" w:hAnsiTheme="minorBidi"/>
            <w:color w:val="262626" w:themeColor="text1" w:themeTint="D9"/>
            <w:sz w:val="20"/>
            <w:szCs w:val="20"/>
          </w:rPr>
          <w:t> </w:t>
        </w:r>
        <w:r w:rsidRPr="00F26704">
          <w:rPr>
            <w:rStyle w:val="text"/>
            <w:rFonts w:asciiTheme="minorBidi" w:hAnsiTheme="minorBidi"/>
            <w:color w:val="262626" w:themeColor="text1" w:themeTint="D9"/>
            <w:sz w:val="20"/>
            <w:szCs w:val="20"/>
          </w:rPr>
          <w:t>Guffroy</w:t>
        </w:r>
        <w:r w:rsidRPr="00F26704">
          <w:rPr>
            <w:rStyle w:val="react-xocs-alternative-link"/>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a</w:t>
        </w:r>
        <w:r w:rsidRPr="00F26704">
          <w:rPr>
            <w:rStyle w:val="anchor-text"/>
            <w:rFonts w:asciiTheme="minorBidi" w:hAnsiTheme="minorBidi"/>
            <w:color w:val="262626" w:themeColor="text1" w:themeTint="D9"/>
            <w:sz w:val="20"/>
            <w:szCs w:val="20"/>
          </w:rPr>
          <w:t> </w:t>
        </w:r>
        <w:r w:rsidRPr="00F26704">
          <w:rPr>
            <w:rStyle w:val="author-ref"/>
            <w:rFonts w:asciiTheme="minorBidi" w:hAnsiTheme="minorBidi"/>
            <w:color w:val="262626" w:themeColor="text1" w:themeTint="D9"/>
            <w:sz w:val="20"/>
            <w:szCs w:val="20"/>
            <w:vertAlign w:val="superscript"/>
          </w:rPr>
          <w:t>b</w:t>
        </w:r>
      </w:hyperlink>
      <w:r w:rsidRPr="00F26704">
        <w:rPr>
          <w:rFonts w:asciiTheme="minorBidi" w:hAnsiTheme="minorBidi"/>
          <w:color w:val="262626" w:themeColor="text1" w:themeTint="D9"/>
          <w:sz w:val="20"/>
          <w:szCs w:val="20"/>
        </w:rPr>
        <w:t xml:space="preserve">  </w:t>
      </w:r>
      <w:r w:rsidRPr="00F26704">
        <w:rPr>
          <w:rStyle w:val="article-alt-title"/>
          <w:rFonts w:asciiTheme="minorBidi" w:hAnsiTheme="minorBidi"/>
          <w:color w:val="262626" w:themeColor="text1" w:themeTint="D9"/>
          <w:sz w:val="20"/>
          <w:szCs w:val="20"/>
          <w:lang w:val="en"/>
        </w:rPr>
        <w:t xml:space="preserve">Hughes-Stovin syndrome: About one case in a young man with recurrent thrombosis and pulmonary artery aneurysm and literature review  </w:t>
      </w:r>
      <w:hyperlink r:id="rId7" w:tooltip="Go to table of contents for this volume/issue" w:history="1">
        <w:r w:rsidRPr="00F26704">
          <w:rPr>
            <w:rStyle w:val="anchor-text"/>
            <w:rFonts w:asciiTheme="minorBidi" w:hAnsiTheme="minorBidi"/>
            <w:color w:val="262626" w:themeColor="text1" w:themeTint="D9"/>
            <w:sz w:val="20"/>
            <w:szCs w:val="20"/>
          </w:rPr>
          <w:t>Volume 40, Issue 2</w:t>
        </w:r>
      </w:hyperlink>
      <w:r w:rsidRPr="00F26704">
        <w:rPr>
          <w:rFonts w:asciiTheme="minorBidi" w:hAnsiTheme="minorBidi"/>
          <w:color w:val="262626" w:themeColor="text1" w:themeTint="D9"/>
          <w:sz w:val="20"/>
          <w:szCs w:val="20"/>
        </w:rPr>
        <w:t>, February 2019, Pages 120-125</w:t>
      </w:r>
    </w:p>
    <w:p w:rsidR="00990A3A" w:rsidRPr="00F26704" w:rsidRDefault="00990A3A" w:rsidP="00990A3A">
      <w:pPr>
        <w:pStyle w:val="ListParagraph"/>
        <w:rPr>
          <w:rFonts w:asciiTheme="minorBidi" w:hAnsiTheme="minorBidi"/>
          <w:sz w:val="20"/>
          <w:szCs w:val="20"/>
        </w:rPr>
      </w:pPr>
      <w:r w:rsidRPr="00F26704">
        <w:rPr>
          <w:rFonts w:asciiTheme="minorBidi" w:hAnsiTheme="minorBidi"/>
          <w:sz w:val="20"/>
          <w:szCs w:val="20"/>
        </w:rPr>
        <w:t xml:space="preserve">11.L. Rutherford RB, et al. Rutherford’s Vascular Surgery and Endovascular Therapy. 9th ed. Elsevier; 2018. </w:t>
      </w:r>
    </w:p>
    <w:p w:rsidR="00990A3A" w:rsidRPr="00F26704" w:rsidRDefault="00990A3A" w:rsidP="00990A3A">
      <w:pPr>
        <w:pStyle w:val="ListParagraph"/>
        <w:rPr>
          <w:rStyle w:val="Emphasis"/>
          <w:rFonts w:asciiTheme="minorBidi" w:hAnsiTheme="minorBidi"/>
          <w:sz w:val="20"/>
          <w:szCs w:val="20"/>
        </w:rPr>
      </w:pPr>
    </w:p>
    <w:p w:rsidR="00990A3A" w:rsidRPr="00F26704" w:rsidRDefault="00990A3A" w:rsidP="00990A3A">
      <w:pPr>
        <w:pStyle w:val="ListParagraph"/>
        <w:rPr>
          <w:rFonts w:asciiTheme="minorBidi" w:hAnsiTheme="minorBidi"/>
          <w:sz w:val="20"/>
          <w:szCs w:val="20"/>
        </w:rPr>
      </w:pPr>
      <w:r w:rsidRPr="00F26704">
        <w:rPr>
          <w:rStyle w:val="Emphasis"/>
          <w:rFonts w:asciiTheme="minorBidi" w:hAnsiTheme="minorBidi"/>
          <w:sz w:val="20"/>
          <w:szCs w:val="20"/>
        </w:rPr>
        <w:t>12.M.</w:t>
      </w:r>
      <w:r w:rsidRPr="00F26704">
        <w:rPr>
          <w:rFonts w:asciiTheme="minorBidi" w:hAnsiTheme="minorBidi"/>
          <w:sz w:val="20"/>
          <w:szCs w:val="20"/>
        </w:rPr>
        <w:t xml:space="preserve"> Seyahi E. Behçet’s disease: Vascular involvement. </w:t>
      </w:r>
      <w:r w:rsidRPr="00F26704">
        <w:rPr>
          <w:rStyle w:val="Emphasis"/>
          <w:rFonts w:asciiTheme="minorBidi" w:hAnsiTheme="minorBidi"/>
          <w:sz w:val="20"/>
          <w:szCs w:val="20"/>
        </w:rPr>
        <w:t>Best Pract Res Clin Rheumatol</w:t>
      </w:r>
      <w:r w:rsidRPr="00F26704">
        <w:rPr>
          <w:rFonts w:asciiTheme="minorBidi" w:hAnsiTheme="minorBidi"/>
          <w:sz w:val="20"/>
          <w:szCs w:val="20"/>
        </w:rPr>
        <w:t>. 2016;30:279–295</w:t>
      </w:r>
    </w:p>
    <w:p w:rsidR="00990A3A" w:rsidRPr="00F26704" w:rsidRDefault="00990A3A" w:rsidP="00990A3A">
      <w:pPr>
        <w:pStyle w:val="ListParagraph"/>
        <w:rPr>
          <w:rFonts w:asciiTheme="minorBidi" w:hAnsiTheme="minorBidi"/>
          <w:sz w:val="20"/>
          <w:szCs w:val="20"/>
        </w:rPr>
      </w:pPr>
    </w:p>
    <w:p w:rsidR="00990A3A" w:rsidRPr="00F26704" w:rsidRDefault="00990A3A" w:rsidP="00990A3A">
      <w:pPr>
        <w:pStyle w:val="ListParagraph"/>
        <w:spacing w:before="100" w:beforeAutospacing="1" w:after="100" w:afterAutospacing="1" w:line="240" w:lineRule="auto"/>
        <w:rPr>
          <w:rFonts w:asciiTheme="minorBidi" w:eastAsia="Times New Roman" w:hAnsiTheme="minorBidi"/>
          <w:sz w:val="20"/>
          <w:szCs w:val="20"/>
          <w:lang w:eastAsia="fr-FR"/>
        </w:rPr>
      </w:pPr>
      <w:r w:rsidRPr="00F26704">
        <w:rPr>
          <w:rFonts w:asciiTheme="minorBidi" w:eastAsia="Times New Roman" w:hAnsiTheme="minorBidi"/>
          <w:sz w:val="20"/>
          <w:szCs w:val="20"/>
          <w:lang w:eastAsia="fr-FR"/>
        </w:rPr>
        <w:t xml:space="preserve">13.P. Kwon Koo B, et al. Surgical outcomes of arterial lesions in Behçet disease. </w:t>
      </w:r>
      <w:r w:rsidRPr="00F26704">
        <w:rPr>
          <w:rFonts w:asciiTheme="minorBidi" w:eastAsia="Times New Roman" w:hAnsiTheme="minorBidi"/>
          <w:i/>
          <w:iCs/>
          <w:sz w:val="20"/>
          <w:szCs w:val="20"/>
          <w:lang w:eastAsia="fr-FR"/>
        </w:rPr>
        <w:t>J Vasc Surg</w:t>
      </w:r>
      <w:r w:rsidRPr="00F26704">
        <w:rPr>
          <w:rFonts w:asciiTheme="minorBidi" w:eastAsia="Times New Roman" w:hAnsiTheme="minorBidi"/>
          <w:sz w:val="20"/>
          <w:szCs w:val="20"/>
          <w:lang w:eastAsia="fr-FR"/>
        </w:rPr>
        <w:t>. 2014;59:1395–1402.</w:t>
      </w:r>
    </w:p>
    <w:p w:rsidR="00990A3A" w:rsidRPr="00F26704" w:rsidRDefault="00990A3A" w:rsidP="00990A3A">
      <w:pPr>
        <w:spacing w:before="100" w:beforeAutospacing="1" w:after="100" w:afterAutospacing="1" w:line="240" w:lineRule="auto"/>
        <w:ind w:left="360"/>
        <w:rPr>
          <w:rFonts w:asciiTheme="minorBidi" w:eastAsia="Times New Roman" w:hAnsiTheme="minorBidi"/>
          <w:sz w:val="20"/>
          <w:szCs w:val="20"/>
          <w:lang w:eastAsia="fr-FR"/>
        </w:rPr>
      </w:pPr>
      <w:r w:rsidRPr="00F26704">
        <w:rPr>
          <w:rFonts w:asciiTheme="minorBidi" w:hAnsiTheme="minorBidi"/>
          <w:sz w:val="20"/>
          <w:szCs w:val="20"/>
        </w:rPr>
        <w:t xml:space="preserve">      14.Tuzun H, Sayin A, Karaozbek Y, Erdag A, Coskun H, Vural FS. Peripheral aneurysms in Behc¸et’s disease. Cardiovasc Surg 1993;1:220—4.</w:t>
      </w:r>
    </w:p>
    <w:p w:rsidR="00990A3A" w:rsidRPr="00F26704" w:rsidRDefault="00990A3A" w:rsidP="00990A3A">
      <w:pPr>
        <w:pStyle w:val="ListParagraph"/>
        <w:spacing w:before="100" w:beforeAutospacing="1" w:after="100" w:afterAutospacing="1" w:line="240" w:lineRule="auto"/>
        <w:rPr>
          <w:rFonts w:asciiTheme="minorBidi" w:hAnsiTheme="minorBidi"/>
          <w:sz w:val="20"/>
          <w:szCs w:val="20"/>
        </w:rPr>
      </w:pPr>
    </w:p>
    <w:p w:rsidR="00990A3A" w:rsidRPr="00F26704" w:rsidRDefault="00990A3A" w:rsidP="00990A3A">
      <w:pPr>
        <w:pStyle w:val="ListParagraph"/>
        <w:spacing w:before="100" w:beforeAutospacing="1" w:after="100" w:afterAutospacing="1" w:line="240" w:lineRule="auto"/>
        <w:rPr>
          <w:rFonts w:asciiTheme="minorBidi" w:hAnsiTheme="minorBidi"/>
          <w:sz w:val="20"/>
          <w:szCs w:val="20"/>
        </w:rPr>
      </w:pPr>
      <w:r w:rsidRPr="00F26704">
        <w:rPr>
          <w:rFonts w:asciiTheme="minorBidi" w:hAnsiTheme="minorBidi"/>
          <w:sz w:val="20"/>
          <w:szCs w:val="20"/>
        </w:rPr>
        <w:t>15.Kim WH, Choi D, Kim JS, Ko YG, Jang Y, Shim WH. Effectiveness and safety of endovascular aneurysm treatment in patients with vasculo-Behc¸et disease. J Endovasc Ther 2009;16:631—6.</w:t>
      </w:r>
    </w:p>
    <w:p w:rsidR="00990A3A" w:rsidRPr="00F26704" w:rsidRDefault="00990A3A" w:rsidP="00990A3A">
      <w:pPr>
        <w:pStyle w:val="ListParagraph"/>
        <w:spacing w:before="100" w:beforeAutospacing="1" w:after="100" w:afterAutospacing="1" w:line="240" w:lineRule="auto"/>
        <w:rPr>
          <w:rFonts w:asciiTheme="minorBidi" w:eastAsia="Times New Roman" w:hAnsiTheme="minorBidi"/>
          <w:sz w:val="20"/>
          <w:szCs w:val="20"/>
          <w:lang w:eastAsia="fr-FR"/>
        </w:rPr>
      </w:pPr>
    </w:p>
    <w:p w:rsidR="00990A3A" w:rsidRPr="00F26704" w:rsidRDefault="00990A3A" w:rsidP="00990A3A">
      <w:pPr>
        <w:pStyle w:val="ListParagraph"/>
        <w:spacing w:before="100" w:beforeAutospacing="1" w:after="100" w:afterAutospacing="1" w:line="240" w:lineRule="auto"/>
        <w:rPr>
          <w:rFonts w:asciiTheme="minorBidi" w:eastAsia="Times New Roman" w:hAnsiTheme="minorBidi"/>
          <w:sz w:val="20"/>
          <w:szCs w:val="20"/>
          <w:lang w:eastAsia="fr-FR"/>
        </w:rPr>
      </w:pPr>
      <w:r w:rsidRPr="00F26704">
        <w:rPr>
          <w:rFonts w:asciiTheme="minorBidi" w:hAnsiTheme="minorBidi"/>
          <w:sz w:val="20"/>
          <w:szCs w:val="20"/>
        </w:rPr>
        <w:t>16.Nitecki SS, Ofer A, Karram T, Schwartz H, Engel A, Hoffman A. Abdominal aortic aneurysm in Behc¸et’s disease: new treatment options for an old and challenging problem. Isr Med Assoc J 2004;6:152—5.</w:t>
      </w:r>
    </w:p>
    <w:p w:rsidR="00990A3A" w:rsidRPr="00F26704" w:rsidRDefault="00990A3A" w:rsidP="00990A3A">
      <w:pPr>
        <w:pStyle w:val="ListParagraph"/>
        <w:rPr>
          <w:rFonts w:asciiTheme="minorBidi" w:hAnsiTheme="minorBidi"/>
          <w:b/>
          <w:bCs/>
          <w:sz w:val="20"/>
          <w:szCs w:val="20"/>
        </w:rPr>
      </w:pPr>
    </w:p>
    <w:p w:rsidR="00990A3A" w:rsidRPr="00F26704" w:rsidRDefault="00990A3A" w:rsidP="00990A3A">
      <w:pPr>
        <w:spacing w:before="100" w:beforeAutospacing="1" w:after="100" w:afterAutospacing="1" w:line="240" w:lineRule="auto"/>
        <w:ind w:left="720"/>
        <w:rPr>
          <w:rFonts w:asciiTheme="minorBidi" w:eastAsia="Times New Roman" w:hAnsiTheme="minorBidi"/>
          <w:sz w:val="20"/>
          <w:szCs w:val="20"/>
          <w:lang w:eastAsia="fr-FR"/>
        </w:rPr>
      </w:pPr>
    </w:p>
    <w:p w:rsidR="00990A3A" w:rsidRPr="00F26704" w:rsidRDefault="00990A3A">
      <w:pPr>
        <w:rPr>
          <w:rFonts w:asciiTheme="minorBidi" w:hAnsiTheme="minorBidi"/>
          <w:sz w:val="20"/>
          <w:szCs w:val="20"/>
        </w:rPr>
      </w:pPr>
    </w:p>
    <w:sectPr w:rsidR="00990A3A" w:rsidRPr="00F26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1A"/>
    <w:rsid w:val="00091A13"/>
    <w:rsid w:val="001F393F"/>
    <w:rsid w:val="00293A7B"/>
    <w:rsid w:val="002E5B1A"/>
    <w:rsid w:val="00334BDC"/>
    <w:rsid w:val="00492CDA"/>
    <w:rsid w:val="005D5FA9"/>
    <w:rsid w:val="00630B13"/>
    <w:rsid w:val="00664C1A"/>
    <w:rsid w:val="007536A2"/>
    <w:rsid w:val="00990A3A"/>
    <w:rsid w:val="009A1F8D"/>
    <w:rsid w:val="00B23A74"/>
    <w:rsid w:val="00C24741"/>
    <w:rsid w:val="00D040F5"/>
    <w:rsid w:val="00D5593B"/>
    <w:rsid w:val="00EC3EC8"/>
    <w:rsid w:val="00F267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5ABB"/>
  <w15:chartTrackingRefBased/>
  <w15:docId w15:val="{2E823A14-ED75-46DC-9353-1E739505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E5B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2E5B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B1A"/>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2E5B1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E5B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2E5B1A"/>
    <w:rPr>
      <w:b/>
      <w:bCs/>
    </w:rPr>
  </w:style>
  <w:style w:type="character" w:customStyle="1" w:styleId="relative">
    <w:name w:val="relative"/>
    <w:basedOn w:val="DefaultParagraphFont"/>
    <w:rsid w:val="002E5B1A"/>
  </w:style>
  <w:style w:type="paragraph" w:customStyle="1" w:styleId="not-prose">
    <w:name w:val="not-prose"/>
    <w:basedOn w:val="Normal"/>
    <w:rsid w:val="002E5B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90A3A"/>
    <w:rPr>
      <w:i/>
      <w:iCs/>
    </w:rPr>
  </w:style>
  <w:style w:type="character" w:customStyle="1" w:styleId="title-text">
    <w:name w:val="title-text"/>
    <w:basedOn w:val="DefaultParagraphFont"/>
    <w:rsid w:val="00990A3A"/>
  </w:style>
  <w:style w:type="character" w:customStyle="1" w:styleId="react-xocs-alternative-link">
    <w:name w:val="react-xocs-alternative-link"/>
    <w:basedOn w:val="DefaultParagraphFont"/>
    <w:rsid w:val="00990A3A"/>
  </w:style>
  <w:style w:type="character" w:customStyle="1" w:styleId="given-name">
    <w:name w:val="given-name"/>
    <w:basedOn w:val="DefaultParagraphFont"/>
    <w:rsid w:val="00990A3A"/>
  </w:style>
  <w:style w:type="character" w:customStyle="1" w:styleId="text">
    <w:name w:val="text"/>
    <w:basedOn w:val="DefaultParagraphFont"/>
    <w:rsid w:val="00990A3A"/>
  </w:style>
  <w:style w:type="character" w:customStyle="1" w:styleId="author-ref">
    <w:name w:val="author-ref"/>
    <w:basedOn w:val="DefaultParagraphFont"/>
    <w:rsid w:val="00990A3A"/>
  </w:style>
  <w:style w:type="character" w:customStyle="1" w:styleId="anchor-text">
    <w:name w:val="anchor-text"/>
    <w:basedOn w:val="DefaultParagraphFont"/>
    <w:rsid w:val="00990A3A"/>
  </w:style>
  <w:style w:type="paragraph" w:styleId="ListParagraph">
    <w:name w:val="List Paragraph"/>
    <w:basedOn w:val="Normal"/>
    <w:uiPriority w:val="34"/>
    <w:qFormat/>
    <w:rsid w:val="00990A3A"/>
    <w:pPr>
      <w:ind w:left="720"/>
      <w:contextualSpacing/>
    </w:pPr>
  </w:style>
  <w:style w:type="character" w:customStyle="1" w:styleId="article-alt-title">
    <w:name w:val="article-alt-title"/>
    <w:basedOn w:val="DefaultParagraphFont"/>
    <w:rsid w:val="00990A3A"/>
  </w:style>
  <w:style w:type="character" w:customStyle="1" w:styleId="button-link-text">
    <w:name w:val="button-link-text"/>
    <w:basedOn w:val="DefaultParagraphFont"/>
    <w:rsid w:val="0099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09689">
      <w:bodyDiv w:val="1"/>
      <w:marLeft w:val="0"/>
      <w:marRight w:val="0"/>
      <w:marTop w:val="0"/>
      <w:marBottom w:val="0"/>
      <w:divBdr>
        <w:top w:val="none" w:sz="0" w:space="0" w:color="auto"/>
        <w:left w:val="none" w:sz="0" w:space="0" w:color="auto"/>
        <w:bottom w:val="none" w:sz="0" w:space="0" w:color="auto"/>
        <w:right w:val="none" w:sz="0" w:space="0" w:color="auto"/>
      </w:divBdr>
    </w:div>
    <w:div w:id="1491559004">
      <w:bodyDiv w:val="1"/>
      <w:marLeft w:val="0"/>
      <w:marRight w:val="0"/>
      <w:marTop w:val="0"/>
      <w:marBottom w:val="0"/>
      <w:divBdr>
        <w:top w:val="none" w:sz="0" w:space="0" w:color="auto"/>
        <w:left w:val="none" w:sz="0" w:space="0" w:color="auto"/>
        <w:bottom w:val="none" w:sz="0" w:space="0" w:color="auto"/>
        <w:right w:val="none" w:sz="0" w:space="0" w:color="auto"/>
      </w:divBdr>
    </w:div>
    <w:div w:id="1707607259">
      <w:bodyDiv w:val="1"/>
      <w:marLeft w:val="0"/>
      <w:marRight w:val="0"/>
      <w:marTop w:val="0"/>
      <w:marBottom w:val="0"/>
      <w:divBdr>
        <w:top w:val="none" w:sz="0" w:space="0" w:color="auto"/>
        <w:left w:val="none" w:sz="0" w:space="0" w:color="auto"/>
        <w:bottom w:val="none" w:sz="0" w:space="0" w:color="auto"/>
        <w:right w:val="none" w:sz="0" w:space="0" w:color="auto"/>
      </w:divBdr>
    </w:div>
    <w:div w:id="19126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direct.com/journal/la-revue-de-medecine-interne/vol/40/issu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author/56741235600/aurelien-guffroy" TargetMode="External"/><Relationship Id="rId5" Type="http://schemas.openxmlformats.org/officeDocument/2006/relationships/hyperlink" Target="https://www.sciencedirect.com/author/6701569509/anne-sophie-korganow" TargetMode="External"/><Relationship Id="rId4" Type="http://schemas.openxmlformats.org/officeDocument/2006/relationships/hyperlink" Target="https://www.sciencedirect.com/journal/la-revue-de-medecine-interne/vol/44/suppl/S2"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2181</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13</cp:revision>
  <dcterms:created xsi:type="dcterms:W3CDTF">2026-03-06T11:43:00Z</dcterms:created>
  <dcterms:modified xsi:type="dcterms:W3CDTF">2026-03-16T12:14:00Z</dcterms:modified>
</cp:coreProperties>
</file>