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22C" w:rsidRPr="008D52F6" w:rsidRDefault="00E73E05">
      <w:pPr>
        <w:spacing w:line="360" w:lineRule="auto"/>
        <w:jc w:val="center"/>
        <w:rPr>
          <w:rFonts w:ascii="Times New Roman" w:hAnsi="Times New Roman" w:cs="Times New Roman"/>
          <w:b/>
          <w:bCs/>
          <w:sz w:val="24"/>
          <w:szCs w:val="24"/>
        </w:rPr>
      </w:pPr>
      <w:r w:rsidRPr="00E73E05">
        <w:rPr>
          <w:rFonts w:ascii="Times New Roman" w:hAnsi="Times New Roman" w:cs="Times New Roman"/>
          <w:b/>
          <w:bCs/>
          <w:sz w:val="24"/>
          <w:szCs w:val="24"/>
        </w:rPr>
        <w:t>Takayasu Arteritis Presenting with Upper Limb Weakness and Subclavian Artery Thrombosis in a Young Female: A Case Report</w:t>
      </w:r>
    </w:p>
    <w:p w:rsidR="00507C74" w:rsidRDefault="00507C74">
      <w:pPr>
        <w:spacing w:line="360" w:lineRule="auto"/>
        <w:rPr>
          <w:rFonts w:ascii="Times New Roman" w:hAnsi="Times New Roman" w:cs="Times New Roman"/>
          <w:bCs/>
          <w:sz w:val="24"/>
          <w:szCs w:val="24"/>
        </w:rPr>
      </w:pPr>
    </w:p>
    <w:p w:rsidR="00507C74" w:rsidRDefault="00507C74">
      <w:pPr>
        <w:spacing w:line="360" w:lineRule="auto"/>
        <w:rPr>
          <w:rFonts w:ascii="Times New Roman" w:hAnsi="Times New Roman" w:cs="Times New Roman"/>
          <w:bCs/>
          <w:sz w:val="24"/>
          <w:szCs w:val="24"/>
        </w:rPr>
      </w:pPr>
    </w:p>
    <w:p w:rsidR="0082222C" w:rsidRDefault="000B086A">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ABSTRACT</w:t>
      </w:r>
    </w:p>
    <w:p w:rsidR="0082222C" w:rsidRDefault="000B086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Takayasu arteritis is a rare, chronic granulomatous large-vessel vasculitis that primarily affects young women and involves the aorta and its major branches. Owing to its nonspecific early manifestations, diagnosis is frequently delayed until significant vascular involvement develops.</w:t>
      </w:r>
      <w:r w:rsidR="006A6C72">
        <w:rPr>
          <w:rFonts w:ascii="Times New Roman" w:hAnsi="Times New Roman" w:cs="Times New Roman"/>
          <w:bCs/>
          <w:sz w:val="24"/>
          <w:szCs w:val="24"/>
        </w:rPr>
        <w:t xml:space="preserve"> </w:t>
      </w:r>
      <w:r>
        <w:rPr>
          <w:rFonts w:ascii="Times New Roman" w:hAnsi="Times New Roman" w:cs="Times New Roman"/>
          <w:bCs/>
          <w:sz w:val="24"/>
          <w:szCs w:val="24"/>
        </w:rPr>
        <w:t>We present the case of a 32-year-old female who presented with sudden onset generalized weakness and breathlessness, along with a one-year history of headache, visual blurring, numbness, and progressive weakness of the upper limbs. On examination, she was hypotensive with asymmetric upper-limb motor power. Laboratory investigations revealed severe microcytic hypochromic anaemia with neutrophilic leukocytosis and thrombocytosis. Two-dimensional echocardiography demonstrated global left ventricular hypokinesia, moderate aortic regurgitation, and mild left ventricular systolic dysfunction. Doppler imaging of the upper-limb arterial system revealed diffuse circumferential wall thickening and significant luminal narrowing of the bilateral carotid and subclavian arteries, along with an echogenic thrombus causing critical stenosis of the right subclavian artery. These findings were consistent with large-vessel arteritis. Based on clinical features and imaging findings, a diagnosis of Takayasu arteritis was established. The patient was managed with high-dose intravenous corticosteroids, anticoagulation and supportive care, following which she was referred to a tertiary cardiac centre for further evaluation and definitive management. This case emphasizes the importance of maintaining a high index of suspicion for Takayasu arteritis in young women presenting with unexplained neurological and cardiovascular symptoms, as early diagnosis and timely immunosuppressive therapy are crucial to prevent disease progression and long-term complications.</w:t>
      </w:r>
    </w:p>
    <w:p w:rsidR="006A6C72" w:rsidRDefault="006A6C72">
      <w:pPr>
        <w:spacing w:line="360" w:lineRule="auto"/>
        <w:jc w:val="both"/>
        <w:rPr>
          <w:rFonts w:ascii="Times New Roman" w:hAnsi="Times New Roman" w:cs="Times New Roman"/>
          <w:bCs/>
          <w:sz w:val="24"/>
          <w:szCs w:val="24"/>
        </w:rPr>
      </w:pPr>
      <w:r w:rsidRPr="006A6C72">
        <w:rPr>
          <w:rFonts w:ascii="Times New Roman" w:hAnsi="Times New Roman" w:cs="Times New Roman"/>
          <w:b/>
          <w:sz w:val="24"/>
          <w:szCs w:val="24"/>
        </w:rPr>
        <w:t>Keywords:</w:t>
      </w:r>
      <w:r>
        <w:rPr>
          <w:rFonts w:ascii="Times New Roman" w:hAnsi="Times New Roman" w:cs="Times New Roman"/>
          <w:bCs/>
          <w:sz w:val="24"/>
          <w:szCs w:val="24"/>
        </w:rPr>
        <w:t xml:space="preserve"> Takayasu Arteritis, Large- Vessel Vasculitis, Aortic Regurgitation, Young Women</w:t>
      </w:r>
    </w:p>
    <w:p w:rsidR="006A6C72" w:rsidRDefault="006A6C72">
      <w:pPr>
        <w:spacing w:line="360" w:lineRule="auto"/>
        <w:jc w:val="both"/>
        <w:rPr>
          <w:rFonts w:ascii="Times New Roman" w:hAnsi="Times New Roman" w:cs="Times New Roman"/>
          <w:bCs/>
          <w:sz w:val="24"/>
          <w:szCs w:val="24"/>
        </w:rPr>
      </w:pPr>
    </w:p>
    <w:p w:rsidR="0082222C" w:rsidRDefault="000B086A" w:rsidP="00CC42CC">
      <w:pPr>
        <w:spacing w:line="360" w:lineRule="auto"/>
        <w:jc w:val="both"/>
        <w:rPr>
          <w:rFonts w:ascii="Times New Roman" w:hAnsi="Times New Roman" w:cs="Times New Roman"/>
          <w:sz w:val="24"/>
          <w:szCs w:val="24"/>
        </w:rPr>
      </w:pPr>
      <w:r>
        <w:rPr>
          <w:rFonts w:ascii="Times New Roman" w:hAnsi="Times New Roman" w:cs="Times New Roman"/>
          <w:b/>
          <w:bCs/>
          <w:sz w:val="24"/>
          <w:szCs w:val="24"/>
          <w:u w:val="single"/>
        </w:rPr>
        <w:t>INTRODUCTION</w:t>
      </w:r>
      <w:r w:rsidR="00CC42CC">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Takayasu arteritis is also known as pulse-less disease. It leads to inflammation of the large and medium arteries with their branches. It presents with mononuclear and granulomatous changes. This leads to transmural fibrous thickening of the </w:t>
      </w:r>
      <w:r>
        <w:rPr>
          <w:rFonts w:ascii="Times New Roman" w:hAnsi="Times New Roman" w:cs="Times New Roman"/>
          <w:sz w:val="24"/>
          <w:szCs w:val="24"/>
        </w:rPr>
        <w:lastRenderedPageBreak/>
        <w:t>walls of arteries. This further results in several vascular occlusions and/or aneurysmal dilatation which may lead to ischemic changes and other constitutional symptoms like headache, fever, unalike blood pressure, syncopal attacks</w:t>
      </w:r>
      <w:r>
        <w:rPr>
          <w:rFonts w:ascii="Times New Roman" w:hAnsi="Times New Roman" w:cs="Times New Roman"/>
          <w:sz w:val="24"/>
          <w:szCs w:val="24"/>
          <w:vertAlign w:val="superscript"/>
        </w:rPr>
        <w:t>1</w:t>
      </w:r>
      <w:r>
        <w:rPr>
          <w:rFonts w:ascii="Times New Roman" w:hAnsi="Times New Roman" w:cs="Times New Roman"/>
          <w:sz w:val="24"/>
          <w:szCs w:val="24"/>
        </w:rPr>
        <w:t>. Women are affected in 80 to 90 percent of cases, typically before the age of 40 years. A positive association with HLA-B52 and HLA-B39 has been demonstrated in several studies, suggesting an immunogenic association. Systemic symptoms are common in the early phase of TA, including fatigue, weight loss, and low-grade fever. However, some cases may be asymptomatic until vascular involvement becomes clinically apparent due to dilatation, narrowing, or occlusion of the proximal or distal branches of the aorta</w:t>
      </w:r>
      <w:r>
        <w:rPr>
          <w:rFonts w:ascii="Times New Roman" w:hAnsi="Times New Roman" w:cs="Times New Roman"/>
          <w:sz w:val="24"/>
          <w:szCs w:val="24"/>
          <w:vertAlign w:val="superscript"/>
        </w:rPr>
        <w:t>2</w:t>
      </w:r>
      <w:r>
        <w:rPr>
          <w:rFonts w:ascii="Times New Roman" w:hAnsi="Times New Roman" w:cs="Times New Roman"/>
          <w:sz w:val="24"/>
          <w:szCs w:val="24"/>
        </w:rPr>
        <w:t>. In the world, widely many Takayasu arteritis are reported but shows higher prevalence in East and South Asia, including Japan and India, compared with Europe and North America</w:t>
      </w:r>
      <w:r w:rsidR="00CC42CC">
        <w:rPr>
          <w:rFonts w:ascii="Times New Roman" w:hAnsi="Times New Roman" w:cs="Times New Roman"/>
          <w:sz w:val="24"/>
          <w:szCs w:val="24"/>
          <w:vertAlign w:val="superscript"/>
        </w:rPr>
        <w:t>3</w:t>
      </w:r>
      <w:r>
        <w:rPr>
          <w:rFonts w:ascii="Times New Roman" w:hAnsi="Times New Roman" w:cs="Times New Roman"/>
          <w:sz w:val="24"/>
          <w:szCs w:val="24"/>
          <w:vertAlign w:val="superscript"/>
        </w:rPr>
        <w:t>,</w:t>
      </w:r>
      <w:r w:rsidR="00CC42CC">
        <w:rPr>
          <w:rFonts w:ascii="Times New Roman" w:hAnsi="Times New Roman" w:cs="Times New Roman"/>
          <w:sz w:val="24"/>
          <w:szCs w:val="24"/>
          <w:vertAlign w:val="superscript"/>
        </w:rPr>
        <w:t>4</w:t>
      </w:r>
      <w:r>
        <w:rPr>
          <w:rFonts w:ascii="Times New Roman" w:hAnsi="Times New Roman" w:cs="Times New Roman"/>
          <w:sz w:val="24"/>
          <w:szCs w:val="24"/>
        </w:rPr>
        <w:t>. It affects women eight times more frequently than men, and is more common in the young. The median age at onset is 25 years; however, approximately 25% of cases begin before age 20, and 10% to 20% after age 40 years</w:t>
      </w:r>
      <w:r w:rsidR="00CC42CC">
        <w:rPr>
          <w:rFonts w:ascii="Times New Roman" w:hAnsi="Times New Roman" w:cs="Times New Roman"/>
          <w:sz w:val="24"/>
          <w:szCs w:val="24"/>
          <w:vertAlign w:val="superscript"/>
        </w:rPr>
        <w:t>5</w:t>
      </w:r>
      <w:r>
        <w:rPr>
          <w:rFonts w:ascii="Times New Roman" w:hAnsi="Times New Roman" w:cs="Times New Roman"/>
          <w:sz w:val="24"/>
          <w:szCs w:val="24"/>
        </w:rPr>
        <w:t>.</w:t>
      </w:r>
    </w:p>
    <w:p w:rsidR="00DF195E" w:rsidRPr="00DF195E" w:rsidRDefault="00DF195E" w:rsidP="00CC42CC">
      <w:pPr>
        <w:spacing w:line="360" w:lineRule="auto"/>
        <w:jc w:val="both"/>
        <w:rPr>
          <w:rFonts w:ascii="Times New Roman" w:hAnsi="Times New Roman" w:cs="Times New Roman"/>
          <w:sz w:val="24"/>
          <w:szCs w:val="24"/>
        </w:rPr>
      </w:pPr>
      <w:r w:rsidRPr="00DF195E">
        <w:rPr>
          <w:rFonts w:ascii="Times New Roman" w:hAnsi="Times New Roman" w:cs="Times New Roman"/>
          <w:sz w:val="24"/>
          <w:szCs w:val="24"/>
        </w:rPr>
        <w:t>It shows a strong female preponderance (80–90% of cases), typically manifesting in the second or third decades of life (ages 15–</w:t>
      </w:r>
      <w:proofErr w:type="gramStart"/>
      <w:r w:rsidRPr="00DF195E">
        <w:rPr>
          <w:rFonts w:ascii="Times New Roman" w:hAnsi="Times New Roman" w:cs="Times New Roman"/>
          <w:sz w:val="24"/>
          <w:szCs w:val="24"/>
        </w:rPr>
        <w:t>30</w:t>
      </w:r>
      <w:r>
        <w:rPr>
          <w:rFonts w:ascii="Times New Roman" w:hAnsi="Times New Roman" w:cs="Times New Roman"/>
          <w:sz w:val="24"/>
          <w:szCs w:val="24"/>
        </w:rPr>
        <w:t>)</w:t>
      </w:r>
      <w:r w:rsidRPr="00DF195E">
        <w:rPr>
          <w:rFonts w:ascii="Times New Roman" w:hAnsi="Times New Roman" w:cs="Times New Roman"/>
          <w:sz w:val="24"/>
          <w:szCs w:val="24"/>
          <w:vertAlign w:val="superscript"/>
        </w:rPr>
        <w:t>(</w:t>
      </w:r>
      <w:proofErr w:type="gramEnd"/>
      <w:r w:rsidRPr="00DF195E">
        <w:rPr>
          <w:rFonts w:ascii="Times New Roman" w:hAnsi="Times New Roman" w:cs="Times New Roman"/>
          <w:sz w:val="24"/>
          <w:szCs w:val="24"/>
          <w:vertAlign w:val="superscript"/>
        </w:rPr>
        <w:t>6, 8, 9)</w:t>
      </w:r>
      <w:r>
        <w:rPr>
          <w:rFonts w:ascii="Times New Roman" w:hAnsi="Times New Roman" w:cs="Times New Roman"/>
          <w:sz w:val="24"/>
          <w:szCs w:val="24"/>
        </w:rPr>
        <w:t>.</w:t>
      </w:r>
      <w:r w:rsidR="00E73E05">
        <w:rPr>
          <w:rFonts w:ascii="Times New Roman" w:hAnsi="Times New Roman" w:cs="Times New Roman"/>
          <w:sz w:val="24"/>
          <w:szCs w:val="24"/>
        </w:rPr>
        <w:t xml:space="preserve"> </w:t>
      </w:r>
      <w:r w:rsidRPr="00DF195E">
        <w:rPr>
          <w:rFonts w:ascii="Times New Roman" w:hAnsi="Times New Roman" w:cs="Times New Roman"/>
          <w:sz w:val="24"/>
          <w:szCs w:val="24"/>
        </w:rPr>
        <w:t>Diagnosis is guided by Ishikawa’s criteria, focusing on patients under 40 with major criteria like mid-subclavian artery stenosis and minor criteria including high ESR, carotid tenderness, and hypertension</w:t>
      </w:r>
      <w:r w:rsidRPr="00DF195E">
        <w:rPr>
          <w:rFonts w:ascii="Times New Roman" w:hAnsi="Times New Roman" w:cs="Times New Roman"/>
          <w:sz w:val="24"/>
          <w:szCs w:val="24"/>
          <w:vertAlign w:val="superscript"/>
        </w:rPr>
        <w:t>(3)</w:t>
      </w:r>
      <w:r w:rsidRPr="00DF195E">
        <w:rPr>
          <w:rFonts w:ascii="Times New Roman" w:hAnsi="Times New Roman" w:cs="Times New Roman"/>
          <w:sz w:val="24"/>
          <w:szCs w:val="24"/>
        </w:rPr>
        <w:t xml:space="preserve"> </w:t>
      </w:r>
      <w:r>
        <w:rPr>
          <w:rFonts w:ascii="Times New Roman" w:hAnsi="Times New Roman" w:cs="Times New Roman"/>
          <w:sz w:val="24"/>
          <w:szCs w:val="24"/>
        </w:rPr>
        <w:t>.</w:t>
      </w:r>
      <w:r w:rsidRPr="00DF195E">
        <w:rPr>
          <w:rFonts w:ascii="Times New Roman" w:hAnsi="Times New Roman" w:cs="Times New Roman"/>
          <w:sz w:val="24"/>
          <w:szCs w:val="24"/>
        </w:rPr>
        <w:t>While angiography is the traditional gold standard for identifying characteristic arterial narrowing or occlusions, non-invasive methods like MRI angiography, PET, and ultrasonography are increasingly preferred</w:t>
      </w:r>
      <w:r w:rsidRPr="00DF195E">
        <w:rPr>
          <w:rFonts w:ascii="Times New Roman" w:hAnsi="Times New Roman" w:cs="Times New Roman"/>
          <w:sz w:val="24"/>
          <w:szCs w:val="24"/>
          <w:vertAlign w:val="superscript"/>
        </w:rPr>
        <w:t>(4)</w:t>
      </w:r>
      <w:r>
        <w:rPr>
          <w:rFonts w:ascii="Times New Roman" w:hAnsi="Times New Roman" w:cs="Times New Roman"/>
          <w:sz w:val="24"/>
          <w:szCs w:val="24"/>
        </w:rPr>
        <w:t>.</w:t>
      </w:r>
    </w:p>
    <w:p w:rsidR="0082222C" w:rsidRDefault="000B086A">
      <w:pPr>
        <w:spacing w:after="120" w:line="360" w:lineRule="auto"/>
        <w:ind w:right="-755"/>
        <w:jc w:val="both"/>
        <w:rPr>
          <w:rFonts w:ascii="Times New Roman" w:hAnsi="Times New Roman" w:cs="Times New Roman"/>
          <w:b/>
          <w:sz w:val="24"/>
          <w:szCs w:val="24"/>
          <w:u w:val="single"/>
        </w:rPr>
      </w:pPr>
      <w:r>
        <w:rPr>
          <w:rFonts w:ascii="Times New Roman" w:hAnsi="Times New Roman" w:cs="Times New Roman"/>
          <w:b/>
          <w:sz w:val="24"/>
          <w:szCs w:val="24"/>
          <w:u w:val="single"/>
        </w:rPr>
        <w:t>CASE PRESENTATION</w:t>
      </w:r>
    </w:p>
    <w:p w:rsidR="0082222C" w:rsidRDefault="000B086A">
      <w:pPr>
        <w:spacing w:after="120" w:line="360" w:lineRule="auto"/>
        <w:ind w:right="-64"/>
        <w:jc w:val="both"/>
        <w:rPr>
          <w:rFonts w:ascii="Times New Roman" w:hAnsi="Times New Roman" w:cs="Times New Roman"/>
          <w:sz w:val="24"/>
          <w:szCs w:val="24"/>
        </w:rPr>
      </w:pPr>
      <w:r>
        <w:rPr>
          <w:rFonts w:ascii="Times New Roman" w:hAnsi="Times New Roman" w:cs="Times New Roman"/>
          <w:sz w:val="24"/>
          <w:szCs w:val="24"/>
        </w:rPr>
        <w:t xml:space="preserve">A 32-year-old female patient presented to the Emergency unit with the complaints of generalized weakness which </w:t>
      </w:r>
      <w:r w:rsidR="006A6C72">
        <w:rPr>
          <w:rFonts w:ascii="Times New Roman" w:hAnsi="Times New Roman" w:cs="Times New Roman"/>
          <w:sz w:val="24"/>
          <w:szCs w:val="24"/>
        </w:rPr>
        <w:t>wa</w:t>
      </w:r>
      <w:r>
        <w:rPr>
          <w:rFonts w:ascii="Times New Roman" w:hAnsi="Times New Roman" w:cs="Times New Roman"/>
          <w:sz w:val="24"/>
          <w:szCs w:val="24"/>
        </w:rPr>
        <w:t xml:space="preserve">s sudden in onset, gradually progressive in nature, no aggravating and relieving factors. And breathlessness, sudden in onset, gradually progressive in nature, no aggravating and relieving factors at evening after starting transfusion of PRBC. Her past history says that she had also complaints of generalized weakness, headache, vision blurring, numbness and weakness of upper limbs and tremors of lower limbs while walking from past 1 year. The patient has not had any history of bleeding manifestation, rashes, fever. The patient </w:t>
      </w:r>
      <w:r w:rsidR="006A6C72">
        <w:rPr>
          <w:rFonts w:ascii="Times New Roman" w:hAnsi="Times New Roman" w:cs="Times New Roman"/>
          <w:sz w:val="24"/>
          <w:szCs w:val="24"/>
        </w:rPr>
        <w:t>does</w:t>
      </w:r>
      <w:r>
        <w:rPr>
          <w:rFonts w:ascii="Times New Roman" w:hAnsi="Times New Roman" w:cs="Times New Roman"/>
          <w:sz w:val="24"/>
          <w:szCs w:val="24"/>
        </w:rPr>
        <w:t xml:space="preserve"> not h</w:t>
      </w:r>
      <w:r w:rsidR="006A6C72">
        <w:rPr>
          <w:rFonts w:ascii="Times New Roman" w:hAnsi="Times New Roman" w:cs="Times New Roman"/>
          <w:sz w:val="24"/>
          <w:szCs w:val="24"/>
        </w:rPr>
        <w:t>ave</w:t>
      </w:r>
      <w:r>
        <w:rPr>
          <w:rFonts w:ascii="Times New Roman" w:hAnsi="Times New Roman" w:cs="Times New Roman"/>
          <w:sz w:val="24"/>
          <w:szCs w:val="24"/>
        </w:rPr>
        <w:t xml:space="preserve"> any Medical and Family history. Her general physical examination</w:t>
      </w:r>
      <w:r w:rsidR="006A6C72">
        <w:rPr>
          <w:rFonts w:ascii="Times New Roman" w:hAnsi="Times New Roman" w:cs="Times New Roman"/>
          <w:sz w:val="24"/>
          <w:szCs w:val="24"/>
        </w:rPr>
        <w:t xml:space="preserve"> shows</w:t>
      </w:r>
      <w:r>
        <w:rPr>
          <w:rFonts w:ascii="Times New Roman" w:hAnsi="Times New Roman" w:cs="Times New Roman"/>
          <w:sz w:val="24"/>
          <w:szCs w:val="24"/>
        </w:rPr>
        <w:t xml:space="preserve"> positive</w:t>
      </w:r>
      <w:r w:rsidR="006A6C72">
        <w:rPr>
          <w:rFonts w:ascii="Times New Roman" w:hAnsi="Times New Roman" w:cs="Times New Roman"/>
          <w:sz w:val="24"/>
          <w:szCs w:val="24"/>
        </w:rPr>
        <w:t xml:space="preserve"> for pallor</w:t>
      </w:r>
      <w:r>
        <w:rPr>
          <w:rFonts w:ascii="Times New Roman" w:hAnsi="Times New Roman" w:cs="Times New Roman"/>
          <w:sz w:val="24"/>
          <w:szCs w:val="24"/>
        </w:rPr>
        <w:t xml:space="preserve">, Blood pressure </w:t>
      </w:r>
      <w:r w:rsidR="006A6C72">
        <w:rPr>
          <w:rFonts w:ascii="Times New Roman" w:hAnsi="Times New Roman" w:cs="Times New Roman"/>
          <w:sz w:val="24"/>
          <w:szCs w:val="24"/>
        </w:rPr>
        <w:t>wa</w:t>
      </w:r>
      <w:r>
        <w:rPr>
          <w:rFonts w:ascii="Times New Roman" w:hAnsi="Times New Roman" w:cs="Times New Roman"/>
          <w:sz w:val="24"/>
          <w:szCs w:val="24"/>
        </w:rPr>
        <w:t>s 80/50mmHg, GRBS</w:t>
      </w:r>
      <w:r w:rsidR="006A6C72">
        <w:rPr>
          <w:rFonts w:ascii="Times New Roman" w:hAnsi="Times New Roman" w:cs="Times New Roman"/>
          <w:sz w:val="24"/>
          <w:szCs w:val="24"/>
        </w:rPr>
        <w:t>-</w:t>
      </w:r>
      <w:r>
        <w:rPr>
          <w:rFonts w:ascii="Times New Roman" w:hAnsi="Times New Roman" w:cs="Times New Roman"/>
          <w:sz w:val="24"/>
          <w:szCs w:val="24"/>
        </w:rPr>
        <w:t xml:space="preserve"> 391 mg/dl, SpO2 </w:t>
      </w:r>
      <w:r w:rsidR="006A6C72">
        <w:rPr>
          <w:rFonts w:ascii="Times New Roman" w:hAnsi="Times New Roman" w:cs="Times New Roman"/>
          <w:sz w:val="24"/>
          <w:szCs w:val="24"/>
        </w:rPr>
        <w:t>-</w:t>
      </w:r>
      <w:r>
        <w:rPr>
          <w:rFonts w:ascii="Times New Roman" w:hAnsi="Times New Roman" w:cs="Times New Roman"/>
          <w:sz w:val="24"/>
          <w:szCs w:val="24"/>
        </w:rPr>
        <w:t>97% while receiving 2L/min oxygen. On examination of power in her upper limbs, it was 4/5 in the left upper limb as compared to 5/5 in the muscles of right upper limb. Gradually it be</w:t>
      </w:r>
      <w:r w:rsidR="006A6C72">
        <w:rPr>
          <w:rFonts w:ascii="Times New Roman" w:hAnsi="Times New Roman" w:cs="Times New Roman"/>
          <w:sz w:val="24"/>
          <w:szCs w:val="24"/>
        </w:rPr>
        <w:t>came</w:t>
      </w:r>
      <w:r>
        <w:rPr>
          <w:rFonts w:ascii="Times New Roman" w:hAnsi="Times New Roman" w:cs="Times New Roman"/>
          <w:sz w:val="24"/>
          <w:szCs w:val="24"/>
        </w:rPr>
        <w:t xml:space="preserve"> 1/5 </w:t>
      </w:r>
      <w:r>
        <w:rPr>
          <w:rFonts w:ascii="Times New Roman" w:hAnsi="Times New Roman" w:cs="Times New Roman"/>
          <w:sz w:val="24"/>
          <w:szCs w:val="24"/>
        </w:rPr>
        <w:lastRenderedPageBreak/>
        <w:t>in the left upper limb. An ECG performed was indicative of - Sinus tachycardia with sinus arrhythmia, left ventricular hypertrophy, Possible subsequent T wave abnormality.</w:t>
      </w:r>
    </w:p>
    <w:p w:rsidR="00C5615D" w:rsidRDefault="00C5615D">
      <w:pPr>
        <w:spacing w:after="120" w:line="360" w:lineRule="auto"/>
        <w:ind w:right="-64"/>
        <w:jc w:val="both"/>
        <w:rPr>
          <w:rFonts w:ascii="Times New Roman" w:hAnsi="Times New Roman" w:cs="Times New Roman"/>
          <w:sz w:val="24"/>
          <w:szCs w:val="24"/>
        </w:rPr>
      </w:pPr>
      <w:r w:rsidRPr="00C5615D">
        <w:rPr>
          <w:rFonts w:ascii="Times New Roman" w:hAnsi="Times New Roman" w:cs="Times New Roman"/>
          <w:b/>
          <w:bCs/>
          <w:sz w:val="24"/>
          <w:szCs w:val="24"/>
        </w:rPr>
        <w:t>The systemic examination</w:t>
      </w:r>
      <w:r w:rsidRPr="00C5615D">
        <w:rPr>
          <w:rFonts w:ascii="Times New Roman" w:hAnsi="Times New Roman" w:cs="Times New Roman"/>
          <w:sz w:val="24"/>
          <w:szCs w:val="24"/>
        </w:rPr>
        <w:t xml:space="preserve"> revealed that the patient was conscious and oriented with no focal neurological deficits. Respiratory assessment showed bilateral air entry was positive with no added sounds, and the abdominal examination noted a soft, non-tender abdomen. A detailed </w:t>
      </w:r>
      <w:r w:rsidRPr="00C5615D">
        <w:rPr>
          <w:rFonts w:ascii="Times New Roman" w:hAnsi="Times New Roman" w:cs="Times New Roman"/>
          <w:b/>
          <w:bCs/>
          <w:sz w:val="24"/>
          <w:szCs w:val="24"/>
        </w:rPr>
        <w:t>cardiovascular examination</w:t>
      </w:r>
      <w:r w:rsidRPr="00C5615D">
        <w:rPr>
          <w:rFonts w:ascii="Times New Roman" w:hAnsi="Times New Roman" w:cs="Times New Roman"/>
          <w:sz w:val="24"/>
          <w:szCs w:val="24"/>
        </w:rPr>
        <w:t xml:space="preserve"> found that the JVP was not raised and the trachea was in the midline. Inspection and palpation of the chest revealed a symmetric shape with no deformities, scars, or dilated veins, and the apical impulse was located at the 5th intercostal space left to the sternal midclavicular line. While the S</w:t>
      </w:r>
      <w:r>
        <w:rPr>
          <w:rFonts w:ascii="Times New Roman" w:hAnsi="Times New Roman" w:cs="Times New Roman"/>
          <w:sz w:val="24"/>
          <w:szCs w:val="24"/>
        </w:rPr>
        <w:t>1</w:t>
      </w:r>
      <w:r w:rsidRPr="00C5615D">
        <w:rPr>
          <w:rFonts w:ascii="Times New Roman" w:hAnsi="Times New Roman" w:cs="Times New Roman"/>
          <w:sz w:val="24"/>
          <w:szCs w:val="24"/>
        </w:rPr>
        <w:t xml:space="preserve"> and S2 heart sounds were positive, no palpable thrills or murmurs were detected.</w:t>
      </w:r>
    </w:p>
    <w:p w:rsidR="0082222C" w:rsidRDefault="0082222C">
      <w:pPr>
        <w:spacing w:after="120" w:line="360" w:lineRule="auto"/>
        <w:ind w:right="1077"/>
        <w:jc w:val="both"/>
        <w:rPr>
          <w:rFonts w:ascii="Times New Roman" w:hAnsi="Times New Roman" w:cs="Times New Roman"/>
          <w:sz w:val="24"/>
          <w:szCs w:val="24"/>
        </w:rPr>
      </w:pPr>
    </w:p>
    <w:p w:rsidR="0082222C" w:rsidRDefault="008D52F6">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Table 1: Laboratory details:</w:t>
      </w:r>
    </w:p>
    <w:tbl>
      <w:tblPr>
        <w:tblStyle w:val="TableGrid1"/>
        <w:tblW w:w="0" w:type="auto"/>
        <w:tblLook w:val="04A0" w:firstRow="1" w:lastRow="0" w:firstColumn="1" w:lastColumn="0" w:noHBand="0" w:noVBand="1"/>
      </w:tblPr>
      <w:tblGrid>
        <w:gridCol w:w="3084"/>
        <w:gridCol w:w="3062"/>
        <w:gridCol w:w="3096"/>
      </w:tblGrid>
      <w:tr w:rsidR="0082222C">
        <w:tc>
          <w:tcPr>
            <w:tcW w:w="3192"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TEST NAME</w:t>
            </w:r>
          </w:p>
        </w:tc>
        <w:tc>
          <w:tcPr>
            <w:tcW w:w="3192"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RESULT</w:t>
            </w:r>
          </w:p>
        </w:tc>
        <w:tc>
          <w:tcPr>
            <w:tcW w:w="3192"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REFERENCE RANGE</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Hb</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7.0</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12-16 g/dl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RBC</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3.93</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3.5-5.0 X 10</w:t>
            </w:r>
            <w:r>
              <w:rPr>
                <w:rFonts w:ascii="Times New Roman" w:hAnsi="Times New Roman" w:cs="Times New Roman"/>
                <w:sz w:val="24"/>
                <w:szCs w:val="24"/>
                <w:vertAlign w:val="superscript"/>
              </w:rPr>
              <w:t>6</w:t>
            </w:r>
            <w:r>
              <w:rPr>
                <w:rFonts w:ascii="Times New Roman" w:hAnsi="Times New Roman" w:cs="Times New Roman"/>
                <w:sz w:val="24"/>
                <w:szCs w:val="24"/>
              </w:rPr>
              <w:t>/mm</w:t>
            </w:r>
            <w:r>
              <w:rPr>
                <w:rFonts w:ascii="Times New Roman" w:hAnsi="Times New Roman" w:cs="Times New Roman"/>
                <w:sz w:val="24"/>
                <w:szCs w:val="24"/>
                <w:vertAlign w:val="superscript"/>
              </w:rPr>
              <w:t>3</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WBC</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11,850</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4500-11,000 cells/cumm</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Hematocrit</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22.2</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39-49%</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MCV</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56.5</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76-100 fl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MCH</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17.9</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27-33 pg/cell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MCHC</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31.6</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33-37 g/dl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Neutrophils</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86</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40-75%</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Lymphocytes</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20-5-%</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Sr. Creatinine</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0.4</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0.6-1.2 mg/dl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Sr. Urea</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20-50 mg/dl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Sr. Uric acid</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2.1</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2.6-6 mg/dl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Sr. total protein</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5.7</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6.6-8.3 gm/dl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Albumin</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3.4-5 gm/dl</w:t>
            </w:r>
          </w:p>
        </w:tc>
      </w:tr>
      <w:tr w:rsidR="0082222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Globulin</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3.7</w:t>
            </w:r>
          </w:p>
        </w:tc>
        <w:tc>
          <w:tcPr>
            <w:tcW w:w="319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2-3.5 g/dl</w:t>
            </w:r>
          </w:p>
        </w:tc>
      </w:tr>
    </w:tbl>
    <w:p w:rsidR="0082222C" w:rsidRDefault="0082222C">
      <w:pPr>
        <w:spacing w:after="120" w:line="360" w:lineRule="auto"/>
        <w:ind w:right="1077"/>
        <w:jc w:val="both"/>
        <w:rPr>
          <w:rFonts w:ascii="Times New Roman" w:hAnsi="Times New Roman" w:cs="Times New Roman"/>
          <w:b/>
          <w:sz w:val="24"/>
          <w:szCs w:val="24"/>
        </w:rPr>
      </w:pPr>
    </w:p>
    <w:p w:rsidR="0082222C" w:rsidRPr="00A03F72" w:rsidRDefault="000B086A" w:rsidP="00A03F72">
      <w:pPr>
        <w:spacing w:after="120" w:line="360" w:lineRule="auto"/>
        <w:ind w:right="1077"/>
        <w:rPr>
          <w:rFonts w:ascii="Times New Roman" w:hAnsi="Times New Roman" w:cs="Times New Roman"/>
          <w:b/>
          <w:sz w:val="24"/>
          <w:szCs w:val="24"/>
          <w:u w:val="single"/>
        </w:rPr>
      </w:pPr>
      <w:r>
        <w:rPr>
          <w:rFonts w:ascii="Times New Roman" w:hAnsi="Times New Roman" w:cs="Times New Roman"/>
          <w:b/>
          <w:sz w:val="24"/>
          <w:szCs w:val="24"/>
          <w:u w:val="single"/>
        </w:rPr>
        <w:t>PERIPHERAL SMEAR:</w:t>
      </w:r>
      <w:r w:rsidR="00C5615D">
        <w:rPr>
          <w:rFonts w:ascii="Times New Roman" w:hAnsi="Times New Roman" w:cs="Times New Roman"/>
          <w:b/>
          <w:sz w:val="24"/>
          <w:szCs w:val="24"/>
          <w:u w:val="single"/>
        </w:rPr>
        <w:t xml:space="preserve"> </w:t>
      </w:r>
      <w:r w:rsidR="00C5615D">
        <w:rPr>
          <w:rFonts w:ascii="Times New Roman" w:hAnsi="Times New Roman" w:cs="Times New Roman"/>
          <w:bCs/>
          <w:sz w:val="24"/>
          <w:szCs w:val="24"/>
        </w:rPr>
        <w:t xml:space="preserve">Findings </w:t>
      </w:r>
      <w:r w:rsidR="00C5615D" w:rsidRPr="00C5615D">
        <w:rPr>
          <w:rFonts w:ascii="Times New Roman" w:hAnsi="Times New Roman" w:cs="Times New Roman"/>
          <w:bCs/>
          <w:sz w:val="24"/>
          <w:szCs w:val="24"/>
        </w:rPr>
        <w:t>confirme</w:t>
      </w:r>
      <w:r w:rsidR="00A03F72">
        <w:rPr>
          <w:rFonts w:ascii="Times New Roman" w:hAnsi="Times New Roman" w:cs="Times New Roman"/>
          <w:bCs/>
          <w:sz w:val="24"/>
          <w:szCs w:val="24"/>
        </w:rPr>
        <w:t xml:space="preserve">d </w:t>
      </w:r>
      <w:proofErr w:type="spellStart"/>
      <w:r w:rsidR="00A03F72">
        <w:rPr>
          <w:rFonts w:ascii="Times New Roman" w:hAnsi="Times New Roman" w:cs="Times New Roman"/>
          <w:bCs/>
          <w:sz w:val="24"/>
          <w:szCs w:val="24"/>
        </w:rPr>
        <w:t>a</w:t>
      </w:r>
      <w:r>
        <w:rPr>
          <w:rFonts w:ascii="Times New Roman" w:hAnsi="Times New Roman" w:cs="Times New Roman"/>
          <w:sz w:val="24"/>
          <w:szCs w:val="24"/>
        </w:rPr>
        <w:t>nisopoikilocytosis</w:t>
      </w:r>
      <w:proofErr w:type="spellEnd"/>
      <w:r>
        <w:rPr>
          <w:rFonts w:ascii="Times New Roman" w:hAnsi="Times New Roman" w:cs="Times New Roman"/>
          <w:sz w:val="24"/>
          <w:szCs w:val="24"/>
        </w:rPr>
        <w:t xml:space="preserve"> seen with tear drop cells, pencil shaped cells and target cells</w:t>
      </w:r>
      <w:r w:rsidR="00A03F72">
        <w:rPr>
          <w:rFonts w:ascii="Times New Roman" w:hAnsi="Times New Roman" w:cs="Times New Roman"/>
          <w:sz w:val="24"/>
          <w:szCs w:val="24"/>
        </w:rPr>
        <w:t xml:space="preserve">, with the </w:t>
      </w:r>
      <w:r w:rsidR="00A03F72">
        <w:rPr>
          <w:rFonts w:ascii="Times New Roman" w:hAnsi="Times New Roman" w:cs="Times New Roman"/>
          <w:b/>
          <w:sz w:val="24"/>
          <w:szCs w:val="24"/>
          <w:u w:val="single"/>
        </w:rPr>
        <w:t>i</w:t>
      </w:r>
      <w:r w:rsidRPr="00A03F72">
        <w:rPr>
          <w:rFonts w:ascii="Times New Roman" w:hAnsi="Times New Roman" w:cs="Times New Roman"/>
          <w:bCs/>
          <w:sz w:val="24"/>
          <w:szCs w:val="24"/>
        </w:rPr>
        <w:t xml:space="preserve">mpression </w:t>
      </w:r>
      <w:r w:rsidR="00A03F72">
        <w:rPr>
          <w:rFonts w:ascii="Times New Roman" w:hAnsi="Times New Roman" w:cs="Times New Roman"/>
          <w:bCs/>
          <w:sz w:val="24"/>
          <w:szCs w:val="24"/>
        </w:rPr>
        <w:t xml:space="preserve">of </w:t>
      </w:r>
      <w:r>
        <w:rPr>
          <w:rFonts w:ascii="Times New Roman" w:hAnsi="Times New Roman" w:cs="Times New Roman"/>
          <w:b/>
          <w:sz w:val="24"/>
          <w:szCs w:val="24"/>
        </w:rPr>
        <w:t>Microcytic Hypochromic Anaemia with Neutrophilic Leucocytosis and Thrombocytosis.</w:t>
      </w:r>
      <w:r>
        <w:rPr>
          <w:rFonts w:ascii="Times New Roman" w:hAnsi="Times New Roman" w:cs="Times New Roman"/>
          <w:b/>
          <w:sz w:val="24"/>
          <w:szCs w:val="24"/>
        </w:rPr>
        <w:tab/>
      </w:r>
      <w:r>
        <w:rPr>
          <w:rFonts w:ascii="Times New Roman" w:hAnsi="Times New Roman" w:cs="Times New Roman"/>
          <w:b/>
          <w:sz w:val="24"/>
          <w:szCs w:val="24"/>
        </w:rPr>
        <w:tab/>
      </w:r>
    </w:p>
    <w:p w:rsidR="0082222C" w:rsidRPr="00A03F72"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u w:val="single"/>
        </w:rPr>
        <w:t>2D ECHO DONE</w:t>
      </w:r>
      <w:r>
        <w:rPr>
          <w:rFonts w:ascii="Times New Roman" w:hAnsi="Times New Roman" w:cs="Times New Roman"/>
          <w:b/>
          <w:sz w:val="24"/>
          <w:szCs w:val="24"/>
        </w:rPr>
        <w:t xml:space="preserve">: </w:t>
      </w:r>
      <w:r w:rsidRPr="00A03F72">
        <w:rPr>
          <w:rFonts w:ascii="Times New Roman" w:hAnsi="Times New Roman" w:cs="Times New Roman"/>
          <w:bCs/>
          <w:sz w:val="24"/>
          <w:szCs w:val="24"/>
        </w:rPr>
        <w:t>SHOWED GLOBAL HYPOKINESIA OF LV</w:t>
      </w:r>
      <w:r w:rsidR="00A03F72">
        <w:rPr>
          <w:rFonts w:ascii="Times New Roman" w:hAnsi="Times New Roman" w:cs="Times New Roman"/>
          <w:b/>
          <w:sz w:val="24"/>
          <w:szCs w:val="24"/>
        </w:rPr>
        <w:t xml:space="preserve">, </w:t>
      </w:r>
      <w:r>
        <w:rPr>
          <w:rFonts w:ascii="Times New Roman" w:hAnsi="Times New Roman" w:cs="Times New Roman"/>
          <w:sz w:val="24"/>
          <w:szCs w:val="24"/>
        </w:rPr>
        <w:t>MODERATE AR</w:t>
      </w:r>
      <w:r w:rsidR="00A03F72">
        <w:rPr>
          <w:rFonts w:ascii="Times New Roman" w:hAnsi="Times New Roman" w:cs="Times New Roman"/>
          <w:b/>
          <w:sz w:val="24"/>
          <w:szCs w:val="24"/>
        </w:rPr>
        <w:t xml:space="preserve">, </w:t>
      </w:r>
      <w:r>
        <w:rPr>
          <w:rFonts w:ascii="Times New Roman" w:hAnsi="Times New Roman" w:cs="Times New Roman"/>
          <w:sz w:val="24"/>
          <w:szCs w:val="24"/>
        </w:rPr>
        <w:t>MILD TR/PAH</w:t>
      </w:r>
      <w:r w:rsidR="00A03F72">
        <w:rPr>
          <w:rFonts w:ascii="Times New Roman" w:hAnsi="Times New Roman" w:cs="Times New Roman"/>
          <w:b/>
          <w:sz w:val="24"/>
          <w:szCs w:val="24"/>
        </w:rPr>
        <w:t xml:space="preserve">, </w:t>
      </w:r>
      <w:r>
        <w:rPr>
          <w:rFonts w:ascii="Times New Roman" w:hAnsi="Times New Roman" w:cs="Times New Roman"/>
          <w:sz w:val="24"/>
          <w:szCs w:val="24"/>
        </w:rPr>
        <w:t>MILD MR</w:t>
      </w:r>
      <w:r w:rsidR="00A03F72">
        <w:rPr>
          <w:rFonts w:ascii="Times New Roman" w:hAnsi="Times New Roman" w:cs="Times New Roman"/>
          <w:b/>
          <w:sz w:val="24"/>
          <w:szCs w:val="24"/>
        </w:rPr>
        <w:t xml:space="preserve">, </w:t>
      </w:r>
      <w:r>
        <w:rPr>
          <w:rFonts w:ascii="Times New Roman" w:hAnsi="Times New Roman" w:cs="Times New Roman"/>
          <w:sz w:val="24"/>
          <w:szCs w:val="24"/>
        </w:rPr>
        <w:t>MILD LV SYSTOLIC DYSFUNCTION</w:t>
      </w:r>
      <w:r w:rsidR="00A03F72">
        <w:rPr>
          <w:rFonts w:ascii="Times New Roman" w:hAnsi="Times New Roman" w:cs="Times New Roman"/>
          <w:b/>
          <w:sz w:val="24"/>
          <w:szCs w:val="24"/>
        </w:rPr>
        <w:t xml:space="preserve">, </w:t>
      </w:r>
      <w:r>
        <w:rPr>
          <w:rFonts w:ascii="Times New Roman" w:hAnsi="Times New Roman" w:cs="Times New Roman"/>
          <w:sz w:val="24"/>
          <w:szCs w:val="24"/>
        </w:rPr>
        <w:t>LV EF-49%</w:t>
      </w:r>
      <w:r w:rsidR="00A03F72">
        <w:rPr>
          <w:rFonts w:ascii="Times New Roman" w:hAnsi="Times New Roman" w:cs="Times New Roman"/>
          <w:b/>
          <w:sz w:val="24"/>
          <w:szCs w:val="24"/>
        </w:rPr>
        <w:t xml:space="preserve">, </w:t>
      </w:r>
      <w:r>
        <w:rPr>
          <w:rFonts w:ascii="Times New Roman" w:hAnsi="Times New Roman" w:cs="Times New Roman"/>
          <w:sz w:val="24"/>
          <w:szCs w:val="24"/>
        </w:rPr>
        <w:t>IVC-NON-COLLAPSING</w:t>
      </w:r>
    </w:p>
    <w:p w:rsidR="0082222C" w:rsidRDefault="000B086A">
      <w:pPr>
        <w:spacing w:after="120" w:line="360" w:lineRule="auto"/>
        <w:ind w:right="1077"/>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DOPPLER STUDY OF UPPER LIMB ARTERIAL SYSTEM:</w:t>
      </w:r>
    </w:p>
    <w:p w:rsidR="00A03F72"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 xml:space="preserve">LEFT: </w:t>
      </w:r>
      <w:r>
        <w:rPr>
          <w:rFonts w:ascii="Times New Roman" w:hAnsi="Times New Roman" w:cs="Times New Roman"/>
          <w:sz w:val="24"/>
          <w:szCs w:val="24"/>
        </w:rPr>
        <w:t>Proximal subclavian artery poorly visualized due to poor window.</w:t>
      </w:r>
      <w:r w:rsidR="00A03F72">
        <w:rPr>
          <w:rFonts w:ascii="Times New Roman" w:hAnsi="Times New Roman" w:cs="Times New Roman"/>
          <w:sz w:val="24"/>
          <w:szCs w:val="24"/>
        </w:rPr>
        <w:t xml:space="preserve"> </w:t>
      </w:r>
      <w:r>
        <w:rPr>
          <w:rFonts w:ascii="Times New Roman" w:hAnsi="Times New Roman" w:cs="Times New Roman"/>
          <w:sz w:val="24"/>
          <w:szCs w:val="24"/>
        </w:rPr>
        <w:t>Diffuse circumferential wall thickening involving carotid and mid and distal subclavian artery causing moderate luminal narrowing.</w:t>
      </w:r>
      <w:r w:rsidR="00A03F72">
        <w:rPr>
          <w:rFonts w:ascii="Times New Roman" w:hAnsi="Times New Roman" w:cs="Times New Roman"/>
          <w:sz w:val="24"/>
          <w:szCs w:val="24"/>
        </w:rPr>
        <w:t xml:space="preserve"> </w:t>
      </w:r>
      <w:r>
        <w:rPr>
          <w:rFonts w:ascii="Times New Roman" w:hAnsi="Times New Roman" w:cs="Times New Roman"/>
          <w:sz w:val="24"/>
          <w:szCs w:val="24"/>
        </w:rPr>
        <w:t>Monophasic flow pattern noted.</w:t>
      </w:r>
      <w:r w:rsidR="00A03F72">
        <w:rPr>
          <w:rFonts w:ascii="Times New Roman" w:hAnsi="Times New Roman" w:cs="Times New Roman"/>
          <w:b/>
          <w:sz w:val="24"/>
          <w:szCs w:val="24"/>
        </w:rPr>
        <w:t xml:space="preserve"> </w:t>
      </w:r>
      <w:r>
        <w:rPr>
          <w:rFonts w:ascii="Times New Roman" w:hAnsi="Times New Roman" w:cs="Times New Roman"/>
          <w:sz w:val="24"/>
          <w:szCs w:val="24"/>
        </w:rPr>
        <w:t>Axillary brachial radial and ulnar arteries are normal in caliber, no e/o wall thickening, pulse wave doppler show Monophasic flow pattern.</w:t>
      </w:r>
    </w:p>
    <w:p w:rsidR="0082222C" w:rsidRPr="00A03F72" w:rsidRDefault="000B086A" w:rsidP="00A03F72">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RIGHT:</w:t>
      </w:r>
      <w:r w:rsidR="00A03F72">
        <w:rPr>
          <w:rFonts w:ascii="Times New Roman" w:hAnsi="Times New Roman" w:cs="Times New Roman"/>
          <w:b/>
          <w:sz w:val="24"/>
          <w:szCs w:val="24"/>
        </w:rPr>
        <w:t xml:space="preserve"> </w:t>
      </w:r>
      <w:r>
        <w:rPr>
          <w:rFonts w:ascii="Times New Roman" w:hAnsi="Times New Roman" w:cs="Times New Roman"/>
          <w:sz w:val="24"/>
          <w:szCs w:val="24"/>
        </w:rPr>
        <w:t>Echogenic thrombus measuring 9 x 4 mm is noted in the Right subclavian artery, causing 80% luminal narrowing and reduced flow.</w:t>
      </w:r>
      <w:r w:rsidR="00A03F72">
        <w:rPr>
          <w:rFonts w:ascii="Times New Roman" w:hAnsi="Times New Roman" w:cs="Times New Roman"/>
          <w:b/>
          <w:sz w:val="24"/>
          <w:szCs w:val="24"/>
        </w:rPr>
        <w:t xml:space="preserve"> </w:t>
      </w:r>
      <w:r>
        <w:rPr>
          <w:rFonts w:ascii="Times New Roman" w:hAnsi="Times New Roman" w:cs="Times New Roman"/>
          <w:sz w:val="24"/>
          <w:szCs w:val="24"/>
        </w:rPr>
        <w:t>Diffuse circumferential wall thickening involving carotid, Brachio cephalic trunk and subclavian artery causing significant luminal narrowing and showing monophasic flow pattern in distal arteries.</w:t>
      </w:r>
    </w:p>
    <w:p w:rsidR="0082222C" w:rsidRDefault="000B086A">
      <w:pPr>
        <w:spacing w:after="120" w:line="360" w:lineRule="auto"/>
        <w:ind w:left="1440" w:right="-424" w:firstLine="27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3124200" cy="1914525"/>
            <wp:effectExtent l="0" t="0" r="0" b="9525"/>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3124200" cy="1914525"/>
                    </a:xfrm>
                    <a:prstGeom prst="rect">
                      <a:avLst/>
                    </a:prstGeom>
                  </pic:spPr>
                </pic:pic>
              </a:graphicData>
            </a:graphic>
          </wp:inline>
        </w:drawing>
      </w:r>
    </w:p>
    <w:p w:rsidR="0082222C"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 xml:space="preserve">                        Figure1: </w:t>
      </w:r>
      <w:r>
        <w:rPr>
          <w:rFonts w:ascii="Times New Roman" w:hAnsi="Times New Roman" w:cs="Times New Roman"/>
          <w:sz w:val="24"/>
          <w:szCs w:val="24"/>
        </w:rPr>
        <w:t>Doppler Study of Upper Limb Arterial System</w:t>
      </w:r>
    </w:p>
    <w:p w:rsidR="0082222C" w:rsidRPr="00A03F72" w:rsidRDefault="000B086A">
      <w:pPr>
        <w:spacing w:after="120" w:line="360" w:lineRule="auto"/>
        <w:ind w:right="-154"/>
        <w:jc w:val="both"/>
        <w:rPr>
          <w:rFonts w:ascii="Times New Roman" w:hAnsi="Times New Roman" w:cs="Times New Roman"/>
          <w:bCs/>
          <w:sz w:val="24"/>
          <w:szCs w:val="24"/>
        </w:rPr>
      </w:pPr>
      <w:r>
        <w:rPr>
          <w:rFonts w:ascii="Times New Roman" w:hAnsi="Times New Roman" w:cs="Times New Roman"/>
          <w:b/>
          <w:sz w:val="24"/>
          <w:szCs w:val="24"/>
          <w:u w:val="single"/>
        </w:rPr>
        <w:t>Impression</w:t>
      </w:r>
      <w:r>
        <w:rPr>
          <w:rFonts w:ascii="Times New Roman" w:hAnsi="Times New Roman" w:cs="Times New Roman"/>
          <w:b/>
          <w:sz w:val="24"/>
          <w:szCs w:val="24"/>
        </w:rPr>
        <w:t xml:space="preserve">: </w:t>
      </w:r>
      <w:r w:rsidRPr="00A03F72">
        <w:rPr>
          <w:rFonts w:ascii="Times New Roman" w:hAnsi="Times New Roman" w:cs="Times New Roman"/>
          <w:bCs/>
          <w:sz w:val="24"/>
          <w:szCs w:val="24"/>
        </w:rPr>
        <w:t>Imaging features s/o arteritis involving bilateral carotid, subclavian arteries and right Brachio cephalic trunk.</w:t>
      </w:r>
    </w:p>
    <w:p w:rsidR="0082222C" w:rsidRPr="00A03F72" w:rsidRDefault="000B086A">
      <w:pPr>
        <w:spacing w:after="120" w:line="360" w:lineRule="auto"/>
        <w:ind w:right="1077"/>
        <w:jc w:val="both"/>
        <w:rPr>
          <w:rFonts w:ascii="Times New Roman" w:hAnsi="Times New Roman" w:cs="Times New Roman"/>
          <w:b/>
          <w:sz w:val="24"/>
          <w:szCs w:val="24"/>
          <w:u w:val="single"/>
        </w:rPr>
      </w:pPr>
      <w:r>
        <w:rPr>
          <w:rFonts w:ascii="Times New Roman" w:hAnsi="Times New Roman" w:cs="Times New Roman"/>
          <w:b/>
          <w:sz w:val="24"/>
          <w:szCs w:val="24"/>
          <w:u w:val="single"/>
        </w:rPr>
        <w:t>ULTRASOUND SCAN OF ABDOMEN AND PELVIS</w:t>
      </w:r>
      <w:r w:rsidR="00A03F72">
        <w:rPr>
          <w:rFonts w:ascii="Times New Roman" w:hAnsi="Times New Roman" w:cs="Times New Roman"/>
          <w:b/>
          <w:sz w:val="24"/>
          <w:szCs w:val="24"/>
          <w:u w:val="single"/>
        </w:rPr>
        <w:t xml:space="preserve">: </w:t>
      </w:r>
      <w:r w:rsidR="00A03F72" w:rsidRPr="00A03F72">
        <w:rPr>
          <w:rFonts w:ascii="Times New Roman" w:hAnsi="Times New Roman" w:cs="Times New Roman"/>
          <w:bCs/>
          <w:sz w:val="24"/>
          <w:szCs w:val="24"/>
        </w:rPr>
        <w:t>The findings showed</w:t>
      </w:r>
      <w:r w:rsidR="00A03F72">
        <w:rPr>
          <w:rFonts w:ascii="Times New Roman" w:hAnsi="Times New Roman" w:cs="Times New Roman"/>
          <w:bCs/>
          <w:sz w:val="24"/>
          <w:szCs w:val="24"/>
        </w:rPr>
        <w:t xml:space="preserve"> </w:t>
      </w:r>
      <w:r w:rsidRPr="00A03F72">
        <w:rPr>
          <w:rFonts w:ascii="Times New Roman" w:hAnsi="Times New Roman" w:cs="Times New Roman"/>
          <w:bCs/>
          <w:sz w:val="24"/>
          <w:szCs w:val="24"/>
        </w:rPr>
        <w:t>Right ovarian simple cyst</w:t>
      </w:r>
      <w:r w:rsidR="00A03F72">
        <w:rPr>
          <w:rFonts w:ascii="Times New Roman" w:hAnsi="Times New Roman" w:cs="Times New Roman"/>
          <w:bCs/>
          <w:sz w:val="24"/>
          <w:szCs w:val="24"/>
        </w:rPr>
        <w:t xml:space="preserve"> &amp; l</w:t>
      </w:r>
      <w:r w:rsidRPr="00A03F72">
        <w:rPr>
          <w:rFonts w:ascii="Times New Roman" w:hAnsi="Times New Roman" w:cs="Times New Roman"/>
          <w:bCs/>
          <w:sz w:val="24"/>
          <w:szCs w:val="24"/>
        </w:rPr>
        <w:t>eft ovarian h</w:t>
      </w:r>
      <w:r w:rsidR="00A03F72">
        <w:rPr>
          <w:rFonts w:ascii="Times New Roman" w:hAnsi="Times New Roman" w:cs="Times New Roman"/>
          <w:bCs/>
          <w:sz w:val="24"/>
          <w:szCs w:val="24"/>
        </w:rPr>
        <w:t>a</w:t>
      </w:r>
      <w:r w:rsidRPr="00A03F72">
        <w:rPr>
          <w:rFonts w:ascii="Times New Roman" w:hAnsi="Times New Roman" w:cs="Times New Roman"/>
          <w:bCs/>
          <w:sz w:val="24"/>
          <w:szCs w:val="24"/>
        </w:rPr>
        <w:t>emorrhagic cyst</w:t>
      </w:r>
    </w:p>
    <w:p w:rsidR="0082222C" w:rsidRDefault="000B086A">
      <w:pPr>
        <w:spacing w:after="120" w:line="360" w:lineRule="auto"/>
        <w:ind w:right="1077"/>
        <w:jc w:val="both"/>
        <w:rPr>
          <w:rFonts w:ascii="Times New Roman" w:hAnsi="Times New Roman" w:cs="Times New Roman"/>
          <w:b/>
          <w:sz w:val="24"/>
          <w:szCs w:val="24"/>
        </w:rPr>
      </w:pPr>
      <w:r>
        <w:rPr>
          <w:rFonts w:ascii="Times New Roman" w:hAnsi="Times New Roman" w:cs="Times New Roman"/>
          <w:b/>
          <w:sz w:val="24"/>
          <w:szCs w:val="24"/>
        </w:rPr>
        <w:t>TREATMENT</w:t>
      </w:r>
    </w:p>
    <w:p w:rsidR="0082222C" w:rsidRDefault="008D52F6">
      <w:pPr>
        <w:spacing w:after="120" w:line="360" w:lineRule="auto"/>
        <w:ind w:right="-244"/>
        <w:jc w:val="both"/>
        <w:rPr>
          <w:rFonts w:ascii="Times New Roman" w:hAnsi="Times New Roman" w:cs="Times New Roman"/>
          <w:b/>
          <w:sz w:val="24"/>
          <w:szCs w:val="24"/>
        </w:rPr>
      </w:pPr>
      <w:bookmarkStart w:id="0" w:name="_Hlk223358095"/>
      <w:r>
        <w:rPr>
          <w:rFonts w:ascii="Times New Roman" w:hAnsi="Times New Roman" w:cs="Times New Roman"/>
          <w:b/>
          <w:sz w:val="24"/>
          <w:szCs w:val="24"/>
        </w:rPr>
        <w:t xml:space="preserve">Table </w:t>
      </w:r>
      <w:bookmarkEnd w:id="0"/>
      <w:r>
        <w:rPr>
          <w:rFonts w:ascii="Times New Roman" w:hAnsi="Times New Roman" w:cs="Times New Roman"/>
          <w:b/>
          <w:sz w:val="24"/>
          <w:szCs w:val="24"/>
        </w:rPr>
        <w:t>2: During the 4 days stay at the hospital the patient was treated with following drugs:</w:t>
      </w:r>
    </w:p>
    <w:tbl>
      <w:tblPr>
        <w:tblStyle w:val="TableGrid2"/>
        <w:tblW w:w="9468" w:type="dxa"/>
        <w:tblLook w:val="04A0" w:firstRow="1" w:lastRow="0" w:firstColumn="1" w:lastColumn="0" w:noHBand="0" w:noVBand="1"/>
      </w:tblPr>
      <w:tblGrid>
        <w:gridCol w:w="990"/>
        <w:gridCol w:w="3189"/>
        <w:gridCol w:w="1419"/>
        <w:gridCol w:w="1291"/>
        <w:gridCol w:w="1181"/>
        <w:gridCol w:w="1398"/>
      </w:tblGrid>
      <w:tr w:rsidR="0082222C">
        <w:tc>
          <w:tcPr>
            <w:tcW w:w="990"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SL.NO.</w:t>
            </w:r>
          </w:p>
        </w:tc>
        <w:tc>
          <w:tcPr>
            <w:tcW w:w="3189"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DRUGS GIVEN</w:t>
            </w:r>
          </w:p>
        </w:tc>
        <w:tc>
          <w:tcPr>
            <w:tcW w:w="1419"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DOSE</w:t>
            </w:r>
          </w:p>
        </w:tc>
        <w:tc>
          <w:tcPr>
            <w:tcW w:w="1291"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ROUTE</w:t>
            </w:r>
          </w:p>
        </w:tc>
        <w:tc>
          <w:tcPr>
            <w:tcW w:w="1181"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FREQ</w:t>
            </w:r>
          </w:p>
        </w:tc>
        <w:tc>
          <w:tcPr>
            <w:tcW w:w="1398" w:type="dxa"/>
          </w:tcPr>
          <w:p w:rsidR="0082222C" w:rsidRDefault="000B086A">
            <w:pPr>
              <w:rPr>
                <w:rFonts w:ascii="Times New Roman" w:hAnsi="Times New Roman" w:cs="Times New Roman"/>
                <w:b/>
                <w:sz w:val="24"/>
                <w:szCs w:val="24"/>
              </w:rPr>
            </w:pPr>
            <w:r>
              <w:rPr>
                <w:rFonts w:ascii="Times New Roman" w:hAnsi="Times New Roman" w:cs="Times New Roman"/>
                <w:b/>
                <w:sz w:val="24"/>
                <w:szCs w:val="24"/>
              </w:rPr>
              <w:t>No. of days given</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HYDROCORTISONE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100 mg</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1-1-1-1</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ONDANSETRON</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 mg</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1-1-1</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PANTOPRAZOLE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40 mg</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1-0-0</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NS IV Fluids</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100 ml/hr</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82222C">
            <w:pPr>
              <w:jc w:val="center"/>
              <w:rPr>
                <w:rFonts w:ascii="Times New Roman" w:hAnsi="Times New Roman" w:cs="Times New Roman"/>
                <w:sz w:val="24"/>
                <w:szCs w:val="24"/>
              </w:rPr>
            </w:pP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ADRENALINE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 ml in 9 ml NS</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82222C">
            <w:pPr>
              <w:jc w:val="center"/>
              <w:rPr>
                <w:rFonts w:ascii="Times New Roman" w:hAnsi="Times New Roman" w:cs="Times New Roman"/>
                <w:sz w:val="24"/>
                <w:szCs w:val="24"/>
              </w:rPr>
            </w:pP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 day</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6</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PHENIRAMINE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1amp</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1-1-1</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7</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Human Regular Insulin</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12 IU</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S/C</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Q8H</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8</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CEFTRIAXONE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 gm</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1-0-1</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 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9</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Iron supplement infusion</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100 mg in 100 ml NS</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0-1-0</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ENOXAPARIN</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40 mg</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S/C</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1-0-1</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2days</w:t>
            </w:r>
          </w:p>
        </w:tc>
      </w:tr>
      <w:tr w:rsidR="0082222C">
        <w:tc>
          <w:tcPr>
            <w:tcW w:w="990"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11</w:t>
            </w:r>
          </w:p>
        </w:tc>
        <w:tc>
          <w:tcPr>
            <w:tcW w:w="31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METHYLPREDNISOLONE</w:t>
            </w:r>
          </w:p>
        </w:tc>
        <w:tc>
          <w:tcPr>
            <w:tcW w:w="141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1000mg</w:t>
            </w:r>
          </w:p>
        </w:tc>
        <w:tc>
          <w:tcPr>
            <w:tcW w:w="129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IV</w:t>
            </w:r>
          </w:p>
        </w:tc>
        <w:tc>
          <w:tcPr>
            <w:tcW w:w="1181"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Stat</w:t>
            </w:r>
          </w:p>
        </w:tc>
        <w:tc>
          <w:tcPr>
            <w:tcW w:w="1398"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 day</w:t>
            </w:r>
          </w:p>
        </w:tc>
      </w:tr>
    </w:tbl>
    <w:p w:rsidR="0082222C" w:rsidRDefault="0082222C">
      <w:pPr>
        <w:spacing w:after="120" w:line="360" w:lineRule="auto"/>
        <w:ind w:right="1077"/>
        <w:jc w:val="both"/>
        <w:rPr>
          <w:rFonts w:ascii="Times New Roman" w:hAnsi="Times New Roman" w:cs="Times New Roman"/>
          <w:b/>
          <w:sz w:val="24"/>
          <w:szCs w:val="24"/>
        </w:rPr>
      </w:pPr>
    </w:p>
    <w:p w:rsidR="0082222C" w:rsidRDefault="000B086A">
      <w:pPr>
        <w:spacing w:after="12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The vitals </w:t>
      </w:r>
      <w:r w:rsidR="00A03F72">
        <w:rPr>
          <w:rFonts w:ascii="Times New Roman" w:hAnsi="Times New Roman" w:cs="Times New Roman"/>
          <w:sz w:val="24"/>
          <w:szCs w:val="24"/>
        </w:rPr>
        <w:t>we</w:t>
      </w:r>
      <w:r>
        <w:rPr>
          <w:rFonts w:ascii="Times New Roman" w:hAnsi="Times New Roman" w:cs="Times New Roman"/>
          <w:sz w:val="24"/>
          <w:szCs w:val="24"/>
        </w:rPr>
        <w:t>re monitored and the patient was referred to Higher Center for further evaluation.</w:t>
      </w:r>
    </w:p>
    <w:p w:rsidR="0082222C" w:rsidRDefault="008D52F6">
      <w:pPr>
        <w:spacing w:after="120" w:line="360" w:lineRule="auto"/>
        <w:ind w:right="-424"/>
        <w:jc w:val="both"/>
        <w:rPr>
          <w:rFonts w:ascii="Times New Roman" w:hAnsi="Times New Roman" w:cs="Times New Roman"/>
          <w:b/>
          <w:sz w:val="24"/>
          <w:szCs w:val="24"/>
        </w:rPr>
      </w:pPr>
      <w:bookmarkStart w:id="1" w:name="_GoBack"/>
      <w:r>
        <w:rPr>
          <w:rFonts w:ascii="Times New Roman" w:hAnsi="Times New Roman" w:cs="Times New Roman"/>
          <w:b/>
          <w:sz w:val="24"/>
          <w:szCs w:val="24"/>
        </w:rPr>
        <w:t>Table</w:t>
      </w:r>
      <w:bookmarkEnd w:id="1"/>
      <w:r>
        <w:rPr>
          <w:rFonts w:ascii="Times New Roman" w:hAnsi="Times New Roman" w:cs="Times New Roman"/>
          <w:b/>
          <w:sz w:val="24"/>
          <w:szCs w:val="24"/>
        </w:rPr>
        <w:t xml:space="preserve"> 3: DISCHARGE MEDICATION</w:t>
      </w:r>
    </w:p>
    <w:tbl>
      <w:tblPr>
        <w:tblStyle w:val="TableGrid3"/>
        <w:tblW w:w="9468" w:type="dxa"/>
        <w:tblLook w:val="04A0" w:firstRow="1" w:lastRow="0" w:firstColumn="1" w:lastColumn="0" w:noHBand="0" w:noVBand="1"/>
      </w:tblPr>
      <w:tblGrid>
        <w:gridCol w:w="917"/>
        <w:gridCol w:w="3707"/>
        <w:gridCol w:w="1553"/>
        <w:gridCol w:w="1489"/>
        <w:gridCol w:w="1802"/>
      </w:tblGrid>
      <w:tr w:rsidR="0082222C">
        <w:tc>
          <w:tcPr>
            <w:tcW w:w="917"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Sl.NO.</w:t>
            </w:r>
          </w:p>
        </w:tc>
        <w:tc>
          <w:tcPr>
            <w:tcW w:w="3707"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DRUGS GIVEN</w:t>
            </w:r>
          </w:p>
        </w:tc>
        <w:tc>
          <w:tcPr>
            <w:tcW w:w="1553"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DOSE</w:t>
            </w:r>
          </w:p>
        </w:tc>
        <w:tc>
          <w:tcPr>
            <w:tcW w:w="1489"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ROUTE</w:t>
            </w:r>
          </w:p>
        </w:tc>
        <w:tc>
          <w:tcPr>
            <w:tcW w:w="1802" w:type="dxa"/>
          </w:tcPr>
          <w:p w:rsidR="0082222C" w:rsidRDefault="000B086A">
            <w:pPr>
              <w:jc w:val="center"/>
              <w:rPr>
                <w:rFonts w:ascii="Times New Roman" w:hAnsi="Times New Roman" w:cs="Times New Roman"/>
                <w:b/>
                <w:sz w:val="24"/>
                <w:szCs w:val="24"/>
              </w:rPr>
            </w:pPr>
            <w:r>
              <w:rPr>
                <w:rFonts w:ascii="Times New Roman" w:hAnsi="Times New Roman" w:cs="Times New Roman"/>
                <w:b/>
                <w:sz w:val="24"/>
                <w:szCs w:val="24"/>
              </w:rPr>
              <w:t>FREQ.</w:t>
            </w:r>
          </w:p>
        </w:tc>
      </w:tr>
      <w:tr w:rsidR="0082222C">
        <w:tc>
          <w:tcPr>
            <w:tcW w:w="917"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w:t>
            </w:r>
          </w:p>
        </w:tc>
        <w:tc>
          <w:tcPr>
            <w:tcW w:w="3707"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Tab. PREDNISOLONE</w:t>
            </w:r>
          </w:p>
        </w:tc>
        <w:tc>
          <w:tcPr>
            <w:tcW w:w="1553"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40 mg</w:t>
            </w:r>
          </w:p>
        </w:tc>
        <w:tc>
          <w:tcPr>
            <w:tcW w:w="14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P/O</w:t>
            </w:r>
          </w:p>
        </w:tc>
        <w:tc>
          <w:tcPr>
            <w:tcW w:w="180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3-0-0</w:t>
            </w:r>
          </w:p>
        </w:tc>
      </w:tr>
      <w:tr w:rsidR="0082222C">
        <w:tc>
          <w:tcPr>
            <w:tcW w:w="917"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2</w:t>
            </w:r>
          </w:p>
        </w:tc>
        <w:tc>
          <w:tcPr>
            <w:tcW w:w="3707"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Inj. ENOXAPARIN</w:t>
            </w:r>
          </w:p>
        </w:tc>
        <w:tc>
          <w:tcPr>
            <w:tcW w:w="1553"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40mg</w:t>
            </w:r>
          </w:p>
        </w:tc>
        <w:tc>
          <w:tcPr>
            <w:tcW w:w="1489"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S/C</w:t>
            </w:r>
          </w:p>
        </w:tc>
        <w:tc>
          <w:tcPr>
            <w:tcW w:w="1802" w:type="dxa"/>
          </w:tcPr>
          <w:p w:rsidR="0082222C" w:rsidRDefault="000B086A">
            <w:pPr>
              <w:jc w:val="center"/>
              <w:rPr>
                <w:rFonts w:ascii="Times New Roman" w:hAnsi="Times New Roman" w:cs="Times New Roman"/>
                <w:sz w:val="24"/>
                <w:szCs w:val="24"/>
              </w:rPr>
            </w:pPr>
            <w:r>
              <w:rPr>
                <w:rFonts w:ascii="Times New Roman" w:hAnsi="Times New Roman" w:cs="Times New Roman"/>
                <w:sz w:val="24"/>
                <w:szCs w:val="24"/>
              </w:rPr>
              <w:t>1-0-1</w:t>
            </w:r>
          </w:p>
        </w:tc>
      </w:tr>
    </w:tbl>
    <w:p w:rsidR="00CC42CC" w:rsidRDefault="00CC42CC">
      <w:pPr>
        <w:spacing w:after="120" w:line="360" w:lineRule="auto"/>
        <w:ind w:right="1077"/>
        <w:jc w:val="both"/>
        <w:rPr>
          <w:rFonts w:ascii="Times New Roman" w:hAnsi="Times New Roman" w:cs="Times New Roman"/>
          <w:b/>
          <w:sz w:val="24"/>
          <w:szCs w:val="24"/>
        </w:rPr>
      </w:pPr>
    </w:p>
    <w:p w:rsidR="0082222C" w:rsidRDefault="00CC42CC">
      <w:pPr>
        <w:spacing w:after="120" w:line="360" w:lineRule="auto"/>
        <w:ind w:right="1077"/>
        <w:jc w:val="both"/>
        <w:rPr>
          <w:rFonts w:ascii="Times New Roman" w:hAnsi="Times New Roman" w:cs="Times New Roman"/>
          <w:sz w:val="24"/>
          <w:szCs w:val="24"/>
        </w:rPr>
      </w:pPr>
      <w:r>
        <w:rPr>
          <w:rFonts w:ascii="Times New Roman" w:hAnsi="Times New Roman" w:cs="Times New Roman"/>
          <w:sz w:val="24"/>
          <w:szCs w:val="24"/>
        </w:rPr>
        <w:t>The ab</w:t>
      </w:r>
      <w:r w:rsidR="000B086A">
        <w:rPr>
          <w:rFonts w:ascii="Times New Roman" w:hAnsi="Times New Roman" w:cs="Times New Roman"/>
          <w:sz w:val="24"/>
          <w:szCs w:val="24"/>
        </w:rPr>
        <w:t xml:space="preserve">ove drugs </w:t>
      </w:r>
      <w:r>
        <w:rPr>
          <w:rFonts w:ascii="Times New Roman" w:hAnsi="Times New Roman" w:cs="Times New Roman"/>
          <w:sz w:val="24"/>
          <w:szCs w:val="24"/>
        </w:rPr>
        <w:t>were prescribed &amp; advised to</w:t>
      </w:r>
      <w:r w:rsidR="000B086A">
        <w:rPr>
          <w:rFonts w:ascii="Times New Roman" w:hAnsi="Times New Roman" w:cs="Times New Roman"/>
          <w:sz w:val="24"/>
          <w:szCs w:val="24"/>
        </w:rPr>
        <w:t xml:space="preserve"> continued </w:t>
      </w:r>
      <w:r>
        <w:rPr>
          <w:rFonts w:ascii="Times New Roman" w:hAnsi="Times New Roman" w:cs="Times New Roman"/>
          <w:sz w:val="24"/>
          <w:szCs w:val="24"/>
        </w:rPr>
        <w:t>un</w:t>
      </w:r>
      <w:r w:rsidR="000B086A">
        <w:rPr>
          <w:rFonts w:ascii="Times New Roman" w:hAnsi="Times New Roman" w:cs="Times New Roman"/>
          <w:sz w:val="24"/>
          <w:szCs w:val="24"/>
        </w:rPr>
        <w:t>til surgical intervention for Takayasu Arteritis.</w:t>
      </w:r>
    </w:p>
    <w:p w:rsidR="0082222C" w:rsidRDefault="000B086A">
      <w:pPr>
        <w:spacing w:after="120" w:line="360" w:lineRule="auto"/>
        <w:ind w:right="1077"/>
        <w:jc w:val="both"/>
        <w:rPr>
          <w:rFonts w:ascii="Times New Roman" w:hAnsi="Times New Roman" w:cs="Times New Roman"/>
          <w:b/>
          <w:sz w:val="24"/>
          <w:szCs w:val="24"/>
          <w:u w:val="single"/>
        </w:rPr>
      </w:pPr>
      <w:r>
        <w:rPr>
          <w:rFonts w:ascii="Times New Roman" w:hAnsi="Times New Roman" w:cs="Times New Roman"/>
          <w:b/>
          <w:sz w:val="24"/>
          <w:szCs w:val="24"/>
          <w:u w:val="single"/>
        </w:rPr>
        <w:t>DISCUSSION</w:t>
      </w:r>
    </w:p>
    <w:p w:rsidR="0082222C" w:rsidRDefault="000B086A">
      <w:pPr>
        <w:spacing w:after="120" w:line="360" w:lineRule="auto"/>
        <w:ind w:right="-154"/>
        <w:jc w:val="both"/>
        <w:rPr>
          <w:rFonts w:ascii="Times New Roman" w:hAnsi="Times New Roman" w:cs="Times New Roman"/>
          <w:bCs/>
          <w:sz w:val="24"/>
          <w:szCs w:val="24"/>
        </w:rPr>
      </w:pPr>
      <w:r>
        <w:rPr>
          <w:rFonts w:ascii="Times New Roman" w:hAnsi="Times New Roman" w:cs="Times New Roman"/>
          <w:bCs/>
          <w:sz w:val="24"/>
          <w:szCs w:val="24"/>
        </w:rPr>
        <w:t>Takayasu Arteritis (TA) is a rare, chronic granulomatous large-vessel vasculitis that primarily affects young women and involves the aorta and its major branches. In this case report, a 32-year-old female presented with sudden weakness and breathlessness alongside a history of visual blurring and upper limb numbness. A similar acute neurological presentation, where a 28-year-old female presented with acute onset left-sided weakness and numbness due to an infarct</w:t>
      </w:r>
      <w:r w:rsidR="00CC42CC">
        <w:rPr>
          <w:rFonts w:ascii="Times New Roman" w:hAnsi="Times New Roman" w:cs="Times New Roman"/>
          <w:bCs/>
          <w:sz w:val="24"/>
          <w:szCs w:val="24"/>
          <w:vertAlign w:val="superscript"/>
        </w:rPr>
        <w:t>5</w:t>
      </w:r>
      <w:r>
        <w:rPr>
          <w:rFonts w:ascii="Times New Roman" w:hAnsi="Times New Roman" w:cs="Times New Roman"/>
          <w:bCs/>
          <w:sz w:val="24"/>
          <w:szCs w:val="24"/>
        </w:rPr>
        <w:t>. Furthermore, an article describes a 24-year-old female whose initial symptom was acute left heart failure, presenting with abrupt respiratory distress</w:t>
      </w:r>
      <w:r w:rsidR="00CC42CC">
        <w:rPr>
          <w:rFonts w:ascii="Times New Roman" w:hAnsi="Times New Roman" w:cs="Times New Roman"/>
          <w:bCs/>
          <w:sz w:val="24"/>
          <w:szCs w:val="24"/>
          <w:vertAlign w:val="superscript"/>
        </w:rPr>
        <w:t>6</w:t>
      </w:r>
      <w:r>
        <w:rPr>
          <w:rFonts w:ascii="Times New Roman" w:hAnsi="Times New Roman" w:cs="Times New Roman"/>
          <w:bCs/>
          <w:sz w:val="24"/>
          <w:szCs w:val="24"/>
        </w:rPr>
        <w:t>.</w:t>
      </w:r>
    </w:p>
    <w:p w:rsidR="0082222C" w:rsidRDefault="000B086A">
      <w:pPr>
        <w:spacing w:after="120" w:line="360" w:lineRule="auto"/>
        <w:ind w:right="-154"/>
        <w:jc w:val="both"/>
        <w:rPr>
          <w:rFonts w:ascii="Times New Roman" w:hAnsi="Times New Roman" w:cs="Times New Roman"/>
          <w:bCs/>
          <w:sz w:val="24"/>
          <w:szCs w:val="24"/>
        </w:rPr>
      </w:pPr>
      <w:r>
        <w:rPr>
          <w:rFonts w:ascii="Times New Roman" w:hAnsi="Times New Roman" w:cs="Times New Roman"/>
          <w:bCs/>
          <w:sz w:val="24"/>
          <w:szCs w:val="24"/>
        </w:rPr>
        <w:t>Diagnosis is based on suspicion as well arteriographic findings. There continues to be a substantial lack of understanding of the pathogenesis of Takayasu arteritis however Involvement of CD4+ and CD8+ T cells may play a key role in the pathophysiology of Takayasu arteritis, as these cells support the formation of granulomas and potentially activate the activities of various proteases such as matrix metalloproteinase (MMP), as well as other cells which promote chronic inflammation and fibrosis formation. There has also been speculation about a potential link with certain human leukocyte antigens (HLA). The strongest association has been established with HLA-B52 in Japanese and other populations</w:t>
      </w:r>
      <w:r>
        <w:rPr>
          <w:rFonts w:ascii="Times New Roman" w:hAnsi="Times New Roman" w:cs="Times New Roman"/>
          <w:bCs/>
          <w:sz w:val="24"/>
          <w:szCs w:val="24"/>
          <w:vertAlign w:val="superscript"/>
        </w:rPr>
        <w:t>1</w:t>
      </w:r>
      <w:r>
        <w:rPr>
          <w:rFonts w:ascii="Times New Roman" w:hAnsi="Times New Roman" w:cs="Times New Roman"/>
          <w:bCs/>
          <w:sz w:val="24"/>
          <w:szCs w:val="24"/>
        </w:rPr>
        <w:t>.</w:t>
      </w:r>
    </w:p>
    <w:p w:rsidR="0082222C" w:rsidRDefault="000B086A">
      <w:pPr>
        <w:spacing w:after="120" w:line="360" w:lineRule="auto"/>
        <w:ind w:right="-15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disease is often called a "great masquerader" because early symptoms are non-specific, leading to delayed diagnosis until significant vascular involvement develops. This interpretation is supported by an article by Shah B </w:t>
      </w:r>
      <w:r>
        <w:rPr>
          <w:rFonts w:ascii="Times New Roman" w:hAnsi="Times New Roman" w:cs="Times New Roman"/>
          <w:bCs/>
          <w:i/>
          <w:iCs/>
          <w:sz w:val="24"/>
          <w:szCs w:val="24"/>
        </w:rPr>
        <w:t>et al.,</w:t>
      </w:r>
      <w:r>
        <w:rPr>
          <w:rFonts w:ascii="Times New Roman" w:hAnsi="Times New Roman" w:cs="Times New Roman"/>
          <w:bCs/>
          <w:sz w:val="24"/>
          <w:szCs w:val="24"/>
        </w:rPr>
        <w:t xml:space="preserve"> which defines TA as a chronic progressive granulomatous necrotizing large-vessel panvasculitis</w:t>
      </w:r>
      <w:r w:rsidR="001C0B54">
        <w:rPr>
          <w:rFonts w:ascii="Times New Roman" w:hAnsi="Times New Roman" w:cs="Times New Roman"/>
          <w:bCs/>
          <w:sz w:val="24"/>
          <w:szCs w:val="24"/>
          <w:vertAlign w:val="superscript"/>
        </w:rPr>
        <w:t>7</w:t>
      </w:r>
      <w:r>
        <w:rPr>
          <w:rFonts w:ascii="Times New Roman" w:hAnsi="Times New Roman" w:cs="Times New Roman"/>
          <w:bCs/>
          <w:sz w:val="24"/>
          <w:szCs w:val="24"/>
        </w:rPr>
        <w:t>. The condition can present with many non-specific symptoms, necessitating a high index of clinical suspicion</w:t>
      </w:r>
      <w:r w:rsidR="001C0B54">
        <w:rPr>
          <w:rFonts w:ascii="Times New Roman" w:hAnsi="Times New Roman" w:cs="Times New Roman"/>
          <w:bCs/>
          <w:sz w:val="24"/>
          <w:szCs w:val="24"/>
          <w:vertAlign w:val="superscript"/>
        </w:rPr>
        <w:t>6</w:t>
      </w:r>
      <w:r>
        <w:rPr>
          <w:rFonts w:ascii="Times New Roman" w:hAnsi="Times New Roman" w:cs="Times New Roman"/>
          <w:bCs/>
          <w:sz w:val="24"/>
          <w:szCs w:val="24"/>
        </w:rPr>
        <w:t>.</w:t>
      </w:r>
    </w:p>
    <w:p w:rsidR="0082222C" w:rsidRDefault="000B086A">
      <w:pPr>
        <w:spacing w:after="120" w:line="360" w:lineRule="auto"/>
        <w:ind w:right="-154"/>
        <w:jc w:val="both"/>
        <w:rPr>
          <w:rFonts w:ascii="Times New Roman" w:hAnsi="Times New Roman" w:cs="Times New Roman"/>
          <w:bCs/>
          <w:sz w:val="24"/>
          <w:szCs w:val="24"/>
        </w:rPr>
      </w:pPr>
      <w:r>
        <w:rPr>
          <w:rFonts w:ascii="Times New Roman" w:hAnsi="Times New Roman" w:cs="Times New Roman"/>
          <w:bCs/>
          <w:sz w:val="24"/>
          <w:szCs w:val="24"/>
        </w:rPr>
        <w:t>While the primary case involves a 32-year-old female, the condition is also seen in much younger patients, such as a 16-year-old female presenting with malignant stroke</w:t>
      </w:r>
      <w:r w:rsidR="001C0B54">
        <w:rPr>
          <w:rFonts w:ascii="Times New Roman" w:hAnsi="Times New Roman" w:cs="Times New Roman"/>
          <w:bCs/>
          <w:sz w:val="24"/>
          <w:szCs w:val="24"/>
          <w:vertAlign w:val="superscript"/>
        </w:rPr>
        <w:t>7</w:t>
      </w:r>
      <w:r>
        <w:rPr>
          <w:rFonts w:ascii="Times New Roman" w:hAnsi="Times New Roman" w:cs="Times New Roman"/>
          <w:bCs/>
          <w:sz w:val="24"/>
          <w:szCs w:val="24"/>
        </w:rPr>
        <w:t>. Although it is most common in women, its occurrence is also seen in a 28-year-old male presenting with a mass-like lesion</w:t>
      </w:r>
      <w:r w:rsidR="001C0B54">
        <w:rPr>
          <w:rFonts w:ascii="Times New Roman" w:hAnsi="Times New Roman" w:cs="Times New Roman"/>
          <w:bCs/>
          <w:sz w:val="24"/>
          <w:szCs w:val="24"/>
          <w:vertAlign w:val="superscript"/>
        </w:rPr>
        <w:t>6</w:t>
      </w:r>
      <w:r>
        <w:rPr>
          <w:rFonts w:ascii="Times New Roman" w:hAnsi="Times New Roman" w:cs="Times New Roman"/>
          <w:bCs/>
          <w:sz w:val="24"/>
          <w:szCs w:val="24"/>
        </w:rPr>
        <w:t>. Vascular involvement also varies significantly; while this case involved the carotid and subclavian arteries, the disease can involve intracranial vessels, which was previously thought to be rare</w:t>
      </w:r>
      <w:r w:rsidR="001C0B54">
        <w:rPr>
          <w:rFonts w:ascii="Times New Roman" w:hAnsi="Times New Roman" w:cs="Times New Roman"/>
          <w:bCs/>
          <w:sz w:val="24"/>
          <w:szCs w:val="24"/>
          <w:vertAlign w:val="superscript"/>
        </w:rPr>
        <w:t>7</w:t>
      </w:r>
      <w:r>
        <w:rPr>
          <w:rFonts w:ascii="Times New Roman" w:hAnsi="Times New Roman" w:cs="Times New Roman"/>
          <w:bCs/>
          <w:sz w:val="24"/>
          <w:szCs w:val="24"/>
        </w:rPr>
        <w:t xml:space="preserve">. In contrast to the upper-limb focus of patient, an article by Kawano H </w:t>
      </w:r>
      <w:r>
        <w:rPr>
          <w:rFonts w:ascii="Times New Roman" w:hAnsi="Times New Roman" w:cs="Times New Roman"/>
          <w:bCs/>
          <w:i/>
          <w:iCs/>
          <w:sz w:val="24"/>
          <w:szCs w:val="24"/>
        </w:rPr>
        <w:t>et al.</w:t>
      </w:r>
      <w:r>
        <w:rPr>
          <w:rFonts w:ascii="Times New Roman" w:hAnsi="Times New Roman" w:cs="Times New Roman"/>
          <w:bCs/>
          <w:sz w:val="24"/>
          <w:szCs w:val="24"/>
        </w:rPr>
        <w:t xml:space="preserve"> reports an atypical presentation involving peripheral artery disease in the legs </w:t>
      </w:r>
      <w:r>
        <w:rPr>
          <w:rFonts w:ascii="Times New Roman" w:hAnsi="Times New Roman" w:cs="Times New Roman"/>
          <w:bCs/>
          <w:sz w:val="24"/>
          <w:szCs w:val="24"/>
          <w:vertAlign w:val="superscript"/>
        </w:rPr>
        <w:t>2</w:t>
      </w:r>
      <w:r>
        <w:rPr>
          <w:rFonts w:ascii="Times New Roman" w:hAnsi="Times New Roman" w:cs="Times New Roman"/>
          <w:bCs/>
          <w:sz w:val="24"/>
          <w:szCs w:val="24"/>
        </w:rPr>
        <w:t>. Additionally, reports an extreme case of vascular destruction presenting as a dissecting aortic aneurysm are also seen</w:t>
      </w:r>
      <w:r w:rsidR="001C0B54">
        <w:rPr>
          <w:rFonts w:ascii="Times New Roman" w:hAnsi="Times New Roman" w:cs="Times New Roman"/>
          <w:bCs/>
          <w:sz w:val="24"/>
          <w:szCs w:val="24"/>
          <w:vertAlign w:val="superscript"/>
        </w:rPr>
        <w:t>6</w:t>
      </w:r>
      <w:r>
        <w:rPr>
          <w:rFonts w:ascii="Times New Roman" w:hAnsi="Times New Roman" w:cs="Times New Roman"/>
          <w:bCs/>
          <w:sz w:val="24"/>
          <w:szCs w:val="24"/>
        </w:rPr>
        <w:t>.</w:t>
      </w:r>
    </w:p>
    <w:p w:rsidR="0082222C" w:rsidRDefault="000B086A">
      <w:pPr>
        <w:tabs>
          <w:tab w:val="left" w:pos="8100"/>
        </w:tabs>
        <w:spacing w:after="120" w:line="360" w:lineRule="auto"/>
        <w:ind w:right="-154"/>
        <w:jc w:val="both"/>
        <w:rPr>
          <w:rFonts w:ascii="Times New Roman" w:hAnsi="Times New Roman" w:cs="Times New Roman"/>
          <w:bCs/>
          <w:sz w:val="24"/>
          <w:szCs w:val="24"/>
        </w:rPr>
      </w:pPr>
      <w:r>
        <w:rPr>
          <w:rFonts w:ascii="Times New Roman" w:hAnsi="Times New Roman" w:cs="Times New Roman"/>
          <w:bCs/>
          <w:sz w:val="24"/>
          <w:szCs w:val="24"/>
        </w:rPr>
        <w:t>Management of TA primarily focuses on controlling inflammation and preventing disease progression. High dose corticosteroids remain the first line therapy, while immunosuppressive agents and anticoagulation are considered in selected cases. For clinical imaging in TA, 18F-FDG PET (18F-fluorodeoxyglucose-positron-emission tomography) has recently demonstrated the ability measure the extent and localize inflammation, indicating it has a gold standard test.</w:t>
      </w:r>
    </w:p>
    <w:p w:rsidR="0082222C" w:rsidRDefault="000B086A">
      <w:pPr>
        <w:spacing w:after="120" w:line="360" w:lineRule="auto"/>
        <w:ind w:right="-154"/>
        <w:jc w:val="both"/>
        <w:rPr>
          <w:rFonts w:ascii="Times New Roman" w:hAnsi="Times New Roman" w:cs="Times New Roman"/>
          <w:bCs/>
          <w:sz w:val="24"/>
          <w:szCs w:val="24"/>
          <w:u w:val="single"/>
        </w:rPr>
      </w:pPr>
      <w:r>
        <w:rPr>
          <w:rFonts w:ascii="Times New Roman" w:hAnsi="Times New Roman" w:cs="Times New Roman"/>
          <w:bCs/>
          <w:sz w:val="24"/>
          <w:szCs w:val="24"/>
        </w:rPr>
        <w:t>Differentials to our case includes Transfusion related Acute lung injury and Hypotension(shock), Dilated cardiomyopathy, Right subclavian artery thrombus. Evidence based radiological and examination led us to the diagnosis of Takayasu arteritis.</w:t>
      </w:r>
    </w:p>
    <w:p w:rsidR="0082222C" w:rsidRDefault="000B086A">
      <w:pPr>
        <w:spacing w:after="120" w:line="360" w:lineRule="auto"/>
        <w:ind w:right="-334"/>
        <w:jc w:val="both"/>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82222C" w:rsidRDefault="000B086A">
      <w:pPr>
        <w:spacing w:after="120" w:line="360" w:lineRule="auto"/>
        <w:ind w:right="-334"/>
        <w:jc w:val="both"/>
        <w:rPr>
          <w:rFonts w:ascii="Times New Roman" w:hAnsi="Times New Roman" w:cs="Times New Roman"/>
          <w:sz w:val="24"/>
          <w:szCs w:val="24"/>
        </w:rPr>
      </w:pPr>
      <w:r>
        <w:rPr>
          <w:rFonts w:ascii="Times New Roman" w:hAnsi="Times New Roman" w:cs="Times New Roman"/>
          <w:sz w:val="24"/>
          <w:szCs w:val="24"/>
        </w:rPr>
        <w:t>Takayasu arteritis should be considered in young women presenting with unexplained neurological symptoms, limb weakness, and cardiovascular abnormalities. This case highlights the importance of early clinical suspicion and prompt vascular imaging in achieving timely diagnosis. Early initiation of immunosuppressive therapy can significantly reduce disease progression and prevent irreversible vascular complications. A multidisciplinary approach is crucial for optimal long-term outcomes in patients with Takayasu arteritis.</w:t>
      </w:r>
    </w:p>
    <w:p w:rsidR="0054161C" w:rsidRPr="0054161C" w:rsidRDefault="0054161C" w:rsidP="0054161C">
      <w:pPr>
        <w:spacing w:after="120" w:line="360" w:lineRule="auto"/>
        <w:ind w:right="-334"/>
        <w:jc w:val="both"/>
        <w:rPr>
          <w:rFonts w:ascii="Times New Roman" w:hAnsi="Times New Roman" w:cs="Times New Roman"/>
          <w:sz w:val="24"/>
          <w:szCs w:val="24"/>
        </w:rPr>
      </w:pPr>
      <w:r w:rsidRPr="0054161C">
        <w:rPr>
          <w:rFonts w:ascii="Times New Roman" w:hAnsi="Times New Roman" w:cs="Times New Roman"/>
          <w:sz w:val="24"/>
          <w:szCs w:val="24"/>
        </w:rPr>
        <w:t xml:space="preserve">Consent </w:t>
      </w:r>
    </w:p>
    <w:p w:rsidR="0054161C" w:rsidRDefault="0054161C" w:rsidP="0054161C">
      <w:pPr>
        <w:spacing w:after="120" w:line="360" w:lineRule="auto"/>
        <w:ind w:right="-334"/>
        <w:jc w:val="both"/>
        <w:rPr>
          <w:rFonts w:ascii="Times New Roman" w:hAnsi="Times New Roman" w:cs="Times New Roman"/>
          <w:sz w:val="24"/>
          <w:szCs w:val="24"/>
        </w:rPr>
      </w:pPr>
      <w:r w:rsidRPr="0054161C">
        <w:rPr>
          <w:rFonts w:ascii="Times New Roman" w:hAnsi="Times New Roman" w:cs="Times New Roman"/>
          <w:sz w:val="24"/>
          <w:szCs w:val="24"/>
        </w:rPr>
        <w:t>As per international standards or university standards, patient(s) written consent has been collected and preserved by the author(s).</w:t>
      </w:r>
    </w:p>
    <w:p w:rsidR="0054161C" w:rsidRPr="0054161C" w:rsidRDefault="0054161C" w:rsidP="0054161C">
      <w:pPr>
        <w:spacing w:after="120" w:line="360" w:lineRule="auto"/>
        <w:ind w:right="-334"/>
        <w:jc w:val="both"/>
        <w:rPr>
          <w:rFonts w:ascii="Times New Roman" w:hAnsi="Times New Roman" w:cs="Times New Roman"/>
          <w:sz w:val="24"/>
          <w:szCs w:val="24"/>
        </w:rPr>
      </w:pPr>
      <w:r w:rsidRPr="0054161C">
        <w:rPr>
          <w:rFonts w:ascii="Times New Roman" w:hAnsi="Times New Roman" w:cs="Times New Roman"/>
          <w:sz w:val="24"/>
          <w:szCs w:val="24"/>
        </w:rPr>
        <w:lastRenderedPageBreak/>
        <w:t>Ethical Approval:</w:t>
      </w:r>
    </w:p>
    <w:p w:rsidR="0054161C" w:rsidRPr="0054161C" w:rsidRDefault="0054161C" w:rsidP="0054161C">
      <w:pPr>
        <w:spacing w:after="120" w:line="360" w:lineRule="auto"/>
        <w:ind w:right="-334"/>
        <w:jc w:val="both"/>
        <w:rPr>
          <w:rFonts w:ascii="Times New Roman" w:hAnsi="Times New Roman" w:cs="Times New Roman"/>
          <w:sz w:val="24"/>
          <w:szCs w:val="24"/>
        </w:rPr>
      </w:pPr>
    </w:p>
    <w:p w:rsidR="0054161C" w:rsidRDefault="0054161C" w:rsidP="0054161C">
      <w:pPr>
        <w:spacing w:after="120" w:line="360" w:lineRule="auto"/>
        <w:ind w:right="-334"/>
        <w:jc w:val="both"/>
        <w:rPr>
          <w:rFonts w:ascii="Times New Roman" w:hAnsi="Times New Roman" w:cs="Times New Roman"/>
          <w:sz w:val="24"/>
          <w:szCs w:val="24"/>
        </w:rPr>
      </w:pPr>
      <w:r w:rsidRPr="0054161C">
        <w:rPr>
          <w:rFonts w:ascii="Times New Roman" w:hAnsi="Times New Roman" w:cs="Times New Roman"/>
          <w:sz w:val="24"/>
          <w:szCs w:val="24"/>
        </w:rPr>
        <w:t>As per international standards or university standards written ethical approval has been collected and preserved by the author(s).</w:t>
      </w:r>
    </w:p>
    <w:p w:rsidR="00C731B2" w:rsidRPr="00CA3906" w:rsidRDefault="00C731B2" w:rsidP="00C731B2">
      <w:pPr>
        <w:rPr>
          <w:b/>
          <w:highlight w:val="yellow"/>
        </w:rPr>
      </w:pPr>
      <w:r w:rsidRPr="00CA3906">
        <w:rPr>
          <w:b/>
          <w:highlight w:val="yellow"/>
        </w:rPr>
        <w:t>Disclaimer (Artificial intelligence)</w:t>
      </w:r>
    </w:p>
    <w:p w:rsidR="00C731B2" w:rsidRPr="00740879" w:rsidRDefault="00C731B2" w:rsidP="00C731B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C731B2" w:rsidRDefault="00C731B2">
      <w:pPr>
        <w:spacing w:after="120" w:line="360" w:lineRule="auto"/>
        <w:ind w:right="-334"/>
        <w:jc w:val="both"/>
        <w:rPr>
          <w:rFonts w:ascii="Times New Roman" w:hAnsi="Times New Roman" w:cs="Times New Roman"/>
          <w:sz w:val="24"/>
          <w:szCs w:val="24"/>
        </w:rPr>
      </w:pPr>
    </w:p>
    <w:p w:rsidR="0082222C" w:rsidRDefault="000B086A">
      <w:pPr>
        <w:spacing w:after="120" w:line="360" w:lineRule="auto"/>
        <w:ind w:right="1077"/>
        <w:jc w:val="both"/>
        <w:rPr>
          <w:rFonts w:ascii="Times New Roman" w:hAnsi="Times New Roman" w:cs="Times New Roman"/>
          <w:sz w:val="24"/>
          <w:szCs w:val="24"/>
          <w:u w:val="single"/>
        </w:rPr>
      </w:pPr>
      <w:r>
        <w:rPr>
          <w:rFonts w:ascii="Times New Roman" w:hAnsi="Times New Roman" w:cs="Times New Roman"/>
          <w:b/>
          <w:bCs/>
          <w:sz w:val="24"/>
          <w:szCs w:val="24"/>
          <w:u w:val="single"/>
        </w:rPr>
        <w:t>REFERENCE</w:t>
      </w:r>
    </w:p>
    <w:p w:rsidR="0082222C" w:rsidRDefault="000B086A">
      <w:pPr>
        <w:pStyle w:val="ListParagraph"/>
        <w:numPr>
          <w:ilvl w:val="0"/>
          <w:numId w:val="1"/>
        </w:numPr>
        <w:spacing w:after="120" w:line="360" w:lineRule="auto"/>
        <w:ind w:right="-244"/>
        <w:jc w:val="both"/>
        <w:rPr>
          <w:rFonts w:ascii="Times New Roman" w:hAnsi="Times New Roman" w:cs="Times New Roman"/>
          <w:sz w:val="24"/>
          <w:szCs w:val="24"/>
        </w:rPr>
      </w:pPr>
      <w:r>
        <w:rPr>
          <w:rFonts w:ascii="Times New Roman" w:hAnsi="Times New Roman" w:cs="Times New Roman"/>
          <w:sz w:val="24"/>
          <w:szCs w:val="24"/>
        </w:rPr>
        <w:t xml:space="preserve">Shah B, Chhetri R.  Malignant Ischemic Stroke in a Young Female: A Rare Primary Manifestation of Takayasu Arteritis. </w:t>
      </w:r>
      <w:r>
        <w:rPr>
          <w:rFonts w:ascii="Times New Roman" w:hAnsi="Times New Roman" w:cs="Times New Roman"/>
          <w:i/>
          <w:iCs/>
          <w:sz w:val="24"/>
          <w:szCs w:val="24"/>
        </w:rPr>
        <w:t>Case Reports in Neurological Medicine. 2019</w:t>
      </w:r>
      <w:r>
        <w:rPr>
          <w:rFonts w:ascii="Times New Roman" w:hAnsi="Times New Roman" w:cs="Times New Roman"/>
          <w:sz w:val="24"/>
          <w:szCs w:val="24"/>
        </w:rPr>
        <w:t xml:space="preserve"> Feb 18;2019:7942825. Available from: </w:t>
      </w:r>
      <w:hyperlink r:id="rId9" w:history="1">
        <w:r>
          <w:rPr>
            <w:rStyle w:val="Hyperlink"/>
            <w:rFonts w:ascii="Times New Roman" w:hAnsi="Times New Roman" w:cs="Times New Roman"/>
            <w:sz w:val="24"/>
            <w:szCs w:val="24"/>
          </w:rPr>
          <w:t>https://doi.org/10.1155/2019/7942825</w:t>
        </w:r>
      </w:hyperlink>
      <w:r>
        <w:rPr>
          <w:rFonts w:ascii="Times New Roman" w:hAnsi="Times New Roman" w:cs="Times New Roman"/>
          <w:sz w:val="24"/>
          <w:szCs w:val="24"/>
        </w:rPr>
        <w:t>.</w:t>
      </w:r>
    </w:p>
    <w:p w:rsidR="0082222C" w:rsidRDefault="000B086A">
      <w:pPr>
        <w:pStyle w:val="ListParagraph"/>
        <w:numPr>
          <w:ilvl w:val="0"/>
          <w:numId w:val="1"/>
        </w:numPr>
        <w:spacing w:after="120" w:line="360" w:lineRule="auto"/>
        <w:ind w:right="-334"/>
        <w:jc w:val="both"/>
        <w:rPr>
          <w:rFonts w:ascii="Times New Roman" w:hAnsi="Times New Roman" w:cs="Times New Roman"/>
          <w:sz w:val="24"/>
          <w:szCs w:val="24"/>
        </w:rPr>
      </w:pPr>
      <w:r>
        <w:rPr>
          <w:rFonts w:ascii="Times New Roman" w:hAnsi="Times New Roman" w:cs="Times New Roman"/>
          <w:sz w:val="24"/>
          <w:szCs w:val="24"/>
        </w:rPr>
        <w:t xml:space="preserve">Kawano H, </w:t>
      </w:r>
      <w:proofErr w:type="spellStart"/>
      <w:r>
        <w:rPr>
          <w:rFonts w:ascii="Times New Roman" w:hAnsi="Times New Roman" w:cs="Times New Roman"/>
          <w:sz w:val="24"/>
          <w:szCs w:val="24"/>
        </w:rPr>
        <w:t>Hanibuchi</w:t>
      </w:r>
      <w:proofErr w:type="spellEnd"/>
      <w:r>
        <w:rPr>
          <w:rFonts w:ascii="Times New Roman" w:hAnsi="Times New Roman" w:cs="Times New Roman"/>
          <w:sz w:val="24"/>
          <w:szCs w:val="24"/>
        </w:rPr>
        <w:t xml:space="preserve"> M, Yoshijima T, Toyoda Y, Kishi J, Tezuka T, Nishioka Y. A case of atypical Takayasu arteritis initially presenting with peripheral artery disease. </w:t>
      </w:r>
      <w:r>
        <w:rPr>
          <w:rFonts w:ascii="Times New Roman" w:hAnsi="Times New Roman" w:cs="Times New Roman"/>
          <w:i/>
          <w:iCs/>
          <w:sz w:val="24"/>
          <w:szCs w:val="24"/>
        </w:rPr>
        <w:t>Case Reports in Clinical  Pathology. 2015;</w:t>
      </w:r>
      <w:r>
        <w:rPr>
          <w:rFonts w:ascii="Times New Roman" w:hAnsi="Times New Roman" w:cs="Times New Roman"/>
          <w:sz w:val="24"/>
          <w:szCs w:val="24"/>
        </w:rPr>
        <w:t>2(2):34-40. doi: 10.5430/crcp.v2n2p34.</w:t>
      </w:r>
    </w:p>
    <w:p w:rsidR="0082222C" w:rsidRDefault="000B086A">
      <w:pPr>
        <w:pStyle w:val="ListParagraph"/>
        <w:numPr>
          <w:ilvl w:val="0"/>
          <w:numId w:val="1"/>
        </w:numPr>
        <w:spacing w:after="120" w:line="360" w:lineRule="auto"/>
        <w:ind w:right="-334"/>
        <w:jc w:val="both"/>
        <w:rPr>
          <w:rFonts w:ascii="Times New Roman" w:hAnsi="Times New Roman" w:cs="Times New Roman"/>
          <w:sz w:val="24"/>
          <w:szCs w:val="24"/>
        </w:rPr>
      </w:pPr>
      <w:r>
        <w:rPr>
          <w:rFonts w:ascii="Times New Roman" w:hAnsi="Times New Roman" w:cs="Times New Roman"/>
          <w:sz w:val="24"/>
          <w:szCs w:val="24"/>
        </w:rPr>
        <w:t>Tee JAS, Juangco DNA, Dejan Jr R. Recurrent stroke in Takayasu arteritis: a case report and review of literature. Int J Res Med Sci. 2023 Jun;11(6):2273-8. doi: 10.18203/2320-6012.ijrms20231653.</w:t>
      </w:r>
    </w:p>
    <w:p w:rsidR="0082222C" w:rsidRDefault="000B086A">
      <w:pPr>
        <w:pStyle w:val="ListParagraph"/>
        <w:numPr>
          <w:ilvl w:val="0"/>
          <w:numId w:val="1"/>
        </w:numPr>
        <w:spacing w:after="120" w:line="360" w:lineRule="auto"/>
        <w:ind w:right="-334"/>
        <w:jc w:val="both"/>
        <w:rPr>
          <w:rFonts w:ascii="Times New Roman" w:hAnsi="Times New Roman" w:cs="Times New Roman"/>
          <w:sz w:val="24"/>
          <w:szCs w:val="24"/>
        </w:rPr>
      </w:pPr>
      <w:r>
        <w:rPr>
          <w:rFonts w:ascii="Times New Roman" w:hAnsi="Times New Roman" w:cs="Times New Roman"/>
          <w:sz w:val="24"/>
          <w:szCs w:val="24"/>
        </w:rPr>
        <w:t>O'Connor MB, Murphy E, O'Donovan N, Murphy M, Phelan MJ, Regan MJ. Takayasu's Arteritis presenting as a dissecting aortic aneurysm history: a case report. Cases J. 2008 Jul 21;1(1):52. doi: 10.1186/1757-1626-1-52.</w:t>
      </w:r>
    </w:p>
    <w:p w:rsidR="0082222C" w:rsidRDefault="000B086A">
      <w:pPr>
        <w:pStyle w:val="ListParagraph"/>
        <w:numPr>
          <w:ilvl w:val="0"/>
          <w:numId w:val="1"/>
        </w:numPr>
        <w:spacing w:after="120" w:line="360" w:lineRule="auto"/>
        <w:ind w:right="-334"/>
        <w:jc w:val="both"/>
        <w:rPr>
          <w:rFonts w:ascii="Times New Roman" w:hAnsi="Times New Roman" w:cs="Times New Roman"/>
          <w:sz w:val="24"/>
          <w:szCs w:val="24"/>
        </w:rPr>
      </w:pPr>
      <w:r>
        <w:rPr>
          <w:rFonts w:ascii="Times New Roman" w:hAnsi="Times New Roman" w:cs="Times New Roman"/>
          <w:sz w:val="24"/>
          <w:szCs w:val="24"/>
        </w:rPr>
        <w:t xml:space="preserve">Sanchez-Alvarez C, Kermani TA, Crowson CS, et al. The epidemiology of Takayasu Arteritis, a population-based study. Semin Arthritis Rheum. 2021;51(1):185-192. doi:10.1016/j.semarthrit.2020.11.008 </w:t>
      </w:r>
    </w:p>
    <w:p w:rsidR="0082222C" w:rsidRDefault="000B086A">
      <w:pPr>
        <w:pStyle w:val="ListParagraph"/>
        <w:numPr>
          <w:ilvl w:val="0"/>
          <w:numId w:val="1"/>
        </w:numPr>
        <w:spacing w:after="120" w:line="360" w:lineRule="auto"/>
        <w:ind w:right="-334" w:hanging="450"/>
        <w:jc w:val="both"/>
        <w:rPr>
          <w:rFonts w:ascii="Times New Roman" w:hAnsi="Times New Roman" w:cs="Times New Roman"/>
          <w:b/>
          <w:bCs/>
          <w:sz w:val="24"/>
          <w:szCs w:val="24"/>
        </w:rPr>
      </w:pPr>
      <w:r>
        <w:rPr>
          <w:rFonts w:ascii="Times New Roman" w:hAnsi="Times New Roman" w:cs="Times New Roman"/>
          <w:sz w:val="24"/>
          <w:szCs w:val="24"/>
        </w:rPr>
        <w:t xml:space="preserve">Alnabwani D, Patel P, Kata P, Patel V, Okere A, Cheriyath P. The Epidemiology and Clinical Manifestations of Takayasu Arteritis: A Descriptive Study of Case Reports. Cureus. 2021 Sep 15;13(9):e17998. </w:t>
      </w:r>
    </w:p>
    <w:p w:rsidR="0082222C" w:rsidRDefault="000B086A">
      <w:pPr>
        <w:pStyle w:val="ListParagraph"/>
        <w:numPr>
          <w:ilvl w:val="0"/>
          <w:numId w:val="1"/>
        </w:numPr>
        <w:spacing w:after="120" w:line="360" w:lineRule="auto"/>
        <w:ind w:right="-424"/>
        <w:jc w:val="both"/>
        <w:rPr>
          <w:rFonts w:ascii="Times New Roman" w:hAnsi="Times New Roman" w:cs="Times New Roman"/>
          <w:b/>
          <w:bCs/>
          <w:sz w:val="24"/>
          <w:szCs w:val="24"/>
        </w:rPr>
      </w:pPr>
      <w:r>
        <w:rPr>
          <w:rFonts w:ascii="Times New Roman" w:hAnsi="Times New Roman" w:cs="Times New Roman"/>
          <w:sz w:val="24"/>
          <w:szCs w:val="24"/>
        </w:rPr>
        <w:t>Gloor AD, Schutzbach S, Schonenberger CA, et al. Takayasu arteritis: Prevalence and clinical presentation in Switzerland. PLoS One. 2021;16(6):e0250025. doi:10.1371/journal.pone.0250025</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Rutter M, Watts RA, Graves SR, et al. A systematic review and meta-analysis of the incidence rate of Takayasu arteritis. Rheumatology (Oxford). 2021;60(11):4982-4990. doi:10.1093/rheumatology/keab196 </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Marwah S, Rajput M, Mohindra R, Gaikwad HS, Sharma M, Topden SR. Takayasu's Arteritis in Pregnancy: A Rare Case Report from a Tertiary Care Infirmary in India. Case Rep Obstet Gynecol. 2017;2017:2403451. doi: 10.1155/2017/2403451.</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Partalidou S, Gialafos E, Koutsogeorgopoulou I, et al. Pregnancy outcomes in Takayasu arteritis patients: A systematic review and meta-analysis. Semin Arthritis Rheum. 2023;58:152124. doi:10.1016/j.semarthrit.2022.152124</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David LS, Rai R, Gupta A, et al. Obstetric and perinatal outcomes in pregnant women with Takayasu arteritis: A single center experience. Int J Gynaecol Obstet. 2020;149(1):77-82. doi:10.1002/ijgo.13098 </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Comarmond C, Mirault T, Biard L, Nizard J, Lambert M, Wechsler B, Hachulla E, Chiche L, Koskas F, Gaudric J, Cluzel P, Messas E, Resche-Rigon M, Piette JC, Cacoub P, Saadoun D; French Takayasu Network. Takayasu Arteritis and Pregnancy. Arthritis Rheumatol. 2015 Dec;67(12):3262-9. doi: 10.1002/art.39335.</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Sirohi P, Sharma P, Gupta R, Vishwakarma M. Vasculitis masquerading as a mass: a case report of Takayasu arteritis in a 28-year old male. Int J Res Med Sci 2024;12:2157-9.</w:t>
      </w:r>
    </w:p>
    <w:p w:rsidR="0082222C" w:rsidRDefault="000B086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 T, Liu J, Zhang N, et al. Acute left heart failure is the initial manifestation of Takayasu arteritis: a case report. BMC Cardiovasc Disord. 2025;25:607.</w:t>
      </w:r>
    </w:p>
    <w:p w:rsidR="0082222C" w:rsidRDefault="0082222C">
      <w:pPr>
        <w:spacing w:after="120" w:line="360" w:lineRule="auto"/>
        <w:ind w:right="1077"/>
        <w:jc w:val="both"/>
        <w:rPr>
          <w:rFonts w:ascii="Times New Roman" w:hAnsi="Times New Roman" w:cs="Times New Roman"/>
          <w:b/>
          <w:bCs/>
          <w:sz w:val="24"/>
          <w:szCs w:val="24"/>
        </w:rPr>
      </w:pPr>
    </w:p>
    <w:sectPr w:rsidR="00822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635" w:rsidRDefault="001C0635" w:rsidP="00507C74">
      <w:pPr>
        <w:spacing w:after="0" w:line="240" w:lineRule="auto"/>
      </w:pPr>
      <w:r>
        <w:separator/>
      </w:r>
    </w:p>
  </w:endnote>
  <w:endnote w:type="continuationSeparator" w:id="0">
    <w:p w:rsidR="001C0635" w:rsidRDefault="001C0635" w:rsidP="0050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50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50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50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635" w:rsidRDefault="001C0635" w:rsidP="00507C74">
      <w:pPr>
        <w:spacing w:after="0" w:line="240" w:lineRule="auto"/>
      </w:pPr>
      <w:r>
        <w:separator/>
      </w:r>
    </w:p>
  </w:footnote>
  <w:footnote w:type="continuationSeparator" w:id="0">
    <w:p w:rsidR="001C0635" w:rsidRDefault="001C0635" w:rsidP="00507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1C06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67697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1C06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67697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C74" w:rsidRDefault="001C06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67696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44ECB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AD787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1AFCBF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DEFAB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3CBC593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77257C9"/>
    <w:multiLevelType w:val="multilevel"/>
    <w:tmpl w:val="2C86A0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22C"/>
    <w:rsid w:val="000B086A"/>
    <w:rsid w:val="001579B4"/>
    <w:rsid w:val="001C0635"/>
    <w:rsid w:val="001C0B54"/>
    <w:rsid w:val="00221838"/>
    <w:rsid w:val="003536B5"/>
    <w:rsid w:val="00507C74"/>
    <w:rsid w:val="00535A44"/>
    <w:rsid w:val="0054161C"/>
    <w:rsid w:val="006A6C72"/>
    <w:rsid w:val="0082222C"/>
    <w:rsid w:val="008D52F6"/>
    <w:rsid w:val="009D44D0"/>
    <w:rsid w:val="00A03F72"/>
    <w:rsid w:val="00A132A2"/>
    <w:rsid w:val="00B15335"/>
    <w:rsid w:val="00C5615D"/>
    <w:rsid w:val="00C731B2"/>
    <w:rsid w:val="00CC42CC"/>
    <w:rsid w:val="00DF195E"/>
    <w:rsid w:val="00E73E05"/>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51270A"/>
  <w15:docId w15:val="{A2138890-CC83-4EEA-ABC7-390948EE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unga"/>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unga"/>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unga"/>
      <w:color w:val="2F5496"/>
      <w:sz w:val="32"/>
      <w:szCs w:val="32"/>
    </w:rPr>
  </w:style>
  <w:style w:type="character" w:customStyle="1" w:styleId="Heading3Char">
    <w:name w:val="Heading 3 Char"/>
    <w:basedOn w:val="DefaultParagraphFont"/>
    <w:link w:val="Heading3"/>
    <w:uiPriority w:val="9"/>
    <w:rPr>
      <w:rFonts w:eastAsia="SimSun" w:cs="Tunga"/>
      <w:color w:val="2F5496"/>
      <w:sz w:val="28"/>
      <w:szCs w:val="28"/>
    </w:rPr>
  </w:style>
  <w:style w:type="character" w:customStyle="1" w:styleId="Heading4Char">
    <w:name w:val="Heading 4 Char"/>
    <w:basedOn w:val="DefaultParagraphFont"/>
    <w:link w:val="Heading4"/>
    <w:uiPriority w:val="9"/>
    <w:rPr>
      <w:rFonts w:eastAsia="SimSun" w:cs="Tunga"/>
      <w:i/>
      <w:iCs/>
      <w:color w:val="2F5496"/>
    </w:rPr>
  </w:style>
  <w:style w:type="character" w:customStyle="1" w:styleId="Heading5Char">
    <w:name w:val="Heading 5 Char"/>
    <w:basedOn w:val="DefaultParagraphFont"/>
    <w:link w:val="Heading5"/>
    <w:uiPriority w:val="9"/>
    <w:rPr>
      <w:rFonts w:eastAsia="SimSun" w:cs="Tunga"/>
      <w:color w:val="2F5496"/>
    </w:rPr>
  </w:style>
  <w:style w:type="character" w:customStyle="1" w:styleId="Heading6Char">
    <w:name w:val="Heading 6 Char"/>
    <w:basedOn w:val="DefaultParagraphFont"/>
    <w:link w:val="Heading6"/>
    <w:uiPriority w:val="9"/>
    <w:rPr>
      <w:rFonts w:eastAsia="SimSun" w:cs="Tunga"/>
      <w:i/>
      <w:iCs/>
      <w:color w:val="595959"/>
    </w:rPr>
  </w:style>
  <w:style w:type="character" w:customStyle="1" w:styleId="Heading7Char">
    <w:name w:val="Heading 7 Char"/>
    <w:basedOn w:val="DefaultParagraphFont"/>
    <w:link w:val="Heading7"/>
    <w:uiPriority w:val="9"/>
    <w:rPr>
      <w:rFonts w:eastAsia="SimSun" w:cs="Tunga"/>
      <w:color w:val="595959"/>
    </w:rPr>
  </w:style>
  <w:style w:type="character" w:customStyle="1" w:styleId="Heading8Char">
    <w:name w:val="Heading 8 Char"/>
    <w:basedOn w:val="DefaultParagraphFont"/>
    <w:link w:val="Heading8"/>
    <w:uiPriority w:val="9"/>
    <w:rPr>
      <w:rFonts w:eastAsia="SimSun" w:cs="Tunga"/>
      <w:i/>
      <w:iCs/>
      <w:color w:val="272727"/>
    </w:rPr>
  </w:style>
  <w:style w:type="character" w:customStyle="1" w:styleId="Heading9Char">
    <w:name w:val="Heading 9 Char"/>
    <w:basedOn w:val="DefaultParagraphFont"/>
    <w:link w:val="Heading9"/>
    <w:uiPriority w:val="9"/>
    <w:rPr>
      <w:rFonts w:eastAsia="SimSun" w:cs="Tunga"/>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unga"/>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Tunga"/>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1Light-Accent41">
    <w:name w:val="List Table 1 Light - Accent 41"/>
    <w:basedOn w:val="TableNormal"/>
    <w:uiPriority w:val="46"/>
    <w:pPr>
      <w:spacing w:after="0" w:line="240" w:lineRule="auto"/>
    </w:p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7Colorful-Accent41">
    <w:name w:val="List Table 7 Colorful - Accent 41"/>
    <w:basedOn w:val="TableNormal"/>
    <w:uiPriority w:val="52"/>
    <w:pPr>
      <w:spacing w:after="0" w:line="240" w:lineRule="auto"/>
    </w:pPr>
    <w:rPr>
      <w:color w:val="BF8F00"/>
    </w:rPr>
    <w:tblPr>
      <w:tblStyleRowBandSize w:val="1"/>
      <w:tblStyleColBandSize w:val="1"/>
    </w:tblPr>
    <w:tblStylePr w:type="firstRow">
      <w:rPr>
        <w:rFonts w:ascii="Calibri Light" w:eastAsia="SimSun" w:hAnsi="Calibri Light" w:cs="Tunga"/>
        <w:i/>
        <w:iCs/>
        <w:sz w:val="26"/>
      </w:rPr>
      <w:tblPr/>
      <w:tcPr>
        <w:tcBorders>
          <w:bottom w:val="single" w:sz="4" w:space="0" w:color="FFC000"/>
        </w:tcBorders>
        <w:shd w:val="clear" w:color="auto" w:fill="FFFFFF"/>
      </w:tcPr>
    </w:tblStylePr>
    <w:tblStylePr w:type="lastRow">
      <w:rPr>
        <w:rFonts w:ascii="Calibri Light" w:eastAsia="SimSun" w:hAnsi="Calibri Light" w:cs="Tunga"/>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unga"/>
        <w:i/>
        <w:iCs/>
        <w:sz w:val="26"/>
      </w:rPr>
      <w:tblPr/>
      <w:tcPr>
        <w:tcBorders>
          <w:right w:val="single" w:sz="4" w:space="0" w:color="FFC000"/>
        </w:tcBorders>
        <w:shd w:val="clear" w:color="auto" w:fill="FFFFFF"/>
      </w:tcPr>
    </w:tblStylePr>
    <w:tblStylePr w:type="lastCol">
      <w:rPr>
        <w:rFonts w:ascii="Calibri Light" w:eastAsia="SimSun" w:hAnsi="Calibri Light" w:cs="Tunga"/>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customStyle="1" w:styleId="TableGrid1">
    <w:name w:val="Table Grid1"/>
    <w:basedOn w:val="TableNormal"/>
    <w:next w:val="TableGrid"/>
    <w:uiPriority w:val="5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D44D0"/>
    <w:rPr>
      <w:color w:val="605E5C"/>
      <w:shd w:val="clear" w:color="auto" w:fill="E1DFDD"/>
    </w:rPr>
  </w:style>
  <w:style w:type="paragraph" w:styleId="Header">
    <w:name w:val="header"/>
    <w:basedOn w:val="Normal"/>
    <w:link w:val="HeaderChar"/>
    <w:uiPriority w:val="99"/>
    <w:unhideWhenUsed/>
    <w:rsid w:val="0050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C74"/>
  </w:style>
  <w:style w:type="paragraph" w:styleId="Footer">
    <w:name w:val="footer"/>
    <w:basedOn w:val="Normal"/>
    <w:link w:val="FooterChar"/>
    <w:uiPriority w:val="99"/>
    <w:unhideWhenUsed/>
    <w:rsid w:val="0050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55/2019/794282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Bhu19</b:Tag>
    <b:SourceType>Report</b:SourceType>
    <b:Guid>{6842CD69-574A-4592-84B0-2F26C10D4760}</b:Guid>
    <b:Title>Malignant Ischaemic Stroke in Young Female : A Rare Primary Manifestationof Takayasu Arteritis </b:Title>
    <b:Year>2019</b:Year>
    <b:City>Nepal</b:City>
    <b:Publisher>Case Reports in Neurological Medicine</b:Publisher>
    <b:Author>
      <b:Author>
        <b:NameList>
          <b:Person>
            <b:Last>Chhetri</b:Last>
            <b:First>Bhupendra</b:First>
            <b:Middle>Shah and Roshan</b:Middle>
          </b:Person>
        </b:NameList>
      </b:Author>
    </b:Author>
    <b:RefOrder>1</b:RefOrder>
  </b:Source>
</b:Sources>
</file>

<file path=customXml/itemProps1.xml><?xml version="1.0" encoding="utf-8"?>
<ds:datastoreItem xmlns:ds="http://schemas.openxmlformats.org/officeDocument/2006/customXml" ds:itemID="{9E03F40E-E5A9-4303-941A-E9A92982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8</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Ananya HS</dc:creator>
  <cp:lastModifiedBy>SDI 1089</cp:lastModifiedBy>
  <cp:revision>4</cp:revision>
  <dcterms:created xsi:type="dcterms:W3CDTF">2026-03-16T16:54:00Z</dcterms:created>
  <dcterms:modified xsi:type="dcterms:W3CDTF">2026-03-23T08:06:00Z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cd6dd3a4b86747bb8bf19df63b5472cf</vt:lpwstr>
  </property>
</Properties>
</file>