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D3189" w14:textId="77777777" w:rsidR="00222506" w:rsidRPr="00296603" w:rsidRDefault="002415D5" w:rsidP="002415D5">
      <w:pPr>
        <w:spacing w:after="240" w:line="360" w:lineRule="auto"/>
        <w:jc w:val="center"/>
        <w:rPr>
          <w:rFonts w:ascii="Times New Roman" w:hAnsi="Times New Roman" w:cs="Times New Roman"/>
          <w:b/>
          <w:bCs/>
          <w:sz w:val="20"/>
          <w:szCs w:val="20"/>
        </w:rPr>
      </w:pPr>
      <w:r w:rsidRPr="00296603">
        <w:rPr>
          <w:rFonts w:ascii="Times New Roman" w:hAnsi="Times New Roman" w:cs="Times New Roman"/>
          <w:b/>
          <w:bCs/>
          <w:sz w:val="28"/>
          <w:szCs w:val="20"/>
        </w:rPr>
        <w:t xml:space="preserve">Comparative Analysis of </w:t>
      </w:r>
      <w:proofErr w:type="spellStart"/>
      <w:r w:rsidRPr="00296603">
        <w:rPr>
          <w:rFonts w:ascii="Times New Roman" w:hAnsi="Times New Roman" w:cs="Times New Roman"/>
          <w:b/>
          <w:bCs/>
          <w:sz w:val="28"/>
          <w:szCs w:val="20"/>
        </w:rPr>
        <w:t>Haematological</w:t>
      </w:r>
      <w:proofErr w:type="spellEnd"/>
      <w:r w:rsidRPr="00296603">
        <w:rPr>
          <w:rFonts w:ascii="Times New Roman" w:hAnsi="Times New Roman" w:cs="Times New Roman"/>
          <w:b/>
          <w:bCs/>
          <w:sz w:val="28"/>
          <w:szCs w:val="20"/>
        </w:rPr>
        <w:t xml:space="preserve"> and Biochemical Profiles in Asymptomatic and Symptomatic Malaria in Relation to Parasite Density</w:t>
      </w:r>
    </w:p>
    <w:p w14:paraId="1DC34BDA" w14:textId="63990909" w:rsidR="00D861FD" w:rsidRDefault="00901C92" w:rsidP="00A32040">
      <w:pPr>
        <w:spacing w:line="276" w:lineRule="auto"/>
        <w:rPr>
          <w:rFonts w:ascii="Times New Roman" w:hAnsi="Times New Roman" w:cs="Times New Roman"/>
          <w:bCs/>
          <w:sz w:val="20"/>
          <w:szCs w:val="20"/>
        </w:rPr>
      </w:pPr>
      <w:r w:rsidRPr="00872F52">
        <w:rPr>
          <w:rFonts w:ascii="Arial" w:hAnsi="Arial" w:cs="Arial"/>
          <w:noProof/>
          <w:sz w:val="20"/>
          <w:szCs w:val="20"/>
          <w:highlight w:val="yellow"/>
        </w:rPr>
        <w:t>Original Research Article</w:t>
      </w:r>
    </w:p>
    <w:p w14:paraId="257381EC" w14:textId="77777777" w:rsidR="006655C7" w:rsidRPr="00296603" w:rsidRDefault="006655C7" w:rsidP="00A32040">
      <w:pPr>
        <w:spacing w:line="276" w:lineRule="auto"/>
        <w:rPr>
          <w:rFonts w:ascii="Times New Roman" w:hAnsi="Times New Roman" w:cs="Times New Roman"/>
          <w:bCs/>
          <w:sz w:val="20"/>
          <w:szCs w:val="20"/>
        </w:rPr>
      </w:pPr>
    </w:p>
    <w:p w14:paraId="6841A2FD" w14:textId="77777777" w:rsidR="004D45B5" w:rsidRPr="00296603" w:rsidRDefault="004D45B5" w:rsidP="00A32040">
      <w:pPr>
        <w:spacing w:line="276" w:lineRule="auto"/>
        <w:rPr>
          <w:rFonts w:ascii="Times New Roman" w:hAnsi="Times New Roman" w:cs="Times New Roman"/>
          <w:bCs/>
          <w:sz w:val="20"/>
          <w:szCs w:val="20"/>
        </w:rPr>
      </w:pPr>
    </w:p>
    <w:p w14:paraId="3916B7FA" w14:textId="77777777" w:rsidR="00A2645A" w:rsidRPr="00296603" w:rsidRDefault="00A2645A" w:rsidP="00A2645A">
      <w:pPr>
        <w:spacing w:line="360" w:lineRule="auto"/>
        <w:rPr>
          <w:rFonts w:ascii="Times New Roman" w:hAnsi="Times New Roman" w:cs="Times New Roman"/>
          <w:bCs/>
          <w:sz w:val="20"/>
          <w:szCs w:val="20"/>
        </w:rPr>
      </w:pPr>
      <w:r w:rsidRPr="00296603">
        <w:rPr>
          <w:rFonts w:ascii="Times New Roman" w:hAnsi="Times New Roman" w:cs="Times New Roman"/>
          <w:b/>
          <w:bCs/>
          <w:sz w:val="20"/>
          <w:szCs w:val="20"/>
        </w:rPr>
        <w:t>Abstract</w:t>
      </w:r>
    </w:p>
    <w:p w14:paraId="379CB329" w14:textId="77777777" w:rsidR="00D53453" w:rsidRPr="00296603" w:rsidRDefault="00A2645A" w:rsidP="00A2645A">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Malaria in endemic areas can be symptomatic or asymptomatic, affecting regular laboratory results. University students are relevant because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can be identified accidentally, but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and biochemical alterations are difficult to interpret without local comparative evidence. This study examined asymptomatic and symptomatic malaria laboratory profiles in Takoradi Technical University students in </w:t>
      </w:r>
      <w:proofErr w:type="spellStart"/>
      <w:r w:rsidRPr="00296603">
        <w:rPr>
          <w:rFonts w:ascii="Times New Roman" w:hAnsi="Times New Roman" w:cs="Times New Roman"/>
          <w:bCs/>
          <w:sz w:val="20"/>
          <w:szCs w:val="20"/>
        </w:rPr>
        <w:t>Nzimah</w:t>
      </w:r>
      <w:proofErr w:type="spellEnd"/>
      <w:r w:rsidRPr="00296603">
        <w:rPr>
          <w:rFonts w:ascii="Times New Roman" w:hAnsi="Times New Roman" w:cs="Times New Roman"/>
          <w:bCs/>
          <w:sz w:val="20"/>
          <w:szCs w:val="20"/>
        </w:rPr>
        <w:t xml:space="preserve"> Men</w:t>
      </w:r>
      <w:r w:rsidR="00AB4502" w:rsidRPr="00296603">
        <w:rPr>
          <w:rFonts w:ascii="Times New Roman" w:hAnsi="Times New Roman" w:cs="Times New Roman"/>
          <w:bCs/>
          <w:sz w:val="20"/>
          <w:szCs w:val="20"/>
        </w:rPr>
        <w:t xml:space="preserve">sah Hall and Prof. Duncan Hall. </w:t>
      </w:r>
      <w:r w:rsidRPr="00296603">
        <w:rPr>
          <w:rFonts w:ascii="Times New Roman" w:hAnsi="Times New Roman" w:cs="Times New Roman"/>
          <w:bCs/>
          <w:sz w:val="20"/>
          <w:szCs w:val="20"/>
        </w:rPr>
        <w:t xml:space="preserve">The study employed cross-sectional comparative design. 100 asymptomatic and 50 symptomatic malaria-positive students were recruited. Microscopy, Sysmex XN-350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testing, and </w:t>
      </w:r>
      <w:proofErr w:type="spellStart"/>
      <w:r w:rsidRPr="00296603">
        <w:rPr>
          <w:rFonts w:ascii="Times New Roman" w:hAnsi="Times New Roman" w:cs="Times New Roman"/>
          <w:bCs/>
          <w:sz w:val="20"/>
          <w:szCs w:val="20"/>
        </w:rPr>
        <w:t>Humastar</w:t>
      </w:r>
      <w:proofErr w:type="spellEnd"/>
      <w:r w:rsidRPr="00296603">
        <w:rPr>
          <w:rFonts w:ascii="Times New Roman" w:hAnsi="Times New Roman" w:cs="Times New Roman"/>
          <w:bCs/>
          <w:sz w:val="20"/>
          <w:szCs w:val="20"/>
        </w:rPr>
        <w:t xml:space="preserve"> 100 biochemical testing were performed on venous blood for malaria confirmation. </w:t>
      </w:r>
      <w:r w:rsidR="00A977AA" w:rsidRPr="00296603">
        <w:rPr>
          <w:rFonts w:ascii="Times New Roman" w:hAnsi="Times New Roman" w:cs="Times New Roman"/>
          <w:bCs/>
          <w:sz w:val="20"/>
          <w:szCs w:val="20"/>
        </w:rPr>
        <w:t xml:space="preserve">Data were </w:t>
      </w:r>
      <w:proofErr w:type="spellStart"/>
      <w:r w:rsidR="00A977AA" w:rsidRPr="00296603">
        <w:rPr>
          <w:rFonts w:ascii="Times New Roman" w:hAnsi="Times New Roman" w:cs="Times New Roman"/>
          <w:bCs/>
          <w:sz w:val="20"/>
          <w:szCs w:val="20"/>
        </w:rPr>
        <w:t>analysed</w:t>
      </w:r>
      <w:proofErr w:type="spellEnd"/>
      <w:r w:rsidR="00A977AA" w:rsidRPr="00296603">
        <w:rPr>
          <w:rFonts w:ascii="Times New Roman" w:hAnsi="Times New Roman" w:cs="Times New Roman"/>
          <w:bCs/>
          <w:sz w:val="20"/>
          <w:szCs w:val="20"/>
        </w:rPr>
        <w:t xml:space="preserve"> using R-studio. </w:t>
      </w:r>
      <w:r w:rsidRPr="00296603">
        <w:rPr>
          <w:rFonts w:ascii="Times New Roman" w:hAnsi="Times New Roman" w:cs="Times New Roman"/>
          <w:bCs/>
          <w:sz w:val="20"/>
          <w:szCs w:val="20"/>
        </w:rPr>
        <w:t xml:space="preserve">Group differences were </w:t>
      </w:r>
      <w:proofErr w:type="spellStart"/>
      <w:r w:rsidRPr="00296603">
        <w:rPr>
          <w:rFonts w:ascii="Times New Roman" w:hAnsi="Times New Roman" w:cs="Times New Roman"/>
          <w:bCs/>
          <w:sz w:val="20"/>
          <w:szCs w:val="20"/>
        </w:rPr>
        <w:t>analysed</w:t>
      </w:r>
      <w:proofErr w:type="spellEnd"/>
      <w:r w:rsidRPr="00296603">
        <w:rPr>
          <w:rFonts w:ascii="Times New Roman" w:hAnsi="Times New Roman" w:cs="Times New Roman"/>
          <w:bCs/>
          <w:sz w:val="20"/>
          <w:szCs w:val="20"/>
        </w:rPr>
        <w:t xml:space="preserve"> using t-tests or Mann–Whitney U tests with effect size calculation, and Spearman correlation examined parasite density relationships </w:t>
      </w:r>
      <w:r w:rsidR="00AB4502" w:rsidRPr="00296603">
        <w:rPr>
          <w:rFonts w:ascii="Times New Roman" w:hAnsi="Times New Roman" w:cs="Times New Roman"/>
          <w:bCs/>
          <w:sz w:val="20"/>
          <w:szCs w:val="20"/>
        </w:rPr>
        <w:t xml:space="preserve">in asymptomatic cases. </w:t>
      </w:r>
      <w:r w:rsidRPr="00296603">
        <w:rPr>
          <w:rFonts w:ascii="Times New Roman" w:hAnsi="Times New Roman" w:cs="Times New Roman"/>
          <w:bCs/>
          <w:sz w:val="20"/>
          <w:szCs w:val="20"/>
        </w:rPr>
        <w:t xml:space="preserve">In symptomatic patients, parasite density was greater (2556.26 ± 2117.73 parasites/µL) than in asymptomatic instances (758.37 ± 1216.94 parasites/µL). Symptomatic students had lower </w:t>
      </w:r>
      <w:proofErr w:type="spellStart"/>
      <w:r w:rsidRPr="00296603">
        <w:rPr>
          <w:rFonts w:ascii="Times New Roman" w:hAnsi="Times New Roman" w:cs="Times New Roman"/>
          <w:bCs/>
          <w:sz w:val="20"/>
          <w:szCs w:val="20"/>
        </w:rPr>
        <w:t>haemoglobin</w:t>
      </w:r>
      <w:proofErr w:type="spellEnd"/>
      <w:r w:rsidRPr="00296603">
        <w:rPr>
          <w:rFonts w:ascii="Times New Roman" w:hAnsi="Times New Roman" w:cs="Times New Roman"/>
          <w:bCs/>
          <w:sz w:val="20"/>
          <w:szCs w:val="20"/>
        </w:rPr>
        <w:t xml:space="preserve"> (10.77 ± 2.36 vs 12.94 ± 2.01 g/dL), lower platelet counts (176.46 ± 76.13 vs 293.99 ± 76.25 ×10⁹/L), and higher ALT, AST, and creatinine levels. In asymptomatic cases, parasite density ranged from 21 to 9458 parasites/µL and had a slight connection with platelet count (ρ = 0.224, p = 0.025). Asymptomatic malaria in TTU students is stable in the lab despite changing parasite loads, while symptomatic malaria causes heavier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and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and biochemical abnormalities.</w:t>
      </w:r>
    </w:p>
    <w:p w14:paraId="1191EE5C" w14:textId="77777777" w:rsidR="00AB4502" w:rsidRPr="00296603" w:rsidRDefault="00AB4502" w:rsidP="00AB4502">
      <w:pPr>
        <w:spacing w:after="160" w:line="360" w:lineRule="auto"/>
        <w:rPr>
          <w:rFonts w:ascii="Times New Roman" w:hAnsi="Times New Roman" w:cs="Times New Roman"/>
          <w:bCs/>
          <w:sz w:val="20"/>
          <w:szCs w:val="20"/>
        </w:rPr>
      </w:pPr>
      <w:r w:rsidRPr="00296603">
        <w:rPr>
          <w:rFonts w:ascii="Times New Roman" w:hAnsi="Times New Roman" w:cs="Times New Roman"/>
          <w:b/>
          <w:bCs/>
          <w:sz w:val="20"/>
          <w:szCs w:val="20"/>
        </w:rPr>
        <w:t xml:space="preserve">Keywords: </w:t>
      </w:r>
      <w:r w:rsidR="00971968" w:rsidRPr="00296603">
        <w:rPr>
          <w:rFonts w:ascii="Times New Roman" w:hAnsi="Times New Roman" w:cs="Times New Roman"/>
          <w:bCs/>
          <w:sz w:val="20"/>
          <w:szCs w:val="20"/>
        </w:rPr>
        <w:t>Hepatic dysfunction markers,</w:t>
      </w:r>
      <w:r w:rsidR="00971968" w:rsidRPr="00296603">
        <w:rPr>
          <w:rFonts w:ascii="Times New Roman" w:hAnsi="Times New Roman" w:cs="Times New Roman"/>
          <w:b/>
          <w:bCs/>
          <w:sz w:val="20"/>
          <w:szCs w:val="20"/>
        </w:rPr>
        <w:t xml:space="preserve"> </w:t>
      </w:r>
      <w:r w:rsidRPr="00296603">
        <w:rPr>
          <w:rFonts w:ascii="Times New Roman" w:hAnsi="Times New Roman" w:cs="Times New Roman"/>
          <w:bCs/>
          <w:sz w:val="20"/>
          <w:szCs w:val="20"/>
        </w:rPr>
        <w:t xml:space="preserve">Thrombocytopenia, </w:t>
      </w:r>
      <w:r w:rsidR="00971968" w:rsidRPr="00296603">
        <w:rPr>
          <w:rFonts w:ascii="Times New Roman" w:hAnsi="Times New Roman" w:cs="Times New Roman"/>
          <w:bCs/>
          <w:sz w:val="20"/>
          <w:szCs w:val="20"/>
        </w:rPr>
        <w:t>Cohen’s d effect size</w:t>
      </w:r>
      <w:r w:rsidRPr="00296603">
        <w:rPr>
          <w:rFonts w:ascii="Times New Roman" w:hAnsi="Times New Roman" w:cs="Times New Roman"/>
          <w:bCs/>
          <w:sz w:val="20"/>
          <w:szCs w:val="20"/>
        </w:rPr>
        <w:t>, Campus health screening</w:t>
      </w:r>
    </w:p>
    <w:p w14:paraId="2671F752" w14:textId="77777777" w:rsidR="00D53453" w:rsidRPr="00296603" w:rsidRDefault="00D53453" w:rsidP="00C3499A">
      <w:pPr>
        <w:spacing w:line="360" w:lineRule="auto"/>
        <w:rPr>
          <w:rFonts w:ascii="Times New Roman" w:hAnsi="Times New Roman" w:cs="Times New Roman"/>
          <w:bCs/>
          <w:sz w:val="20"/>
          <w:szCs w:val="20"/>
        </w:rPr>
      </w:pPr>
    </w:p>
    <w:p w14:paraId="7D29CB98" w14:textId="77777777" w:rsidR="00960B79" w:rsidRPr="00296603" w:rsidRDefault="00960B79" w:rsidP="00C3499A">
      <w:pPr>
        <w:spacing w:line="360" w:lineRule="auto"/>
        <w:rPr>
          <w:rFonts w:ascii="Times New Roman" w:hAnsi="Times New Roman" w:cs="Times New Roman"/>
          <w:b/>
          <w:bCs/>
          <w:sz w:val="20"/>
          <w:szCs w:val="20"/>
        </w:rPr>
      </w:pPr>
    </w:p>
    <w:p w14:paraId="47747902" w14:textId="77777777" w:rsidR="00960B79" w:rsidRPr="00296603" w:rsidRDefault="00960B79" w:rsidP="00C3499A">
      <w:pPr>
        <w:spacing w:line="360" w:lineRule="auto"/>
        <w:rPr>
          <w:rFonts w:ascii="Times New Roman" w:hAnsi="Times New Roman" w:cs="Times New Roman"/>
          <w:b/>
          <w:bCs/>
          <w:sz w:val="20"/>
          <w:szCs w:val="20"/>
        </w:rPr>
      </w:pPr>
    </w:p>
    <w:p w14:paraId="5A53260E" w14:textId="77777777" w:rsidR="00960B79" w:rsidRPr="00296603" w:rsidRDefault="00960B79" w:rsidP="00C3499A">
      <w:pPr>
        <w:spacing w:line="360" w:lineRule="auto"/>
        <w:rPr>
          <w:rFonts w:ascii="Times New Roman" w:hAnsi="Times New Roman" w:cs="Times New Roman"/>
          <w:b/>
          <w:bCs/>
          <w:sz w:val="20"/>
          <w:szCs w:val="20"/>
        </w:rPr>
      </w:pPr>
    </w:p>
    <w:p w14:paraId="42E7C93E" w14:textId="77777777" w:rsidR="00960B79" w:rsidRPr="00296603" w:rsidRDefault="00960B79" w:rsidP="00C3499A">
      <w:pPr>
        <w:spacing w:line="360" w:lineRule="auto"/>
        <w:rPr>
          <w:rFonts w:ascii="Times New Roman" w:hAnsi="Times New Roman" w:cs="Times New Roman"/>
          <w:b/>
          <w:bCs/>
          <w:sz w:val="20"/>
          <w:szCs w:val="20"/>
        </w:rPr>
      </w:pPr>
    </w:p>
    <w:p w14:paraId="5120276A" w14:textId="77777777" w:rsidR="00960B79" w:rsidRPr="00296603" w:rsidRDefault="00960B79" w:rsidP="00C3499A">
      <w:pPr>
        <w:spacing w:line="360" w:lineRule="auto"/>
        <w:rPr>
          <w:rFonts w:ascii="Times New Roman" w:hAnsi="Times New Roman" w:cs="Times New Roman"/>
          <w:b/>
          <w:bCs/>
          <w:sz w:val="20"/>
          <w:szCs w:val="20"/>
        </w:rPr>
      </w:pPr>
    </w:p>
    <w:p w14:paraId="5994E9D1" w14:textId="77777777" w:rsidR="00960B79" w:rsidRPr="00296603" w:rsidRDefault="00960B79" w:rsidP="00C3499A">
      <w:pPr>
        <w:spacing w:line="360" w:lineRule="auto"/>
        <w:rPr>
          <w:rFonts w:ascii="Times New Roman" w:hAnsi="Times New Roman" w:cs="Times New Roman"/>
          <w:b/>
          <w:bCs/>
          <w:sz w:val="20"/>
          <w:szCs w:val="20"/>
        </w:rPr>
      </w:pPr>
    </w:p>
    <w:p w14:paraId="40DAEEBD" w14:textId="77777777" w:rsidR="00960B79" w:rsidRPr="00296603" w:rsidRDefault="00960B79" w:rsidP="00C3499A">
      <w:pPr>
        <w:spacing w:line="360" w:lineRule="auto"/>
        <w:rPr>
          <w:rFonts w:ascii="Times New Roman" w:hAnsi="Times New Roman" w:cs="Times New Roman"/>
          <w:b/>
          <w:bCs/>
          <w:sz w:val="20"/>
          <w:szCs w:val="20"/>
        </w:rPr>
      </w:pPr>
    </w:p>
    <w:p w14:paraId="2A058D25" w14:textId="77777777" w:rsidR="00960B79" w:rsidRPr="00296603" w:rsidRDefault="00960B79" w:rsidP="00C3499A">
      <w:pPr>
        <w:spacing w:line="360" w:lineRule="auto"/>
        <w:rPr>
          <w:rFonts w:ascii="Times New Roman" w:hAnsi="Times New Roman" w:cs="Times New Roman"/>
          <w:b/>
          <w:bCs/>
          <w:sz w:val="20"/>
          <w:szCs w:val="20"/>
        </w:rPr>
      </w:pPr>
    </w:p>
    <w:p w14:paraId="32049F08" w14:textId="77777777" w:rsidR="00960B79" w:rsidRPr="00296603" w:rsidRDefault="00960B79" w:rsidP="00C3499A">
      <w:pPr>
        <w:spacing w:line="360" w:lineRule="auto"/>
        <w:rPr>
          <w:rFonts w:ascii="Times New Roman" w:hAnsi="Times New Roman" w:cs="Times New Roman"/>
          <w:b/>
          <w:bCs/>
          <w:sz w:val="20"/>
          <w:szCs w:val="20"/>
        </w:rPr>
      </w:pPr>
    </w:p>
    <w:p w14:paraId="7655C088" w14:textId="77777777" w:rsidR="00960B79" w:rsidRPr="00296603" w:rsidRDefault="00960B79" w:rsidP="00C3499A">
      <w:pPr>
        <w:spacing w:line="360" w:lineRule="auto"/>
        <w:rPr>
          <w:rFonts w:ascii="Times New Roman" w:hAnsi="Times New Roman" w:cs="Times New Roman"/>
          <w:b/>
          <w:bCs/>
          <w:sz w:val="20"/>
          <w:szCs w:val="20"/>
        </w:rPr>
      </w:pPr>
    </w:p>
    <w:p w14:paraId="52C81E50" w14:textId="77777777" w:rsidR="00960B79" w:rsidRPr="00296603" w:rsidRDefault="00960B79" w:rsidP="00C3499A">
      <w:pPr>
        <w:spacing w:line="360" w:lineRule="auto"/>
        <w:rPr>
          <w:rFonts w:ascii="Times New Roman" w:hAnsi="Times New Roman" w:cs="Times New Roman"/>
          <w:b/>
          <w:bCs/>
          <w:sz w:val="20"/>
          <w:szCs w:val="20"/>
        </w:rPr>
      </w:pPr>
    </w:p>
    <w:p w14:paraId="623FB51B" w14:textId="77777777" w:rsidR="00960B79" w:rsidRPr="00296603" w:rsidRDefault="00960B79" w:rsidP="00C3499A">
      <w:pPr>
        <w:spacing w:line="360" w:lineRule="auto"/>
        <w:rPr>
          <w:rFonts w:ascii="Times New Roman" w:hAnsi="Times New Roman" w:cs="Times New Roman"/>
          <w:b/>
          <w:bCs/>
          <w:sz w:val="20"/>
          <w:szCs w:val="20"/>
        </w:rPr>
      </w:pPr>
    </w:p>
    <w:p w14:paraId="4113C90A" w14:textId="77777777" w:rsidR="00960B79" w:rsidRPr="00296603" w:rsidRDefault="00960B79" w:rsidP="00C3499A">
      <w:pPr>
        <w:spacing w:line="360" w:lineRule="auto"/>
        <w:rPr>
          <w:rFonts w:ascii="Times New Roman" w:hAnsi="Times New Roman" w:cs="Times New Roman"/>
          <w:b/>
          <w:bCs/>
          <w:sz w:val="20"/>
          <w:szCs w:val="20"/>
        </w:rPr>
      </w:pPr>
    </w:p>
    <w:p w14:paraId="0897CC5C" w14:textId="77777777" w:rsidR="00C036D6" w:rsidRPr="00296603" w:rsidRDefault="00C036D6" w:rsidP="00C3499A">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lastRenderedPageBreak/>
        <w:t>1. Introduction</w:t>
      </w:r>
    </w:p>
    <w:p w14:paraId="42879706" w14:textId="61BE3554" w:rsidR="00367DD9" w:rsidRPr="00296603"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Malaria has a significant effect on routine lab tests, and in endemic countries, there are different manifestations. Full blood counts and blood chemistries reveal </w:t>
      </w:r>
      <w:proofErr w:type="spellStart"/>
      <w:r w:rsidRPr="00296603">
        <w:rPr>
          <w:rFonts w:ascii="Times New Roman" w:hAnsi="Times New Roman" w:cs="Times New Roman"/>
          <w:bCs/>
          <w:sz w:val="20"/>
          <w:szCs w:val="20"/>
        </w:rPr>
        <w:t>anaemia</w:t>
      </w:r>
      <w:proofErr w:type="spellEnd"/>
      <w:r w:rsidRPr="00296603">
        <w:rPr>
          <w:rFonts w:ascii="Times New Roman" w:hAnsi="Times New Roman" w:cs="Times New Roman"/>
          <w:bCs/>
          <w:sz w:val="20"/>
          <w:szCs w:val="20"/>
        </w:rPr>
        <w:t xml:space="preserve">, thrombocytopenia, and changes in leucocytes, liver, and renal function, emphasizing the importance of lab medicine in the management of malaria. In various studies, </w:t>
      </w:r>
      <w:proofErr w:type="spellStart"/>
      <w:r w:rsidRPr="00535379">
        <w:rPr>
          <w:rFonts w:ascii="Times New Roman" w:hAnsi="Times New Roman" w:cs="Times New Roman"/>
          <w:bCs/>
          <w:sz w:val="20"/>
          <w:szCs w:val="20"/>
          <w:highlight w:val="yellow"/>
        </w:rPr>
        <w:t>Sakzabre</w:t>
      </w:r>
      <w:proofErr w:type="spellEnd"/>
      <w:r w:rsidRPr="00535379">
        <w:rPr>
          <w:rFonts w:ascii="Times New Roman" w:hAnsi="Times New Roman" w:cs="Times New Roman"/>
          <w:bCs/>
          <w:sz w:val="20"/>
          <w:szCs w:val="20"/>
          <w:highlight w:val="yellow"/>
        </w:rPr>
        <w:t xml:space="preserve"> et al. </w:t>
      </w:r>
      <w:r w:rsidR="00535379" w:rsidRPr="00535379">
        <w:rPr>
          <w:rFonts w:ascii="Times New Roman" w:hAnsi="Times New Roman" w:cs="Times New Roman"/>
          <w:bCs/>
          <w:sz w:val="20"/>
          <w:szCs w:val="20"/>
          <w:highlight w:val="yellow"/>
        </w:rPr>
        <w:t>(2020)</w:t>
      </w:r>
      <w:r w:rsidRPr="00296603">
        <w:rPr>
          <w:rFonts w:ascii="Times New Roman" w:hAnsi="Times New Roman" w:cs="Times New Roman"/>
          <w:bCs/>
          <w:sz w:val="20"/>
          <w:szCs w:val="20"/>
        </w:rPr>
        <w:t xml:space="preserve"> reported low </w:t>
      </w:r>
      <w:proofErr w:type="spellStart"/>
      <w:r w:rsidRPr="00296603">
        <w:rPr>
          <w:rFonts w:ascii="Times New Roman" w:hAnsi="Times New Roman" w:cs="Times New Roman"/>
          <w:bCs/>
          <w:sz w:val="20"/>
          <w:szCs w:val="20"/>
        </w:rPr>
        <w:t>haemoglobin</w:t>
      </w:r>
      <w:proofErr w:type="spellEnd"/>
      <w:r w:rsidRPr="00296603">
        <w:rPr>
          <w:rFonts w:ascii="Times New Roman" w:hAnsi="Times New Roman" w:cs="Times New Roman"/>
          <w:bCs/>
          <w:sz w:val="20"/>
          <w:szCs w:val="20"/>
        </w:rPr>
        <w:t xml:space="preserve"> and platelet counts among adult populations with malaria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presenting to Volta Regional Hospital, Ghana. Similarly, </w:t>
      </w:r>
      <w:proofErr w:type="spellStart"/>
      <w:r w:rsidRPr="00535379">
        <w:rPr>
          <w:rFonts w:ascii="Times New Roman" w:hAnsi="Times New Roman" w:cs="Times New Roman"/>
          <w:bCs/>
          <w:sz w:val="20"/>
          <w:szCs w:val="20"/>
          <w:highlight w:val="yellow"/>
        </w:rPr>
        <w:t>Mutala</w:t>
      </w:r>
      <w:proofErr w:type="spellEnd"/>
      <w:r w:rsidRPr="00535379">
        <w:rPr>
          <w:rFonts w:ascii="Times New Roman" w:hAnsi="Times New Roman" w:cs="Times New Roman"/>
          <w:bCs/>
          <w:sz w:val="20"/>
          <w:szCs w:val="20"/>
          <w:highlight w:val="yellow"/>
        </w:rPr>
        <w:t xml:space="preserve"> et al. </w:t>
      </w:r>
      <w:r w:rsidR="00535379" w:rsidRPr="00535379">
        <w:rPr>
          <w:rFonts w:ascii="Times New Roman" w:hAnsi="Times New Roman" w:cs="Times New Roman"/>
          <w:bCs/>
          <w:sz w:val="20"/>
          <w:szCs w:val="20"/>
          <w:highlight w:val="yellow"/>
        </w:rPr>
        <w:t>(2020)</w:t>
      </w:r>
      <w:r w:rsidRPr="00296603">
        <w:rPr>
          <w:rFonts w:ascii="Times New Roman" w:hAnsi="Times New Roman" w:cs="Times New Roman"/>
          <w:bCs/>
          <w:sz w:val="20"/>
          <w:szCs w:val="20"/>
        </w:rPr>
        <w:t xml:space="preserve"> reported hematological abnormalities among urban, peri-urban, and rural populations of the Ashanti Region of Ghana. Similar findings were reported from endemic countries like Senegal, where </w:t>
      </w:r>
      <w:r w:rsidRPr="00535379">
        <w:rPr>
          <w:rFonts w:ascii="Times New Roman" w:hAnsi="Times New Roman" w:cs="Times New Roman"/>
          <w:bCs/>
          <w:sz w:val="20"/>
          <w:szCs w:val="20"/>
          <w:highlight w:val="yellow"/>
        </w:rPr>
        <w:t xml:space="preserve">Sylla et al. </w:t>
      </w:r>
      <w:r w:rsidR="00535379" w:rsidRPr="00535379">
        <w:rPr>
          <w:rFonts w:ascii="Times New Roman" w:hAnsi="Times New Roman" w:cs="Times New Roman"/>
          <w:bCs/>
          <w:sz w:val="20"/>
          <w:szCs w:val="20"/>
          <w:highlight w:val="yellow"/>
        </w:rPr>
        <w:t>(2022)</w:t>
      </w:r>
      <w:r w:rsidRPr="00296603">
        <w:rPr>
          <w:rFonts w:ascii="Times New Roman" w:hAnsi="Times New Roman" w:cs="Times New Roman"/>
          <w:bCs/>
          <w:sz w:val="20"/>
          <w:szCs w:val="20"/>
        </w:rPr>
        <w:t xml:space="preserve"> reported </w:t>
      </w:r>
      <w:proofErr w:type="spellStart"/>
      <w:r w:rsidRPr="00296603">
        <w:rPr>
          <w:rFonts w:ascii="Times New Roman" w:hAnsi="Times New Roman" w:cs="Times New Roman"/>
          <w:bCs/>
          <w:sz w:val="20"/>
          <w:szCs w:val="20"/>
        </w:rPr>
        <w:t>anaemia</w:t>
      </w:r>
      <w:proofErr w:type="spellEnd"/>
      <w:r w:rsidRPr="00296603">
        <w:rPr>
          <w:rFonts w:ascii="Times New Roman" w:hAnsi="Times New Roman" w:cs="Times New Roman"/>
          <w:bCs/>
          <w:sz w:val="20"/>
          <w:szCs w:val="20"/>
        </w:rPr>
        <w:t xml:space="preserve"> and thrombocytopenia among uncomplicated P. falciparum infections during antimalarial efficacy studies.</w:t>
      </w:r>
      <w:r w:rsidR="0090583D">
        <w:rPr>
          <w:rFonts w:ascii="Times New Roman" w:hAnsi="Times New Roman" w:cs="Times New Roman"/>
          <w:bCs/>
          <w:sz w:val="20"/>
          <w:szCs w:val="20"/>
        </w:rPr>
        <w:t xml:space="preserve"> </w:t>
      </w:r>
      <w:r w:rsidR="0090583D" w:rsidRPr="0090583D">
        <w:rPr>
          <w:rFonts w:ascii="Times New Roman" w:hAnsi="Times New Roman" w:cs="Times New Roman"/>
          <w:bCs/>
          <w:sz w:val="20"/>
          <w:szCs w:val="20"/>
          <w:highlight w:val="yellow"/>
        </w:rPr>
        <w:t xml:space="preserve">Other studies across endemic regions have also reported comparable </w:t>
      </w:r>
      <w:proofErr w:type="spellStart"/>
      <w:r w:rsidR="0090583D" w:rsidRPr="0090583D">
        <w:rPr>
          <w:rFonts w:ascii="Times New Roman" w:hAnsi="Times New Roman" w:cs="Times New Roman"/>
          <w:bCs/>
          <w:sz w:val="20"/>
          <w:szCs w:val="20"/>
          <w:highlight w:val="yellow"/>
        </w:rPr>
        <w:t>haematological</w:t>
      </w:r>
      <w:proofErr w:type="spellEnd"/>
      <w:r w:rsidR="0090583D" w:rsidRPr="0090583D">
        <w:rPr>
          <w:rFonts w:ascii="Times New Roman" w:hAnsi="Times New Roman" w:cs="Times New Roman"/>
          <w:bCs/>
          <w:sz w:val="20"/>
          <w:szCs w:val="20"/>
          <w:highlight w:val="yellow"/>
        </w:rPr>
        <w:t xml:space="preserve"> disturbances in malaria, including alterations in erythrocyte indices and inflammatory markers associated with parasite invasion and host immune response (Cowman et al., 2016; Pang et al., 2025). Recent studies from Africa and Asia have further confirmed that malaria infection can significantly alter </w:t>
      </w:r>
      <w:proofErr w:type="spellStart"/>
      <w:r w:rsidR="0090583D" w:rsidRPr="0090583D">
        <w:rPr>
          <w:rFonts w:ascii="Times New Roman" w:hAnsi="Times New Roman" w:cs="Times New Roman"/>
          <w:bCs/>
          <w:sz w:val="20"/>
          <w:szCs w:val="20"/>
          <w:highlight w:val="yellow"/>
        </w:rPr>
        <w:t>haematological</w:t>
      </w:r>
      <w:proofErr w:type="spellEnd"/>
      <w:r w:rsidR="0090583D" w:rsidRPr="0090583D">
        <w:rPr>
          <w:rFonts w:ascii="Times New Roman" w:hAnsi="Times New Roman" w:cs="Times New Roman"/>
          <w:bCs/>
          <w:sz w:val="20"/>
          <w:szCs w:val="20"/>
          <w:highlight w:val="yellow"/>
        </w:rPr>
        <w:t xml:space="preserve"> and biochemical parameters across different populations and clinical settings (</w:t>
      </w:r>
      <w:proofErr w:type="spellStart"/>
      <w:r w:rsidR="0090583D" w:rsidRPr="0090583D">
        <w:rPr>
          <w:rFonts w:ascii="Times New Roman" w:hAnsi="Times New Roman" w:cs="Times New Roman"/>
          <w:bCs/>
          <w:sz w:val="20"/>
          <w:szCs w:val="20"/>
          <w:highlight w:val="yellow"/>
        </w:rPr>
        <w:t>Maheswari</w:t>
      </w:r>
      <w:proofErr w:type="spellEnd"/>
      <w:r w:rsidR="0090583D" w:rsidRPr="0090583D">
        <w:rPr>
          <w:rFonts w:ascii="Times New Roman" w:hAnsi="Times New Roman" w:cs="Times New Roman"/>
          <w:bCs/>
          <w:sz w:val="20"/>
          <w:szCs w:val="20"/>
          <w:highlight w:val="yellow"/>
        </w:rPr>
        <w:t xml:space="preserve"> et al., 2025; </w:t>
      </w:r>
      <w:proofErr w:type="spellStart"/>
      <w:r w:rsidR="0090583D" w:rsidRPr="0090583D">
        <w:rPr>
          <w:rFonts w:ascii="Times New Roman" w:hAnsi="Times New Roman" w:cs="Times New Roman"/>
          <w:bCs/>
          <w:sz w:val="20"/>
          <w:szCs w:val="20"/>
          <w:highlight w:val="yellow"/>
        </w:rPr>
        <w:t>Jolinom</w:t>
      </w:r>
      <w:proofErr w:type="spellEnd"/>
      <w:r w:rsidR="0090583D" w:rsidRPr="0090583D">
        <w:rPr>
          <w:rFonts w:ascii="Times New Roman" w:hAnsi="Times New Roman" w:cs="Times New Roman"/>
          <w:bCs/>
          <w:sz w:val="20"/>
          <w:szCs w:val="20"/>
          <w:highlight w:val="yellow"/>
        </w:rPr>
        <w:t xml:space="preserve"> et al., 2025).</w:t>
      </w:r>
    </w:p>
    <w:p w14:paraId="66B9A475" w14:textId="5D7270F4" w:rsidR="00367DD9" w:rsidRPr="00296603"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Malaria may present as asymptomatic. Asymptomatic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is now recognized for its epidemiological and clinical significance. </w:t>
      </w:r>
      <w:r w:rsidRPr="00535379">
        <w:rPr>
          <w:rFonts w:ascii="Times New Roman" w:hAnsi="Times New Roman" w:cs="Times New Roman"/>
          <w:bCs/>
          <w:sz w:val="20"/>
          <w:szCs w:val="20"/>
          <w:highlight w:val="yellow"/>
        </w:rPr>
        <w:t xml:space="preserve">Almeida et al. </w:t>
      </w:r>
      <w:r w:rsidR="00535379" w:rsidRPr="00535379">
        <w:rPr>
          <w:rFonts w:ascii="Times New Roman" w:hAnsi="Times New Roman" w:cs="Times New Roman"/>
          <w:bCs/>
          <w:sz w:val="20"/>
          <w:szCs w:val="20"/>
          <w:highlight w:val="yellow"/>
        </w:rPr>
        <w:t>(2021)</w:t>
      </w:r>
      <w:r w:rsidRPr="00296603">
        <w:rPr>
          <w:rFonts w:ascii="Times New Roman" w:hAnsi="Times New Roman" w:cs="Times New Roman"/>
          <w:bCs/>
          <w:sz w:val="20"/>
          <w:szCs w:val="20"/>
        </w:rPr>
        <w:t xml:space="preserve"> reported that asymptomatic P. vivax infections, including submicroscopic infections, were infectious to vectors.  </w:t>
      </w:r>
      <w:r w:rsidR="00C76BA0" w:rsidRPr="00C76BA0">
        <w:rPr>
          <w:rFonts w:ascii="Times New Roman" w:hAnsi="Times New Roman" w:cs="Times New Roman"/>
          <w:bCs/>
          <w:sz w:val="20"/>
          <w:szCs w:val="20"/>
          <w:highlight w:val="yellow"/>
        </w:rPr>
        <w:t>This finding highlights the epidemiological importance of asymptomatic malaria infections as potential reservoirs for continued malaria transmission.</w:t>
      </w:r>
      <w:r w:rsidR="00C76BA0" w:rsidRPr="00C76BA0">
        <w:rPr>
          <w:rFonts w:ascii="Times New Roman" w:hAnsi="Times New Roman" w:cs="Times New Roman"/>
          <w:bCs/>
          <w:sz w:val="20"/>
          <w:szCs w:val="20"/>
        </w:rPr>
        <w:t xml:space="preserve"> </w:t>
      </w:r>
      <w:r w:rsidRPr="00296603">
        <w:rPr>
          <w:rFonts w:ascii="Times New Roman" w:hAnsi="Times New Roman" w:cs="Times New Roman"/>
          <w:bCs/>
          <w:sz w:val="20"/>
          <w:szCs w:val="20"/>
        </w:rPr>
        <w:t xml:space="preserve">In Europe, </w:t>
      </w:r>
      <w:proofErr w:type="spellStart"/>
      <w:r w:rsidR="00DD41F9" w:rsidRPr="00535379">
        <w:rPr>
          <w:rFonts w:ascii="Times New Roman" w:hAnsi="Times New Roman" w:cs="Times New Roman"/>
          <w:bCs/>
          <w:sz w:val="20"/>
          <w:szCs w:val="20"/>
          <w:highlight w:val="yellow"/>
        </w:rPr>
        <w:t>Corbacho-Loarte</w:t>
      </w:r>
      <w:proofErr w:type="spellEnd"/>
      <w:r w:rsidR="00DD41F9" w:rsidRPr="00535379">
        <w:rPr>
          <w:rFonts w:ascii="Times New Roman" w:hAnsi="Times New Roman" w:cs="Times New Roman"/>
          <w:bCs/>
          <w:sz w:val="20"/>
          <w:szCs w:val="20"/>
          <w:highlight w:val="yellow"/>
        </w:rPr>
        <w:t xml:space="preserve"> et al. </w:t>
      </w:r>
      <w:r w:rsidR="00535379" w:rsidRPr="00535379">
        <w:rPr>
          <w:rFonts w:ascii="Times New Roman" w:hAnsi="Times New Roman" w:cs="Times New Roman"/>
          <w:bCs/>
          <w:sz w:val="20"/>
          <w:szCs w:val="20"/>
          <w:highlight w:val="yellow"/>
        </w:rPr>
        <w:t>(2022)</w:t>
      </w:r>
      <w:r w:rsidRPr="00296603">
        <w:rPr>
          <w:rFonts w:ascii="Times New Roman" w:hAnsi="Times New Roman" w:cs="Times New Roman"/>
          <w:bCs/>
          <w:sz w:val="20"/>
          <w:szCs w:val="20"/>
        </w:rPr>
        <w:t xml:space="preserve"> showed asymptomatic and low-density infections among migrants from sub-Saharan Africa, underscoring the limitations of clinical presentation in the diagnosis of the dise</w:t>
      </w:r>
      <w:r w:rsidR="00535379">
        <w:rPr>
          <w:rFonts w:ascii="Times New Roman" w:hAnsi="Times New Roman" w:cs="Times New Roman"/>
          <w:bCs/>
          <w:sz w:val="20"/>
          <w:szCs w:val="20"/>
        </w:rPr>
        <w:t xml:space="preserve">ase. In fact, </w:t>
      </w:r>
      <w:proofErr w:type="spellStart"/>
      <w:r w:rsidR="00535379" w:rsidRPr="00535379">
        <w:rPr>
          <w:rFonts w:ascii="Times New Roman" w:hAnsi="Times New Roman" w:cs="Times New Roman"/>
          <w:bCs/>
          <w:sz w:val="20"/>
          <w:szCs w:val="20"/>
          <w:highlight w:val="yellow"/>
        </w:rPr>
        <w:t>Aninagyei</w:t>
      </w:r>
      <w:proofErr w:type="spellEnd"/>
      <w:r w:rsidR="00535379" w:rsidRPr="00535379">
        <w:rPr>
          <w:rFonts w:ascii="Times New Roman" w:hAnsi="Times New Roman" w:cs="Times New Roman"/>
          <w:bCs/>
          <w:sz w:val="20"/>
          <w:szCs w:val="20"/>
          <w:highlight w:val="yellow"/>
        </w:rPr>
        <w:t xml:space="preserve"> et al. (2021)</w:t>
      </w:r>
      <w:r w:rsidRPr="00296603">
        <w:rPr>
          <w:rFonts w:ascii="Times New Roman" w:hAnsi="Times New Roman" w:cs="Times New Roman"/>
          <w:bCs/>
          <w:sz w:val="20"/>
          <w:szCs w:val="20"/>
        </w:rPr>
        <w:t xml:space="preserve"> showed that asymptomatic P. falciparum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among blood donors in Ghana was associated with changes in platelet thrombogenicity.</w:t>
      </w:r>
      <w:r w:rsidR="0090583D">
        <w:rPr>
          <w:rFonts w:ascii="Times New Roman" w:hAnsi="Times New Roman" w:cs="Times New Roman"/>
          <w:bCs/>
          <w:sz w:val="20"/>
          <w:szCs w:val="20"/>
        </w:rPr>
        <w:t xml:space="preserve"> </w:t>
      </w:r>
      <w:r w:rsidR="0090583D" w:rsidRPr="0090583D">
        <w:rPr>
          <w:rFonts w:ascii="Times New Roman" w:hAnsi="Times New Roman" w:cs="Times New Roman"/>
          <w:bCs/>
          <w:sz w:val="20"/>
          <w:szCs w:val="20"/>
          <w:highlight w:val="yellow"/>
        </w:rPr>
        <w:t xml:space="preserve">Similar observations have been reported in other endemic settings where asymptomatic malaria infections were associated with oxidative stress responses and subtle </w:t>
      </w:r>
      <w:proofErr w:type="spellStart"/>
      <w:r w:rsidR="0090583D" w:rsidRPr="0090583D">
        <w:rPr>
          <w:rFonts w:ascii="Times New Roman" w:hAnsi="Times New Roman" w:cs="Times New Roman"/>
          <w:bCs/>
          <w:sz w:val="20"/>
          <w:szCs w:val="20"/>
          <w:highlight w:val="yellow"/>
        </w:rPr>
        <w:t>haematological</w:t>
      </w:r>
      <w:proofErr w:type="spellEnd"/>
      <w:r w:rsidR="0090583D" w:rsidRPr="0090583D">
        <w:rPr>
          <w:rFonts w:ascii="Times New Roman" w:hAnsi="Times New Roman" w:cs="Times New Roman"/>
          <w:bCs/>
          <w:sz w:val="20"/>
          <w:szCs w:val="20"/>
          <w:highlight w:val="yellow"/>
        </w:rPr>
        <w:t xml:space="preserve"> changes despite the absence of overt clinical symptoms (Babalola et al., 2020; </w:t>
      </w:r>
      <w:proofErr w:type="spellStart"/>
      <w:r w:rsidR="0090583D" w:rsidRPr="0090583D">
        <w:rPr>
          <w:rFonts w:ascii="Times New Roman" w:hAnsi="Times New Roman" w:cs="Times New Roman"/>
          <w:bCs/>
          <w:sz w:val="20"/>
          <w:szCs w:val="20"/>
          <w:highlight w:val="yellow"/>
        </w:rPr>
        <w:t>Eledo</w:t>
      </w:r>
      <w:proofErr w:type="spellEnd"/>
      <w:r w:rsidR="0090583D" w:rsidRPr="0090583D">
        <w:rPr>
          <w:rFonts w:ascii="Times New Roman" w:hAnsi="Times New Roman" w:cs="Times New Roman"/>
          <w:bCs/>
          <w:sz w:val="20"/>
          <w:szCs w:val="20"/>
          <w:highlight w:val="yellow"/>
        </w:rPr>
        <w:t xml:space="preserve"> et al., 2020). Epidemiological investigations in school-aged children and rural communities have also shown that asymptomatic malaria can influence </w:t>
      </w:r>
      <w:proofErr w:type="spellStart"/>
      <w:r w:rsidR="0090583D" w:rsidRPr="0090583D">
        <w:rPr>
          <w:rFonts w:ascii="Times New Roman" w:hAnsi="Times New Roman" w:cs="Times New Roman"/>
          <w:bCs/>
          <w:sz w:val="20"/>
          <w:szCs w:val="20"/>
          <w:highlight w:val="yellow"/>
        </w:rPr>
        <w:t>haemoglobin</w:t>
      </w:r>
      <w:proofErr w:type="spellEnd"/>
      <w:r w:rsidR="0090583D" w:rsidRPr="0090583D">
        <w:rPr>
          <w:rFonts w:ascii="Times New Roman" w:hAnsi="Times New Roman" w:cs="Times New Roman"/>
          <w:bCs/>
          <w:sz w:val="20"/>
          <w:szCs w:val="20"/>
          <w:highlight w:val="yellow"/>
        </w:rPr>
        <w:t xml:space="preserve"> levels, red blood cell indices, and immune responses, emphasizing its clinical and public health relevance (</w:t>
      </w:r>
      <w:proofErr w:type="spellStart"/>
      <w:r w:rsidR="0090583D" w:rsidRPr="0090583D">
        <w:rPr>
          <w:rFonts w:ascii="Times New Roman" w:hAnsi="Times New Roman" w:cs="Times New Roman"/>
          <w:bCs/>
          <w:sz w:val="20"/>
          <w:szCs w:val="20"/>
          <w:highlight w:val="yellow"/>
        </w:rPr>
        <w:t>Sumbele</w:t>
      </w:r>
      <w:proofErr w:type="spellEnd"/>
      <w:r w:rsidR="0090583D" w:rsidRPr="0090583D">
        <w:rPr>
          <w:rFonts w:ascii="Times New Roman" w:hAnsi="Times New Roman" w:cs="Times New Roman"/>
          <w:bCs/>
          <w:sz w:val="20"/>
          <w:szCs w:val="20"/>
          <w:highlight w:val="yellow"/>
        </w:rPr>
        <w:t xml:space="preserve"> et al., 2021; </w:t>
      </w:r>
      <w:proofErr w:type="spellStart"/>
      <w:r w:rsidR="0090583D" w:rsidRPr="0090583D">
        <w:rPr>
          <w:rFonts w:ascii="Times New Roman" w:hAnsi="Times New Roman" w:cs="Times New Roman"/>
          <w:bCs/>
          <w:sz w:val="20"/>
          <w:szCs w:val="20"/>
          <w:highlight w:val="yellow"/>
        </w:rPr>
        <w:t>Orish</w:t>
      </w:r>
      <w:proofErr w:type="spellEnd"/>
      <w:r w:rsidR="0090583D" w:rsidRPr="0090583D">
        <w:rPr>
          <w:rFonts w:ascii="Times New Roman" w:hAnsi="Times New Roman" w:cs="Times New Roman"/>
          <w:bCs/>
          <w:sz w:val="20"/>
          <w:szCs w:val="20"/>
          <w:highlight w:val="yellow"/>
        </w:rPr>
        <w:t xml:space="preserve"> et al., 2024).</w:t>
      </w:r>
    </w:p>
    <w:p w14:paraId="0F075C44" w14:textId="69B6D70B" w:rsidR="00957DEF"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The intensity of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also appears to have a role to p</w:t>
      </w:r>
      <w:r w:rsidR="00535379">
        <w:rPr>
          <w:rFonts w:ascii="Times New Roman" w:hAnsi="Times New Roman" w:cs="Times New Roman"/>
          <w:bCs/>
          <w:sz w:val="20"/>
          <w:szCs w:val="20"/>
        </w:rPr>
        <w:t xml:space="preserve">lay. </w:t>
      </w:r>
      <w:r w:rsidR="00535379" w:rsidRPr="00535379">
        <w:rPr>
          <w:rFonts w:ascii="Times New Roman" w:hAnsi="Times New Roman" w:cs="Times New Roman"/>
          <w:bCs/>
          <w:sz w:val="20"/>
          <w:szCs w:val="20"/>
          <w:highlight w:val="yellow"/>
        </w:rPr>
        <w:t>Antwi-Baffour et al. (2023)</w:t>
      </w:r>
      <w:r w:rsidRPr="00296603">
        <w:rPr>
          <w:rFonts w:ascii="Times New Roman" w:hAnsi="Times New Roman" w:cs="Times New Roman"/>
          <w:bCs/>
          <w:sz w:val="20"/>
          <w:szCs w:val="20"/>
        </w:rPr>
        <w:t xml:space="preserve"> found correlations between the intensity of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and some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parameters among outpatient attendees in Ghana, while </w:t>
      </w:r>
      <w:r w:rsidR="00535379" w:rsidRPr="00535379">
        <w:rPr>
          <w:rFonts w:ascii="Times New Roman" w:hAnsi="Times New Roman" w:cs="Times New Roman"/>
          <w:bCs/>
          <w:sz w:val="20"/>
          <w:szCs w:val="20"/>
          <w:highlight w:val="yellow"/>
        </w:rPr>
        <w:t>Shukla et al. (2023)</w:t>
      </w:r>
      <w:r w:rsidRPr="00296603">
        <w:rPr>
          <w:rFonts w:ascii="Times New Roman" w:hAnsi="Times New Roman" w:cs="Times New Roman"/>
          <w:bCs/>
          <w:sz w:val="20"/>
          <w:szCs w:val="20"/>
        </w:rPr>
        <w:t xml:space="preserve"> found correlations between parasite density and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and bioche</w:t>
      </w:r>
      <w:r w:rsidR="00D957D6" w:rsidRPr="00296603">
        <w:rPr>
          <w:rFonts w:ascii="Times New Roman" w:hAnsi="Times New Roman" w:cs="Times New Roman"/>
          <w:bCs/>
          <w:sz w:val="20"/>
          <w:szCs w:val="20"/>
        </w:rPr>
        <w:t xml:space="preserve">mical indices in patients with </w:t>
      </w:r>
      <w:r w:rsidR="00D957D6" w:rsidRPr="00296603">
        <w:rPr>
          <w:rFonts w:ascii="Times New Roman" w:hAnsi="Times New Roman" w:cs="Times New Roman"/>
          <w:bCs/>
          <w:i/>
          <w:sz w:val="20"/>
          <w:szCs w:val="20"/>
        </w:rPr>
        <w:t>P. falciparum</w:t>
      </w:r>
      <w:r w:rsidR="00DD41F9" w:rsidRPr="00296603">
        <w:rPr>
          <w:rFonts w:ascii="Times New Roman" w:hAnsi="Times New Roman" w:cs="Times New Roman"/>
          <w:bCs/>
          <w:sz w:val="20"/>
          <w:szCs w:val="20"/>
        </w:rPr>
        <w:t xml:space="preserve"> malaria. </w:t>
      </w:r>
      <w:proofErr w:type="spellStart"/>
      <w:r w:rsidR="00535379">
        <w:rPr>
          <w:rFonts w:ascii="Times New Roman" w:hAnsi="Times New Roman" w:cs="Times New Roman"/>
          <w:bCs/>
          <w:sz w:val="20"/>
          <w:szCs w:val="20"/>
          <w:highlight w:val="yellow"/>
        </w:rPr>
        <w:t>Ehiem</w:t>
      </w:r>
      <w:proofErr w:type="spellEnd"/>
      <w:r w:rsidR="00535379">
        <w:rPr>
          <w:rFonts w:ascii="Times New Roman" w:hAnsi="Times New Roman" w:cs="Times New Roman"/>
          <w:bCs/>
          <w:sz w:val="20"/>
          <w:szCs w:val="20"/>
          <w:highlight w:val="yellow"/>
        </w:rPr>
        <w:t xml:space="preserve"> et al.</w:t>
      </w:r>
      <w:r w:rsidR="00535379" w:rsidRPr="00535379">
        <w:rPr>
          <w:rFonts w:ascii="Times New Roman" w:hAnsi="Times New Roman" w:cs="Times New Roman"/>
          <w:bCs/>
          <w:sz w:val="20"/>
          <w:szCs w:val="20"/>
          <w:highlight w:val="yellow"/>
        </w:rPr>
        <w:t xml:space="preserve"> (2021)</w:t>
      </w:r>
      <w:r w:rsidRPr="00296603">
        <w:rPr>
          <w:rFonts w:ascii="Times New Roman" w:hAnsi="Times New Roman" w:cs="Times New Roman"/>
          <w:bCs/>
          <w:sz w:val="20"/>
          <w:szCs w:val="20"/>
        </w:rPr>
        <w:t xml:space="preserve"> found that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correlated with liver enzyme abnormalities and hepatocellular dysfunction in Ghanaian children with malaria, highlighting the role of biochemical abnormalities in the context of parasite infection and inflammation-induced damage to red blood cells. This further underlines the value of parasite density and its role in disease expression alongside other laboratory indices. </w:t>
      </w:r>
      <w:r w:rsidR="00957DEF" w:rsidRPr="00C7232D">
        <w:rPr>
          <w:rFonts w:ascii="Times New Roman" w:hAnsi="Times New Roman" w:cs="Times New Roman"/>
          <w:bCs/>
          <w:sz w:val="20"/>
          <w:szCs w:val="20"/>
          <w:highlight w:val="yellow"/>
        </w:rPr>
        <w:t xml:space="preserve">Other clinical investigations have similarly demonstrated that increasing parasite density is associated with progressive changes in </w:t>
      </w:r>
      <w:proofErr w:type="spellStart"/>
      <w:r w:rsidR="00957DEF" w:rsidRPr="00C7232D">
        <w:rPr>
          <w:rFonts w:ascii="Times New Roman" w:hAnsi="Times New Roman" w:cs="Times New Roman"/>
          <w:bCs/>
          <w:sz w:val="20"/>
          <w:szCs w:val="20"/>
          <w:highlight w:val="yellow"/>
        </w:rPr>
        <w:t>haematological</w:t>
      </w:r>
      <w:proofErr w:type="spellEnd"/>
      <w:r w:rsidR="00957DEF" w:rsidRPr="00C7232D">
        <w:rPr>
          <w:rFonts w:ascii="Times New Roman" w:hAnsi="Times New Roman" w:cs="Times New Roman"/>
          <w:bCs/>
          <w:sz w:val="20"/>
          <w:szCs w:val="20"/>
          <w:highlight w:val="yellow"/>
        </w:rPr>
        <w:t xml:space="preserve"> markers and inflammatory mediators, supporting the importance of parasite burden in </w:t>
      </w:r>
      <w:r w:rsidR="00957DEF" w:rsidRPr="00C7232D">
        <w:rPr>
          <w:rFonts w:ascii="Times New Roman" w:hAnsi="Times New Roman" w:cs="Times New Roman"/>
          <w:bCs/>
          <w:sz w:val="20"/>
          <w:szCs w:val="20"/>
          <w:highlight w:val="yellow"/>
        </w:rPr>
        <w:lastRenderedPageBreak/>
        <w:t>determining disease severity (</w:t>
      </w:r>
      <w:proofErr w:type="spellStart"/>
      <w:r w:rsidR="00957DEF" w:rsidRPr="00C7232D">
        <w:rPr>
          <w:rFonts w:ascii="Times New Roman" w:hAnsi="Times New Roman" w:cs="Times New Roman"/>
          <w:bCs/>
          <w:sz w:val="20"/>
          <w:szCs w:val="20"/>
          <w:highlight w:val="yellow"/>
        </w:rPr>
        <w:t>Kachhawa</w:t>
      </w:r>
      <w:proofErr w:type="spellEnd"/>
      <w:r w:rsidR="00957DEF" w:rsidRPr="00C7232D">
        <w:rPr>
          <w:rFonts w:ascii="Times New Roman" w:hAnsi="Times New Roman" w:cs="Times New Roman"/>
          <w:bCs/>
          <w:sz w:val="20"/>
          <w:szCs w:val="20"/>
          <w:highlight w:val="yellow"/>
        </w:rPr>
        <w:t xml:space="preserve">, 2025; </w:t>
      </w:r>
      <w:proofErr w:type="spellStart"/>
      <w:r w:rsidR="00957DEF" w:rsidRPr="00C7232D">
        <w:rPr>
          <w:rFonts w:ascii="Times New Roman" w:hAnsi="Times New Roman" w:cs="Times New Roman"/>
          <w:bCs/>
          <w:sz w:val="20"/>
          <w:szCs w:val="20"/>
          <w:highlight w:val="yellow"/>
        </w:rPr>
        <w:t>Bohli</w:t>
      </w:r>
      <w:proofErr w:type="spellEnd"/>
      <w:r w:rsidR="00957DEF" w:rsidRPr="00C7232D">
        <w:rPr>
          <w:rFonts w:ascii="Times New Roman" w:hAnsi="Times New Roman" w:cs="Times New Roman"/>
          <w:bCs/>
          <w:sz w:val="20"/>
          <w:szCs w:val="20"/>
          <w:highlight w:val="yellow"/>
        </w:rPr>
        <w:t xml:space="preserve"> et al., 2025). Studies conducted in both endemic and non-endemic regions have also highlighted the relationship between parasite density and alterations in </w:t>
      </w:r>
      <w:proofErr w:type="spellStart"/>
      <w:r w:rsidR="00957DEF" w:rsidRPr="00C7232D">
        <w:rPr>
          <w:rFonts w:ascii="Times New Roman" w:hAnsi="Times New Roman" w:cs="Times New Roman"/>
          <w:bCs/>
          <w:sz w:val="20"/>
          <w:szCs w:val="20"/>
          <w:highlight w:val="yellow"/>
        </w:rPr>
        <w:t>haematological</w:t>
      </w:r>
      <w:proofErr w:type="spellEnd"/>
      <w:r w:rsidR="00957DEF" w:rsidRPr="00C7232D">
        <w:rPr>
          <w:rFonts w:ascii="Times New Roman" w:hAnsi="Times New Roman" w:cs="Times New Roman"/>
          <w:bCs/>
          <w:sz w:val="20"/>
          <w:szCs w:val="20"/>
          <w:highlight w:val="yellow"/>
        </w:rPr>
        <w:t xml:space="preserve"> profiles, including platelet indices and red cell parameters (Akpan et al., 2025; </w:t>
      </w:r>
      <w:proofErr w:type="spellStart"/>
      <w:r w:rsidR="00957DEF" w:rsidRPr="00C7232D">
        <w:rPr>
          <w:rFonts w:ascii="Times New Roman" w:hAnsi="Times New Roman" w:cs="Times New Roman"/>
          <w:bCs/>
          <w:sz w:val="20"/>
          <w:szCs w:val="20"/>
          <w:highlight w:val="yellow"/>
        </w:rPr>
        <w:t>Okon</w:t>
      </w:r>
      <w:proofErr w:type="spellEnd"/>
      <w:r w:rsidR="00957DEF" w:rsidRPr="00C7232D">
        <w:rPr>
          <w:rFonts w:ascii="Times New Roman" w:hAnsi="Times New Roman" w:cs="Times New Roman"/>
          <w:bCs/>
          <w:sz w:val="20"/>
          <w:szCs w:val="20"/>
          <w:highlight w:val="yellow"/>
        </w:rPr>
        <w:t xml:space="preserve"> et al., 2022).</w:t>
      </w:r>
    </w:p>
    <w:p w14:paraId="40692BF3" w14:textId="32E3BA29" w:rsidR="00601F52"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However, there are three important areas that have not been addressed or have been insufficiently addressed by previous studies. The first area relates to the fact that while many studies have been done on malaria and parasite density, most have been done on symptomatic malaria and a few on pediatric populations. There have been no sufficient studies done on asymptomatic carriers among university students. </w:t>
      </w:r>
      <w:r w:rsidR="00601F52" w:rsidRPr="00601F52">
        <w:rPr>
          <w:rFonts w:ascii="Times New Roman" w:hAnsi="Times New Roman" w:cs="Times New Roman"/>
          <w:bCs/>
          <w:sz w:val="20"/>
          <w:szCs w:val="20"/>
          <w:highlight w:val="yellow"/>
        </w:rPr>
        <w:t>In addition, several investigations have focused on specific sub-groups such as pregnant women, children, or individuals with co-infections, leaving young adult populations in university environments relatively under-studied (Okafor et al., 2024; Kamau et al., 2021).</w:t>
      </w:r>
    </w:p>
    <w:p w14:paraId="7AE71031" w14:textId="1DC7CE5D" w:rsidR="00367DD9" w:rsidRPr="00296603"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The second area relates to the fact that while some comparative studies have been done on asymptomatic and symptomatic carriers, there have been few comparative studies done on asymptomatic and symptomatic carriers using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biochemical, and parasitological indices. The third area relates to the fact that while some studies have been done on the differences between asymptomatic and symptomatic carriers, few have been done on the effect size analysis and the relationship between parasite density and some laboratory indices within each group. This analysis is important to help understand whether the differences between asymptomatic and symptomatic carriers are statistically significant and whether they are clinically significant, and whether they are similar to each other.</w:t>
      </w:r>
    </w:p>
    <w:p w14:paraId="0D651307" w14:textId="77777777" w:rsidR="00367DD9" w:rsidRPr="00296603"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University students are an important subject group for such an investigation. They share living quarters with others, often travel between communities, and may be </w:t>
      </w:r>
      <w:proofErr w:type="spellStart"/>
      <w:r w:rsidRPr="00296603">
        <w:rPr>
          <w:rFonts w:ascii="Times New Roman" w:hAnsi="Times New Roman" w:cs="Times New Roman"/>
          <w:bCs/>
          <w:sz w:val="20"/>
          <w:szCs w:val="20"/>
        </w:rPr>
        <w:t>parasitaemic</w:t>
      </w:r>
      <w:proofErr w:type="spellEnd"/>
      <w:r w:rsidRPr="00296603">
        <w:rPr>
          <w:rFonts w:ascii="Times New Roman" w:hAnsi="Times New Roman" w:cs="Times New Roman"/>
          <w:bCs/>
          <w:sz w:val="20"/>
          <w:szCs w:val="20"/>
        </w:rPr>
        <w:t xml:space="preserve"> without showing clinical symptoms. In these groups, laboratory investigations may incidentally identify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however, the laboratory results of these malaria-infected individuals may be difficult to interpret in the absence of reference data. An understanding of whether asymptomatic malaria in these groups is accompanied by subtle but identifiable laboratory abnormalities, and whether these differ from those with malaria symptoms, is important for the management of malaria in university students.</w:t>
      </w:r>
    </w:p>
    <w:p w14:paraId="7997A451" w14:textId="77777777" w:rsidR="00C036D6" w:rsidRPr="00296603" w:rsidRDefault="00367DD9" w:rsidP="00367DD9">
      <w:pPr>
        <w:spacing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The current study recruited students of the Takoradi Technical University residing in </w:t>
      </w:r>
      <w:proofErr w:type="spellStart"/>
      <w:r w:rsidRPr="00296603">
        <w:rPr>
          <w:rFonts w:ascii="Times New Roman" w:hAnsi="Times New Roman" w:cs="Times New Roman"/>
          <w:bCs/>
          <w:sz w:val="20"/>
          <w:szCs w:val="20"/>
        </w:rPr>
        <w:t>Nzimah</w:t>
      </w:r>
      <w:proofErr w:type="spellEnd"/>
      <w:r w:rsidRPr="00296603">
        <w:rPr>
          <w:rFonts w:ascii="Times New Roman" w:hAnsi="Times New Roman" w:cs="Times New Roman"/>
          <w:bCs/>
          <w:sz w:val="20"/>
          <w:szCs w:val="20"/>
        </w:rPr>
        <w:t xml:space="preserve"> Mensah Hall and Prof. Duncan Hall to investigate the differences in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and biochemical abnormalities in asymptomatic malaria cases compared with those with malaria symptoms. In addition to comparing laboratory results between groups, the current study also investigated the relationship between parasite density and laboratory results in asymptomatic malaria cases. By using parasitological measurement in combination with standardized laboratory investigations and effect size analysis, the current study provides methodologically rigorous results that are highly relevant for laboratory investigations of malaria in young adults in Ghana.</w:t>
      </w:r>
    </w:p>
    <w:p w14:paraId="4987C125" w14:textId="77777777" w:rsidR="00367DD9" w:rsidRPr="00296603" w:rsidRDefault="00367DD9" w:rsidP="00367DD9">
      <w:pPr>
        <w:spacing w:line="360" w:lineRule="auto"/>
        <w:rPr>
          <w:rFonts w:ascii="Times New Roman" w:hAnsi="Times New Roman" w:cs="Times New Roman"/>
          <w:bCs/>
          <w:sz w:val="20"/>
          <w:szCs w:val="20"/>
        </w:rPr>
      </w:pPr>
    </w:p>
    <w:p w14:paraId="78097CE2" w14:textId="77777777" w:rsidR="007D7206" w:rsidRPr="00296603" w:rsidRDefault="007D7206" w:rsidP="00E16407">
      <w:pPr>
        <w:spacing w:after="160" w:line="360" w:lineRule="auto"/>
        <w:rPr>
          <w:rFonts w:ascii="Times New Roman" w:hAnsi="Times New Roman" w:cs="Times New Roman"/>
          <w:b/>
          <w:bCs/>
          <w:sz w:val="20"/>
          <w:szCs w:val="20"/>
        </w:rPr>
      </w:pPr>
      <w:r w:rsidRPr="00296603">
        <w:rPr>
          <w:rFonts w:ascii="Times New Roman" w:hAnsi="Times New Roman" w:cs="Times New Roman"/>
          <w:b/>
          <w:bCs/>
          <w:sz w:val="20"/>
          <w:szCs w:val="20"/>
        </w:rPr>
        <w:t>2. Materials and Methods</w:t>
      </w:r>
    </w:p>
    <w:p w14:paraId="1F08DF24" w14:textId="77777777" w:rsidR="007D7206" w:rsidRPr="00296603" w:rsidRDefault="0083268D"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2.1 </w:t>
      </w:r>
      <w:r w:rsidR="007D7206" w:rsidRPr="00296603">
        <w:rPr>
          <w:rFonts w:ascii="Times New Roman" w:hAnsi="Times New Roman" w:cs="Times New Roman"/>
          <w:b/>
          <w:bCs/>
          <w:sz w:val="20"/>
          <w:szCs w:val="20"/>
        </w:rPr>
        <w:t>Study Design and Setting</w:t>
      </w:r>
    </w:p>
    <w:p w14:paraId="3265376E" w14:textId="77777777" w:rsidR="00F16ADA" w:rsidRPr="00296603" w:rsidRDefault="00F16ADA" w:rsidP="00F16ADA">
      <w:pPr>
        <w:spacing w:after="240" w:line="360" w:lineRule="auto"/>
        <w:rPr>
          <w:rFonts w:ascii="Times New Roman" w:hAnsi="Times New Roman" w:cs="Times New Roman"/>
          <w:sz w:val="20"/>
          <w:szCs w:val="20"/>
        </w:rPr>
      </w:pPr>
      <w:r w:rsidRPr="00296603">
        <w:rPr>
          <w:rFonts w:ascii="Times New Roman" w:hAnsi="Times New Roman" w:cs="Times New Roman"/>
          <w:sz w:val="20"/>
          <w:szCs w:val="20"/>
        </w:rPr>
        <w:t>A cross-sectional study design was done with a comparative approach between students of Takoradi Technical University (TTU), Western Region, Ghana. The two university residential halls (</w:t>
      </w:r>
      <w:proofErr w:type="spellStart"/>
      <w:r w:rsidRPr="00296603">
        <w:rPr>
          <w:rFonts w:ascii="Times New Roman" w:hAnsi="Times New Roman" w:cs="Times New Roman"/>
          <w:sz w:val="20"/>
          <w:szCs w:val="20"/>
        </w:rPr>
        <w:t>Nzimah</w:t>
      </w:r>
      <w:proofErr w:type="spellEnd"/>
      <w:r w:rsidRPr="00296603">
        <w:rPr>
          <w:rFonts w:ascii="Times New Roman" w:hAnsi="Times New Roman" w:cs="Times New Roman"/>
          <w:sz w:val="20"/>
          <w:szCs w:val="20"/>
        </w:rPr>
        <w:t xml:space="preserve"> Mensah Hall and Prof. Duncan Hall) were used to recruit the participants. The research involved comparison of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biochemical </w:t>
      </w:r>
      <w:r w:rsidRPr="00296603">
        <w:rPr>
          <w:rFonts w:ascii="Times New Roman" w:hAnsi="Times New Roman" w:cs="Times New Roman"/>
          <w:sz w:val="20"/>
          <w:szCs w:val="20"/>
        </w:rPr>
        <w:lastRenderedPageBreak/>
        <w:t>and parasitological parameters between asymptomatic and symptomatic malaria infected students in the same campus set up.</w:t>
      </w:r>
    </w:p>
    <w:p w14:paraId="700C3825" w14:textId="77777777" w:rsidR="007D7206" w:rsidRPr="00296603" w:rsidRDefault="0083268D"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2.2 </w:t>
      </w:r>
      <w:r w:rsidR="007D7206" w:rsidRPr="00296603">
        <w:rPr>
          <w:rFonts w:ascii="Times New Roman" w:hAnsi="Times New Roman" w:cs="Times New Roman"/>
          <w:b/>
          <w:bCs/>
          <w:sz w:val="20"/>
          <w:szCs w:val="20"/>
        </w:rPr>
        <w:t>Study Population and Sample Size</w:t>
      </w:r>
    </w:p>
    <w:p w14:paraId="1FD2E4B2" w14:textId="77777777" w:rsidR="00F16ADA" w:rsidRPr="00296603" w:rsidRDefault="00F16ADA" w:rsidP="00F16ADA">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One hundred and fifty students were recruited with 100 being asymptomatic and 50 symptomatic malaria-positive students. The sample size has been chosen according to the requirements of sufficient statistic power to find the clinically significant differences in the main parameters of the laboratory results between the groups. Having the ratio of allocation 2:1 (100 vs. 50), the study has around 80% power at the 5% level of significance to identify moderate effect sizes in independent group comparison. The use of intentional oversampling of the participants who have not shown any symptoms was done to enable stabilization of subgroup analysis of the distribution of parasite density and correlation testing in this group.</w:t>
      </w:r>
    </w:p>
    <w:p w14:paraId="3268D261" w14:textId="7C3DEE59" w:rsidR="008D006D" w:rsidRDefault="00F16ADA" w:rsidP="00F16ADA">
      <w:pPr>
        <w:spacing w:after="240" w:line="360" w:lineRule="auto"/>
        <w:rPr>
          <w:rFonts w:ascii="Times New Roman" w:hAnsi="Times New Roman" w:cs="Times New Roman"/>
          <w:sz w:val="20"/>
          <w:szCs w:val="20"/>
        </w:rPr>
      </w:pPr>
      <w:r w:rsidRPr="00296603">
        <w:rPr>
          <w:rFonts w:ascii="Times New Roman" w:hAnsi="Times New Roman" w:cs="Times New Roman"/>
          <w:sz w:val="20"/>
          <w:szCs w:val="20"/>
        </w:rPr>
        <w:t xml:space="preserve">The participants were categorized according to the clinical presentation at the moment of laboratory confirmation. </w:t>
      </w:r>
      <w:r w:rsidR="008D006D" w:rsidRPr="008D006D">
        <w:rPr>
          <w:rFonts w:ascii="Times New Roman" w:hAnsi="Times New Roman" w:cs="Times New Roman"/>
          <w:sz w:val="20"/>
          <w:szCs w:val="20"/>
          <w:highlight w:val="yellow"/>
        </w:rPr>
        <w:t>Clinical assessment was performed at the point of blood sampling.</w:t>
      </w:r>
      <w:r w:rsidR="008D006D">
        <w:rPr>
          <w:rFonts w:ascii="Times New Roman" w:hAnsi="Times New Roman" w:cs="Times New Roman"/>
          <w:sz w:val="20"/>
          <w:szCs w:val="20"/>
        </w:rPr>
        <w:t xml:space="preserve"> </w:t>
      </w:r>
      <w:r w:rsidRPr="00296603">
        <w:rPr>
          <w:rFonts w:ascii="Times New Roman" w:hAnsi="Times New Roman" w:cs="Times New Roman"/>
          <w:sz w:val="20"/>
          <w:szCs w:val="20"/>
        </w:rPr>
        <w:t xml:space="preserve">The definition of asymptomatic included those students whose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of malaria was confirmed through microscopy and did not have a fever or other symptoms of malaria at the time of sampling. </w:t>
      </w:r>
      <w:r w:rsidR="008D006D" w:rsidRPr="008D006D">
        <w:rPr>
          <w:rFonts w:ascii="Times New Roman" w:hAnsi="Times New Roman" w:cs="Times New Roman"/>
          <w:sz w:val="20"/>
          <w:szCs w:val="20"/>
          <w:highlight w:val="yellow"/>
        </w:rPr>
        <w:t xml:space="preserve">For clarity, asymptomatic malaria was defined as microscopy-confirmed </w:t>
      </w:r>
      <w:proofErr w:type="spellStart"/>
      <w:r w:rsidR="008D006D" w:rsidRPr="008D006D">
        <w:rPr>
          <w:rFonts w:ascii="Times New Roman" w:hAnsi="Times New Roman" w:cs="Times New Roman"/>
          <w:sz w:val="20"/>
          <w:szCs w:val="20"/>
          <w:highlight w:val="yellow"/>
        </w:rPr>
        <w:t>parasitaemia</w:t>
      </w:r>
      <w:proofErr w:type="spellEnd"/>
      <w:r w:rsidR="008D006D" w:rsidRPr="008D006D">
        <w:rPr>
          <w:rFonts w:ascii="Times New Roman" w:hAnsi="Times New Roman" w:cs="Times New Roman"/>
          <w:sz w:val="20"/>
          <w:szCs w:val="20"/>
          <w:highlight w:val="yellow"/>
        </w:rPr>
        <w:t xml:space="preserve"> in a student with no measured fever (axillary temperature &lt; 37.5°C), no malaria-consistent symptoms such as headache, chills, malaise, myalgia, or nausea, and no self-reported history of fever within the preceding 48–72 hours. This time window was applied in consideration of the erythrocytic lifecycle of the parasite to reduce the likelihood of enrolling individuals in the early phase of symptomatic infection.</w:t>
      </w:r>
    </w:p>
    <w:p w14:paraId="789C40E0" w14:textId="78FF952B" w:rsidR="00F16ADA" w:rsidRPr="00296603" w:rsidRDefault="00F16ADA" w:rsidP="00F16ADA">
      <w:pPr>
        <w:spacing w:after="24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Symptomatic patients were those who had microscopy-established malaria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and matching clinical conditions. </w:t>
      </w:r>
      <w:r w:rsidR="008D006D" w:rsidRPr="008D006D">
        <w:rPr>
          <w:rFonts w:ascii="Times New Roman" w:hAnsi="Times New Roman" w:cs="Times New Roman"/>
          <w:sz w:val="20"/>
          <w:szCs w:val="20"/>
          <w:highlight w:val="yellow"/>
        </w:rPr>
        <w:t>Symptomatic malaria therefore included students with measured fever (≥ 37.5°C) and/or malaria-consistent symptoms present at the time of evaluation.</w:t>
      </w:r>
      <w:r w:rsidR="008D006D">
        <w:rPr>
          <w:rFonts w:ascii="Times New Roman" w:hAnsi="Times New Roman" w:cs="Times New Roman"/>
          <w:sz w:val="20"/>
          <w:szCs w:val="20"/>
        </w:rPr>
        <w:t xml:space="preserve"> </w:t>
      </w:r>
      <w:r w:rsidRPr="00296603">
        <w:rPr>
          <w:rFonts w:ascii="Times New Roman" w:hAnsi="Times New Roman" w:cs="Times New Roman"/>
          <w:sz w:val="20"/>
          <w:szCs w:val="20"/>
        </w:rPr>
        <w:t>Informed consent was signed by all the participants before enrolment and collection of blood samples.</w:t>
      </w:r>
    </w:p>
    <w:p w14:paraId="1D71C4C4" w14:textId="77777777" w:rsidR="007D7206" w:rsidRPr="00296603" w:rsidRDefault="0083268D" w:rsidP="00F16ADA">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2.3 </w:t>
      </w:r>
      <w:r w:rsidR="007D7206" w:rsidRPr="00296603">
        <w:rPr>
          <w:rFonts w:ascii="Times New Roman" w:hAnsi="Times New Roman" w:cs="Times New Roman"/>
          <w:b/>
          <w:bCs/>
          <w:sz w:val="20"/>
          <w:szCs w:val="20"/>
        </w:rPr>
        <w:t>Blood Sample Collection</w:t>
      </w:r>
    </w:p>
    <w:p w14:paraId="3096628E" w14:textId="77777777" w:rsidR="00F41B0F" w:rsidRDefault="009C3F17" w:rsidP="00827551">
      <w:pPr>
        <w:spacing w:after="24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Standard phlebotomy procedures were used to collect a total of five milliliters of venous blood aseptically at the median cubital vein of each participant. Three milliliters of the dispensed DNA were transferred to K3EDTA anticoagulant tubes that were properly labeled to do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analysis and prepare thick and thin blood films. The rest of the two milliliters were moved to plain tubes where the serum was separated and subjected to biochemical analysis. All samples were carried under conditions of controlled environment and analyzed on the same day of collection in order to reduce pre-analytical variability and maintain analytical integrity.</w:t>
      </w:r>
    </w:p>
    <w:p w14:paraId="695138CD" w14:textId="77777777" w:rsidR="008D006D" w:rsidRDefault="008D006D" w:rsidP="00827551">
      <w:pPr>
        <w:spacing w:after="240" w:line="360" w:lineRule="auto"/>
        <w:rPr>
          <w:rFonts w:ascii="Times New Roman" w:hAnsi="Times New Roman" w:cs="Times New Roman"/>
          <w:sz w:val="20"/>
          <w:szCs w:val="20"/>
        </w:rPr>
      </w:pPr>
    </w:p>
    <w:p w14:paraId="6BFD0103" w14:textId="77777777" w:rsidR="008D006D" w:rsidRPr="00296603" w:rsidRDefault="008D006D" w:rsidP="00827551">
      <w:pPr>
        <w:spacing w:after="240" w:line="360" w:lineRule="auto"/>
        <w:rPr>
          <w:rFonts w:ascii="Times New Roman" w:hAnsi="Times New Roman" w:cs="Times New Roman"/>
          <w:sz w:val="20"/>
          <w:szCs w:val="20"/>
        </w:rPr>
      </w:pPr>
    </w:p>
    <w:p w14:paraId="144FA2C7" w14:textId="1034E96B" w:rsidR="005B6893" w:rsidRPr="00296603" w:rsidRDefault="00296603" w:rsidP="005B6893">
      <w:pPr>
        <w:spacing w:line="240" w:lineRule="auto"/>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63360" behindDoc="0" locked="0" layoutInCell="1" allowOverlap="1" wp14:anchorId="58EB60E5" wp14:editId="433C7D2D">
                <wp:simplePos x="0" y="0"/>
                <wp:positionH relativeFrom="column">
                  <wp:posOffset>4767263</wp:posOffset>
                </wp:positionH>
                <wp:positionV relativeFrom="paragraph">
                  <wp:posOffset>1243013</wp:posOffset>
                </wp:positionV>
                <wp:extent cx="228600" cy="76200"/>
                <wp:effectExtent l="0" t="0" r="19050" b="19050"/>
                <wp:wrapNone/>
                <wp:docPr id="1626698312" name="Rectangle 5"/>
                <wp:cNvGraphicFramePr/>
                <a:graphic xmlns:a="http://schemas.openxmlformats.org/drawingml/2006/main">
                  <a:graphicData uri="http://schemas.microsoft.com/office/word/2010/wordprocessingShape">
                    <wps:wsp>
                      <wps:cNvSpPr/>
                      <wps:spPr>
                        <a:xfrm>
                          <a:off x="0" y="0"/>
                          <a:ext cx="228600"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91704A0" id="Rectangle 5" o:spid="_x0000_s1026" style="position:absolute;margin-left:375.4pt;margin-top:97.9pt;width:18pt;height: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" fillcolor="#5b9bd5 [3204]" strokecolor="#091723 [484]" strokeweight="1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08B0B971" wp14:editId="4AD04B0B">
                <wp:simplePos x="0" y="0"/>
                <wp:positionH relativeFrom="column">
                  <wp:posOffset>3690938</wp:posOffset>
                </wp:positionH>
                <wp:positionV relativeFrom="paragraph">
                  <wp:posOffset>1109663</wp:posOffset>
                </wp:positionV>
                <wp:extent cx="180975" cy="71437"/>
                <wp:effectExtent l="0" t="0" r="28575" b="24130"/>
                <wp:wrapNone/>
                <wp:docPr id="495328416" name="Rectangle 4"/>
                <wp:cNvGraphicFramePr/>
                <a:graphic xmlns:a="http://schemas.openxmlformats.org/drawingml/2006/main">
                  <a:graphicData uri="http://schemas.microsoft.com/office/word/2010/wordprocessingShape">
                    <wps:wsp>
                      <wps:cNvSpPr/>
                      <wps:spPr>
                        <a:xfrm>
                          <a:off x="0" y="0"/>
                          <a:ext cx="180975" cy="7143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B8605C9" id="Rectangle 4" o:spid="_x0000_s1026" style="position:absolute;margin-left:290.65pt;margin-top:87.4pt;width:14.25pt;height: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" fillcolor="#5b9bd5 [3204]" strokecolor="#091723 [484]" strokeweight="1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7F786CB3" wp14:editId="602751CD">
                <wp:simplePos x="0" y="0"/>
                <wp:positionH relativeFrom="column">
                  <wp:posOffset>703385</wp:posOffset>
                </wp:positionH>
                <wp:positionV relativeFrom="paragraph">
                  <wp:posOffset>522668</wp:posOffset>
                </wp:positionV>
                <wp:extent cx="136539" cy="45719"/>
                <wp:effectExtent l="0" t="0" r="15875" b="12065"/>
                <wp:wrapNone/>
                <wp:docPr id="323222950" name="Rectangle 2"/>
                <wp:cNvGraphicFramePr/>
                <a:graphic xmlns:a="http://schemas.openxmlformats.org/drawingml/2006/main">
                  <a:graphicData uri="http://schemas.microsoft.com/office/word/2010/wordprocessingShape">
                    <wps:wsp>
                      <wps:cNvSpPr/>
                      <wps:spPr>
                        <a:xfrm>
                          <a:off x="0" y="0"/>
                          <a:ext cx="13653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A790B91" id="Rectangle 2" o:spid="_x0000_s1026" style="position:absolute;margin-left:55.4pt;margin-top:41.15pt;width:10.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" fillcolor="#5b9bd5 [3204]" strokecolor="#091723 [484]" strokeweight="1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2DE4DC63" wp14:editId="606F741D">
                <wp:simplePos x="0" y="0"/>
                <wp:positionH relativeFrom="column">
                  <wp:posOffset>1266092</wp:posOffset>
                </wp:positionH>
                <wp:positionV relativeFrom="paragraph">
                  <wp:posOffset>431642</wp:posOffset>
                </wp:positionV>
                <wp:extent cx="244116" cy="53788"/>
                <wp:effectExtent l="0" t="0" r="22860" b="22860"/>
                <wp:wrapNone/>
                <wp:docPr id="431779235" name="Rectangle 1"/>
                <wp:cNvGraphicFramePr/>
                <a:graphic xmlns:a="http://schemas.openxmlformats.org/drawingml/2006/main">
                  <a:graphicData uri="http://schemas.microsoft.com/office/word/2010/wordprocessingShape">
                    <wps:wsp>
                      <wps:cNvSpPr/>
                      <wps:spPr>
                        <a:xfrm>
                          <a:off x="0" y="0"/>
                          <a:ext cx="244116" cy="537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E42253A" id="Rectangle 1" o:spid="_x0000_s1026" style="position:absolute;margin-left:99.7pt;margin-top:34pt;width:19.2pt;height: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" fillcolor="#5b9bd5 [3204]" strokecolor="#091723 [484]" strokeweight="1pt"/>
            </w:pict>
          </mc:Fallback>
        </mc:AlternateContent>
      </w:r>
      <w:r w:rsidR="005B6893" w:rsidRPr="00296603">
        <w:rPr>
          <w:rFonts w:ascii="Times New Roman" w:hAnsi="Times New Roman" w:cs="Times New Roman"/>
          <w:noProof/>
          <w:sz w:val="20"/>
          <w:szCs w:val="20"/>
        </w:rPr>
        <w:drawing>
          <wp:inline distT="0" distB="0" distL="0" distR="0" wp14:anchorId="348CF55B" wp14:editId="36433569">
            <wp:extent cx="2959210" cy="1920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9210" cy="1920240"/>
                    </a:xfrm>
                    <a:prstGeom prst="rect">
                      <a:avLst/>
                    </a:prstGeom>
                    <a:noFill/>
                    <a:ln>
                      <a:noFill/>
                    </a:ln>
                  </pic:spPr>
                </pic:pic>
              </a:graphicData>
            </a:graphic>
          </wp:inline>
        </w:drawing>
      </w:r>
      <w:r w:rsidR="005B6893" w:rsidRPr="00296603">
        <w:rPr>
          <w:rFonts w:ascii="Times New Roman" w:hAnsi="Times New Roman" w:cs="Times New Roman"/>
          <w:noProof/>
          <w:sz w:val="20"/>
          <w:szCs w:val="20"/>
        </w:rPr>
        <w:drawing>
          <wp:inline distT="0" distB="0" distL="0" distR="0" wp14:anchorId="7F598285" wp14:editId="27F1163D">
            <wp:extent cx="2649561"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9561" cy="1920240"/>
                    </a:xfrm>
                    <a:prstGeom prst="rect">
                      <a:avLst/>
                    </a:prstGeom>
                    <a:noFill/>
                    <a:ln>
                      <a:noFill/>
                    </a:ln>
                  </pic:spPr>
                </pic:pic>
              </a:graphicData>
            </a:graphic>
          </wp:inline>
        </w:drawing>
      </w:r>
    </w:p>
    <w:p w14:paraId="4E2460D1" w14:textId="6741665A" w:rsidR="005B6893" w:rsidRPr="00296603" w:rsidRDefault="00296603" w:rsidP="005B6893">
      <w:pPr>
        <w:spacing w:line="240" w:lineRule="auto"/>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61312" behindDoc="0" locked="0" layoutInCell="1" allowOverlap="1" wp14:anchorId="53007910" wp14:editId="1A1F5735">
                <wp:simplePos x="0" y="0"/>
                <wp:positionH relativeFrom="column">
                  <wp:posOffset>1088177</wp:posOffset>
                </wp:positionH>
                <wp:positionV relativeFrom="paragraph">
                  <wp:posOffset>319842</wp:posOffset>
                </wp:positionV>
                <wp:extent cx="326867" cy="49650"/>
                <wp:effectExtent l="0" t="0" r="16510" b="26670"/>
                <wp:wrapNone/>
                <wp:docPr id="230542156" name="Rectangle 3"/>
                <wp:cNvGraphicFramePr/>
                <a:graphic xmlns:a="http://schemas.openxmlformats.org/drawingml/2006/main">
                  <a:graphicData uri="http://schemas.microsoft.com/office/word/2010/wordprocessingShape">
                    <wps:wsp>
                      <wps:cNvSpPr/>
                      <wps:spPr>
                        <a:xfrm>
                          <a:off x="0" y="0"/>
                          <a:ext cx="326867" cy="496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8999CA7" id="Rectangle 3" o:spid="_x0000_s1026" style="position:absolute;margin-left:85.7pt;margin-top:25.2pt;width:25.75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" fillcolor="#5b9bd5 [3204]" strokecolor="#091723 [484]" strokeweight="1pt"/>
            </w:pict>
          </mc:Fallback>
        </mc:AlternateContent>
      </w:r>
      <w:r w:rsidR="005B6893" w:rsidRPr="00296603">
        <w:rPr>
          <w:rFonts w:ascii="Times New Roman" w:hAnsi="Times New Roman" w:cs="Times New Roman"/>
          <w:b/>
          <w:noProof/>
          <w:sz w:val="20"/>
          <w:szCs w:val="20"/>
        </w:rPr>
        <w:drawing>
          <wp:inline distT="0" distB="0" distL="0" distR="0" wp14:anchorId="66EEE79E" wp14:editId="763880D8">
            <wp:extent cx="2353842" cy="192024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842" cy="1920240"/>
                    </a:xfrm>
                    <a:prstGeom prst="rect">
                      <a:avLst/>
                    </a:prstGeom>
                    <a:noFill/>
                    <a:ln>
                      <a:noFill/>
                    </a:ln>
                  </pic:spPr>
                </pic:pic>
              </a:graphicData>
            </a:graphic>
          </wp:inline>
        </w:drawing>
      </w:r>
      <w:r w:rsidR="005B6893" w:rsidRPr="00296603">
        <w:rPr>
          <w:rFonts w:ascii="Times New Roman" w:hAnsi="Times New Roman" w:cs="Times New Roman"/>
          <w:b/>
          <w:noProof/>
          <w:sz w:val="20"/>
          <w:szCs w:val="20"/>
        </w:rPr>
        <w:drawing>
          <wp:inline distT="0" distB="0" distL="0" distR="0" wp14:anchorId="706C42B0" wp14:editId="0447405E">
            <wp:extent cx="2899003" cy="1920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9003" cy="1920240"/>
                    </a:xfrm>
                    <a:prstGeom prst="rect">
                      <a:avLst/>
                    </a:prstGeom>
                    <a:noFill/>
                    <a:ln>
                      <a:noFill/>
                    </a:ln>
                  </pic:spPr>
                </pic:pic>
              </a:graphicData>
            </a:graphic>
          </wp:inline>
        </w:drawing>
      </w:r>
    </w:p>
    <w:p w14:paraId="64A3186D" w14:textId="736B932A" w:rsidR="005B6893" w:rsidRPr="00296603" w:rsidRDefault="00296603" w:rsidP="005B6893">
      <w:pPr>
        <w:spacing w:line="276" w:lineRule="auto"/>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64384" behindDoc="0" locked="0" layoutInCell="1" allowOverlap="1" wp14:anchorId="00F9B29D" wp14:editId="158B2EFE">
                <wp:simplePos x="0" y="0"/>
                <wp:positionH relativeFrom="column">
                  <wp:posOffset>4459184</wp:posOffset>
                </wp:positionH>
                <wp:positionV relativeFrom="paragraph">
                  <wp:posOffset>442727</wp:posOffset>
                </wp:positionV>
                <wp:extent cx="237507" cy="45719"/>
                <wp:effectExtent l="0" t="0" r="10160" b="12065"/>
                <wp:wrapNone/>
                <wp:docPr id="1758986660" name="Rectangle 6"/>
                <wp:cNvGraphicFramePr/>
                <a:graphic xmlns:a="http://schemas.openxmlformats.org/drawingml/2006/main">
                  <a:graphicData uri="http://schemas.microsoft.com/office/word/2010/wordprocessingShape">
                    <wps:wsp>
                      <wps:cNvSpPr/>
                      <wps:spPr>
                        <a:xfrm>
                          <a:off x="0" y="0"/>
                          <a:ext cx="23750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A239F41" id="Rectangle 6" o:spid="_x0000_s1026" style="position:absolute;margin-left:351.1pt;margin-top:34.85pt;width:18.7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" fillcolor="#5b9bd5 [3204]" strokecolor="#091723 [484]" strokeweight="1pt"/>
            </w:pict>
          </mc:Fallback>
        </mc:AlternateContent>
      </w:r>
      <w:r w:rsidR="005B6893" w:rsidRPr="00296603">
        <w:rPr>
          <w:rFonts w:ascii="Times New Roman" w:hAnsi="Times New Roman" w:cs="Times New Roman"/>
          <w:b/>
          <w:noProof/>
          <w:sz w:val="20"/>
          <w:szCs w:val="20"/>
        </w:rPr>
        <w:drawing>
          <wp:inline distT="0" distB="0" distL="0" distR="0" wp14:anchorId="7D703453" wp14:editId="549445F8">
            <wp:extent cx="2607385" cy="19202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385" cy="1920240"/>
                    </a:xfrm>
                    <a:prstGeom prst="rect">
                      <a:avLst/>
                    </a:prstGeom>
                    <a:noFill/>
                    <a:ln>
                      <a:noFill/>
                    </a:ln>
                  </pic:spPr>
                </pic:pic>
              </a:graphicData>
            </a:graphic>
          </wp:inline>
        </w:drawing>
      </w:r>
      <w:r w:rsidR="005B6893" w:rsidRPr="00296603">
        <w:rPr>
          <w:rFonts w:ascii="Times New Roman" w:hAnsi="Times New Roman" w:cs="Times New Roman"/>
          <w:b/>
          <w:noProof/>
          <w:sz w:val="20"/>
          <w:szCs w:val="20"/>
        </w:rPr>
        <w:drawing>
          <wp:inline distT="0" distB="0" distL="0" distR="0" wp14:anchorId="144DE12F" wp14:editId="0AC48C6A">
            <wp:extent cx="2867386" cy="1920240"/>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386" cy="1920240"/>
                    </a:xfrm>
                    <a:prstGeom prst="rect">
                      <a:avLst/>
                    </a:prstGeom>
                    <a:noFill/>
                    <a:ln>
                      <a:noFill/>
                    </a:ln>
                  </pic:spPr>
                </pic:pic>
              </a:graphicData>
            </a:graphic>
          </wp:inline>
        </w:drawing>
      </w:r>
    </w:p>
    <w:p w14:paraId="5FECFA04" w14:textId="77777777" w:rsidR="005B6893" w:rsidRPr="00296603" w:rsidRDefault="005B6893" w:rsidP="005B6893">
      <w:pPr>
        <w:spacing w:after="240" w:line="360" w:lineRule="auto"/>
        <w:rPr>
          <w:rFonts w:ascii="Times New Roman" w:hAnsi="Times New Roman" w:cs="Times New Roman"/>
          <w:b/>
          <w:sz w:val="20"/>
          <w:szCs w:val="20"/>
        </w:rPr>
      </w:pPr>
      <w:r w:rsidRPr="00296603">
        <w:rPr>
          <w:rFonts w:ascii="Times New Roman" w:hAnsi="Times New Roman" w:cs="Times New Roman"/>
          <w:b/>
          <w:sz w:val="20"/>
          <w:szCs w:val="20"/>
        </w:rPr>
        <w:t>Figure 1: Images Captured during the Sample Data Collection for the Study</w:t>
      </w:r>
    </w:p>
    <w:p w14:paraId="2140654A" w14:textId="77777777" w:rsidR="007D7206" w:rsidRPr="00296603" w:rsidRDefault="0017449A"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2.4 </w:t>
      </w:r>
      <w:r w:rsidR="007D7206" w:rsidRPr="00296603">
        <w:rPr>
          <w:rFonts w:ascii="Times New Roman" w:hAnsi="Times New Roman" w:cs="Times New Roman"/>
          <w:b/>
          <w:bCs/>
          <w:sz w:val="20"/>
          <w:szCs w:val="20"/>
        </w:rPr>
        <w:t>Malaria Diagnosis and Parasite Quantification</w:t>
      </w:r>
    </w:p>
    <w:p w14:paraId="336FE7C7" w14:textId="77777777" w:rsidR="008D006D" w:rsidRDefault="006A196F" w:rsidP="00E16407">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Rapid diagnostic test kits were used to screen malaria infection and microscopy was used to confirm their infection. Thin and thick blood films were made through normal procedures. The thin films were </w:t>
      </w:r>
      <w:proofErr w:type="spellStart"/>
      <w:r w:rsidRPr="00296603">
        <w:rPr>
          <w:rFonts w:ascii="Times New Roman" w:hAnsi="Times New Roman" w:cs="Times New Roman"/>
          <w:sz w:val="20"/>
          <w:szCs w:val="20"/>
        </w:rPr>
        <w:t>adhesed</w:t>
      </w:r>
      <w:proofErr w:type="spellEnd"/>
      <w:r w:rsidRPr="00296603">
        <w:rPr>
          <w:rFonts w:ascii="Times New Roman" w:hAnsi="Times New Roman" w:cs="Times New Roman"/>
          <w:sz w:val="20"/>
          <w:szCs w:val="20"/>
        </w:rPr>
        <w:t xml:space="preserve"> in absolute methanol. Giemsa (10 per cent) was used in staining the slides (10 minutes) and the stains were observed under x100 oil immersion microscopy. </w:t>
      </w:r>
      <w:r w:rsidR="008D006D" w:rsidRPr="008D006D">
        <w:rPr>
          <w:rFonts w:ascii="Times New Roman" w:hAnsi="Times New Roman" w:cs="Times New Roman"/>
          <w:sz w:val="20"/>
          <w:szCs w:val="20"/>
          <w:highlight w:val="yellow"/>
        </w:rPr>
        <w:t>Both thick and thin blood films were examined systematically, with thick films primarily used for parasite detection and density quantification, and thin films used to support morphological identification of the parasite. Quantitative buffy coat (QBC) analysis was not used in this study.</w:t>
      </w:r>
      <w:r w:rsidR="008D006D">
        <w:rPr>
          <w:rFonts w:ascii="Times New Roman" w:hAnsi="Times New Roman" w:cs="Times New Roman"/>
          <w:sz w:val="20"/>
          <w:szCs w:val="20"/>
        </w:rPr>
        <w:t xml:space="preserve"> </w:t>
      </w:r>
    </w:p>
    <w:p w14:paraId="3E7A88B2" w14:textId="53E87CDA" w:rsidR="006A196F" w:rsidRDefault="006A196F" w:rsidP="00E16407">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The parasite density was reported as parasites per microliter (parasites/</w:t>
      </w:r>
      <w:proofErr w:type="spellStart"/>
      <w:r w:rsidRPr="00296603">
        <w:rPr>
          <w:rFonts w:ascii="Times New Roman" w:hAnsi="Times New Roman" w:cs="Times New Roman"/>
          <w:sz w:val="20"/>
          <w:szCs w:val="20"/>
        </w:rPr>
        <w:t>uL</w:t>
      </w:r>
      <w:proofErr w:type="spellEnd"/>
      <w:r w:rsidRPr="00296603">
        <w:rPr>
          <w:rFonts w:ascii="Times New Roman" w:hAnsi="Times New Roman" w:cs="Times New Roman"/>
          <w:sz w:val="20"/>
          <w:szCs w:val="20"/>
        </w:rPr>
        <w:t>) through co</w:t>
      </w:r>
      <w:r w:rsidR="008D006D">
        <w:rPr>
          <w:rFonts w:ascii="Times New Roman" w:hAnsi="Times New Roman" w:cs="Times New Roman"/>
          <w:sz w:val="20"/>
          <w:szCs w:val="20"/>
        </w:rPr>
        <w:t xml:space="preserve">nventional methods of counting. </w:t>
      </w:r>
      <w:r w:rsidR="008D006D" w:rsidRPr="008D006D">
        <w:rPr>
          <w:rFonts w:ascii="Times New Roman" w:hAnsi="Times New Roman" w:cs="Times New Roman"/>
          <w:bCs/>
          <w:sz w:val="20"/>
          <w:szCs w:val="20"/>
          <w:highlight w:val="yellow"/>
        </w:rPr>
        <w:t xml:space="preserve">Parasite density estimation was performed using thick blood films by counting the number of parasites against a </w:t>
      </w:r>
      <w:r w:rsidR="008D006D" w:rsidRPr="008D006D">
        <w:rPr>
          <w:rFonts w:ascii="Times New Roman" w:hAnsi="Times New Roman" w:cs="Times New Roman"/>
          <w:bCs/>
          <w:sz w:val="20"/>
          <w:szCs w:val="20"/>
          <w:highlight w:val="yellow"/>
        </w:rPr>
        <w:lastRenderedPageBreak/>
        <w:t>defined number of white blood cells and converting to parasites per microliter using standard calculation methods.</w:t>
      </w:r>
      <w:r w:rsidR="008D006D">
        <w:rPr>
          <w:rFonts w:ascii="Times New Roman" w:hAnsi="Times New Roman" w:cs="Times New Roman"/>
          <w:b/>
          <w:bCs/>
          <w:sz w:val="20"/>
          <w:szCs w:val="20"/>
        </w:rPr>
        <w:t xml:space="preserve"> </w:t>
      </w:r>
      <w:r w:rsidRPr="00296603">
        <w:rPr>
          <w:rFonts w:ascii="Times New Roman" w:hAnsi="Times New Roman" w:cs="Times New Roman"/>
          <w:sz w:val="20"/>
          <w:szCs w:val="20"/>
        </w:rPr>
        <w:t>Where appropriate, group comparison and correlation analysis were done on the data of parasite density in the asymptomatic subgroup.</w:t>
      </w:r>
    </w:p>
    <w:p w14:paraId="4B0971FF" w14:textId="77777777" w:rsidR="008D006D" w:rsidRPr="008D006D" w:rsidRDefault="008D006D" w:rsidP="008D006D">
      <w:pPr>
        <w:spacing w:line="360" w:lineRule="auto"/>
        <w:rPr>
          <w:rFonts w:ascii="Times New Roman" w:hAnsi="Times New Roman" w:cs="Times New Roman"/>
          <w:sz w:val="20"/>
          <w:szCs w:val="20"/>
        </w:rPr>
      </w:pPr>
      <w:r w:rsidRPr="008D006D">
        <w:rPr>
          <w:rFonts w:ascii="Times New Roman" w:hAnsi="Times New Roman" w:cs="Times New Roman"/>
          <w:bCs/>
          <w:sz w:val="20"/>
          <w:szCs w:val="20"/>
          <w:highlight w:val="yellow"/>
        </w:rPr>
        <w:t xml:space="preserve">On microscopic examination, the predominant forms observed in peripheral blood were ring-stage (early trophozoite) parasites, which are commonly seen in uncomplicated malaria infections. Species-level confirmation was based on microscopy within the epidemiological context of the study area, where </w:t>
      </w:r>
      <w:r w:rsidRPr="008D006D">
        <w:rPr>
          <w:rFonts w:ascii="Times New Roman" w:hAnsi="Times New Roman" w:cs="Times New Roman"/>
          <w:bCs/>
          <w:i/>
          <w:iCs/>
          <w:sz w:val="20"/>
          <w:szCs w:val="20"/>
          <w:highlight w:val="yellow"/>
        </w:rPr>
        <w:t>Plasmodium falciparum</w:t>
      </w:r>
      <w:r w:rsidRPr="008D006D">
        <w:rPr>
          <w:rFonts w:ascii="Times New Roman" w:hAnsi="Times New Roman" w:cs="Times New Roman"/>
          <w:bCs/>
          <w:sz w:val="20"/>
          <w:szCs w:val="20"/>
          <w:highlight w:val="yellow"/>
        </w:rPr>
        <w:t xml:space="preserve"> is the predominant species. Molecular species confirmation was not performed.</w:t>
      </w:r>
    </w:p>
    <w:p w14:paraId="190A8A38" w14:textId="77777777" w:rsidR="008D006D" w:rsidRPr="00296603" w:rsidRDefault="008D006D" w:rsidP="008D006D">
      <w:pPr>
        <w:spacing w:line="360" w:lineRule="auto"/>
        <w:rPr>
          <w:rFonts w:ascii="Times New Roman" w:hAnsi="Times New Roman" w:cs="Times New Roman"/>
          <w:sz w:val="20"/>
          <w:szCs w:val="20"/>
        </w:rPr>
      </w:pPr>
    </w:p>
    <w:p w14:paraId="7DDAF312" w14:textId="77777777" w:rsidR="007D7206" w:rsidRPr="00296603" w:rsidRDefault="0017449A"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2.5 </w:t>
      </w:r>
      <w:proofErr w:type="spellStart"/>
      <w:r w:rsidR="007D7206" w:rsidRPr="00296603">
        <w:rPr>
          <w:rFonts w:ascii="Times New Roman" w:hAnsi="Times New Roman" w:cs="Times New Roman"/>
          <w:b/>
          <w:bCs/>
          <w:sz w:val="20"/>
          <w:szCs w:val="20"/>
        </w:rPr>
        <w:t>Haematological</w:t>
      </w:r>
      <w:proofErr w:type="spellEnd"/>
      <w:r w:rsidR="007D7206" w:rsidRPr="00296603">
        <w:rPr>
          <w:rFonts w:ascii="Times New Roman" w:hAnsi="Times New Roman" w:cs="Times New Roman"/>
          <w:b/>
          <w:bCs/>
          <w:sz w:val="20"/>
          <w:szCs w:val="20"/>
        </w:rPr>
        <w:t xml:space="preserve"> Analysis</w:t>
      </w:r>
    </w:p>
    <w:p w14:paraId="53ABF4A5" w14:textId="77777777" w:rsidR="00A6728E" w:rsidRPr="00296603" w:rsidRDefault="00A6728E" w:rsidP="00E16407">
      <w:pPr>
        <w:spacing w:after="240" w:line="360" w:lineRule="auto"/>
        <w:rPr>
          <w:rFonts w:ascii="Times New Roman" w:hAnsi="Times New Roman" w:cs="Times New Roman"/>
          <w:sz w:val="20"/>
          <w:szCs w:val="20"/>
        </w:rPr>
      </w:pP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parameters were analyzed using a Sysmex XN-350 automated </w:t>
      </w:r>
      <w:proofErr w:type="spellStart"/>
      <w:r w:rsidRPr="00296603">
        <w:rPr>
          <w:rFonts w:ascii="Times New Roman" w:hAnsi="Times New Roman" w:cs="Times New Roman"/>
          <w:sz w:val="20"/>
          <w:szCs w:val="20"/>
        </w:rPr>
        <w:t>haematology</w:t>
      </w:r>
      <w:proofErr w:type="spellEnd"/>
      <w:r w:rsidRPr="00296603">
        <w:rPr>
          <w:rFonts w:ascii="Times New Roman" w:hAnsi="Times New Roman" w:cs="Times New Roman"/>
          <w:sz w:val="20"/>
          <w:szCs w:val="20"/>
        </w:rPr>
        <w:t xml:space="preserve"> analyzer in accordance with the manufacturer’s operational procedures. The evaluated indices included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concentration, red blood cell count, mean corpuscular volume, mean corpuscular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mean corpuscular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concentration, white blood cell count, and platelet count. Routine internal quality control procedures were performed prior to sample analysis to ensure analytical accuracy, precision, and instrument reliability in line with established laboratory standards.</w:t>
      </w:r>
    </w:p>
    <w:p w14:paraId="06D54891" w14:textId="77777777" w:rsidR="007D7206" w:rsidRPr="00296603" w:rsidRDefault="0017449A"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2.6 </w:t>
      </w:r>
      <w:r w:rsidR="007D7206" w:rsidRPr="00296603">
        <w:rPr>
          <w:rFonts w:ascii="Times New Roman" w:hAnsi="Times New Roman" w:cs="Times New Roman"/>
          <w:b/>
          <w:bCs/>
          <w:sz w:val="20"/>
          <w:szCs w:val="20"/>
        </w:rPr>
        <w:t>Biochemical Analysis</w:t>
      </w:r>
    </w:p>
    <w:p w14:paraId="3F4DA85C" w14:textId="77777777" w:rsidR="00A6728E" w:rsidRPr="00296603" w:rsidRDefault="00A6728E" w:rsidP="00E16407">
      <w:pPr>
        <w:spacing w:line="360" w:lineRule="auto"/>
        <w:rPr>
          <w:rFonts w:ascii="Times New Roman" w:hAnsi="Times New Roman" w:cs="Times New Roman"/>
          <w:sz w:val="20"/>
          <w:szCs w:val="20"/>
        </w:rPr>
      </w:pPr>
      <w:r w:rsidRPr="00296603">
        <w:rPr>
          <w:rFonts w:ascii="Times New Roman" w:hAnsi="Times New Roman" w:cs="Times New Roman"/>
          <w:sz w:val="20"/>
          <w:szCs w:val="20"/>
        </w:rPr>
        <w:t xml:space="preserve">Serum biochemical parameters were measured using a </w:t>
      </w:r>
      <w:proofErr w:type="spellStart"/>
      <w:r w:rsidRPr="00296603">
        <w:rPr>
          <w:rFonts w:ascii="Times New Roman" w:hAnsi="Times New Roman" w:cs="Times New Roman"/>
          <w:sz w:val="20"/>
          <w:szCs w:val="20"/>
        </w:rPr>
        <w:t>Humastar</w:t>
      </w:r>
      <w:proofErr w:type="spellEnd"/>
      <w:r w:rsidRPr="00296603">
        <w:rPr>
          <w:rFonts w:ascii="Times New Roman" w:hAnsi="Times New Roman" w:cs="Times New Roman"/>
          <w:sz w:val="20"/>
          <w:szCs w:val="20"/>
        </w:rPr>
        <w:t xml:space="preserve"> 100 automated chemistry analyzer following the manufacturer’s instructions. The assessed parameters included alanine aminotransferase, aspartate aminotransferase, total bilirubin, direct bilirubin, indirect bilirubin, urea, and creatinine. Internal quality control procedures were conducted prior to analysis to verify assay performance and ensure accuracy and reliability of results in accordance with standard laboratory practice.</w:t>
      </w:r>
    </w:p>
    <w:p w14:paraId="2140A86A" w14:textId="77777777" w:rsidR="00A6728E" w:rsidRPr="00296603" w:rsidRDefault="00A6728E" w:rsidP="00E16407">
      <w:pPr>
        <w:spacing w:line="360" w:lineRule="auto"/>
        <w:rPr>
          <w:rFonts w:ascii="Times New Roman" w:hAnsi="Times New Roman" w:cs="Times New Roman"/>
          <w:sz w:val="20"/>
          <w:szCs w:val="20"/>
        </w:rPr>
      </w:pPr>
    </w:p>
    <w:p w14:paraId="4889BFED" w14:textId="77777777" w:rsidR="007D7206" w:rsidRPr="00296603" w:rsidRDefault="0017449A"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2.7 </w:t>
      </w:r>
      <w:r w:rsidR="007D7206" w:rsidRPr="00296603">
        <w:rPr>
          <w:rFonts w:ascii="Times New Roman" w:hAnsi="Times New Roman" w:cs="Times New Roman"/>
          <w:b/>
          <w:bCs/>
          <w:sz w:val="20"/>
          <w:szCs w:val="20"/>
        </w:rPr>
        <w:t>Statistical Analysis</w:t>
      </w:r>
    </w:p>
    <w:p w14:paraId="6794C3A2" w14:textId="77777777" w:rsidR="0013160C" w:rsidRPr="00296603" w:rsidRDefault="0013160C" w:rsidP="00E16407">
      <w:pPr>
        <w:spacing w:line="360" w:lineRule="auto"/>
        <w:rPr>
          <w:rFonts w:ascii="Times New Roman" w:hAnsi="Times New Roman" w:cs="Times New Roman"/>
          <w:sz w:val="20"/>
          <w:szCs w:val="20"/>
        </w:rPr>
      </w:pPr>
      <w:r w:rsidRPr="00296603">
        <w:rPr>
          <w:rFonts w:ascii="Times New Roman" w:hAnsi="Times New Roman" w:cs="Times New Roman"/>
          <w:sz w:val="20"/>
          <w:szCs w:val="20"/>
        </w:rPr>
        <w:t xml:space="preserve">Data were analyzed </w:t>
      </w:r>
      <w:r w:rsidR="004C3CFD" w:rsidRPr="00296603">
        <w:rPr>
          <w:rFonts w:ascii="Times New Roman" w:hAnsi="Times New Roman" w:cs="Times New Roman"/>
          <w:sz w:val="20"/>
          <w:szCs w:val="20"/>
        </w:rPr>
        <w:t xml:space="preserve">with R-studio </w:t>
      </w:r>
      <w:r w:rsidRPr="00296603">
        <w:rPr>
          <w:rFonts w:ascii="Times New Roman" w:hAnsi="Times New Roman" w:cs="Times New Roman"/>
          <w:sz w:val="20"/>
          <w:szCs w:val="20"/>
        </w:rPr>
        <w:t>using parametric or non-parametric statistical tests according to the distribution characteristics of each variable. Independent t-tests were applied to variables that met assumptions of normality, while Mann–Whitney U tests were used for variables that were not normally distributed. Effect sizes were calculated to quantify the magnitude of differences between asymptomatic and symptomatic groups. Within the asymptomatic group, Spearman’s rank correlation analysis was performed to evaluate associations between parasite density and laboratory parameters. Statistical significance was defined at a threshold of p &lt; 0.05.</w:t>
      </w:r>
    </w:p>
    <w:p w14:paraId="51220434" w14:textId="77777777" w:rsidR="00A6728E" w:rsidRPr="00296603" w:rsidRDefault="00A6728E" w:rsidP="00E16407">
      <w:pPr>
        <w:spacing w:line="360" w:lineRule="auto"/>
        <w:rPr>
          <w:rFonts w:ascii="Times New Roman" w:hAnsi="Times New Roman" w:cs="Times New Roman"/>
          <w:sz w:val="20"/>
          <w:szCs w:val="20"/>
        </w:rPr>
      </w:pPr>
    </w:p>
    <w:p w14:paraId="71B7E53E" w14:textId="77777777" w:rsidR="00960B79" w:rsidRPr="00296603" w:rsidRDefault="00960B79" w:rsidP="001D4A6D">
      <w:pPr>
        <w:spacing w:line="360" w:lineRule="auto"/>
        <w:rPr>
          <w:rFonts w:ascii="Times New Roman" w:hAnsi="Times New Roman" w:cs="Times New Roman"/>
          <w:sz w:val="20"/>
          <w:szCs w:val="20"/>
        </w:rPr>
      </w:pPr>
    </w:p>
    <w:p w14:paraId="36E26253" w14:textId="185B5F2B" w:rsidR="001D4A6D" w:rsidRPr="00296603" w:rsidRDefault="001D4A6D" w:rsidP="00E16407">
      <w:pPr>
        <w:spacing w:after="160" w:line="360" w:lineRule="auto"/>
        <w:rPr>
          <w:rFonts w:ascii="Times New Roman" w:hAnsi="Times New Roman" w:cs="Times New Roman"/>
          <w:b/>
          <w:sz w:val="20"/>
          <w:szCs w:val="20"/>
        </w:rPr>
      </w:pPr>
      <w:r w:rsidRPr="00296603">
        <w:rPr>
          <w:rFonts w:ascii="Times New Roman" w:hAnsi="Times New Roman" w:cs="Times New Roman"/>
          <w:b/>
          <w:sz w:val="20"/>
          <w:szCs w:val="20"/>
        </w:rPr>
        <w:t xml:space="preserve">3. </w:t>
      </w:r>
      <w:r w:rsidR="00F91486" w:rsidRPr="00296603">
        <w:rPr>
          <w:rFonts w:ascii="Times New Roman" w:hAnsi="Times New Roman" w:cs="Times New Roman"/>
          <w:b/>
          <w:sz w:val="20"/>
          <w:szCs w:val="20"/>
        </w:rPr>
        <w:t>Results</w:t>
      </w:r>
      <w:r w:rsidR="00152C77">
        <w:rPr>
          <w:rFonts w:ascii="Times New Roman" w:hAnsi="Times New Roman" w:cs="Times New Roman"/>
          <w:b/>
          <w:sz w:val="20"/>
          <w:szCs w:val="20"/>
        </w:rPr>
        <w:t xml:space="preserve"> &amp; Discussion</w:t>
      </w:r>
    </w:p>
    <w:p w14:paraId="25E2EC16" w14:textId="408E5E83"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A total of 150 students were evaluated, comprising 100 asymptomatic and 50 symptomatic malaria cases. The overall distribution of biochemical,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and parasitological par</w:t>
      </w:r>
      <w:r w:rsidR="002408AF" w:rsidRPr="00296603">
        <w:rPr>
          <w:rFonts w:ascii="Times New Roman" w:hAnsi="Times New Roman" w:cs="Times New Roman"/>
          <w:sz w:val="20"/>
          <w:szCs w:val="20"/>
        </w:rPr>
        <w:t xml:space="preserve">ameters is presented in Table </w:t>
      </w:r>
      <w:r w:rsidRPr="00296603">
        <w:rPr>
          <w:rFonts w:ascii="Times New Roman" w:hAnsi="Times New Roman" w:cs="Times New Roman"/>
          <w:sz w:val="20"/>
          <w:szCs w:val="20"/>
        </w:rPr>
        <w:t xml:space="preserve">1. </w:t>
      </w:r>
      <w:r w:rsidR="00D65CC8" w:rsidRPr="00D65CC8">
        <w:rPr>
          <w:rFonts w:ascii="Times New Roman" w:hAnsi="Times New Roman" w:cs="Times New Roman"/>
          <w:sz w:val="20"/>
          <w:szCs w:val="20"/>
          <w:highlight w:val="yellow"/>
        </w:rPr>
        <w:t>The reference ranges presented in the table are based on standard adult clinical laboratory intervals and are supported by</w:t>
      </w:r>
      <w:r w:rsidR="0090583D">
        <w:rPr>
          <w:rFonts w:ascii="Times New Roman" w:hAnsi="Times New Roman" w:cs="Times New Roman"/>
          <w:sz w:val="20"/>
          <w:szCs w:val="20"/>
          <w:highlight w:val="yellow"/>
        </w:rPr>
        <w:t xml:space="preserve"> World Health Organization (2024)</w:t>
      </w:r>
      <w:r w:rsidR="00D65CC8" w:rsidRPr="00D65CC8">
        <w:rPr>
          <w:rFonts w:ascii="Times New Roman" w:hAnsi="Times New Roman" w:cs="Times New Roman"/>
          <w:sz w:val="20"/>
          <w:szCs w:val="20"/>
          <w:highlight w:val="yellow"/>
        </w:rPr>
        <w:t xml:space="preserve"> guidance on </w:t>
      </w:r>
      <w:proofErr w:type="spellStart"/>
      <w:r w:rsidR="00D65CC8" w:rsidRPr="00D65CC8">
        <w:rPr>
          <w:rFonts w:ascii="Times New Roman" w:hAnsi="Times New Roman" w:cs="Times New Roman"/>
          <w:sz w:val="20"/>
          <w:szCs w:val="20"/>
          <w:highlight w:val="yellow"/>
        </w:rPr>
        <w:t>haemoglobin</w:t>
      </w:r>
      <w:proofErr w:type="spellEnd"/>
      <w:r w:rsidR="00D65CC8" w:rsidRPr="00D65CC8">
        <w:rPr>
          <w:rFonts w:ascii="Times New Roman" w:hAnsi="Times New Roman" w:cs="Times New Roman"/>
          <w:sz w:val="20"/>
          <w:szCs w:val="20"/>
          <w:highlight w:val="yellow"/>
        </w:rPr>
        <w:t xml:space="preserve"> thresholds and interpretation of </w:t>
      </w:r>
      <w:proofErr w:type="spellStart"/>
      <w:r w:rsidR="00D65CC8" w:rsidRPr="00D65CC8">
        <w:rPr>
          <w:rFonts w:ascii="Times New Roman" w:hAnsi="Times New Roman" w:cs="Times New Roman"/>
          <w:sz w:val="20"/>
          <w:szCs w:val="20"/>
          <w:highlight w:val="yellow"/>
        </w:rPr>
        <w:t>haematological</w:t>
      </w:r>
      <w:proofErr w:type="spellEnd"/>
      <w:r w:rsidR="00D65CC8" w:rsidRPr="00D65CC8">
        <w:rPr>
          <w:rFonts w:ascii="Times New Roman" w:hAnsi="Times New Roman" w:cs="Times New Roman"/>
          <w:sz w:val="20"/>
          <w:szCs w:val="20"/>
          <w:highlight w:val="yellow"/>
        </w:rPr>
        <w:t xml:space="preserve"> parameters.</w:t>
      </w:r>
      <w:r w:rsidR="00D65CC8">
        <w:rPr>
          <w:rFonts w:ascii="Times New Roman" w:hAnsi="Times New Roman" w:cs="Times New Roman"/>
          <w:sz w:val="20"/>
          <w:szCs w:val="20"/>
        </w:rPr>
        <w:t xml:space="preserve"> </w:t>
      </w:r>
      <w:r w:rsidRPr="00296603">
        <w:rPr>
          <w:rFonts w:ascii="Times New Roman" w:hAnsi="Times New Roman" w:cs="Times New Roman"/>
          <w:sz w:val="20"/>
          <w:szCs w:val="20"/>
        </w:rPr>
        <w:lastRenderedPageBreak/>
        <w:t>Clear differences were observed between groups, with symptomatic participants demonstrating more pronounced laboratory abnormalities.</w:t>
      </w:r>
    </w:p>
    <w:p w14:paraId="0D87CAFB"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Biochemical indices showed consistent elevations in the symptom</w:t>
      </w:r>
      <w:r w:rsidR="002408AF" w:rsidRPr="00296603">
        <w:rPr>
          <w:rFonts w:ascii="Times New Roman" w:hAnsi="Times New Roman" w:cs="Times New Roman"/>
          <w:sz w:val="20"/>
          <w:szCs w:val="20"/>
        </w:rPr>
        <w:t xml:space="preserve">atic group. As shown in Table </w:t>
      </w:r>
      <w:r w:rsidRPr="00296603">
        <w:rPr>
          <w:rFonts w:ascii="Times New Roman" w:hAnsi="Times New Roman" w:cs="Times New Roman"/>
          <w:sz w:val="20"/>
          <w:szCs w:val="20"/>
        </w:rPr>
        <w:t>1, alanine aminotransferase (ALT) was higher among symptomatic participants (35.98 ± 16.74 U/L) compared with asymptomatic individuals (24.85 ± 9.67 U/L). A similar pattern was observed for aspartate aminotransferase (AST), which increased from 28.27 ± 12.11 U/L in asymptomatic cases to 46.80 ± 17.12 U/L in symptomatic cases, with median values in the symptomatic group exceeding the upper reference range. Renal markers followed the same direction, with creatinine rising from 0.89 ± 0.19 mg/dL in asymptomatic participants to 1.16 ± 0.30 mg/dL in symptomatic participants, and urea increasing from 13.65 ± 3.99 mg/dL to 18.10 ± 6.39 mg/dL. Bilirubin fractions demonstrated parallel elevations, as symptomatic individuals recorded higher total, direct, and indirect bilirubin concentrations, frequently approaching or exceeding reference limits.</w:t>
      </w:r>
    </w:p>
    <w:p w14:paraId="2D82C17F" w14:textId="77777777" w:rsidR="00227EC0" w:rsidRPr="00296603" w:rsidRDefault="00227EC0" w:rsidP="00227EC0">
      <w:pPr>
        <w:spacing w:after="160" w:line="360" w:lineRule="auto"/>
        <w:rPr>
          <w:rFonts w:ascii="Times New Roman" w:hAnsi="Times New Roman" w:cs="Times New Roman"/>
          <w:sz w:val="20"/>
          <w:szCs w:val="20"/>
        </w:rPr>
      </w:pP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findings also differed substan</w:t>
      </w:r>
      <w:r w:rsidR="002408AF" w:rsidRPr="00296603">
        <w:rPr>
          <w:rFonts w:ascii="Times New Roman" w:hAnsi="Times New Roman" w:cs="Times New Roman"/>
          <w:sz w:val="20"/>
          <w:szCs w:val="20"/>
        </w:rPr>
        <w:t xml:space="preserve">tially. As presented in Table </w:t>
      </w:r>
      <w:r w:rsidRPr="00296603">
        <w:rPr>
          <w:rFonts w:ascii="Times New Roman" w:hAnsi="Times New Roman" w:cs="Times New Roman"/>
          <w:sz w:val="20"/>
          <w:szCs w:val="20"/>
        </w:rPr>
        <w:t xml:space="preserve">1,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levels were lower in symptomatic participants (10.77 ± 2.36 g/dL) than in asymptomatic participants (12.94 ± 2.01 g/dL). Red blood cell (RBC) counts decreased from 4.85 ± 0.56 × 10¹²/L in asymptomatic cases to 4.08 ± 0.69 × 10¹²/L in symptomatic cases. Mean corpuscular volume (MCV) and mean corpuscular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concentration (MCHC) were likewise reduced in symptomatic individuals. Platelet counts showed one of the most marked differences, declining from 293.99 ± 76.25 × 10⁹/L in asymptomatic cases to 176.46 ± 76.13 × 10⁹/L in symptomatic cases. In contrast, white blood cell (WBC) counts were higher in symptomatic participants (7.57 ± 2.81 × 10⁹/L) compared with asymptomatic participants (6.11 ± 1.85 × 10⁹/L), suggesting a heightened inflammatory response.</w:t>
      </w:r>
    </w:p>
    <w:p w14:paraId="0C45F577"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Parasitological assessment revealed substantial disparities in parasite </w:t>
      </w:r>
      <w:r w:rsidR="002408AF" w:rsidRPr="00296603">
        <w:rPr>
          <w:rFonts w:ascii="Times New Roman" w:hAnsi="Times New Roman" w:cs="Times New Roman"/>
          <w:sz w:val="20"/>
          <w:szCs w:val="20"/>
        </w:rPr>
        <w:t xml:space="preserve">burden. As indicated in Table </w:t>
      </w:r>
      <w:r w:rsidRPr="00296603">
        <w:rPr>
          <w:rFonts w:ascii="Times New Roman" w:hAnsi="Times New Roman" w:cs="Times New Roman"/>
          <w:sz w:val="20"/>
          <w:szCs w:val="20"/>
        </w:rPr>
        <w:t>1, mean parasite density was 758.37 ± 1216.94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xml:space="preserve"> in asymptomatic participants and 2556.26 ± 2117.73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xml:space="preserve"> in symptomatic participants. Median values further illustrated this difference, with symptomatic cases demonstrating approximately sixfold higher parasite loads.</w:t>
      </w:r>
    </w:p>
    <w:p w14:paraId="72E67EEA" w14:textId="77777777" w:rsidR="005A3FE0" w:rsidRPr="00296603" w:rsidRDefault="005A3FE0" w:rsidP="00227EC0">
      <w:pPr>
        <w:spacing w:after="160" w:line="360" w:lineRule="auto"/>
        <w:rPr>
          <w:rFonts w:ascii="Times New Roman" w:hAnsi="Times New Roman" w:cs="Times New Roman"/>
          <w:sz w:val="20"/>
          <w:szCs w:val="20"/>
        </w:rPr>
      </w:pPr>
    </w:p>
    <w:p w14:paraId="0F9FC90D" w14:textId="77777777" w:rsidR="005B6893" w:rsidRPr="00296603" w:rsidRDefault="005B6893" w:rsidP="00227EC0">
      <w:pPr>
        <w:spacing w:after="160" w:line="360" w:lineRule="auto"/>
        <w:rPr>
          <w:rFonts w:ascii="Times New Roman" w:hAnsi="Times New Roman" w:cs="Times New Roman"/>
          <w:sz w:val="20"/>
          <w:szCs w:val="20"/>
        </w:rPr>
      </w:pPr>
    </w:p>
    <w:p w14:paraId="2964F733" w14:textId="77777777" w:rsidR="005A3FE0" w:rsidRPr="00296603" w:rsidRDefault="002408AF" w:rsidP="005A3FE0">
      <w:pPr>
        <w:spacing w:line="240" w:lineRule="auto"/>
        <w:rPr>
          <w:rFonts w:ascii="Times New Roman" w:hAnsi="Times New Roman" w:cs="Times New Roman"/>
          <w:b/>
          <w:sz w:val="24"/>
          <w:szCs w:val="24"/>
        </w:rPr>
      </w:pPr>
      <w:r w:rsidRPr="00296603">
        <w:rPr>
          <w:rFonts w:ascii="Times New Roman" w:hAnsi="Times New Roman" w:cs="Times New Roman"/>
          <w:b/>
          <w:sz w:val="24"/>
          <w:szCs w:val="24"/>
        </w:rPr>
        <w:t xml:space="preserve">Table </w:t>
      </w:r>
      <w:r w:rsidR="005A3FE0" w:rsidRPr="00296603">
        <w:rPr>
          <w:rFonts w:ascii="Times New Roman" w:hAnsi="Times New Roman" w:cs="Times New Roman"/>
          <w:b/>
          <w:sz w:val="24"/>
          <w:szCs w:val="24"/>
        </w:rPr>
        <w:t>1: Participant Characteristics and Laboratory Parameters</w:t>
      </w:r>
    </w:p>
    <w:tbl>
      <w:tblPr>
        <w:tblW w:w="10025" w:type="dxa"/>
        <w:tblInd w:w="-5" w:type="dxa"/>
        <w:tblBorders>
          <w:top w:val="single" w:sz="4" w:space="0" w:color="auto"/>
          <w:bottom w:val="single" w:sz="4" w:space="0" w:color="auto"/>
        </w:tblBorders>
        <w:tblLook w:val="04A0" w:firstRow="1" w:lastRow="0" w:firstColumn="1" w:lastColumn="0" w:noHBand="0" w:noVBand="1"/>
      </w:tblPr>
      <w:tblGrid>
        <w:gridCol w:w="1425"/>
        <w:gridCol w:w="1464"/>
        <w:gridCol w:w="1530"/>
        <w:gridCol w:w="1710"/>
        <w:gridCol w:w="1710"/>
        <w:gridCol w:w="990"/>
        <w:gridCol w:w="1196"/>
      </w:tblGrid>
      <w:tr w:rsidR="005A3FE0" w:rsidRPr="00296603" w14:paraId="4665710A" w14:textId="77777777" w:rsidTr="005A3FE0">
        <w:trPr>
          <w:trHeight w:val="280"/>
        </w:trPr>
        <w:tc>
          <w:tcPr>
            <w:tcW w:w="1425" w:type="dxa"/>
            <w:tcBorders>
              <w:top w:val="single" w:sz="4" w:space="0" w:color="auto"/>
              <w:bottom w:val="single" w:sz="4" w:space="0" w:color="auto"/>
            </w:tcBorders>
            <w:noWrap/>
            <w:vAlign w:val="center"/>
            <w:hideMark/>
          </w:tcPr>
          <w:p w14:paraId="216C358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Parameter</w:t>
            </w:r>
          </w:p>
        </w:tc>
        <w:tc>
          <w:tcPr>
            <w:tcW w:w="1464" w:type="dxa"/>
            <w:tcBorders>
              <w:top w:val="single" w:sz="4" w:space="0" w:color="auto"/>
              <w:bottom w:val="single" w:sz="4" w:space="0" w:color="auto"/>
            </w:tcBorders>
            <w:noWrap/>
            <w:vAlign w:val="center"/>
            <w:hideMark/>
          </w:tcPr>
          <w:p w14:paraId="4F4F036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Asymptomatic (n=100)</w:t>
            </w:r>
          </w:p>
        </w:tc>
        <w:tc>
          <w:tcPr>
            <w:tcW w:w="1530" w:type="dxa"/>
            <w:tcBorders>
              <w:top w:val="single" w:sz="4" w:space="0" w:color="auto"/>
              <w:bottom w:val="single" w:sz="4" w:space="0" w:color="auto"/>
            </w:tcBorders>
            <w:noWrap/>
            <w:vAlign w:val="center"/>
            <w:hideMark/>
          </w:tcPr>
          <w:p w14:paraId="2542E54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Symptomatic (n=50)</w:t>
            </w:r>
          </w:p>
        </w:tc>
        <w:tc>
          <w:tcPr>
            <w:tcW w:w="1710" w:type="dxa"/>
            <w:tcBorders>
              <w:top w:val="single" w:sz="4" w:space="0" w:color="auto"/>
              <w:bottom w:val="single" w:sz="4" w:space="0" w:color="auto"/>
            </w:tcBorders>
            <w:noWrap/>
            <w:vAlign w:val="center"/>
            <w:hideMark/>
          </w:tcPr>
          <w:p w14:paraId="1261D01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Median (IQR)_Asymptomatic</w:t>
            </w:r>
          </w:p>
        </w:tc>
        <w:tc>
          <w:tcPr>
            <w:tcW w:w="1710" w:type="dxa"/>
            <w:tcBorders>
              <w:top w:val="single" w:sz="4" w:space="0" w:color="auto"/>
              <w:bottom w:val="single" w:sz="4" w:space="0" w:color="auto"/>
            </w:tcBorders>
            <w:noWrap/>
            <w:vAlign w:val="center"/>
            <w:hideMark/>
          </w:tcPr>
          <w:p w14:paraId="4D790E9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Median (IQR)_Symptomatic</w:t>
            </w:r>
          </w:p>
        </w:tc>
        <w:tc>
          <w:tcPr>
            <w:tcW w:w="990" w:type="dxa"/>
            <w:tcBorders>
              <w:top w:val="single" w:sz="4" w:space="0" w:color="auto"/>
              <w:bottom w:val="single" w:sz="4" w:space="0" w:color="auto"/>
            </w:tcBorders>
            <w:noWrap/>
            <w:vAlign w:val="center"/>
            <w:hideMark/>
          </w:tcPr>
          <w:p w14:paraId="3832C4C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Reference Range</w:t>
            </w:r>
          </w:p>
        </w:tc>
        <w:tc>
          <w:tcPr>
            <w:tcW w:w="1196" w:type="dxa"/>
            <w:tcBorders>
              <w:top w:val="single" w:sz="4" w:space="0" w:color="auto"/>
              <w:bottom w:val="single" w:sz="4" w:space="0" w:color="auto"/>
            </w:tcBorders>
            <w:noWrap/>
            <w:vAlign w:val="center"/>
            <w:hideMark/>
          </w:tcPr>
          <w:p w14:paraId="0EB4BA8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Units</w:t>
            </w:r>
          </w:p>
        </w:tc>
      </w:tr>
      <w:tr w:rsidR="005A3FE0" w:rsidRPr="00296603" w14:paraId="08C66B55" w14:textId="77777777" w:rsidTr="005A3FE0">
        <w:trPr>
          <w:trHeight w:val="280"/>
        </w:trPr>
        <w:tc>
          <w:tcPr>
            <w:tcW w:w="10025" w:type="dxa"/>
            <w:gridSpan w:val="7"/>
            <w:tcBorders>
              <w:top w:val="single" w:sz="4" w:space="0" w:color="auto"/>
            </w:tcBorders>
            <w:noWrap/>
            <w:vAlign w:val="center"/>
            <w:hideMark/>
          </w:tcPr>
          <w:p w14:paraId="3CAE60DA" w14:textId="77777777" w:rsidR="005A3FE0" w:rsidRPr="00296603" w:rsidRDefault="005A3FE0" w:rsidP="00D74830">
            <w:pPr>
              <w:spacing w:line="240" w:lineRule="auto"/>
              <w:jc w:val="left"/>
              <w:rPr>
                <w:rFonts w:ascii="Cambria" w:eastAsia="Times New Roman" w:hAnsi="Cambria" w:cs="Times New Roman"/>
                <w:b/>
                <w:bCs/>
                <w:color w:val="000000"/>
                <w:sz w:val="16"/>
                <w:szCs w:val="16"/>
              </w:rPr>
            </w:pPr>
            <w:r w:rsidRPr="00296603">
              <w:rPr>
                <w:rFonts w:ascii="Cambria" w:eastAsia="Times New Roman" w:hAnsi="Cambria" w:cs="Times New Roman"/>
                <w:b/>
                <w:bCs/>
                <w:color w:val="000000"/>
                <w:sz w:val="16"/>
                <w:szCs w:val="16"/>
              </w:rPr>
              <w:t>Biochemical Parameters</w:t>
            </w:r>
          </w:p>
        </w:tc>
      </w:tr>
      <w:tr w:rsidR="005A3FE0" w:rsidRPr="00296603" w14:paraId="0DAC4E1B" w14:textId="77777777" w:rsidTr="005A3FE0">
        <w:trPr>
          <w:trHeight w:val="280"/>
        </w:trPr>
        <w:tc>
          <w:tcPr>
            <w:tcW w:w="1425" w:type="dxa"/>
            <w:noWrap/>
            <w:vAlign w:val="center"/>
            <w:hideMark/>
          </w:tcPr>
          <w:p w14:paraId="3F105114"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ALT</w:t>
            </w:r>
          </w:p>
        </w:tc>
        <w:tc>
          <w:tcPr>
            <w:tcW w:w="1464" w:type="dxa"/>
            <w:noWrap/>
            <w:vAlign w:val="center"/>
            <w:hideMark/>
          </w:tcPr>
          <w:p w14:paraId="700344C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24.85 ± 9.67</w:t>
            </w:r>
          </w:p>
        </w:tc>
        <w:tc>
          <w:tcPr>
            <w:tcW w:w="1530" w:type="dxa"/>
            <w:noWrap/>
            <w:vAlign w:val="center"/>
            <w:hideMark/>
          </w:tcPr>
          <w:p w14:paraId="48718DC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35.98 ± 16.74</w:t>
            </w:r>
          </w:p>
        </w:tc>
        <w:tc>
          <w:tcPr>
            <w:tcW w:w="1710" w:type="dxa"/>
            <w:noWrap/>
            <w:vAlign w:val="center"/>
            <w:hideMark/>
          </w:tcPr>
          <w:p w14:paraId="475A150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24.5 (17-32.25)</w:t>
            </w:r>
          </w:p>
        </w:tc>
        <w:tc>
          <w:tcPr>
            <w:tcW w:w="1710" w:type="dxa"/>
            <w:noWrap/>
            <w:vAlign w:val="center"/>
            <w:hideMark/>
          </w:tcPr>
          <w:p w14:paraId="65E60E7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36.5 (23.75-46.75)</w:t>
            </w:r>
          </w:p>
        </w:tc>
        <w:tc>
          <w:tcPr>
            <w:tcW w:w="990" w:type="dxa"/>
            <w:noWrap/>
            <w:vAlign w:val="center"/>
            <w:hideMark/>
          </w:tcPr>
          <w:p w14:paraId="45C6431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7-56</w:t>
            </w:r>
          </w:p>
        </w:tc>
        <w:tc>
          <w:tcPr>
            <w:tcW w:w="1196" w:type="dxa"/>
            <w:noWrap/>
            <w:vAlign w:val="center"/>
            <w:hideMark/>
          </w:tcPr>
          <w:p w14:paraId="6208FBA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U/L</w:t>
            </w:r>
          </w:p>
        </w:tc>
      </w:tr>
      <w:tr w:rsidR="005A3FE0" w:rsidRPr="00296603" w14:paraId="24E0018D" w14:textId="77777777" w:rsidTr="005A3FE0">
        <w:trPr>
          <w:trHeight w:val="280"/>
        </w:trPr>
        <w:tc>
          <w:tcPr>
            <w:tcW w:w="1425" w:type="dxa"/>
            <w:noWrap/>
            <w:vAlign w:val="center"/>
            <w:hideMark/>
          </w:tcPr>
          <w:p w14:paraId="263D1A02"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AST</w:t>
            </w:r>
          </w:p>
        </w:tc>
        <w:tc>
          <w:tcPr>
            <w:tcW w:w="1464" w:type="dxa"/>
            <w:noWrap/>
            <w:vAlign w:val="center"/>
            <w:hideMark/>
          </w:tcPr>
          <w:p w14:paraId="111B7B0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28.27 ± 12.11</w:t>
            </w:r>
          </w:p>
        </w:tc>
        <w:tc>
          <w:tcPr>
            <w:tcW w:w="1530" w:type="dxa"/>
            <w:noWrap/>
            <w:vAlign w:val="center"/>
            <w:hideMark/>
          </w:tcPr>
          <w:p w14:paraId="664C374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46.8 ± 17.12</w:t>
            </w:r>
          </w:p>
        </w:tc>
        <w:tc>
          <w:tcPr>
            <w:tcW w:w="1710" w:type="dxa"/>
            <w:noWrap/>
            <w:vAlign w:val="center"/>
            <w:hideMark/>
          </w:tcPr>
          <w:p w14:paraId="14F26AC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 (18-37)</w:t>
            </w:r>
          </w:p>
        </w:tc>
        <w:tc>
          <w:tcPr>
            <w:tcW w:w="1710" w:type="dxa"/>
            <w:noWrap/>
            <w:vAlign w:val="center"/>
            <w:hideMark/>
          </w:tcPr>
          <w:p w14:paraId="32F80E8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47.5 (36.75-58.75)</w:t>
            </w:r>
          </w:p>
        </w:tc>
        <w:tc>
          <w:tcPr>
            <w:tcW w:w="990" w:type="dxa"/>
            <w:noWrap/>
            <w:vAlign w:val="center"/>
            <w:hideMark/>
          </w:tcPr>
          <w:p w14:paraId="7152BCB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10-40</w:t>
            </w:r>
          </w:p>
        </w:tc>
        <w:tc>
          <w:tcPr>
            <w:tcW w:w="1196" w:type="dxa"/>
            <w:noWrap/>
            <w:vAlign w:val="center"/>
            <w:hideMark/>
          </w:tcPr>
          <w:p w14:paraId="0E1DB61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U/L</w:t>
            </w:r>
          </w:p>
        </w:tc>
      </w:tr>
      <w:tr w:rsidR="005A3FE0" w:rsidRPr="00296603" w14:paraId="4820B7BA" w14:textId="77777777" w:rsidTr="005A3FE0">
        <w:trPr>
          <w:trHeight w:val="280"/>
        </w:trPr>
        <w:tc>
          <w:tcPr>
            <w:tcW w:w="1425" w:type="dxa"/>
            <w:noWrap/>
            <w:vAlign w:val="center"/>
            <w:hideMark/>
          </w:tcPr>
          <w:p w14:paraId="40A84C99"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Creatinine</w:t>
            </w:r>
          </w:p>
        </w:tc>
        <w:tc>
          <w:tcPr>
            <w:tcW w:w="1464" w:type="dxa"/>
            <w:noWrap/>
            <w:vAlign w:val="center"/>
            <w:hideMark/>
          </w:tcPr>
          <w:p w14:paraId="138F634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0.89 ± 0.19</w:t>
            </w:r>
          </w:p>
        </w:tc>
        <w:tc>
          <w:tcPr>
            <w:tcW w:w="1530" w:type="dxa"/>
            <w:noWrap/>
            <w:vAlign w:val="center"/>
            <w:hideMark/>
          </w:tcPr>
          <w:p w14:paraId="7EE0382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1.16 ± 0.3</w:t>
            </w:r>
          </w:p>
        </w:tc>
        <w:tc>
          <w:tcPr>
            <w:tcW w:w="1710" w:type="dxa"/>
            <w:noWrap/>
            <w:vAlign w:val="center"/>
            <w:hideMark/>
          </w:tcPr>
          <w:p w14:paraId="7AD784E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0.87 (0.75-1.02)</w:t>
            </w:r>
          </w:p>
        </w:tc>
        <w:tc>
          <w:tcPr>
            <w:tcW w:w="1710" w:type="dxa"/>
            <w:noWrap/>
            <w:vAlign w:val="center"/>
            <w:hideMark/>
          </w:tcPr>
          <w:p w14:paraId="3911EC6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1.15 (0.95-1.37)</w:t>
            </w:r>
          </w:p>
        </w:tc>
        <w:tc>
          <w:tcPr>
            <w:tcW w:w="990" w:type="dxa"/>
            <w:noWrap/>
            <w:vAlign w:val="center"/>
            <w:hideMark/>
          </w:tcPr>
          <w:p w14:paraId="7FA61F1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0.6-1.3</w:t>
            </w:r>
          </w:p>
        </w:tc>
        <w:tc>
          <w:tcPr>
            <w:tcW w:w="1196" w:type="dxa"/>
            <w:noWrap/>
            <w:vAlign w:val="center"/>
            <w:hideMark/>
          </w:tcPr>
          <w:p w14:paraId="230313F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57DFD1A2" w14:textId="77777777" w:rsidTr="005A3FE0">
        <w:trPr>
          <w:trHeight w:val="280"/>
        </w:trPr>
        <w:tc>
          <w:tcPr>
            <w:tcW w:w="1425" w:type="dxa"/>
            <w:noWrap/>
            <w:vAlign w:val="center"/>
            <w:hideMark/>
          </w:tcPr>
          <w:p w14:paraId="2A3536BC"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Direct_Bilirubin</w:t>
            </w:r>
            <w:proofErr w:type="spellEnd"/>
          </w:p>
        </w:tc>
        <w:tc>
          <w:tcPr>
            <w:tcW w:w="1464" w:type="dxa"/>
            <w:noWrap/>
            <w:vAlign w:val="center"/>
            <w:hideMark/>
          </w:tcPr>
          <w:p w14:paraId="56818DC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0.13 ± 0.06</w:t>
            </w:r>
          </w:p>
        </w:tc>
        <w:tc>
          <w:tcPr>
            <w:tcW w:w="1530" w:type="dxa"/>
            <w:noWrap/>
            <w:vAlign w:val="center"/>
            <w:hideMark/>
          </w:tcPr>
          <w:p w14:paraId="432A0AE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0.25 ± 0.1</w:t>
            </w:r>
          </w:p>
        </w:tc>
        <w:tc>
          <w:tcPr>
            <w:tcW w:w="1710" w:type="dxa"/>
            <w:noWrap/>
            <w:vAlign w:val="center"/>
            <w:hideMark/>
          </w:tcPr>
          <w:p w14:paraId="3EF1FFF0"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0.13 (0.08-0.18)</w:t>
            </w:r>
          </w:p>
        </w:tc>
        <w:tc>
          <w:tcPr>
            <w:tcW w:w="1710" w:type="dxa"/>
            <w:noWrap/>
            <w:vAlign w:val="center"/>
            <w:hideMark/>
          </w:tcPr>
          <w:p w14:paraId="64F46BD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0.25 (0.18-0.33)</w:t>
            </w:r>
          </w:p>
        </w:tc>
        <w:tc>
          <w:tcPr>
            <w:tcW w:w="990" w:type="dxa"/>
            <w:noWrap/>
            <w:vAlign w:val="center"/>
            <w:hideMark/>
          </w:tcPr>
          <w:p w14:paraId="0FDAB05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0.0-0.3</w:t>
            </w:r>
          </w:p>
        </w:tc>
        <w:tc>
          <w:tcPr>
            <w:tcW w:w="1196" w:type="dxa"/>
            <w:noWrap/>
            <w:vAlign w:val="center"/>
            <w:hideMark/>
          </w:tcPr>
          <w:p w14:paraId="53AABB4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60B5ADA6" w14:textId="77777777" w:rsidTr="005A3FE0">
        <w:trPr>
          <w:trHeight w:val="280"/>
        </w:trPr>
        <w:tc>
          <w:tcPr>
            <w:tcW w:w="1425" w:type="dxa"/>
            <w:noWrap/>
            <w:vAlign w:val="center"/>
            <w:hideMark/>
          </w:tcPr>
          <w:p w14:paraId="407A2631"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Indirect_Bilirubin</w:t>
            </w:r>
            <w:proofErr w:type="spellEnd"/>
          </w:p>
        </w:tc>
        <w:tc>
          <w:tcPr>
            <w:tcW w:w="1464" w:type="dxa"/>
            <w:noWrap/>
            <w:vAlign w:val="center"/>
            <w:hideMark/>
          </w:tcPr>
          <w:p w14:paraId="291806A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0.66 ± 0.28</w:t>
            </w:r>
          </w:p>
        </w:tc>
        <w:tc>
          <w:tcPr>
            <w:tcW w:w="1530" w:type="dxa"/>
            <w:noWrap/>
            <w:vAlign w:val="center"/>
            <w:hideMark/>
          </w:tcPr>
          <w:p w14:paraId="19C53C1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 ± 0.58</w:t>
            </w:r>
          </w:p>
        </w:tc>
        <w:tc>
          <w:tcPr>
            <w:tcW w:w="1710" w:type="dxa"/>
            <w:noWrap/>
            <w:vAlign w:val="center"/>
            <w:hideMark/>
          </w:tcPr>
          <w:p w14:paraId="3E9F3A5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0.62 (0.46-0.86)</w:t>
            </w:r>
          </w:p>
        </w:tc>
        <w:tc>
          <w:tcPr>
            <w:tcW w:w="1710" w:type="dxa"/>
            <w:noWrap/>
            <w:vAlign w:val="center"/>
            <w:hideMark/>
          </w:tcPr>
          <w:p w14:paraId="7D8ECCD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1.13 (0.76-1.46)</w:t>
            </w:r>
          </w:p>
        </w:tc>
        <w:tc>
          <w:tcPr>
            <w:tcW w:w="990" w:type="dxa"/>
            <w:noWrap/>
            <w:vAlign w:val="center"/>
            <w:hideMark/>
          </w:tcPr>
          <w:p w14:paraId="6A56144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0.2-1.0</w:t>
            </w:r>
          </w:p>
        </w:tc>
        <w:tc>
          <w:tcPr>
            <w:tcW w:w="1196" w:type="dxa"/>
            <w:noWrap/>
            <w:vAlign w:val="center"/>
            <w:hideMark/>
          </w:tcPr>
          <w:p w14:paraId="0354A11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7FC393F5" w14:textId="77777777" w:rsidTr="005A3FE0">
        <w:trPr>
          <w:trHeight w:val="280"/>
        </w:trPr>
        <w:tc>
          <w:tcPr>
            <w:tcW w:w="1425" w:type="dxa"/>
            <w:noWrap/>
            <w:vAlign w:val="center"/>
            <w:hideMark/>
          </w:tcPr>
          <w:p w14:paraId="34D3AA86"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Total_Bilirubin</w:t>
            </w:r>
            <w:proofErr w:type="spellEnd"/>
          </w:p>
        </w:tc>
        <w:tc>
          <w:tcPr>
            <w:tcW w:w="1464" w:type="dxa"/>
            <w:noWrap/>
            <w:vAlign w:val="center"/>
            <w:hideMark/>
          </w:tcPr>
          <w:p w14:paraId="3741B2C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0.79 ± 0.29</w:t>
            </w:r>
          </w:p>
        </w:tc>
        <w:tc>
          <w:tcPr>
            <w:tcW w:w="1530" w:type="dxa"/>
            <w:noWrap/>
            <w:vAlign w:val="center"/>
            <w:hideMark/>
          </w:tcPr>
          <w:p w14:paraId="6E73EC1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1.45 ± 0.6</w:t>
            </w:r>
          </w:p>
        </w:tc>
        <w:tc>
          <w:tcPr>
            <w:tcW w:w="1710" w:type="dxa"/>
            <w:noWrap/>
            <w:vAlign w:val="center"/>
            <w:hideMark/>
          </w:tcPr>
          <w:p w14:paraId="7035BF0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0.77 (0.59-1.02)</w:t>
            </w:r>
          </w:p>
        </w:tc>
        <w:tc>
          <w:tcPr>
            <w:tcW w:w="1710" w:type="dxa"/>
            <w:noWrap/>
            <w:vAlign w:val="center"/>
            <w:hideMark/>
          </w:tcPr>
          <w:p w14:paraId="58EDFC5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1.41 (0.99-1.79)</w:t>
            </w:r>
          </w:p>
        </w:tc>
        <w:tc>
          <w:tcPr>
            <w:tcW w:w="990" w:type="dxa"/>
            <w:noWrap/>
            <w:vAlign w:val="center"/>
            <w:hideMark/>
          </w:tcPr>
          <w:p w14:paraId="3CF70B4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0.3-1.2</w:t>
            </w:r>
          </w:p>
        </w:tc>
        <w:tc>
          <w:tcPr>
            <w:tcW w:w="1196" w:type="dxa"/>
            <w:noWrap/>
            <w:vAlign w:val="center"/>
            <w:hideMark/>
          </w:tcPr>
          <w:p w14:paraId="6C792D1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3A87D073" w14:textId="77777777" w:rsidTr="005A3FE0">
        <w:trPr>
          <w:trHeight w:val="280"/>
        </w:trPr>
        <w:tc>
          <w:tcPr>
            <w:tcW w:w="1425" w:type="dxa"/>
            <w:noWrap/>
            <w:vAlign w:val="center"/>
            <w:hideMark/>
          </w:tcPr>
          <w:p w14:paraId="0D101EA9"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Urea</w:t>
            </w:r>
          </w:p>
        </w:tc>
        <w:tc>
          <w:tcPr>
            <w:tcW w:w="1464" w:type="dxa"/>
            <w:noWrap/>
            <w:vAlign w:val="center"/>
            <w:hideMark/>
          </w:tcPr>
          <w:p w14:paraId="3E74E83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13.65 ± 3.99</w:t>
            </w:r>
          </w:p>
        </w:tc>
        <w:tc>
          <w:tcPr>
            <w:tcW w:w="1530" w:type="dxa"/>
            <w:noWrap/>
            <w:vAlign w:val="center"/>
            <w:hideMark/>
          </w:tcPr>
          <w:p w14:paraId="25FDC0B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18.1 ± 6.39</w:t>
            </w:r>
          </w:p>
        </w:tc>
        <w:tc>
          <w:tcPr>
            <w:tcW w:w="1710" w:type="dxa"/>
            <w:noWrap/>
            <w:vAlign w:val="center"/>
            <w:hideMark/>
          </w:tcPr>
          <w:p w14:paraId="12D685B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13.7 (11.2-16.15)</w:t>
            </w:r>
          </w:p>
        </w:tc>
        <w:tc>
          <w:tcPr>
            <w:tcW w:w="1710" w:type="dxa"/>
            <w:noWrap/>
            <w:vAlign w:val="center"/>
            <w:hideMark/>
          </w:tcPr>
          <w:p w14:paraId="4AD5A76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18.55 (14.45-21.77)</w:t>
            </w:r>
          </w:p>
        </w:tc>
        <w:tc>
          <w:tcPr>
            <w:tcW w:w="990" w:type="dxa"/>
            <w:noWrap/>
            <w:vAlign w:val="center"/>
            <w:hideMark/>
          </w:tcPr>
          <w:p w14:paraId="018340E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7-20</w:t>
            </w:r>
          </w:p>
        </w:tc>
        <w:tc>
          <w:tcPr>
            <w:tcW w:w="1196" w:type="dxa"/>
            <w:noWrap/>
            <w:vAlign w:val="center"/>
            <w:hideMark/>
          </w:tcPr>
          <w:p w14:paraId="235CCF4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53307951" w14:textId="77777777" w:rsidTr="005A3FE0">
        <w:trPr>
          <w:trHeight w:val="280"/>
        </w:trPr>
        <w:tc>
          <w:tcPr>
            <w:tcW w:w="10025" w:type="dxa"/>
            <w:gridSpan w:val="7"/>
            <w:noWrap/>
            <w:vAlign w:val="center"/>
            <w:hideMark/>
          </w:tcPr>
          <w:p w14:paraId="075496F9" w14:textId="77777777" w:rsidR="005A3FE0" w:rsidRPr="00296603" w:rsidRDefault="005A3FE0" w:rsidP="00D74830">
            <w:pPr>
              <w:spacing w:line="240" w:lineRule="auto"/>
              <w:jc w:val="left"/>
              <w:rPr>
                <w:rFonts w:ascii="Cambria" w:eastAsia="Times New Roman" w:hAnsi="Cambria" w:cs="Times New Roman"/>
                <w:b/>
                <w:bCs/>
                <w:color w:val="000000"/>
                <w:sz w:val="16"/>
                <w:szCs w:val="16"/>
              </w:rPr>
            </w:pPr>
            <w:r w:rsidRPr="00296603">
              <w:rPr>
                <w:rFonts w:ascii="Cambria" w:eastAsia="Times New Roman" w:hAnsi="Cambria" w:cs="Times New Roman"/>
                <w:b/>
                <w:bCs/>
                <w:color w:val="000000"/>
                <w:sz w:val="16"/>
                <w:szCs w:val="16"/>
              </w:rPr>
              <w:t>Hematological Parameters</w:t>
            </w:r>
          </w:p>
        </w:tc>
      </w:tr>
      <w:tr w:rsidR="005A3FE0" w:rsidRPr="00296603" w14:paraId="588FA8B9" w14:textId="77777777" w:rsidTr="005A3FE0">
        <w:trPr>
          <w:trHeight w:val="280"/>
        </w:trPr>
        <w:tc>
          <w:tcPr>
            <w:tcW w:w="1425" w:type="dxa"/>
            <w:noWrap/>
            <w:vAlign w:val="center"/>
            <w:hideMark/>
          </w:tcPr>
          <w:p w14:paraId="05AAEE5F"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lastRenderedPageBreak/>
              <w:t>Hemoglobin</w:t>
            </w:r>
          </w:p>
        </w:tc>
        <w:tc>
          <w:tcPr>
            <w:tcW w:w="1464" w:type="dxa"/>
            <w:noWrap/>
            <w:vAlign w:val="center"/>
            <w:hideMark/>
          </w:tcPr>
          <w:p w14:paraId="0987731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12.94 ± 2.01</w:t>
            </w:r>
          </w:p>
        </w:tc>
        <w:tc>
          <w:tcPr>
            <w:tcW w:w="1530" w:type="dxa"/>
            <w:noWrap/>
            <w:vAlign w:val="center"/>
            <w:hideMark/>
          </w:tcPr>
          <w:p w14:paraId="2C5775F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10.77 ± 2.36</w:t>
            </w:r>
          </w:p>
        </w:tc>
        <w:tc>
          <w:tcPr>
            <w:tcW w:w="1710" w:type="dxa"/>
            <w:noWrap/>
            <w:vAlign w:val="center"/>
            <w:hideMark/>
          </w:tcPr>
          <w:p w14:paraId="3254CC6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13.37 (11.44-14.12)</w:t>
            </w:r>
          </w:p>
        </w:tc>
        <w:tc>
          <w:tcPr>
            <w:tcW w:w="1710" w:type="dxa"/>
            <w:noWrap/>
            <w:vAlign w:val="center"/>
            <w:hideMark/>
          </w:tcPr>
          <w:p w14:paraId="7A31B50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10.76 (8.46-12.48)</w:t>
            </w:r>
          </w:p>
        </w:tc>
        <w:tc>
          <w:tcPr>
            <w:tcW w:w="990" w:type="dxa"/>
            <w:noWrap/>
            <w:vAlign w:val="center"/>
            <w:hideMark/>
          </w:tcPr>
          <w:p w14:paraId="5FFA96D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12.0-16.0</w:t>
            </w:r>
          </w:p>
        </w:tc>
        <w:tc>
          <w:tcPr>
            <w:tcW w:w="1196" w:type="dxa"/>
            <w:noWrap/>
            <w:vAlign w:val="center"/>
            <w:hideMark/>
          </w:tcPr>
          <w:p w14:paraId="2B78E90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g/dL</w:t>
            </w:r>
          </w:p>
        </w:tc>
      </w:tr>
      <w:tr w:rsidR="005A3FE0" w:rsidRPr="00296603" w14:paraId="11D4E233" w14:textId="77777777" w:rsidTr="005A3FE0">
        <w:trPr>
          <w:trHeight w:val="280"/>
        </w:trPr>
        <w:tc>
          <w:tcPr>
            <w:tcW w:w="1425" w:type="dxa"/>
            <w:noWrap/>
            <w:vAlign w:val="center"/>
            <w:hideMark/>
          </w:tcPr>
          <w:p w14:paraId="1A48A77D"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MCH</w:t>
            </w:r>
          </w:p>
        </w:tc>
        <w:tc>
          <w:tcPr>
            <w:tcW w:w="1464" w:type="dxa"/>
            <w:noWrap/>
            <w:vAlign w:val="center"/>
            <w:hideMark/>
          </w:tcPr>
          <w:p w14:paraId="704E178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28.8 ± 3.14</w:t>
            </w:r>
          </w:p>
        </w:tc>
        <w:tc>
          <w:tcPr>
            <w:tcW w:w="1530" w:type="dxa"/>
            <w:noWrap/>
            <w:vAlign w:val="center"/>
            <w:hideMark/>
          </w:tcPr>
          <w:p w14:paraId="7EEACF2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27.39 ± 3.67</w:t>
            </w:r>
          </w:p>
        </w:tc>
        <w:tc>
          <w:tcPr>
            <w:tcW w:w="1710" w:type="dxa"/>
            <w:noWrap/>
            <w:vAlign w:val="center"/>
            <w:hideMark/>
          </w:tcPr>
          <w:p w14:paraId="1119A49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28.65 (27.2-30.7)</w:t>
            </w:r>
          </w:p>
        </w:tc>
        <w:tc>
          <w:tcPr>
            <w:tcW w:w="1710" w:type="dxa"/>
            <w:noWrap/>
            <w:vAlign w:val="center"/>
            <w:hideMark/>
          </w:tcPr>
          <w:p w14:paraId="1FCB3EB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27.4 (24.95-29.9)</w:t>
            </w:r>
          </w:p>
        </w:tc>
        <w:tc>
          <w:tcPr>
            <w:tcW w:w="990" w:type="dxa"/>
            <w:noWrap/>
            <w:vAlign w:val="center"/>
            <w:hideMark/>
          </w:tcPr>
          <w:p w14:paraId="5330FB58"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27-32</w:t>
            </w:r>
          </w:p>
        </w:tc>
        <w:tc>
          <w:tcPr>
            <w:tcW w:w="1196" w:type="dxa"/>
            <w:noWrap/>
            <w:vAlign w:val="center"/>
            <w:hideMark/>
          </w:tcPr>
          <w:p w14:paraId="19274027" w14:textId="77777777" w:rsidR="005A3FE0" w:rsidRPr="00296603" w:rsidRDefault="005A3FE0" w:rsidP="00D74830">
            <w:pPr>
              <w:spacing w:line="240" w:lineRule="auto"/>
              <w:jc w:val="center"/>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pg</w:t>
            </w:r>
            <w:proofErr w:type="spellEnd"/>
          </w:p>
        </w:tc>
      </w:tr>
      <w:tr w:rsidR="005A3FE0" w:rsidRPr="00296603" w14:paraId="1D494058" w14:textId="77777777" w:rsidTr="005A3FE0">
        <w:trPr>
          <w:trHeight w:val="280"/>
        </w:trPr>
        <w:tc>
          <w:tcPr>
            <w:tcW w:w="1425" w:type="dxa"/>
            <w:noWrap/>
            <w:vAlign w:val="center"/>
            <w:hideMark/>
          </w:tcPr>
          <w:p w14:paraId="2EF683B0"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MCHC</w:t>
            </w:r>
          </w:p>
        </w:tc>
        <w:tc>
          <w:tcPr>
            <w:tcW w:w="1464" w:type="dxa"/>
            <w:noWrap/>
            <w:vAlign w:val="center"/>
            <w:hideMark/>
          </w:tcPr>
          <w:p w14:paraId="4226C38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33.99 ± 2.08</w:t>
            </w:r>
          </w:p>
        </w:tc>
        <w:tc>
          <w:tcPr>
            <w:tcW w:w="1530" w:type="dxa"/>
            <w:noWrap/>
            <w:vAlign w:val="center"/>
            <w:hideMark/>
          </w:tcPr>
          <w:p w14:paraId="64276AD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32.29 ± 2.62</w:t>
            </w:r>
          </w:p>
        </w:tc>
        <w:tc>
          <w:tcPr>
            <w:tcW w:w="1710" w:type="dxa"/>
            <w:noWrap/>
            <w:vAlign w:val="center"/>
            <w:hideMark/>
          </w:tcPr>
          <w:p w14:paraId="573B2D7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34.1 (32.68-35.45)</w:t>
            </w:r>
          </w:p>
        </w:tc>
        <w:tc>
          <w:tcPr>
            <w:tcW w:w="1710" w:type="dxa"/>
            <w:noWrap/>
            <w:vAlign w:val="center"/>
            <w:hideMark/>
          </w:tcPr>
          <w:p w14:paraId="144C539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31.9 (30.7-33.5)</w:t>
            </w:r>
          </w:p>
        </w:tc>
        <w:tc>
          <w:tcPr>
            <w:tcW w:w="990" w:type="dxa"/>
            <w:noWrap/>
            <w:vAlign w:val="center"/>
            <w:hideMark/>
          </w:tcPr>
          <w:p w14:paraId="4F2FE9D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32-36</w:t>
            </w:r>
          </w:p>
        </w:tc>
        <w:tc>
          <w:tcPr>
            <w:tcW w:w="1196" w:type="dxa"/>
            <w:noWrap/>
            <w:vAlign w:val="center"/>
            <w:hideMark/>
          </w:tcPr>
          <w:p w14:paraId="7C2B1EC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g/dL</w:t>
            </w:r>
          </w:p>
        </w:tc>
      </w:tr>
      <w:tr w:rsidR="005A3FE0" w:rsidRPr="00296603" w14:paraId="31C6CDA7" w14:textId="77777777" w:rsidTr="005A3FE0">
        <w:trPr>
          <w:trHeight w:val="280"/>
        </w:trPr>
        <w:tc>
          <w:tcPr>
            <w:tcW w:w="1425" w:type="dxa"/>
            <w:noWrap/>
            <w:vAlign w:val="center"/>
            <w:hideMark/>
          </w:tcPr>
          <w:p w14:paraId="1E362758"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MCV</w:t>
            </w:r>
          </w:p>
        </w:tc>
        <w:tc>
          <w:tcPr>
            <w:tcW w:w="1464" w:type="dxa"/>
            <w:noWrap/>
            <w:vAlign w:val="center"/>
            <w:hideMark/>
          </w:tcPr>
          <w:p w14:paraId="1E90175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89.72 ± 7.77</w:t>
            </w:r>
          </w:p>
        </w:tc>
        <w:tc>
          <w:tcPr>
            <w:tcW w:w="1530" w:type="dxa"/>
            <w:noWrap/>
            <w:vAlign w:val="center"/>
            <w:hideMark/>
          </w:tcPr>
          <w:p w14:paraId="18DD0DB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85.96 ± 9.06</w:t>
            </w:r>
          </w:p>
        </w:tc>
        <w:tc>
          <w:tcPr>
            <w:tcW w:w="1710" w:type="dxa"/>
            <w:noWrap/>
            <w:vAlign w:val="center"/>
            <w:hideMark/>
          </w:tcPr>
          <w:p w14:paraId="7363475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90.8 (85.47-93.6)</w:t>
            </w:r>
          </w:p>
        </w:tc>
        <w:tc>
          <w:tcPr>
            <w:tcW w:w="1710" w:type="dxa"/>
            <w:noWrap/>
            <w:vAlign w:val="center"/>
            <w:hideMark/>
          </w:tcPr>
          <w:p w14:paraId="42B5DBF5"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86.9 (77.75-91.3)</w:t>
            </w:r>
          </w:p>
        </w:tc>
        <w:tc>
          <w:tcPr>
            <w:tcW w:w="990" w:type="dxa"/>
            <w:noWrap/>
            <w:vAlign w:val="center"/>
            <w:hideMark/>
          </w:tcPr>
          <w:p w14:paraId="55C414C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80-100</w:t>
            </w:r>
          </w:p>
        </w:tc>
        <w:tc>
          <w:tcPr>
            <w:tcW w:w="1196" w:type="dxa"/>
            <w:noWrap/>
            <w:vAlign w:val="center"/>
            <w:hideMark/>
          </w:tcPr>
          <w:p w14:paraId="5E5D0647" w14:textId="77777777" w:rsidR="005A3FE0" w:rsidRPr="00296603" w:rsidRDefault="005A3FE0" w:rsidP="00D74830">
            <w:pPr>
              <w:spacing w:line="240" w:lineRule="auto"/>
              <w:jc w:val="center"/>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fL</w:t>
            </w:r>
            <w:proofErr w:type="spellEnd"/>
          </w:p>
        </w:tc>
      </w:tr>
      <w:tr w:rsidR="005A3FE0" w:rsidRPr="00296603" w14:paraId="5E2B3DCC" w14:textId="77777777" w:rsidTr="005A3FE0">
        <w:trPr>
          <w:trHeight w:val="280"/>
        </w:trPr>
        <w:tc>
          <w:tcPr>
            <w:tcW w:w="1425" w:type="dxa"/>
            <w:noWrap/>
            <w:vAlign w:val="center"/>
            <w:hideMark/>
          </w:tcPr>
          <w:p w14:paraId="32CC3CD0"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Platelets</w:t>
            </w:r>
          </w:p>
        </w:tc>
        <w:tc>
          <w:tcPr>
            <w:tcW w:w="1464" w:type="dxa"/>
            <w:noWrap/>
            <w:vAlign w:val="center"/>
            <w:hideMark/>
          </w:tcPr>
          <w:p w14:paraId="6045B36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293.99 ± 76.25</w:t>
            </w:r>
          </w:p>
        </w:tc>
        <w:tc>
          <w:tcPr>
            <w:tcW w:w="1530" w:type="dxa"/>
            <w:noWrap/>
            <w:vAlign w:val="center"/>
            <w:hideMark/>
          </w:tcPr>
          <w:p w14:paraId="6D0161D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176.46 ± 76.13</w:t>
            </w:r>
          </w:p>
        </w:tc>
        <w:tc>
          <w:tcPr>
            <w:tcW w:w="1710" w:type="dxa"/>
            <w:noWrap/>
            <w:vAlign w:val="center"/>
            <w:hideMark/>
          </w:tcPr>
          <w:p w14:paraId="69128D7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306 (234.75-348.25)</w:t>
            </w:r>
          </w:p>
        </w:tc>
        <w:tc>
          <w:tcPr>
            <w:tcW w:w="1710" w:type="dxa"/>
            <w:noWrap/>
            <w:vAlign w:val="center"/>
            <w:hideMark/>
          </w:tcPr>
          <w:p w14:paraId="07CA7995"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186 (120.25-226)</w:t>
            </w:r>
          </w:p>
        </w:tc>
        <w:tc>
          <w:tcPr>
            <w:tcW w:w="990" w:type="dxa"/>
            <w:noWrap/>
            <w:vAlign w:val="center"/>
            <w:hideMark/>
          </w:tcPr>
          <w:p w14:paraId="7DA7110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150-450</w:t>
            </w:r>
          </w:p>
        </w:tc>
        <w:tc>
          <w:tcPr>
            <w:tcW w:w="1196" w:type="dxa"/>
            <w:noWrap/>
            <w:vAlign w:val="center"/>
            <w:hideMark/>
          </w:tcPr>
          <w:p w14:paraId="0D4654A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×10⁹/L</w:t>
            </w:r>
          </w:p>
        </w:tc>
      </w:tr>
      <w:tr w:rsidR="005A3FE0" w:rsidRPr="00296603" w14:paraId="170ED7E3" w14:textId="77777777" w:rsidTr="005A3FE0">
        <w:trPr>
          <w:trHeight w:val="280"/>
        </w:trPr>
        <w:tc>
          <w:tcPr>
            <w:tcW w:w="1425" w:type="dxa"/>
            <w:noWrap/>
            <w:vAlign w:val="center"/>
            <w:hideMark/>
          </w:tcPr>
          <w:p w14:paraId="3BEEA9DB"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RBC</w:t>
            </w:r>
          </w:p>
        </w:tc>
        <w:tc>
          <w:tcPr>
            <w:tcW w:w="1464" w:type="dxa"/>
            <w:noWrap/>
            <w:vAlign w:val="center"/>
            <w:hideMark/>
          </w:tcPr>
          <w:p w14:paraId="4DF6FBD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4.85 ± 0.56</w:t>
            </w:r>
          </w:p>
        </w:tc>
        <w:tc>
          <w:tcPr>
            <w:tcW w:w="1530" w:type="dxa"/>
            <w:noWrap/>
            <w:vAlign w:val="center"/>
            <w:hideMark/>
          </w:tcPr>
          <w:p w14:paraId="17294E2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4.08 ± 0.69</w:t>
            </w:r>
          </w:p>
        </w:tc>
        <w:tc>
          <w:tcPr>
            <w:tcW w:w="1710" w:type="dxa"/>
            <w:noWrap/>
            <w:vAlign w:val="center"/>
            <w:hideMark/>
          </w:tcPr>
          <w:p w14:paraId="26A864E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4.84 (4.52-5.2)</w:t>
            </w:r>
          </w:p>
        </w:tc>
        <w:tc>
          <w:tcPr>
            <w:tcW w:w="1710" w:type="dxa"/>
            <w:noWrap/>
            <w:vAlign w:val="center"/>
            <w:hideMark/>
          </w:tcPr>
          <w:p w14:paraId="2534660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4.06 (3.63-4.58)</w:t>
            </w:r>
          </w:p>
        </w:tc>
        <w:tc>
          <w:tcPr>
            <w:tcW w:w="990" w:type="dxa"/>
            <w:noWrap/>
            <w:vAlign w:val="center"/>
            <w:hideMark/>
          </w:tcPr>
          <w:p w14:paraId="663B38D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4.1-5.9</w:t>
            </w:r>
          </w:p>
        </w:tc>
        <w:tc>
          <w:tcPr>
            <w:tcW w:w="1196" w:type="dxa"/>
            <w:noWrap/>
            <w:vAlign w:val="center"/>
            <w:hideMark/>
          </w:tcPr>
          <w:p w14:paraId="09016F1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×10¹²/L</w:t>
            </w:r>
          </w:p>
        </w:tc>
      </w:tr>
      <w:tr w:rsidR="005A3FE0" w:rsidRPr="00296603" w14:paraId="5E4E54A5" w14:textId="77777777" w:rsidTr="005A3FE0">
        <w:trPr>
          <w:trHeight w:val="280"/>
        </w:trPr>
        <w:tc>
          <w:tcPr>
            <w:tcW w:w="1425" w:type="dxa"/>
            <w:noWrap/>
            <w:vAlign w:val="center"/>
            <w:hideMark/>
          </w:tcPr>
          <w:p w14:paraId="2F7CEAD8"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WBC</w:t>
            </w:r>
          </w:p>
        </w:tc>
        <w:tc>
          <w:tcPr>
            <w:tcW w:w="1464" w:type="dxa"/>
            <w:noWrap/>
            <w:vAlign w:val="center"/>
            <w:hideMark/>
          </w:tcPr>
          <w:p w14:paraId="664A2FF7"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6.11 ± 1.85</w:t>
            </w:r>
          </w:p>
        </w:tc>
        <w:tc>
          <w:tcPr>
            <w:tcW w:w="1530" w:type="dxa"/>
            <w:noWrap/>
            <w:vAlign w:val="center"/>
            <w:hideMark/>
          </w:tcPr>
          <w:p w14:paraId="471F0C38"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7.57 ± 2.81</w:t>
            </w:r>
          </w:p>
        </w:tc>
        <w:tc>
          <w:tcPr>
            <w:tcW w:w="1710" w:type="dxa"/>
            <w:noWrap/>
            <w:vAlign w:val="center"/>
            <w:hideMark/>
          </w:tcPr>
          <w:p w14:paraId="0D2492F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5.96 (4.96-7.32)</w:t>
            </w:r>
          </w:p>
        </w:tc>
        <w:tc>
          <w:tcPr>
            <w:tcW w:w="1710" w:type="dxa"/>
            <w:noWrap/>
            <w:vAlign w:val="center"/>
            <w:hideMark/>
          </w:tcPr>
          <w:p w14:paraId="4F27DB2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7.66 (5.46-9.52)</w:t>
            </w:r>
          </w:p>
        </w:tc>
        <w:tc>
          <w:tcPr>
            <w:tcW w:w="990" w:type="dxa"/>
            <w:noWrap/>
            <w:vAlign w:val="center"/>
            <w:hideMark/>
          </w:tcPr>
          <w:p w14:paraId="470F994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4.0-11.0</w:t>
            </w:r>
          </w:p>
        </w:tc>
        <w:tc>
          <w:tcPr>
            <w:tcW w:w="1196" w:type="dxa"/>
            <w:noWrap/>
            <w:vAlign w:val="center"/>
            <w:hideMark/>
          </w:tcPr>
          <w:p w14:paraId="3C77E30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×10⁹/L</w:t>
            </w:r>
          </w:p>
        </w:tc>
      </w:tr>
      <w:tr w:rsidR="005A3FE0" w:rsidRPr="00296603" w14:paraId="184F3803" w14:textId="77777777" w:rsidTr="005A3FE0">
        <w:trPr>
          <w:trHeight w:val="280"/>
        </w:trPr>
        <w:tc>
          <w:tcPr>
            <w:tcW w:w="10025" w:type="dxa"/>
            <w:gridSpan w:val="7"/>
            <w:noWrap/>
            <w:vAlign w:val="center"/>
            <w:hideMark/>
          </w:tcPr>
          <w:p w14:paraId="7E121F7F" w14:textId="77777777" w:rsidR="005A3FE0" w:rsidRPr="00296603" w:rsidRDefault="005A3FE0" w:rsidP="00D74830">
            <w:pPr>
              <w:spacing w:line="240" w:lineRule="auto"/>
              <w:jc w:val="left"/>
              <w:rPr>
                <w:rFonts w:ascii="Cambria" w:eastAsia="Times New Roman" w:hAnsi="Cambria" w:cs="Times New Roman"/>
                <w:b/>
                <w:bCs/>
                <w:color w:val="000000"/>
                <w:sz w:val="16"/>
                <w:szCs w:val="16"/>
              </w:rPr>
            </w:pPr>
            <w:r w:rsidRPr="00296603">
              <w:rPr>
                <w:rFonts w:ascii="Cambria" w:eastAsia="Times New Roman" w:hAnsi="Cambria" w:cs="Times New Roman"/>
                <w:b/>
                <w:bCs/>
                <w:color w:val="000000"/>
                <w:sz w:val="16"/>
                <w:szCs w:val="16"/>
              </w:rPr>
              <w:t>Parasitological Parameters</w:t>
            </w:r>
          </w:p>
        </w:tc>
      </w:tr>
      <w:tr w:rsidR="005A3FE0" w:rsidRPr="00296603" w14:paraId="0572ECFD" w14:textId="77777777" w:rsidTr="005A3FE0">
        <w:trPr>
          <w:trHeight w:val="280"/>
        </w:trPr>
        <w:tc>
          <w:tcPr>
            <w:tcW w:w="1425" w:type="dxa"/>
            <w:noWrap/>
            <w:vAlign w:val="center"/>
            <w:hideMark/>
          </w:tcPr>
          <w:p w14:paraId="32247BB8"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Parasite_Count</w:t>
            </w:r>
            <w:proofErr w:type="spellEnd"/>
          </w:p>
        </w:tc>
        <w:tc>
          <w:tcPr>
            <w:tcW w:w="1464" w:type="dxa"/>
            <w:noWrap/>
            <w:vAlign w:val="center"/>
            <w:hideMark/>
          </w:tcPr>
          <w:p w14:paraId="3CAB174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758.37 ± 1216.94</w:t>
            </w:r>
          </w:p>
        </w:tc>
        <w:tc>
          <w:tcPr>
            <w:tcW w:w="1530" w:type="dxa"/>
            <w:noWrap/>
            <w:vAlign w:val="center"/>
            <w:hideMark/>
          </w:tcPr>
          <w:p w14:paraId="0AA841E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2556.26 ± 2117.73</w:t>
            </w:r>
          </w:p>
        </w:tc>
        <w:tc>
          <w:tcPr>
            <w:tcW w:w="1710" w:type="dxa"/>
            <w:noWrap/>
            <w:vAlign w:val="center"/>
            <w:hideMark/>
          </w:tcPr>
          <w:p w14:paraId="73F414B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371.5 (162.5-982.5)</w:t>
            </w:r>
          </w:p>
        </w:tc>
        <w:tc>
          <w:tcPr>
            <w:tcW w:w="1710" w:type="dxa"/>
            <w:noWrap/>
            <w:vAlign w:val="center"/>
            <w:hideMark/>
          </w:tcPr>
          <w:p w14:paraId="75CC020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2218 (953-3662.75)</w:t>
            </w:r>
          </w:p>
        </w:tc>
        <w:tc>
          <w:tcPr>
            <w:tcW w:w="990" w:type="dxa"/>
            <w:noWrap/>
            <w:vAlign w:val="center"/>
            <w:hideMark/>
          </w:tcPr>
          <w:p w14:paraId="2E77AEE0"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Variable</w:t>
            </w:r>
          </w:p>
        </w:tc>
        <w:tc>
          <w:tcPr>
            <w:tcW w:w="1196" w:type="dxa"/>
            <w:noWrap/>
            <w:vAlign w:val="center"/>
            <w:hideMark/>
          </w:tcPr>
          <w:p w14:paraId="407C8E7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parasites/</w:t>
            </w:r>
            <w:proofErr w:type="spellStart"/>
            <w:r w:rsidRPr="00296603">
              <w:rPr>
                <w:rFonts w:ascii="Cambria" w:eastAsia="Times New Roman" w:hAnsi="Cambria" w:cs="Times New Roman"/>
                <w:color w:val="000000"/>
                <w:sz w:val="16"/>
                <w:szCs w:val="16"/>
              </w:rPr>
              <w:t>μL</w:t>
            </w:r>
            <w:proofErr w:type="spellEnd"/>
          </w:p>
        </w:tc>
      </w:tr>
      <w:tr w:rsidR="005A3FE0" w:rsidRPr="00296603" w14:paraId="29EF6F92" w14:textId="77777777" w:rsidTr="005A3FE0">
        <w:trPr>
          <w:trHeight w:val="280"/>
        </w:trPr>
        <w:tc>
          <w:tcPr>
            <w:tcW w:w="1425" w:type="dxa"/>
            <w:noWrap/>
            <w:vAlign w:val="center"/>
            <w:hideMark/>
          </w:tcPr>
          <w:p w14:paraId="24FA5365"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Parasite_Density</w:t>
            </w:r>
            <w:proofErr w:type="spellEnd"/>
          </w:p>
        </w:tc>
        <w:tc>
          <w:tcPr>
            <w:tcW w:w="1464" w:type="dxa"/>
            <w:noWrap/>
            <w:vAlign w:val="center"/>
            <w:hideMark/>
          </w:tcPr>
          <w:p w14:paraId="325E06F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758.37 ± 1216.94</w:t>
            </w:r>
          </w:p>
        </w:tc>
        <w:tc>
          <w:tcPr>
            <w:tcW w:w="1530" w:type="dxa"/>
            <w:noWrap/>
            <w:vAlign w:val="center"/>
            <w:hideMark/>
          </w:tcPr>
          <w:p w14:paraId="5C3EBB5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2556.26 ± 2117.73</w:t>
            </w:r>
          </w:p>
        </w:tc>
        <w:tc>
          <w:tcPr>
            <w:tcW w:w="1710" w:type="dxa"/>
            <w:noWrap/>
            <w:vAlign w:val="center"/>
            <w:hideMark/>
          </w:tcPr>
          <w:p w14:paraId="6DA6424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371.5 (162.5-982.5)</w:t>
            </w:r>
          </w:p>
        </w:tc>
        <w:tc>
          <w:tcPr>
            <w:tcW w:w="1710" w:type="dxa"/>
            <w:noWrap/>
            <w:vAlign w:val="center"/>
            <w:hideMark/>
          </w:tcPr>
          <w:p w14:paraId="1E4AD00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2218 (953-3662.75)</w:t>
            </w:r>
          </w:p>
        </w:tc>
        <w:tc>
          <w:tcPr>
            <w:tcW w:w="990" w:type="dxa"/>
            <w:noWrap/>
            <w:vAlign w:val="center"/>
            <w:hideMark/>
          </w:tcPr>
          <w:p w14:paraId="371A8138"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Variable</w:t>
            </w:r>
          </w:p>
        </w:tc>
        <w:tc>
          <w:tcPr>
            <w:tcW w:w="1196" w:type="dxa"/>
            <w:noWrap/>
            <w:vAlign w:val="center"/>
            <w:hideMark/>
          </w:tcPr>
          <w:p w14:paraId="0EDC066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parasites/</w:t>
            </w:r>
            <w:proofErr w:type="spellStart"/>
            <w:r w:rsidRPr="00296603">
              <w:rPr>
                <w:rFonts w:ascii="Cambria" w:eastAsia="Times New Roman" w:hAnsi="Cambria" w:cs="Times New Roman"/>
                <w:color w:val="000000"/>
                <w:sz w:val="16"/>
                <w:szCs w:val="16"/>
              </w:rPr>
              <w:t>μL</w:t>
            </w:r>
            <w:proofErr w:type="spellEnd"/>
          </w:p>
        </w:tc>
      </w:tr>
    </w:tbl>
    <w:p w14:paraId="61980410" w14:textId="77777777" w:rsidR="005A3FE0" w:rsidRPr="00296603" w:rsidRDefault="005A3FE0" w:rsidP="005A3FE0">
      <w:pPr>
        <w:spacing w:line="360" w:lineRule="auto"/>
        <w:rPr>
          <w:rFonts w:ascii="Times New Roman" w:hAnsi="Times New Roman" w:cs="Times New Roman"/>
          <w:sz w:val="20"/>
          <w:szCs w:val="20"/>
        </w:rPr>
      </w:pPr>
    </w:p>
    <w:p w14:paraId="1FE0B35B"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Statistical comparison confirmed that many of these differ</w:t>
      </w:r>
      <w:r w:rsidR="002408AF" w:rsidRPr="00296603">
        <w:rPr>
          <w:rFonts w:ascii="Times New Roman" w:hAnsi="Times New Roman" w:cs="Times New Roman"/>
          <w:sz w:val="20"/>
          <w:szCs w:val="20"/>
        </w:rPr>
        <w:t xml:space="preserve">ences were significant (Table </w:t>
      </w:r>
      <w:r w:rsidRPr="00296603">
        <w:rPr>
          <w:rFonts w:ascii="Times New Roman" w:hAnsi="Times New Roman" w:cs="Times New Roman"/>
          <w:sz w:val="20"/>
          <w:szCs w:val="20"/>
        </w:rPr>
        <w:t xml:space="preserve">2).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and RBC counts were significantly lower i</w:t>
      </w:r>
      <w:r w:rsidR="005A3FE0" w:rsidRPr="00296603">
        <w:rPr>
          <w:rFonts w:ascii="Times New Roman" w:hAnsi="Times New Roman" w:cs="Times New Roman"/>
          <w:sz w:val="20"/>
          <w:szCs w:val="20"/>
        </w:rPr>
        <w:t>n symptomatic participants (p &lt; 0.001</w:t>
      </w:r>
      <w:r w:rsidRPr="00296603">
        <w:rPr>
          <w:rFonts w:ascii="Times New Roman" w:hAnsi="Times New Roman" w:cs="Times New Roman"/>
          <w:sz w:val="20"/>
          <w:szCs w:val="20"/>
        </w:rPr>
        <w:t>), both demonstrating large effect sizes. MCV and MCH were also significantly reduced (p = 0.014 and p = 0.022, respectively), though with smaller effect sizes. MCHC showed a significant reduction usi</w:t>
      </w:r>
      <w:r w:rsidR="005A3FE0" w:rsidRPr="00296603">
        <w:rPr>
          <w:rFonts w:ascii="Times New Roman" w:hAnsi="Times New Roman" w:cs="Times New Roman"/>
          <w:sz w:val="20"/>
          <w:szCs w:val="20"/>
        </w:rPr>
        <w:t xml:space="preserve">ng the Mann–Whitney U test (p &lt; </w:t>
      </w:r>
      <w:r w:rsidRPr="00296603">
        <w:rPr>
          <w:rFonts w:ascii="Times New Roman" w:hAnsi="Times New Roman" w:cs="Times New Roman"/>
          <w:sz w:val="20"/>
          <w:szCs w:val="20"/>
        </w:rPr>
        <w:t>0.00</w:t>
      </w:r>
      <w:r w:rsidR="005A3FE0" w:rsidRPr="00296603">
        <w:rPr>
          <w:rFonts w:ascii="Times New Roman" w:hAnsi="Times New Roman" w:cs="Times New Roman"/>
          <w:sz w:val="20"/>
          <w:szCs w:val="20"/>
        </w:rPr>
        <w:t>1</w:t>
      </w:r>
      <w:r w:rsidRPr="00296603">
        <w:rPr>
          <w:rFonts w:ascii="Times New Roman" w:hAnsi="Times New Roman" w:cs="Times New Roman"/>
          <w:sz w:val="20"/>
          <w:szCs w:val="20"/>
        </w:rPr>
        <w:t xml:space="preserve">) with a large effect size. Platelet counts exhibited a highly significant decrease </w:t>
      </w:r>
      <w:r w:rsidR="005A3FE0" w:rsidRPr="00296603">
        <w:rPr>
          <w:rFonts w:ascii="Times New Roman" w:hAnsi="Times New Roman" w:cs="Times New Roman"/>
          <w:sz w:val="20"/>
          <w:szCs w:val="20"/>
        </w:rPr>
        <w:t>in symptomatic participants (p &lt; 0.001</w:t>
      </w:r>
      <w:r w:rsidRPr="00296603">
        <w:rPr>
          <w:rFonts w:ascii="Times New Roman" w:hAnsi="Times New Roman" w:cs="Times New Roman"/>
          <w:sz w:val="20"/>
          <w:szCs w:val="20"/>
        </w:rPr>
        <w:t>) with a large effect size, while WBC counts were significantly higher (p = 0.001) with a medium effect size.</w:t>
      </w:r>
    </w:p>
    <w:p w14:paraId="0A4D5FDC"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Biochemical parameters demonstrated similarly strong statistical differences. AST and ALT were significantly el</w:t>
      </w:r>
      <w:r w:rsidR="005A3FE0" w:rsidRPr="00296603">
        <w:rPr>
          <w:rFonts w:ascii="Times New Roman" w:hAnsi="Times New Roman" w:cs="Times New Roman"/>
          <w:sz w:val="20"/>
          <w:szCs w:val="20"/>
        </w:rPr>
        <w:t>evated in symptomatic cases (p &lt; 0.001</w:t>
      </w:r>
      <w:r w:rsidRPr="00296603">
        <w:rPr>
          <w:rFonts w:ascii="Times New Roman" w:hAnsi="Times New Roman" w:cs="Times New Roman"/>
          <w:sz w:val="20"/>
          <w:szCs w:val="20"/>
        </w:rPr>
        <w:t>), both with large effect sizes. Total, direct, and indirect bilirubin concentrations were al</w:t>
      </w:r>
      <w:r w:rsidR="005A3FE0" w:rsidRPr="00296603">
        <w:rPr>
          <w:rFonts w:ascii="Times New Roman" w:hAnsi="Times New Roman" w:cs="Times New Roman"/>
          <w:sz w:val="20"/>
          <w:szCs w:val="20"/>
        </w:rPr>
        <w:t>so significantly higher (all p &lt; 0.001</w:t>
      </w:r>
      <w:r w:rsidRPr="00296603">
        <w:rPr>
          <w:rFonts w:ascii="Times New Roman" w:hAnsi="Times New Roman" w:cs="Times New Roman"/>
          <w:sz w:val="20"/>
          <w:szCs w:val="20"/>
        </w:rPr>
        <w:t xml:space="preserve">), each with large effect sizes. Renal markers, including urea and creatinine, showed significant increases </w:t>
      </w:r>
      <w:r w:rsidR="005A3FE0" w:rsidRPr="00296603">
        <w:rPr>
          <w:rFonts w:ascii="Times New Roman" w:hAnsi="Times New Roman" w:cs="Times New Roman"/>
          <w:sz w:val="20"/>
          <w:szCs w:val="20"/>
        </w:rPr>
        <w:t>in symptomatic participants (p &lt; 0.0</w:t>
      </w:r>
      <w:r w:rsidRPr="00296603">
        <w:rPr>
          <w:rFonts w:ascii="Times New Roman" w:hAnsi="Times New Roman" w:cs="Times New Roman"/>
          <w:sz w:val="20"/>
          <w:szCs w:val="20"/>
        </w:rPr>
        <w:t>0</w:t>
      </w:r>
      <w:r w:rsidR="005A3FE0" w:rsidRPr="00296603">
        <w:rPr>
          <w:rFonts w:ascii="Times New Roman" w:hAnsi="Times New Roman" w:cs="Times New Roman"/>
          <w:sz w:val="20"/>
          <w:szCs w:val="20"/>
        </w:rPr>
        <w:t>1</w:t>
      </w:r>
      <w:r w:rsidRPr="00296603">
        <w:rPr>
          <w:rFonts w:ascii="Times New Roman" w:hAnsi="Times New Roman" w:cs="Times New Roman"/>
          <w:sz w:val="20"/>
          <w:szCs w:val="20"/>
        </w:rPr>
        <w:t>), again with large</w:t>
      </w:r>
      <w:r w:rsidR="002408AF" w:rsidRPr="00296603">
        <w:rPr>
          <w:rFonts w:ascii="Times New Roman" w:hAnsi="Times New Roman" w:cs="Times New Roman"/>
          <w:sz w:val="20"/>
          <w:szCs w:val="20"/>
        </w:rPr>
        <w:t xml:space="preserve"> effect sizes. Overall, Table </w:t>
      </w:r>
      <w:r w:rsidRPr="00296603">
        <w:rPr>
          <w:rFonts w:ascii="Times New Roman" w:hAnsi="Times New Roman" w:cs="Times New Roman"/>
          <w:sz w:val="20"/>
          <w:szCs w:val="20"/>
        </w:rPr>
        <w:t>2 demonstrates that most laboratory differences between groups were not only statistically significant but also of considerable magnitude.</w:t>
      </w:r>
    </w:p>
    <w:p w14:paraId="55633E6E" w14:textId="77777777" w:rsidR="001269D6" w:rsidRPr="00296603" w:rsidRDefault="001269D6" w:rsidP="00227EC0">
      <w:pPr>
        <w:spacing w:after="160" w:line="360" w:lineRule="auto"/>
        <w:rPr>
          <w:rFonts w:ascii="Times New Roman" w:hAnsi="Times New Roman" w:cs="Times New Roman"/>
          <w:sz w:val="20"/>
          <w:szCs w:val="20"/>
        </w:rPr>
      </w:pPr>
    </w:p>
    <w:p w14:paraId="5B5EF50D" w14:textId="77777777" w:rsidR="001269D6" w:rsidRPr="00296603" w:rsidRDefault="001269D6" w:rsidP="00227EC0">
      <w:pPr>
        <w:spacing w:after="160" w:line="360" w:lineRule="auto"/>
        <w:rPr>
          <w:rFonts w:ascii="Times New Roman" w:hAnsi="Times New Roman" w:cs="Times New Roman"/>
          <w:sz w:val="20"/>
          <w:szCs w:val="20"/>
        </w:rPr>
      </w:pPr>
    </w:p>
    <w:p w14:paraId="64EBCD8F" w14:textId="77777777" w:rsidR="001269D6" w:rsidRPr="00296603" w:rsidRDefault="001269D6" w:rsidP="00227EC0">
      <w:pPr>
        <w:spacing w:after="160" w:line="360" w:lineRule="auto"/>
        <w:rPr>
          <w:rFonts w:ascii="Times New Roman" w:hAnsi="Times New Roman" w:cs="Times New Roman"/>
          <w:sz w:val="20"/>
          <w:szCs w:val="20"/>
        </w:rPr>
      </w:pPr>
    </w:p>
    <w:p w14:paraId="4539DEFC" w14:textId="77777777" w:rsidR="001269D6" w:rsidRPr="00296603" w:rsidRDefault="001269D6" w:rsidP="00227EC0">
      <w:pPr>
        <w:spacing w:after="160" w:line="360" w:lineRule="auto"/>
        <w:rPr>
          <w:rFonts w:ascii="Times New Roman" w:hAnsi="Times New Roman" w:cs="Times New Roman"/>
          <w:sz w:val="20"/>
          <w:szCs w:val="20"/>
        </w:rPr>
      </w:pPr>
    </w:p>
    <w:p w14:paraId="582C42EF" w14:textId="77777777" w:rsidR="001269D6" w:rsidRPr="00296603" w:rsidRDefault="002408AF" w:rsidP="001269D6">
      <w:pPr>
        <w:spacing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Table </w:t>
      </w:r>
      <w:r w:rsidR="001269D6" w:rsidRPr="00296603">
        <w:rPr>
          <w:rFonts w:ascii="Times New Roman" w:hAnsi="Times New Roman" w:cs="Times New Roman"/>
          <w:b/>
          <w:sz w:val="24"/>
          <w:szCs w:val="24"/>
        </w:rPr>
        <w:t>2: Statistical Comparison of Parameters between Groups</w:t>
      </w:r>
    </w:p>
    <w:tbl>
      <w:tblPr>
        <w:tblW w:w="10226" w:type="dxa"/>
        <w:tblInd w:w="-5" w:type="dxa"/>
        <w:tblBorders>
          <w:top w:val="single" w:sz="4" w:space="0" w:color="auto"/>
          <w:bottom w:val="single" w:sz="4" w:space="0" w:color="auto"/>
        </w:tblBorders>
        <w:tblLook w:val="04A0" w:firstRow="1" w:lastRow="0" w:firstColumn="1" w:lastColumn="0" w:noHBand="0" w:noVBand="1"/>
      </w:tblPr>
      <w:tblGrid>
        <w:gridCol w:w="1640"/>
        <w:gridCol w:w="1660"/>
        <w:gridCol w:w="1290"/>
        <w:gridCol w:w="1440"/>
        <w:gridCol w:w="1080"/>
        <w:gridCol w:w="816"/>
        <w:gridCol w:w="1160"/>
        <w:gridCol w:w="1140"/>
      </w:tblGrid>
      <w:tr w:rsidR="001269D6" w:rsidRPr="00296603" w14:paraId="2718392A" w14:textId="77777777" w:rsidTr="00D74830">
        <w:trPr>
          <w:trHeight w:val="280"/>
        </w:trPr>
        <w:tc>
          <w:tcPr>
            <w:tcW w:w="1640" w:type="dxa"/>
            <w:tcBorders>
              <w:top w:val="single" w:sz="4" w:space="0" w:color="auto"/>
              <w:bottom w:val="single" w:sz="4" w:space="0" w:color="auto"/>
            </w:tcBorders>
            <w:noWrap/>
            <w:vAlign w:val="center"/>
            <w:hideMark/>
          </w:tcPr>
          <w:p w14:paraId="3510BF6A"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Parameter</w:t>
            </w:r>
          </w:p>
        </w:tc>
        <w:tc>
          <w:tcPr>
            <w:tcW w:w="1660" w:type="dxa"/>
            <w:tcBorders>
              <w:top w:val="single" w:sz="4" w:space="0" w:color="auto"/>
              <w:bottom w:val="single" w:sz="4" w:space="0" w:color="auto"/>
            </w:tcBorders>
            <w:noWrap/>
            <w:vAlign w:val="center"/>
            <w:hideMark/>
          </w:tcPr>
          <w:p w14:paraId="5E8C114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Statistical Test</w:t>
            </w:r>
          </w:p>
        </w:tc>
        <w:tc>
          <w:tcPr>
            <w:tcW w:w="1290" w:type="dxa"/>
            <w:tcBorders>
              <w:top w:val="single" w:sz="4" w:space="0" w:color="auto"/>
              <w:bottom w:val="single" w:sz="4" w:space="0" w:color="auto"/>
            </w:tcBorders>
            <w:noWrap/>
            <w:vAlign w:val="center"/>
            <w:hideMark/>
          </w:tcPr>
          <w:p w14:paraId="3E7F035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Asymptomatic mean ± SD</w:t>
            </w:r>
          </w:p>
        </w:tc>
        <w:tc>
          <w:tcPr>
            <w:tcW w:w="1440" w:type="dxa"/>
            <w:tcBorders>
              <w:top w:val="single" w:sz="4" w:space="0" w:color="auto"/>
              <w:bottom w:val="single" w:sz="4" w:space="0" w:color="auto"/>
            </w:tcBorders>
            <w:noWrap/>
            <w:vAlign w:val="center"/>
            <w:hideMark/>
          </w:tcPr>
          <w:p w14:paraId="29AF1B4F"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Symptomatic Mean ± SD</w:t>
            </w:r>
          </w:p>
        </w:tc>
        <w:tc>
          <w:tcPr>
            <w:tcW w:w="1080" w:type="dxa"/>
            <w:tcBorders>
              <w:top w:val="single" w:sz="4" w:space="0" w:color="auto"/>
              <w:bottom w:val="single" w:sz="4" w:space="0" w:color="auto"/>
            </w:tcBorders>
            <w:noWrap/>
            <w:vAlign w:val="center"/>
            <w:hideMark/>
          </w:tcPr>
          <w:p w14:paraId="3DB77A3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Test Statistic</w:t>
            </w:r>
          </w:p>
        </w:tc>
        <w:tc>
          <w:tcPr>
            <w:tcW w:w="816" w:type="dxa"/>
            <w:tcBorders>
              <w:top w:val="single" w:sz="4" w:space="0" w:color="auto"/>
              <w:bottom w:val="single" w:sz="4" w:space="0" w:color="auto"/>
            </w:tcBorders>
            <w:noWrap/>
            <w:vAlign w:val="center"/>
            <w:hideMark/>
          </w:tcPr>
          <w:p w14:paraId="42D88BF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p-value</w:t>
            </w:r>
          </w:p>
        </w:tc>
        <w:tc>
          <w:tcPr>
            <w:tcW w:w="1160" w:type="dxa"/>
            <w:tcBorders>
              <w:top w:val="single" w:sz="4" w:space="0" w:color="auto"/>
              <w:bottom w:val="single" w:sz="4" w:space="0" w:color="auto"/>
            </w:tcBorders>
            <w:noWrap/>
            <w:vAlign w:val="center"/>
            <w:hideMark/>
          </w:tcPr>
          <w:p w14:paraId="087F33FE"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Effect Size1</w:t>
            </w:r>
          </w:p>
        </w:tc>
        <w:tc>
          <w:tcPr>
            <w:tcW w:w="1140" w:type="dxa"/>
            <w:tcBorders>
              <w:top w:val="single" w:sz="4" w:space="0" w:color="auto"/>
              <w:bottom w:val="single" w:sz="4" w:space="0" w:color="auto"/>
            </w:tcBorders>
            <w:noWrap/>
            <w:vAlign w:val="center"/>
            <w:hideMark/>
          </w:tcPr>
          <w:p w14:paraId="12FA4AE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Significant2</w:t>
            </w:r>
          </w:p>
        </w:tc>
      </w:tr>
      <w:tr w:rsidR="001269D6" w:rsidRPr="00296603" w14:paraId="2AA6E59A" w14:textId="77777777" w:rsidTr="00D74830">
        <w:trPr>
          <w:trHeight w:val="280"/>
        </w:trPr>
        <w:tc>
          <w:tcPr>
            <w:tcW w:w="1640" w:type="dxa"/>
            <w:tcBorders>
              <w:top w:val="single" w:sz="4" w:space="0" w:color="auto"/>
            </w:tcBorders>
            <w:noWrap/>
            <w:vAlign w:val="center"/>
            <w:hideMark/>
          </w:tcPr>
          <w:p w14:paraId="6755D167"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Hemoglobin</w:t>
            </w:r>
          </w:p>
        </w:tc>
        <w:tc>
          <w:tcPr>
            <w:tcW w:w="1660" w:type="dxa"/>
            <w:tcBorders>
              <w:top w:val="single" w:sz="4" w:space="0" w:color="auto"/>
            </w:tcBorders>
            <w:noWrap/>
            <w:vAlign w:val="center"/>
            <w:hideMark/>
          </w:tcPr>
          <w:p w14:paraId="624F51C1"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tcBorders>
              <w:top w:val="single" w:sz="4" w:space="0" w:color="auto"/>
            </w:tcBorders>
            <w:noWrap/>
            <w:vAlign w:val="center"/>
            <w:hideMark/>
          </w:tcPr>
          <w:p w14:paraId="1800443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12.94 ± 2.01</w:t>
            </w:r>
          </w:p>
        </w:tc>
        <w:tc>
          <w:tcPr>
            <w:tcW w:w="1440" w:type="dxa"/>
            <w:tcBorders>
              <w:top w:val="single" w:sz="4" w:space="0" w:color="auto"/>
            </w:tcBorders>
            <w:noWrap/>
            <w:vAlign w:val="center"/>
            <w:hideMark/>
          </w:tcPr>
          <w:p w14:paraId="5D44AE9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10.77 ± 2.36</w:t>
            </w:r>
          </w:p>
        </w:tc>
        <w:tc>
          <w:tcPr>
            <w:tcW w:w="1080" w:type="dxa"/>
            <w:tcBorders>
              <w:top w:val="single" w:sz="4" w:space="0" w:color="auto"/>
            </w:tcBorders>
            <w:noWrap/>
            <w:vAlign w:val="center"/>
            <w:hideMark/>
          </w:tcPr>
          <w:p w14:paraId="2EE9D54E"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5.563</w:t>
            </w:r>
          </w:p>
        </w:tc>
        <w:tc>
          <w:tcPr>
            <w:tcW w:w="816" w:type="dxa"/>
            <w:tcBorders>
              <w:top w:val="single" w:sz="4" w:space="0" w:color="auto"/>
            </w:tcBorders>
            <w:noWrap/>
            <w:vAlign w:val="center"/>
            <w:hideMark/>
          </w:tcPr>
          <w:p w14:paraId="5BA8E90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tcBorders>
              <w:top w:val="single" w:sz="4" w:space="0" w:color="auto"/>
            </w:tcBorders>
            <w:noWrap/>
            <w:vAlign w:val="center"/>
            <w:hideMark/>
          </w:tcPr>
          <w:p w14:paraId="79FF92C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tcBorders>
              <w:top w:val="single" w:sz="4" w:space="0" w:color="auto"/>
            </w:tcBorders>
            <w:noWrap/>
            <w:vAlign w:val="center"/>
            <w:hideMark/>
          </w:tcPr>
          <w:p w14:paraId="5CAE6D6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003C8331" w14:textId="77777777" w:rsidTr="00D74830">
        <w:trPr>
          <w:trHeight w:val="280"/>
        </w:trPr>
        <w:tc>
          <w:tcPr>
            <w:tcW w:w="1640" w:type="dxa"/>
            <w:noWrap/>
            <w:vAlign w:val="center"/>
            <w:hideMark/>
          </w:tcPr>
          <w:p w14:paraId="5FC303BC"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RBC</w:t>
            </w:r>
          </w:p>
        </w:tc>
        <w:tc>
          <w:tcPr>
            <w:tcW w:w="1660" w:type="dxa"/>
            <w:noWrap/>
            <w:vAlign w:val="center"/>
            <w:hideMark/>
          </w:tcPr>
          <w:p w14:paraId="57732560"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776DCB2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4.85 ± 0.56</w:t>
            </w:r>
          </w:p>
        </w:tc>
        <w:tc>
          <w:tcPr>
            <w:tcW w:w="1440" w:type="dxa"/>
            <w:noWrap/>
            <w:vAlign w:val="center"/>
            <w:hideMark/>
          </w:tcPr>
          <w:p w14:paraId="4A17C45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4.08 ± 0.69</w:t>
            </w:r>
          </w:p>
        </w:tc>
        <w:tc>
          <w:tcPr>
            <w:tcW w:w="1080" w:type="dxa"/>
            <w:noWrap/>
            <w:vAlign w:val="center"/>
            <w:hideMark/>
          </w:tcPr>
          <w:p w14:paraId="0CD39BAB"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6.804</w:t>
            </w:r>
          </w:p>
        </w:tc>
        <w:tc>
          <w:tcPr>
            <w:tcW w:w="816" w:type="dxa"/>
            <w:noWrap/>
            <w:vAlign w:val="center"/>
            <w:hideMark/>
          </w:tcPr>
          <w:p w14:paraId="2D0797B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1754CC0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2B2331D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63D7A7F6" w14:textId="77777777" w:rsidTr="00D74830">
        <w:trPr>
          <w:trHeight w:val="280"/>
        </w:trPr>
        <w:tc>
          <w:tcPr>
            <w:tcW w:w="1640" w:type="dxa"/>
            <w:noWrap/>
            <w:vAlign w:val="center"/>
            <w:hideMark/>
          </w:tcPr>
          <w:p w14:paraId="2C81A01B"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MCV</w:t>
            </w:r>
          </w:p>
        </w:tc>
        <w:tc>
          <w:tcPr>
            <w:tcW w:w="1660" w:type="dxa"/>
            <w:noWrap/>
            <w:vAlign w:val="center"/>
            <w:hideMark/>
          </w:tcPr>
          <w:p w14:paraId="03E7F339"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746A712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89.72 ± 7.77</w:t>
            </w:r>
          </w:p>
        </w:tc>
        <w:tc>
          <w:tcPr>
            <w:tcW w:w="1440" w:type="dxa"/>
            <w:noWrap/>
            <w:vAlign w:val="center"/>
            <w:hideMark/>
          </w:tcPr>
          <w:p w14:paraId="3284B04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85.96 ± 9.06</w:t>
            </w:r>
          </w:p>
        </w:tc>
        <w:tc>
          <w:tcPr>
            <w:tcW w:w="1080" w:type="dxa"/>
            <w:noWrap/>
            <w:vAlign w:val="center"/>
            <w:hideMark/>
          </w:tcPr>
          <w:p w14:paraId="276B610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2.510</w:t>
            </w:r>
          </w:p>
        </w:tc>
        <w:tc>
          <w:tcPr>
            <w:tcW w:w="816" w:type="dxa"/>
            <w:noWrap/>
            <w:vAlign w:val="center"/>
            <w:hideMark/>
          </w:tcPr>
          <w:p w14:paraId="5D76C74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0.014</w:t>
            </w:r>
          </w:p>
        </w:tc>
        <w:tc>
          <w:tcPr>
            <w:tcW w:w="1160" w:type="dxa"/>
            <w:noWrap/>
            <w:vAlign w:val="center"/>
            <w:hideMark/>
          </w:tcPr>
          <w:p w14:paraId="30C6BD7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Small</w:t>
            </w:r>
          </w:p>
        </w:tc>
        <w:tc>
          <w:tcPr>
            <w:tcW w:w="1140" w:type="dxa"/>
            <w:noWrap/>
            <w:vAlign w:val="center"/>
            <w:hideMark/>
          </w:tcPr>
          <w:p w14:paraId="535E4DB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59FA7F62" w14:textId="77777777" w:rsidTr="00D74830">
        <w:trPr>
          <w:trHeight w:val="280"/>
        </w:trPr>
        <w:tc>
          <w:tcPr>
            <w:tcW w:w="1640" w:type="dxa"/>
            <w:noWrap/>
            <w:vAlign w:val="center"/>
            <w:hideMark/>
          </w:tcPr>
          <w:p w14:paraId="635383B3"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MCH</w:t>
            </w:r>
          </w:p>
        </w:tc>
        <w:tc>
          <w:tcPr>
            <w:tcW w:w="1660" w:type="dxa"/>
            <w:noWrap/>
            <w:vAlign w:val="center"/>
            <w:hideMark/>
          </w:tcPr>
          <w:p w14:paraId="15F0431F"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3D4BAE9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28.8 ± 3.14</w:t>
            </w:r>
          </w:p>
        </w:tc>
        <w:tc>
          <w:tcPr>
            <w:tcW w:w="1440" w:type="dxa"/>
            <w:noWrap/>
            <w:vAlign w:val="center"/>
            <w:hideMark/>
          </w:tcPr>
          <w:p w14:paraId="1B76994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27.39 ± 3.67</w:t>
            </w:r>
          </w:p>
        </w:tc>
        <w:tc>
          <w:tcPr>
            <w:tcW w:w="1080" w:type="dxa"/>
            <w:noWrap/>
            <w:vAlign w:val="center"/>
            <w:hideMark/>
          </w:tcPr>
          <w:p w14:paraId="2FE2DCE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2.325</w:t>
            </w:r>
          </w:p>
        </w:tc>
        <w:tc>
          <w:tcPr>
            <w:tcW w:w="816" w:type="dxa"/>
            <w:noWrap/>
            <w:vAlign w:val="center"/>
            <w:hideMark/>
          </w:tcPr>
          <w:p w14:paraId="2D419F4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0.022</w:t>
            </w:r>
          </w:p>
        </w:tc>
        <w:tc>
          <w:tcPr>
            <w:tcW w:w="1160" w:type="dxa"/>
            <w:noWrap/>
            <w:vAlign w:val="center"/>
            <w:hideMark/>
          </w:tcPr>
          <w:p w14:paraId="4987347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Small</w:t>
            </w:r>
          </w:p>
        </w:tc>
        <w:tc>
          <w:tcPr>
            <w:tcW w:w="1140" w:type="dxa"/>
            <w:noWrap/>
            <w:vAlign w:val="center"/>
            <w:hideMark/>
          </w:tcPr>
          <w:p w14:paraId="62F4876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6B3FC689" w14:textId="77777777" w:rsidTr="00D74830">
        <w:trPr>
          <w:trHeight w:val="280"/>
        </w:trPr>
        <w:tc>
          <w:tcPr>
            <w:tcW w:w="1640" w:type="dxa"/>
            <w:noWrap/>
            <w:vAlign w:val="center"/>
            <w:hideMark/>
          </w:tcPr>
          <w:p w14:paraId="79F5C90F"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MCHC</w:t>
            </w:r>
          </w:p>
        </w:tc>
        <w:tc>
          <w:tcPr>
            <w:tcW w:w="1660" w:type="dxa"/>
            <w:noWrap/>
            <w:vAlign w:val="center"/>
            <w:hideMark/>
          </w:tcPr>
          <w:p w14:paraId="652F4B51"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Mann-Whitney U</w:t>
            </w:r>
          </w:p>
        </w:tc>
        <w:tc>
          <w:tcPr>
            <w:tcW w:w="1290" w:type="dxa"/>
            <w:noWrap/>
            <w:vAlign w:val="center"/>
            <w:hideMark/>
          </w:tcPr>
          <w:p w14:paraId="626960D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33.99 ± 2.08</w:t>
            </w:r>
          </w:p>
        </w:tc>
        <w:tc>
          <w:tcPr>
            <w:tcW w:w="1440" w:type="dxa"/>
            <w:noWrap/>
            <w:vAlign w:val="center"/>
            <w:hideMark/>
          </w:tcPr>
          <w:p w14:paraId="7FB48F4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32.29 ± 2.62</w:t>
            </w:r>
          </w:p>
        </w:tc>
        <w:tc>
          <w:tcPr>
            <w:tcW w:w="1080" w:type="dxa"/>
            <w:noWrap/>
            <w:vAlign w:val="center"/>
            <w:hideMark/>
          </w:tcPr>
          <w:p w14:paraId="4CE8ECE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3577.000</w:t>
            </w:r>
          </w:p>
        </w:tc>
        <w:tc>
          <w:tcPr>
            <w:tcW w:w="816" w:type="dxa"/>
            <w:noWrap/>
            <w:vAlign w:val="center"/>
            <w:hideMark/>
          </w:tcPr>
          <w:p w14:paraId="1ED56BF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7C9B4A2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6C78A43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531B0B90" w14:textId="77777777" w:rsidTr="00D74830">
        <w:trPr>
          <w:trHeight w:val="280"/>
        </w:trPr>
        <w:tc>
          <w:tcPr>
            <w:tcW w:w="1640" w:type="dxa"/>
            <w:noWrap/>
            <w:vAlign w:val="center"/>
            <w:hideMark/>
          </w:tcPr>
          <w:p w14:paraId="08B074C7"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Platelets</w:t>
            </w:r>
          </w:p>
        </w:tc>
        <w:tc>
          <w:tcPr>
            <w:tcW w:w="1660" w:type="dxa"/>
            <w:noWrap/>
            <w:vAlign w:val="center"/>
            <w:hideMark/>
          </w:tcPr>
          <w:p w14:paraId="747CA545"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6CDD43FF"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293.99 ± 76.25</w:t>
            </w:r>
          </w:p>
        </w:tc>
        <w:tc>
          <w:tcPr>
            <w:tcW w:w="1440" w:type="dxa"/>
            <w:noWrap/>
            <w:vAlign w:val="center"/>
            <w:hideMark/>
          </w:tcPr>
          <w:p w14:paraId="7F86784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176.46 ± 76.13</w:t>
            </w:r>
          </w:p>
        </w:tc>
        <w:tc>
          <w:tcPr>
            <w:tcW w:w="1080" w:type="dxa"/>
            <w:noWrap/>
            <w:vAlign w:val="center"/>
            <w:hideMark/>
          </w:tcPr>
          <w:p w14:paraId="64C0681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8.908</w:t>
            </w:r>
          </w:p>
        </w:tc>
        <w:tc>
          <w:tcPr>
            <w:tcW w:w="816" w:type="dxa"/>
            <w:noWrap/>
            <w:vAlign w:val="center"/>
            <w:hideMark/>
          </w:tcPr>
          <w:p w14:paraId="4466651E"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2742082A"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2B400C0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4889372D" w14:textId="77777777" w:rsidTr="00D74830">
        <w:trPr>
          <w:trHeight w:val="280"/>
        </w:trPr>
        <w:tc>
          <w:tcPr>
            <w:tcW w:w="1640" w:type="dxa"/>
            <w:noWrap/>
            <w:vAlign w:val="center"/>
            <w:hideMark/>
          </w:tcPr>
          <w:p w14:paraId="4F978008"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WBC</w:t>
            </w:r>
          </w:p>
        </w:tc>
        <w:tc>
          <w:tcPr>
            <w:tcW w:w="1660" w:type="dxa"/>
            <w:noWrap/>
            <w:vAlign w:val="center"/>
            <w:hideMark/>
          </w:tcPr>
          <w:p w14:paraId="0217A241"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5FB847F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6.11 ± 1.85</w:t>
            </w:r>
          </w:p>
        </w:tc>
        <w:tc>
          <w:tcPr>
            <w:tcW w:w="1440" w:type="dxa"/>
            <w:noWrap/>
            <w:vAlign w:val="center"/>
            <w:hideMark/>
          </w:tcPr>
          <w:p w14:paraId="3BACC87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7.57 ± 2.81</w:t>
            </w:r>
          </w:p>
        </w:tc>
        <w:tc>
          <w:tcPr>
            <w:tcW w:w="1080" w:type="dxa"/>
            <w:noWrap/>
            <w:vAlign w:val="center"/>
            <w:hideMark/>
          </w:tcPr>
          <w:p w14:paraId="6E93348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−3.326</w:t>
            </w:r>
          </w:p>
        </w:tc>
        <w:tc>
          <w:tcPr>
            <w:tcW w:w="816" w:type="dxa"/>
            <w:noWrap/>
            <w:vAlign w:val="center"/>
            <w:hideMark/>
          </w:tcPr>
          <w:p w14:paraId="2052FAD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0.001</w:t>
            </w:r>
          </w:p>
        </w:tc>
        <w:tc>
          <w:tcPr>
            <w:tcW w:w="1160" w:type="dxa"/>
            <w:noWrap/>
            <w:vAlign w:val="center"/>
            <w:hideMark/>
          </w:tcPr>
          <w:p w14:paraId="2A6D847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Medium</w:t>
            </w:r>
          </w:p>
        </w:tc>
        <w:tc>
          <w:tcPr>
            <w:tcW w:w="1140" w:type="dxa"/>
            <w:noWrap/>
            <w:vAlign w:val="center"/>
            <w:hideMark/>
          </w:tcPr>
          <w:p w14:paraId="4680715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11D51848" w14:textId="77777777" w:rsidTr="00D74830">
        <w:trPr>
          <w:trHeight w:val="280"/>
        </w:trPr>
        <w:tc>
          <w:tcPr>
            <w:tcW w:w="1640" w:type="dxa"/>
            <w:noWrap/>
            <w:vAlign w:val="center"/>
            <w:hideMark/>
          </w:tcPr>
          <w:p w14:paraId="53169D00"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AST</w:t>
            </w:r>
          </w:p>
        </w:tc>
        <w:tc>
          <w:tcPr>
            <w:tcW w:w="1660" w:type="dxa"/>
            <w:noWrap/>
            <w:vAlign w:val="center"/>
            <w:hideMark/>
          </w:tcPr>
          <w:p w14:paraId="2591F92B"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Mann-Whitney U</w:t>
            </w:r>
          </w:p>
        </w:tc>
        <w:tc>
          <w:tcPr>
            <w:tcW w:w="1290" w:type="dxa"/>
            <w:noWrap/>
            <w:vAlign w:val="center"/>
            <w:hideMark/>
          </w:tcPr>
          <w:p w14:paraId="6C10BD3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28.27 ± 12.11</w:t>
            </w:r>
          </w:p>
        </w:tc>
        <w:tc>
          <w:tcPr>
            <w:tcW w:w="1440" w:type="dxa"/>
            <w:noWrap/>
            <w:vAlign w:val="center"/>
            <w:hideMark/>
          </w:tcPr>
          <w:p w14:paraId="5938A61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46.8 ± 17.12</w:t>
            </w:r>
          </w:p>
        </w:tc>
        <w:tc>
          <w:tcPr>
            <w:tcW w:w="1080" w:type="dxa"/>
            <w:noWrap/>
            <w:vAlign w:val="center"/>
            <w:hideMark/>
          </w:tcPr>
          <w:p w14:paraId="6D48FE4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954.000</w:t>
            </w:r>
          </w:p>
        </w:tc>
        <w:tc>
          <w:tcPr>
            <w:tcW w:w="816" w:type="dxa"/>
            <w:noWrap/>
            <w:vAlign w:val="center"/>
            <w:hideMark/>
          </w:tcPr>
          <w:p w14:paraId="2450950F"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4273263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568D9D3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3F50FD05" w14:textId="77777777" w:rsidTr="00D74830">
        <w:trPr>
          <w:trHeight w:val="280"/>
        </w:trPr>
        <w:tc>
          <w:tcPr>
            <w:tcW w:w="1640" w:type="dxa"/>
            <w:noWrap/>
            <w:vAlign w:val="center"/>
            <w:hideMark/>
          </w:tcPr>
          <w:p w14:paraId="371138B4"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ALT</w:t>
            </w:r>
          </w:p>
        </w:tc>
        <w:tc>
          <w:tcPr>
            <w:tcW w:w="1660" w:type="dxa"/>
            <w:noWrap/>
            <w:vAlign w:val="center"/>
            <w:hideMark/>
          </w:tcPr>
          <w:p w14:paraId="2AB93439"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1E15389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24.85 ± 9.67</w:t>
            </w:r>
          </w:p>
        </w:tc>
        <w:tc>
          <w:tcPr>
            <w:tcW w:w="1440" w:type="dxa"/>
            <w:noWrap/>
            <w:vAlign w:val="center"/>
            <w:hideMark/>
          </w:tcPr>
          <w:p w14:paraId="2F28B01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35.98 ± 16.74</w:t>
            </w:r>
          </w:p>
        </w:tc>
        <w:tc>
          <w:tcPr>
            <w:tcW w:w="1080" w:type="dxa"/>
            <w:noWrap/>
            <w:vAlign w:val="center"/>
            <w:hideMark/>
          </w:tcPr>
          <w:p w14:paraId="46F7C41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−4.352</w:t>
            </w:r>
          </w:p>
        </w:tc>
        <w:tc>
          <w:tcPr>
            <w:tcW w:w="816" w:type="dxa"/>
            <w:noWrap/>
            <w:vAlign w:val="center"/>
            <w:hideMark/>
          </w:tcPr>
          <w:p w14:paraId="2A2A4B2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3391AB6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7669438A"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0C09A72E" w14:textId="77777777" w:rsidTr="00D74830">
        <w:trPr>
          <w:trHeight w:val="280"/>
        </w:trPr>
        <w:tc>
          <w:tcPr>
            <w:tcW w:w="1640" w:type="dxa"/>
            <w:noWrap/>
            <w:vAlign w:val="center"/>
            <w:hideMark/>
          </w:tcPr>
          <w:p w14:paraId="21077445" w14:textId="77777777" w:rsidR="001269D6" w:rsidRPr="00296603" w:rsidRDefault="001269D6"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lastRenderedPageBreak/>
              <w:t>Total_Bilirubin</w:t>
            </w:r>
            <w:proofErr w:type="spellEnd"/>
          </w:p>
        </w:tc>
        <w:tc>
          <w:tcPr>
            <w:tcW w:w="1660" w:type="dxa"/>
            <w:noWrap/>
            <w:vAlign w:val="center"/>
            <w:hideMark/>
          </w:tcPr>
          <w:p w14:paraId="36045189"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5EB8BFC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0.79 ± 0.29</w:t>
            </w:r>
          </w:p>
        </w:tc>
        <w:tc>
          <w:tcPr>
            <w:tcW w:w="1440" w:type="dxa"/>
            <w:noWrap/>
            <w:vAlign w:val="center"/>
            <w:hideMark/>
          </w:tcPr>
          <w:p w14:paraId="70A1E1F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1.45 ± 0.6</w:t>
            </w:r>
          </w:p>
        </w:tc>
        <w:tc>
          <w:tcPr>
            <w:tcW w:w="1080" w:type="dxa"/>
            <w:noWrap/>
            <w:vAlign w:val="center"/>
            <w:hideMark/>
          </w:tcPr>
          <w:p w14:paraId="0D660B0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−7.368</w:t>
            </w:r>
          </w:p>
        </w:tc>
        <w:tc>
          <w:tcPr>
            <w:tcW w:w="816" w:type="dxa"/>
            <w:noWrap/>
            <w:vAlign w:val="center"/>
            <w:hideMark/>
          </w:tcPr>
          <w:p w14:paraId="1EC11C9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71720CD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3F6475D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7E634491" w14:textId="77777777" w:rsidTr="00D74830">
        <w:trPr>
          <w:trHeight w:val="280"/>
        </w:trPr>
        <w:tc>
          <w:tcPr>
            <w:tcW w:w="1640" w:type="dxa"/>
            <w:noWrap/>
            <w:vAlign w:val="center"/>
            <w:hideMark/>
          </w:tcPr>
          <w:p w14:paraId="695F3CAA" w14:textId="77777777" w:rsidR="001269D6" w:rsidRPr="00296603" w:rsidRDefault="001269D6"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Direct_Bilirubin</w:t>
            </w:r>
            <w:proofErr w:type="spellEnd"/>
          </w:p>
        </w:tc>
        <w:tc>
          <w:tcPr>
            <w:tcW w:w="1660" w:type="dxa"/>
            <w:noWrap/>
            <w:vAlign w:val="center"/>
            <w:hideMark/>
          </w:tcPr>
          <w:p w14:paraId="05A7455D"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Mann-Whitney U</w:t>
            </w:r>
          </w:p>
        </w:tc>
        <w:tc>
          <w:tcPr>
            <w:tcW w:w="1290" w:type="dxa"/>
            <w:noWrap/>
            <w:vAlign w:val="center"/>
            <w:hideMark/>
          </w:tcPr>
          <w:p w14:paraId="7D1CC11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0.13 ± 0.06</w:t>
            </w:r>
          </w:p>
        </w:tc>
        <w:tc>
          <w:tcPr>
            <w:tcW w:w="1440" w:type="dxa"/>
            <w:noWrap/>
            <w:vAlign w:val="center"/>
            <w:hideMark/>
          </w:tcPr>
          <w:p w14:paraId="5327C9E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0.25 ± 0.1</w:t>
            </w:r>
          </w:p>
        </w:tc>
        <w:tc>
          <w:tcPr>
            <w:tcW w:w="1080" w:type="dxa"/>
            <w:noWrap/>
            <w:vAlign w:val="center"/>
            <w:hideMark/>
          </w:tcPr>
          <w:p w14:paraId="387947D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747.500</w:t>
            </w:r>
          </w:p>
        </w:tc>
        <w:tc>
          <w:tcPr>
            <w:tcW w:w="816" w:type="dxa"/>
            <w:noWrap/>
            <w:vAlign w:val="center"/>
            <w:hideMark/>
          </w:tcPr>
          <w:p w14:paraId="1FC68B7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1EE0B46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2D750C3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37268E06" w14:textId="77777777" w:rsidTr="00D74830">
        <w:trPr>
          <w:trHeight w:val="280"/>
        </w:trPr>
        <w:tc>
          <w:tcPr>
            <w:tcW w:w="1640" w:type="dxa"/>
            <w:noWrap/>
            <w:vAlign w:val="center"/>
            <w:hideMark/>
          </w:tcPr>
          <w:p w14:paraId="414A68A9" w14:textId="77777777" w:rsidR="001269D6" w:rsidRPr="00296603" w:rsidRDefault="001269D6"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Indirect_Bilirubin</w:t>
            </w:r>
            <w:proofErr w:type="spellEnd"/>
          </w:p>
        </w:tc>
        <w:tc>
          <w:tcPr>
            <w:tcW w:w="1660" w:type="dxa"/>
            <w:noWrap/>
            <w:vAlign w:val="center"/>
            <w:hideMark/>
          </w:tcPr>
          <w:p w14:paraId="5E9DEA25"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Mann-Whitney U</w:t>
            </w:r>
          </w:p>
        </w:tc>
        <w:tc>
          <w:tcPr>
            <w:tcW w:w="1290" w:type="dxa"/>
            <w:noWrap/>
            <w:vAlign w:val="center"/>
            <w:hideMark/>
          </w:tcPr>
          <w:p w14:paraId="6B2C639B"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0.66 ± 0.28</w:t>
            </w:r>
          </w:p>
        </w:tc>
        <w:tc>
          <w:tcPr>
            <w:tcW w:w="1440" w:type="dxa"/>
            <w:noWrap/>
            <w:vAlign w:val="center"/>
            <w:hideMark/>
          </w:tcPr>
          <w:p w14:paraId="20F62D2B"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 ± 0.58</w:t>
            </w:r>
          </w:p>
        </w:tc>
        <w:tc>
          <w:tcPr>
            <w:tcW w:w="1080" w:type="dxa"/>
            <w:noWrap/>
            <w:vAlign w:val="center"/>
            <w:hideMark/>
          </w:tcPr>
          <w:p w14:paraId="1F2F87D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960.000</w:t>
            </w:r>
          </w:p>
        </w:tc>
        <w:tc>
          <w:tcPr>
            <w:tcW w:w="816" w:type="dxa"/>
            <w:noWrap/>
            <w:vAlign w:val="center"/>
            <w:hideMark/>
          </w:tcPr>
          <w:p w14:paraId="7D7B05F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739FC94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53F9F48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67E5EB17" w14:textId="77777777" w:rsidTr="00D74830">
        <w:trPr>
          <w:trHeight w:val="280"/>
        </w:trPr>
        <w:tc>
          <w:tcPr>
            <w:tcW w:w="1640" w:type="dxa"/>
            <w:noWrap/>
            <w:vAlign w:val="center"/>
            <w:hideMark/>
          </w:tcPr>
          <w:p w14:paraId="5D2351BF"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Urea</w:t>
            </w:r>
          </w:p>
        </w:tc>
        <w:tc>
          <w:tcPr>
            <w:tcW w:w="1660" w:type="dxa"/>
            <w:noWrap/>
            <w:vAlign w:val="center"/>
            <w:hideMark/>
          </w:tcPr>
          <w:p w14:paraId="2F03F6DC"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4622340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13.65 ± 3.99</w:t>
            </w:r>
          </w:p>
        </w:tc>
        <w:tc>
          <w:tcPr>
            <w:tcW w:w="1440" w:type="dxa"/>
            <w:noWrap/>
            <w:vAlign w:val="center"/>
            <w:hideMark/>
          </w:tcPr>
          <w:p w14:paraId="2932F62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18.1 ± 6.39</w:t>
            </w:r>
          </w:p>
        </w:tc>
        <w:tc>
          <w:tcPr>
            <w:tcW w:w="1080" w:type="dxa"/>
            <w:noWrap/>
            <w:vAlign w:val="center"/>
            <w:hideMark/>
          </w:tcPr>
          <w:p w14:paraId="231997C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−4.494</w:t>
            </w:r>
          </w:p>
        </w:tc>
        <w:tc>
          <w:tcPr>
            <w:tcW w:w="816" w:type="dxa"/>
            <w:noWrap/>
            <w:vAlign w:val="center"/>
            <w:hideMark/>
          </w:tcPr>
          <w:p w14:paraId="27DF5DF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3F24B5EE"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7E64463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0F8F4666" w14:textId="77777777" w:rsidTr="00D74830">
        <w:trPr>
          <w:trHeight w:val="280"/>
        </w:trPr>
        <w:tc>
          <w:tcPr>
            <w:tcW w:w="1640" w:type="dxa"/>
            <w:noWrap/>
            <w:vAlign w:val="center"/>
            <w:hideMark/>
          </w:tcPr>
          <w:p w14:paraId="7A78C62A"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Creatinine</w:t>
            </w:r>
          </w:p>
        </w:tc>
        <w:tc>
          <w:tcPr>
            <w:tcW w:w="1660" w:type="dxa"/>
            <w:noWrap/>
            <w:vAlign w:val="center"/>
            <w:hideMark/>
          </w:tcPr>
          <w:p w14:paraId="06574048"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5C49C9EB"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0.89 ± 0.19</w:t>
            </w:r>
          </w:p>
        </w:tc>
        <w:tc>
          <w:tcPr>
            <w:tcW w:w="1440" w:type="dxa"/>
            <w:noWrap/>
            <w:vAlign w:val="center"/>
            <w:hideMark/>
          </w:tcPr>
          <w:p w14:paraId="15D42C5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1.16 ± 0.3</w:t>
            </w:r>
          </w:p>
        </w:tc>
        <w:tc>
          <w:tcPr>
            <w:tcW w:w="1080" w:type="dxa"/>
            <w:noWrap/>
            <w:vAlign w:val="center"/>
            <w:hideMark/>
          </w:tcPr>
          <w:p w14:paraId="07B4E12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−5.915</w:t>
            </w:r>
          </w:p>
        </w:tc>
        <w:tc>
          <w:tcPr>
            <w:tcW w:w="816" w:type="dxa"/>
            <w:noWrap/>
            <w:vAlign w:val="center"/>
            <w:hideMark/>
          </w:tcPr>
          <w:p w14:paraId="412DE10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181E467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5C8258A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bl>
    <w:p w14:paraId="068C8116" w14:textId="77777777" w:rsidR="001269D6" w:rsidRPr="00296603" w:rsidRDefault="001269D6" w:rsidP="001269D6">
      <w:pPr>
        <w:spacing w:line="276" w:lineRule="auto"/>
        <w:rPr>
          <w:rFonts w:ascii="Times New Roman" w:hAnsi="Times New Roman" w:cs="Times New Roman"/>
          <w:i/>
        </w:rPr>
      </w:pPr>
      <w:r w:rsidRPr="00296603">
        <w:rPr>
          <w:rFonts w:ascii="Times New Roman" w:hAnsi="Times New Roman" w:cs="Times New Roman"/>
          <w:i/>
        </w:rPr>
        <w:t>1 Effect sizes: Negligible (&lt;0.2), Small (0.2-0.5), Medium (0.5-0.8), Large (&gt;0.8)</w:t>
      </w:r>
    </w:p>
    <w:p w14:paraId="5740EE26" w14:textId="77777777" w:rsidR="001269D6" w:rsidRPr="00296603" w:rsidRDefault="001269D6" w:rsidP="001269D6">
      <w:pPr>
        <w:rPr>
          <w:rFonts w:ascii="Times New Roman" w:hAnsi="Times New Roman" w:cs="Times New Roman"/>
          <w:i/>
        </w:rPr>
      </w:pPr>
      <w:r w:rsidRPr="00296603">
        <w:rPr>
          <w:rFonts w:ascii="Times New Roman" w:hAnsi="Times New Roman" w:cs="Times New Roman"/>
          <w:i/>
        </w:rPr>
        <w:t>2 * p &lt; 0.05 indicates a statistically significant difference</w:t>
      </w:r>
    </w:p>
    <w:p w14:paraId="70FD1ABE"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Within the asymptomatic group, parasite density exhibited wide v</w:t>
      </w:r>
      <w:r w:rsidR="002408AF" w:rsidRPr="00296603">
        <w:rPr>
          <w:rFonts w:ascii="Times New Roman" w:hAnsi="Times New Roman" w:cs="Times New Roman"/>
          <w:sz w:val="20"/>
          <w:szCs w:val="20"/>
        </w:rPr>
        <w:t xml:space="preserve">ariability. As shown in Table </w:t>
      </w:r>
      <w:r w:rsidRPr="00296603">
        <w:rPr>
          <w:rFonts w:ascii="Times New Roman" w:hAnsi="Times New Roman" w:cs="Times New Roman"/>
          <w:sz w:val="20"/>
          <w:szCs w:val="20"/>
        </w:rPr>
        <w:t>3, the mean parasite density was 758.37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with a median of 371.5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xml:space="preserve"> and values ranging from 21 to 9458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The interquartile range (162.5–982.5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xml:space="preserve">) indicated a skewed distribution, with some individuals </w:t>
      </w:r>
      <w:proofErr w:type="spellStart"/>
      <w:r w:rsidRPr="00296603">
        <w:rPr>
          <w:rFonts w:ascii="Times New Roman" w:hAnsi="Times New Roman" w:cs="Times New Roman"/>
          <w:sz w:val="20"/>
          <w:szCs w:val="20"/>
        </w:rPr>
        <w:t>harbouring</w:t>
      </w:r>
      <w:proofErr w:type="spellEnd"/>
      <w:r w:rsidRPr="00296603">
        <w:rPr>
          <w:rFonts w:ascii="Times New Roman" w:hAnsi="Times New Roman" w:cs="Times New Roman"/>
          <w:sz w:val="20"/>
          <w:szCs w:val="20"/>
        </w:rPr>
        <w:t xml:space="preserve"> substantial parasite loads despite the absence of clinical symptoms. The categorical di</w:t>
      </w:r>
      <w:r w:rsidR="002408AF" w:rsidRPr="00296603">
        <w:rPr>
          <w:rFonts w:ascii="Times New Roman" w:hAnsi="Times New Roman" w:cs="Times New Roman"/>
          <w:sz w:val="20"/>
          <w:szCs w:val="20"/>
        </w:rPr>
        <w:t xml:space="preserve">stribution presented in Figure </w:t>
      </w:r>
      <w:r w:rsidR="005B6893" w:rsidRPr="00296603">
        <w:rPr>
          <w:rFonts w:ascii="Times New Roman" w:hAnsi="Times New Roman" w:cs="Times New Roman"/>
          <w:sz w:val="20"/>
          <w:szCs w:val="20"/>
        </w:rPr>
        <w:t>2</w:t>
      </w:r>
      <w:r w:rsidRPr="00296603">
        <w:rPr>
          <w:rFonts w:ascii="Times New Roman" w:hAnsi="Times New Roman" w:cs="Times New Roman"/>
          <w:sz w:val="20"/>
          <w:szCs w:val="20"/>
        </w:rPr>
        <w:t xml:space="preserve"> shows that 66% of asymptomatic participants fell within the low-density range (100–999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22% within the moderate range (1000–9999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and 12% within the very low category (&lt;100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w:t>
      </w:r>
    </w:p>
    <w:p w14:paraId="38F7DD4A" w14:textId="77777777" w:rsidR="00A10532" w:rsidRPr="00296603" w:rsidRDefault="002408AF" w:rsidP="00A10532">
      <w:pPr>
        <w:spacing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Table </w:t>
      </w:r>
      <w:r w:rsidR="00A10532" w:rsidRPr="00296603">
        <w:rPr>
          <w:rFonts w:ascii="Times New Roman" w:hAnsi="Times New Roman" w:cs="Times New Roman"/>
          <w:b/>
          <w:sz w:val="24"/>
          <w:szCs w:val="24"/>
        </w:rPr>
        <w:t>3: Parasite Density Characteristics of Asymptomatic Malaria Patients</w:t>
      </w:r>
    </w:p>
    <w:tbl>
      <w:tblPr>
        <w:tblW w:w="4143" w:type="dxa"/>
        <w:tblInd w:w="-5" w:type="dxa"/>
        <w:tblBorders>
          <w:top w:val="single" w:sz="4" w:space="0" w:color="auto"/>
          <w:bottom w:val="single" w:sz="4" w:space="0" w:color="auto"/>
        </w:tblBorders>
        <w:tblLook w:val="04A0" w:firstRow="1" w:lastRow="0" w:firstColumn="1" w:lastColumn="0" w:noHBand="0" w:noVBand="1"/>
      </w:tblPr>
      <w:tblGrid>
        <w:gridCol w:w="2007"/>
        <w:gridCol w:w="2136"/>
      </w:tblGrid>
      <w:tr w:rsidR="00A10532" w:rsidRPr="00296603" w14:paraId="446C47E9" w14:textId="77777777" w:rsidTr="00D74830">
        <w:trPr>
          <w:trHeight w:val="290"/>
        </w:trPr>
        <w:tc>
          <w:tcPr>
            <w:tcW w:w="2007" w:type="dxa"/>
            <w:tcBorders>
              <w:top w:val="single" w:sz="4" w:space="0" w:color="auto"/>
              <w:bottom w:val="single" w:sz="4" w:space="0" w:color="auto"/>
            </w:tcBorders>
            <w:noWrap/>
            <w:vAlign w:val="center"/>
            <w:hideMark/>
          </w:tcPr>
          <w:p w14:paraId="17F139E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Statistical Measure</w:t>
            </w:r>
          </w:p>
        </w:tc>
        <w:tc>
          <w:tcPr>
            <w:tcW w:w="2136" w:type="dxa"/>
            <w:tcBorders>
              <w:top w:val="single" w:sz="4" w:space="0" w:color="auto"/>
              <w:bottom w:val="single" w:sz="4" w:space="0" w:color="auto"/>
            </w:tcBorders>
            <w:noWrap/>
            <w:vAlign w:val="center"/>
            <w:hideMark/>
          </w:tcPr>
          <w:p w14:paraId="1C45FF9F"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Value (parasites/</w:t>
            </w:r>
            <w:proofErr w:type="spellStart"/>
            <w:r w:rsidRPr="00296603">
              <w:rPr>
                <w:rFonts w:ascii="Cambria" w:eastAsia="Times New Roman" w:hAnsi="Cambria" w:cs="Times New Roman"/>
                <w:color w:val="000000"/>
                <w:sz w:val="20"/>
                <w:szCs w:val="20"/>
              </w:rPr>
              <w:t>μL</w:t>
            </w:r>
            <w:proofErr w:type="spellEnd"/>
            <w:r w:rsidRPr="00296603">
              <w:rPr>
                <w:rFonts w:ascii="Cambria" w:eastAsia="Times New Roman" w:hAnsi="Cambria" w:cs="Times New Roman"/>
                <w:color w:val="000000"/>
                <w:sz w:val="20"/>
                <w:szCs w:val="20"/>
              </w:rPr>
              <w:t>)</w:t>
            </w:r>
          </w:p>
        </w:tc>
      </w:tr>
      <w:tr w:rsidR="00A10532" w:rsidRPr="00296603" w14:paraId="739CC716" w14:textId="77777777" w:rsidTr="00D74830">
        <w:trPr>
          <w:trHeight w:val="290"/>
        </w:trPr>
        <w:tc>
          <w:tcPr>
            <w:tcW w:w="2007" w:type="dxa"/>
            <w:tcBorders>
              <w:top w:val="single" w:sz="4" w:space="0" w:color="auto"/>
            </w:tcBorders>
            <w:noWrap/>
            <w:vAlign w:val="center"/>
            <w:hideMark/>
          </w:tcPr>
          <w:p w14:paraId="090F849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w:t>
            </w:r>
          </w:p>
        </w:tc>
        <w:tc>
          <w:tcPr>
            <w:tcW w:w="2136" w:type="dxa"/>
            <w:tcBorders>
              <w:top w:val="single" w:sz="4" w:space="0" w:color="auto"/>
            </w:tcBorders>
            <w:noWrap/>
            <w:vAlign w:val="center"/>
            <w:hideMark/>
          </w:tcPr>
          <w:p w14:paraId="335F8C79"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100</w:t>
            </w:r>
          </w:p>
        </w:tc>
      </w:tr>
      <w:tr w:rsidR="00A10532" w:rsidRPr="00296603" w14:paraId="2E81D53D" w14:textId="77777777" w:rsidTr="00D74830">
        <w:trPr>
          <w:trHeight w:val="290"/>
        </w:trPr>
        <w:tc>
          <w:tcPr>
            <w:tcW w:w="2007" w:type="dxa"/>
            <w:noWrap/>
            <w:vAlign w:val="center"/>
            <w:hideMark/>
          </w:tcPr>
          <w:p w14:paraId="608E7B9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Mean</w:t>
            </w:r>
          </w:p>
        </w:tc>
        <w:tc>
          <w:tcPr>
            <w:tcW w:w="2136" w:type="dxa"/>
            <w:noWrap/>
            <w:vAlign w:val="center"/>
            <w:hideMark/>
          </w:tcPr>
          <w:p w14:paraId="55295A80"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758.37</w:t>
            </w:r>
          </w:p>
        </w:tc>
      </w:tr>
      <w:tr w:rsidR="00A10532" w:rsidRPr="00296603" w14:paraId="62035017" w14:textId="77777777" w:rsidTr="00D74830">
        <w:trPr>
          <w:trHeight w:val="290"/>
        </w:trPr>
        <w:tc>
          <w:tcPr>
            <w:tcW w:w="2007" w:type="dxa"/>
            <w:noWrap/>
            <w:vAlign w:val="center"/>
            <w:hideMark/>
          </w:tcPr>
          <w:p w14:paraId="45DE5ED9"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SD</w:t>
            </w:r>
          </w:p>
        </w:tc>
        <w:tc>
          <w:tcPr>
            <w:tcW w:w="2136" w:type="dxa"/>
            <w:noWrap/>
            <w:vAlign w:val="center"/>
            <w:hideMark/>
          </w:tcPr>
          <w:p w14:paraId="7EE994ED"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1216.94</w:t>
            </w:r>
          </w:p>
        </w:tc>
      </w:tr>
      <w:tr w:rsidR="00A10532" w:rsidRPr="00296603" w14:paraId="4977CC15" w14:textId="77777777" w:rsidTr="00D74830">
        <w:trPr>
          <w:trHeight w:val="290"/>
        </w:trPr>
        <w:tc>
          <w:tcPr>
            <w:tcW w:w="2007" w:type="dxa"/>
            <w:noWrap/>
            <w:vAlign w:val="center"/>
            <w:hideMark/>
          </w:tcPr>
          <w:p w14:paraId="3424764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Median</w:t>
            </w:r>
          </w:p>
        </w:tc>
        <w:tc>
          <w:tcPr>
            <w:tcW w:w="2136" w:type="dxa"/>
            <w:noWrap/>
            <w:vAlign w:val="center"/>
            <w:hideMark/>
          </w:tcPr>
          <w:p w14:paraId="75DA0ED4"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371.5</w:t>
            </w:r>
          </w:p>
        </w:tc>
      </w:tr>
      <w:tr w:rsidR="00A10532" w:rsidRPr="00296603" w14:paraId="0BFF64A1" w14:textId="77777777" w:rsidTr="00D74830">
        <w:trPr>
          <w:trHeight w:val="290"/>
        </w:trPr>
        <w:tc>
          <w:tcPr>
            <w:tcW w:w="2007" w:type="dxa"/>
            <w:noWrap/>
            <w:vAlign w:val="center"/>
            <w:hideMark/>
          </w:tcPr>
          <w:p w14:paraId="13DD1F38"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Q1</w:t>
            </w:r>
          </w:p>
        </w:tc>
        <w:tc>
          <w:tcPr>
            <w:tcW w:w="2136" w:type="dxa"/>
            <w:noWrap/>
            <w:vAlign w:val="center"/>
            <w:hideMark/>
          </w:tcPr>
          <w:p w14:paraId="250355CD"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162.5</w:t>
            </w:r>
          </w:p>
        </w:tc>
      </w:tr>
      <w:tr w:rsidR="00A10532" w:rsidRPr="00296603" w14:paraId="68C3946B" w14:textId="77777777" w:rsidTr="00D74830">
        <w:trPr>
          <w:trHeight w:val="290"/>
        </w:trPr>
        <w:tc>
          <w:tcPr>
            <w:tcW w:w="2007" w:type="dxa"/>
            <w:noWrap/>
            <w:vAlign w:val="center"/>
            <w:hideMark/>
          </w:tcPr>
          <w:p w14:paraId="5FC42F1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Q3</w:t>
            </w:r>
          </w:p>
        </w:tc>
        <w:tc>
          <w:tcPr>
            <w:tcW w:w="2136" w:type="dxa"/>
            <w:noWrap/>
            <w:vAlign w:val="center"/>
            <w:hideMark/>
          </w:tcPr>
          <w:p w14:paraId="044F141F"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982.5</w:t>
            </w:r>
          </w:p>
        </w:tc>
      </w:tr>
      <w:tr w:rsidR="00A10532" w:rsidRPr="00296603" w14:paraId="52232CC9" w14:textId="77777777" w:rsidTr="00D74830">
        <w:trPr>
          <w:trHeight w:val="290"/>
        </w:trPr>
        <w:tc>
          <w:tcPr>
            <w:tcW w:w="2007" w:type="dxa"/>
            <w:noWrap/>
            <w:vAlign w:val="center"/>
            <w:hideMark/>
          </w:tcPr>
          <w:p w14:paraId="3221BEB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Min</w:t>
            </w:r>
          </w:p>
        </w:tc>
        <w:tc>
          <w:tcPr>
            <w:tcW w:w="2136" w:type="dxa"/>
            <w:noWrap/>
            <w:vAlign w:val="center"/>
            <w:hideMark/>
          </w:tcPr>
          <w:p w14:paraId="539D3C6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21</w:t>
            </w:r>
          </w:p>
        </w:tc>
      </w:tr>
      <w:tr w:rsidR="00A10532" w:rsidRPr="00296603" w14:paraId="02789590" w14:textId="77777777" w:rsidTr="00D74830">
        <w:trPr>
          <w:trHeight w:val="290"/>
        </w:trPr>
        <w:tc>
          <w:tcPr>
            <w:tcW w:w="2007" w:type="dxa"/>
            <w:noWrap/>
            <w:vAlign w:val="center"/>
            <w:hideMark/>
          </w:tcPr>
          <w:p w14:paraId="2A79EE0B"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Max</w:t>
            </w:r>
          </w:p>
        </w:tc>
        <w:tc>
          <w:tcPr>
            <w:tcW w:w="2136" w:type="dxa"/>
            <w:noWrap/>
            <w:vAlign w:val="center"/>
            <w:hideMark/>
          </w:tcPr>
          <w:p w14:paraId="22ADD95D"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9458</w:t>
            </w:r>
          </w:p>
        </w:tc>
      </w:tr>
    </w:tbl>
    <w:p w14:paraId="670E6171" w14:textId="77777777" w:rsidR="00A10532" w:rsidRPr="00296603" w:rsidRDefault="00A10532" w:rsidP="00A10532">
      <w:pPr>
        <w:tabs>
          <w:tab w:val="left" w:pos="5220"/>
        </w:tabs>
        <w:rPr>
          <w:rFonts w:ascii="Times New Roman" w:hAnsi="Times New Roman" w:cs="Times New Roman"/>
          <w:sz w:val="24"/>
          <w:szCs w:val="24"/>
        </w:rPr>
      </w:pPr>
    </w:p>
    <w:p w14:paraId="2DBD2BBB" w14:textId="77777777" w:rsidR="00A10532" w:rsidRPr="00296603" w:rsidRDefault="00A10532" w:rsidP="00A10532">
      <w:pPr>
        <w:tabs>
          <w:tab w:val="left" w:pos="5220"/>
        </w:tabs>
        <w:spacing w:line="276" w:lineRule="auto"/>
        <w:jc w:val="center"/>
        <w:rPr>
          <w:rFonts w:ascii="Times New Roman" w:hAnsi="Times New Roman" w:cs="Times New Roman"/>
          <w:b/>
          <w:sz w:val="24"/>
          <w:szCs w:val="24"/>
        </w:rPr>
      </w:pPr>
      <w:r w:rsidRPr="00296603">
        <w:rPr>
          <w:noProof/>
        </w:rPr>
        <w:drawing>
          <wp:inline distT="0" distB="0" distL="0" distR="0" wp14:anchorId="1A39F879" wp14:editId="3CFE0A48">
            <wp:extent cx="4304957" cy="2743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941" b="14337"/>
                    <a:stretch/>
                  </pic:blipFill>
                  <pic:spPr bwMode="auto">
                    <a:xfrm>
                      <a:off x="0" y="0"/>
                      <a:ext cx="4304957" cy="2743200"/>
                    </a:xfrm>
                    <a:prstGeom prst="rect">
                      <a:avLst/>
                    </a:prstGeom>
                    <a:ln>
                      <a:noFill/>
                    </a:ln>
                    <a:extLst>
                      <a:ext uri="{53640926-AAD7-44D8-BBD7-CCE9431645EC}">
                        <a14:shadowObscured xmlns:a14="http://schemas.microsoft.com/office/drawing/2010/main"/>
                      </a:ext>
                    </a:extLst>
                  </pic:spPr>
                </pic:pic>
              </a:graphicData>
            </a:graphic>
          </wp:inline>
        </w:drawing>
      </w:r>
    </w:p>
    <w:p w14:paraId="4D438331" w14:textId="77777777" w:rsidR="00A10532" w:rsidRPr="00296603" w:rsidRDefault="002408AF" w:rsidP="00A10532">
      <w:pPr>
        <w:tabs>
          <w:tab w:val="left" w:pos="5220"/>
        </w:tabs>
        <w:spacing w:line="276" w:lineRule="auto"/>
        <w:jc w:val="center"/>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2</w:t>
      </w:r>
      <w:r w:rsidR="00A10532" w:rsidRPr="00296603">
        <w:rPr>
          <w:rFonts w:ascii="Times New Roman" w:hAnsi="Times New Roman" w:cs="Times New Roman"/>
          <w:b/>
          <w:sz w:val="24"/>
          <w:szCs w:val="24"/>
        </w:rPr>
        <w:t>: Parasite Density Categories (Distribution in Asymptomatic Patients)</w:t>
      </w:r>
    </w:p>
    <w:p w14:paraId="320CDBF9" w14:textId="77777777" w:rsidR="00A10532" w:rsidRPr="00296603" w:rsidRDefault="00A10532" w:rsidP="00A10532">
      <w:pPr>
        <w:spacing w:line="360" w:lineRule="auto"/>
        <w:rPr>
          <w:rFonts w:ascii="Times New Roman" w:hAnsi="Times New Roman" w:cs="Times New Roman"/>
          <w:sz w:val="20"/>
          <w:szCs w:val="20"/>
        </w:rPr>
      </w:pPr>
    </w:p>
    <w:p w14:paraId="325FABE3"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lastRenderedPageBreak/>
        <w:t>Correlation analysis explored whether parasite density influenced laboratory parameters among asymptomatic ca</w:t>
      </w:r>
      <w:r w:rsidR="002408AF" w:rsidRPr="00296603">
        <w:rPr>
          <w:rFonts w:ascii="Times New Roman" w:hAnsi="Times New Roman" w:cs="Times New Roman"/>
          <w:sz w:val="20"/>
          <w:szCs w:val="20"/>
        </w:rPr>
        <w:t xml:space="preserve">rriers. As presented in Table </w:t>
      </w:r>
      <w:r w:rsidRPr="00296603">
        <w:rPr>
          <w:rFonts w:ascii="Times New Roman" w:hAnsi="Times New Roman" w:cs="Times New Roman"/>
          <w:sz w:val="20"/>
          <w:szCs w:val="20"/>
        </w:rPr>
        <w:t>4 and illustrated in th</w:t>
      </w:r>
      <w:r w:rsidR="002408AF" w:rsidRPr="00296603">
        <w:rPr>
          <w:rFonts w:ascii="Times New Roman" w:hAnsi="Times New Roman" w:cs="Times New Roman"/>
          <w:sz w:val="20"/>
          <w:szCs w:val="20"/>
        </w:rPr>
        <w:t xml:space="preserve">e correlation heatmap (Figure </w:t>
      </w:r>
      <w:r w:rsidR="005B6893" w:rsidRPr="00296603">
        <w:rPr>
          <w:rFonts w:ascii="Times New Roman" w:hAnsi="Times New Roman" w:cs="Times New Roman"/>
          <w:sz w:val="20"/>
          <w:szCs w:val="20"/>
        </w:rPr>
        <w:t>3</w:t>
      </w:r>
      <w:r w:rsidRPr="00296603">
        <w:rPr>
          <w:rFonts w:ascii="Times New Roman" w:hAnsi="Times New Roman" w:cs="Times New Roman"/>
          <w:sz w:val="20"/>
          <w:szCs w:val="20"/>
        </w:rPr>
        <w:t xml:space="preserve">), most relationships were weak or negligible. Platelet count demonstrated the only statistically significant association, showing a weak positive correlation with parasite density (ρ = 0.224, p = 0.025). This relationship is visually supported </w:t>
      </w:r>
      <w:r w:rsidR="002408AF" w:rsidRPr="00296603">
        <w:rPr>
          <w:rFonts w:ascii="Times New Roman" w:hAnsi="Times New Roman" w:cs="Times New Roman"/>
          <w:sz w:val="20"/>
          <w:szCs w:val="20"/>
        </w:rPr>
        <w:t xml:space="preserve">by the scatter plot in Figure </w:t>
      </w:r>
      <w:r w:rsidR="005B6893" w:rsidRPr="00296603">
        <w:rPr>
          <w:rFonts w:ascii="Times New Roman" w:hAnsi="Times New Roman" w:cs="Times New Roman"/>
          <w:sz w:val="20"/>
          <w:szCs w:val="20"/>
        </w:rPr>
        <w:t>4</w:t>
      </w:r>
      <w:r w:rsidRPr="00296603">
        <w:rPr>
          <w:rFonts w:ascii="Times New Roman" w:hAnsi="Times New Roman" w:cs="Times New Roman"/>
          <w:sz w:val="20"/>
          <w:szCs w:val="20"/>
        </w:rPr>
        <w:t xml:space="preserve">, which demonstrates a slight upward trend in platelet values with increasing parasite density on a logarithmic scale.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(ρ = 0.087, p = 0.391) and RBC count (ρ = 0.031, p = 0.757) showed negligible positive correlations. WBC count showed a negligible negative correlation (ρ = −0.003, p = 0.973). Liver enzymes and renal markers exhibited weak or negligible correlations, none of which reached statistical significance. Total bilirubin showed a weak positive association (ρ = 0.178, p = 0.076), approaching but not achieving statistical significance.</w:t>
      </w:r>
    </w:p>
    <w:p w14:paraId="1B51E16F" w14:textId="77777777" w:rsidR="00A10532" w:rsidRPr="00296603" w:rsidRDefault="002408AF" w:rsidP="00A10532">
      <w:pPr>
        <w:tabs>
          <w:tab w:val="left" w:pos="3580"/>
        </w:tabs>
        <w:spacing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Table </w:t>
      </w:r>
      <w:r w:rsidR="00A10532" w:rsidRPr="00296603">
        <w:rPr>
          <w:rFonts w:ascii="Times New Roman" w:hAnsi="Times New Roman" w:cs="Times New Roman"/>
          <w:b/>
          <w:sz w:val="24"/>
          <w:szCs w:val="24"/>
        </w:rPr>
        <w:t>4: Spearman Rank Correlation between Parasite Density and Laboratory Parameters of Asymptomatic Malaria Patients</w:t>
      </w:r>
    </w:p>
    <w:tbl>
      <w:tblPr>
        <w:tblW w:w="9047" w:type="dxa"/>
        <w:tblBorders>
          <w:top w:val="single" w:sz="4" w:space="0" w:color="auto"/>
          <w:bottom w:val="single" w:sz="4" w:space="0" w:color="auto"/>
        </w:tblBorders>
        <w:tblLook w:val="04A0" w:firstRow="1" w:lastRow="0" w:firstColumn="1" w:lastColumn="0" w:noHBand="0" w:noVBand="1"/>
      </w:tblPr>
      <w:tblGrid>
        <w:gridCol w:w="2251"/>
        <w:gridCol w:w="2684"/>
        <w:gridCol w:w="960"/>
        <w:gridCol w:w="960"/>
        <w:gridCol w:w="1145"/>
        <w:gridCol w:w="1047"/>
      </w:tblGrid>
      <w:tr w:rsidR="00A10532" w:rsidRPr="00296603" w14:paraId="770DBF68" w14:textId="77777777" w:rsidTr="00D74830">
        <w:trPr>
          <w:trHeight w:val="280"/>
        </w:trPr>
        <w:tc>
          <w:tcPr>
            <w:tcW w:w="2251" w:type="dxa"/>
            <w:tcBorders>
              <w:top w:val="single" w:sz="4" w:space="0" w:color="auto"/>
              <w:bottom w:val="single" w:sz="4" w:space="0" w:color="auto"/>
            </w:tcBorders>
            <w:noWrap/>
            <w:vAlign w:val="center"/>
            <w:hideMark/>
          </w:tcPr>
          <w:p w14:paraId="2F421B1E"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Laboratory Parameter</w:t>
            </w:r>
          </w:p>
        </w:tc>
        <w:tc>
          <w:tcPr>
            <w:tcW w:w="2684" w:type="dxa"/>
            <w:tcBorders>
              <w:top w:val="single" w:sz="4" w:space="0" w:color="auto"/>
              <w:bottom w:val="single" w:sz="4" w:space="0" w:color="auto"/>
            </w:tcBorders>
            <w:noWrap/>
            <w:vAlign w:val="center"/>
            <w:hideMark/>
          </w:tcPr>
          <w:p w14:paraId="161725CB"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Correlation Coefficient (ρ)</w:t>
            </w:r>
          </w:p>
        </w:tc>
        <w:tc>
          <w:tcPr>
            <w:tcW w:w="960" w:type="dxa"/>
            <w:tcBorders>
              <w:top w:val="single" w:sz="4" w:space="0" w:color="auto"/>
              <w:bottom w:val="single" w:sz="4" w:space="0" w:color="auto"/>
            </w:tcBorders>
            <w:noWrap/>
            <w:vAlign w:val="center"/>
            <w:hideMark/>
          </w:tcPr>
          <w:p w14:paraId="111192B3"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p-value</w:t>
            </w:r>
          </w:p>
        </w:tc>
        <w:tc>
          <w:tcPr>
            <w:tcW w:w="960" w:type="dxa"/>
            <w:tcBorders>
              <w:top w:val="single" w:sz="4" w:space="0" w:color="auto"/>
              <w:bottom w:val="single" w:sz="4" w:space="0" w:color="auto"/>
            </w:tcBorders>
            <w:noWrap/>
            <w:vAlign w:val="center"/>
            <w:hideMark/>
          </w:tcPr>
          <w:p w14:paraId="6A35881C"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Sig.1</w:t>
            </w:r>
          </w:p>
        </w:tc>
        <w:tc>
          <w:tcPr>
            <w:tcW w:w="1145" w:type="dxa"/>
            <w:tcBorders>
              <w:top w:val="single" w:sz="4" w:space="0" w:color="auto"/>
              <w:bottom w:val="single" w:sz="4" w:space="0" w:color="auto"/>
            </w:tcBorders>
            <w:noWrap/>
            <w:vAlign w:val="center"/>
            <w:hideMark/>
          </w:tcPr>
          <w:p w14:paraId="22B38506"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Strength</w:t>
            </w:r>
          </w:p>
        </w:tc>
        <w:tc>
          <w:tcPr>
            <w:tcW w:w="1047" w:type="dxa"/>
            <w:tcBorders>
              <w:top w:val="single" w:sz="4" w:space="0" w:color="auto"/>
              <w:bottom w:val="single" w:sz="4" w:space="0" w:color="auto"/>
            </w:tcBorders>
            <w:noWrap/>
            <w:vAlign w:val="center"/>
            <w:hideMark/>
          </w:tcPr>
          <w:p w14:paraId="5C02EB67"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Direction</w:t>
            </w:r>
          </w:p>
        </w:tc>
      </w:tr>
      <w:tr w:rsidR="00A10532" w:rsidRPr="00296603" w14:paraId="6A4D54F7" w14:textId="77777777" w:rsidTr="00D74830">
        <w:trPr>
          <w:trHeight w:val="280"/>
        </w:trPr>
        <w:tc>
          <w:tcPr>
            <w:tcW w:w="2251" w:type="dxa"/>
            <w:tcBorders>
              <w:top w:val="single" w:sz="4" w:space="0" w:color="auto"/>
            </w:tcBorders>
            <w:noWrap/>
            <w:vAlign w:val="center"/>
            <w:hideMark/>
          </w:tcPr>
          <w:p w14:paraId="6574F5A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Hemoglobin</w:t>
            </w:r>
          </w:p>
        </w:tc>
        <w:tc>
          <w:tcPr>
            <w:tcW w:w="2684" w:type="dxa"/>
            <w:tcBorders>
              <w:top w:val="single" w:sz="4" w:space="0" w:color="auto"/>
            </w:tcBorders>
            <w:noWrap/>
            <w:vAlign w:val="center"/>
            <w:hideMark/>
          </w:tcPr>
          <w:p w14:paraId="530232FC"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0.087</w:t>
            </w:r>
          </w:p>
        </w:tc>
        <w:tc>
          <w:tcPr>
            <w:tcW w:w="960" w:type="dxa"/>
            <w:tcBorders>
              <w:top w:val="single" w:sz="4" w:space="0" w:color="auto"/>
            </w:tcBorders>
            <w:noWrap/>
            <w:vAlign w:val="center"/>
            <w:hideMark/>
          </w:tcPr>
          <w:p w14:paraId="166AC36B"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0.391</w:t>
            </w:r>
          </w:p>
        </w:tc>
        <w:tc>
          <w:tcPr>
            <w:tcW w:w="960" w:type="dxa"/>
            <w:tcBorders>
              <w:top w:val="single" w:sz="4" w:space="0" w:color="auto"/>
            </w:tcBorders>
            <w:noWrap/>
            <w:vAlign w:val="center"/>
            <w:hideMark/>
          </w:tcPr>
          <w:p w14:paraId="18D7997E"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tcBorders>
              <w:top w:val="single" w:sz="4" w:space="0" w:color="auto"/>
            </w:tcBorders>
            <w:noWrap/>
            <w:vAlign w:val="center"/>
            <w:hideMark/>
          </w:tcPr>
          <w:p w14:paraId="22284467"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tcBorders>
              <w:top w:val="single" w:sz="4" w:space="0" w:color="auto"/>
            </w:tcBorders>
            <w:noWrap/>
            <w:vAlign w:val="center"/>
            <w:hideMark/>
          </w:tcPr>
          <w:p w14:paraId="7DD4DDC9"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51D2B073" w14:textId="77777777" w:rsidTr="00D74830">
        <w:trPr>
          <w:trHeight w:val="280"/>
        </w:trPr>
        <w:tc>
          <w:tcPr>
            <w:tcW w:w="2251" w:type="dxa"/>
            <w:noWrap/>
            <w:vAlign w:val="center"/>
            <w:hideMark/>
          </w:tcPr>
          <w:p w14:paraId="33C165C4"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RBC</w:t>
            </w:r>
          </w:p>
        </w:tc>
        <w:tc>
          <w:tcPr>
            <w:tcW w:w="2684" w:type="dxa"/>
            <w:noWrap/>
            <w:vAlign w:val="center"/>
            <w:hideMark/>
          </w:tcPr>
          <w:p w14:paraId="1D69E879"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0.031</w:t>
            </w:r>
          </w:p>
        </w:tc>
        <w:tc>
          <w:tcPr>
            <w:tcW w:w="960" w:type="dxa"/>
            <w:noWrap/>
            <w:vAlign w:val="center"/>
            <w:hideMark/>
          </w:tcPr>
          <w:p w14:paraId="03081C63"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0.757</w:t>
            </w:r>
          </w:p>
        </w:tc>
        <w:tc>
          <w:tcPr>
            <w:tcW w:w="960" w:type="dxa"/>
            <w:noWrap/>
            <w:vAlign w:val="center"/>
            <w:hideMark/>
          </w:tcPr>
          <w:p w14:paraId="6935BECE"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4DE5D18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noWrap/>
            <w:vAlign w:val="center"/>
            <w:hideMark/>
          </w:tcPr>
          <w:p w14:paraId="04A53AF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5C7702E2" w14:textId="77777777" w:rsidTr="00D74830">
        <w:trPr>
          <w:trHeight w:val="280"/>
        </w:trPr>
        <w:tc>
          <w:tcPr>
            <w:tcW w:w="2251" w:type="dxa"/>
            <w:noWrap/>
            <w:vAlign w:val="center"/>
            <w:hideMark/>
          </w:tcPr>
          <w:p w14:paraId="1AC80C83"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Platelets</w:t>
            </w:r>
          </w:p>
        </w:tc>
        <w:tc>
          <w:tcPr>
            <w:tcW w:w="2684" w:type="dxa"/>
            <w:noWrap/>
            <w:vAlign w:val="center"/>
            <w:hideMark/>
          </w:tcPr>
          <w:p w14:paraId="0794C42D"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0.224</w:t>
            </w:r>
          </w:p>
        </w:tc>
        <w:tc>
          <w:tcPr>
            <w:tcW w:w="960" w:type="dxa"/>
            <w:noWrap/>
            <w:vAlign w:val="center"/>
            <w:hideMark/>
          </w:tcPr>
          <w:p w14:paraId="7136A9DE"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0.025</w:t>
            </w:r>
          </w:p>
        </w:tc>
        <w:tc>
          <w:tcPr>
            <w:tcW w:w="960" w:type="dxa"/>
            <w:noWrap/>
            <w:vAlign w:val="center"/>
            <w:hideMark/>
          </w:tcPr>
          <w:p w14:paraId="591F9A5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t>
            </w:r>
          </w:p>
        </w:tc>
        <w:tc>
          <w:tcPr>
            <w:tcW w:w="1145" w:type="dxa"/>
            <w:noWrap/>
            <w:vAlign w:val="center"/>
            <w:hideMark/>
          </w:tcPr>
          <w:p w14:paraId="2C70DCA4"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Weak</w:t>
            </w:r>
          </w:p>
        </w:tc>
        <w:tc>
          <w:tcPr>
            <w:tcW w:w="1047" w:type="dxa"/>
            <w:noWrap/>
            <w:vAlign w:val="center"/>
            <w:hideMark/>
          </w:tcPr>
          <w:p w14:paraId="00CD3BAD"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3AE5C789" w14:textId="77777777" w:rsidTr="00D74830">
        <w:trPr>
          <w:trHeight w:val="280"/>
        </w:trPr>
        <w:tc>
          <w:tcPr>
            <w:tcW w:w="2251" w:type="dxa"/>
            <w:noWrap/>
            <w:vAlign w:val="center"/>
            <w:hideMark/>
          </w:tcPr>
          <w:p w14:paraId="5CB68A4B"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WBC</w:t>
            </w:r>
          </w:p>
        </w:tc>
        <w:tc>
          <w:tcPr>
            <w:tcW w:w="2684" w:type="dxa"/>
            <w:noWrap/>
            <w:vAlign w:val="center"/>
            <w:hideMark/>
          </w:tcPr>
          <w:p w14:paraId="61E43DA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−0.003</w:t>
            </w:r>
          </w:p>
        </w:tc>
        <w:tc>
          <w:tcPr>
            <w:tcW w:w="960" w:type="dxa"/>
            <w:noWrap/>
            <w:vAlign w:val="center"/>
            <w:hideMark/>
          </w:tcPr>
          <w:p w14:paraId="0C1E2AC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0.973</w:t>
            </w:r>
          </w:p>
        </w:tc>
        <w:tc>
          <w:tcPr>
            <w:tcW w:w="960" w:type="dxa"/>
            <w:noWrap/>
            <w:vAlign w:val="center"/>
            <w:hideMark/>
          </w:tcPr>
          <w:p w14:paraId="7C5BD879"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6A8CA56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noWrap/>
            <w:vAlign w:val="center"/>
            <w:hideMark/>
          </w:tcPr>
          <w:p w14:paraId="30B2153E"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Negative</w:t>
            </w:r>
          </w:p>
        </w:tc>
      </w:tr>
      <w:tr w:rsidR="00A10532" w:rsidRPr="00296603" w14:paraId="2AFA87AD" w14:textId="77777777" w:rsidTr="00D74830">
        <w:trPr>
          <w:trHeight w:val="280"/>
        </w:trPr>
        <w:tc>
          <w:tcPr>
            <w:tcW w:w="2251" w:type="dxa"/>
            <w:noWrap/>
            <w:vAlign w:val="center"/>
            <w:hideMark/>
          </w:tcPr>
          <w:p w14:paraId="1C24AEB6"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AST</w:t>
            </w:r>
          </w:p>
        </w:tc>
        <w:tc>
          <w:tcPr>
            <w:tcW w:w="2684" w:type="dxa"/>
            <w:noWrap/>
            <w:vAlign w:val="center"/>
            <w:hideMark/>
          </w:tcPr>
          <w:p w14:paraId="464F2AB9"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0.009</w:t>
            </w:r>
          </w:p>
        </w:tc>
        <w:tc>
          <w:tcPr>
            <w:tcW w:w="960" w:type="dxa"/>
            <w:noWrap/>
            <w:vAlign w:val="center"/>
            <w:hideMark/>
          </w:tcPr>
          <w:p w14:paraId="6626D44B"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0.933</w:t>
            </w:r>
          </w:p>
        </w:tc>
        <w:tc>
          <w:tcPr>
            <w:tcW w:w="960" w:type="dxa"/>
            <w:noWrap/>
            <w:vAlign w:val="center"/>
            <w:hideMark/>
          </w:tcPr>
          <w:p w14:paraId="7AAB4052"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16CF8C64"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noWrap/>
            <w:vAlign w:val="center"/>
            <w:hideMark/>
          </w:tcPr>
          <w:p w14:paraId="3349A2E2"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19A3FAB6" w14:textId="77777777" w:rsidTr="00D74830">
        <w:trPr>
          <w:trHeight w:val="280"/>
        </w:trPr>
        <w:tc>
          <w:tcPr>
            <w:tcW w:w="2251" w:type="dxa"/>
            <w:noWrap/>
            <w:vAlign w:val="center"/>
            <w:hideMark/>
          </w:tcPr>
          <w:p w14:paraId="6833CDF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ALT</w:t>
            </w:r>
          </w:p>
        </w:tc>
        <w:tc>
          <w:tcPr>
            <w:tcW w:w="2684" w:type="dxa"/>
            <w:noWrap/>
            <w:vAlign w:val="center"/>
            <w:hideMark/>
          </w:tcPr>
          <w:p w14:paraId="26706514"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−0.101</w:t>
            </w:r>
          </w:p>
        </w:tc>
        <w:tc>
          <w:tcPr>
            <w:tcW w:w="960" w:type="dxa"/>
            <w:noWrap/>
            <w:vAlign w:val="center"/>
            <w:hideMark/>
          </w:tcPr>
          <w:p w14:paraId="40E2718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0.316</w:t>
            </w:r>
          </w:p>
        </w:tc>
        <w:tc>
          <w:tcPr>
            <w:tcW w:w="960" w:type="dxa"/>
            <w:noWrap/>
            <w:vAlign w:val="center"/>
            <w:hideMark/>
          </w:tcPr>
          <w:p w14:paraId="4A2A29E6"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4E963EE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Weak</w:t>
            </w:r>
          </w:p>
        </w:tc>
        <w:tc>
          <w:tcPr>
            <w:tcW w:w="1047" w:type="dxa"/>
            <w:noWrap/>
            <w:vAlign w:val="center"/>
            <w:hideMark/>
          </w:tcPr>
          <w:p w14:paraId="74F9439E"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Negative</w:t>
            </w:r>
          </w:p>
        </w:tc>
      </w:tr>
      <w:tr w:rsidR="00A10532" w:rsidRPr="00296603" w14:paraId="4FD28A4A" w14:textId="77777777" w:rsidTr="00D74830">
        <w:trPr>
          <w:trHeight w:val="280"/>
        </w:trPr>
        <w:tc>
          <w:tcPr>
            <w:tcW w:w="2251" w:type="dxa"/>
            <w:noWrap/>
            <w:vAlign w:val="center"/>
            <w:hideMark/>
          </w:tcPr>
          <w:p w14:paraId="42D5EAC3" w14:textId="77777777" w:rsidR="00A10532" w:rsidRPr="00296603" w:rsidRDefault="00A10532" w:rsidP="00D74830">
            <w:pPr>
              <w:spacing w:line="240" w:lineRule="auto"/>
              <w:jc w:val="left"/>
              <w:rPr>
                <w:rFonts w:ascii="Cambria" w:eastAsia="Times New Roman" w:hAnsi="Cambria" w:cs="Times New Roman"/>
                <w:color w:val="000000"/>
                <w:sz w:val="20"/>
                <w:szCs w:val="20"/>
              </w:rPr>
            </w:pPr>
            <w:proofErr w:type="spellStart"/>
            <w:r w:rsidRPr="00296603">
              <w:rPr>
                <w:rFonts w:ascii="Cambria" w:eastAsia="Times New Roman" w:hAnsi="Cambria" w:cs="Times New Roman"/>
                <w:color w:val="000000"/>
                <w:sz w:val="20"/>
                <w:szCs w:val="20"/>
              </w:rPr>
              <w:t>Total_Bilirubin</w:t>
            </w:r>
            <w:proofErr w:type="spellEnd"/>
          </w:p>
        </w:tc>
        <w:tc>
          <w:tcPr>
            <w:tcW w:w="2684" w:type="dxa"/>
            <w:noWrap/>
            <w:vAlign w:val="center"/>
            <w:hideMark/>
          </w:tcPr>
          <w:p w14:paraId="239C2218"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0.178</w:t>
            </w:r>
          </w:p>
        </w:tc>
        <w:tc>
          <w:tcPr>
            <w:tcW w:w="960" w:type="dxa"/>
            <w:noWrap/>
            <w:vAlign w:val="center"/>
            <w:hideMark/>
          </w:tcPr>
          <w:p w14:paraId="37D4B1BC"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0.076</w:t>
            </w:r>
          </w:p>
        </w:tc>
        <w:tc>
          <w:tcPr>
            <w:tcW w:w="960" w:type="dxa"/>
            <w:noWrap/>
            <w:vAlign w:val="center"/>
            <w:hideMark/>
          </w:tcPr>
          <w:p w14:paraId="75B349EB"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7A27A74A"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Weak</w:t>
            </w:r>
          </w:p>
        </w:tc>
        <w:tc>
          <w:tcPr>
            <w:tcW w:w="1047" w:type="dxa"/>
            <w:noWrap/>
            <w:vAlign w:val="center"/>
            <w:hideMark/>
          </w:tcPr>
          <w:p w14:paraId="5E49C9E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4AA36C3B" w14:textId="77777777" w:rsidTr="00D74830">
        <w:trPr>
          <w:trHeight w:val="280"/>
        </w:trPr>
        <w:tc>
          <w:tcPr>
            <w:tcW w:w="2251" w:type="dxa"/>
            <w:noWrap/>
            <w:vAlign w:val="center"/>
            <w:hideMark/>
          </w:tcPr>
          <w:p w14:paraId="5B1012A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Urea</w:t>
            </w:r>
          </w:p>
        </w:tc>
        <w:tc>
          <w:tcPr>
            <w:tcW w:w="2684" w:type="dxa"/>
            <w:noWrap/>
            <w:vAlign w:val="center"/>
            <w:hideMark/>
          </w:tcPr>
          <w:p w14:paraId="12A83503"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−0.133</w:t>
            </w:r>
          </w:p>
        </w:tc>
        <w:tc>
          <w:tcPr>
            <w:tcW w:w="960" w:type="dxa"/>
            <w:noWrap/>
            <w:vAlign w:val="center"/>
            <w:hideMark/>
          </w:tcPr>
          <w:p w14:paraId="5A066B3C"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0.187</w:t>
            </w:r>
          </w:p>
        </w:tc>
        <w:tc>
          <w:tcPr>
            <w:tcW w:w="960" w:type="dxa"/>
            <w:noWrap/>
            <w:vAlign w:val="center"/>
            <w:hideMark/>
          </w:tcPr>
          <w:p w14:paraId="434CD103"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74FB2F5C"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Weak</w:t>
            </w:r>
          </w:p>
        </w:tc>
        <w:tc>
          <w:tcPr>
            <w:tcW w:w="1047" w:type="dxa"/>
            <w:noWrap/>
            <w:vAlign w:val="center"/>
            <w:hideMark/>
          </w:tcPr>
          <w:p w14:paraId="6354E35E"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Negative</w:t>
            </w:r>
          </w:p>
        </w:tc>
      </w:tr>
      <w:tr w:rsidR="00A10532" w:rsidRPr="00296603" w14:paraId="34FACFA8" w14:textId="77777777" w:rsidTr="00D74830">
        <w:trPr>
          <w:trHeight w:val="280"/>
        </w:trPr>
        <w:tc>
          <w:tcPr>
            <w:tcW w:w="2251" w:type="dxa"/>
            <w:noWrap/>
            <w:vAlign w:val="center"/>
            <w:hideMark/>
          </w:tcPr>
          <w:p w14:paraId="7A7C0087"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Creatinine</w:t>
            </w:r>
          </w:p>
        </w:tc>
        <w:tc>
          <w:tcPr>
            <w:tcW w:w="2684" w:type="dxa"/>
            <w:noWrap/>
            <w:vAlign w:val="center"/>
            <w:hideMark/>
          </w:tcPr>
          <w:p w14:paraId="022D26DE"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−0.058</w:t>
            </w:r>
          </w:p>
        </w:tc>
        <w:tc>
          <w:tcPr>
            <w:tcW w:w="960" w:type="dxa"/>
            <w:noWrap/>
            <w:vAlign w:val="center"/>
            <w:hideMark/>
          </w:tcPr>
          <w:p w14:paraId="1938D4D0"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0.565</w:t>
            </w:r>
          </w:p>
        </w:tc>
        <w:tc>
          <w:tcPr>
            <w:tcW w:w="960" w:type="dxa"/>
            <w:noWrap/>
            <w:vAlign w:val="center"/>
            <w:hideMark/>
          </w:tcPr>
          <w:p w14:paraId="3448F1F4"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6D76E592"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noWrap/>
            <w:vAlign w:val="center"/>
            <w:hideMark/>
          </w:tcPr>
          <w:p w14:paraId="0551FA4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Negative</w:t>
            </w:r>
          </w:p>
        </w:tc>
      </w:tr>
    </w:tbl>
    <w:p w14:paraId="14FD286A" w14:textId="77777777" w:rsidR="00A10532" w:rsidRPr="00296603" w:rsidRDefault="00A10532" w:rsidP="00A10532">
      <w:pPr>
        <w:tabs>
          <w:tab w:val="left" w:pos="3580"/>
        </w:tabs>
        <w:rPr>
          <w:rFonts w:ascii="Times New Roman" w:hAnsi="Times New Roman" w:cs="Times New Roman"/>
          <w:i/>
        </w:rPr>
      </w:pPr>
      <w:r w:rsidRPr="00296603">
        <w:rPr>
          <w:rFonts w:ascii="Times New Roman" w:hAnsi="Times New Roman" w:cs="Times New Roman"/>
          <w:i/>
        </w:rPr>
        <w:t>1 *** p &lt; 0.001, ** p &lt; 0.01, * p &lt; 0.05</w:t>
      </w:r>
    </w:p>
    <w:p w14:paraId="4F042FD1" w14:textId="77777777" w:rsidR="00A10532" w:rsidRPr="00296603" w:rsidRDefault="00A10532" w:rsidP="00A10532">
      <w:pPr>
        <w:tabs>
          <w:tab w:val="left" w:pos="3580"/>
        </w:tabs>
        <w:spacing w:line="240" w:lineRule="auto"/>
        <w:rPr>
          <w:rFonts w:ascii="Times New Roman" w:hAnsi="Times New Roman" w:cs="Times New Roman"/>
          <w:b/>
          <w:sz w:val="24"/>
          <w:szCs w:val="24"/>
        </w:rPr>
      </w:pPr>
      <w:r w:rsidRPr="00296603">
        <w:rPr>
          <w:noProof/>
        </w:rPr>
        <w:lastRenderedPageBreak/>
        <w:drawing>
          <wp:inline distT="0" distB="0" distL="0" distR="0" wp14:anchorId="2BBE2F08" wp14:editId="3A1F0D17">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657600"/>
                    </a:xfrm>
                    <a:prstGeom prst="rect">
                      <a:avLst/>
                    </a:prstGeom>
                  </pic:spPr>
                </pic:pic>
              </a:graphicData>
            </a:graphic>
          </wp:inline>
        </w:drawing>
      </w:r>
    </w:p>
    <w:p w14:paraId="6EAB3F70" w14:textId="77777777" w:rsidR="00A10532" w:rsidRPr="00296603" w:rsidRDefault="002408AF" w:rsidP="00A10532">
      <w:pPr>
        <w:tabs>
          <w:tab w:val="left" w:pos="3580"/>
        </w:tabs>
        <w:spacing w:after="240"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3</w:t>
      </w:r>
      <w:r w:rsidR="00A10532" w:rsidRPr="00296603">
        <w:rPr>
          <w:rFonts w:ascii="Times New Roman" w:hAnsi="Times New Roman" w:cs="Times New Roman"/>
          <w:b/>
          <w:sz w:val="24"/>
          <w:szCs w:val="24"/>
        </w:rPr>
        <w:t>: Spearman Rank Correlation Matrix Heatmap</w:t>
      </w:r>
    </w:p>
    <w:p w14:paraId="3AAD95B6" w14:textId="77777777" w:rsidR="00A10532" w:rsidRPr="00296603" w:rsidRDefault="00A10532" w:rsidP="00A10532">
      <w:pPr>
        <w:tabs>
          <w:tab w:val="left" w:pos="3580"/>
        </w:tabs>
        <w:spacing w:line="240" w:lineRule="auto"/>
        <w:rPr>
          <w:rFonts w:ascii="Times New Roman" w:hAnsi="Times New Roman" w:cs="Times New Roman"/>
          <w:sz w:val="24"/>
          <w:szCs w:val="24"/>
        </w:rPr>
      </w:pPr>
      <w:r w:rsidRPr="00296603">
        <w:rPr>
          <w:noProof/>
        </w:rPr>
        <w:drawing>
          <wp:inline distT="0" distB="0" distL="0" distR="0" wp14:anchorId="5445F443" wp14:editId="1AB87E11">
            <wp:extent cx="301752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0694"/>
                    <a:stretch/>
                  </pic:blipFill>
                  <pic:spPr bwMode="auto">
                    <a:xfrm>
                      <a:off x="0" y="0"/>
                      <a:ext cx="3017520" cy="3657600"/>
                    </a:xfrm>
                    <a:prstGeom prst="rect">
                      <a:avLst/>
                    </a:prstGeom>
                    <a:ln>
                      <a:noFill/>
                    </a:ln>
                    <a:extLst>
                      <a:ext uri="{53640926-AAD7-44D8-BBD7-CCE9431645EC}">
                        <a14:shadowObscured xmlns:a14="http://schemas.microsoft.com/office/drawing/2010/main"/>
                      </a:ext>
                    </a:extLst>
                  </pic:spPr>
                </pic:pic>
              </a:graphicData>
            </a:graphic>
          </wp:inline>
        </w:drawing>
      </w:r>
    </w:p>
    <w:p w14:paraId="305541DB" w14:textId="77777777" w:rsidR="00A10532" w:rsidRPr="00296603" w:rsidRDefault="002408AF" w:rsidP="00A10532">
      <w:pPr>
        <w:tabs>
          <w:tab w:val="left" w:pos="3580"/>
        </w:tabs>
        <w:spacing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4</w:t>
      </w:r>
      <w:r w:rsidR="00A10532" w:rsidRPr="00296603">
        <w:rPr>
          <w:rFonts w:ascii="Times New Roman" w:hAnsi="Times New Roman" w:cs="Times New Roman"/>
          <w:b/>
          <w:sz w:val="24"/>
          <w:szCs w:val="24"/>
        </w:rPr>
        <w:t>: Scatter Plot of Platelets and Parasite Density</w:t>
      </w:r>
    </w:p>
    <w:p w14:paraId="51CC4720"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lastRenderedPageBreak/>
        <w:t>The overall laboratory profile comparison further clarifies these differenc</w:t>
      </w:r>
      <w:r w:rsidR="002408AF" w:rsidRPr="00296603">
        <w:rPr>
          <w:rFonts w:ascii="Times New Roman" w:hAnsi="Times New Roman" w:cs="Times New Roman"/>
          <w:sz w:val="20"/>
          <w:szCs w:val="20"/>
        </w:rPr>
        <w:t xml:space="preserve">es. The radar chart in Figure </w:t>
      </w:r>
      <w:r w:rsidR="005B6893" w:rsidRPr="00296603">
        <w:rPr>
          <w:rFonts w:ascii="Times New Roman" w:hAnsi="Times New Roman" w:cs="Times New Roman"/>
          <w:sz w:val="20"/>
          <w:szCs w:val="20"/>
        </w:rPr>
        <w:t>5</w:t>
      </w:r>
      <w:r w:rsidRPr="00296603">
        <w:rPr>
          <w:rFonts w:ascii="Times New Roman" w:hAnsi="Times New Roman" w:cs="Times New Roman"/>
          <w:sz w:val="20"/>
          <w:szCs w:val="20"/>
        </w:rPr>
        <w:t xml:space="preserve"> demonstrates that symptomatic participants consistently displayed higher liver enzymes, bilirubin levels, renal markers, and WBC counts, while asymptomatic participants maintained comparatively higher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RBC counts, mean corpuscular indices, and platelet levels. Effect size analysis usi</w:t>
      </w:r>
      <w:r w:rsidR="002408AF" w:rsidRPr="00296603">
        <w:rPr>
          <w:rFonts w:ascii="Times New Roman" w:hAnsi="Times New Roman" w:cs="Times New Roman"/>
          <w:sz w:val="20"/>
          <w:szCs w:val="20"/>
        </w:rPr>
        <w:t xml:space="preserve">ng Cohen’s D, shown in Figure </w:t>
      </w:r>
      <w:r w:rsidR="005B6893" w:rsidRPr="00296603">
        <w:rPr>
          <w:rFonts w:ascii="Times New Roman" w:hAnsi="Times New Roman" w:cs="Times New Roman"/>
          <w:sz w:val="20"/>
          <w:szCs w:val="20"/>
        </w:rPr>
        <w:t>6</w:t>
      </w:r>
      <w:r w:rsidRPr="00296603">
        <w:rPr>
          <w:rFonts w:ascii="Times New Roman" w:hAnsi="Times New Roman" w:cs="Times New Roman"/>
          <w:sz w:val="20"/>
          <w:szCs w:val="20"/>
        </w:rPr>
        <w:t xml:space="preserve">, confirms that the largest between-group differences were observed for platelets, RBC count,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total bilirubin, creatinine, urea, ALT, and AST. WBC count demonstrated a moderate effect, while MCV and MCH showed smaller yet statistically significant differences.</w:t>
      </w:r>
    </w:p>
    <w:p w14:paraId="24D164ED" w14:textId="77777777" w:rsidR="008A3671" w:rsidRPr="00296603" w:rsidRDefault="008A3671" w:rsidP="008A3671">
      <w:pPr>
        <w:tabs>
          <w:tab w:val="left" w:pos="3580"/>
        </w:tabs>
        <w:spacing w:line="276" w:lineRule="auto"/>
        <w:rPr>
          <w:rFonts w:ascii="Times New Roman" w:hAnsi="Times New Roman" w:cs="Times New Roman"/>
          <w:b/>
          <w:sz w:val="24"/>
          <w:szCs w:val="24"/>
        </w:rPr>
      </w:pPr>
      <w:r w:rsidRPr="00296603">
        <w:rPr>
          <w:noProof/>
        </w:rPr>
        <w:drawing>
          <wp:inline distT="0" distB="0" distL="0" distR="0" wp14:anchorId="3F49AD45" wp14:editId="0888F4EE">
            <wp:extent cx="3990109"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333"/>
                    <a:stretch/>
                  </pic:blipFill>
                  <pic:spPr bwMode="auto">
                    <a:xfrm>
                      <a:off x="0" y="0"/>
                      <a:ext cx="3990109" cy="3657600"/>
                    </a:xfrm>
                    <a:prstGeom prst="rect">
                      <a:avLst/>
                    </a:prstGeom>
                    <a:ln>
                      <a:noFill/>
                    </a:ln>
                    <a:extLst>
                      <a:ext uri="{53640926-AAD7-44D8-BBD7-CCE9431645EC}">
                        <a14:shadowObscured xmlns:a14="http://schemas.microsoft.com/office/drawing/2010/main"/>
                      </a:ext>
                    </a:extLst>
                  </pic:spPr>
                </pic:pic>
              </a:graphicData>
            </a:graphic>
          </wp:inline>
        </w:drawing>
      </w:r>
    </w:p>
    <w:p w14:paraId="1019AAD2" w14:textId="77777777" w:rsidR="008A3671" w:rsidRPr="00296603" w:rsidRDefault="002408AF" w:rsidP="008A3671">
      <w:pPr>
        <w:tabs>
          <w:tab w:val="left" w:pos="3580"/>
        </w:tabs>
        <w:spacing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5</w:t>
      </w:r>
      <w:r w:rsidR="008A3671" w:rsidRPr="00296603">
        <w:rPr>
          <w:rFonts w:ascii="Times New Roman" w:hAnsi="Times New Roman" w:cs="Times New Roman"/>
          <w:b/>
          <w:sz w:val="24"/>
          <w:szCs w:val="24"/>
        </w:rPr>
        <w:t>: Radar Chart of Laboratory Parameters Profile Comparison</w:t>
      </w:r>
    </w:p>
    <w:p w14:paraId="43BB0225" w14:textId="77777777" w:rsidR="008A3671" w:rsidRPr="00296603" w:rsidRDefault="008A3671" w:rsidP="008A3671">
      <w:pPr>
        <w:tabs>
          <w:tab w:val="left" w:pos="3580"/>
        </w:tabs>
        <w:spacing w:line="276" w:lineRule="auto"/>
        <w:rPr>
          <w:rFonts w:ascii="Times New Roman" w:hAnsi="Times New Roman" w:cs="Times New Roman"/>
          <w:sz w:val="24"/>
          <w:szCs w:val="24"/>
        </w:rPr>
      </w:pPr>
    </w:p>
    <w:p w14:paraId="784E26B2" w14:textId="77777777" w:rsidR="008A3671" w:rsidRPr="00296603" w:rsidRDefault="008A3671" w:rsidP="008A3671">
      <w:pPr>
        <w:tabs>
          <w:tab w:val="left" w:pos="3580"/>
        </w:tabs>
        <w:spacing w:line="276" w:lineRule="auto"/>
        <w:rPr>
          <w:rFonts w:ascii="Times New Roman" w:hAnsi="Times New Roman" w:cs="Times New Roman"/>
          <w:b/>
          <w:sz w:val="24"/>
          <w:szCs w:val="24"/>
        </w:rPr>
      </w:pPr>
      <w:r w:rsidRPr="00296603">
        <w:rPr>
          <w:noProof/>
        </w:rPr>
        <w:lastRenderedPageBreak/>
        <w:drawing>
          <wp:inline distT="0" distB="0" distL="0" distR="0" wp14:anchorId="0928FF2B" wp14:editId="04D1CAA6">
            <wp:extent cx="3657600" cy="349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514"/>
                    <a:stretch/>
                  </pic:blipFill>
                  <pic:spPr bwMode="auto">
                    <a:xfrm>
                      <a:off x="0" y="0"/>
                      <a:ext cx="3657600" cy="3492500"/>
                    </a:xfrm>
                    <a:prstGeom prst="rect">
                      <a:avLst/>
                    </a:prstGeom>
                    <a:ln>
                      <a:noFill/>
                    </a:ln>
                    <a:extLst>
                      <a:ext uri="{53640926-AAD7-44D8-BBD7-CCE9431645EC}">
                        <a14:shadowObscured xmlns:a14="http://schemas.microsoft.com/office/drawing/2010/main"/>
                      </a:ext>
                    </a:extLst>
                  </pic:spPr>
                </pic:pic>
              </a:graphicData>
            </a:graphic>
          </wp:inline>
        </w:drawing>
      </w:r>
    </w:p>
    <w:p w14:paraId="692F7206" w14:textId="77777777" w:rsidR="008A3671" w:rsidRPr="00296603" w:rsidRDefault="002408AF" w:rsidP="008A3671">
      <w:pPr>
        <w:tabs>
          <w:tab w:val="left" w:pos="3580"/>
        </w:tabs>
        <w:spacing w:after="240"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6</w:t>
      </w:r>
      <w:r w:rsidR="008A3671" w:rsidRPr="00296603">
        <w:rPr>
          <w:rFonts w:ascii="Times New Roman" w:hAnsi="Times New Roman" w:cs="Times New Roman"/>
          <w:b/>
          <w:sz w:val="24"/>
          <w:szCs w:val="24"/>
        </w:rPr>
        <w:t>: Effect Sizes (Cohen's D) with 95% Confidence Intervals</w:t>
      </w:r>
    </w:p>
    <w:p w14:paraId="5C3637A7" w14:textId="77777777" w:rsidR="00227EC0" w:rsidRPr="00296603" w:rsidRDefault="00227EC0" w:rsidP="00E82BD8">
      <w:pPr>
        <w:spacing w:line="360" w:lineRule="auto"/>
        <w:rPr>
          <w:rFonts w:ascii="Times New Roman" w:hAnsi="Times New Roman" w:cs="Times New Roman"/>
          <w:sz w:val="20"/>
          <w:szCs w:val="20"/>
        </w:rPr>
      </w:pPr>
      <w:r w:rsidRPr="00296603">
        <w:rPr>
          <w:rFonts w:ascii="Times New Roman" w:hAnsi="Times New Roman" w:cs="Times New Roman"/>
          <w:sz w:val="20"/>
          <w:szCs w:val="20"/>
        </w:rPr>
        <w:t xml:space="preserve">Taken together, these findings indicate that symptomatic malaria among Takoradi Technical University students is </w:t>
      </w:r>
      <w:proofErr w:type="spellStart"/>
      <w:r w:rsidRPr="00296603">
        <w:rPr>
          <w:rFonts w:ascii="Times New Roman" w:hAnsi="Times New Roman" w:cs="Times New Roman"/>
          <w:sz w:val="20"/>
          <w:szCs w:val="20"/>
        </w:rPr>
        <w:t>characterised</w:t>
      </w:r>
      <w:proofErr w:type="spellEnd"/>
      <w:r w:rsidRPr="00296603">
        <w:rPr>
          <w:rFonts w:ascii="Times New Roman" w:hAnsi="Times New Roman" w:cs="Times New Roman"/>
          <w:sz w:val="20"/>
          <w:szCs w:val="20"/>
        </w:rPr>
        <w:t xml:space="preserve"> by elevated hepatic and renal markers, reduced erythrocyte indices, and marked thrombocytopenia, accompanied by significantly higher parasite densities. In contrast, asymptomatic carriers generally maintained relatively stable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and biochemical profiles, with parasite density showing minimal influence on most laboratory parameters except for a modest association with platelet count.</w:t>
      </w:r>
    </w:p>
    <w:p w14:paraId="2701FBF4" w14:textId="77777777" w:rsidR="001D4A6D" w:rsidRPr="00296603" w:rsidRDefault="001D4A6D" w:rsidP="00F91486">
      <w:pPr>
        <w:spacing w:line="360" w:lineRule="auto"/>
        <w:rPr>
          <w:rFonts w:ascii="Times New Roman" w:hAnsi="Times New Roman" w:cs="Times New Roman"/>
          <w:sz w:val="20"/>
          <w:szCs w:val="20"/>
        </w:rPr>
      </w:pPr>
    </w:p>
    <w:p w14:paraId="122B83E7" w14:textId="77777777" w:rsidR="00F91486" w:rsidRPr="00296603" w:rsidRDefault="00337E4A" w:rsidP="00337E4A">
      <w:pPr>
        <w:spacing w:line="360" w:lineRule="auto"/>
        <w:rPr>
          <w:rFonts w:ascii="Times New Roman" w:hAnsi="Times New Roman" w:cs="Times New Roman"/>
          <w:b/>
          <w:sz w:val="20"/>
          <w:szCs w:val="20"/>
        </w:rPr>
      </w:pPr>
      <w:r w:rsidRPr="00296603">
        <w:rPr>
          <w:rFonts w:ascii="Times New Roman" w:hAnsi="Times New Roman" w:cs="Times New Roman"/>
          <w:b/>
          <w:sz w:val="20"/>
          <w:szCs w:val="20"/>
        </w:rPr>
        <w:t>4</w:t>
      </w:r>
      <w:r w:rsidR="00F91486" w:rsidRPr="00296603">
        <w:rPr>
          <w:rFonts w:ascii="Times New Roman" w:hAnsi="Times New Roman" w:cs="Times New Roman"/>
          <w:b/>
          <w:sz w:val="20"/>
          <w:szCs w:val="20"/>
        </w:rPr>
        <w:t>. Discussion</w:t>
      </w:r>
    </w:p>
    <w:p w14:paraId="2A6FFA9A" w14:textId="438A939C"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In this study of Takoradi Technical University students, symptomatic malaria was related with a much higher laboratory load across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biochemical, and parasitological parameters. This population's symptoms matched increased parasite density and more severe blood cell indices and organ function markers. Ghanaian individuals with malaria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had </w:t>
      </w:r>
      <w:proofErr w:type="spellStart"/>
      <w:r w:rsidRPr="00296603">
        <w:rPr>
          <w:rFonts w:ascii="Times New Roman" w:hAnsi="Times New Roman" w:cs="Times New Roman"/>
          <w:sz w:val="20"/>
          <w:szCs w:val="20"/>
        </w:rPr>
        <w:t>anaemia</w:t>
      </w:r>
      <w:proofErr w:type="spellEnd"/>
      <w:r w:rsidRPr="00296603">
        <w:rPr>
          <w:rFonts w:ascii="Times New Roman" w:hAnsi="Times New Roman" w:cs="Times New Roman"/>
          <w:sz w:val="20"/>
          <w:szCs w:val="20"/>
        </w:rPr>
        <w:t xml:space="preserve"> and thrombocytopenia as the main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findings </w:t>
      </w:r>
      <w:r w:rsidR="00535379" w:rsidRPr="00535379">
        <w:rPr>
          <w:rFonts w:ascii="Times New Roman" w:hAnsi="Times New Roman" w:cs="Times New Roman"/>
          <w:sz w:val="20"/>
          <w:szCs w:val="20"/>
          <w:highlight w:val="yellow"/>
        </w:rPr>
        <w:t>(</w:t>
      </w:r>
      <w:proofErr w:type="spellStart"/>
      <w:r w:rsidR="00535379" w:rsidRPr="00535379">
        <w:rPr>
          <w:rFonts w:ascii="Times New Roman" w:hAnsi="Times New Roman" w:cs="Times New Roman"/>
          <w:sz w:val="20"/>
          <w:szCs w:val="20"/>
          <w:highlight w:val="yellow"/>
        </w:rPr>
        <w:t>Sakzabre</w:t>
      </w:r>
      <w:proofErr w:type="spellEnd"/>
      <w:r w:rsidR="00535379" w:rsidRPr="00535379">
        <w:rPr>
          <w:rFonts w:ascii="Times New Roman" w:hAnsi="Times New Roman" w:cs="Times New Roman"/>
          <w:sz w:val="20"/>
          <w:szCs w:val="20"/>
          <w:highlight w:val="yellow"/>
        </w:rPr>
        <w:t xml:space="preserve"> et al., 2020</w:t>
      </w:r>
      <w:r w:rsidR="00535379" w:rsidRPr="00601F52">
        <w:rPr>
          <w:rFonts w:ascii="Times New Roman" w:hAnsi="Times New Roman" w:cs="Times New Roman"/>
          <w:sz w:val="20"/>
          <w:szCs w:val="20"/>
          <w:highlight w:val="yellow"/>
        </w:rPr>
        <w:t>)</w:t>
      </w:r>
      <w:r w:rsidRPr="00601F52">
        <w:rPr>
          <w:rFonts w:ascii="Times New Roman" w:hAnsi="Times New Roman" w:cs="Times New Roman"/>
          <w:sz w:val="20"/>
          <w:szCs w:val="20"/>
          <w:highlight w:val="yellow"/>
        </w:rPr>
        <w:t>.</w:t>
      </w:r>
      <w:r w:rsidR="00601F52" w:rsidRPr="00601F52">
        <w:rPr>
          <w:rFonts w:ascii="Times New Roman" w:hAnsi="Times New Roman" w:cs="Times New Roman"/>
          <w:sz w:val="20"/>
          <w:szCs w:val="20"/>
          <w:highlight w:val="yellow"/>
        </w:rPr>
        <w:t xml:space="preserve"> These observations are consistent with broader investigations showing that malaria infection frequently alters red cell indices, platelet counts, and inflammatory markers due to parasite-induced </w:t>
      </w:r>
      <w:proofErr w:type="spellStart"/>
      <w:r w:rsidR="00601F52" w:rsidRPr="00601F52">
        <w:rPr>
          <w:rFonts w:ascii="Times New Roman" w:hAnsi="Times New Roman" w:cs="Times New Roman"/>
          <w:sz w:val="20"/>
          <w:szCs w:val="20"/>
          <w:highlight w:val="yellow"/>
        </w:rPr>
        <w:t>haemolysis</w:t>
      </w:r>
      <w:proofErr w:type="spellEnd"/>
      <w:r w:rsidR="00601F52" w:rsidRPr="00601F52">
        <w:rPr>
          <w:rFonts w:ascii="Times New Roman" w:hAnsi="Times New Roman" w:cs="Times New Roman"/>
          <w:sz w:val="20"/>
          <w:szCs w:val="20"/>
          <w:highlight w:val="yellow"/>
        </w:rPr>
        <w:t xml:space="preserve"> and immune activation (Pang et al., 2025; </w:t>
      </w:r>
      <w:proofErr w:type="spellStart"/>
      <w:r w:rsidR="00601F52" w:rsidRPr="00601F52">
        <w:rPr>
          <w:rFonts w:ascii="Times New Roman" w:hAnsi="Times New Roman" w:cs="Times New Roman"/>
          <w:sz w:val="20"/>
          <w:szCs w:val="20"/>
          <w:highlight w:val="yellow"/>
        </w:rPr>
        <w:t>Kotepui</w:t>
      </w:r>
      <w:proofErr w:type="spellEnd"/>
      <w:r w:rsidR="00601F52" w:rsidRPr="00601F52">
        <w:rPr>
          <w:rFonts w:ascii="Times New Roman" w:hAnsi="Times New Roman" w:cs="Times New Roman"/>
          <w:sz w:val="20"/>
          <w:szCs w:val="20"/>
          <w:highlight w:val="yellow"/>
        </w:rPr>
        <w:t xml:space="preserve"> et al., 2025).</w:t>
      </w:r>
    </w:p>
    <w:p w14:paraId="24EDBCF0" w14:textId="3EEB1F77"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Symptomatic students had lower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red blood cell count, MCHC, and MCV and MCH than asymptomatic carriers. This suggests symptomatic malaria disrupts erythrocytes more. Malaria </w:t>
      </w:r>
      <w:proofErr w:type="spellStart"/>
      <w:r w:rsidRPr="00296603">
        <w:rPr>
          <w:rFonts w:ascii="Times New Roman" w:hAnsi="Times New Roman" w:cs="Times New Roman"/>
          <w:sz w:val="20"/>
          <w:szCs w:val="20"/>
        </w:rPr>
        <w:t>haemolyzes</w:t>
      </w:r>
      <w:proofErr w:type="spellEnd"/>
      <w:r w:rsidRPr="00296603">
        <w:rPr>
          <w:rFonts w:ascii="Times New Roman" w:hAnsi="Times New Roman" w:cs="Times New Roman"/>
          <w:sz w:val="20"/>
          <w:szCs w:val="20"/>
        </w:rPr>
        <w:t xml:space="preserve"> and removes infected and uninfected erythrocytes, causing </w:t>
      </w:r>
      <w:proofErr w:type="spellStart"/>
      <w:r w:rsidRPr="00296603">
        <w:rPr>
          <w:rFonts w:ascii="Times New Roman" w:hAnsi="Times New Roman" w:cs="Times New Roman"/>
          <w:sz w:val="20"/>
          <w:szCs w:val="20"/>
        </w:rPr>
        <w:t>anaemia</w:t>
      </w:r>
      <w:proofErr w:type="spellEnd"/>
      <w:r w:rsidRPr="00296603">
        <w:rPr>
          <w:rFonts w:ascii="Times New Roman" w:hAnsi="Times New Roman" w:cs="Times New Roman"/>
          <w:sz w:val="20"/>
          <w:szCs w:val="20"/>
        </w:rPr>
        <w:t xml:space="preserve"> </w:t>
      </w:r>
      <w:r w:rsidR="00535379" w:rsidRPr="00535379">
        <w:rPr>
          <w:rFonts w:ascii="Times New Roman" w:hAnsi="Times New Roman" w:cs="Times New Roman"/>
          <w:sz w:val="20"/>
          <w:szCs w:val="20"/>
          <w:highlight w:val="yellow"/>
        </w:rPr>
        <w:t>(Naser et al., 2024)</w:t>
      </w:r>
      <w:r w:rsidRPr="00296603">
        <w:rPr>
          <w:rFonts w:ascii="Times New Roman" w:hAnsi="Times New Roman" w:cs="Times New Roman"/>
          <w:sz w:val="20"/>
          <w:szCs w:val="20"/>
        </w:rPr>
        <w:t xml:space="preserve">. </w:t>
      </w:r>
      <w:proofErr w:type="spellStart"/>
      <w:r w:rsidRPr="00535379">
        <w:rPr>
          <w:rFonts w:ascii="Times New Roman" w:hAnsi="Times New Roman" w:cs="Times New Roman"/>
          <w:sz w:val="20"/>
          <w:szCs w:val="20"/>
          <w:highlight w:val="yellow"/>
        </w:rPr>
        <w:t>Mutala</w:t>
      </w:r>
      <w:proofErr w:type="spellEnd"/>
      <w:r w:rsidRPr="00535379">
        <w:rPr>
          <w:rFonts w:ascii="Times New Roman" w:hAnsi="Times New Roman" w:cs="Times New Roman"/>
          <w:sz w:val="20"/>
          <w:szCs w:val="20"/>
          <w:highlight w:val="yellow"/>
        </w:rPr>
        <w:t xml:space="preserve"> et al. </w:t>
      </w:r>
      <w:r w:rsidR="00535379" w:rsidRPr="00535379">
        <w:rPr>
          <w:rFonts w:ascii="Times New Roman" w:hAnsi="Times New Roman" w:cs="Times New Roman"/>
          <w:sz w:val="20"/>
          <w:szCs w:val="20"/>
          <w:highlight w:val="yellow"/>
        </w:rPr>
        <w:t>(2020)</w:t>
      </w:r>
      <w:r w:rsidRPr="00296603">
        <w:rPr>
          <w:rFonts w:ascii="Times New Roman" w:hAnsi="Times New Roman" w:cs="Times New Roman"/>
          <w:sz w:val="20"/>
          <w:szCs w:val="20"/>
        </w:rPr>
        <w:t xml:space="preserve"> found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differences related with malaria in urban, peri-urban, and rural Ghana, supporting red cell indices in endemic areas. </w:t>
      </w:r>
      <w:r w:rsidRPr="00535379">
        <w:rPr>
          <w:rFonts w:ascii="Times New Roman" w:hAnsi="Times New Roman" w:cs="Times New Roman"/>
          <w:sz w:val="20"/>
          <w:szCs w:val="20"/>
          <w:highlight w:val="yellow"/>
        </w:rPr>
        <w:t xml:space="preserve">Kaboré et al. </w:t>
      </w:r>
      <w:r w:rsidR="00535379" w:rsidRPr="00535379">
        <w:rPr>
          <w:rFonts w:ascii="Times New Roman" w:hAnsi="Times New Roman" w:cs="Times New Roman"/>
          <w:sz w:val="20"/>
          <w:szCs w:val="20"/>
          <w:highlight w:val="yellow"/>
        </w:rPr>
        <w:t>(2020)</w:t>
      </w:r>
      <w:r w:rsidRPr="00296603">
        <w:rPr>
          <w:rFonts w:ascii="Times New Roman" w:hAnsi="Times New Roman" w:cs="Times New Roman"/>
          <w:sz w:val="20"/>
          <w:szCs w:val="20"/>
        </w:rPr>
        <w:t xml:space="preserve"> found that asymptomatic malaria can impact red blood cell homeostasis in Burkina Faso, though </w:t>
      </w:r>
      <w:r w:rsidRPr="00296603">
        <w:rPr>
          <w:rFonts w:ascii="Times New Roman" w:hAnsi="Times New Roman" w:cs="Times New Roman"/>
          <w:sz w:val="20"/>
          <w:szCs w:val="20"/>
        </w:rPr>
        <w:lastRenderedPageBreak/>
        <w:t xml:space="preserve">less so. </w:t>
      </w:r>
      <w:r w:rsidR="00601F52" w:rsidRPr="00601F52">
        <w:rPr>
          <w:rFonts w:ascii="Times New Roman" w:hAnsi="Times New Roman" w:cs="Times New Roman"/>
          <w:sz w:val="20"/>
          <w:szCs w:val="20"/>
          <w:highlight w:val="yellow"/>
        </w:rPr>
        <w:t xml:space="preserve">Similar reductions in </w:t>
      </w:r>
      <w:proofErr w:type="spellStart"/>
      <w:r w:rsidR="00601F52" w:rsidRPr="00601F52">
        <w:rPr>
          <w:rFonts w:ascii="Times New Roman" w:hAnsi="Times New Roman" w:cs="Times New Roman"/>
          <w:sz w:val="20"/>
          <w:szCs w:val="20"/>
          <w:highlight w:val="yellow"/>
        </w:rPr>
        <w:t>haemoglobin</w:t>
      </w:r>
      <w:proofErr w:type="spellEnd"/>
      <w:r w:rsidR="00601F52" w:rsidRPr="00601F52">
        <w:rPr>
          <w:rFonts w:ascii="Times New Roman" w:hAnsi="Times New Roman" w:cs="Times New Roman"/>
          <w:sz w:val="20"/>
          <w:szCs w:val="20"/>
          <w:highlight w:val="yellow"/>
        </w:rPr>
        <w:t xml:space="preserve"> and erythrocyte indices have been reported among malaria-infected populations in Ethiopia and Cameroon, further supporting the role of parasite infection in disrupting red blood cell homeostasis (Abebe et al., 2024; </w:t>
      </w:r>
      <w:proofErr w:type="spellStart"/>
      <w:r w:rsidR="00601F52" w:rsidRPr="00601F52">
        <w:rPr>
          <w:rFonts w:ascii="Times New Roman" w:hAnsi="Times New Roman" w:cs="Times New Roman"/>
          <w:sz w:val="20"/>
          <w:szCs w:val="20"/>
          <w:highlight w:val="yellow"/>
        </w:rPr>
        <w:t>Njewa</w:t>
      </w:r>
      <w:proofErr w:type="spellEnd"/>
      <w:r w:rsidR="00601F52" w:rsidRPr="00601F52">
        <w:rPr>
          <w:rFonts w:ascii="Times New Roman" w:hAnsi="Times New Roman" w:cs="Times New Roman"/>
          <w:sz w:val="20"/>
          <w:szCs w:val="20"/>
          <w:highlight w:val="yellow"/>
        </w:rPr>
        <w:t xml:space="preserve"> et al., 2024).</w:t>
      </w:r>
      <w:r w:rsidR="00601F52">
        <w:rPr>
          <w:rFonts w:ascii="Times New Roman" w:hAnsi="Times New Roman" w:cs="Times New Roman"/>
          <w:sz w:val="20"/>
          <w:szCs w:val="20"/>
        </w:rPr>
        <w:t xml:space="preserve"> </w:t>
      </w:r>
      <w:r w:rsidRPr="00296603">
        <w:rPr>
          <w:rFonts w:ascii="Times New Roman" w:hAnsi="Times New Roman" w:cs="Times New Roman"/>
          <w:sz w:val="20"/>
          <w:szCs w:val="20"/>
        </w:rPr>
        <w:t xml:space="preserve">This suggests that asymptomatic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is physiologically active, while symptomatic infection is more consistently associated with clinically significant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and RBC-related index decreases.</w:t>
      </w:r>
    </w:p>
    <w:p w14:paraId="4F76189B" w14:textId="171FA808"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One of the most clearly differed measures was platelet count, with symptomatic students having severe thrombocytopenia and larger effect sizes. This is consistent with Volta Region Ghanaian findings that adults with malaria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have thrombocytopenia </w:t>
      </w:r>
      <w:r w:rsidR="00535379" w:rsidRPr="00535379">
        <w:rPr>
          <w:rFonts w:ascii="Times New Roman" w:hAnsi="Times New Roman" w:cs="Times New Roman"/>
          <w:sz w:val="20"/>
          <w:szCs w:val="20"/>
          <w:highlight w:val="yellow"/>
        </w:rPr>
        <w:t>(</w:t>
      </w:r>
      <w:proofErr w:type="spellStart"/>
      <w:r w:rsidR="00535379" w:rsidRPr="00535379">
        <w:rPr>
          <w:rFonts w:ascii="Times New Roman" w:hAnsi="Times New Roman" w:cs="Times New Roman"/>
          <w:sz w:val="20"/>
          <w:szCs w:val="20"/>
          <w:highlight w:val="yellow"/>
        </w:rPr>
        <w:t>Sakzabre</w:t>
      </w:r>
      <w:proofErr w:type="spellEnd"/>
      <w:r w:rsidR="00535379" w:rsidRPr="00535379">
        <w:rPr>
          <w:rFonts w:ascii="Times New Roman" w:hAnsi="Times New Roman" w:cs="Times New Roman"/>
          <w:sz w:val="20"/>
          <w:szCs w:val="20"/>
          <w:highlight w:val="yellow"/>
        </w:rPr>
        <w:t xml:space="preserve"> et al., 2020)</w:t>
      </w:r>
      <w:r w:rsidRPr="00296603">
        <w:rPr>
          <w:rFonts w:ascii="Times New Roman" w:hAnsi="Times New Roman" w:cs="Times New Roman"/>
          <w:sz w:val="20"/>
          <w:szCs w:val="20"/>
        </w:rPr>
        <w:t xml:space="preserve">. A thorough review by </w:t>
      </w:r>
      <w:proofErr w:type="spellStart"/>
      <w:r w:rsidRPr="00D94BAC">
        <w:rPr>
          <w:rFonts w:ascii="Times New Roman" w:hAnsi="Times New Roman" w:cs="Times New Roman"/>
          <w:sz w:val="20"/>
          <w:szCs w:val="20"/>
          <w:highlight w:val="yellow"/>
        </w:rPr>
        <w:t>Mahittikorn</w:t>
      </w:r>
      <w:proofErr w:type="spellEnd"/>
      <w:r w:rsidRPr="00D94BAC">
        <w:rPr>
          <w:rFonts w:ascii="Times New Roman" w:hAnsi="Times New Roman" w:cs="Times New Roman"/>
          <w:sz w:val="20"/>
          <w:szCs w:val="20"/>
          <w:highlight w:val="yellow"/>
        </w:rPr>
        <w:t xml:space="preserve"> et al. </w:t>
      </w:r>
      <w:r w:rsidR="00D94BAC" w:rsidRPr="00D94BAC">
        <w:rPr>
          <w:rFonts w:ascii="Times New Roman" w:hAnsi="Times New Roman" w:cs="Times New Roman"/>
          <w:sz w:val="20"/>
          <w:szCs w:val="20"/>
          <w:highlight w:val="yellow"/>
        </w:rPr>
        <w:t>(2021)</w:t>
      </w:r>
      <w:r w:rsidRPr="00296603">
        <w:rPr>
          <w:rFonts w:ascii="Times New Roman" w:hAnsi="Times New Roman" w:cs="Times New Roman"/>
          <w:sz w:val="20"/>
          <w:szCs w:val="20"/>
        </w:rPr>
        <w:t xml:space="preserve"> found that malaria often reduces platelets, especially in severe cases. </w:t>
      </w:r>
      <w:r w:rsidR="008A514D" w:rsidRPr="008A514D">
        <w:rPr>
          <w:rFonts w:ascii="Times New Roman" w:hAnsi="Times New Roman" w:cs="Times New Roman"/>
          <w:sz w:val="20"/>
          <w:szCs w:val="20"/>
          <w:highlight w:val="yellow"/>
        </w:rPr>
        <w:t>Additional clinical investigations have confirmed that thrombocytopenia and platelet indices are strongly associated with parasite density and may serve as useful predictors of malaria infection in endemic settings (</w:t>
      </w:r>
      <w:proofErr w:type="spellStart"/>
      <w:r w:rsidR="008A514D" w:rsidRPr="008A514D">
        <w:rPr>
          <w:rFonts w:ascii="Times New Roman" w:hAnsi="Times New Roman" w:cs="Times New Roman"/>
          <w:sz w:val="20"/>
          <w:szCs w:val="20"/>
          <w:highlight w:val="yellow"/>
        </w:rPr>
        <w:t>Tiiba</w:t>
      </w:r>
      <w:proofErr w:type="spellEnd"/>
      <w:r w:rsidR="008A514D" w:rsidRPr="008A514D">
        <w:rPr>
          <w:rFonts w:ascii="Times New Roman" w:hAnsi="Times New Roman" w:cs="Times New Roman"/>
          <w:sz w:val="20"/>
          <w:szCs w:val="20"/>
          <w:highlight w:val="yellow"/>
        </w:rPr>
        <w:t xml:space="preserve"> et al., 2023; Akpan et al., 2025).</w:t>
      </w:r>
      <w:r w:rsidR="008A514D">
        <w:rPr>
          <w:rFonts w:ascii="Times New Roman" w:hAnsi="Times New Roman" w:cs="Times New Roman"/>
          <w:sz w:val="20"/>
          <w:szCs w:val="20"/>
        </w:rPr>
        <w:t xml:space="preserve"> </w:t>
      </w:r>
      <w:r w:rsidRPr="00296603">
        <w:rPr>
          <w:rFonts w:ascii="Times New Roman" w:hAnsi="Times New Roman" w:cs="Times New Roman"/>
          <w:sz w:val="20"/>
          <w:szCs w:val="20"/>
        </w:rPr>
        <w:t>The high platelet signal in this study supports the practical laboratory utility of platelet count as a malaria biomarker, especially when interpreted with parasite density and erythrocyte parameters.</w:t>
      </w:r>
    </w:p>
    <w:p w14:paraId="009ACED9" w14:textId="0A8FED50"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Symptomatic students had greater white blood cell counts, indicating a stronger inflammatory response to infection. More evidence suggests that malaria stimulates inflammatory pathways, with immune responses ranging by disease severity </w:t>
      </w:r>
      <w:r w:rsidR="00D94BAC" w:rsidRPr="00D94BAC">
        <w:rPr>
          <w:rFonts w:ascii="Times New Roman" w:hAnsi="Times New Roman" w:cs="Times New Roman"/>
          <w:sz w:val="20"/>
          <w:szCs w:val="20"/>
          <w:highlight w:val="yellow"/>
        </w:rPr>
        <w:t>(</w:t>
      </w:r>
      <w:proofErr w:type="spellStart"/>
      <w:r w:rsidR="00D94BAC" w:rsidRPr="00D94BAC">
        <w:rPr>
          <w:rFonts w:ascii="Times New Roman" w:hAnsi="Times New Roman" w:cs="Times New Roman"/>
          <w:sz w:val="20"/>
          <w:szCs w:val="20"/>
          <w:highlight w:val="yellow"/>
        </w:rPr>
        <w:t>Wilairatana</w:t>
      </w:r>
      <w:proofErr w:type="spellEnd"/>
      <w:r w:rsidR="00D94BAC" w:rsidRPr="00D94BAC">
        <w:rPr>
          <w:rFonts w:ascii="Times New Roman" w:hAnsi="Times New Roman" w:cs="Times New Roman"/>
          <w:sz w:val="20"/>
          <w:szCs w:val="20"/>
          <w:highlight w:val="yellow"/>
        </w:rPr>
        <w:t xml:space="preserve"> et al., </w:t>
      </w:r>
      <w:r w:rsidR="00D94BAC">
        <w:rPr>
          <w:rFonts w:ascii="Times New Roman" w:hAnsi="Times New Roman" w:cs="Times New Roman"/>
          <w:sz w:val="20"/>
          <w:szCs w:val="20"/>
          <w:highlight w:val="yellow"/>
        </w:rPr>
        <w:t>2022</w:t>
      </w:r>
      <w:r w:rsidR="00D94BAC" w:rsidRPr="00D94BAC">
        <w:rPr>
          <w:rFonts w:ascii="Times New Roman" w:hAnsi="Times New Roman" w:cs="Times New Roman"/>
          <w:sz w:val="20"/>
          <w:szCs w:val="20"/>
          <w:highlight w:val="yellow"/>
        </w:rPr>
        <w:t>)</w:t>
      </w:r>
      <w:r w:rsidRPr="00296603">
        <w:rPr>
          <w:rFonts w:ascii="Times New Roman" w:hAnsi="Times New Roman" w:cs="Times New Roman"/>
          <w:sz w:val="20"/>
          <w:szCs w:val="20"/>
        </w:rPr>
        <w:t xml:space="preserve">. </w:t>
      </w:r>
      <w:r w:rsidR="008A514D" w:rsidRPr="008A514D">
        <w:rPr>
          <w:rFonts w:ascii="Times New Roman" w:hAnsi="Times New Roman" w:cs="Times New Roman"/>
          <w:sz w:val="20"/>
          <w:szCs w:val="20"/>
          <w:highlight w:val="yellow"/>
        </w:rPr>
        <w:t>Host–parasite interaction studies have further demonstrated that inflammatory cytokine responses and immune activation are key determinants of disease severity in malaria infections (</w:t>
      </w:r>
      <w:proofErr w:type="spellStart"/>
      <w:r w:rsidR="008A514D" w:rsidRPr="008A514D">
        <w:rPr>
          <w:rFonts w:ascii="Times New Roman" w:hAnsi="Times New Roman" w:cs="Times New Roman"/>
          <w:sz w:val="20"/>
          <w:szCs w:val="20"/>
          <w:highlight w:val="yellow"/>
        </w:rPr>
        <w:t>Asmah</w:t>
      </w:r>
      <w:proofErr w:type="spellEnd"/>
      <w:r w:rsidR="008A514D" w:rsidRPr="008A514D">
        <w:rPr>
          <w:rFonts w:ascii="Times New Roman" w:hAnsi="Times New Roman" w:cs="Times New Roman"/>
          <w:sz w:val="20"/>
          <w:szCs w:val="20"/>
          <w:highlight w:val="yellow"/>
        </w:rPr>
        <w:t xml:space="preserve"> et al., 2024).</w:t>
      </w:r>
      <w:r w:rsidR="008A514D">
        <w:rPr>
          <w:rFonts w:ascii="Times New Roman" w:hAnsi="Times New Roman" w:cs="Times New Roman"/>
          <w:sz w:val="20"/>
          <w:szCs w:val="20"/>
        </w:rPr>
        <w:t xml:space="preserve"> </w:t>
      </w:r>
      <w:proofErr w:type="spellStart"/>
      <w:r w:rsidRPr="00783B62">
        <w:rPr>
          <w:rFonts w:ascii="Times New Roman" w:hAnsi="Times New Roman" w:cs="Times New Roman"/>
          <w:sz w:val="20"/>
          <w:szCs w:val="20"/>
          <w:highlight w:val="yellow"/>
        </w:rPr>
        <w:t>Aninagyei</w:t>
      </w:r>
      <w:proofErr w:type="spellEnd"/>
      <w:r w:rsidRPr="00783B62">
        <w:rPr>
          <w:rFonts w:ascii="Times New Roman" w:hAnsi="Times New Roman" w:cs="Times New Roman"/>
          <w:sz w:val="20"/>
          <w:szCs w:val="20"/>
          <w:highlight w:val="yellow"/>
        </w:rPr>
        <w:t xml:space="preserve"> et al. </w:t>
      </w:r>
      <w:r w:rsidR="00783B62" w:rsidRPr="00783B62">
        <w:rPr>
          <w:rFonts w:ascii="Times New Roman" w:hAnsi="Times New Roman" w:cs="Times New Roman"/>
          <w:sz w:val="20"/>
          <w:szCs w:val="20"/>
          <w:highlight w:val="yellow"/>
        </w:rPr>
        <w:t>(2021)</w:t>
      </w:r>
      <w:r w:rsidR="00783B62">
        <w:rPr>
          <w:rFonts w:ascii="Times New Roman" w:hAnsi="Times New Roman" w:cs="Times New Roman"/>
          <w:sz w:val="20"/>
          <w:szCs w:val="20"/>
        </w:rPr>
        <w:t xml:space="preserve"> </w:t>
      </w:r>
      <w:r w:rsidRPr="00296603">
        <w:rPr>
          <w:rFonts w:ascii="Times New Roman" w:hAnsi="Times New Roman" w:cs="Times New Roman"/>
          <w:sz w:val="20"/>
          <w:szCs w:val="20"/>
        </w:rPr>
        <w:t xml:space="preserve">found changed platelet thrombogenicity and inflammatory alterations in asymptomatic blood donors with Plasmodium falciparum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in Ghana, showing that even clinically quiet infections can disrupt platelet pathways. This study shows that overt clinical illness is associated with higher WBC levels, indicating increased inflammation.</w:t>
      </w:r>
    </w:p>
    <w:p w14:paraId="56FCCEDA" w14:textId="419BC68A" w:rsidR="00C76BA0" w:rsidRPr="00C76BA0" w:rsidRDefault="003F41E1" w:rsidP="00C76BA0">
      <w:pPr>
        <w:spacing w:after="160" w:line="360" w:lineRule="auto"/>
        <w:rPr>
          <w:sz w:val="20"/>
          <w:szCs w:val="20"/>
        </w:rPr>
      </w:pPr>
      <w:r w:rsidRPr="00296603">
        <w:rPr>
          <w:rFonts w:ascii="Times New Roman" w:hAnsi="Times New Roman" w:cs="Times New Roman"/>
          <w:sz w:val="20"/>
          <w:szCs w:val="20"/>
        </w:rPr>
        <w:t xml:space="preserve">Symptomatic students had more biochemical abnormalities. ALT, AST, and all bilirubin fractions increased considerably with large effect sizes. In </w:t>
      </w:r>
      <w:r w:rsidR="00783B62">
        <w:rPr>
          <w:rFonts w:ascii="Times New Roman" w:hAnsi="Times New Roman" w:cs="Times New Roman"/>
          <w:sz w:val="20"/>
          <w:szCs w:val="20"/>
        </w:rPr>
        <w:t xml:space="preserve">Ghanaian children, </w:t>
      </w:r>
      <w:proofErr w:type="spellStart"/>
      <w:r w:rsidR="00783B62" w:rsidRPr="00783B62">
        <w:rPr>
          <w:rFonts w:ascii="Times New Roman" w:hAnsi="Times New Roman" w:cs="Times New Roman"/>
          <w:sz w:val="20"/>
          <w:szCs w:val="20"/>
          <w:highlight w:val="yellow"/>
        </w:rPr>
        <w:t>Ehiem</w:t>
      </w:r>
      <w:proofErr w:type="spellEnd"/>
      <w:r w:rsidR="00783B62" w:rsidRPr="00783B62">
        <w:rPr>
          <w:rFonts w:ascii="Times New Roman" w:hAnsi="Times New Roman" w:cs="Times New Roman"/>
          <w:sz w:val="20"/>
          <w:szCs w:val="20"/>
          <w:highlight w:val="yellow"/>
        </w:rPr>
        <w:t xml:space="preserve"> et al. (2021)</w:t>
      </w:r>
      <w:r w:rsidRPr="00296603">
        <w:rPr>
          <w:rFonts w:ascii="Times New Roman" w:hAnsi="Times New Roman" w:cs="Times New Roman"/>
          <w:sz w:val="20"/>
          <w:szCs w:val="20"/>
        </w:rPr>
        <w:t xml:space="preserve"> found increased liver enzymes in acute malaria before therapy and connected infection to hepatocellular stress. Biochemical and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abnormalities we</w:t>
      </w:r>
      <w:r w:rsidR="00783B62">
        <w:rPr>
          <w:rFonts w:ascii="Times New Roman" w:hAnsi="Times New Roman" w:cs="Times New Roman"/>
          <w:sz w:val="20"/>
          <w:szCs w:val="20"/>
        </w:rPr>
        <w:t xml:space="preserve">re also found in uncomplicated </w:t>
      </w:r>
      <w:r w:rsidR="00783B62" w:rsidRPr="00783B62">
        <w:rPr>
          <w:rFonts w:ascii="Times New Roman" w:hAnsi="Times New Roman" w:cs="Times New Roman"/>
          <w:i/>
          <w:sz w:val="20"/>
          <w:szCs w:val="20"/>
        </w:rPr>
        <w:t>P. falciparum</w:t>
      </w:r>
      <w:r w:rsidRPr="00296603">
        <w:rPr>
          <w:rFonts w:ascii="Times New Roman" w:hAnsi="Times New Roman" w:cs="Times New Roman"/>
          <w:sz w:val="20"/>
          <w:szCs w:val="20"/>
        </w:rPr>
        <w:t xml:space="preserve"> malaria in Senegal </w:t>
      </w:r>
      <w:r w:rsidR="00C76BA0" w:rsidRPr="00C76BA0">
        <w:rPr>
          <w:rFonts w:ascii="Times New Roman" w:hAnsi="Times New Roman" w:cs="Times New Roman"/>
          <w:sz w:val="20"/>
          <w:szCs w:val="20"/>
          <w:highlight w:val="yellow"/>
        </w:rPr>
        <w:t xml:space="preserve">where </w:t>
      </w:r>
      <w:proofErr w:type="spellStart"/>
      <w:r w:rsidR="00C76BA0" w:rsidRPr="00C76BA0">
        <w:rPr>
          <w:rFonts w:ascii="Times New Roman" w:hAnsi="Times New Roman" w:cs="Times New Roman"/>
          <w:sz w:val="20"/>
          <w:szCs w:val="20"/>
          <w:highlight w:val="yellow"/>
        </w:rPr>
        <w:t>Sylla</w:t>
      </w:r>
      <w:proofErr w:type="spellEnd"/>
      <w:r w:rsidR="00C76BA0" w:rsidRPr="00C76BA0">
        <w:rPr>
          <w:rFonts w:ascii="Times New Roman" w:hAnsi="Times New Roman" w:cs="Times New Roman"/>
          <w:sz w:val="20"/>
          <w:szCs w:val="20"/>
          <w:highlight w:val="yellow"/>
        </w:rPr>
        <w:t xml:space="preserve"> et al. (2022) </w:t>
      </w:r>
      <w:r w:rsidR="00C76BA0" w:rsidRPr="00C76BA0">
        <w:rPr>
          <w:rFonts w:ascii="Times New Roman" w:hAnsi="Times New Roman" w:cs="Times New Roman"/>
          <w:bCs/>
          <w:sz w:val="20"/>
          <w:szCs w:val="20"/>
          <w:highlight w:val="yellow"/>
        </w:rPr>
        <w:t xml:space="preserve">specifically reported </w:t>
      </w:r>
      <w:proofErr w:type="spellStart"/>
      <w:r w:rsidR="00C76BA0" w:rsidRPr="00C76BA0">
        <w:rPr>
          <w:rFonts w:ascii="Times New Roman" w:hAnsi="Times New Roman" w:cs="Times New Roman"/>
          <w:bCs/>
          <w:sz w:val="20"/>
          <w:szCs w:val="20"/>
          <w:highlight w:val="yellow"/>
        </w:rPr>
        <w:t>anaemia</w:t>
      </w:r>
      <w:proofErr w:type="spellEnd"/>
      <w:r w:rsidR="00C76BA0" w:rsidRPr="00C76BA0">
        <w:rPr>
          <w:rFonts w:ascii="Times New Roman" w:hAnsi="Times New Roman" w:cs="Times New Roman"/>
          <w:bCs/>
          <w:sz w:val="20"/>
          <w:szCs w:val="20"/>
          <w:highlight w:val="yellow"/>
        </w:rPr>
        <w:t>, thrombocytopenia, and biochemical alterations in patients with uncomplicated malaria, highlighting the clinical relevance of these laboratory markers in symptomatic infections.</w:t>
      </w:r>
      <w:r w:rsidR="008A514D">
        <w:rPr>
          <w:rFonts w:ascii="Times New Roman" w:hAnsi="Times New Roman" w:cs="Times New Roman"/>
          <w:bCs/>
          <w:sz w:val="20"/>
          <w:szCs w:val="20"/>
        </w:rPr>
        <w:t xml:space="preserve"> </w:t>
      </w:r>
      <w:r w:rsidR="008A514D" w:rsidRPr="008A514D">
        <w:rPr>
          <w:rFonts w:ascii="Times New Roman" w:hAnsi="Times New Roman" w:cs="Times New Roman"/>
          <w:bCs/>
          <w:sz w:val="20"/>
          <w:szCs w:val="20"/>
          <w:highlight w:val="yellow"/>
        </w:rPr>
        <w:t>Comparable biochemical disruptions have also been observed in other malaria-infected populations, including alterations in renal and hepatic function parameters associated with parasite-induced systemic stress (</w:t>
      </w:r>
      <w:proofErr w:type="spellStart"/>
      <w:r w:rsidR="008A514D" w:rsidRPr="008A514D">
        <w:rPr>
          <w:rFonts w:ascii="Times New Roman" w:hAnsi="Times New Roman" w:cs="Times New Roman"/>
          <w:bCs/>
          <w:sz w:val="20"/>
          <w:szCs w:val="20"/>
          <w:highlight w:val="yellow"/>
        </w:rPr>
        <w:t>Akpulu</w:t>
      </w:r>
      <w:proofErr w:type="spellEnd"/>
      <w:r w:rsidR="008A514D" w:rsidRPr="008A514D">
        <w:rPr>
          <w:rFonts w:ascii="Times New Roman" w:hAnsi="Times New Roman" w:cs="Times New Roman"/>
          <w:bCs/>
          <w:sz w:val="20"/>
          <w:szCs w:val="20"/>
          <w:highlight w:val="yellow"/>
        </w:rPr>
        <w:t xml:space="preserve"> et al., 2025; </w:t>
      </w:r>
      <w:proofErr w:type="spellStart"/>
      <w:r w:rsidR="008A514D" w:rsidRPr="008A514D">
        <w:rPr>
          <w:rFonts w:ascii="Times New Roman" w:hAnsi="Times New Roman" w:cs="Times New Roman"/>
          <w:bCs/>
          <w:sz w:val="20"/>
          <w:szCs w:val="20"/>
          <w:highlight w:val="yellow"/>
        </w:rPr>
        <w:t>Obiorah</w:t>
      </w:r>
      <w:proofErr w:type="spellEnd"/>
      <w:r w:rsidR="008A514D" w:rsidRPr="008A514D">
        <w:rPr>
          <w:rFonts w:ascii="Times New Roman" w:hAnsi="Times New Roman" w:cs="Times New Roman"/>
          <w:bCs/>
          <w:sz w:val="20"/>
          <w:szCs w:val="20"/>
          <w:highlight w:val="yellow"/>
        </w:rPr>
        <w:t xml:space="preserve"> et al., 2024).</w:t>
      </w:r>
    </w:p>
    <w:p w14:paraId="4DFE1AD2" w14:textId="4A2E7CDA"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Symptomatic students with elevated transaminases and bilirubin may have malaria-associated </w:t>
      </w:r>
      <w:proofErr w:type="spellStart"/>
      <w:r w:rsidRPr="00296603">
        <w:rPr>
          <w:rFonts w:ascii="Times New Roman" w:hAnsi="Times New Roman" w:cs="Times New Roman"/>
          <w:sz w:val="20"/>
          <w:szCs w:val="20"/>
        </w:rPr>
        <w:t>haemolysis</w:t>
      </w:r>
      <w:proofErr w:type="spellEnd"/>
      <w:r w:rsidRPr="00296603">
        <w:rPr>
          <w:rFonts w:ascii="Times New Roman" w:hAnsi="Times New Roman" w:cs="Times New Roman"/>
          <w:sz w:val="20"/>
          <w:szCs w:val="20"/>
        </w:rPr>
        <w:t xml:space="preserve"> and hepatic involvement, supporting the use of basic liver function tests in clinically suspected cases.</w:t>
      </w:r>
    </w:p>
    <w:p w14:paraId="2857C8C7" w14:textId="1B1946A8"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Similar patterns were seen in renal indicators. Again, symptomatic pupils had higher urea and creatinine levels with substantial effect sizes. Although no renal disease was detected, these findings suggest that symptomatic infection may cause increased systemic stress due to dehydration, inflammation, or early renal involvement. At t</w:t>
      </w:r>
      <w:r w:rsidR="00B71537">
        <w:rPr>
          <w:rFonts w:ascii="Times New Roman" w:hAnsi="Times New Roman" w:cs="Times New Roman"/>
          <w:sz w:val="20"/>
          <w:szCs w:val="20"/>
        </w:rPr>
        <w:t xml:space="preserve">herapy monitoring, </w:t>
      </w:r>
      <w:proofErr w:type="spellStart"/>
      <w:r w:rsidR="00B71537" w:rsidRPr="00B71537">
        <w:rPr>
          <w:rFonts w:ascii="Times New Roman" w:hAnsi="Times New Roman" w:cs="Times New Roman"/>
          <w:sz w:val="20"/>
          <w:szCs w:val="20"/>
          <w:highlight w:val="yellow"/>
        </w:rPr>
        <w:t>Sylla</w:t>
      </w:r>
      <w:proofErr w:type="spellEnd"/>
      <w:r w:rsidR="00B71537" w:rsidRPr="00B71537">
        <w:rPr>
          <w:rFonts w:ascii="Times New Roman" w:hAnsi="Times New Roman" w:cs="Times New Roman"/>
          <w:sz w:val="20"/>
          <w:szCs w:val="20"/>
          <w:highlight w:val="yellow"/>
        </w:rPr>
        <w:t xml:space="preserve"> et al. (2022)</w:t>
      </w:r>
      <w:r w:rsidR="00B71537">
        <w:rPr>
          <w:rFonts w:ascii="Times New Roman" w:hAnsi="Times New Roman" w:cs="Times New Roman"/>
          <w:sz w:val="20"/>
          <w:szCs w:val="20"/>
        </w:rPr>
        <w:t xml:space="preserve"> </w:t>
      </w:r>
      <w:r w:rsidRPr="00296603">
        <w:rPr>
          <w:rFonts w:ascii="Times New Roman" w:hAnsi="Times New Roman" w:cs="Times New Roman"/>
          <w:sz w:val="20"/>
          <w:szCs w:val="20"/>
        </w:rPr>
        <w:t xml:space="preserve">found biochemical changes in uncomplicated malaria, suggesting kidney indicators </w:t>
      </w:r>
      <w:r w:rsidRPr="00296603">
        <w:rPr>
          <w:rFonts w:ascii="Times New Roman" w:hAnsi="Times New Roman" w:cs="Times New Roman"/>
          <w:sz w:val="20"/>
          <w:szCs w:val="20"/>
        </w:rPr>
        <w:lastRenderedPageBreak/>
        <w:t>may shift even in mild malaria. New results from a young adult campus sample suggests renal function metrics can discriminate symptomatic from asymptomatic malaria.</w:t>
      </w:r>
    </w:p>
    <w:p w14:paraId="4ABE3B1B" w14:textId="748873E9"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Symptomatic students had highest median parasite density, indicating more infection than asymptomatic carriers. This supports the notion that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causes higher clinical and laboratory abno</w:t>
      </w:r>
      <w:r w:rsidR="00681BD1">
        <w:rPr>
          <w:rFonts w:ascii="Times New Roman" w:hAnsi="Times New Roman" w:cs="Times New Roman"/>
          <w:sz w:val="20"/>
          <w:szCs w:val="20"/>
        </w:rPr>
        <w:t xml:space="preserve">rmalities. </w:t>
      </w:r>
      <w:r w:rsidR="00681BD1" w:rsidRPr="00681BD1">
        <w:rPr>
          <w:rFonts w:ascii="Times New Roman" w:hAnsi="Times New Roman" w:cs="Times New Roman"/>
          <w:sz w:val="20"/>
          <w:szCs w:val="20"/>
          <w:highlight w:val="yellow"/>
        </w:rPr>
        <w:t>Antwi-Baffour et al. (2023)</w:t>
      </w:r>
      <w:r w:rsidRPr="00296603">
        <w:rPr>
          <w:rFonts w:ascii="Times New Roman" w:hAnsi="Times New Roman" w:cs="Times New Roman"/>
          <w:sz w:val="20"/>
          <w:szCs w:val="20"/>
        </w:rPr>
        <w:t xml:space="preserve"> found high parasite counts in malaria outpatients in Ghana and examined their associations with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markers, stressing parasite density as an interp</w:t>
      </w:r>
      <w:r w:rsidR="000B44E1" w:rsidRPr="00296603">
        <w:rPr>
          <w:rFonts w:ascii="Times New Roman" w:hAnsi="Times New Roman" w:cs="Times New Roman"/>
          <w:sz w:val="20"/>
          <w:szCs w:val="20"/>
        </w:rPr>
        <w:t>re</w:t>
      </w:r>
      <w:r w:rsidR="00681BD1">
        <w:rPr>
          <w:rFonts w:ascii="Times New Roman" w:hAnsi="Times New Roman" w:cs="Times New Roman"/>
          <w:sz w:val="20"/>
          <w:szCs w:val="20"/>
        </w:rPr>
        <w:t>tative factor.</w:t>
      </w:r>
      <w:r w:rsidR="002B36C0">
        <w:rPr>
          <w:rFonts w:ascii="Times New Roman" w:hAnsi="Times New Roman" w:cs="Times New Roman"/>
          <w:sz w:val="20"/>
          <w:szCs w:val="20"/>
        </w:rPr>
        <w:t xml:space="preserve"> </w:t>
      </w:r>
      <w:r w:rsidR="002B36C0" w:rsidRPr="002B36C0">
        <w:rPr>
          <w:rFonts w:ascii="Times New Roman" w:hAnsi="Times New Roman" w:cs="Times New Roman"/>
          <w:sz w:val="20"/>
          <w:szCs w:val="20"/>
          <w:highlight w:val="yellow"/>
        </w:rPr>
        <w:t xml:space="preserve">Recent comparative studies across endemic and non-endemic settings have similarly demonstrated that higher parasite densities are often associated with more pronounced </w:t>
      </w:r>
      <w:proofErr w:type="spellStart"/>
      <w:r w:rsidR="002B36C0" w:rsidRPr="002B36C0">
        <w:rPr>
          <w:rFonts w:ascii="Times New Roman" w:hAnsi="Times New Roman" w:cs="Times New Roman"/>
          <w:sz w:val="20"/>
          <w:szCs w:val="20"/>
          <w:highlight w:val="yellow"/>
        </w:rPr>
        <w:t>haematological</w:t>
      </w:r>
      <w:proofErr w:type="spellEnd"/>
      <w:r w:rsidR="002B36C0" w:rsidRPr="002B36C0">
        <w:rPr>
          <w:rFonts w:ascii="Times New Roman" w:hAnsi="Times New Roman" w:cs="Times New Roman"/>
          <w:sz w:val="20"/>
          <w:szCs w:val="20"/>
          <w:highlight w:val="yellow"/>
        </w:rPr>
        <w:t xml:space="preserve"> abnormalities and disease severity indicators (von Wedel et al., 2025).</w:t>
      </w:r>
      <w:r w:rsidR="00681BD1">
        <w:rPr>
          <w:rFonts w:ascii="Times New Roman" w:hAnsi="Times New Roman" w:cs="Times New Roman"/>
          <w:sz w:val="20"/>
          <w:szCs w:val="20"/>
        </w:rPr>
        <w:t xml:space="preserve"> </w:t>
      </w:r>
      <w:proofErr w:type="spellStart"/>
      <w:r w:rsidR="00681BD1" w:rsidRPr="00681BD1">
        <w:rPr>
          <w:rFonts w:ascii="Times New Roman" w:hAnsi="Times New Roman" w:cs="Times New Roman"/>
          <w:sz w:val="20"/>
          <w:szCs w:val="20"/>
          <w:highlight w:val="yellow"/>
        </w:rPr>
        <w:t>Mutala</w:t>
      </w:r>
      <w:proofErr w:type="spellEnd"/>
      <w:r w:rsidR="00681BD1" w:rsidRPr="00681BD1">
        <w:rPr>
          <w:rFonts w:ascii="Times New Roman" w:hAnsi="Times New Roman" w:cs="Times New Roman"/>
          <w:sz w:val="20"/>
          <w:szCs w:val="20"/>
          <w:highlight w:val="yellow"/>
        </w:rPr>
        <w:t xml:space="preserve"> et al. (2020)</w:t>
      </w:r>
      <w:r w:rsidRPr="00296603">
        <w:rPr>
          <w:rFonts w:ascii="Times New Roman" w:hAnsi="Times New Roman" w:cs="Times New Roman"/>
          <w:sz w:val="20"/>
          <w:szCs w:val="20"/>
        </w:rPr>
        <w:t xml:space="preserve"> found that parasite density varies substantially across Ghanaian populations, even within endemic locations. In this study, asymptomatic students had a wide density range, including moderate levels in a significant proportion, supporting public health concerns that asymptomatic carriers may transmit.</w:t>
      </w:r>
    </w:p>
    <w:p w14:paraId="7EEE5937" w14:textId="36F3A7E4"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In the asymptomatic subgroup, parasite density correlated weakly with most laboratory markers, with platelet count being the sole statistically si</w:t>
      </w:r>
      <w:r w:rsidR="003D2215">
        <w:rPr>
          <w:rFonts w:ascii="Times New Roman" w:hAnsi="Times New Roman" w:cs="Times New Roman"/>
          <w:sz w:val="20"/>
          <w:szCs w:val="20"/>
        </w:rPr>
        <w:t xml:space="preserve">gnificant link. </w:t>
      </w:r>
      <w:proofErr w:type="spellStart"/>
      <w:r w:rsidR="003D2215" w:rsidRPr="003D2215">
        <w:rPr>
          <w:rFonts w:ascii="Times New Roman" w:hAnsi="Times New Roman" w:cs="Times New Roman"/>
          <w:sz w:val="20"/>
          <w:szCs w:val="20"/>
          <w:highlight w:val="yellow"/>
        </w:rPr>
        <w:t>Sakzabre</w:t>
      </w:r>
      <w:proofErr w:type="spellEnd"/>
      <w:r w:rsidR="003D2215" w:rsidRPr="003D2215">
        <w:rPr>
          <w:rFonts w:ascii="Times New Roman" w:hAnsi="Times New Roman" w:cs="Times New Roman"/>
          <w:sz w:val="20"/>
          <w:szCs w:val="20"/>
          <w:highlight w:val="yellow"/>
        </w:rPr>
        <w:t xml:space="preserve"> et al. (2020)</w:t>
      </w:r>
      <w:r w:rsidRPr="00296603">
        <w:rPr>
          <w:rFonts w:ascii="Times New Roman" w:hAnsi="Times New Roman" w:cs="Times New Roman"/>
          <w:sz w:val="20"/>
          <w:szCs w:val="20"/>
        </w:rPr>
        <w:t xml:space="preserve"> found that as parasite density increased in adult hospital patients in Ghana, platelet counts decreased. </w:t>
      </w:r>
      <w:r w:rsidR="002B36C0" w:rsidRPr="002B36C0">
        <w:rPr>
          <w:rFonts w:ascii="Times New Roman" w:hAnsi="Times New Roman" w:cs="Times New Roman"/>
          <w:sz w:val="20"/>
          <w:szCs w:val="20"/>
          <w:highlight w:val="yellow"/>
        </w:rPr>
        <w:t>Comparable patterns have been described in asymptomatic malaria populations where laboratory changes may remain subtle despite measurable parasite densities (</w:t>
      </w:r>
      <w:proofErr w:type="spellStart"/>
      <w:r w:rsidR="002B36C0" w:rsidRPr="002B36C0">
        <w:rPr>
          <w:rFonts w:ascii="Times New Roman" w:hAnsi="Times New Roman" w:cs="Times New Roman"/>
          <w:sz w:val="20"/>
          <w:szCs w:val="20"/>
          <w:highlight w:val="yellow"/>
        </w:rPr>
        <w:t>Nundu</w:t>
      </w:r>
      <w:proofErr w:type="spellEnd"/>
      <w:r w:rsidR="002B36C0" w:rsidRPr="002B36C0">
        <w:rPr>
          <w:rFonts w:ascii="Times New Roman" w:hAnsi="Times New Roman" w:cs="Times New Roman"/>
          <w:sz w:val="20"/>
          <w:szCs w:val="20"/>
          <w:highlight w:val="yellow"/>
        </w:rPr>
        <w:t xml:space="preserve"> et al., 2021; </w:t>
      </w:r>
      <w:proofErr w:type="spellStart"/>
      <w:r w:rsidR="002B36C0" w:rsidRPr="002B36C0">
        <w:rPr>
          <w:rFonts w:ascii="Times New Roman" w:hAnsi="Times New Roman" w:cs="Times New Roman"/>
          <w:sz w:val="20"/>
          <w:szCs w:val="20"/>
          <w:highlight w:val="yellow"/>
        </w:rPr>
        <w:t>Nwaneri</w:t>
      </w:r>
      <w:proofErr w:type="spellEnd"/>
      <w:r w:rsidR="002B36C0" w:rsidRPr="002B36C0">
        <w:rPr>
          <w:rFonts w:ascii="Times New Roman" w:hAnsi="Times New Roman" w:cs="Times New Roman"/>
          <w:sz w:val="20"/>
          <w:szCs w:val="20"/>
          <w:highlight w:val="yellow"/>
        </w:rPr>
        <w:t xml:space="preserve"> et al., 2020)</w:t>
      </w:r>
      <w:r w:rsidR="002B36C0" w:rsidRPr="002B36C0">
        <w:rPr>
          <w:rFonts w:ascii="Times New Roman" w:hAnsi="Times New Roman" w:cs="Times New Roman"/>
          <w:sz w:val="20"/>
          <w:szCs w:val="20"/>
        </w:rPr>
        <w:t>.</w:t>
      </w:r>
      <w:r w:rsidR="002B36C0">
        <w:rPr>
          <w:rFonts w:ascii="Times New Roman" w:hAnsi="Times New Roman" w:cs="Times New Roman"/>
          <w:sz w:val="20"/>
          <w:szCs w:val="20"/>
        </w:rPr>
        <w:t xml:space="preserve"> </w:t>
      </w:r>
      <w:r w:rsidRPr="00296603">
        <w:rPr>
          <w:rFonts w:ascii="Times New Roman" w:hAnsi="Times New Roman" w:cs="Times New Roman"/>
          <w:sz w:val="20"/>
          <w:szCs w:val="20"/>
        </w:rPr>
        <w:t>Population features may explain the disparity. Asymptomatic university students were healthier than hospital-based populations, which may have higher inflammatory responses and splenic sequestration. According to</w:t>
      </w:r>
      <w:r w:rsidR="00960B79" w:rsidRPr="00296603">
        <w:rPr>
          <w:rFonts w:ascii="Times New Roman" w:hAnsi="Times New Roman" w:cs="Times New Roman"/>
          <w:sz w:val="20"/>
          <w:szCs w:val="20"/>
        </w:rPr>
        <w:t xml:space="preserve"> </w:t>
      </w:r>
      <w:r w:rsidR="003D2215" w:rsidRPr="003D2215">
        <w:rPr>
          <w:rFonts w:ascii="Times New Roman" w:hAnsi="Times New Roman" w:cs="Times New Roman"/>
          <w:sz w:val="20"/>
          <w:szCs w:val="20"/>
          <w:highlight w:val="yellow"/>
        </w:rPr>
        <w:t>Naser et al. (2024)</w:t>
      </w:r>
      <w:r w:rsidRPr="00296603">
        <w:rPr>
          <w:rFonts w:ascii="Times New Roman" w:hAnsi="Times New Roman" w:cs="Times New Roman"/>
          <w:sz w:val="20"/>
          <w:szCs w:val="20"/>
        </w:rPr>
        <w:t xml:space="preserve">, malaria-related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alterations are influenced by host–parasite interaction and vary by age, exposure history, and clinical phenotype. This limited link shows that parasite density alone may not predict routine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or biochemical profiles in asymptomatic young individuals.</w:t>
      </w:r>
    </w:p>
    <w:p w14:paraId="18E18E17" w14:textId="77777777" w:rsidR="003F41E1" w:rsidRPr="00296603" w:rsidRDefault="003F41E1" w:rsidP="00337E4A">
      <w:pPr>
        <w:spacing w:line="360" w:lineRule="auto"/>
        <w:rPr>
          <w:rFonts w:ascii="Times New Roman" w:hAnsi="Times New Roman" w:cs="Times New Roman"/>
          <w:sz w:val="20"/>
          <w:szCs w:val="20"/>
        </w:rPr>
      </w:pPr>
      <w:r w:rsidRPr="00296603">
        <w:rPr>
          <w:rFonts w:ascii="Times New Roman" w:hAnsi="Times New Roman" w:cs="Times New Roman"/>
          <w:sz w:val="20"/>
          <w:szCs w:val="20"/>
        </w:rPr>
        <w:t>TTU students with symptomatic malaria had greater parasite density, thrombocytopenia, lower erythrocyte indices, and raised hepatic and renal indicators. Despite changing parasite levels, asymptomatic carriers had stable laboratory profiles. These findings support Ghanaian and African data that malaria causes full blood count and biochemical panel patterns. However, asymptomatic infection in young individuals may not show clear linear connections between parasite density and standard laboratory markers. This highlights the necessity of parasitological confirmation and complete laboratory profiling in campus health services, where symptoms alone may underestimate infection and context-specific test interpretation is necessary.</w:t>
      </w:r>
    </w:p>
    <w:p w14:paraId="2014CC9E" w14:textId="77777777" w:rsidR="00337E4A" w:rsidRPr="00296603" w:rsidRDefault="00337E4A" w:rsidP="00337E4A">
      <w:pPr>
        <w:spacing w:line="360" w:lineRule="auto"/>
        <w:rPr>
          <w:rFonts w:ascii="Times New Roman" w:hAnsi="Times New Roman" w:cs="Times New Roman"/>
          <w:sz w:val="20"/>
          <w:szCs w:val="20"/>
        </w:rPr>
      </w:pPr>
    </w:p>
    <w:p w14:paraId="58FA8F15" w14:textId="77777777" w:rsidR="00337E4A" w:rsidRPr="00296603" w:rsidRDefault="00337E4A" w:rsidP="00337E4A">
      <w:pPr>
        <w:spacing w:line="360" w:lineRule="auto"/>
        <w:rPr>
          <w:rFonts w:ascii="Times New Roman" w:hAnsi="Times New Roman" w:cs="Times New Roman"/>
          <w:b/>
          <w:sz w:val="20"/>
          <w:szCs w:val="20"/>
        </w:rPr>
      </w:pPr>
      <w:r w:rsidRPr="00296603">
        <w:rPr>
          <w:rFonts w:ascii="Times New Roman" w:hAnsi="Times New Roman" w:cs="Times New Roman"/>
          <w:b/>
          <w:sz w:val="20"/>
          <w:szCs w:val="20"/>
        </w:rPr>
        <w:t>5. Conclusion</w:t>
      </w:r>
    </w:p>
    <w:p w14:paraId="1F4FEF9F" w14:textId="77777777" w:rsidR="00337E4A" w:rsidRPr="00296603" w:rsidRDefault="00337E4A" w:rsidP="00337E4A">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A consistent trend emerges from this study. Symptomatic malaria in Takoradi Technical University students had more parasites and laboratory abnormalities than asymptomatic infection. Symptomatic students exhibited low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red blood cell counts, and thrombocytopenia. They also had greater liver enzymes, bilirubin, urea, and creatinine. Despite variable parasite levels, asymptomatic carriers had more consistent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and biochemical profiles. Importantly, parasite density in asymptomatic students did not correlate with most laboratory markers, suggesting that parasite load alone does not predict laboratory impairment in clinically silent infection.</w:t>
      </w:r>
    </w:p>
    <w:p w14:paraId="58A87C2E" w14:textId="77777777" w:rsidR="00337E4A" w:rsidRDefault="00337E4A" w:rsidP="00D74830">
      <w:pPr>
        <w:spacing w:line="360" w:lineRule="auto"/>
        <w:rPr>
          <w:rFonts w:ascii="Times New Roman" w:hAnsi="Times New Roman" w:cs="Times New Roman"/>
          <w:sz w:val="20"/>
          <w:szCs w:val="20"/>
        </w:rPr>
      </w:pPr>
      <w:r w:rsidRPr="00296603">
        <w:rPr>
          <w:rFonts w:ascii="Times New Roman" w:hAnsi="Times New Roman" w:cs="Times New Roman"/>
          <w:sz w:val="20"/>
          <w:szCs w:val="20"/>
        </w:rPr>
        <w:lastRenderedPageBreak/>
        <w:t>This research has practical applications. A comprehensive blood count and basic biochemical testing can help diagnose symptomatic malaria and determine its physiological effects. Nevertheless, asymptomatic infection should not be ignored. Moderate parasite densities in healthy students may spread campus-wide. Thus, university health services in endemic areas should use parasitological testing and targeted laboratory assessment instead of clinical presentation. The study improves laboratory-based clinical decision-making and structured malaria screening in young adults.</w:t>
      </w:r>
    </w:p>
    <w:p w14:paraId="541DDD55" w14:textId="77777777" w:rsidR="001F29D5" w:rsidRDefault="001F29D5" w:rsidP="00D74830">
      <w:pPr>
        <w:spacing w:line="360" w:lineRule="auto"/>
        <w:rPr>
          <w:rFonts w:ascii="Times New Roman" w:hAnsi="Times New Roman" w:cs="Times New Roman"/>
          <w:sz w:val="20"/>
          <w:szCs w:val="20"/>
        </w:rPr>
      </w:pPr>
    </w:p>
    <w:p w14:paraId="50B3C56D" w14:textId="77777777" w:rsidR="008D006D" w:rsidRPr="008D006D" w:rsidRDefault="001F29D5" w:rsidP="008D006D">
      <w:pPr>
        <w:spacing w:after="160" w:line="360" w:lineRule="auto"/>
        <w:rPr>
          <w:rFonts w:ascii="Times New Roman" w:hAnsi="Times New Roman" w:cs="Times New Roman"/>
          <w:sz w:val="20"/>
          <w:szCs w:val="20"/>
          <w:highlight w:val="yellow"/>
        </w:rPr>
      </w:pPr>
      <w:r w:rsidRPr="00296603">
        <w:rPr>
          <w:rFonts w:ascii="Times New Roman" w:hAnsi="Times New Roman" w:cs="Times New Roman"/>
          <w:i/>
          <w:sz w:val="20"/>
          <w:szCs w:val="20"/>
        </w:rPr>
        <w:t>Limitations and Recommendations</w:t>
      </w:r>
      <w:r w:rsidRPr="00296603">
        <w:rPr>
          <w:rFonts w:ascii="Times New Roman" w:hAnsi="Times New Roman" w:cs="Times New Roman"/>
          <w:sz w:val="20"/>
          <w:szCs w:val="20"/>
        </w:rPr>
        <w:t xml:space="preserve">. This study examined the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and biochemical differences among students at Takoradi Technical University that are linked to malaria. It was not possible to evaluate the probable role </w:t>
      </w:r>
      <w:r w:rsidRPr="008D006D">
        <w:rPr>
          <w:rFonts w:ascii="Times New Roman" w:hAnsi="Times New Roman" w:cs="Times New Roman"/>
          <w:sz w:val="20"/>
          <w:szCs w:val="20"/>
        </w:rPr>
        <w:t xml:space="preserve">of helminth infections, hemoglobinopathies, and nutritional deficits in the reported </w:t>
      </w:r>
      <w:proofErr w:type="spellStart"/>
      <w:r w:rsidRPr="008D006D">
        <w:rPr>
          <w:rFonts w:ascii="Times New Roman" w:hAnsi="Times New Roman" w:cs="Times New Roman"/>
          <w:sz w:val="20"/>
          <w:szCs w:val="20"/>
        </w:rPr>
        <w:t>haematological</w:t>
      </w:r>
      <w:proofErr w:type="spellEnd"/>
      <w:r w:rsidRPr="008D006D">
        <w:rPr>
          <w:rFonts w:ascii="Times New Roman" w:hAnsi="Times New Roman" w:cs="Times New Roman"/>
          <w:sz w:val="20"/>
          <w:szCs w:val="20"/>
        </w:rPr>
        <w:t xml:space="preserve"> alterations. </w:t>
      </w:r>
      <w:r w:rsidR="008D006D" w:rsidRPr="008D006D">
        <w:rPr>
          <w:rFonts w:ascii="Times New Roman" w:hAnsi="Times New Roman" w:cs="Times New Roman"/>
          <w:bCs/>
          <w:sz w:val="20"/>
          <w:szCs w:val="20"/>
          <w:highlight w:val="yellow"/>
        </w:rPr>
        <w:t>These factors may independently influence red cell indices, platelet counts, and biochemical markers, and their absence from the analysis may have contributed to residual variability in the findings.</w:t>
      </w:r>
    </w:p>
    <w:p w14:paraId="1BA9CF33" w14:textId="77777777" w:rsidR="008D006D" w:rsidRPr="008D006D" w:rsidRDefault="008D006D" w:rsidP="008D006D">
      <w:pPr>
        <w:spacing w:after="240" w:line="360" w:lineRule="auto"/>
        <w:rPr>
          <w:rFonts w:ascii="Times New Roman" w:hAnsi="Times New Roman" w:cs="Times New Roman"/>
          <w:sz w:val="20"/>
          <w:szCs w:val="20"/>
        </w:rPr>
      </w:pPr>
      <w:r w:rsidRPr="008D006D">
        <w:rPr>
          <w:rFonts w:ascii="Times New Roman" w:hAnsi="Times New Roman" w:cs="Times New Roman"/>
          <w:bCs/>
          <w:sz w:val="20"/>
          <w:szCs w:val="20"/>
          <w:highlight w:val="yellow"/>
        </w:rPr>
        <w:t xml:space="preserve">In addition, species-level confirmation of </w:t>
      </w:r>
      <w:r w:rsidRPr="008D006D">
        <w:rPr>
          <w:rFonts w:ascii="Times New Roman" w:hAnsi="Times New Roman" w:cs="Times New Roman"/>
          <w:bCs/>
          <w:i/>
          <w:iCs/>
          <w:sz w:val="20"/>
          <w:szCs w:val="20"/>
          <w:highlight w:val="yellow"/>
        </w:rPr>
        <w:t>Plasmodium</w:t>
      </w:r>
      <w:r w:rsidRPr="008D006D">
        <w:rPr>
          <w:rFonts w:ascii="Times New Roman" w:hAnsi="Times New Roman" w:cs="Times New Roman"/>
          <w:bCs/>
          <w:sz w:val="20"/>
          <w:szCs w:val="20"/>
          <w:highlight w:val="yellow"/>
        </w:rPr>
        <w:t xml:space="preserve"> infection was not performed using molecular diagnostic techniques. Although microscopy was used for morphological identification and the study was conducted in a setting where </w:t>
      </w:r>
      <w:r w:rsidRPr="008D006D">
        <w:rPr>
          <w:rFonts w:ascii="Times New Roman" w:hAnsi="Times New Roman" w:cs="Times New Roman"/>
          <w:bCs/>
          <w:i/>
          <w:iCs/>
          <w:sz w:val="20"/>
          <w:szCs w:val="20"/>
          <w:highlight w:val="yellow"/>
        </w:rPr>
        <w:t>Plasmodium falciparum</w:t>
      </w:r>
      <w:r w:rsidRPr="008D006D">
        <w:rPr>
          <w:rFonts w:ascii="Times New Roman" w:hAnsi="Times New Roman" w:cs="Times New Roman"/>
          <w:bCs/>
          <w:sz w:val="20"/>
          <w:szCs w:val="20"/>
          <w:highlight w:val="yellow"/>
        </w:rPr>
        <w:t xml:space="preserve"> is epidemiologically predominant, the possibility of mixed or non-falciparum infections cannot be entirely excluded. Species variation may influence the degree of </w:t>
      </w:r>
      <w:proofErr w:type="spellStart"/>
      <w:r w:rsidRPr="008D006D">
        <w:rPr>
          <w:rFonts w:ascii="Times New Roman" w:hAnsi="Times New Roman" w:cs="Times New Roman"/>
          <w:bCs/>
          <w:sz w:val="20"/>
          <w:szCs w:val="20"/>
          <w:highlight w:val="yellow"/>
        </w:rPr>
        <w:t>haematological</w:t>
      </w:r>
      <w:proofErr w:type="spellEnd"/>
      <w:r w:rsidRPr="008D006D">
        <w:rPr>
          <w:rFonts w:ascii="Times New Roman" w:hAnsi="Times New Roman" w:cs="Times New Roman"/>
          <w:bCs/>
          <w:sz w:val="20"/>
          <w:szCs w:val="20"/>
          <w:highlight w:val="yellow"/>
        </w:rPr>
        <w:t xml:space="preserve"> and biochemical alterations observed.</w:t>
      </w:r>
    </w:p>
    <w:p w14:paraId="59F20493" w14:textId="4ACFAB59" w:rsidR="008D006D" w:rsidRPr="008D006D" w:rsidRDefault="008D006D" w:rsidP="001F29D5">
      <w:pPr>
        <w:spacing w:after="240" w:line="360" w:lineRule="auto"/>
        <w:rPr>
          <w:rFonts w:ascii="Times New Roman" w:hAnsi="Times New Roman" w:cs="Times New Roman"/>
          <w:sz w:val="20"/>
          <w:szCs w:val="20"/>
        </w:rPr>
      </w:pPr>
      <w:r w:rsidRPr="008D006D">
        <w:rPr>
          <w:rFonts w:ascii="Times New Roman" w:hAnsi="Times New Roman" w:cs="Times New Roman"/>
          <w:sz w:val="20"/>
          <w:szCs w:val="20"/>
          <w:highlight w:val="yellow"/>
        </w:rPr>
        <w:t xml:space="preserve">The study also employed a cross-sectional design, which limits causal interpretation of the observed laboratory differences between asymptomatic and symptomatic groups. </w:t>
      </w:r>
      <w:r w:rsidRPr="008D006D">
        <w:rPr>
          <w:rFonts w:ascii="Times New Roman" w:hAnsi="Times New Roman" w:cs="Times New Roman"/>
          <w:bCs/>
          <w:sz w:val="20"/>
          <w:szCs w:val="20"/>
          <w:highlight w:val="yellow"/>
        </w:rPr>
        <w:t>Temporal changes in parasite density and laboratory parameters could not be assessed beyond the single sampling point.</w:t>
      </w:r>
    </w:p>
    <w:p w14:paraId="27FAA956" w14:textId="2846499C" w:rsidR="001F29D5" w:rsidRDefault="001F29D5" w:rsidP="001F29D5">
      <w:pPr>
        <w:spacing w:after="240" w:line="360" w:lineRule="auto"/>
        <w:rPr>
          <w:rFonts w:ascii="Times New Roman" w:hAnsi="Times New Roman" w:cs="Times New Roman"/>
          <w:sz w:val="20"/>
          <w:szCs w:val="20"/>
          <w:highlight w:val="yellow"/>
        </w:rPr>
      </w:pPr>
      <w:r w:rsidRPr="00296603">
        <w:rPr>
          <w:rFonts w:ascii="Times New Roman" w:hAnsi="Times New Roman" w:cs="Times New Roman"/>
          <w:sz w:val="20"/>
          <w:szCs w:val="20"/>
        </w:rPr>
        <w:t>To enhance attribution of reported laboratory alterations and support clinical interpretation, future research in comparable university populations should include screening for these diseases and, if feasible, analytically correct for them.</w:t>
      </w:r>
      <w:r w:rsidR="008D006D">
        <w:rPr>
          <w:rFonts w:ascii="Times New Roman" w:hAnsi="Times New Roman" w:cs="Times New Roman"/>
          <w:sz w:val="20"/>
          <w:szCs w:val="20"/>
        </w:rPr>
        <w:t xml:space="preserve"> </w:t>
      </w:r>
      <w:r w:rsidR="008D006D" w:rsidRPr="008D006D">
        <w:rPr>
          <w:rFonts w:ascii="Times New Roman" w:hAnsi="Times New Roman" w:cs="Times New Roman"/>
          <w:sz w:val="20"/>
          <w:szCs w:val="20"/>
          <w:highlight w:val="yellow"/>
        </w:rPr>
        <w:t>Future studies may also incorporate molecular species confirmation and longitudinal follow-up to better characterize parasite dynamics and their relationship with laboratory indices over time.</w:t>
      </w:r>
    </w:p>
    <w:p w14:paraId="2B82C0C9" w14:textId="522AB410" w:rsidR="00272BED" w:rsidRDefault="00272BED" w:rsidP="001F29D5">
      <w:pPr>
        <w:spacing w:after="240" w:line="360" w:lineRule="auto"/>
        <w:rPr>
          <w:rFonts w:ascii="Times New Roman" w:hAnsi="Times New Roman" w:cs="Times New Roman"/>
          <w:sz w:val="20"/>
          <w:szCs w:val="20"/>
        </w:rPr>
      </w:pPr>
    </w:p>
    <w:p w14:paraId="3F8D4F71" w14:textId="77777777" w:rsidR="00272BED" w:rsidRDefault="00272BED" w:rsidP="00272BED">
      <w:pPr>
        <w:spacing w:after="240" w:line="360" w:lineRule="auto"/>
        <w:rPr>
          <w:rFonts w:ascii="Times New Roman" w:hAnsi="Times New Roman" w:cs="Times New Roman"/>
          <w:sz w:val="20"/>
          <w:szCs w:val="20"/>
        </w:rPr>
      </w:pPr>
      <w:r w:rsidRPr="00272BED">
        <w:rPr>
          <w:rFonts w:ascii="Times New Roman" w:hAnsi="Times New Roman" w:cs="Times New Roman"/>
          <w:sz w:val="20"/>
          <w:szCs w:val="20"/>
        </w:rPr>
        <w:t>Ethical Approval and Consent:</w:t>
      </w:r>
    </w:p>
    <w:p w14:paraId="4B4AA9DF" w14:textId="00FB30D7" w:rsidR="00272BED" w:rsidRDefault="00272BED" w:rsidP="00272BED">
      <w:pPr>
        <w:spacing w:after="240" w:line="360" w:lineRule="auto"/>
        <w:rPr>
          <w:rFonts w:ascii="Times New Roman" w:hAnsi="Times New Roman" w:cs="Times New Roman"/>
          <w:sz w:val="20"/>
          <w:szCs w:val="20"/>
        </w:rPr>
      </w:pPr>
      <w:bookmarkStart w:id="0" w:name="_GoBack"/>
      <w:bookmarkEnd w:id="0"/>
      <w:r w:rsidRPr="00272BED">
        <w:rPr>
          <w:rFonts w:ascii="Times New Roman" w:hAnsi="Times New Roman" w:cs="Times New Roman"/>
          <w:sz w:val="20"/>
          <w:szCs w:val="20"/>
        </w:rPr>
        <w:t xml:space="preserve">Ethical approval for this study was obtained from the Takoradi Technical University </w:t>
      </w:r>
      <w:proofErr w:type="spellStart"/>
      <w:r w:rsidRPr="00272BED">
        <w:rPr>
          <w:rFonts w:ascii="Times New Roman" w:hAnsi="Times New Roman" w:cs="Times New Roman"/>
          <w:sz w:val="20"/>
          <w:szCs w:val="20"/>
        </w:rPr>
        <w:t>University</w:t>
      </w:r>
      <w:proofErr w:type="spellEnd"/>
      <w:r w:rsidRPr="00272BED">
        <w:rPr>
          <w:rFonts w:ascii="Times New Roman" w:hAnsi="Times New Roman" w:cs="Times New Roman"/>
          <w:sz w:val="20"/>
          <w:szCs w:val="20"/>
        </w:rPr>
        <w:t xml:space="preserve"> Ethics Review Committee (Approval Ref. No. TTU/ERC/25/007). Permission was also secured to conduct participant recruitment and blood sample collection within </w:t>
      </w:r>
      <w:proofErr w:type="spellStart"/>
      <w:r w:rsidRPr="00272BED">
        <w:rPr>
          <w:rFonts w:ascii="Times New Roman" w:hAnsi="Times New Roman" w:cs="Times New Roman"/>
          <w:sz w:val="20"/>
          <w:szCs w:val="20"/>
        </w:rPr>
        <w:t>Nzimah</w:t>
      </w:r>
      <w:proofErr w:type="spellEnd"/>
      <w:r w:rsidRPr="00272BED">
        <w:rPr>
          <w:rFonts w:ascii="Times New Roman" w:hAnsi="Times New Roman" w:cs="Times New Roman"/>
          <w:sz w:val="20"/>
          <w:szCs w:val="20"/>
        </w:rPr>
        <w:t xml:space="preserve"> Mensah Hall and Prof. Duncan Hall. Participation was voluntary, and written informed consent was obtained prior to enrolment and specimen collection. Confidentiality was maintained throughout the study by using unique identifiers and restricting access to research data. The primary benefit of this work is the added evidence on how asymptomatic malaria </w:t>
      </w:r>
      <w:proofErr w:type="spellStart"/>
      <w:r w:rsidRPr="00272BED">
        <w:rPr>
          <w:rFonts w:ascii="Times New Roman" w:hAnsi="Times New Roman" w:cs="Times New Roman"/>
          <w:sz w:val="20"/>
          <w:szCs w:val="20"/>
        </w:rPr>
        <w:t>parasitaemia</w:t>
      </w:r>
      <w:proofErr w:type="spellEnd"/>
      <w:r w:rsidRPr="00272BED">
        <w:rPr>
          <w:rFonts w:ascii="Times New Roman" w:hAnsi="Times New Roman" w:cs="Times New Roman"/>
          <w:sz w:val="20"/>
          <w:szCs w:val="20"/>
        </w:rPr>
        <w:t xml:space="preserve"> influences </w:t>
      </w:r>
      <w:proofErr w:type="spellStart"/>
      <w:r w:rsidRPr="00272BED">
        <w:rPr>
          <w:rFonts w:ascii="Times New Roman" w:hAnsi="Times New Roman" w:cs="Times New Roman"/>
          <w:sz w:val="20"/>
          <w:szCs w:val="20"/>
        </w:rPr>
        <w:t>haematological</w:t>
      </w:r>
      <w:proofErr w:type="spellEnd"/>
      <w:r w:rsidRPr="00272BED">
        <w:rPr>
          <w:rFonts w:ascii="Times New Roman" w:hAnsi="Times New Roman" w:cs="Times New Roman"/>
          <w:sz w:val="20"/>
          <w:szCs w:val="20"/>
        </w:rPr>
        <w:t xml:space="preserve"> and biochemical parameters among TTU students, supporting improved screening and laboratory-based decision-making in similar populations.</w:t>
      </w:r>
    </w:p>
    <w:p w14:paraId="17A3AEEC" w14:textId="77777777" w:rsidR="00272BED" w:rsidRPr="00296603" w:rsidRDefault="00272BED" w:rsidP="00272BED">
      <w:pPr>
        <w:spacing w:after="240" w:line="360" w:lineRule="auto"/>
        <w:rPr>
          <w:rFonts w:ascii="Times New Roman" w:hAnsi="Times New Roman" w:cs="Times New Roman"/>
          <w:sz w:val="20"/>
          <w:szCs w:val="20"/>
        </w:rPr>
      </w:pPr>
    </w:p>
    <w:p w14:paraId="65A7303A" w14:textId="77777777" w:rsidR="008D006D" w:rsidRPr="00296603" w:rsidRDefault="008D006D" w:rsidP="00D74830">
      <w:pPr>
        <w:spacing w:line="360" w:lineRule="auto"/>
        <w:rPr>
          <w:rFonts w:ascii="Times New Roman" w:hAnsi="Times New Roman" w:cs="Times New Roman"/>
          <w:sz w:val="20"/>
          <w:szCs w:val="20"/>
        </w:rPr>
      </w:pPr>
    </w:p>
    <w:p w14:paraId="63BED03D" w14:textId="77777777" w:rsidR="00A01A7E" w:rsidRPr="00296603" w:rsidRDefault="00501B24" w:rsidP="00501B24">
      <w:pPr>
        <w:spacing w:after="240" w:line="360" w:lineRule="auto"/>
        <w:rPr>
          <w:rFonts w:ascii="Times New Roman" w:hAnsi="Times New Roman" w:cs="Times New Roman"/>
          <w:sz w:val="20"/>
          <w:szCs w:val="20"/>
        </w:rPr>
      </w:pPr>
      <w:r w:rsidRPr="00296603">
        <w:rPr>
          <w:rFonts w:ascii="Times New Roman" w:hAnsi="Times New Roman" w:cs="Times New Roman"/>
          <w:b/>
          <w:bCs/>
          <w:sz w:val="20"/>
          <w:szCs w:val="20"/>
        </w:rPr>
        <w:t>DECLARATIONS</w:t>
      </w:r>
    </w:p>
    <w:p w14:paraId="2A4792A5" w14:textId="77777777" w:rsidR="00D74830" w:rsidRPr="00296603" w:rsidRDefault="00D74830" w:rsidP="00D74830">
      <w:pPr>
        <w:spacing w:line="360" w:lineRule="auto"/>
        <w:rPr>
          <w:rFonts w:ascii="Times New Roman" w:hAnsi="Times New Roman" w:cs="Times New Roman"/>
          <w:b/>
          <w:sz w:val="20"/>
          <w:szCs w:val="20"/>
        </w:rPr>
      </w:pPr>
      <w:r w:rsidRPr="00296603">
        <w:rPr>
          <w:rFonts w:ascii="Times New Roman" w:hAnsi="Times New Roman" w:cs="Times New Roman"/>
          <w:b/>
          <w:sz w:val="20"/>
          <w:szCs w:val="20"/>
        </w:rPr>
        <w:t>Data Availability</w:t>
      </w:r>
      <w:r w:rsidR="005C33E8" w:rsidRPr="00296603">
        <w:rPr>
          <w:rFonts w:ascii="Times New Roman" w:hAnsi="Times New Roman" w:cs="Times New Roman"/>
          <w:b/>
          <w:sz w:val="20"/>
          <w:szCs w:val="20"/>
        </w:rPr>
        <w:t xml:space="preserve"> Statement</w:t>
      </w:r>
    </w:p>
    <w:p w14:paraId="16D19FA8" w14:textId="77777777" w:rsidR="00D74830" w:rsidRPr="00296603" w:rsidRDefault="00D74830" w:rsidP="00D74830">
      <w:pPr>
        <w:spacing w:after="240" w:line="360" w:lineRule="auto"/>
        <w:rPr>
          <w:rFonts w:ascii="Times New Roman" w:hAnsi="Times New Roman" w:cs="Times New Roman"/>
          <w:sz w:val="20"/>
          <w:szCs w:val="20"/>
        </w:rPr>
      </w:pPr>
      <w:r w:rsidRPr="00296603">
        <w:rPr>
          <w:rFonts w:ascii="Times New Roman" w:hAnsi="Times New Roman" w:cs="Times New Roman"/>
          <w:sz w:val="20"/>
          <w:szCs w:val="20"/>
        </w:rPr>
        <w:t xml:space="preserve">Upon reasonable request, the corresponding author will provide the data used to support </w:t>
      </w:r>
      <w:r w:rsidR="003F4B16" w:rsidRPr="00296603">
        <w:rPr>
          <w:rFonts w:ascii="Times New Roman" w:hAnsi="Times New Roman" w:cs="Times New Roman"/>
          <w:sz w:val="20"/>
          <w:szCs w:val="20"/>
        </w:rPr>
        <w:t>our findings</w:t>
      </w:r>
      <w:r w:rsidRPr="00296603">
        <w:rPr>
          <w:rFonts w:ascii="Times New Roman" w:hAnsi="Times New Roman" w:cs="Times New Roman"/>
          <w:sz w:val="20"/>
          <w:szCs w:val="20"/>
        </w:rPr>
        <w:t>.</w:t>
      </w:r>
    </w:p>
    <w:p w14:paraId="1219C63E" w14:textId="77777777" w:rsidR="001F29D5" w:rsidRDefault="001F29D5" w:rsidP="0021734A">
      <w:pPr>
        <w:spacing w:line="360" w:lineRule="auto"/>
        <w:rPr>
          <w:rFonts w:ascii="Times New Roman" w:hAnsi="Times New Roman" w:cs="Times New Roman"/>
          <w:sz w:val="20"/>
          <w:szCs w:val="20"/>
        </w:rPr>
      </w:pPr>
    </w:p>
    <w:p w14:paraId="5341E718" w14:textId="77777777" w:rsidR="001F29D5" w:rsidRPr="001F29D5" w:rsidRDefault="001F29D5" w:rsidP="001F29D5">
      <w:pPr>
        <w:spacing w:line="360" w:lineRule="auto"/>
        <w:rPr>
          <w:rFonts w:ascii="Times New Roman" w:hAnsi="Times New Roman" w:cs="Times New Roman"/>
          <w:sz w:val="20"/>
          <w:szCs w:val="20"/>
        </w:rPr>
      </w:pPr>
      <w:r w:rsidRPr="001F29D5">
        <w:rPr>
          <w:rFonts w:ascii="Times New Roman" w:hAnsi="Times New Roman" w:cs="Times New Roman"/>
          <w:sz w:val="20"/>
          <w:szCs w:val="20"/>
        </w:rPr>
        <w:t>COMPETING INTERESTS DISCLAIMER:</w:t>
      </w:r>
    </w:p>
    <w:p w14:paraId="2B6DE197" w14:textId="1CDE50F9" w:rsidR="001F29D5" w:rsidRDefault="001F29D5" w:rsidP="001F29D5">
      <w:pPr>
        <w:spacing w:line="360" w:lineRule="auto"/>
        <w:rPr>
          <w:rFonts w:ascii="Times New Roman" w:hAnsi="Times New Roman" w:cs="Times New Roman"/>
          <w:sz w:val="20"/>
          <w:szCs w:val="20"/>
        </w:rPr>
      </w:pPr>
      <w:r w:rsidRPr="001F29D5">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17D52CA9" w14:textId="681F1ED1" w:rsidR="00C01EF3" w:rsidRDefault="00C01EF3" w:rsidP="001F29D5">
      <w:pPr>
        <w:spacing w:line="360" w:lineRule="auto"/>
        <w:rPr>
          <w:rFonts w:ascii="Times New Roman" w:hAnsi="Times New Roman" w:cs="Times New Roman"/>
          <w:sz w:val="20"/>
          <w:szCs w:val="20"/>
        </w:rPr>
      </w:pPr>
    </w:p>
    <w:p w14:paraId="25A6DFEA" w14:textId="77777777" w:rsidR="00C95369" w:rsidRDefault="00C95369" w:rsidP="001F29D5">
      <w:pPr>
        <w:spacing w:line="360" w:lineRule="auto"/>
        <w:rPr>
          <w:rFonts w:ascii="Times New Roman" w:hAnsi="Times New Roman" w:cs="Times New Roman"/>
          <w:sz w:val="20"/>
          <w:szCs w:val="20"/>
        </w:rPr>
      </w:pPr>
    </w:p>
    <w:p w14:paraId="2745BA2F" w14:textId="77777777" w:rsidR="00C01EF3" w:rsidRPr="00005ED1" w:rsidRDefault="00C01EF3" w:rsidP="00C01EF3">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39045D97" w14:textId="77777777" w:rsidR="00C01EF3" w:rsidRPr="00005ED1" w:rsidRDefault="00C01EF3" w:rsidP="00C01EF3">
      <w:pPr>
        <w:pStyle w:val="NoSpacing"/>
        <w:rPr>
          <w:rFonts w:ascii="Arial" w:hAnsi="Arial" w:cs="Arial"/>
          <w:highlight w:val="yellow"/>
        </w:rPr>
      </w:pPr>
    </w:p>
    <w:p w14:paraId="77872C64" w14:textId="77777777" w:rsidR="00C01EF3" w:rsidRPr="00005ED1" w:rsidRDefault="00C01EF3" w:rsidP="00C01EF3">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17BEDD8F" w14:textId="77777777" w:rsidR="00C01EF3" w:rsidRDefault="00C01EF3" w:rsidP="00C01EF3">
      <w:pPr>
        <w:pStyle w:val="NoSpacing"/>
        <w:rPr>
          <w:rFonts w:ascii="Arial" w:hAnsi="Arial" w:cs="Arial"/>
        </w:rPr>
      </w:pPr>
    </w:p>
    <w:p w14:paraId="40D8537F" w14:textId="77777777" w:rsidR="0021734A" w:rsidRPr="00296603" w:rsidRDefault="0021734A" w:rsidP="00164E17">
      <w:pPr>
        <w:spacing w:line="360" w:lineRule="auto"/>
        <w:rPr>
          <w:rFonts w:ascii="Times New Roman" w:hAnsi="Times New Roman" w:cs="Times New Roman"/>
          <w:sz w:val="20"/>
          <w:szCs w:val="20"/>
        </w:rPr>
      </w:pPr>
    </w:p>
    <w:p w14:paraId="4607FA71" w14:textId="77777777" w:rsidR="00960B79" w:rsidRPr="00296603" w:rsidRDefault="00960B79" w:rsidP="00D74830">
      <w:pPr>
        <w:spacing w:after="160" w:line="360" w:lineRule="auto"/>
        <w:rPr>
          <w:rFonts w:ascii="Times New Roman" w:hAnsi="Times New Roman" w:cs="Times New Roman"/>
          <w:b/>
          <w:sz w:val="20"/>
          <w:szCs w:val="20"/>
        </w:rPr>
      </w:pPr>
      <w:r w:rsidRPr="00296603">
        <w:rPr>
          <w:rFonts w:ascii="Times New Roman" w:hAnsi="Times New Roman" w:cs="Times New Roman"/>
          <w:b/>
          <w:sz w:val="20"/>
          <w:szCs w:val="20"/>
        </w:rPr>
        <w:t>6. References</w:t>
      </w:r>
    </w:p>
    <w:p w14:paraId="3535C473"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Abebe, W., </w:t>
      </w:r>
      <w:proofErr w:type="spellStart"/>
      <w:r w:rsidRPr="00C95369">
        <w:rPr>
          <w:rFonts w:ascii="Times New Roman" w:hAnsi="Times New Roman" w:cs="Times New Roman"/>
          <w:sz w:val="20"/>
          <w:szCs w:val="20"/>
          <w:highlight w:val="yellow"/>
        </w:rPr>
        <w:t>Asmare</w:t>
      </w:r>
      <w:proofErr w:type="spellEnd"/>
      <w:r w:rsidRPr="00C95369">
        <w:rPr>
          <w:rFonts w:ascii="Times New Roman" w:hAnsi="Times New Roman" w:cs="Times New Roman"/>
          <w:sz w:val="20"/>
          <w:szCs w:val="20"/>
          <w:highlight w:val="yellow"/>
        </w:rPr>
        <w:t xml:space="preserve">, Z., </w:t>
      </w:r>
      <w:proofErr w:type="spellStart"/>
      <w:r w:rsidRPr="00C95369">
        <w:rPr>
          <w:rFonts w:ascii="Times New Roman" w:hAnsi="Times New Roman" w:cs="Times New Roman"/>
          <w:sz w:val="20"/>
          <w:szCs w:val="20"/>
          <w:highlight w:val="yellow"/>
        </w:rPr>
        <w:t>Barasa</w:t>
      </w:r>
      <w:proofErr w:type="spellEnd"/>
      <w:r w:rsidRPr="00C95369">
        <w:rPr>
          <w:rFonts w:ascii="Times New Roman" w:hAnsi="Times New Roman" w:cs="Times New Roman"/>
          <w:sz w:val="20"/>
          <w:szCs w:val="20"/>
          <w:highlight w:val="yellow"/>
        </w:rPr>
        <w:t xml:space="preserve">, S., </w:t>
      </w:r>
      <w:proofErr w:type="spellStart"/>
      <w:r w:rsidRPr="00C95369">
        <w:rPr>
          <w:rFonts w:ascii="Times New Roman" w:hAnsi="Times New Roman" w:cs="Times New Roman"/>
          <w:sz w:val="20"/>
          <w:szCs w:val="20"/>
          <w:highlight w:val="yellow"/>
        </w:rPr>
        <w:t>Woldesenbet</w:t>
      </w:r>
      <w:proofErr w:type="spellEnd"/>
      <w:r w:rsidRPr="00C95369">
        <w:rPr>
          <w:rFonts w:ascii="Times New Roman" w:hAnsi="Times New Roman" w:cs="Times New Roman"/>
          <w:sz w:val="20"/>
          <w:szCs w:val="20"/>
          <w:highlight w:val="yellow"/>
        </w:rPr>
        <w:t xml:space="preserve">, D., Lemma, W., &amp; </w:t>
      </w:r>
      <w:proofErr w:type="spellStart"/>
      <w:r w:rsidRPr="00C95369">
        <w:rPr>
          <w:rFonts w:ascii="Times New Roman" w:hAnsi="Times New Roman" w:cs="Times New Roman"/>
          <w:sz w:val="20"/>
          <w:szCs w:val="20"/>
          <w:highlight w:val="yellow"/>
        </w:rPr>
        <w:t>Derso</w:t>
      </w:r>
      <w:proofErr w:type="spellEnd"/>
      <w:r w:rsidRPr="00C95369">
        <w:rPr>
          <w:rFonts w:ascii="Times New Roman" w:hAnsi="Times New Roman" w:cs="Times New Roman"/>
          <w:sz w:val="20"/>
          <w:szCs w:val="20"/>
          <w:highlight w:val="yellow"/>
        </w:rPr>
        <w:t xml:space="preserve">, A. (2024). Assessment of the selected hematological profiles among malaria and Schistosoma </w:t>
      </w:r>
      <w:proofErr w:type="spellStart"/>
      <w:r w:rsidRPr="00C95369">
        <w:rPr>
          <w:rFonts w:ascii="Times New Roman" w:hAnsi="Times New Roman" w:cs="Times New Roman"/>
          <w:sz w:val="20"/>
          <w:szCs w:val="20"/>
          <w:highlight w:val="yellow"/>
        </w:rPr>
        <w:t>mansoni</w:t>
      </w:r>
      <w:proofErr w:type="spellEnd"/>
      <w:r w:rsidRPr="00C95369">
        <w:rPr>
          <w:rFonts w:ascii="Times New Roman" w:hAnsi="Times New Roman" w:cs="Times New Roman"/>
          <w:sz w:val="20"/>
          <w:szCs w:val="20"/>
          <w:highlight w:val="yellow"/>
        </w:rPr>
        <w:t xml:space="preserve"> co-infected patients, Northwest Ethiopia. </w:t>
      </w:r>
      <w:r w:rsidRPr="00C95369">
        <w:rPr>
          <w:rFonts w:ascii="Times New Roman" w:hAnsi="Times New Roman" w:cs="Times New Roman"/>
          <w:i/>
          <w:iCs/>
          <w:sz w:val="20"/>
          <w:szCs w:val="20"/>
          <w:highlight w:val="yellow"/>
        </w:rPr>
        <w:t>Journal of Parasitic Diseases</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48</w:t>
      </w:r>
      <w:r w:rsidRPr="00C95369">
        <w:rPr>
          <w:rFonts w:ascii="Times New Roman" w:hAnsi="Times New Roman" w:cs="Times New Roman"/>
          <w:sz w:val="20"/>
          <w:szCs w:val="20"/>
          <w:highlight w:val="yellow"/>
        </w:rPr>
        <w:t>(2), 308-319. https://doi.org/10.1007/s12639-024-01669-z</w:t>
      </w:r>
    </w:p>
    <w:p w14:paraId="6ABE4C29"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Akpan, P. A., </w:t>
      </w:r>
      <w:proofErr w:type="spellStart"/>
      <w:r w:rsidRPr="00C95369">
        <w:rPr>
          <w:rFonts w:ascii="Times New Roman" w:hAnsi="Times New Roman" w:cs="Times New Roman"/>
          <w:sz w:val="20"/>
          <w:szCs w:val="20"/>
          <w:highlight w:val="yellow"/>
        </w:rPr>
        <w:t>Ekpo</w:t>
      </w:r>
      <w:proofErr w:type="spellEnd"/>
      <w:r w:rsidRPr="00C95369">
        <w:rPr>
          <w:rFonts w:ascii="Times New Roman" w:hAnsi="Times New Roman" w:cs="Times New Roman"/>
          <w:sz w:val="20"/>
          <w:szCs w:val="20"/>
          <w:highlight w:val="yellow"/>
        </w:rPr>
        <w:t xml:space="preserve">, E. E., </w:t>
      </w:r>
      <w:proofErr w:type="spellStart"/>
      <w:r w:rsidRPr="00C95369">
        <w:rPr>
          <w:rFonts w:ascii="Times New Roman" w:hAnsi="Times New Roman" w:cs="Times New Roman"/>
          <w:sz w:val="20"/>
          <w:szCs w:val="20"/>
          <w:highlight w:val="yellow"/>
        </w:rPr>
        <w:t>Emechebe</w:t>
      </w:r>
      <w:proofErr w:type="spellEnd"/>
      <w:r w:rsidRPr="00C95369">
        <w:rPr>
          <w:rFonts w:ascii="Times New Roman" w:hAnsi="Times New Roman" w:cs="Times New Roman"/>
          <w:sz w:val="20"/>
          <w:szCs w:val="20"/>
          <w:highlight w:val="yellow"/>
        </w:rPr>
        <w:t>, C. I., &amp; Okafor, I. M. (2025). Platelet indices and malaria parasite density of pregnant women with asymptomatic malaria parasite infection in a tertiary health facility in Calabar, Nigeria. </w:t>
      </w:r>
      <w:r w:rsidRPr="00C95369">
        <w:rPr>
          <w:rFonts w:ascii="Times New Roman" w:hAnsi="Times New Roman" w:cs="Times New Roman"/>
          <w:i/>
          <w:iCs/>
          <w:sz w:val="20"/>
          <w:szCs w:val="20"/>
          <w:highlight w:val="yellow"/>
        </w:rPr>
        <w:t>Nigerian Journal of Parasitology</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46</w:t>
      </w:r>
      <w:r w:rsidRPr="00C95369">
        <w:rPr>
          <w:rFonts w:ascii="Times New Roman" w:hAnsi="Times New Roman" w:cs="Times New Roman"/>
          <w:sz w:val="20"/>
          <w:szCs w:val="20"/>
          <w:highlight w:val="yellow"/>
        </w:rPr>
        <w:t>(2). https://doi.org/10.4314/njpar.v46i2.20</w:t>
      </w:r>
    </w:p>
    <w:p w14:paraId="217CBFAD"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Akpulu</w:t>
      </w:r>
      <w:proofErr w:type="spellEnd"/>
      <w:r w:rsidRPr="00C95369">
        <w:rPr>
          <w:rFonts w:ascii="Times New Roman" w:hAnsi="Times New Roman" w:cs="Times New Roman"/>
          <w:sz w:val="20"/>
          <w:szCs w:val="20"/>
          <w:highlight w:val="yellow"/>
        </w:rPr>
        <w:t xml:space="preserve">, S. P., Armstrong, R. A., &amp; </w:t>
      </w:r>
      <w:proofErr w:type="spellStart"/>
      <w:r w:rsidRPr="00C95369">
        <w:rPr>
          <w:rFonts w:ascii="Times New Roman" w:hAnsi="Times New Roman" w:cs="Times New Roman"/>
          <w:sz w:val="20"/>
          <w:szCs w:val="20"/>
          <w:highlight w:val="yellow"/>
        </w:rPr>
        <w:t>Mairiga</w:t>
      </w:r>
      <w:proofErr w:type="spellEnd"/>
      <w:r w:rsidRPr="00C95369">
        <w:rPr>
          <w:rFonts w:ascii="Times New Roman" w:hAnsi="Times New Roman" w:cs="Times New Roman"/>
          <w:sz w:val="20"/>
          <w:szCs w:val="20"/>
          <w:highlight w:val="yellow"/>
        </w:rPr>
        <w:t xml:space="preserve">, A. A. (2025). </w:t>
      </w:r>
      <w:proofErr w:type="spellStart"/>
      <w:r w:rsidRPr="00C95369">
        <w:rPr>
          <w:rFonts w:ascii="Times New Roman" w:hAnsi="Times New Roman" w:cs="Times New Roman"/>
          <w:sz w:val="20"/>
          <w:szCs w:val="20"/>
          <w:highlight w:val="yellow"/>
        </w:rPr>
        <w:t>Haematological</w:t>
      </w:r>
      <w:proofErr w:type="spellEnd"/>
      <w:r w:rsidRPr="00C95369">
        <w:rPr>
          <w:rFonts w:ascii="Times New Roman" w:hAnsi="Times New Roman" w:cs="Times New Roman"/>
          <w:sz w:val="20"/>
          <w:szCs w:val="20"/>
          <w:highlight w:val="yellow"/>
        </w:rPr>
        <w:t xml:space="preserve"> and Biochemical Alterations in Diabetic Patients with Malaria </w:t>
      </w:r>
      <w:proofErr w:type="spellStart"/>
      <w:r w:rsidRPr="00C95369">
        <w:rPr>
          <w:rFonts w:ascii="Times New Roman" w:hAnsi="Times New Roman" w:cs="Times New Roman"/>
          <w:sz w:val="20"/>
          <w:szCs w:val="20"/>
          <w:highlight w:val="yellow"/>
        </w:rPr>
        <w:t>Parasitaemia</w:t>
      </w:r>
      <w:proofErr w:type="spellEnd"/>
      <w:r w:rsidRPr="00C95369">
        <w:rPr>
          <w:rFonts w:ascii="Times New Roman" w:hAnsi="Times New Roman" w:cs="Times New Roman"/>
          <w:sz w:val="20"/>
          <w:szCs w:val="20"/>
          <w:highlight w:val="yellow"/>
        </w:rPr>
        <w:t xml:space="preserve">: Insights from </w:t>
      </w:r>
      <w:proofErr w:type="spellStart"/>
      <w:r w:rsidRPr="00C95369">
        <w:rPr>
          <w:rFonts w:ascii="Times New Roman" w:hAnsi="Times New Roman" w:cs="Times New Roman"/>
          <w:sz w:val="20"/>
          <w:szCs w:val="20"/>
          <w:highlight w:val="yellow"/>
        </w:rPr>
        <w:t>Dalhatu</w:t>
      </w:r>
      <w:proofErr w:type="spellEnd"/>
      <w:r w:rsidRPr="00C95369">
        <w:rPr>
          <w:rFonts w:ascii="Times New Roman" w:hAnsi="Times New Roman" w:cs="Times New Roman"/>
          <w:sz w:val="20"/>
          <w:szCs w:val="20"/>
          <w:highlight w:val="yellow"/>
        </w:rPr>
        <w:t xml:space="preserve"> </w:t>
      </w:r>
      <w:proofErr w:type="spellStart"/>
      <w:r w:rsidRPr="00C95369">
        <w:rPr>
          <w:rFonts w:ascii="Times New Roman" w:hAnsi="Times New Roman" w:cs="Times New Roman"/>
          <w:sz w:val="20"/>
          <w:szCs w:val="20"/>
          <w:highlight w:val="yellow"/>
        </w:rPr>
        <w:t>Araf</w:t>
      </w:r>
      <w:proofErr w:type="spellEnd"/>
      <w:r w:rsidRPr="00C95369">
        <w:rPr>
          <w:rFonts w:ascii="Times New Roman" w:hAnsi="Times New Roman" w:cs="Times New Roman"/>
          <w:sz w:val="20"/>
          <w:szCs w:val="20"/>
          <w:highlight w:val="yellow"/>
        </w:rPr>
        <w:t xml:space="preserve"> Specialist Hospital, Lafia, Nigeria. </w:t>
      </w:r>
      <w:proofErr w:type="spellStart"/>
      <w:r w:rsidRPr="00C95369">
        <w:rPr>
          <w:rFonts w:ascii="Times New Roman" w:hAnsi="Times New Roman" w:cs="Times New Roman"/>
          <w:i/>
          <w:iCs/>
          <w:sz w:val="20"/>
          <w:szCs w:val="20"/>
          <w:highlight w:val="yellow"/>
        </w:rPr>
        <w:t>FULafia</w:t>
      </w:r>
      <w:proofErr w:type="spellEnd"/>
      <w:r w:rsidRPr="00C95369">
        <w:rPr>
          <w:rFonts w:ascii="Times New Roman" w:hAnsi="Times New Roman" w:cs="Times New Roman"/>
          <w:i/>
          <w:iCs/>
          <w:sz w:val="20"/>
          <w:szCs w:val="20"/>
          <w:highlight w:val="yellow"/>
        </w:rPr>
        <w:t xml:space="preserve"> Journal of Health Sciences</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1</w:t>
      </w:r>
      <w:r w:rsidRPr="00C95369">
        <w:rPr>
          <w:rFonts w:ascii="Times New Roman" w:hAnsi="Times New Roman" w:cs="Times New Roman"/>
          <w:sz w:val="20"/>
          <w:szCs w:val="20"/>
          <w:highlight w:val="yellow"/>
        </w:rPr>
        <w:t>(1), 118-126. https://fjohs.org/index.php/fujohs/article/view/20/19</w:t>
      </w:r>
    </w:p>
    <w:p w14:paraId="49D21036"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Almeida, G. G., Costa, P. A. C., Araujo, M. D. S., Gomes, G. R., Carvalho, A. F., </w:t>
      </w:r>
      <w:proofErr w:type="spellStart"/>
      <w:r w:rsidRPr="00C95369">
        <w:rPr>
          <w:rFonts w:ascii="Times New Roman" w:hAnsi="Times New Roman" w:cs="Times New Roman"/>
          <w:sz w:val="20"/>
          <w:szCs w:val="20"/>
          <w:highlight w:val="yellow"/>
        </w:rPr>
        <w:t>Figueiredo</w:t>
      </w:r>
      <w:proofErr w:type="spellEnd"/>
      <w:r w:rsidRPr="00C95369">
        <w:rPr>
          <w:rFonts w:ascii="Times New Roman" w:hAnsi="Times New Roman" w:cs="Times New Roman"/>
          <w:sz w:val="20"/>
          <w:szCs w:val="20"/>
          <w:highlight w:val="yellow"/>
        </w:rPr>
        <w:t xml:space="preserve">, M. M., ... &amp; </w:t>
      </w:r>
      <w:proofErr w:type="spellStart"/>
      <w:r w:rsidRPr="00C95369">
        <w:rPr>
          <w:rFonts w:ascii="Times New Roman" w:hAnsi="Times New Roman" w:cs="Times New Roman"/>
          <w:sz w:val="20"/>
          <w:szCs w:val="20"/>
          <w:highlight w:val="yellow"/>
        </w:rPr>
        <w:t>Gazzinelli</w:t>
      </w:r>
      <w:proofErr w:type="spellEnd"/>
      <w:r w:rsidRPr="00C95369">
        <w:rPr>
          <w:rFonts w:ascii="Times New Roman" w:hAnsi="Times New Roman" w:cs="Times New Roman"/>
          <w:sz w:val="20"/>
          <w:szCs w:val="20"/>
          <w:highlight w:val="yellow"/>
        </w:rPr>
        <w:t xml:space="preserve">, R. T. (2021). Asymptomatic Plasmodium vivax malaria in the Brazilian Amazon: submicroscopic </w:t>
      </w:r>
      <w:proofErr w:type="spellStart"/>
      <w:r w:rsidRPr="00C95369">
        <w:rPr>
          <w:rFonts w:ascii="Times New Roman" w:hAnsi="Times New Roman" w:cs="Times New Roman"/>
          <w:sz w:val="20"/>
          <w:szCs w:val="20"/>
          <w:highlight w:val="yellow"/>
        </w:rPr>
        <w:t>parasitemic</w:t>
      </w:r>
      <w:proofErr w:type="spellEnd"/>
      <w:r w:rsidRPr="00C95369">
        <w:rPr>
          <w:rFonts w:ascii="Times New Roman" w:hAnsi="Times New Roman" w:cs="Times New Roman"/>
          <w:sz w:val="20"/>
          <w:szCs w:val="20"/>
          <w:highlight w:val="yellow"/>
        </w:rPr>
        <w:t xml:space="preserve"> blood </w:t>
      </w:r>
      <w:r w:rsidRPr="00C95369">
        <w:rPr>
          <w:rFonts w:ascii="Times New Roman" w:hAnsi="Times New Roman" w:cs="Times New Roman"/>
          <w:sz w:val="20"/>
          <w:szCs w:val="20"/>
          <w:highlight w:val="yellow"/>
        </w:rPr>
        <w:lastRenderedPageBreak/>
        <w:t xml:space="preserve">infects </w:t>
      </w:r>
      <w:proofErr w:type="spellStart"/>
      <w:r w:rsidRPr="00C95369">
        <w:rPr>
          <w:rFonts w:ascii="Times New Roman" w:hAnsi="Times New Roman" w:cs="Times New Roman"/>
          <w:sz w:val="20"/>
          <w:szCs w:val="20"/>
          <w:highlight w:val="yellow"/>
        </w:rPr>
        <w:t>Nyssorhynchus</w:t>
      </w:r>
      <w:proofErr w:type="spellEnd"/>
      <w:r w:rsidRPr="00C95369">
        <w:rPr>
          <w:rFonts w:ascii="Times New Roman" w:hAnsi="Times New Roman" w:cs="Times New Roman"/>
          <w:sz w:val="20"/>
          <w:szCs w:val="20"/>
          <w:highlight w:val="yellow"/>
        </w:rPr>
        <w:t xml:space="preserve"> </w:t>
      </w:r>
      <w:proofErr w:type="spellStart"/>
      <w:r w:rsidRPr="00C95369">
        <w:rPr>
          <w:rFonts w:ascii="Times New Roman" w:hAnsi="Times New Roman" w:cs="Times New Roman"/>
          <w:sz w:val="20"/>
          <w:szCs w:val="20"/>
          <w:highlight w:val="yellow"/>
        </w:rPr>
        <w:t>darlingi</w:t>
      </w:r>
      <w:proofErr w:type="spellEnd"/>
      <w:r w:rsidRPr="00C95369">
        <w:rPr>
          <w:rFonts w:ascii="Times New Roman" w:hAnsi="Times New Roman" w:cs="Times New Roman"/>
          <w:sz w:val="20"/>
          <w:szCs w:val="20"/>
          <w:highlight w:val="yellow"/>
        </w:rPr>
        <w:t>. </w:t>
      </w:r>
      <w:proofErr w:type="spellStart"/>
      <w:r w:rsidRPr="00C95369">
        <w:rPr>
          <w:rFonts w:ascii="Times New Roman" w:hAnsi="Times New Roman" w:cs="Times New Roman"/>
          <w:i/>
          <w:iCs/>
          <w:sz w:val="20"/>
          <w:szCs w:val="20"/>
          <w:highlight w:val="yellow"/>
        </w:rPr>
        <w:t>PLoS</w:t>
      </w:r>
      <w:proofErr w:type="spellEnd"/>
      <w:r w:rsidRPr="00C95369">
        <w:rPr>
          <w:rFonts w:ascii="Times New Roman" w:hAnsi="Times New Roman" w:cs="Times New Roman"/>
          <w:i/>
          <w:iCs/>
          <w:sz w:val="20"/>
          <w:szCs w:val="20"/>
          <w:highlight w:val="yellow"/>
        </w:rPr>
        <w:t xml:space="preserve"> Neglected Tropical Diseases</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15</w:t>
      </w:r>
      <w:r w:rsidRPr="00C95369">
        <w:rPr>
          <w:rFonts w:ascii="Times New Roman" w:hAnsi="Times New Roman" w:cs="Times New Roman"/>
          <w:sz w:val="20"/>
          <w:szCs w:val="20"/>
          <w:highlight w:val="yellow"/>
        </w:rPr>
        <w:t>(10), e0009077. https://doi.org/10.1371/journal.pntd.0009077</w:t>
      </w:r>
    </w:p>
    <w:p w14:paraId="1AC4C295"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Aninagyei</w:t>
      </w:r>
      <w:proofErr w:type="spellEnd"/>
      <w:r w:rsidRPr="00C95369">
        <w:rPr>
          <w:rFonts w:ascii="Times New Roman" w:hAnsi="Times New Roman" w:cs="Times New Roman"/>
          <w:sz w:val="20"/>
          <w:szCs w:val="20"/>
          <w:highlight w:val="yellow"/>
        </w:rPr>
        <w:t xml:space="preserve">, E., </w:t>
      </w:r>
      <w:proofErr w:type="spellStart"/>
      <w:r w:rsidRPr="00C95369">
        <w:rPr>
          <w:rFonts w:ascii="Times New Roman" w:hAnsi="Times New Roman" w:cs="Times New Roman"/>
          <w:sz w:val="20"/>
          <w:szCs w:val="20"/>
          <w:highlight w:val="yellow"/>
        </w:rPr>
        <w:t>Adu</w:t>
      </w:r>
      <w:proofErr w:type="spellEnd"/>
      <w:r w:rsidRPr="00C95369">
        <w:rPr>
          <w:rFonts w:ascii="Times New Roman" w:hAnsi="Times New Roman" w:cs="Times New Roman"/>
          <w:sz w:val="20"/>
          <w:szCs w:val="20"/>
          <w:highlight w:val="yellow"/>
        </w:rPr>
        <w:t xml:space="preserve">, P., Rufai, T., </w:t>
      </w:r>
      <w:proofErr w:type="spellStart"/>
      <w:r w:rsidRPr="00C95369">
        <w:rPr>
          <w:rFonts w:ascii="Times New Roman" w:hAnsi="Times New Roman" w:cs="Times New Roman"/>
          <w:sz w:val="20"/>
          <w:szCs w:val="20"/>
          <w:highlight w:val="yellow"/>
        </w:rPr>
        <w:t>Ampomah</w:t>
      </w:r>
      <w:proofErr w:type="spellEnd"/>
      <w:r w:rsidRPr="00C95369">
        <w:rPr>
          <w:rFonts w:ascii="Times New Roman" w:hAnsi="Times New Roman" w:cs="Times New Roman"/>
          <w:sz w:val="20"/>
          <w:szCs w:val="20"/>
          <w:highlight w:val="yellow"/>
        </w:rPr>
        <w:t>, P., Kwakye-</w:t>
      </w:r>
      <w:proofErr w:type="spellStart"/>
      <w:r w:rsidRPr="00C95369">
        <w:rPr>
          <w:rFonts w:ascii="Times New Roman" w:hAnsi="Times New Roman" w:cs="Times New Roman"/>
          <w:sz w:val="20"/>
          <w:szCs w:val="20"/>
          <w:highlight w:val="yellow"/>
        </w:rPr>
        <w:t>Nuako</w:t>
      </w:r>
      <w:proofErr w:type="spellEnd"/>
      <w:r w:rsidRPr="00C95369">
        <w:rPr>
          <w:rFonts w:ascii="Times New Roman" w:hAnsi="Times New Roman" w:cs="Times New Roman"/>
          <w:sz w:val="20"/>
          <w:szCs w:val="20"/>
          <w:highlight w:val="yellow"/>
        </w:rPr>
        <w:t xml:space="preserve">, G., </w:t>
      </w:r>
      <w:proofErr w:type="spellStart"/>
      <w:r w:rsidRPr="00C95369">
        <w:rPr>
          <w:rFonts w:ascii="Times New Roman" w:hAnsi="Times New Roman" w:cs="Times New Roman"/>
          <w:sz w:val="20"/>
          <w:szCs w:val="20"/>
          <w:highlight w:val="yellow"/>
        </w:rPr>
        <w:t>Egyir-Yawson</w:t>
      </w:r>
      <w:proofErr w:type="spellEnd"/>
      <w:r w:rsidRPr="00C95369">
        <w:rPr>
          <w:rFonts w:ascii="Times New Roman" w:hAnsi="Times New Roman" w:cs="Times New Roman"/>
          <w:sz w:val="20"/>
          <w:szCs w:val="20"/>
          <w:highlight w:val="yellow"/>
        </w:rPr>
        <w:t xml:space="preserve">, A., &amp; Acheampong, D. O. (2021). Effect of asymptomatic Plasmodium falciparum </w:t>
      </w:r>
      <w:proofErr w:type="spellStart"/>
      <w:r w:rsidRPr="00C95369">
        <w:rPr>
          <w:rFonts w:ascii="Times New Roman" w:hAnsi="Times New Roman" w:cs="Times New Roman"/>
          <w:sz w:val="20"/>
          <w:szCs w:val="20"/>
          <w:highlight w:val="yellow"/>
        </w:rPr>
        <w:t>parasitaemia</w:t>
      </w:r>
      <w:proofErr w:type="spellEnd"/>
      <w:r w:rsidRPr="00C95369">
        <w:rPr>
          <w:rFonts w:ascii="Times New Roman" w:hAnsi="Times New Roman" w:cs="Times New Roman"/>
          <w:sz w:val="20"/>
          <w:szCs w:val="20"/>
          <w:highlight w:val="yellow"/>
        </w:rPr>
        <w:t xml:space="preserve"> on platelets thrombogenicity in blood donors. </w:t>
      </w:r>
      <w:r w:rsidRPr="00C95369">
        <w:rPr>
          <w:rFonts w:ascii="Times New Roman" w:hAnsi="Times New Roman" w:cs="Times New Roman"/>
          <w:i/>
          <w:iCs/>
          <w:sz w:val="20"/>
          <w:szCs w:val="20"/>
          <w:highlight w:val="yellow"/>
        </w:rPr>
        <w:t>Indian Journal of Hematology and Blood Transfusion</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37</w:t>
      </w:r>
      <w:r w:rsidRPr="00C95369">
        <w:rPr>
          <w:rFonts w:ascii="Times New Roman" w:hAnsi="Times New Roman" w:cs="Times New Roman"/>
          <w:sz w:val="20"/>
          <w:szCs w:val="20"/>
          <w:highlight w:val="yellow"/>
        </w:rPr>
        <w:t>(4), 632-639. https://doi.org/10.1007/s12288-020-01390-w</w:t>
      </w:r>
    </w:p>
    <w:p w14:paraId="0969953D"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Antwi</w:t>
      </w:r>
      <w:proofErr w:type="spellEnd"/>
      <w:r w:rsidRPr="00C95369">
        <w:rPr>
          <w:rFonts w:ascii="Times New Roman" w:hAnsi="Times New Roman" w:cs="Times New Roman"/>
          <w:sz w:val="20"/>
          <w:szCs w:val="20"/>
          <w:highlight w:val="yellow"/>
        </w:rPr>
        <w:t xml:space="preserve">-Baffour, S., Mensah, B. T., Johnson, G., Armah, D. N. O., Ali-Mustapha, S., &amp; </w:t>
      </w:r>
      <w:proofErr w:type="spellStart"/>
      <w:r w:rsidRPr="00C95369">
        <w:rPr>
          <w:rFonts w:ascii="Times New Roman" w:hAnsi="Times New Roman" w:cs="Times New Roman"/>
          <w:sz w:val="20"/>
          <w:szCs w:val="20"/>
          <w:highlight w:val="yellow"/>
        </w:rPr>
        <w:t>Annison</w:t>
      </w:r>
      <w:proofErr w:type="spellEnd"/>
      <w:r w:rsidRPr="00C95369">
        <w:rPr>
          <w:rFonts w:ascii="Times New Roman" w:hAnsi="Times New Roman" w:cs="Times New Roman"/>
          <w:sz w:val="20"/>
          <w:szCs w:val="20"/>
          <w:highlight w:val="yellow"/>
        </w:rPr>
        <w:t xml:space="preserve">, L. (2023). </w:t>
      </w:r>
      <w:proofErr w:type="spellStart"/>
      <w:r w:rsidRPr="00C95369">
        <w:rPr>
          <w:rFonts w:ascii="Times New Roman" w:hAnsi="Times New Roman" w:cs="Times New Roman"/>
          <w:sz w:val="20"/>
          <w:szCs w:val="20"/>
          <w:highlight w:val="yellow"/>
        </w:rPr>
        <w:t>Haematological</w:t>
      </w:r>
      <w:proofErr w:type="spellEnd"/>
      <w:r w:rsidRPr="00C95369">
        <w:rPr>
          <w:rFonts w:ascii="Times New Roman" w:hAnsi="Times New Roman" w:cs="Times New Roman"/>
          <w:sz w:val="20"/>
          <w:szCs w:val="20"/>
          <w:highlight w:val="yellow"/>
        </w:rPr>
        <w:t xml:space="preserve"> parameters and their correlation with the degree of malaria </w:t>
      </w:r>
      <w:proofErr w:type="spellStart"/>
      <w:r w:rsidRPr="00C95369">
        <w:rPr>
          <w:rFonts w:ascii="Times New Roman" w:hAnsi="Times New Roman" w:cs="Times New Roman"/>
          <w:sz w:val="20"/>
          <w:szCs w:val="20"/>
          <w:highlight w:val="yellow"/>
        </w:rPr>
        <w:t>parasitaemia</w:t>
      </w:r>
      <w:proofErr w:type="spellEnd"/>
      <w:r w:rsidRPr="00C95369">
        <w:rPr>
          <w:rFonts w:ascii="Times New Roman" w:hAnsi="Times New Roman" w:cs="Times New Roman"/>
          <w:sz w:val="20"/>
          <w:szCs w:val="20"/>
          <w:highlight w:val="yellow"/>
        </w:rPr>
        <w:t xml:space="preserve"> among outpatients attending a polyclinic. </w:t>
      </w:r>
      <w:r w:rsidRPr="00C95369">
        <w:rPr>
          <w:rFonts w:ascii="Times New Roman" w:hAnsi="Times New Roman" w:cs="Times New Roman"/>
          <w:i/>
          <w:iCs/>
          <w:sz w:val="20"/>
          <w:szCs w:val="20"/>
          <w:highlight w:val="yellow"/>
        </w:rPr>
        <w:t>Malaria journal</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22</w:t>
      </w:r>
      <w:r w:rsidRPr="00C95369">
        <w:rPr>
          <w:rFonts w:ascii="Times New Roman" w:hAnsi="Times New Roman" w:cs="Times New Roman"/>
          <w:sz w:val="20"/>
          <w:szCs w:val="20"/>
          <w:highlight w:val="yellow"/>
        </w:rPr>
        <w:t>(1), 281. https://doi.org/10.1186/s12936-023-04710-3</w:t>
      </w:r>
    </w:p>
    <w:p w14:paraId="328F0719"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Asmah</w:t>
      </w:r>
      <w:proofErr w:type="spellEnd"/>
      <w:r w:rsidRPr="00C95369">
        <w:rPr>
          <w:rFonts w:ascii="Times New Roman" w:hAnsi="Times New Roman" w:cs="Times New Roman"/>
          <w:sz w:val="20"/>
          <w:szCs w:val="20"/>
          <w:highlight w:val="yellow"/>
        </w:rPr>
        <w:t xml:space="preserve">, R. H., Squire, D. S., </w:t>
      </w:r>
      <w:proofErr w:type="spellStart"/>
      <w:r w:rsidRPr="00C95369">
        <w:rPr>
          <w:rFonts w:ascii="Times New Roman" w:hAnsi="Times New Roman" w:cs="Times New Roman"/>
          <w:sz w:val="20"/>
          <w:szCs w:val="20"/>
          <w:highlight w:val="yellow"/>
        </w:rPr>
        <w:t>Adupko</w:t>
      </w:r>
      <w:proofErr w:type="spellEnd"/>
      <w:r w:rsidRPr="00C95369">
        <w:rPr>
          <w:rFonts w:ascii="Times New Roman" w:hAnsi="Times New Roman" w:cs="Times New Roman"/>
          <w:sz w:val="20"/>
          <w:szCs w:val="20"/>
          <w:highlight w:val="yellow"/>
        </w:rPr>
        <w:t xml:space="preserve">, S., </w:t>
      </w:r>
      <w:proofErr w:type="spellStart"/>
      <w:r w:rsidRPr="00C95369">
        <w:rPr>
          <w:rFonts w:ascii="Times New Roman" w:hAnsi="Times New Roman" w:cs="Times New Roman"/>
          <w:sz w:val="20"/>
          <w:szCs w:val="20"/>
          <w:highlight w:val="yellow"/>
        </w:rPr>
        <w:t>Adedia</w:t>
      </w:r>
      <w:proofErr w:type="spellEnd"/>
      <w:r w:rsidRPr="00C95369">
        <w:rPr>
          <w:rFonts w:ascii="Times New Roman" w:hAnsi="Times New Roman" w:cs="Times New Roman"/>
          <w:sz w:val="20"/>
          <w:szCs w:val="20"/>
          <w:highlight w:val="yellow"/>
        </w:rPr>
        <w:t xml:space="preserve">, D., </w:t>
      </w:r>
      <w:proofErr w:type="spellStart"/>
      <w:r w:rsidRPr="00C95369">
        <w:rPr>
          <w:rFonts w:ascii="Times New Roman" w:hAnsi="Times New Roman" w:cs="Times New Roman"/>
          <w:sz w:val="20"/>
          <w:szCs w:val="20"/>
          <w:highlight w:val="yellow"/>
        </w:rPr>
        <w:t>Kyei-Baafour</w:t>
      </w:r>
      <w:proofErr w:type="spellEnd"/>
      <w:r w:rsidRPr="00C95369">
        <w:rPr>
          <w:rFonts w:ascii="Times New Roman" w:hAnsi="Times New Roman" w:cs="Times New Roman"/>
          <w:sz w:val="20"/>
          <w:szCs w:val="20"/>
          <w:highlight w:val="yellow"/>
        </w:rPr>
        <w:t xml:space="preserve">, E., Aidoo, E. K., &amp; </w:t>
      </w:r>
      <w:proofErr w:type="spellStart"/>
      <w:r w:rsidRPr="00C95369">
        <w:rPr>
          <w:rFonts w:ascii="Times New Roman" w:hAnsi="Times New Roman" w:cs="Times New Roman"/>
          <w:sz w:val="20"/>
          <w:szCs w:val="20"/>
          <w:highlight w:val="yellow"/>
        </w:rPr>
        <w:t>Ayeh-Kumi</w:t>
      </w:r>
      <w:proofErr w:type="spellEnd"/>
      <w:r w:rsidRPr="00C95369">
        <w:rPr>
          <w:rFonts w:ascii="Times New Roman" w:hAnsi="Times New Roman" w:cs="Times New Roman"/>
          <w:sz w:val="20"/>
          <w:szCs w:val="20"/>
          <w:highlight w:val="yellow"/>
        </w:rPr>
        <w:t xml:space="preserve">, P. F. (2024). Host-parasite interaction in severe and uncomplicated malaria infection in </w:t>
      </w:r>
      <w:proofErr w:type="spellStart"/>
      <w:r w:rsidRPr="00C95369">
        <w:rPr>
          <w:rFonts w:ascii="Times New Roman" w:hAnsi="Times New Roman" w:cs="Times New Roman"/>
          <w:sz w:val="20"/>
          <w:szCs w:val="20"/>
          <w:highlight w:val="yellow"/>
        </w:rPr>
        <w:t>ghanaian</w:t>
      </w:r>
      <w:proofErr w:type="spellEnd"/>
      <w:r w:rsidRPr="00C95369">
        <w:rPr>
          <w:rFonts w:ascii="Times New Roman" w:hAnsi="Times New Roman" w:cs="Times New Roman"/>
          <w:sz w:val="20"/>
          <w:szCs w:val="20"/>
          <w:highlight w:val="yellow"/>
        </w:rPr>
        <w:t xml:space="preserve"> children. </w:t>
      </w:r>
      <w:r w:rsidRPr="00C95369">
        <w:rPr>
          <w:rFonts w:ascii="Times New Roman" w:hAnsi="Times New Roman" w:cs="Times New Roman"/>
          <w:i/>
          <w:iCs/>
          <w:sz w:val="20"/>
          <w:szCs w:val="20"/>
          <w:highlight w:val="yellow"/>
        </w:rPr>
        <w:t>European Journal of Clinical Microbiology &amp; Infectious Diseases</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43</w:t>
      </w:r>
      <w:r w:rsidRPr="00C95369">
        <w:rPr>
          <w:rFonts w:ascii="Times New Roman" w:hAnsi="Times New Roman" w:cs="Times New Roman"/>
          <w:sz w:val="20"/>
          <w:szCs w:val="20"/>
          <w:highlight w:val="yellow"/>
        </w:rPr>
        <w:t>(5), 915-926. https://doi.org/10.1007/s10096-024-04804-z</w:t>
      </w:r>
    </w:p>
    <w:p w14:paraId="34101DEE"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Babalola, A. S., Jonathan, J., &amp; Michael, B. E. (2020). Oxidative stress and anti-oxidants in asymptomatic malaria-positive patients: a hospital-based cross-sectional Nigerian study. </w:t>
      </w:r>
      <w:r w:rsidRPr="00C95369">
        <w:rPr>
          <w:rFonts w:ascii="Times New Roman" w:hAnsi="Times New Roman" w:cs="Times New Roman"/>
          <w:i/>
          <w:iCs/>
          <w:sz w:val="20"/>
          <w:szCs w:val="20"/>
          <w:highlight w:val="yellow"/>
        </w:rPr>
        <w:t>The Egyptian Journal of Internal Medicine</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32</w:t>
      </w:r>
      <w:r w:rsidRPr="00C95369">
        <w:rPr>
          <w:rFonts w:ascii="Times New Roman" w:hAnsi="Times New Roman" w:cs="Times New Roman"/>
          <w:sz w:val="20"/>
          <w:szCs w:val="20"/>
          <w:highlight w:val="yellow"/>
        </w:rPr>
        <w:t>(1), 23. https://doi.org/10.1186/s43162-020-00024-x</w:t>
      </w:r>
    </w:p>
    <w:p w14:paraId="6958F0C0"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Bohli</w:t>
      </w:r>
      <w:proofErr w:type="spellEnd"/>
      <w:r w:rsidRPr="00C95369">
        <w:rPr>
          <w:rFonts w:ascii="Times New Roman" w:hAnsi="Times New Roman" w:cs="Times New Roman"/>
          <w:sz w:val="20"/>
          <w:szCs w:val="20"/>
          <w:highlight w:val="yellow"/>
        </w:rPr>
        <w:t xml:space="preserve">, J. K., Ansah, P. B., </w:t>
      </w:r>
      <w:proofErr w:type="spellStart"/>
      <w:r w:rsidRPr="00C95369">
        <w:rPr>
          <w:rFonts w:ascii="Times New Roman" w:hAnsi="Times New Roman" w:cs="Times New Roman"/>
          <w:sz w:val="20"/>
          <w:szCs w:val="20"/>
          <w:highlight w:val="yellow"/>
        </w:rPr>
        <w:t>Kwamena</w:t>
      </w:r>
      <w:proofErr w:type="spellEnd"/>
      <w:r w:rsidRPr="00C95369">
        <w:rPr>
          <w:rFonts w:ascii="Times New Roman" w:hAnsi="Times New Roman" w:cs="Times New Roman"/>
          <w:sz w:val="20"/>
          <w:szCs w:val="20"/>
          <w:highlight w:val="yellow"/>
        </w:rPr>
        <w:t xml:space="preserve">, T. E., </w:t>
      </w:r>
      <w:proofErr w:type="spellStart"/>
      <w:r w:rsidRPr="00C95369">
        <w:rPr>
          <w:rFonts w:ascii="Times New Roman" w:hAnsi="Times New Roman" w:cs="Times New Roman"/>
          <w:sz w:val="20"/>
          <w:szCs w:val="20"/>
          <w:highlight w:val="yellow"/>
        </w:rPr>
        <w:t>Allotey</w:t>
      </w:r>
      <w:proofErr w:type="spellEnd"/>
      <w:r w:rsidRPr="00C95369">
        <w:rPr>
          <w:rFonts w:ascii="Times New Roman" w:hAnsi="Times New Roman" w:cs="Times New Roman"/>
          <w:sz w:val="20"/>
          <w:szCs w:val="20"/>
          <w:highlight w:val="yellow"/>
        </w:rPr>
        <w:t xml:space="preserve">, E., </w:t>
      </w:r>
      <w:proofErr w:type="spellStart"/>
      <w:r w:rsidRPr="00C95369">
        <w:rPr>
          <w:rFonts w:ascii="Times New Roman" w:hAnsi="Times New Roman" w:cs="Times New Roman"/>
          <w:sz w:val="20"/>
          <w:szCs w:val="20"/>
          <w:highlight w:val="yellow"/>
        </w:rPr>
        <w:t>Duneeh</w:t>
      </w:r>
      <w:proofErr w:type="spellEnd"/>
      <w:r w:rsidRPr="00C95369">
        <w:rPr>
          <w:rFonts w:ascii="Times New Roman" w:hAnsi="Times New Roman" w:cs="Times New Roman"/>
          <w:sz w:val="20"/>
          <w:szCs w:val="20"/>
          <w:highlight w:val="yellow"/>
        </w:rPr>
        <w:t xml:space="preserve">, R. V., Yeboah, E. B., ... &amp; </w:t>
      </w:r>
      <w:proofErr w:type="spellStart"/>
      <w:r w:rsidRPr="00C95369">
        <w:rPr>
          <w:rFonts w:ascii="Times New Roman" w:hAnsi="Times New Roman" w:cs="Times New Roman"/>
          <w:sz w:val="20"/>
          <w:szCs w:val="20"/>
          <w:highlight w:val="yellow"/>
        </w:rPr>
        <w:t>Ablordey</w:t>
      </w:r>
      <w:proofErr w:type="spellEnd"/>
      <w:r w:rsidRPr="00C95369">
        <w:rPr>
          <w:rFonts w:ascii="Times New Roman" w:hAnsi="Times New Roman" w:cs="Times New Roman"/>
          <w:sz w:val="20"/>
          <w:szCs w:val="20"/>
          <w:highlight w:val="yellow"/>
        </w:rPr>
        <w:t xml:space="preserve">, K. (2025). Variations in </w:t>
      </w:r>
      <w:proofErr w:type="spellStart"/>
      <w:r w:rsidRPr="00C95369">
        <w:rPr>
          <w:rFonts w:ascii="Times New Roman" w:hAnsi="Times New Roman" w:cs="Times New Roman"/>
          <w:sz w:val="20"/>
          <w:szCs w:val="20"/>
          <w:highlight w:val="yellow"/>
        </w:rPr>
        <w:t>haematological</w:t>
      </w:r>
      <w:proofErr w:type="spellEnd"/>
      <w:r w:rsidRPr="00C95369">
        <w:rPr>
          <w:rFonts w:ascii="Times New Roman" w:hAnsi="Times New Roman" w:cs="Times New Roman"/>
          <w:sz w:val="20"/>
          <w:szCs w:val="20"/>
          <w:highlight w:val="yellow"/>
        </w:rPr>
        <w:t xml:space="preserve"> and inflammatory biomarkers and their association with Plasmodium falciparum malaria: a cross-sectional comparative study at a clinic in Ghana. </w:t>
      </w:r>
      <w:r w:rsidRPr="00C95369">
        <w:rPr>
          <w:rFonts w:ascii="Times New Roman" w:hAnsi="Times New Roman" w:cs="Times New Roman"/>
          <w:i/>
          <w:iCs/>
          <w:sz w:val="20"/>
          <w:szCs w:val="20"/>
          <w:highlight w:val="yellow"/>
        </w:rPr>
        <w:t>Malaria Journal</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24</w:t>
      </w:r>
      <w:r w:rsidRPr="00C95369">
        <w:rPr>
          <w:rFonts w:ascii="Times New Roman" w:hAnsi="Times New Roman" w:cs="Times New Roman"/>
          <w:sz w:val="20"/>
          <w:szCs w:val="20"/>
          <w:highlight w:val="yellow"/>
        </w:rPr>
        <w:t>(1), 220. https://doi.org/10.1186/s12936-025-05474-8</w:t>
      </w:r>
    </w:p>
    <w:p w14:paraId="1418E5EC"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Corbacho-Loarte</w:t>
      </w:r>
      <w:proofErr w:type="spellEnd"/>
      <w:r w:rsidRPr="00C95369">
        <w:rPr>
          <w:rFonts w:ascii="Times New Roman" w:hAnsi="Times New Roman" w:cs="Times New Roman"/>
          <w:sz w:val="20"/>
          <w:szCs w:val="20"/>
          <w:highlight w:val="yellow"/>
        </w:rPr>
        <w:t xml:space="preserve">, M. D., </w:t>
      </w:r>
      <w:proofErr w:type="spellStart"/>
      <w:r w:rsidRPr="00C95369">
        <w:rPr>
          <w:rFonts w:ascii="Times New Roman" w:hAnsi="Times New Roman" w:cs="Times New Roman"/>
          <w:sz w:val="20"/>
          <w:szCs w:val="20"/>
          <w:highlight w:val="yellow"/>
        </w:rPr>
        <w:t>Crespillo-Andújar</w:t>
      </w:r>
      <w:proofErr w:type="spellEnd"/>
      <w:r w:rsidRPr="00C95369">
        <w:rPr>
          <w:rFonts w:ascii="Times New Roman" w:hAnsi="Times New Roman" w:cs="Times New Roman"/>
          <w:sz w:val="20"/>
          <w:szCs w:val="20"/>
          <w:highlight w:val="yellow"/>
        </w:rPr>
        <w:t>, C., Chamorro-</w:t>
      </w:r>
      <w:proofErr w:type="spellStart"/>
      <w:r w:rsidRPr="00C95369">
        <w:rPr>
          <w:rFonts w:ascii="Times New Roman" w:hAnsi="Times New Roman" w:cs="Times New Roman"/>
          <w:sz w:val="20"/>
          <w:szCs w:val="20"/>
          <w:highlight w:val="yellow"/>
        </w:rPr>
        <w:t>Tojeiro</w:t>
      </w:r>
      <w:proofErr w:type="spellEnd"/>
      <w:r w:rsidRPr="00C95369">
        <w:rPr>
          <w:rFonts w:ascii="Times New Roman" w:hAnsi="Times New Roman" w:cs="Times New Roman"/>
          <w:sz w:val="20"/>
          <w:szCs w:val="20"/>
          <w:highlight w:val="yellow"/>
        </w:rPr>
        <w:t>, S., Norman, F., Pérez-Molina, J. A., Martín, O., ... &amp; Monge-</w:t>
      </w:r>
      <w:proofErr w:type="spellStart"/>
      <w:r w:rsidRPr="00C95369">
        <w:rPr>
          <w:rFonts w:ascii="Times New Roman" w:hAnsi="Times New Roman" w:cs="Times New Roman"/>
          <w:sz w:val="20"/>
          <w:szCs w:val="20"/>
          <w:highlight w:val="yellow"/>
        </w:rPr>
        <w:t>Maillo</w:t>
      </w:r>
      <w:proofErr w:type="spellEnd"/>
      <w:r w:rsidRPr="00C95369">
        <w:rPr>
          <w:rFonts w:ascii="Times New Roman" w:hAnsi="Times New Roman" w:cs="Times New Roman"/>
          <w:sz w:val="20"/>
          <w:szCs w:val="20"/>
          <w:highlight w:val="yellow"/>
        </w:rPr>
        <w:t>, B. (2022). Screening of imported malaria infection in asymptomatic migrants from Sub-Saharan Africa: A retrospective analysis of a 2010–2019 cohort. </w:t>
      </w:r>
      <w:r w:rsidRPr="00C95369">
        <w:rPr>
          <w:rFonts w:ascii="Times New Roman" w:hAnsi="Times New Roman" w:cs="Times New Roman"/>
          <w:i/>
          <w:iCs/>
          <w:sz w:val="20"/>
          <w:szCs w:val="20"/>
          <w:highlight w:val="yellow"/>
        </w:rPr>
        <w:t>Travel Medicine and Infectious Disease</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49</w:t>
      </w:r>
      <w:r w:rsidRPr="00C95369">
        <w:rPr>
          <w:rFonts w:ascii="Times New Roman" w:hAnsi="Times New Roman" w:cs="Times New Roman"/>
          <w:sz w:val="20"/>
          <w:szCs w:val="20"/>
          <w:highlight w:val="yellow"/>
        </w:rPr>
        <w:t>, 102411. https://doi.org/10.1016/j.tmaid.2022.102411</w:t>
      </w:r>
    </w:p>
    <w:p w14:paraId="1A393EFE"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Cowman, A. F., Healer, J., </w:t>
      </w:r>
      <w:proofErr w:type="spellStart"/>
      <w:r w:rsidRPr="00C95369">
        <w:rPr>
          <w:rFonts w:ascii="Times New Roman" w:hAnsi="Times New Roman" w:cs="Times New Roman"/>
          <w:sz w:val="20"/>
          <w:szCs w:val="20"/>
          <w:highlight w:val="yellow"/>
        </w:rPr>
        <w:t>Marapana</w:t>
      </w:r>
      <w:proofErr w:type="spellEnd"/>
      <w:r w:rsidRPr="00C95369">
        <w:rPr>
          <w:rFonts w:ascii="Times New Roman" w:hAnsi="Times New Roman" w:cs="Times New Roman"/>
          <w:sz w:val="20"/>
          <w:szCs w:val="20"/>
          <w:highlight w:val="yellow"/>
        </w:rPr>
        <w:t>, D., &amp; Marsh, K. (2016). Malaria: biology and disease. </w:t>
      </w:r>
      <w:r w:rsidRPr="00C95369">
        <w:rPr>
          <w:rFonts w:ascii="Times New Roman" w:hAnsi="Times New Roman" w:cs="Times New Roman"/>
          <w:i/>
          <w:iCs/>
          <w:sz w:val="20"/>
          <w:szCs w:val="20"/>
          <w:highlight w:val="yellow"/>
        </w:rPr>
        <w:t>Cell</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167</w:t>
      </w:r>
      <w:r w:rsidRPr="00C95369">
        <w:rPr>
          <w:rFonts w:ascii="Times New Roman" w:hAnsi="Times New Roman" w:cs="Times New Roman"/>
          <w:sz w:val="20"/>
          <w:szCs w:val="20"/>
          <w:highlight w:val="yellow"/>
        </w:rPr>
        <w:t xml:space="preserve">(3), 610-624. </w:t>
      </w:r>
      <w:hyperlink r:id="rId18" w:history="1">
        <w:r w:rsidRPr="00C95369">
          <w:rPr>
            <w:rStyle w:val="Hyperlink"/>
            <w:rFonts w:ascii="Times New Roman" w:hAnsi="Times New Roman" w:cs="Times New Roman"/>
            <w:sz w:val="20"/>
            <w:szCs w:val="20"/>
            <w:highlight w:val="yellow"/>
          </w:rPr>
          <w:t>https://doi.org/10.1016/j.cell.2016.07.055</w:t>
        </w:r>
      </w:hyperlink>
    </w:p>
    <w:p w14:paraId="213248DA"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lastRenderedPageBreak/>
        <w:t>Ehiem</w:t>
      </w:r>
      <w:proofErr w:type="spellEnd"/>
      <w:r w:rsidRPr="00C95369">
        <w:rPr>
          <w:rFonts w:ascii="Times New Roman" w:hAnsi="Times New Roman" w:cs="Times New Roman"/>
          <w:sz w:val="20"/>
          <w:szCs w:val="20"/>
          <w:highlight w:val="yellow"/>
        </w:rPr>
        <w:t xml:space="preserve">, R. C., </w:t>
      </w:r>
      <w:proofErr w:type="spellStart"/>
      <w:r w:rsidRPr="00C95369">
        <w:rPr>
          <w:rFonts w:ascii="Times New Roman" w:hAnsi="Times New Roman" w:cs="Times New Roman"/>
          <w:sz w:val="20"/>
          <w:szCs w:val="20"/>
          <w:highlight w:val="yellow"/>
        </w:rPr>
        <w:t>Nanse</w:t>
      </w:r>
      <w:proofErr w:type="spellEnd"/>
      <w:r w:rsidRPr="00C95369">
        <w:rPr>
          <w:rFonts w:ascii="Times New Roman" w:hAnsi="Times New Roman" w:cs="Times New Roman"/>
          <w:sz w:val="20"/>
          <w:szCs w:val="20"/>
          <w:highlight w:val="yellow"/>
        </w:rPr>
        <w:t xml:space="preserve">, F. A. K., </w:t>
      </w:r>
      <w:proofErr w:type="spellStart"/>
      <w:r w:rsidRPr="00C95369">
        <w:rPr>
          <w:rFonts w:ascii="Times New Roman" w:hAnsi="Times New Roman" w:cs="Times New Roman"/>
          <w:sz w:val="20"/>
          <w:szCs w:val="20"/>
          <w:highlight w:val="yellow"/>
        </w:rPr>
        <w:t>Adu</w:t>
      </w:r>
      <w:proofErr w:type="spellEnd"/>
      <w:r w:rsidRPr="00C95369">
        <w:rPr>
          <w:rFonts w:ascii="Times New Roman" w:hAnsi="Times New Roman" w:cs="Times New Roman"/>
          <w:sz w:val="20"/>
          <w:szCs w:val="20"/>
          <w:highlight w:val="yellow"/>
        </w:rPr>
        <w:t xml:space="preserve">-Frimpong, M., &amp; Mills-Robertson, F. C. (2021). </w:t>
      </w:r>
      <w:proofErr w:type="spellStart"/>
      <w:r w:rsidRPr="00C95369">
        <w:rPr>
          <w:rFonts w:ascii="Times New Roman" w:hAnsi="Times New Roman" w:cs="Times New Roman"/>
          <w:sz w:val="20"/>
          <w:szCs w:val="20"/>
          <w:highlight w:val="yellow"/>
        </w:rPr>
        <w:t>Parasitaemia</w:t>
      </w:r>
      <w:proofErr w:type="spellEnd"/>
      <w:r w:rsidRPr="00C95369">
        <w:rPr>
          <w:rFonts w:ascii="Times New Roman" w:hAnsi="Times New Roman" w:cs="Times New Roman"/>
          <w:sz w:val="20"/>
          <w:szCs w:val="20"/>
          <w:highlight w:val="yellow"/>
        </w:rPr>
        <w:t xml:space="preserve"> estimation and prediction of hepatocellular dysfunction among Ghanaian children with acute malaria using </w:t>
      </w:r>
      <w:proofErr w:type="spellStart"/>
      <w:r w:rsidRPr="00C95369">
        <w:rPr>
          <w:rFonts w:ascii="Times New Roman" w:hAnsi="Times New Roman" w:cs="Times New Roman"/>
          <w:sz w:val="20"/>
          <w:szCs w:val="20"/>
          <w:highlight w:val="yellow"/>
        </w:rPr>
        <w:t>haemoglobin</w:t>
      </w:r>
      <w:proofErr w:type="spellEnd"/>
      <w:r w:rsidRPr="00C95369">
        <w:rPr>
          <w:rFonts w:ascii="Times New Roman" w:hAnsi="Times New Roman" w:cs="Times New Roman"/>
          <w:sz w:val="20"/>
          <w:szCs w:val="20"/>
          <w:highlight w:val="yellow"/>
        </w:rPr>
        <w:t xml:space="preserve"> levels. </w:t>
      </w:r>
      <w:proofErr w:type="spellStart"/>
      <w:r w:rsidRPr="00C95369">
        <w:rPr>
          <w:rFonts w:ascii="Times New Roman" w:hAnsi="Times New Roman" w:cs="Times New Roman"/>
          <w:i/>
          <w:iCs/>
          <w:sz w:val="20"/>
          <w:szCs w:val="20"/>
          <w:highlight w:val="yellow"/>
        </w:rPr>
        <w:t>Heliyon</w:t>
      </w:r>
      <w:proofErr w:type="spellEnd"/>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7</w:t>
      </w:r>
      <w:r w:rsidRPr="00C95369">
        <w:rPr>
          <w:rFonts w:ascii="Times New Roman" w:hAnsi="Times New Roman" w:cs="Times New Roman"/>
          <w:sz w:val="20"/>
          <w:szCs w:val="20"/>
          <w:highlight w:val="yellow"/>
        </w:rPr>
        <w:t>(7). https://doi.org/10.1016/j.heliyon.2021.e07445</w:t>
      </w:r>
    </w:p>
    <w:p w14:paraId="21219DFA"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Eledo</w:t>
      </w:r>
      <w:proofErr w:type="spellEnd"/>
      <w:r w:rsidRPr="00C95369">
        <w:rPr>
          <w:rFonts w:ascii="Times New Roman" w:hAnsi="Times New Roman" w:cs="Times New Roman"/>
          <w:sz w:val="20"/>
          <w:szCs w:val="20"/>
          <w:highlight w:val="yellow"/>
        </w:rPr>
        <w:t xml:space="preserve">, B. O., Tommy, E. O., Onuoha, E. C., </w:t>
      </w:r>
      <w:proofErr w:type="spellStart"/>
      <w:r w:rsidRPr="00C95369">
        <w:rPr>
          <w:rFonts w:ascii="Times New Roman" w:hAnsi="Times New Roman" w:cs="Times New Roman"/>
          <w:sz w:val="20"/>
          <w:szCs w:val="20"/>
          <w:highlight w:val="yellow"/>
        </w:rPr>
        <w:t>Dunga</w:t>
      </w:r>
      <w:proofErr w:type="spellEnd"/>
      <w:r w:rsidRPr="00C95369">
        <w:rPr>
          <w:rFonts w:ascii="Times New Roman" w:hAnsi="Times New Roman" w:cs="Times New Roman"/>
          <w:sz w:val="20"/>
          <w:szCs w:val="20"/>
          <w:highlight w:val="yellow"/>
        </w:rPr>
        <w:t xml:space="preserve">, K. E., &amp; </w:t>
      </w:r>
      <w:proofErr w:type="spellStart"/>
      <w:r w:rsidRPr="00C95369">
        <w:rPr>
          <w:rFonts w:ascii="Times New Roman" w:hAnsi="Times New Roman" w:cs="Times New Roman"/>
          <w:sz w:val="20"/>
          <w:szCs w:val="20"/>
          <w:highlight w:val="yellow"/>
        </w:rPr>
        <w:t>Okamgba</w:t>
      </w:r>
      <w:proofErr w:type="spellEnd"/>
      <w:r w:rsidRPr="00C95369">
        <w:rPr>
          <w:rFonts w:ascii="Times New Roman" w:hAnsi="Times New Roman" w:cs="Times New Roman"/>
          <w:sz w:val="20"/>
          <w:szCs w:val="20"/>
          <w:highlight w:val="yellow"/>
        </w:rPr>
        <w:t xml:space="preserve">, O. C. (2020). The effects of </w:t>
      </w:r>
      <w:proofErr w:type="spellStart"/>
      <w:r w:rsidRPr="00C95369">
        <w:rPr>
          <w:rFonts w:ascii="Times New Roman" w:hAnsi="Times New Roman" w:cs="Times New Roman"/>
          <w:sz w:val="20"/>
          <w:szCs w:val="20"/>
          <w:highlight w:val="yellow"/>
        </w:rPr>
        <w:t>assymptomatic</w:t>
      </w:r>
      <w:proofErr w:type="spellEnd"/>
      <w:r w:rsidRPr="00C95369">
        <w:rPr>
          <w:rFonts w:ascii="Times New Roman" w:hAnsi="Times New Roman" w:cs="Times New Roman"/>
          <w:sz w:val="20"/>
          <w:szCs w:val="20"/>
          <w:highlight w:val="yellow"/>
        </w:rPr>
        <w:t xml:space="preserve"> malaria on some </w:t>
      </w:r>
      <w:proofErr w:type="spellStart"/>
      <w:r w:rsidRPr="00C95369">
        <w:rPr>
          <w:rFonts w:ascii="Times New Roman" w:hAnsi="Times New Roman" w:cs="Times New Roman"/>
          <w:sz w:val="20"/>
          <w:szCs w:val="20"/>
          <w:highlight w:val="yellow"/>
        </w:rPr>
        <w:t>haematological</w:t>
      </w:r>
      <w:proofErr w:type="spellEnd"/>
      <w:r w:rsidRPr="00C95369">
        <w:rPr>
          <w:rFonts w:ascii="Times New Roman" w:hAnsi="Times New Roman" w:cs="Times New Roman"/>
          <w:sz w:val="20"/>
          <w:szCs w:val="20"/>
          <w:highlight w:val="yellow"/>
        </w:rPr>
        <w:t xml:space="preserve"> parameters among the elderly in a sub-urban community in Southern Nigeria. </w:t>
      </w:r>
      <w:r w:rsidRPr="00C95369">
        <w:rPr>
          <w:rFonts w:ascii="Times New Roman" w:hAnsi="Times New Roman" w:cs="Times New Roman"/>
          <w:i/>
          <w:iCs/>
          <w:sz w:val="20"/>
          <w:szCs w:val="20"/>
          <w:highlight w:val="yellow"/>
        </w:rPr>
        <w:t xml:space="preserve">Int J Blood Res </w:t>
      </w:r>
      <w:proofErr w:type="spellStart"/>
      <w:r w:rsidRPr="00C95369">
        <w:rPr>
          <w:rFonts w:ascii="Times New Roman" w:hAnsi="Times New Roman" w:cs="Times New Roman"/>
          <w:i/>
          <w:iCs/>
          <w:sz w:val="20"/>
          <w:szCs w:val="20"/>
          <w:highlight w:val="yellow"/>
        </w:rPr>
        <w:t>Disord</w:t>
      </w:r>
      <w:proofErr w:type="spellEnd"/>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7</w:t>
      </w:r>
      <w:r w:rsidRPr="00C95369">
        <w:rPr>
          <w:rFonts w:ascii="Times New Roman" w:hAnsi="Times New Roman" w:cs="Times New Roman"/>
          <w:sz w:val="20"/>
          <w:szCs w:val="20"/>
          <w:highlight w:val="yellow"/>
        </w:rPr>
        <w:t>, 055. https://doi.org/10.23937/2469-5696/1410055</w:t>
      </w:r>
    </w:p>
    <w:p w14:paraId="21B63DF0"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Jolinom</w:t>
      </w:r>
      <w:proofErr w:type="spellEnd"/>
      <w:r w:rsidRPr="00C95369">
        <w:rPr>
          <w:rFonts w:ascii="Times New Roman" w:hAnsi="Times New Roman" w:cs="Times New Roman"/>
          <w:sz w:val="20"/>
          <w:szCs w:val="20"/>
          <w:highlight w:val="yellow"/>
        </w:rPr>
        <w:t xml:space="preserve">, E., EDZODZOMO, G., PAMBO-PAMBO, A. B., OBIANG, C. S., MOUNDOUNGA, H. K., &amp; ENGONGA, L. C. O. </w:t>
      </w:r>
      <w:proofErr w:type="spellStart"/>
      <w:r w:rsidRPr="00C95369">
        <w:rPr>
          <w:rFonts w:ascii="Times New Roman" w:hAnsi="Times New Roman" w:cs="Times New Roman"/>
          <w:sz w:val="20"/>
          <w:szCs w:val="20"/>
          <w:highlight w:val="yellow"/>
        </w:rPr>
        <w:t>Hemato</w:t>
      </w:r>
      <w:proofErr w:type="spellEnd"/>
      <w:r w:rsidRPr="00C95369">
        <w:rPr>
          <w:rFonts w:ascii="Times New Roman" w:hAnsi="Times New Roman" w:cs="Times New Roman"/>
          <w:sz w:val="20"/>
          <w:szCs w:val="20"/>
          <w:highlight w:val="yellow"/>
        </w:rPr>
        <w:t xml:space="preserve">-Biochemical Profile of Malaria Patients in Sub Saharan Africa: A Case of the Urban Health Center of </w:t>
      </w:r>
      <w:proofErr w:type="spellStart"/>
      <w:r w:rsidRPr="00C95369">
        <w:rPr>
          <w:rFonts w:ascii="Times New Roman" w:hAnsi="Times New Roman" w:cs="Times New Roman"/>
          <w:sz w:val="20"/>
          <w:szCs w:val="20"/>
          <w:highlight w:val="yellow"/>
        </w:rPr>
        <w:t>Franceville</w:t>
      </w:r>
      <w:proofErr w:type="spellEnd"/>
      <w:r w:rsidRPr="00C95369">
        <w:rPr>
          <w:rFonts w:ascii="Times New Roman" w:hAnsi="Times New Roman" w:cs="Times New Roman"/>
          <w:sz w:val="20"/>
          <w:szCs w:val="20"/>
          <w:highlight w:val="yellow"/>
        </w:rPr>
        <w:t>, Gabon. https://doi.org/10.9734/jamb/2025/v25i4924</w:t>
      </w:r>
    </w:p>
    <w:p w14:paraId="6772E9EA"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Kaboré</w:t>
      </w:r>
      <w:proofErr w:type="spellEnd"/>
      <w:r w:rsidRPr="00C95369">
        <w:rPr>
          <w:rFonts w:ascii="Times New Roman" w:hAnsi="Times New Roman" w:cs="Times New Roman"/>
          <w:sz w:val="20"/>
          <w:szCs w:val="20"/>
          <w:highlight w:val="yellow"/>
        </w:rPr>
        <w:t xml:space="preserve">, B., Post, A., Berendsen, M. L., Diallo, S., </w:t>
      </w:r>
      <w:proofErr w:type="spellStart"/>
      <w:r w:rsidRPr="00C95369">
        <w:rPr>
          <w:rFonts w:ascii="Times New Roman" w:hAnsi="Times New Roman" w:cs="Times New Roman"/>
          <w:sz w:val="20"/>
          <w:szCs w:val="20"/>
          <w:highlight w:val="yellow"/>
        </w:rPr>
        <w:t>Lompo</w:t>
      </w:r>
      <w:proofErr w:type="spellEnd"/>
      <w:r w:rsidRPr="00C95369">
        <w:rPr>
          <w:rFonts w:ascii="Times New Roman" w:hAnsi="Times New Roman" w:cs="Times New Roman"/>
          <w:sz w:val="20"/>
          <w:szCs w:val="20"/>
          <w:highlight w:val="yellow"/>
        </w:rPr>
        <w:t xml:space="preserve">, P., </w:t>
      </w:r>
      <w:proofErr w:type="spellStart"/>
      <w:r w:rsidRPr="00C95369">
        <w:rPr>
          <w:rFonts w:ascii="Times New Roman" w:hAnsi="Times New Roman" w:cs="Times New Roman"/>
          <w:sz w:val="20"/>
          <w:szCs w:val="20"/>
          <w:highlight w:val="yellow"/>
        </w:rPr>
        <w:t>Derra</w:t>
      </w:r>
      <w:proofErr w:type="spellEnd"/>
      <w:r w:rsidRPr="00C95369">
        <w:rPr>
          <w:rFonts w:ascii="Times New Roman" w:hAnsi="Times New Roman" w:cs="Times New Roman"/>
          <w:sz w:val="20"/>
          <w:szCs w:val="20"/>
          <w:highlight w:val="yellow"/>
        </w:rPr>
        <w:t>, K., ... &amp; van der Ven, A. J. (2020). Red blood cell homeostasis in children and adults with and without asymptomatic malaria infection in Burkina Faso. </w:t>
      </w:r>
      <w:proofErr w:type="spellStart"/>
      <w:r w:rsidRPr="00C95369">
        <w:rPr>
          <w:rFonts w:ascii="Times New Roman" w:hAnsi="Times New Roman" w:cs="Times New Roman"/>
          <w:i/>
          <w:iCs/>
          <w:sz w:val="20"/>
          <w:szCs w:val="20"/>
          <w:highlight w:val="yellow"/>
        </w:rPr>
        <w:t>PLoS</w:t>
      </w:r>
      <w:proofErr w:type="spellEnd"/>
      <w:r w:rsidRPr="00C95369">
        <w:rPr>
          <w:rFonts w:ascii="Times New Roman" w:hAnsi="Times New Roman" w:cs="Times New Roman"/>
          <w:i/>
          <w:iCs/>
          <w:sz w:val="20"/>
          <w:szCs w:val="20"/>
          <w:highlight w:val="yellow"/>
        </w:rPr>
        <w:t xml:space="preserve"> One</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15</w:t>
      </w:r>
      <w:r w:rsidRPr="00C95369">
        <w:rPr>
          <w:rFonts w:ascii="Times New Roman" w:hAnsi="Times New Roman" w:cs="Times New Roman"/>
          <w:sz w:val="20"/>
          <w:szCs w:val="20"/>
          <w:highlight w:val="yellow"/>
        </w:rPr>
        <w:t>(11), e0242507. https://doi.org/10.1371/journal.pone.0242507</w:t>
      </w:r>
    </w:p>
    <w:p w14:paraId="3E84AC05"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Kachhawa</w:t>
      </w:r>
      <w:proofErr w:type="spellEnd"/>
      <w:r w:rsidRPr="00C95369">
        <w:rPr>
          <w:rFonts w:ascii="Times New Roman" w:hAnsi="Times New Roman" w:cs="Times New Roman"/>
          <w:sz w:val="20"/>
          <w:szCs w:val="20"/>
          <w:highlight w:val="yellow"/>
        </w:rPr>
        <w:t>, K. (2025). Analysis of the Clinical Profile in Patients with Plasmodium falciparum Malaria and Its Association with Parasite Density. </w:t>
      </w:r>
      <w:r w:rsidRPr="00C95369">
        <w:rPr>
          <w:rFonts w:ascii="Times New Roman" w:hAnsi="Times New Roman" w:cs="Times New Roman"/>
          <w:i/>
          <w:iCs/>
          <w:sz w:val="20"/>
          <w:szCs w:val="20"/>
          <w:highlight w:val="yellow"/>
        </w:rPr>
        <w:t>Journal of global infectious diseases</w:t>
      </w:r>
      <w:r w:rsidRPr="00C95369">
        <w:rPr>
          <w:rFonts w:ascii="Times New Roman" w:hAnsi="Times New Roman" w:cs="Times New Roman"/>
          <w:sz w:val="20"/>
          <w:szCs w:val="20"/>
          <w:highlight w:val="yellow"/>
        </w:rPr>
        <w:t>. https://doi.org/10.4103/0974-777X.201626</w:t>
      </w:r>
    </w:p>
    <w:p w14:paraId="02C818E2"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Kamau, E., Yates, A., </w:t>
      </w:r>
      <w:proofErr w:type="spellStart"/>
      <w:r w:rsidRPr="00C95369">
        <w:rPr>
          <w:rFonts w:ascii="Times New Roman" w:hAnsi="Times New Roman" w:cs="Times New Roman"/>
          <w:sz w:val="20"/>
          <w:szCs w:val="20"/>
          <w:highlight w:val="yellow"/>
        </w:rPr>
        <w:t>Maisiba</w:t>
      </w:r>
      <w:proofErr w:type="spellEnd"/>
      <w:r w:rsidRPr="00C95369">
        <w:rPr>
          <w:rFonts w:ascii="Times New Roman" w:hAnsi="Times New Roman" w:cs="Times New Roman"/>
          <w:sz w:val="20"/>
          <w:szCs w:val="20"/>
          <w:highlight w:val="yellow"/>
        </w:rPr>
        <w:t xml:space="preserve">, R., </w:t>
      </w:r>
      <w:proofErr w:type="spellStart"/>
      <w:r w:rsidRPr="00C95369">
        <w:rPr>
          <w:rFonts w:ascii="Times New Roman" w:hAnsi="Times New Roman" w:cs="Times New Roman"/>
          <w:sz w:val="20"/>
          <w:szCs w:val="20"/>
          <w:highlight w:val="yellow"/>
        </w:rPr>
        <w:t>Singoei</w:t>
      </w:r>
      <w:proofErr w:type="spellEnd"/>
      <w:r w:rsidRPr="00C95369">
        <w:rPr>
          <w:rFonts w:ascii="Times New Roman" w:hAnsi="Times New Roman" w:cs="Times New Roman"/>
          <w:sz w:val="20"/>
          <w:szCs w:val="20"/>
          <w:highlight w:val="yellow"/>
        </w:rPr>
        <w:t xml:space="preserve">, V., </w:t>
      </w:r>
      <w:proofErr w:type="spellStart"/>
      <w:r w:rsidRPr="00C95369">
        <w:rPr>
          <w:rFonts w:ascii="Times New Roman" w:hAnsi="Times New Roman" w:cs="Times New Roman"/>
          <w:sz w:val="20"/>
          <w:szCs w:val="20"/>
          <w:highlight w:val="yellow"/>
        </w:rPr>
        <w:t>Opot</w:t>
      </w:r>
      <w:proofErr w:type="spellEnd"/>
      <w:r w:rsidRPr="00C95369">
        <w:rPr>
          <w:rFonts w:ascii="Times New Roman" w:hAnsi="Times New Roman" w:cs="Times New Roman"/>
          <w:sz w:val="20"/>
          <w:szCs w:val="20"/>
          <w:highlight w:val="yellow"/>
        </w:rPr>
        <w:t xml:space="preserve">, B., </w:t>
      </w:r>
      <w:proofErr w:type="spellStart"/>
      <w:r w:rsidRPr="00C95369">
        <w:rPr>
          <w:rFonts w:ascii="Times New Roman" w:hAnsi="Times New Roman" w:cs="Times New Roman"/>
          <w:sz w:val="20"/>
          <w:szCs w:val="20"/>
          <w:highlight w:val="yellow"/>
        </w:rPr>
        <w:t>Adeny</w:t>
      </w:r>
      <w:proofErr w:type="spellEnd"/>
      <w:r w:rsidRPr="00C95369">
        <w:rPr>
          <w:rFonts w:ascii="Times New Roman" w:hAnsi="Times New Roman" w:cs="Times New Roman"/>
          <w:sz w:val="20"/>
          <w:szCs w:val="20"/>
          <w:highlight w:val="yellow"/>
        </w:rPr>
        <w:t xml:space="preserve">, R., ... &amp; </w:t>
      </w:r>
      <w:proofErr w:type="spellStart"/>
      <w:r w:rsidRPr="00C95369">
        <w:rPr>
          <w:rFonts w:ascii="Times New Roman" w:hAnsi="Times New Roman" w:cs="Times New Roman"/>
          <w:sz w:val="20"/>
          <w:szCs w:val="20"/>
          <w:highlight w:val="yellow"/>
        </w:rPr>
        <w:t>Polyak</w:t>
      </w:r>
      <w:proofErr w:type="spellEnd"/>
      <w:r w:rsidRPr="00C95369">
        <w:rPr>
          <w:rFonts w:ascii="Times New Roman" w:hAnsi="Times New Roman" w:cs="Times New Roman"/>
          <w:sz w:val="20"/>
          <w:szCs w:val="20"/>
          <w:highlight w:val="yellow"/>
        </w:rPr>
        <w:t>, C. S. (2021). Epidemiological and clinical implications of asymptomatic malaria and schistosomiasis co-infections in a rural community in western Kenya. </w:t>
      </w:r>
      <w:r w:rsidRPr="00C95369">
        <w:rPr>
          <w:rFonts w:ascii="Times New Roman" w:hAnsi="Times New Roman" w:cs="Times New Roman"/>
          <w:i/>
          <w:iCs/>
          <w:sz w:val="20"/>
          <w:szCs w:val="20"/>
          <w:highlight w:val="yellow"/>
        </w:rPr>
        <w:t>BMC Infectious Diseases</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21</w:t>
      </w:r>
      <w:r w:rsidRPr="00C95369">
        <w:rPr>
          <w:rFonts w:ascii="Times New Roman" w:hAnsi="Times New Roman" w:cs="Times New Roman"/>
          <w:sz w:val="20"/>
          <w:szCs w:val="20"/>
          <w:highlight w:val="yellow"/>
        </w:rPr>
        <w:t>(1), 937. https://doi.org/10.1186/s12879-021-06626-2</w:t>
      </w:r>
    </w:p>
    <w:p w14:paraId="516F3A24"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Kotepui</w:t>
      </w:r>
      <w:proofErr w:type="spellEnd"/>
      <w:r w:rsidRPr="00C95369">
        <w:rPr>
          <w:rFonts w:ascii="Times New Roman" w:hAnsi="Times New Roman" w:cs="Times New Roman"/>
          <w:sz w:val="20"/>
          <w:szCs w:val="20"/>
          <w:highlight w:val="yellow"/>
        </w:rPr>
        <w:t xml:space="preserve">, M., </w:t>
      </w:r>
      <w:proofErr w:type="spellStart"/>
      <w:r w:rsidRPr="00C95369">
        <w:rPr>
          <w:rFonts w:ascii="Times New Roman" w:hAnsi="Times New Roman" w:cs="Times New Roman"/>
          <w:sz w:val="20"/>
          <w:szCs w:val="20"/>
          <w:highlight w:val="yellow"/>
        </w:rPr>
        <w:t>Suwannatrai</w:t>
      </w:r>
      <w:proofErr w:type="spellEnd"/>
      <w:r w:rsidRPr="00C95369">
        <w:rPr>
          <w:rFonts w:ascii="Times New Roman" w:hAnsi="Times New Roman" w:cs="Times New Roman"/>
          <w:sz w:val="20"/>
          <w:szCs w:val="20"/>
          <w:highlight w:val="yellow"/>
        </w:rPr>
        <w:t xml:space="preserve">, A. T., </w:t>
      </w:r>
      <w:proofErr w:type="spellStart"/>
      <w:r w:rsidRPr="00C95369">
        <w:rPr>
          <w:rFonts w:ascii="Times New Roman" w:hAnsi="Times New Roman" w:cs="Times New Roman"/>
          <w:sz w:val="20"/>
          <w:szCs w:val="20"/>
          <w:highlight w:val="yellow"/>
        </w:rPr>
        <w:t>Kotepui</w:t>
      </w:r>
      <w:proofErr w:type="spellEnd"/>
      <w:r w:rsidRPr="00C95369">
        <w:rPr>
          <w:rFonts w:ascii="Times New Roman" w:hAnsi="Times New Roman" w:cs="Times New Roman"/>
          <w:sz w:val="20"/>
          <w:szCs w:val="20"/>
          <w:highlight w:val="yellow"/>
        </w:rPr>
        <w:t xml:space="preserve">, K. U., </w:t>
      </w:r>
      <w:proofErr w:type="spellStart"/>
      <w:r w:rsidRPr="00C95369">
        <w:rPr>
          <w:rFonts w:ascii="Times New Roman" w:hAnsi="Times New Roman" w:cs="Times New Roman"/>
          <w:sz w:val="20"/>
          <w:szCs w:val="20"/>
          <w:highlight w:val="yellow"/>
        </w:rPr>
        <w:t>Mahittikorn</w:t>
      </w:r>
      <w:proofErr w:type="spellEnd"/>
      <w:r w:rsidRPr="00C95369">
        <w:rPr>
          <w:rFonts w:ascii="Times New Roman" w:hAnsi="Times New Roman" w:cs="Times New Roman"/>
          <w:sz w:val="20"/>
          <w:szCs w:val="20"/>
          <w:highlight w:val="yellow"/>
        </w:rPr>
        <w:t xml:space="preserve">, A., </w:t>
      </w:r>
      <w:proofErr w:type="spellStart"/>
      <w:r w:rsidRPr="00C95369">
        <w:rPr>
          <w:rFonts w:ascii="Times New Roman" w:hAnsi="Times New Roman" w:cs="Times New Roman"/>
          <w:sz w:val="20"/>
          <w:szCs w:val="20"/>
          <w:highlight w:val="yellow"/>
        </w:rPr>
        <w:t>Masangkay</w:t>
      </w:r>
      <w:proofErr w:type="spellEnd"/>
      <w:r w:rsidRPr="00C95369">
        <w:rPr>
          <w:rFonts w:ascii="Times New Roman" w:hAnsi="Times New Roman" w:cs="Times New Roman"/>
          <w:sz w:val="20"/>
          <w:szCs w:val="20"/>
          <w:highlight w:val="yellow"/>
        </w:rPr>
        <w:t xml:space="preserve">, F. R., </w:t>
      </w:r>
      <w:proofErr w:type="spellStart"/>
      <w:r w:rsidRPr="00C95369">
        <w:rPr>
          <w:rFonts w:ascii="Times New Roman" w:hAnsi="Times New Roman" w:cs="Times New Roman"/>
          <w:sz w:val="20"/>
          <w:szCs w:val="20"/>
          <w:highlight w:val="yellow"/>
        </w:rPr>
        <w:t>Thinkhamrop</w:t>
      </w:r>
      <w:proofErr w:type="spellEnd"/>
      <w:r w:rsidRPr="00C95369">
        <w:rPr>
          <w:rFonts w:ascii="Times New Roman" w:hAnsi="Times New Roman" w:cs="Times New Roman"/>
          <w:sz w:val="20"/>
          <w:szCs w:val="20"/>
          <w:highlight w:val="yellow"/>
        </w:rPr>
        <w:t xml:space="preserve">, K., ... &amp; </w:t>
      </w:r>
      <w:proofErr w:type="spellStart"/>
      <w:r w:rsidRPr="00C95369">
        <w:rPr>
          <w:rFonts w:ascii="Times New Roman" w:hAnsi="Times New Roman" w:cs="Times New Roman"/>
          <w:sz w:val="20"/>
          <w:szCs w:val="20"/>
          <w:highlight w:val="yellow"/>
        </w:rPr>
        <w:t>Wilairatana</w:t>
      </w:r>
      <w:proofErr w:type="spellEnd"/>
      <w:r w:rsidRPr="00C95369">
        <w:rPr>
          <w:rFonts w:ascii="Times New Roman" w:hAnsi="Times New Roman" w:cs="Times New Roman"/>
          <w:sz w:val="20"/>
          <w:szCs w:val="20"/>
          <w:highlight w:val="yellow"/>
        </w:rPr>
        <w:t>, P. (2025). A systematic review and meta-analysis of Plasmodium infections and erythrocyte sedimentation rate in relation to disease severity. </w:t>
      </w:r>
      <w:r w:rsidRPr="00C95369">
        <w:rPr>
          <w:rFonts w:ascii="Times New Roman" w:hAnsi="Times New Roman" w:cs="Times New Roman"/>
          <w:i/>
          <w:iCs/>
          <w:sz w:val="20"/>
          <w:szCs w:val="20"/>
          <w:highlight w:val="yellow"/>
        </w:rPr>
        <w:t>BMC Infectious Diseases</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25</w:t>
      </w:r>
      <w:r w:rsidRPr="00C95369">
        <w:rPr>
          <w:rFonts w:ascii="Times New Roman" w:hAnsi="Times New Roman" w:cs="Times New Roman"/>
          <w:sz w:val="20"/>
          <w:szCs w:val="20"/>
          <w:highlight w:val="yellow"/>
        </w:rPr>
        <w:t>(1), 1306. https://doi.org/10.1186/s12879-025-11622-x</w:t>
      </w:r>
    </w:p>
    <w:p w14:paraId="33165F15"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Maheswari</w:t>
      </w:r>
      <w:proofErr w:type="spellEnd"/>
      <w:r w:rsidRPr="00C95369">
        <w:rPr>
          <w:rFonts w:ascii="Times New Roman" w:hAnsi="Times New Roman" w:cs="Times New Roman"/>
          <w:sz w:val="20"/>
          <w:szCs w:val="20"/>
          <w:highlight w:val="yellow"/>
        </w:rPr>
        <w:t xml:space="preserve">, U., </w:t>
      </w:r>
      <w:proofErr w:type="spellStart"/>
      <w:r w:rsidRPr="00C95369">
        <w:rPr>
          <w:rFonts w:ascii="Times New Roman" w:hAnsi="Times New Roman" w:cs="Times New Roman"/>
          <w:sz w:val="20"/>
          <w:szCs w:val="20"/>
          <w:highlight w:val="yellow"/>
        </w:rPr>
        <w:t>Sonti</w:t>
      </w:r>
      <w:proofErr w:type="spellEnd"/>
      <w:r w:rsidRPr="00C95369">
        <w:rPr>
          <w:rFonts w:ascii="Times New Roman" w:hAnsi="Times New Roman" w:cs="Times New Roman"/>
          <w:sz w:val="20"/>
          <w:szCs w:val="20"/>
          <w:highlight w:val="yellow"/>
        </w:rPr>
        <w:t xml:space="preserve">, S., &amp; </w:t>
      </w:r>
      <w:proofErr w:type="spellStart"/>
      <w:r w:rsidRPr="00C95369">
        <w:rPr>
          <w:rFonts w:ascii="Times New Roman" w:hAnsi="Times New Roman" w:cs="Times New Roman"/>
          <w:sz w:val="20"/>
          <w:szCs w:val="20"/>
          <w:highlight w:val="yellow"/>
        </w:rPr>
        <w:t>Priyadharshini</w:t>
      </w:r>
      <w:proofErr w:type="spellEnd"/>
      <w:r w:rsidRPr="00C95369">
        <w:rPr>
          <w:rFonts w:ascii="Times New Roman" w:hAnsi="Times New Roman" w:cs="Times New Roman"/>
          <w:sz w:val="20"/>
          <w:szCs w:val="20"/>
          <w:highlight w:val="yellow"/>
        </w:rPr>
        <w:t xml:space="preserve">, D. (2025). Unveiling </w:t>
      </w:r>
      <w:proofErr w:type="spellStart"/>
      <w:r w:rsidRPr="00C95369">
        <w:rPr>
          <w:rFonts w:ascii="Times New Roman" w:hAnsi="Times New Roman" w:cs="Times New Roman"/>
          <w:sz w:val="20"/>
          <w:szCs w:val="20"/>
          <w:highlight w:val="yellow"/>
        </w:rPr>
        <w:t>Hemato</w:t>
      </w:r>
      <w:proofErr w:type="spellEnd"/>
      <w:r w:rsidRPr="00C95369">
        <w:rPr>
          <w:rFonts w:ascii="Times New Roman" w:hAnsi="Times New Roman" w:cs="Times New Roman"/>
          <w:sz w:val="20"/>
          <w:szCs w:val="20"/>
          <w:highlight w:val="yellow"/>
        </w:rPr>
        <w:t>-Biochemical Signatures of Malaria: A Cross-Sectional Study from a Tertiary Care Perspective. </w:t>
      </w:r>
      <w:r w:rsidRPr="00C95369">
        <w:rPr>
          <w:rFonts w:ascii="Times New Roman" w:hAnsi="Times New Roman" w:cs="Times New Roman"/>
          <w:i/>
          <w:iCs/>
          <w:sz w:val="20"/>
          <w:szCs w:val="20"/>
          <w:highlight w:val="yellow"/>
        </w:rPr>
        <w:t>TPM–Testing, Psychometrics, Methodology in Applied Psychology</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32</w:t>
      </w:r>
      <w:r w:rsidRPr="00C95369">
        <w:rPr>
          <w:rFonts w:ascii="Times New Roman" w:hAnsi="Times New Roman" w:cs="Times New Roman"/>
          <w:sz w:val="20"/>
          <w:szCs w:val="20"/>
          <w:highlight w:val="yellow"/>
        </w:rPr>
        <w:t>(S1 (2025): Posted 12 May), 1232-1237. https://tpmap.org/submission/index.php/tpm/article/view/767</w:t>
      </w:r>
    </w:p>
    <w:p w14:paraId="7C4A779A"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lastRenderedPageBreak/>
        <w:t>Mahittikorn</w:t>
      </w:r>
      <w:proofErr w:type="spellEnd"/>
      <w:r w:rsidRPr="00C95369">
        <w:rPr>
          <w:rFonts w:ascii="Times New Roman" w:hAnsi="Times New Roman" w:cs="Times New Roman"/>
          <w:sz w:val="20"/>
          <w:szCs w:val="20"/>
          <w:highlight w:val="yellow"/>
        </w:rPr>
        <w:t xml:space="preserve">, A., </w:t>
      </w:r>
      <w:proofErr w:type="spellStart"/>
      <w:r w:rsidRPr="00C95369">
        <w:rPr>
          <w:rFonts w:ascii="Times New Roman" w:hAnsi="Times New Roman" w:cs="Times New Roman"/>
          <w:sz w:val="20"/>
          <w:szCs w:val="20"/>
          <w:highlight w:val="yellow"/>
        </w:rPr>
        <w:t>Masangkay</w:t>
      </w:r>
      <w:proofErr w:type="spellEnd"/>
      <w:r w:rsidRPr="00C95369">
        <w:rPr>
          <w:rFonts w:ascii="Times New Roman" w:hAnsi="Times New Roman" w:cs="Times New Roman"/>
          <w:sz w:val="20"/>
          <w:szCs w:val="20"/>
          <w:highlight w:val="yellow"/>
        </w:rPr>
        <w:t xml:space="preserve">, F. R., </w:t>
      </w:r>
      <w:proofErr w:type="spellStart"/>
      <w:r w:rsidRPr="00C95369">
        <w:rPr>
          <w:rFonts w:ascii="Times New Roman" w:hAnsi="Times New Roman" w:cs="Times New Roman"/>
          <w:sz w:val="20"/>
          <w:szCs w:val="20"/>
          <w:highlight w:val="yellow"/>
        </w:rPr>
        <w:t>Kotepui</w:t>
      </w:r>
      <w:proofErr w:type="spellEnd"/>
      <w:r w:rsidRPr="00C95369">
        <w:rPr>
          <w:rFonts w:ascii="Times New Roman" w:hAnsi="Times New Roman" w:cs="Times New Roman"/>
          <w:sz w:val="20"/>
          <w:szCs w:val="20"/>
          <w:highlight w:val="yellow"/>
        </w:rPr>
        <w:t xml:space="preserve">, K. U., Mala, W., </w:t>
      </w:r>
      <w:proofErr w:type="spellStart"/>
      <w:r w:rsidRPr="00C95369">
        <w:rPr>
          <w:rFonts w:ascii="Times New Roman" w:hAnsi="Times New Roman" w:cs="Times New Roman"/>
          <w:sz w:val="20"/>
          <w:szCs w:val="20"/>
          <w:highlight w:val="yellow"/>
        </w:rPr>
        <w:t>Milanez</w:t>
      </w:r>
      <w:proofErr w:type="spellEnd"/>
      <w:r w:rsidRPr="00C95369">
        <w:rPr>
          <w:rFonts w:ascii="Times New Roman" w:hAnsi="Times New Roman" w:cs="Times New Roman"/>
          <w:sz w:val="20"/>
          <w:szCs w:val="20"/>
          <w:highlight w:val="yellow"/>
        </w:rPr>
        <w:t xml:space="preserve">, G. D. J., </w:t>
      </w:r>
      <w:proofErr w:type="spellStart"/>
      <w:r w:rsidRPr="00C95369">
        <w:rPr>
          <w:rFonts w:ascii="Times New Roman" w:hAnsi="Times New Roman" w:cs="Times New Roman"/>
          <w:sz w:val="20"/>
          <w:szCs w:val="20"/>
          <w:highlight w:val="yellow"/>
        </w:rPr>
        <w:t>Wilairatana</w:t>
      </w:r>
      <w:proofErr w:type="spellEnd"/>
      <w:r w:rsidRPr="00C95369">
        <w:rPr>
          <w:rFonts w:ascii="Times New Roman" w:hAnsi="Times New Roman" w:cs="Times New Roman"/>
          <w:sz w:val="20"/>
          <w:szCs w:val="20"/>
          <w:highlight w:val="yellow"/>
        </w:rPr>
        <w:t xml:space="preserve">, P., &amp; </w:t>
      </w:r>
      <w:proofErr w:type="spellStart"/>
      <w:r w:rsidRPr="00C95369">
        <w:rPr>
          <w:rFonts w:ascii="Times New Roman" w:hAnsi="Times New Roman" w:cs="Times New Roman"/>
          <w:sz w:val="20"/>
          <w:szCs w:val="20"/>
          <w:highlight w:val="yellow"/>
        </w:rPr>
        <w:t>Kotepui</w:t>
      </w:r>
      <w:proofErr w:type="spellEnd"/>
      <w:r w:rsidRPr="00C95369">
        <w:rPr>
          <w:rFonts w:ascii="Times New Roman" w:hAnsi="Times New Roman" w:cs="Times New Roman"/>
          <w:sz w:val="20"/>
          <w:szCs w:val="20"/>
          <w:highlight w:val="yellow"/>
        </w:rPr>
        <w:t>, M. (2021). Alteration of platelet count in patients with severe non-Plasmodium falciparum malaria: a systematic review and meta-analysis. </w:t>
      </w:r>
      <w:r w:rsidRPr="00C95369">
        <w:rPr>
          <w:rFonts w:ascii="Times New Roman" w:hAnsi="Times New Roman" w:cs="Times New Roman"/>
          <w:i/>
          <w:iCs/>
          <w:sz w:val="20"/>
          <w:szCs w:val="20"/>
          <w:highlight w:val="yellow"/>
        </w:rPr>
        <w:t>Biology</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10</w:t>
      </w:r>
      <w:r w:rsidRPr="00C95369">
        <w:rPr>
          <w:rFonts w:ascii="Times New Roman" w:hAnsi="Times New Roman" w:cs="Times New Roman"/>
          <w:sz w:val="20"/>
          <w:szCs w:val="20"/>
          <w:highlight w:val="yellow"/>
        </w:rPr>
        <w:t>(12), 1275. https://doi.org/10.3390/biology10121275</w:t>
      </w:r>
    </w:p>
    <w:p w14:paraId="4FDB3A04"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Mutala</w:t>
      </w:r>
      <w:proofErr w:type="spellEnd"/>
      <w:r w:rsidRPr="00C95369">
        <w:rPr>
          <w:rFonts w:ascii="Times New Roman" w:hAnsi="Times New Roman" w:cs="Times New Roman"/>
          <w:sz w:val="20"/>
          <w:szCs w:val="20"/>
          <w:highlight w:val="yellow"/>
        </w:rPr>
        <w:t xml:space="preserve">, A. H., Badu, K., Owusu, C., </w:t>
      </w:r>
      <w:proofErr w:type="spellStart"/>
      <w:r w:rsidRPr="00C95369">
        <w:rPr>
          <w:rFonts w:ascii="Times New Roman" w:hAnsi="Times New Roman" w:cs="Times New Roman"/>
          <w:sz w:val="20"/>
          <w:szCs w:val="20"/>
          <w:highlight w:val="yellow"/>
        </w:rPr>
        <w:t>Agordzo</w:t>
      </w:r>
      <w:proofErr w:type="spellEnd"/>
      <w:r w:rsidRPr="00C95369">
        <w:rPr>
          <w:rFonts w:ascii="Times New Roman" w:hAnsi="Times New Roman" w:cs="Times New Roman"/>
          <w:sz w:val="20"/>
          <w:szCs w:val="20"/>
          <w:highlight w:val="yellow"/>
        </w:rPr>
        <w:t xml:space="preserve">, S. K., </w:t>
      </w:r>
      <w:proofErr w:type="spellStart"/>
      <w:r w:rsidRPr="00C95369">
        <w:rPr>
          <w:rFonts w:ascii="Times New Roman" w:hAnsi="Times New Roman" w:cs="Times New Roman"/>
          <w:sz w:val="20"/>
          <w:szCs w:val="20"/>
          <w:highlight w:val="yellow"/>
        </w:rPr>
        <w:t>Tweneboah</w:t>
      </w:r>
      <w:proofErr w:type="spellEnd"/>
      <w:r w:rsidRPr="00C95369">
        <w:rPr>
          <w:rFonts w:ascii="Times New Roman" w:hAnsi="Times New Roman" w:cs="Times New Roman"/>
          <w:sz w:val="20"/>
          <w:szCs w:val="20"/>
          <w:highlight w:val="yellow"/>
        </w:rPr>
        <w:t xml:space="preserve">, A., Abbas, D. A., &amp; Addo, M. G. (2020). Impact of malaria on </w:t>
      </w:r>
      <w:proofErr w:type="spellStart"/>
      <w:r w:rsidRPr="00C95369">
        <w:rPr>
          <w:rFonts w:ascii="Times New Roman" w:hAnsi="Times New Roman" w:cs="Times New Roman"/>
          <w:sz w:val="20"/>
          <w:szCs w:val="20"/>
          <w:highlight w:val="yellow"/>
        </w:rPr>
        <w:t>haematological</w:t>
      </w:r>
      <w:proofErr w:type="spellEnd"/>
      <w:r w:rsidRPr="00C95369">
        <w:rPr>
          <w:rFonts w:ascii="Times New Roman" w:hAnsi="Times New Roman" w:cs="Times New Roman"/>
          <w:sz w:val="20"/>
          <w:szCs w:val="20"/>
          <w:highlight w:val="yellow"/>
        </w:rPr>
        <w:t xml:space="preserve"> parameters of urban, peri-urban and rural residents in the Ashanti region of Ghana: a cross-sectional study. </w:t>
      </w:r>
      <w:r w:rsidRPr="00C95369">
        <w:rPr>
          <w:rFonts w:ascii="Times New Roman" w:hAnsi="Times New Roman" w:cs="Times New Roman"/>
          <w:i/>
          <w:iCs/>
          <w:sz w:val="20"/>
          <w:szCs w:val="20"/>
          <w:highlight w:val="yellow"/>
        </w:rPr>
        <w:t>AAS Open Research</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w:t>
      </w:r>
      <w:r w:rsidRPr="00C95369">
        <w:rPr>
          <w:rFonts w:ascii="Times New Roman" w:hAnsi="Times New Roman" w:cs="Times New Roman"/>
          <w:sz w:val="20"/>
          <w:szCs w:val="20"/>
          <w:highlight w:val="yellow"/>
        </w:rPr>
        <w:t>, 27. https://doi.org/10.12688/aasopenres.12979.3</w:t>
      </w:r>
    </w:p>
    <w:p w14:paraId="284D9B06"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Naser, R. H., </w:t>
      </w:r>
      <w:proofErr w:type="spellStart"/>
      <w:r w:rsidRPr="00C95369">
        <w:rPr>
          <w:rFonts w:ascii="Times New Roman" w:hAnsi="Times New Roman" w:cs="Times New Roman"/>
          <w:sz w:val="20"/>
          <w:szCs w:val="20"/>
          <w:highlight w:val="yellow"/>
        </w:rPr>
        <w:t>Rajaii</w:t>
      </w:r>
      <w:proofErr w:type="spellEnd"/>
      <w:r w:rsidRPr="00C95369">
        <w:rPr>
          <w:rFonts w:ascii="Times New Roman" w:hAnsi="Times New Roman" w:cs="Times New Roman"/>
          <w:sz w:val="20"/>
          <w:szCs w:val="20"/>
          <w:highlight w:val="yellow"/>
        </w:rPr>
        <w:t xml:space="preserve">, T., </w:t>
      </w:r>
      <w:proofErr w:type="spellStart"/>
      <w:r w:rsidRPr="00C95369">
        <w:rPr>
          <w:rFonts w:ascii="Times New Roman" w:hAnsi="Times New Roman" w:cs="Times New Roman"/>
          <w:sz w:val="20"/>
          <w:szCs w:val="20"/>
          <w:highlight w:val="yellow"/>
        </w:rPr>
        <w:t>Farash</w:t>
      </w:r>
      <w:proofErr w:type="spellEnd"/>
      <w:r w:rsidRPr="00C95369">
        <w:rPr>
          <w:rFonts w:ascii="Times New Roman" w:hAnsi="Times New Roman" w:cs="Times New Roman"/>
          <w:sz w:val="20"/>
          <w:szCs w:val="20"/>
          <w:highlight w:val="yellow"/>
        </w:rPr>
        <w:t xml:space="preserve">, B. R. H., </w:t>
      </w:r>
      <w:proofErr w:type="spellStart"/>
      <w:r w:rsidRPr="00C95369">
        <w:rPr>
          <w:rFonts w:ascii="Times New Roman" w:hAnsi="Times New Roman" w:cs="Times New Roman"/>
          <w:sz w:val="20"/>
          <w:szCs w:val="20"/>
          <w:highlight w:val="yellow"/>
        </w:rPr>
        <w:t>javad</w:t>
      </w:r>
      <w:proofErr w:type="spellEnd"/>
      <w:r w:rsidRPr="00C95369">
        <w:rPr>
          <w:rFonts w:ascii="Times New Roman" w:hAnsi="Times New Roman" w:cs="Times New Roman"/>
          <w:sz w:val="20"/>
          <w:szCs w:val="20"/>
          <w:highlight w:val="yellow"/>
        </w:rPr>
        <w:t xml:space="preserve"> </w:t>
      </w:r>
      <w:proofErr w:type="spellStart"/>
      <w:r w:rsidRPr="00C95369">
        <w:rPr>
          <w:rFonts w:ascii="Times New Roman" w:hAnsi="Times New Roman" w:cs="Times New Roman"/>
          <w:sz w:val="20"/>
          <w:szCs w:val="20"/>
          <w:highlight w:val="yellow"/>
        </w:rPr>
        <w:t>Seyyedtabaei</w:t>
      </w:r>
      <w:proofErr w:type="spellEnd"/>
      <w:r w:rsidRPr="00C95369">
        <w:rPr>
          <w:rFonts w:ascii="Times New Roman" w:hAnsi="Times New Roman" w:cs="Times New Roman"/>
          <w:sz w:val="20"/>
          <w:szCs w:val="20"/>
          <w:highlight w:val="yellow"/>
        </w:rPr>
        <w:t xml:space="preserve">, S., </w:t>
      </w:r>
      <w:proofErr w:type="spellStart"/>
      <w:r w:rsidRPr="00C95369">
        <w:rPr>
          <w:rFonts w:ascii="Times New Roman" w:hAnsi="Times New Roman" w:cs="Times New Roman"/>
          <w:sz w:val="20"/>
          <w:szCs w:val="20"/>
          <w:highlight w:val="yellow"/>
        </w:rPr>
        <w:t>Hajali</w:t>
      </w:r>
      <w:proofErr w:type="spellEnd"/>
      <w:r w:rsidRPr="00C95369">
        <w:rPr>
          <w:rFonts w:ascii="Times New Roman" w:hAnsi="Times New Roman" w:cs="Times New Roman"/>
          <w:sz w:val="20"/>
          <w:szCs w:val="20"/>
          <w:highlight w:val="yellow"/>
        </w:rPr>
        <w:t xml:space="preserve">, V., </w:t>
      </w:r>
      <w:proofErr w:type="spellStart"/>
      <w:r w:rsidRPr="00C95369">
        <w:rPr>
          <w:rFonts w:ascii="Times New Roman" w:hAnsi="Times New Roman" w:cs="Times New Roman"/>
          <w:sz w:val="20"/>
          <w:szCs w:val="20"/>
          <w:highlight w:val="yellow"/>
        </w:rPr>
        <w:t>Sadabadi</w:t>
      </w:r>
      <w:proofErr w:type="spellEnd"/>
      <w:r w:rsidRPr="00C95369">
        <w:rPr>
          <w:rFonts w:ascii="Times New Roman" w:hAnsi="Times New Roman" w:cs="Times New Roman"/>
          <w:sz w:val="20"/>
          <w:szCs w:val="20"/>
          <w:highlight w:val="yellow"/>
        </w:rPr>
        <w:t>, F., &amp; Saburi, E. (2024). Hematological changes due to malaria–An update. </w:t>
      </w:r>
      <w:r w:rsidRPr="00C95369">
        <w:rPr>
          <w:rFonts w:ascii="Times New Roman" w:hAnsi="Times New Roman" w:cs="Times New Roman"/>
          <w:i/>
          <w:iCs/>
          <w:sz w:val="20"/>
          <w:szCs w:val="20"/>
          <w:highlight w:val="yellow"/>
        </w:rPr>
        <w:t>Molecular and biochemical parasitology</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259</w:t>
      </w:r>
      <w:r w:rsidRPr="00C95369">
        <w:rPr>
          <w:rFonts w:ascii="Times New Roman" w:hAnsi="Times New Roman" w:cs="Times New Roman"/>
          <w:sz w:val="20"/>
          <w:szCs w:val="20"/>
          <w:highlight w:val="yellow"/>
        </w:rPr>
        <w:t>, 111635. https://doi.org/10.1016/j.molbiopara.2024.111635</w:t>
      </w:r>
    </w:p>
    <w:p w14:paraId="4440FA6A"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Njewa</w:t>
      </w:r>
      <w:proofErr w:type="spellEnd"/>
      <w:r w:rsidRPr="00C95369">
        <w:rPr>
          <w:rFonts w:ascii="Times New Roman" w:hAnsi="Times New Roman" w:cs="Times New Roman"/>
          <w:sz w:val="20"/>
          <w:szCs w:val="20"/>
          <w:highlight w:val="yellow"/>
        </w:rPr>
        <w:t xml:space="preserve">, B., </w:t>
      </w:r>
      <w:proofErr w:type="spellStart"/>
      <w:r w:rsidRPr="00C95369">
        <w:rPr>
          <w:rFonts w:ascii="Times New Roman" w:hAnsi="Times New Roman" w:cs="Times New Roman"/>
          <w:sz w:val="20"/>
          <w:szCs w:val="20"/>
          <w:highlight w:val="yellow"/>
        </w:rPr>
        <w:t>Eyong</w:t>
      </w:r>
      <w:proofErr w:type="spellEnd"/>
      <w:r w:rsidRPr="00C95369">
        <w:rPr>
          <w:rFonts w:ascii="Times New Roman" w:hAnsi="Times New Roman" w:cs="Times New Roman"/>
          <w:sz w:val="20"/>
          <w:szCs w:val="20"/>
          <w:highlight w:val="yellow"/>
        </w:rPr>
        <w:t xml:space="preserve">, E. E. J., &amp; </w:t>
      </w:r>
      <w:proofErr w:type="spellStart"/>
      <w:r w:rsidRPr="00C95369">
        <w:rPr>
          <w:rFonts w:ascii="Times New Roman" w:hAnsi="Times New Roman" w:cs="Times New Roman"/>
          <w:sz w:val="20"/>
          <w:szCs w:val="20"/>
          <w:highlight w:val="yellow"/>
        </w:rPr>
        <w:t>Ebai</w:t>
      </w:r>
      <w:proofErr w:type="spellEnd"/>
      <w:r w:rsidRPr="00C95369">
        <w:rPr>
          <w:rFonts w:ascii="Times New Roman" w:hAnsi="Times New Roman" w:cs="Times New Roman"/>
          <w:sz w:val="20"/>
          <w:szCs w:val="20"/>
          <w:highlight w:val="yellow"/>
        </w:rPr>
        <w:t xml:space="preserve">, C. B. (2024). Malaria </w:t>
      </w:r>
      <w:proofErr w:type="spellStart"/>
      <w:r w:rsidRPr="00C95369">
        <w:rPr>
          <w:rFonts w:ascii="Times New Roman" w:hAnsi="Times New Roman" w:cs="Times New Roman"/>
          <w:sz w:val="20"/>
          <w:szCs w:val="20"/>
          <w:highlight w:val="yellow"/>
        </w:rPr>
        <w:t>parasitaemia</w:t>
      </w:r>
      <w:proofErr w:type="spellEnd"/>
      <w:r w:rsidRPr="00C95369">
        <w:rPr>
          <w:rFonts w:ascii="Times New Roman" w:hAnsi="Times New Roman" w:cs="Times New Roman"/>
          <w:sz w:val="20"/>
          <w:szCs w:val="20"/>
          <w:highlight w:val="yellow"/>
        </w:rPr>
        <w:t xml:space="preserve"> and its impact on biological parameters among children&lt; 16 years old attending the </w:t>
      </w:r>
      <w:proofErr w:type="spellStart"/>
      <w:r w:rsidRPr="00C95369">
        <w:rPr>
          <w:rFonts w:ascii="Times New Roman" w:hAnsi="Times New Roman" w:cs="Times New Roman"/>
          <w:sz w:val="20"/>
          <w:szCs w:val="20"/>
          <w:highlight w:val="yellow"/>
        </w:rPr>
        <w:t>Nkwen</w:t>
      </w:r>
      <w:proofErr w:type="spellEnd"/>
      <w:r w:rsidRPr="00C95369">
        <w:rPr>
          <w:rFonts w:ascii="Times New Roman" w:hAnsi="Times New Roman" w:cs="Times New Roman"/>
          <w:sz w:val="20"/>
          <w:szCs w:val="20"/>
          <w:highlight w:val="yellow"/>
        </w:rPr>
        <w:t xml:space="preserve"> District Hospital, Cameroon. </w:t>
      </w:r>
      <w:proofErr w:type="spellStart"/>
      <w:r w:rsidRPr="00C95369">
        <w:rPr>
          <w:rFonts w:ascii="Times New Roman" w:hAnsi="Times New Roman" w:cs="Times New Roman"/>
          <w:i/>
          <w:iCs/>
          <w:sz w:val="20"/>
          <w:szCs w:val="20"/>
          <w:highlight w:val="yellow"/>
        </w:rPr>
        <w:t>MalariaWorld</w:t>
      </w:r>
      <w:proofErr w:type="spellEnd"/>
      <w:r w:rsidRPr="00C95369">
        <w:rPr>
          <w:rFonts w:ascii="Times New Roman" w:hAnsi="Times New Roman" w:cs="Times New Roman"/>
          <w:i/>
          <w:iCs/>
          <w:sz w:val="20"/>
          <w:szCs w:val="20"/>
          <w:highlight w:val="yellow"/>
        </w:rPr>
        <w:t xml:space="preserve"> Journal</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15</w:t>
      </w:r>
      <w:r w:rsidRPr="00C95369">
        <w:rPr>
          <w:rFonts w:ascii="Times New Roman" w:hAnsi="Times New Roman" w:cs="Times New Roman"/>
          <w:sz w:val="20"/>
          <w:szCs w:val="20"/>
          <w:highlight w:val="yellow"/>
        </w:rPr>
        <w:t>, 3. https://doi.org/10.5281/zenodo.10731943</w:t>
      </w:r>
    </w:p>
    <w:p w14:paraId="0BD3880E"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Nundu</w:t>
      </w:r>
      <w:proofErr w:type="spellEnd"/>
      <w:r w:rsidRPr="00C95369">
        <w:rPr>
          <w:rFonts w:ascii="Times New Roman" w:hAnsi="Times New Roman" w:cs="Times New Roman"/>
          <w:sz w:val="20"/>
          <w:szCs w:val="20"/>
          <w:highlight w:val="yellow"/>
        </w:rPr>
        <w:t xml:space="preserve">, S. S., Culleton, R., Simpson, S. V., Arima, H., </w:t>
      </w:r>
      <w:proofErr w:type="spellStart"/>
      <w:r w:rsidRPr="00C95369">
        <w:rPr>
          <w:rFonts w:ascii="Times New Roman" w:hAnsi="Times New Roman" w:cs="Times New Roman"/>
          <w:sz w:val="20"/>
          <w:szCs w:val="20"/>
          <w:highlight w:val="yellow"/>
        </w:rPr>
        <w:t>Muyembe</w:t>
      </w:r>
      <w:proofErr w:type="spellEnd"/>
      <w:r w:rsidRPr="00C95369">
        <w:rPr>
          <w:rFonts w:ascii="Times New Roman" w:hAnsi="Times New Roman" w:cs="Times New Roman"/>
          <w:sz w:val="20"/>
          <w:szCs w:val="20"/>
          <w:highlight w:val="yellow"/>
        </w:rPr>
        <w:t xml:space="preserve">, J. J., </w:t>
      </w:r>
      <w:proofErr w:type="spellStart"/>
      <w:r w:rsidRPr="00C95369">
        <w:rPr>
          <w:rFonts w:ascii="Times New Roman" w:hAnsi="Times New Roman" w:cs="Times New Roman"/>
          <w:sz w:val="20"/>
          <w:szCs w:val="20"/>
          <w:highlight w:val="yellow"/>
        </w:rPr>
        <w:t>Mita</w:t>
      </w:r>
      <w:proofErr w:type="spellEnd"/>
      <w:r w:rsidRPr="00C95369">
        <w:rPr>
          <w:rFonts w:ascii="Times New Roman" w:hAnsi="Times New Roman" w:cs="Times New Roman"/>
          <w:sz w:val="20"/>
          <w:szCs w:val="20"/>
          <w:highlight w:val="yellow"/>
        </w:rPr>
        <w:t>, T., ... &amp; Yamamoto, T. (2021). Malaria parasite species composition of Plasmodium infections among asymptomatic and symptomatic school-age children in rural and urban areas of Kinshasa, Democratic Republic of Congo. </w:t>
      </w:r>
      <w:r w:rsidRPr="00C95369">
        <w:rPr>
          <w:rFonts w:ascii="Times New Roman" w:hAnsi="Times New Roman" w:cs="Times New Roman"/>
          <w:i/>
          <w:iCs/>
          <w:sz w:val="20"/>
          <w:szCs w:val="20"/>
          <w:highlight w:val="yellow"/>
        </w:rPr>
        <w:t>Malaria journal</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20</w:t>
      </w:r>
      <w:r w:rsidRPr="00C95369">
        <w:rPr>
          <w:rFonts w:ascii="Times New Roman" w:hAnsi="Times New Roman" w:cs="Times New Roman"/>
          <w:sz w:val="20"/>
          <w:szCs w:val="20"/>
          <w:highlight w:val="yellow"/>
        </w:rPr>
        <w:t>(1), 389. https://doi.org/10.1186/s12936-021-03919-4</w:t>
      </w:r>
    </w:p>
    <w:p w14:paraId="4D1748DE"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Nwaneri</w:t>
      </w:r>
      <w:proofErr w:type="spellEnd"/>
      <w:r w:rsidRPr="00C95369">
        <w:rPr>
          <w:rFonts w:ascii="Times New Roman" w:hAnsi="Times New Roman" w:cs="Times New Roman"/>
          <w:sz w:val="20"/>
          <w:szCs w:val="20"/>
          <w:highlight w:val="yellow"/>
        </w:rPr>
        <w:t xml:space="preserve">, D., Oladipo, O., </w:t>
      </w:r>
      <w:proofErr w:type="spellStart"/>
      <w:r w:rsidRPr="00C95369">
        <w:rPr>
          <w:rFonts w:ascii="Times New Roman" w:hAnsi="Times New Roman" w:cs="Times New Roman"/>
          <w:sz w:val="20"/>
          <w:szCs w:val="20"/>
          <w:highlight w:val="yellow"/>
        </w:rPr>
        <w:t>Ifebi</w:t>
      </w:r>
      <w:proofErr w:type="spellEnd"/>
      <w:r w:rsidRPr="00C95369">
        <w:rPr>
          <w:rFonts w:ascii="Times New Roman" w:hAnsi="Times New Roman" w:cs="Times New Roman"/>
          <w:sz w:val="20"/>
          <w:szCs w:val="20"/>
          <w:highlight w:val="yellow"/>
        </w:rPr>
        <w:t xml:space="preserve">, E., </w:t>
      </w:r>
      <w:proofErr w:type="spellStart"/>
      <w:r w:rsidRPr="00C95369">
        <w:rPr>
          <w:rFonts w:ascii="Times New Roman" w:hAnsi="Times New Roman" w:cs="Times New Roman"/>
          <w:sz w:val="20"/>
          <w:szCs w:val="20"/>
          <w:highlight w:val="yellow"/>
        </w:rPr>
        <w:t>Oviawe</w:t>
      </w:r>
      <w:proofErr w:type="spellEnd"/>
      <w:r w:rsidRPr="00C95369">
        <w:rPr>
          <w:rFonts w:ascii="Times New Roman" w:hAnsi="Times New Roman" w:cs="Times New Roman"/>
          <w:sz w:val="20"/>
          <w:szCs w:val="20"/>
          <w:highlight w:val="yellow"/>
        </w:rPr>
        <w:t xml:space="preserve">, O., </w:t>
      </w:r>
      <w:proofErr w:type="spellStart"/>
      <w:r w:rsidRPr="00C95369">
        <w:rPr>
          <w:rFonts w:ascii="Times New Roman" w:hAnsi="Times New Roman" w:cs="Times New Roman"/>
          <w:sz w:val="20"/>
          <w:szCs w:val="20"/>
          <w:highlight w:val="yellow"/>
        </w:rPr>
        <w:t>Asemota</w:t>
      </w:r>
      <w:proofErr w:type="spellEnd"/>
      <w:r w:rsidRPr="00C95369">
        <w:rPr>
          <w:rFonts w:ascii="Times New Roman" w:hAnsi="Times New Roman" w:cs="Times New Roman"/>
          <w:sz w:val="20"/>
          <w:szCs w:val="20"/>
          <w:highlight w:val="yellow"/>
        </w:rPr>
        <w:t xml:space="preserve">, O., </w:t>
      </w:r>
      <w:proofErr w:type="spellStart"/>
      <w:r w:rsidRPr="00C95369">
        <w:rPr>
          <w:rFonts w:ascii="Times New Roman" w:hAnsi="Times New Roman" w:cs="Times New Roman"/>
          <w:sz w:val="20"/>
          <w:szCs w:val="20"/>
          <w:highlight w:val="yellow"/>
        </w:rPr>
        <w:t>Ogboghodo</w:t>
      </w:r>
      <w:proofErr w:type="spellEnd"/>
      <w:r w:rsidRPr="00C95369">
        <w:rPr>
          <w:rFonts w:ascii="Times New Roman" w:hAnsi="Times New Roman" w:cs="Times New Roman"/>
          <w:sz w:val="20"/>
          <w:szCs w:val="20"/>
          <w:highlight w:val="yellow"/>
        </w:rPr>
        <w:t xml:space="preserve">, B., ... &amp; </w:t>
      </w:r>
      <w:proofErr w:type="spellStart"/>
      <w:r w:rsidRPr="00C95369">
        <w:rPr>
          <w:rFonts w:ascii="Times New Roman" w:hAnsi="Times New Roman" w:cs="Times New Roman"/>
          <w:sz w:val="20"/>
          <w:szCs w:val="20"/>
          <w:highlight w:val="yellow"/>
        </w:rPr>
        <w:t>Sadoh</w:t>
      </w:r>
      <w:proofErr w:type="spellEnd"/>
      <w:r w:rsidRPr="00C95369">
        <w:rPr>
          <w:rFonts w:ascii="Times New Roman" w:hAnsi="Times New Roman" w:cs="Times New Roman"/>
          <w:sz w:val="20"/>
          <w:szCs w:val="20"/>
          <w:highlight w:val="yellow"/>
        </w:rPr>
        <w:t xml:space="preserve">, A. (2020). </w:t>
      </w:r>
      <w:proofErr w:type="spellStart"/>
      <w:r w:rsidRPr="00C95369">
        <w:rPr>
          <w:rFonts w:ascii="Times New Roman" w:hAnsi="Times New Roman" w:cs="Times New Roman"/>
          <w:sz w:val="20"/>
          <w:szCs w:val="20"/>
          <w:highlight w:val="yellow"/>
        </w:rPr>
        <w:t>Haematological</w:t>
      </w:r>
      <w:proofErr w:type="spellEnd"/>
      <w:r w:rsidRPr="00C95369">
        <w:rPr>
          <w:rFonts w:ascii="Times New Roman" w:hAnsi="Times New Roman" w:cs="Times New Roman"/>
          <w:sz w:val="20"/>
          <w:szCs w:val="20"/>
          <w:highlight w:val="yellow"/>
        </w:rPr>
        <w:t xml:space="preserve"> parameters and spleen rate of asymptomatic and malaria negative children in Edo south district, Nigeria. </w:t>
      </w:r>
      <w:r w:rsidRPr="00C95369">
        <w:rPr>
          <w:rFonts w:ascii="Times New Roman" w:hAnsi="Times New Roman" w:cs="Times New Roman"/>
          <w:i/>
          <w:iCs/>
          <w:sz w:val="20"/>
          <w:szCs w:val="20"/>
          <w:highlight w:val="yellow"/>
        </w:rPr>
        <w:t>Annals of Global Health</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86</w:t>
      </w:r>
      <w:r w:rsidRPr="00C95369">
        <w:rPr>
          <w:rFonts w:ascii="Times New Roman" w:hAnsi="Times New Roman" w:cs="Times New Roman"/>
          <w:sz w:val="20"/>
          <w:szCs w:val="20"/>
          <w:highlight w:val="yellow"/>
        </w:rPr>
        <w:t>(1), 62. https://doi.org/10.5334/aogh.2458</w:t>
      </w:r>
    </w:p>
    <w:p w14:paraId="115346F1"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Obiorah</w:t>
      </w:r>
      <w:proofErr w:type="spellEnd"/>
      <w:r w:rsidRPr="00C95369">
        <w:rPr>
          <w:rFonts w:ascii="Times New Roman" w:hAnsi="Times New Roman" w:cs="Times New Roman"/>
          <w:sz w:val="20"/>
          <w:szCs w:val="20"/>
          <w:highlight w:val="yellow"/>
        </w:rPr>
        <w:t xml:space="preserve">, C. S., </w:t>
      </w:r>
      <w:proofErr w:type="spellStart"/>
      <w:r w:rsidRPr="00C95369">
        <w:rPr>
          <w:rFonts w:ascii="Times New Roman" w:hAnsi="Times New Roman" w:cs="Times New Roman"/>
          <w:sz w:val="20"/>
          <w:szCs w:val="20"/>
          <w:highlight w:val="yellow"/>
        </w:rPr>
        <w:t>Elkanah</w:t>
      </w:r>
      <w:proofErr w:type="spellEnd"/>
      <w:r w:rsidRPr="00C95369">
        <w:rPr>
          <w:rFonts w:ascii="Times New Roman" w:hAnsi="Times New Roman" w:cs="Times New Roman"/>
          <w:sz w:val="20"/>
          <w:szCs w:val="20"/>
          <w:highlight w:val="yellow"/>
        </w:rPr>
        <w:t xml:space="preserve">, O. S., </w:t>
      </w:r>
      <w:proofErr w:type="spellStart"/>
      <w:r w:rsidRPr="00C95369">
        <w:rPr>
          <w:rFonts w:ascii="Times New Roman" w:hAnsi="Times New Roman" w:cs="Times New Roman"/>
          <w:sz w:val="20"/>
          <w:szCs w:val="20"/>
          <w:highlight w:val="yellow"/>
        </w:rPr>
        <w:t>Kela</w:t>
      </w:r>
      <w:proofErr w:type="spellEnd"/>
      <w:r w:rsidRPr="00C95369">
        <w:rPr>
          <w:rFonts w:ascii="Times New Roman" w:hAnsi="Times New Roman" w:cs="Times New Roman"/>
          <w:sz w:val="20"/>
          <w:szCs w:val="20"/>
          <w:highlight w:val="yellow"/>
        </w:rPr>
        <w:t xml:space="preserve">, S. L., </w:t>
      </w:r>
      <w:proofErr w:type="spellStart"/>
      <w:r w:rsidRPr="00C95369">
        <w:rPr>
          <w:rFonts w:ascii="Times New Roman" w:hAnsi="Times New Roman" w:cs="Times New Roman"/>
          <w:sz w:val="20"/>
          <w:szCs w:val="20"/>
          <w:highlight w:val="yellow"/>
        </w:rPr>
        <w:t>Barka</w:t>
      </w:r>
      <w:proofErr w:type="spellEnd"/>
      <w:r w:rsidRPr="00C95369">
        <w:rPr>
          <w:rFonts w:ascii="Times New Roman" w:hAnsi="Times New Roman" w:cs="Times New Roman"/>
          <w:sz w:val="20"/>
          <w:szCs w:val="20"/>
          <w:highlight w:val="yellow"/>
        </w:rPr>
        <w:t xml:space="preserve">, J. S., Christopher, P. N., &amp; </w:t>
      </w:r>
      <w:proofErr w:type="spellStart"/>
      <w:r w:rsidRPr="00C95369">
        <w:rPr>
          <w:rFonts w:ascii="Times New Roman" w:hAnsi="Times New Roman" w:cs="Times New Roman"/>
          <w:sz w:val="20"/>
          <w:szCs w:val="20"/>
          <w:highlight w:val="yellow"/>
        </w:rPr>
        <w:t>Onyeuku</w:t>
      </w:r>
      <w:proofErr w:type="spellEnd"/>
      <w:r w:rsidRPr="00C95369">
        <w:rPr>
          <w:rFonts w:ascii="Times New Roman" w:hAnsi="Times New Roman" w:cs="Times New Roman"/>
          <w:sz w:val="20"/>
          <w:szCs w:val="20"/>
          <w:highlight w:val="yellow"/>
        </w:rPr>
        <w:t>, O. C. Biochemical and Hematological Derangement in Plasmodium falciparum Infected Patients Attending Health Facilities in Northern Taraba State, Nigeria. https://doi.org/10.52403/ijrr.20240828</w:t>
      </w:r>
    </w:p>
    <w:p w14:paraId="42D53A4E"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Okafor, I., </w:t>
      </w:r>
      <w:proofErr w:type="spellStart"/>
      <w:r w:rsidRPr="00C95369">
        <w:rPr>
          <w:rFonts w:ascii="Times New Roman" w:hAnsi="Times New Roman" w:cs="Times New Roman"/>
          <w:sz w:val="20"/>
          <w:szCs w:val="20"/>
          <w:highlight w:val="yellow"/>
        </w:rPr>
        <w:t>Odey</w:t>
      </w:r>
      <w:proofErr w:type="spellEnd"/>
      <w:r w:rsidRPr="00C95369">
        <w:rPr>
          <w:rFonts w:ascii="Times New Roman" w:hAnsi="Times New Roman" w:cs="Times New Roman"/>
          <w:sz w:val="20"/>
          <w:szCs w:val="20"/>
          <w:highlight w:val="yellow"/>
        </w:rPr>
        <w:t xml:space="preserve">, O. J., </w:t>
      </w:r>
      <w:proofErr w:type="spellStart"/>
      <w:r w:rsidRPr="00C95369">
        <w:rPr>
          <w:rFonts w:ascii="Times New Roman" w:hAnsi="Times New Roman" w:cs="Times New Roman"/>
          <w:sz w:val="20"/>
          <w:szCs w:val="20"/>
          <w:highlight w:val="yellow"/>
        </w:rPr>
        <w:t>Njar</w:t>
      </w:r>
      <w:proofErr w:type="spellEnd"/>
      <w:r w:rsidRPr="00C95369">
        <w:rPr>
          <w:rFonts w:ascii="Times New Roman" w:hAnsi="Times New Roman" w:cs="Times New Roman"/>
          <w:sz w:val="20"/>
          <w:szCs w:val="20"/>
          <w:highlight w:val="yellow"/>
        </w:rPr>
        <w:t xml:space="preserve">, V. E., &amp; </w:t>
      </w:r>
      <w:proofErr w:type="spellStart"/>
      <w:r w:rsidRPr="00C95369">
        <w:rPr>
          <w:rFonts w:ascii="Times New Roman" w:hAnsi="Times New Roman" w:cs="Times New Roman"/>
          <w:sz w:val="20"/>
          <w:szCs w:val="20"/>
          <w:highlight w:val="yellow"/>
        </w:rPr>
        <w:t>Emechebe</w:t>
      </w:r>
      <w:proofErr w:type="spellEnd"/>
      <w:r w:rsidRPr="00C95369">
        <w:rPr>
          <w:rFonts w:ascii="Times New Roman" w:hAnsi="Times New Roman" w:cs="Times New Roman"/>
          <w:sz w:val="20"/>
          <w:szCs w:val="20"/>
          <w:highlight w:val="yellow"/>
        </w:rPr>
        <w:t>, C. (2024). Serum Iron, Total Iron Binding Capacity and Malaria Parasite Density of Pregnant Women with Asymptomatic Malaria Parasite Infection Attending Ante-Natal Clinic at A Tertiary Hospital in Calabar, Nigeria. </w:t>
      </w:r>
      <w:r w:rsidRPr="00C95369">
        <w:rPr>
          <w:rFonts w:ascii="Times New Roman" w:hAnsi="Times New Roman" w:cs="Times New Roman"/>
          <w:i/>
          <w:iCs/>
          <w:sz w:val="20"/>
          <w:szCs w:val="20"/>
          <w:highlight w:val="yellow"/>
        </w:rPr>
        <w:t>AJFMED</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3</w:t>
      </w:r>
      <w:r w:rsidRPr="00C95369">
        <w:rPr>
          <w:rFonts w:ascii="Times New Roman" w:hAnsi="Times New Roman" w:cs="Times New Roman"/>
          <w:sz w:val="20"/>
          <w:szCs w:val="20"/>
          <w:highlight w:val="yellow"/>
        </w:rPr>
        <w:t>(2), 84-90. https://ajfmed.com/index.php/ajfm/article/view/74</w:t>
      </w:r>
    </w:p>
    <w:p w14:paraId="092AA95E"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lastRenderedPageBreak/>
        <w:t>Okon</w:t>
      </w:r>
      <w:proofErr w:type="spellEnd"/>
      <w:r w:rsidRPr="00C95369">
        <w:rPr>
          <w:rFonts w:ascii="Times New Roman" w:hAnsi="Times New Roman" w:cs="Times New Roman"/>
          <w:sz w:val="20"/>
          <w:szCs w:val="20"/>
          <w:highlight w:val="yellow"/>
        </w:rPr>
        <w:t xml:space="preserve">, A. U., </w:t>
      </w:r>
      <w:proofErr w:type="spellStart"/>
      <w:r w:rsidRPr="00C95369">
        <w:rPr>
          <w:rFonts w:ascii="Times New Roman" w:hAnsi="Times New Roman" w:cs="Times New Roman"/>
          <w:sz w:val="20"/>
          <w:szCs w:val="20"/>
          <w:highlight w:val="yellow"/>
        </w:rPr>
        <w:t>Eze</w:t>
      </w:r>
      <w:proofErr w:type="spellEnd"/>
      <w:r w:rsidRPr="00C95369">
        <w:rPr>
          <w:rFonts w:ascii="Times New Roman" w:hAnsi="Times New Roman" w:cs="Times New Roman"/>
          <w:sz w:val="20"/>
          <w:szCs w:val="20"/>
          <w:highlight w:val="yellow"/>
        </w:rPr>
        <w:t xml:space="preserve">, B. I., Emmanuel, U. A., Marcus, I. W., &amp; </w:t>
      </w:r>
      <w:proofErr w:type="spellStart"/>
      <w:r w:rsidRPr="00C95369">
        <w:rPr>
          <w:rFonts w:ascii="Times New Roman" w:hAnsi="Times New Roman" w:cs="Times New Roman"/>
          <w:sz w:val="20"/>
          <w:szCs w:val="20"/>
          <w:highlight w:val="yellow"/>
        </w:rPr>
        <w:t>Adanna</w:t>
      </w:r>
      <w:proofErr w:type="spellEnd"/>
      <w:r w:rsidRPr="00C95369">
        <w:rPr>
          <w:rFonts w:ascii="Times New Roman" w:hAnsi="Times New Roman" w:cs="Times New Roman"/>
          <w:sz w:val="20"/>
          <w:szCs w:val="20"/>
          <w:highlight w:val="yellow"/>
        </w:rPr>
        <w:t>, U. C. (2022). Correlation of parasite density and biochemical parameters in children with malaria infection in Calabar, South-South Nigeria. </w:t>
      </w:r>
      <w:r w:rsidRPr="00C95369">
        <w:rPr>
          <w:rFonts w:ascii="Times New Roman" w:hAnsi="Times New Roman" w:cs="Times New Roman"/>
          <w:i/>
          <w:iCs/>
          <w:sz w:val="20"/>
          <w:szCs w:val="20"/>
          <w:highlight w:val="yellow"/>
        </w:rPr>
        <w:t>Egyptian Pediatric Association Gazette</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70</w:t>
      </w:r>
      <w:r w:rsidRPr="00C95369">
        <w:rPr>
          <w:rFonts w:ascii="Times New Roman" w:hAnsi="Times New Roman" w:cs="Times New Roman"/>
          <w:sz w:val="20"/>
          <w:szCs w:val="20"/>
          <w:highlight w:val="yellow"/>
        </w:rPr>
        <w:t>(1), 27. https://doi.org/10.1186/s43054-022-00122-1</w:t>
      </w:r>
    </w:p>
    <w:p w14:paraId="44B02542"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Orish</w:t>
      </w:r>
      <w:proofErr w:type="spellEnd"/>
      <w:r w:rsidRPr="00C95369">
        <w:rPr>
          <w:rFonts w:ascii="Times New Roman" w:hAnsi="Times New Roman" w:cs="Times New Roman"/>
          <w:sz w:val="20"/>
          <w:szCs w:val="20"/>
          <w:highlight w:val="yellow"/>
        </w:rPr>
        <w:t xml:space="preserve">, V. N., </w:t>
      </w:r>
      <w:proofErr w:type="spellStart"/>
      <w:r w:rsidRPr="00C95369">
        <w:rPr>
          <w:rFonts w:ascii="Times New Roman" w:hAnsi="Times New Roman" w:cs="Times New Roman"/>
          <w:sz w:val="20"/>
          <w:szCs w:val="20"/>
          <w:highlight w:val="yellow"/>
        </w:rPr>
        <w:t>Lokpo</w:t>
      </w:r>
      <w:proofErr w:type="spellEnd"/>
      <w:r w:rsidRPr="00C95369">
        <w:rPr>
          <w:rFonts w:ascii="Times New Roman" w:hAnsi="Times New Roman" w:cs="Times New Roman"/>
          <w:sz w:val="20"/>
          <w:szCs w:val="20"/>
          <w:highlight w:val="yellow"/>
        </w:rPr>
        <w:t xml:space="preserve">, S. Y., </w:t>
      </w:r>
      <w:proofErr w:type="spellStart"/>
      <w:r w:rsidRPr="00C95369">
        <w:rPr>
          <w:rFonts w:ascii="Times New Roman" w:hAnsi="Times New Roman" w:cs="Times New Roman"/>
          <w:sz w:val="20"/>
          <w:szCs w:val="20"/>
          <w:highlight w:val="yellow"/>
        </w:rPr>
        <w:t>Kwadzokpui</w:t>
      </w:r>
      <w:proofErr w:type="spellEnd"/>
      <w:r w:rsidRPr="00C95369">
        <w:rPr>
          <w:rFonts w:ascii="Times New Roman" w:hAnsi="Times New Roman" w:cs="Times New Roman"/>
          <w:sz w:val="20"/>
          <w:szCs w:val="20"/>
          <w:highlight w:val="yellow"/>
        </w:rPr>
        <w:t xml:space="preserve">, P. K., </w:t>
      </w:r>
      <w:proofErr w:type="spellStart"/>
      <w:r w:rsidRPr="00C95369">
        <w:rPr>
          <w:rFonts w:ascii="Times New Roman" w:hAnsi="Times New Roman" w:cs="Times New Roman"/>
          <w:sz w:val="20"/>
          <w:szCs w:val="20"/>
          <w:highlight w:val="yellow"/>
        </w:rPr>
        <w:t>Safianu</w:t>
      </w:r>
      <w:proofErr w:type="spellEnd"/>
      <w:r w:rsidRPr="00C95369">
        <w:rPr>
          <w:rFonts w:ascii="Times New Roman" w:hAnsi="Times New Roman" w:cs="Times New Roman"/>
          <w:sz w:val="20"/>
          <w:szCs w:val="20"/>
          <w:highlight w:val="yellow"/>
        </w:rPr>
        <w:t xml:space="preserve">, R., </w:t>
      </w:r>
      <w:proofErr w:type="spellStart"/>
      <w:r w:rsidRPr="00C95369">
        <w:rPr>
          <w:rFonts w:ascii="Times New Roman" w:hAnsi="Times New Roman" w:cs="Times New Roman"/>
          <w:sz w:val="20"/>
          <w:szCs w:val="20"/>
          <w:highlight w:val="yellow"/>
        </w:rPr>
        <w:t>Marinkovic</w:t>
      </w:r>
      <w:proofErr w:type="spellEnd"/>
      <w:r w:rsidRPr="00C95369">
        <w:rPr>
          <w:rFonts w:ascii="Times New Roman" w:hAnsi="Times New Roman" w:cs="Times New Roman"/>
          <w:sz w:val="20"/>
          <w:szCs w:val="20"/>
          <w:highlight w:val="yellow"/>
        </w:rPr>
        <w:t xml:space="preserve">, A., Prakash, S., ... &amp; </w:t>
      </w:r>
      <w:proofErr w:type="spellStart"/>
      <w:r w:rsidRPr="00C95369">
        <w:rPr>
          <w:rFonts w:ascii="Times New Roman" w:hAnsi="Times New Roman" w:cs="Times New Roman"/>
          <w:sz w:val="20"/>
          <w:szCs w:val="20"/>
          <w:highlight w:val="yellow"/>
        </w:rPr>
        <w:t>Sanyaolu</w:t>
      </w:r>
      <w:proofErr w:type="spellEnd"/>
      <w:r w:rsidRPr="00C95369">
        <w:rPr>
          <w:rFonts w:ascii="Times New Roman" w:hAnsi="Times New Roman" w:cs="Times New Roman"/>
          <w:sz w:val="20"/>
          <w:szCs w:val="20"/>
          <w:highlight w:val="yellow"/>
        </w:rPr>
        <w:t xml:space="preserve">, A. (2024). Association between asymptomatic Plasmodium falciparum malaria infection, </w:t>
      </w:r>
      <w:proofErr w:type="spellStart"/>
      <w:r w:rsidRPr="00C95369">
        <w:rPr>
          <w:rFonts w:ascii="Times New Roman" w:hAnsi="Times New Roman" w:cs="Times New Roman"/>
          <w:sz w:val="20"/>
          <w:szCs w:val="20"/>
          <w:highlight w:val="yellow"/>
        </w:rPr>
        <w:t>anaemia</w:t>
      </w:r>
      <w:proofErr w:type="spellEnd"/>
      <w:r w:rsidRPr="00C95369">
        <w:rPr>
          <w:rFonts w:ascii="Times New Roman" w:hAnsi="Times New Roman" w:cs="Times New Roman"/>
          <w:sz w:val="20"/>
          <w:szCs w:val="20"/>
          <w:highlight w:val="yellow"/>
        </w:rPr>
        <w:t xml:space="preserve"> and mean corpuscular volume of school children in the Volta Region of Ghana. </w:t>
      </w:r>
      <w:r w:rsidRPr="00C95369">
        <w:rPr>
          <w:rFonts w:ascii="Times New Roman" w:hAnsi="Times New Roman" w:cs="Times New Roman"/>
          <w:i/>
          <w:iCs/>
          <w:sz w:val="20"/>
          <w:szCs w:val="20"/>
          <w:highlight w:val="yellow"/>
        </w:rPr>
        <w:t>European Journal of Microbiology and Immunology</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14</w:t>
      </w:r>
      <w:r w:rsidRPr="00C95369">
        <w:rPr>
          <w:rFonts w:ascii="Times New Roman" w:hAnsi="Times New Roman" w:cs="Times New Roman"/>
          <w:sz w:val="20"/>
          <w:szCs w:val="20"/>
          <w:highlight w:val="yellow"/>
        </w:rPr>
        <w:t>(2), 195-201. https://doi.org/10.1556/1886.2024.00007</w:t>
      </w:r>
    </w:p>
    <w:p w14:paraId="349231F7"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Pang, B., </w:t>
      </w:r>
      <w:proofErr w:type="spellStart"/>
      <w:r w:rsidRPr="00C95369">
        <w:rPr>
          <w:rFonts w:ascii="Times New Roman" w:hAnsi="Times New Roman" w:cs="Times New Roman"/>
          <w:sz w:val="20"/>
          <w:szCs w:val="20"/>
          <w:highlight w:val="yellow"/>
        </w:rPr>
        <w:t>Raoufi</w:t>
      </w:r>
      <w:proofErr w:type="spellEnd"/>
      <w:r w:rsidRPr="00C95369">
        <w:rPr>
          <w:rFonts w:ascii="Times New Roman" w:hAnsi="Times New Roman" w:cs="Times New Roman"/>
          <w:sz w:val="20"/>
          <w:szCs w:val="20"/>
          <w:highlight w:val="yellow"/>
        </w:rPr>
        <w:t xml:space="preserve">, A., </w:t>
      </w:r>
      <w:proofErr w:type="spellStart"/>
      <w:r w:rsidRPr="00C95369">
        <w:rPr>
          <w:rFonts w:ascii="Times New Roman" w:hAnsi="Times New Roman" w:cs="Times New Roman"/>
          <w:sz w:val="20"/>
          <w:szCs w:val="20"/>
          <w:highlight w:val="yellow"/>
        </w:rPr>
        <w:t>Taghinejad</w:t>
      </w:r>
      <w:proofErr w:type="spellEnd"/>
      <w:r w:rsidRPr="00C95369">
        <w:rPr>
          <w:rFonts w:ascii="Times New Roman" w:hAnsi="Times New Roman" w:cs="Times New Roman"/>
          <w:sz w:val="20"/>
          <w:szCs w:val="20"/>
          <w:highlight w:val="yellow"/>
        </w:rPr>
        <w:t xml:space="preserve">, Z., </w:t>
      </w:r>
      <w:proofErr w:type="spellStart"/>
      <w:r w:rsidRPr="00C95369">
        <w:rPr>
          <w:rFonts w:ascii="Times New Roman" w:hAnsi="Times New Roman" w:cs="Times New Roman"/>
          <w:sz w:val="20"/>
          <w:szCs w:val="20"/>
          <w:highlight w:val="yellow"/>
        </w:rPr>
        <w:t>Fakhraei</w:t>
      </w:r>
      <w:proofErr w:type="spellEnd"/>
      <w:r w:rsidRPr="00C95369">
        <w:rPr>
          <w:rFonts w:ascii="Times New Roman" w:hAnsi="Times New Roman" w:cs="Times New Roman"/>
          <w:sz w:val="20"/>
          <w:szCs w:val="20"/>
          <w:highlight w:val="yellow"/>
        </w:rPr>
        <w:t xml:space="preserve">, M., </w:t>
      </w:r>
      <w:proofErr w:type="spellStart"/>
      <w:r w:rsidRPr="00C95369">
        <w:rPr>
          <w:rFonts w:ascii="Times New Roman" w:hAnsi="Times New Roman" w:cs="Times New Roman"/>
          <w:sz w:val="20"/>
          <w:szCs w:val="20"/>
          <w:highlight w:val="yellow"/>
        </w:rPr>
        <w:t>Esfahani</w:t>
      </w:r>
      <w:proofErr w:type="spellEnd"/>
      <w:r w:rsidRPr="00C95369">
        <w:rPr>
          <w:rFonts w:ascii="Times New Roman" w:hAnsi="Times New Roman" w:cs="Times New Roman"/>
          <w:sz w:val="20"/>
          <w:szCs w:val="20"/>
          <w:highlight w:val="yellow"/>
        </w:rPr>
        <w:t xml:space="preserve">, M. L., </w:t>
      </w:r>
      <w:proofErr w:type="spellStart"/>
      <w:r w:rsidRPr="00C95369">
        <w:rPr>
          <w:rFonts w:ascii="Times New Roman" w:hAnsi="Times New Roman" w:cs="Times New Roman"/>
          <w:sz w:val="20"/>
          <w:szCs w:val="20"/>
          <w:highlight w:val="yellow"/>
        </w:rPr>
        <w:t>Heydari</w:t>
      </w:r>
      <w:proofErr w:type="spellEnd"/>
      <w:r w:rsidRPr="00C95369">
        <w:rPr>
          <w:rFonts w:ascii="Times New Roman" w:hAnsi="Times New Roman" w:cs="Times New Roman"/>
          <w:sz w:val="20"/>
          <w:szCs w:val="20"/>
          <w:highlight w:val="yellow"/>
        </w:rPr>
        <w:t xml:space="preserve">, P., ... &amp; </w:t>
      </w:r>
      <w:proofErr w:type="spellStart"/>
      <w:r w:rsidRPr="00C95369">
        <w:rPr>
          <w:rFonts w:ascii="Times New Roman" w:hAnsi="Times New Roman" w:cs="Times New Roman"/>
          <w:sz w:val="20"/>
          <w:szCs w:val="20"/>
          <w:highlight w:val="yellow"/>
        </w:rPr>
        <w:t>Samarkhazan</w:t>
      </w:r>
      <w:proofErr w:type="spellEnd"/>
      <w:r w:rsidRPr="00C95369">
        <w:rPr>
          <w:rFonts w:ascii="Times New Roman" w:hAnsi="Times New Roman" w:cs="Times New Roman"/>
          <w:sz w:val="20"/>
          <w:szCs w:val="20"/>
          <w:highlight w:val="yellow"/>
        </w:rPr>
        <w:t>, H. S. (2025). Parasites in the bloodstream: Unraveling hematological chaos and clinical implications. </w:t>
      </w:r>
      <w:r w:rsidRPr="00C95369">
        <w:rPr>
          <w:rFonts w:ascii="Times New Roman" w:hAnsi="Times New Roman" w:cs="Times New Roman"/>
          <w:i/>
          <w:iCs/>
          <w:sz w:val="20"/>
          <w:szCs w:val="20"/>
          <w:highlight w:val="yellow"/>
        </w:rPr>
        <w:t>Parasitology International</w:t>
      </w:r>
      <w:r w:rsidRPr="00C95369">
        <w:rPr>
          <w:rFonts w:ascii="Times New Roman" w:hAnsi="Times New Roman" w:cs="Times New Roman"/>
          <w:sz w:val="20"/>
          <w:szCs w:val="20"/>
          <w:highlight w:val="yellow"/>
        </w:rPr>
        <w:t>, 103172. https://doi.org/10.1016/j.parint.2025.103172</w:t>
      </w:r>
    </w:p>
    <w:p w14:paraId="6793942A"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Sakzabre</w:t>
      </w:r>
      <w:proofErr w:type="spellEnd"/>
      <w:r w:rsidRPr="00C95369">
        <w:rPr>
          <w:rFonts w:ascii="Times New Roman" w:hAnsi="Times New Roman" w:cs="Times New Roman"/>
          <w:sz w:val="20"/>
          <w:szCs w:val="20"/>
          <w:highlight w:val="yellow"/>
        </w:rPr>
        <w:t xml:space="preserve">, D., </w:t>
      </w:r>
      <w:proofErr w:type="spellStart"/>
      <w:r w:rsidRPr="00C95369">
        <w:rPr>
          <w:rFonts w:ascii="Times New Roman" w:hAnsi="Times New Roman" w:cs="Times New Roman"/>
          <w:sz w:val="20"/>
          <w:szCs w:val="20"/>
          <w:highlight w:val="yellow"/>
        </w:rPr>
        <w:t>Asiamah</w:t>
      </w:r>
      <w:proofErr w:type="spellEnd"/>
      <w:r w:rsidRPr="00C95369">
        <w:rPr>
          <w:rFonts w:ascii="Times New Roman" w:hAnsi="Times New Roman" w:cs="Times New Roman"/>
          <w:sz w:val="20"/>
          <w:szCs w:val="20"/>
          <w:highlight w:val="yellow"/>
        </w:rPr>
        <w:t xml:space="preserve">, E. A., </w:t>
      </w:r>
      <w:proofErr w:type="spellStart"/>
      <w:r w:rsidRPr="00C95369">
        <w:rPr>
          <w:rFonts w:ascii="Times New Roman" w:hAnsi="Times New Roman" w:cs="Times New Roman"/>
          <w:sz w:val="20"/>
          <w:szCs w:val="20"/>
          <w:highlight w:val="yellow"/>
        </w:rPr>
        <w:t>Akorsu</w:t>
      </w:r>
      <w:proofErr w:type="spellEnd"/>
      <w:r w:rsidRPr="00C95369">
        <w:rPr>
          <w:rFonts w:ascii="Times New Roman" w:hAnsi="Times New Roman" w:cs="Times New Roman"/>
          <w:sz w:val="20"/>
          <w:szCs w:val="20"/>
          <w:highlight w:val="yellow"/>
        </w:rPr>
        <w:t xml:space="preserve">, E. E., </w:t>
      </w:r>
      <w:proofErr w:type="spellStart"/>
      <w:r w:rsidRPr="00C95369">
        <w:rPr>
          <w:rFonts w:ascii="Times New Roman" w:hAnsi="Times New Roman" w:cs="Times New Roman"/>
          <w:sz w:val="20"/>
          <w:szCs w:val="20"/>
          <w:highlight w:val="yellow"/>
        </w:rPr>
        <w:t>Abaka-Yawson</w:t>
      </w:r>
      <w:proofErr w:type="spellEnd"/>
      <w:r w:rsidRPr="00C95369">
        <w:rPr>
          <w:rFonts w:ascii="Times New Roman" w:hAnsi="Times New Roman" w:cs="Times New Roman"/>
          <w:sz w:val="20"/>
          <w:szCs w:val="20"/>
          <w:highlight w:val="yellow"/>
        </w:rPr>
        <w:t xml:space="preserve">, A., </w:t>
      </w:r>
      <w:proofErr w:type="spellStart"/>
      <w:r w:rsidRPr="00C95369">
        <w:rPr>
          <w:rFonts w:ascii="Times New Roman" w:hAnsi="Times New Roman" w:cs="Times New Roman"/>
          <w:sz w:val="20"/>
          <w:szCs w:val="20"/>
          <w:highlight w:val="yellow"/>
        </w:rPr>
        <w:t>Dika</w:t>
      </w:r>
      <w:proofErr w:type="spellEnd"/>
      <w:r w:rsidRPr="00C95369">
        <w:rPr>
          <w:rFonts w:ascii="Times New Roman" w:hAnsi="Times New Roman" w:cs="Times New Roman"/>
          <w:sz w:val="20"/>
          <w:szCs w:val="20"/>
          <w:highlight w:val="yellow"/>
        </w:rPr>
        <w:t xml:space="preserve">, N. D., </w:t>
      </w:r>
      <w:proofErr w:type="spellStart"/>
      <w:r w:rsidRPr="00C95369">
        <w:rPr>
          <w:rFonts w:ascii="Times New Roman" w:hAnsi="Times New Roman" w:cs="Times New Roman"/>
          <w:sz w:val="20"/>
          <w:szCs w:val="20"/>
          <w:highlight w:val="yellow"/>
        </w:rPr>
        <w:t>Kwasie</w:t>
      </w:r>
      <w:proofErr w:type="spellEnd"/>
      <w:r w:rsidRPr="00C95369">
        <w:rPr>
          <w:rFonts w:ascii="Times New Roman" w:hAnsi="Times New Roman" w:cs="Times New Roman"/>
          <w:sz w:val="20"/>
          <w:szCs w:val="20"/>
          <w:highlight w:val="yellow"/>
        </w:rPr>
        <w:t xml:space="preserve">, D. A., ... &amp; Osei, G. Y. (2020). </w:t>
      </w:r>
      <w:proofErr w:type="spellStart"/>
      <w:r w:rsidRPr="00C95369">
        <w:rPr>
          <w:rFonts w:ascii="Times New Roman" w:hAnsi="Times New Roman" w:cs="Times New Roman"/>
          <w:sz w:val="20"/>
          <w:szCs w:val="20"/>
          <w:highlight w:val="yellow"/>
        </w:rPr>
        <w:t>Haematological</w:t>
      </w:r>
      <w:proofErr w:type="spellEnd"/>
      <w:r w:rsidRPr="00C95369">
        <w:rPr>
          <w:rFonts w:ascii="Times New Roman" w:hAnsi="Times New Roman" w:cs="Times New Roman"/>
          <w:sz w:val="20"/>
          <w:szCs w:val="20"/>
          <w:highlight w:val="yellow"/>
        </w:rPr>
        <w:t xml:space="preserve"> profile of adults with malaria </w:t>
      </w:r>
      <w:proofErr w:type="spellStart"/>
      <w:r w:rsidRPr="00C95369">
        <w:rPr>
          <w:rFonts w:ascii="Times New Roman" w:hAnsi="Times New Roman" w:cs="Times New Roman"/>
          <w:sz w:val="20"/>
          <w:szCs w:val="20"/>
          <w:highlight w:val="yellow"/>
        </w:rPr>
        <w:t>parasitaemia</w:t>
      </w:r>
      <w:proofErr w:type="spellEnd"/>
      <w:r w:rsidRPr="00C95369">
        <w:rPr>
          <w:rFonts w:ascii="Times New Roman" w:hAnsi="Times New Roman" w:cs="Times New Roman"/>
          <w:sz w:val="20"/>
          <w:szCs w:val="20"/>
          <w:highlight w:val="yellow"/>
        </w:rPr>
        <w:t xml:space="preserve"> visiting the Volta Regional Hospital, Ghana. </w:t>
      </w:r>
      <w:r w:rsidRPr="00C95369">
        <w:rPr>
          <w:rFonts w:ascii="Times New Roman" w:hAnsi="Times New Roman" w:cs="Times New Roman"/>
          <w:i/>
          <w:iCs/>
          <w:sz w:val="20"/>
          <w:szCs w:val="20"/>
          <w:highlight w:val="yellow"/>
        </w:rPr>
        <w:t>Advances in Hematology</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2020</w:t>
      </w:r>
      <w:r w:rsidRPr="00C95369">
        <w:rPr>
          <w:rFonts w:ascii="Times New Roman" w:hAnsi="Times New Roman" w:cs="Times New Roman"/>
          <w:sz w:val="20"/>
          <w:szCs w:val="20"/>
          <w:highlight w:val="yellow"/>
        </w:rPr>
        <w:t>(1), 9369758. https://doi.org/10.1155/2020/9369758</w:t>
      </w:r>
    </w:p>
    <w:p w14:paraId="23A7FB62"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Shukla, A., Thakur, S. S., Jaiswal, S. K., Patidar, H., Dubey, K., &amp; Solanki, P. (2023). Parasitic density and its relationship with </w:t>
      </w:r>
      <w:proofErr w:type="spellStart"/>
      <w:r w:rsidRPr="00C95369">
        <w:rPr>
          <w:rFonts w:ascii="Times New Roman" w:hAnsi="Times New Roman" w:cs="Times New Roman"/>
          <w:sz w:val="20"/>
          <w:szCs w:val="20"/>
          <w:highlight w:val="yellow"/>
        </w:rPr>
        <w:t>Haematological</w:t>
      </w:r>
      <w:proofErr w:type="spellEnd"/>
      <w:r w:rsidRPr="00C95369">
        <w:rPr>
          <w:rFonts w:ascii="Times New Roman" w:hAnsi="Times New Roman" w:cs="Times New Roman"/>
          <w:sz w:val="20"/>
          <w:szCs w:val="20"/>
          <w:highlight w:val="yellow"/>
        </w:rPr>
        <w:t xml:space="preserve"> parameters, Liver function test and kidney function test in Patients of Malaria Falciparum. </w:t>
      </w:r>
      <w:r w:rsidRPr="00C95369">
        <w:rPr>
          <w:rFonts w:ascii="Times New Roman" w:hAnsi="Times New Roman" w:cs="Times New Roman"/>
          <w:i/>
          <w:iCs/>
          <w:sz w:val="20"/>
          <w:szCs w:val="20"/>
          <w:highlight w:val="yellow"/>
        </w:rPr>
        <w:t>European Journal of Cardiovascular Medicine</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13</w:t>
      </w:r>
      <w:r w:rsidRPr="00C95369">
        <w:rPr>
          <w:rFonts w:ascii="Times New Roman" w:hAnsi="Times New Roman" w:cs="Times New Roman"/>
          <w:sz w:val="20"/>
          <w:szCs w:val="20"/>
          <w:highlight w:val="yellow"/>
        </w:rPr>
        <w:t xml:space="preserve">(2). </w:t>
      </w:r>
      <w:hyperlink r:id="rId19" w:tgtFrame="_new" w:history="1">
        <w:r w:rsidRPr="00C95369">
          <w:rPr>
            <w:rStyle w:val="Hyperlink"/>
            <w:rFonts w:ascii="Times New Roman" w:hAnsi="Times New Roman" w:cs="Times New Roman"/>
            <w:sz w:val="20"/>
            <w:szCs w:val="20"/>
            <w:highlight w:val="yellow"/>
          </w:rPr>
          <w:t>https://www.healthcare-bulletin.co.uk/article/volume-13-issue-2-pages486-490-ra/</w:t>
        </w:r>
      </w:hyperlink>
      <w:r w:rsidRPr="00C95369">
        <w:rPr>
          <w:rFonts w:ascii="Times New Roman" w:hAnsi="Times New Roman" w:cs="Times New Roman"/>
          <w:sz w:val="20"/>
          <w:szCs w:val="20"/>
          <w:highlight w:val="yellow"/>
        </w:rPr>
        <w:t xml:space="preserve"> </w:t>
      </w:r>
    </w:p>
    <w:p w14:paraId="7E639632"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Sumbele</w:t>
      </w:r>
      <w:proofErr w:type="spellEnd"/>
      <w:r w:rsidRPr="00C95369">
        <w:rPr>
          <w:rFonts w:ascii="Times New Roman" w:hAnsi="Times New Roman" w:cs="Times New Roman"/>
          <w:sz w:val="20"/>
          <w:szCs w:val="20"/>
          <w:highlight w:val="yellow"/>
        </w:rPr>
        <w:t xml:space="preserve">, I. U. N., </w:t>
      </w:r>
      <w:proofErr w:type="spellStart"/>
      <w:r w:rsidRPr="00C95369">
        <w:rPr>
          <w:rFonts w:ascii="Times New Roman" w:hAnsi="Times New Roman" w:cs="Times New Roman"/>
          <w:sz w:val="20"/>
          <w:szCs w:val="20"/>
          <w:highlight w:val="yellow"/>
        </w:rPr>
        <w:t>Teh</w:t>
      </w:r>
      <w:proofErr w:type="spellEnd"/>
      <w:r w:rsidRPr="00C95369">
        <w:rPr>
          <w:rFonts w:ascii="Times New Roman" w:hAnsi="Times New Roman" w:cs="Times New Roman"/>
          <w:sz w:val="20"/>
          <w:szCs w:val="20"/>
          <w:highlight w:val="yellow"/>
        </w:rPr>
        <w:t xml:space="preserve">, R. N., </w:t>
      </w:r>
      <w:proofErr w:type="spellStart"/>
      <w:r w:rsidRPr="00C95369">
        <w:rPr>
          <w:rFonts w:ascii="Times New Roman" w:hAnsi="Times New Roman" w:cs="Times New Roman"/>
          <w:sz w:val="20"/>
          <w:szCs w:val="20"/>
          <w:highlight w:val="yellow"/>
        </w:rPr>
        <w:t>Nkeudem</w:t>
      </w:r>
      <w:proofErr w:type="spellEnd"/>
      <w:r w:rsidRPr="00C95369">
        <w:rPr>
          <w:rFonts w:ascii="Times New Roman" w:hAnsi="Times New Roman" w:cs="Times New Roman"/>
          <w:sz w:val="20"/>
          <w:szCs w:val="20"/>
          <w:highlight w:val="yellow"/>
        </w:rPr>
        <w:t xml:space="preserve">, G. A., Sandie, S. M., </w:t>
      </w:r>
      <w:proofErr w:type="spellStart"/>
      <w:r w:rsidRPr="00C95369">
        <w:rPr>
          <w:rFonts w:ascii="Times New Roman" w:hAnsi="Times New Roman" w:cs="Times New Roman"/>
          <w:sz w:val="20"/>
          <w:szCs w:val="20"/>
          <w:highlight w:val="yellow"/>
        </w:rPr>
        <w:t>Moyeh</w:t>
      </w:r>
      <w:proofErr w:type="spellEnd"/>
      <w:r w:rsidRPr="00C95369">
        <w:rPr>
          <w:rFonts w:ascii="Times New Roman" w:hAnsi="Times New Roman" w:cs="Times New Roman"/>
          <w:sz w:val="20"/>
          <w:szCs w:val="20"/>
          <w:highlight w:val="yellow"/>
        </w:rPr>
        <w:t xml:space="preserve">, M. N., </w:t>
      </w:r>
      <w:proofErr w:type="spellStart"/>
      <w:r w:rsidRPr="00C95369">
        <w:rPr>
          <w:rFonts w:ascii="Times New Roman" w:hAnsi="Times New Roman" w:cs="Times New Roman"/>
          <w:sz w:val="20"/>
          <w:szCs w:val="20"/>
          <w:highlight w:val="yellow"/>
        </w:rPr>
        <w:t>Shey</w:t>
      </w:r>
      <w:proofErr w:type="spellEnd"/>
      <w:r w:rsidRPr="00C95369">
        <w:rPr>
          <w:rFonts w:ascii="Times New Roman" w:hAnsi="Times New Roman" w:cs="Times New Roman"/>
          <w:sz w:val="20"/>
          <w:szCs w:val="20"/>
          <w:highlight w:val="yellow"/>
        </w:rPr>
        <w:t xml:space="preserve">, R. A., ... &amp; </w:t>
      </w:r>
      <w:proofErr w:type="spellStart"/>
      <w:r w:rsidRPr="00C95369">
        <w:rPr>
          <w:rFonts w:ascii="Times New Roman" w:hAnsi="Times New Roman" w:cs="Times New Roman"/>
          <w:sz w:val="20"/>
          <w:szCs w:val="20"/>
          <w:highlight w:val="yellow"/>
        </w:rPr>
        <w:t>Kimbi</w:t>
      </w:r>
      <w:proofErr w:type="spellEnd"/>
      <w:r w:rsidRPr="00C95369">
        <w:rPr>
          <w:rFonts w:ascii="Times New Roman" w:hAnsi="Times New Roman" w:cs="Times New Roman"/>
          <w:sz w:val="20"/>
          <w:szCs w:val="20"/>
          <w:highlight w:val="yellow"/>
        </w:rPr>
        <w:t xml:space="preserve">, H. K. (2021). Asymptomatic and sub-microscopic Plasmodium falciparum infection in children in the Mount Cameroon area: a cross-sectional study on altitudinal influence, </w:t>
      </w:r>
      <w:proofErr w:type="spellStart"/>
      <w:r w:rsidRPr="00C95369">
        <w:rPr>
          <w:rFonts w:ascii="Times New Roman" w:hAnsi="Times New Roman" w:cs="Times New Roman"/>
          <w:sz w:val="20"/>
          <w:szCs w:val="20"/>
          <w:highlight w:val="yellow"/>
        </w:rPr>
        <w:t>haematological</w:t>
      </w:r>
      <w:proofErr w:type="spellEnd"/>
      <w:r w:rsidRPr="00C95369">
        <w:rPr>
          <w:rFonts w:ascii="Times New Roman" w:hAnsi="Times New Roman" w:cs="Times New Roman"/>
          <w:sz w:val="20"/>
          <w:szCs w:val="20"/>
          <w:highlight w:val="yellow"/>
        </w:rPr>
        <w:t xml:space="preserve"> parameters and risk factors. </w:t>
      </w:r>
      <w:r w:rsidRPr="00C95369">
        <w:rPr>
          <w:rFonts w:ascii="Times New Roman" w:hAnsi="Times New Roman" w:cs="Times New Roman"/>
          <w:i/>
          <w:iCs/>
          <w:sz w:val="20"/>
          <w:szCs w:val="20"/>
          <w:highlight w:val="yellow"/>
        </w:rPr>
        <w:t>Malaria Journal</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20</w:t>
      </w:r>
      <w:r w:rsidRPr="00C95369">
        <w:rPr>
          <w:rFonts w:ascii="Times New Roman" w:hAnsi="Times New Roman" w:cs="Times New Roman"/>
          <w:sz w:val="20"/>
          <w:szCs w:val="20"/>
          <w:highlight w:val="yellow"/>
        </w:rPr>
        <w:t>(1), 382. https://doi.org/10.1186/s12936-021-03916-7</w:t>
      </w:r>
    </w:p>
    <w:p w14:paraId="4D85F3D3"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Sylla</w:t>
      </w:r>
      <w:proofErr w:type="spellEnd"/>
      <w:r w:rsidRPr="00C95369">
        <w:rPr>
          <w:rFonts w:ascii="Times New Roman" w:hAnsi="Times New Roman" w:cs="Times New Roman"/>
          <w:sz w:val="20"/>
          <w:szCs w:val="20"/>
          <w:highlight w:val="yellow"/>
        </w:rPr>
        <w:t xml:space="preserve">, K., Tine, R., Sow, D., </w:t>
      </w:r>
      <w:proofErr w:type="spellStart"/>
      <w:r w:rsidRPr="00C95369">
        <w:rPr>
          <w:rFonts w:ascii="Times New Roman" w:hAnsi="Times New Roman" w:cs="Times New Roman"/>
          <w:sz w:val="20"/>
          <w:szCs w:val="20"/>
          <w:highlight w:val="yellow"/>
        </w:rPr>
        <w:t>Lelo</w:t>
      </w:r>
      <w:proofErr w:type="spellEnd"/>
      <w:r w:rsidRPr="00C95369">
        <w:rPr>
          <w:rFonts w:ascii="Times New Roman" w:hAnsi="Times New Roman" w:cs="Times New Roman"/>
          <w:sz w:val="20"/>
          <w:szCs w:val="20"/>
          <w:highlight w:val="yellow"/>
        </w:rPr>
        <w:t xml:space="preserve">, S., </w:t>
      </w:r>
      <w:proofErr w:type="spellStart"/>
      <w:r w:rsidRPr="00C95369">
        <w:rPr>
          <w:rFonts w:ascii="Times New Roman" w:hAnsi="Times New Roman" w:cs="Times New Roman"/>
          <w:sz w:val="20"/>
          <w:szCs w:val="20"/>
          <w:highlight w:val="yellow"/>
        </w:rPr>
        <w:t>Abiola</w:t>
      </w:r>
      <w:proofErr w:type="spellEnd"/>
      <w:r w:rsidRPr="00C95369">
        <w:rPr>
          <w:rFonts w:ascii="Times New Roman" w:hAnsi="Times New Roman" w:cs="Times New Roman"/>
          <w:sz w:val="20"/>
          <w:szCs w:val="20"/>
          <w:highlight w:val="yellow"/>
        </w:rPr>
        <w:t xml:space="preserve">, A., </w:t>
      </w:r>
      <w:proofErr w:type="spellStart"/>
      <w:r w:rsidRPr="00C95369">
        <w:rPr>
          <w:rFonts w:ascii="Times New Roman" w:hAnsi="Times New Roman" w:cs="Times New Roman"/>
          <w:sz w:val="20"/>
          <w:szCs w:val="20"/>
          <w:highlight w:val="yellow"/>
        </w:rPr>
        <w:t>NDiaye</w:t>
      </w:r>
      <w:proofErr w:type="spellEnd"/>
      <w:r w:rsidRPr="00C95369">
        <w:rPr>
          <w:rFonts w:ascii="Times New Roman" w:hAnsi="Times New Roman" w:cs="Times New Roman"/>
          <w:sz w:val="20"/>
          <w:szCs w:val="20"/>
          <w:highlight w:val="yellow"/>
        </w:rPr>
        <w:t xml:space="preserve">, J. L., ... &amp; Faye, B. (2022). Anemia, Thrombocytopenia, and Changes in Biochemical Parameters Occurring in Patients with Uncomplicated Plasmodium falciparum Malaria: Data Analysis from Antimalarial Efficacy‐Randomized Trials in Dakar and </w:t>
      </w:r>
      <w:proofErr w:type="spellStart"/>
      <w:r w:rsidRPr="00C95369">
        <w:rPr>
          <w:rFonts w:ascii="Times New Roman" w:hAnsi="Times New Roman" w:cs="Times New Roman"/>
          <w:sz w:val="20"/>
          <w:szCs w:val="20"/>
          <w:highlight w:val="yellow"/>
        </w:rPr>
        <w:t>Kaolack</w:t>
      </w:r>
      <w:proofErr w:type="spellEnd"/>
      <w:r w:rsidRPr="00C95369">
        <w:rPr>
          <w:rFonts w:ascii="Times New Roman" w:hAnsi="Times New Roman" w:cs="Times New Roman"/>
          <w:sz w:val="20"/>
          <w:szCs w:val="20"/>
          <w:highlight w:val="yellow"/>
        </w:rPr>
        <w:t xml:space="preserve"> Regions, Senegal. </w:t>
      </w:r>
      <w:r w:rsidRPr="00C95369">
        <w:rPr>
          <w:rFonts w:ascii="Times New Roman" w:hAnsi="Times New Roman" w:cs="Times New Roman"/>
          <w:i/>
          <w:iCs/>
          <w:sz w:val="20"/>
          <w:szCs w:val="20"/>
          <w:highlight w:val="yellow"/>
        </w:rPr>
        <w:t>Journal of Parasitology Research</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2022</w:t>
      </w:r>
      <w:r w:rsidRPr="00C95369">
        <w:rPr>
          <w:rFonts w:ascii="Times New Roman" w:hAnsi="Times New Roman" w:cs="Times New Roman"/>
          <w:sz w:val="20"/>
          <w:szCs w:val="20"/>
          <w:highlight w:val="yellow"/>
        </w:rPr>
        <w:t>(1), 1635791. https://doi.org/10.1155/2022/1635791</w:t>
      </w:r>
    </w:p>
    <w:p w14:paraId="26E7C2A4"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lastRenderedPageBreak/>
        <w:t>Tiiba</w:t>
      </w:r>
      <w:proofErr w:type="spellEnd"/>
      <w:r w:rsidRPr="00C95369">
        <w:rPr>
          <w:rFonts w:ascii="Times New Roman" w:hAnsi="Times New Roman" w:cs="Times New Roman"/>
          <w:sz w:val="20"/>
          <w:szCs w:val="20"/>
          <w:highlight w:val="yellow"/>
        </w:rPr>
        <w:t xml:space="preserve">, J. D. I., Ahmadu, P. U., </w:t>
      </w:r>
      <w:proofErr w:type="spellStart"/>
      <w:r w:rsidRPr="00C95369">
        <w:rPr>
          <w:rFonts w:ascii="Times New Roman" w:hAnsi="Times New Roman" w:cs="Times New Roman"/>
          <w:sz w:val="20"/>
          <w:szCs w:val="20"/>
          <w:highlight w:val="yellow"/>
        </w:rPr>
        <w:t>Naamawu</w:t>
      </w:r>
      <w:proofErr w:type="spellEnd"/>
      <w:r w:rsidRPr="00C95369">
        <w:rPr>
          <w:rFonts w:ascii="Times New Roman" w:hAnsi="Times New Roman" w:cs="Times New Roman"/>
          <w:sz w:val="20"/>
          <w:szCs w:val="20"/>
          <w:highlight w:val="yellow"/>
        </w:rPr>
        <w:t xml:space="preserve">, A., </w:t>
      </w:r>
      <w:proofErr w:type="spellStart"/>
      <w:r w:rsidRPr="00C95369">
        <w:rPr>
          <w:rFonts w:ascii="Times New Roman" w:hAnsi="Times New Roman" w:cs="Times New Roman"/>
          <w:sz w:val="20"/>
          <w:szCs w:val="20"/>
          <w:highlight w:val="yellow"/>
        </w:rPr>
        <w:t>Fuseini</w:t>
      </w:r>
      <w:proofErr w:type="spellEnd"/>
      <w:r w:rsidRPr="00C95369">
        <w:rPr>
          <w:rFonts w:ascii="Times New Roman" w:hAnsi="Times New Roman" w:cs="Times New Roman"/>
          <w:sz w:val="20"/>
          <w:szCs w:val="20"/>
          <w:highlight w:val="yellow"/>
        </w:rPr>
        <w:t xml:space="preserve">, M., Raymond, A., Osei-Amoah, E., ... &amp; </w:t>
      </w:r>
      <w:proofErr w:type="spellStart"/>
      <w:r w:rsidRPr="00C95369">
        <w:rPr>
          <w:rFonts w:ascii="Times New Roman" w:hAnsi="Times New Roman" w:cs="Times New Roman"/>
          <w:sz w:val="20"/>
          <w:szCs w:val="20"/>
          <w:highlight w:val="yellow"/>
        </w:rPr>
        <w:t>Eyulaku</w:t>
      </w:r>
      <w:proofErr w:type="spellEnd"/>
      <w:r w:rsidRPr="00C95369">
        <w:rPr>
          <w:rFonts w:ascii="Times New Roman" w:hAnsi="Times New Roman" w:cs="Times New Roman"/>
          <w:sz w:val="20"/>
          <w:szCs w:val="20"/>
          <w:highlight w:val="yellow"/>
        </w:rPr>
        <w:t xml:space="preserve">, N. J. (2023). Thrombocytopenia a predictor of malaria: how </w:t>
      </w:r>
      <w:proofErr w:type="gramStart"/>
      <w:r w:rsidRPr="00C95369">
        <w:rPr>
          <w:rFonts w:ascii="Times New Roman" w:hAnsi="Times New Roman" w:cs="Times New Roman"/>
          <w:sz w:val="20"/>
          <w:szCs w:val="20"/>
          <w:highlight w:val="yellow"/>
        </w:rPr>
        <w:t>far?.</w:t>
      </w:r>
      <w:proofErr w:type="gramEnd"/>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Journal of Parasitic Diseases</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47</w:t>
      </w:r>
      <w:r w:rsidRPr="00C95369">
        <w:rPr>
          <w:rFonts w:ascii="Times New Roman" w:hAnsi="Times New Roman" w:cs="Times New Roman"/>
          <w:sz w:val="20"/>
          <w:szCs w:val="20"/>
          <w:highlight w:val="yellow"/>
        </w:rPr>
        <w:t>(1), 1-11. https://doi.org/10.1007/s12639-022-01557-4</w:t>
      </w:r>
    </w:p>
    <w:p w14:paraId="2422D104"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von Wedel, C., </w:t>
      </w:r>
      <w:proofErr w:type="spellStart"/>
      <w:r w:rsidRPr="00C95369">
        <w:rPr>
          <w:rFonts w:ascii="Times New Roman" w:hAnsi="Times New Roman" w:cs="Times New Roman"/>
          <w:sz w:val="20"/>
          <w:szCs w:val="20"/>
          <w:highlight w:val="yellow"/>
        </w:rPr>
        <w:t>Matthies</w:t>
      </w:r>
      <w:proofErr w:type="spellEnd"/>
      <w:r w:rsidRPr="00C95369">
        <w:rPr>
          <w:rFonts w:ascii="Times New Roman" w:hAnsi="Times New Roman" w:cs="Times New Roman"/>
          <w:sz w:val="20"/>
          <w:szCs w:val="20"/>
          <w:highlight w:val="yellow"/>
        </w:rPr>
        <w:t xml:space="preserve">, L. C., Dierks, C., </w:t>
      </w:r>
      <w:proofErr w:type="spellStart"/>
      <w:r w:rsidRPr="00C95369">
        <w:rPr>
          <w:rFonts w:ascii="Times New Roman" w:hAnsi="Times New Roman" w:cs="Times New Roman"/>
          <w:sz w:val="20"/>
          <w:szCs w:val="20"/>
          <w:highlight w:val="yellow"/>
        </w:rPr>
        <w:t>Tober</w:t>
      </w:r>
      <w:proofErr w:type="spellEnd"/>
      <w:r w:rsidRPr="00C95369">
        <w:rPr>
          <w:rFonts w:ascii="Times New Roman" w:hAnsi="Times New Roman" w:cs="Times New Roman"/>
          <w:sz w:val="20"/>
          <w:szCs w:val="20"/>
          <w:highlight w:val="yellow"/>
        </w:rPr>
        <w:t xml:space="preserve">-Lau, P., </w:t>
      </w:r>
      <w:proofErr w:type="spellStart"/>
      <w:r w:rsidRPr="00C95369">
        <w:rPr>
          <w:rFonts w:ascii="Times New Roman" w:hAnsi="Times New Roman" w:cs="Times New Roman"/>
          <w:sz w:val="20"/>
          <w:szCs w:val="20"/>
          <w:highlight w:val="yellow"/>
        </w:rPr>
        <w:t>Bardtke</w:t>
      </w:r>
      <w:proofErr w:type="spellEnd"/>
      <w:r w:rsidRPr="00C95369">
        <w:rPr>
          <w:rFonts w:ascii="Times New Roman" w:hAnsi="Times New Roman" w:cs="Times New Roman"/>
          <w:sz w:val="20"/>
          <w:szCs w:val="20"/>
          <w:highlight w:val="yellow"/>
        </w:rPr>
        <w:t xml:space="preserve">, L., </w:t>
      </w:r>
      <w:proofErr w:type="spellStart"/>
      <w:r w:rsidRPr="00C95369">
        <w:rPr>
          <w:rFonts w:ascii="Times New Roman" w:hAnsi="Times New Roman" w:cs="Times New Roman"/>
          <w:sz w:val="20"/>
          <w:szCs w:val="20"/>
          <w:highlight w:val="yellow"/>
        </w:rPr>
        <w:t>Lingscheid</w:t>
      </w:r>
      <w:proofErr w:type="spellEnd"/>
      <w:r w:rsidRPr="00C95369">
        <w:rPr>
          <w:rFonts w:ascii="Times New Roman" w:hAnsi="Times New Roman" w:cs="Times New Roman"/>
          <w:sz w:val="20"/>
          <w:szCs w:val="20"/>
          <w:highlight w:val="yellow"/>
        </w:rPr>
        <w:t xml:space="preserve">, T., ... &amp; </w:t>
      </w:r>
      <w:proofErr w:type="spellStart"/>
      <w:r w:rsidRPr="00C95369">
        <w:rPr>
          <w:rFonts w:ascii="Times New Roman" w:hAnsi="Times New Roman" w:cs="Times New Roman"/>
          <w:sz w:val="20"/>
          <w:szCs w:val="20"/>
          <w:highlight w:val="yellow"/>
        </w:rPr>
        <w:t>Mischlinger</w:t>
      </w:r>
      <w:proofErr w:type="spellEnd"/>
      <w:r w:rsidRPr="00C95369">
        <w:rPr>
          <w:rFonts w:ascii="Times New Roman" w:hAnsi="Times New Roman" w:cs="Times New Roman"/>
          <w:sz w:val="20"/>
          <w:szCs w:val="20"/>
          <w:highlight w:val="yellow"/>
        </w:rPr>
        <w:t>, J. (2025, August). Comparative Analysis of Initial Full Blood Count Parameters in Adults Infected With Plasmodium falciparum for Classification of Disease Severity and Previous Exposure Across Endemic (Gabon) and Nonendemic (Germany) Settings. In </w:t>
      </w:r>
      <w:r w:rsidRPr="00C95369">
        <w:rPr>
          <w:rFonts w:ascii="Times New Roman" w:hAnsi="Times New Roman" w:cs="Times New Roman"/>
          <w:i/>
          <w:iCs/>
          <w:sz w:val="20"/>
          <w:szCs w:val="20"/>
          <w:highlight w:val="yellow"/>
        </w:rPr>
        <w:t>Open Forum Infectious Diseases</w:t>
      </w:r>
      <w:r w:rsidRPr="00C95369">
        <w:rPr>
          <w:rFonts w:ascii="Times New Roman" w:hAnsi="Times New Roman" w:cs="Times New Roman"/>
          <w:sz w:val="20"/>
          <w:szCs w:val="20"/>
          <w:highlight w:val="yellow"/>
        </w:rPr>
        <w:t> (Vol. 12, No. 8, p. ofaf421). US: Oxford University Press. https://doi.org/10.1093/ofid/ofaf421</w:t>
      </w:r>
    </w:p>
    <w:p w14:paraId="66B94C36" w14:textId="77777777" w:rsidR="00C95369" w:rsidRPr="00C95369" w:rsidRDefault="00C95369" w:rsidP="00C95369">
      <w:pPr>
        <w:spacing w:after="160"/>
        <w:rPr>
          <w:rFonts w:ascii="Times New Roman" w:hAnsi="Times New Roman" w:cs="Times New Roman"/>
          <w:sz w:val="20"/>
          <w:szCs w:val="20"/>
          <w:highlight w:val="yellow"/>
        </w:rPr>
      </w:pPr>
      <w:proofErr w:type="spellStart"/>
      <w:r w:rsidRPr="00C95369">
        <w:rPr>
          <w:rFonts w:ascii="Times New Roman" w:hAnsi="Times New Roman" w:cs="Times New Roman"/>
          <w:sz w:val="20"/>
          <w:szCs w:val="20"/>
          <w:highlight w:val="yellow"/>
        </w:rPr>
        <w:t>Wilairatana</w:t>
      </w:r>
      <w:proofErr w:type="spellEnd"/>
      <w:r w:rsidRPr="00C95369">
        <w:rPr>
          <w:rFonts w:ascii="Times New Roman" w:hAnsi="Times New Roman" w:cs="Times New Roman"/>
          <w:sz w:val="20"/>
          <w:szCs w:val="20"/>
          <w:highlight w:val="yellow"/>
        </w:rPr>
        <w:t xml:space="preserve">, P., Mala, W., </w:t>
      </w:r>
      <w:proofErr w:type="spellStart"/>
      <w:r w:rsidRPr="00C95369">
        <w:rPr>
          <w:rFonts w:ascii="Times New Roman" w:hAnsi="Times New Roman" w:cs="Times New Roman"/>
          <w:sz w:val="20"/>
          <w:szCs w:val="20"/>
          <w:highlight w:val="yellow"/>
        </w:rPr>
        <w:t>Milanez</w:t>
      </w:r>
      <w:proofErr w:type="spellEnd"/>
      <w:r w:rsidRPr="00C95369">
        <w:rPr>
          <w:rFonts w:ascii="Times New Roman" w:hAnsi="Times New Roman" w:cs="Times New Roman"/>
          <w:sz w:val="20"/>
          <w:szCs w:val="20"/>
          <w:highlight w:val="yellow"/>
        </w:rPr>
        <w:t xml:space="preserve">, G. D. J., </w:t>
      </w:r>
      <w:proofErr w:type="spellStart"/>
      <w:r w:rsidRPr="00C95369">
        <w:rPr>
          <w:rFonts w:ascii="Times New Roman" w:hAnsi="Times New Roman" w:cs="Times New Roman"/>
          <w:sz w:val="20"/>
          <w:szCs w:val="20"/>
          <w:highlight w:val="yellow"/>
        </w:rPr>
        <w:t>Masangkay</w:t>
      </w:r>
      <w:proofErr w:type="spellEnd"/>
      <w:r w:rsidRPr="00C95369">
        <w:rPr>
          <w:rFonts w:ascii="Times New Roman" w:hAnsi="Times New Roman" w:cs="Times New Roman"/>
          <w:sz w:val="20"/>
          <w:szCs w:val="20"/>
          <w:highlight w:val="yellow"/>
        </w:rPr>
        <w:t xml:space="preserve">, F. R., </w:t>
      </w:r>
      <w:proofErr w:type="spellStart"/>
      <w:r w:rsidRPr="00C95369">
        <w:rPr>
          <w:rFonts w:ascii="Times New Roman" w:hAnsi="Times New Roman" w:cs="Times New Roman"/>
          <w:sz w:val="20"/>
          <w:szCs w:val="20"/>
          <w:highlight w:val="yellow"/>
        </w:rPr>
        <w:t>Kotepui</w:t>
      </w:r>
      <w:proofErr w:type="spellEnd"/>
      <w:r w:rsidRPr="00C95369">
        <w:rPr>
          <w:rFonts w:ascii="Times New Roman" w:hAnsi="Times New Roman" w:cs="Times New Roman"/>
          <w:sz w:val="20"/>
          <w:szCs w:val="20"/>
          <w:highlight w:val="yellow"/>
        </w:rPr>
        <w:t xml:space="preserve">, K. U., &amp; </w:t>
      </w:r>
      <w:proofErr w:type="spellStart"/>
      <w:r w:rsidRPr="00C95369">
        <w:rPr>
          <w:rFonts w:ascii="Times New Roman" w:hAnsi="Times New Roman" w:cs="Times New Roman"/>
          <w:sz w:val="20"/>
          <w:szCs w:val="20"/>
          <w:highlight w:val="yellow"/>
        </w:rPr>
        <w:t>Kotepui</w:t>
      </w:r>
      <w:proofErr w:type="spellEnd"/>
      <w:r w:rsidRPr="00C95369">
        <w:rPr>
          <w:rFonts w:ascii="Times New Roman" w:hAnsi="Times New Roman" w:cs="Times New Roman"/>
          <w:sz w:val="20"/>
          <w:szCs w:val="20"/>
          <w:highlight w:val="yellow"/>
        </w:rPr>
        <w:t>, M. (2022). Increased interleukin-6 levels associated with malaria infection and disease severity: a systematic review and meta-analysis. </w:t>
      </w:r>
      <w:r w:rsidRPr="00C95369">
        <w:rPr>
          <w:rFonts w:ascii="Times New Roman" w:hAnsi="Times New Roman" w:cs="Times New Roman"/>
          <w:i/>
          <w:iCs/>
          <w:sz w:val="20"/>
          <w:szCs w:val="20"/>
          <w:highlight w:val="yellow"/>
        </w:rPr>
        <w:t>Scientific reports</w:t>
      </w:r>
      <w:r w:rsidRPr="00C95369">
        <w:rPr>
          <w:rFonts w:ascii="Times New Roman" w:hAnsi="Times New Roman" w:cs="Times New Roman"/>
          <w:sz w:val="20"/>
          <w:szCs w:val="20"/>
          <w:highlight w:val="yellow"/>
        </w:rPr>
        <w:t>, </w:t>
      </w:r>
      <w:r w:rsidRPr="00C95369">
        <w:rPr>
          <w:rFonts w:ascii="Times New Roman" w:hAnsi="Times New Roman" w:cs="Times New Roman"/>
          <w:i/>
          <w:iCs/>
          <w:sz w:val="20"/>
          <w:szCs w:val="20"/>
          <w:highlight w:val="yellow"/>
        </w:rPr>
        <w:t>12</w:t>
      </w:r>
      <w:r w:rsidRPr="00C95369">
        <w:rPr>
          <w:rFonts w:ascii="Times New Roman" w:hAnsi="Times New Roman" w:cs="Times New Roman"/>
          <w:sz w:val="20"/>
          <w:szCs w:val="20"/>
          <w:highlight w:val="yellow"/>
        </w:rPr>
        <w:t xml:space="preserve">(1), 5982. </w:t>
      </w:r>
      <w:hyperlink r:id="rId20" w:history="1">
        <w:r w:rsidRPr="00C95369">
          <w:rPr>
            <w:rStyle w:val="Hyperlink"/>
            <w:rFonts w:ascii="Times New Roman" w:hAnsi="Times New Roman" w:cs="Times New Roman"/>
            <w:sz w:val="20"/>
            <w:szCs w:val="20"/>
            <w:highlight w:val="yellow"/>
          </w:rPr>
          <w:t>https://doi.org/10.1038/s41598-022-09848-9</w:t>
        </w:r>
      </w:hyperlink>
    </w:p>
    <w:p w14:paraId="6DAD9193" w14:textId="77777777" w:rsidR="00C95369" w:rsidRPr="00C95369" w:rsidRDefault="00C95369" w:rsidP="00C95369">
      <w:pPr>
        <w:spacing w:after="160"/>
        <w:rPr>
          <w:rFonts w:ascii="Times New Roman" w:hAnsi="Times New Roman" w:cs="Times New Roman"/>
          <w:sz w:val="20"/>
          <w:szCs w:val="20"/>
          <w:highlight w:val="yellow"/>
        </w:rPr>
      </w:pPr>
      <w:r w:rsidRPr="00C95369">
        <w:rPr>
          <w:rFonts w:ascii="Times New Roman" w:hAnsi="Times New Roman" w:cs="Times New Roman"/>
          <w:sz w:val="20"/>
          <w:szCs w:val="20"/>
          <w:highlight w:val="yellow"/>
        </w:rPr>
        <w:t xml:space="preserve">World Health Organization. (2024). Guideline on </w:t>
      </w:r>
      <w:proofErr w:type="spellStart"/>
      <w:r w:rsidRPr="00C95369">
        <w:rPr>
          <w:rFonts w:ascii="Times New Roman" w:hAnsi="Times New Roman" w:cs="Times New Roman"/>
          <w:sz w:val="20"/>
          <w:szCs w:val="20"/>
          <w:highlight w:val="yellow"/>
        </w:rPr>
        <w:t>haemoglobin</w:t>
      </w:r>
      <w:proofErr w:type="spellEnd"/>
      <w:r w:rsidRPr="00C95369">
        <w:rPr>
          <w:rFonts w:ascii="Times New Roman" w:hAnsi="Times New Roman" w:cs="Times New Roman"/>
          <w:sz w:val="20"/>
          <w:szCs w:val="20"/>
          <w:highlight w:val="yellow"/>
        </w:rPr>
        <w:t xml:space="preserve"> cutoffs to define </w:t>
      </w:r>
      <w:proofErr w:type="spellStart"/>
      <w:r w:rsidRPr="00C95369">
        <w:rPr>
          <w:rFonts w:ascii="Times New Roman" w:hAnsi="Times New Roman" w:cs="Times New Roman"/>
          <w:sz w:val="20"/>
          <w:szCs w:val="20"/>
          <w:highlight w:val="yellow"/>
        </w:rPr>
        <w:t>anaemia</w:t>
      </w:r>
      <w:proofErr w:type="spellEnd"/>
      <w:r w:rsidRPr="00C95369">
        <w:rPr>
          <w:rFonts w:ascii="Times New Roman" w:hAnsi="Times New Roman" w:cs="Times New Roman"/>
          <w:sz w:val="20"/>
          <w:szCs w:val="20"/>
          <w:highlight w:val="yellow"/>
        </w:rPr>
        <w:t xml:space="preserve"> in individuals and populations. World Health Organization. https://www.who.int/publications/i/item/9789240088542</w:t>
      </w:r>
    </w:p>
    <w:p w14:paraId="4ED09A7E" w14:textId="0DE8DB0B" w:rsidR="00D65CC8" w:rsidRPr="00B607B4" w:rsidRDefault="00D65CC8" w:rsidP="003B08EB">
      <w:pPr>
        <w:spacing w:line="360" w:lineRule="auto"/>
        <w:rPr>
          <w:rFonts w:ascii="Times New Roman" w:hAnsi="Times New Roman" w:cs="Times New Roman"/>
          <w:sz w:val="20"/>
          <w:szCs w:val="20"/>
        </w:rPr>
      </w:pPr>
    </w:p>
    <w:sectPr w:rsidR="00D65CC8" w:rsidRPr="00B607B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D0E3B" w14:textId="77777777" w:rsidR="00A61E71" w:rsidRDefault="00A61E71" w:rsidP="00EE57D0">
      <w:pPr>
        <w:spacing w:line="240" w:lineRule="auto"/>
      </w:pPr>
      <w:r>
        <w:separator/>
      </w:r>
    </w:p>
  </w:endnote>
  <w:endnote w:type="continuationSeparator" w:id="0">
    <w:p w14:paraId="29AC832C" w14:textId="77777777" w:rsidR="00A61E71" w:rsidRDefault="00A61E71" w:rsidP="00EE57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89265" w14:textId="77777777" w:rsidR="00473216" w:rsidRDefault="004732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439003"/>
      <w:docPartObj>
        <w:docPartGallery w:val="Page Numbers (Bottom of Page)"/>
        <w:docPartUnique/>
      </w:docPartObj>
    </w:sdtPr>
    <w:sdtEndPr>
      <w:rPr>
        <w:noProof/>
      </w:rPr>
    </w:sdtEndPr>
    <w:sdtContent>
      <w:p w14:paraId="7F035584" w14:textId="77777777" w:rsidR="00473216" w:rsidRDefault="00473216">
        <w:pPr>
          <w:pStyle w:val="Footer"/>
          <w:jc w:val="center"/>
        </w:pPr>
        <w:r>
          <w:fldChar w:fldCharType="begin"/>
        </w:r>
        <w:r>
          <w:instrText xml:space="preserve"> PAGE   \* MERGEFORMAT </w:instrText>
        </w:r>
        <w:r>
          <w:fldChar w:fldCharType="separate"/>
        </w:r>
        <w:r w:rsidR="00C95369">
          <w:rPr>
            <w:noProof/>
          </w:rPr>
          <w:t>1</w:t>
        </w:r>
        <w:r>
          <w:rPr>
            <w:noProof/>
          </w:rPr>
          <w:fldChar w:fldCharType="end"/>
        </w:r>
      </w:p>
    </w:sdtContent>
  </w:sdt>
  <w:p w14:paraId="3DF4B020" w14:textId="77777777" w:rsidR="00473216" w:rsidRDefault="004732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C2796" w14:textId="77777777" w:rsidR="00473216" w:rsidRDefault="00473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E3AC6" w14:textId="77777777" w:rsidR="00A61E71" w:rsidRDefault="00A61E71" w:rsidP="00EE57D0">
      <w:pPr>
        <w:spacing w:line="240" w:lineRule="auto"/>
      </w:pPr>
      <w:r>
        <w:separator/>
      </w:r>
    </w:p>
  </w:footnote>
  <w:footnote w:type="continuationSeparator" w:id="0">
    <w:p w14:paraId="1BF278A7" w14:textId="77777777" w:rsidR="00A61E71" w:rsidRDefault="00A61E71" w:rsidP="00EE57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DE72A" w14:textId="0BC31D27" w:rsidR="00473216" w:rsidRDefault="00A61E71">
    <w:pPr>
      <w:pStyle w:val="Header"/>
    </w:pPr>
    <w:r>
      <w:rPr>
        <w:noProof/>
      </w:rPr>
      <w:pict w14:anchorId="2FAC9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50AA7" w14:textId="615FD32D" w:rsidR="00473216" w:rsidRDefault="00A61E71">
    <w:pPr>
      <w:pStyle w:val="Header"/>
    </w:pPr>
    <w:r>
      <w:rPr>
        <w:noProof/>
      </w:rPr>
      <w:pict w14:anchorId="277F8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08A77" w14:textId="2A3FEC5F" w:rsidR="00473216" w:rsidRDefault="00A61E71">
    <w:pPr>
      <w:pStyle w:val="Header"/>
    </w:pPr>
    <w:r>
      <w:rPr>
        <w:noProof/>
      </w:rPr>
      <w:pict w14:anchorId="7EFC2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706E"/>
    <w:multiLevelType w:val="multilevel"/>
    <w:tmpl w:val="F17E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1755F"/>
    <w:multiLevelType w:val="multilevel"/>
    <w:tmpl w:val="2E8E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1E1824"/>
    <w:multiLevelType w:val="multilevel"/>
    <w:tmpl w:val="98E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A20D81"/>
    <w:multiLevelType w:val="multilevel"/>
    <w:tmpl w:val="846C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465235"/>
    <w:multiLevelType w:val="multilevel"/>
    <w:tmpl w:val="F132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7B6B4F"/>
    <w:multiLevelType w:val="hybridMultilevel"/>
    <w:tmpl w:val="2660A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6FF"/>
    <w:rsid w:val="00010F9A"/>
    <w:rsid w:val="00030827"/>
    <w:rsid w:val="00060C59"/>
    <w:rsid w:val="00086677"/>
    <w:rsid w:val="00097BCD"/>
    <w:rsid w:val="000A4644"/>
    <w:rsid w:val="000B41CB"/>
    <w:rsid w:val="000B44E1"/>
    <w:rsid w:val="00103CA3"/>
    <w:rsid w:val="001269D6"/>
    <w:rsid w:val="0013160C"/>
    <w:rsid w:val="001364E8"/>
    <w:rsid w:val="00152C77"/>
    <w:rsid w:val="00164E17"/>
    <w:rsid w:val="0017449A"/>
    <w:rsid w:val="001B5D3A"/>
    <w:rsid w:val="001C1C33"/>
    <w:rsid w:val="001C79BA"/>
    <w:rsid w:val="001D4A6D"/>
    <w:rsid w:val="001E136B"/>
    <w:rsid w:val="001F29D5"/>
    <w:rsid w:val="0020049E"/>
    <w:rsid w:val="00205A6D"/>
    <w:rsid w:val="0020689D"/>
    <w:rsid w:val="0021734A"/>
    <w:rsid w:val="00221B95"/>
    <w:rsid w:val="00222506"/>
    <w:rsid w:val="00227EC0"/>
    <w:rsid w:val="002408AF"/>
    <w:rsid w:val="002415D5"/>
    <w:rsid w:val="00272BED"/>
    <w:rsid w:val="00277306"/>
    <w:rsid w:val="00296603"/>
    <w:rsid w:val="002B36C0"/>
    <w:rsid w:val="002C2F97"/>
    <w:rsid w:val="002E057A"/>
    <w:rsid w:val="00337E4A"/>
    <w:rsid w:val="00360E12"/>
    <w:rsid w:val="00367DD9"/>
    <w:rsid w:val="00376D58"/>
    <w:rsid w:val="00385BFC"/>
    <w:rsid w:val="00396363"/>
    <w:rsid w:val="003B08EB"/>
    <w:rsid w:val="003D0BFC"/>
    <w:rsid w:val="003D2215"/>
    <w:rsid w:val="003F41E1"/>
    <w:rsid w:val="003F4B16"/>
    <w:rsid w:val="00473216"/>
    <w:rsid w:val="004A6930"/>
    <w:rsid w:val="004C3CFD"/>
    <w:rsid w:val="004D37DE"/>
    <w:rsid w:val="004D45B5"/>
    <w:rsid w:val="004E7506"/>
    <w:rsid w:val="00501B24"/>
    <w:rsid w:val="00505F47"/>
    <w:rsid w:val="00512085"/>
    <w:rsid w:val="00535379"/>
    <w:rsid w:val="005952CD"/>
    <w:rsid w:val="005A0156"/>
    <w:rsid w:val="005A3FE0"/>
    <w:rsid w:val="005B6893"/>
    <w:rsid w:val="005B6A2B"/>
    <w:rsid w:val="005C33E8"/>
    <w:rsid w:val="005E1F8E"/>
    <w:rsid w:val="005F265E"/>
    <w:rsid w:val="00601F52"/>
    <w:rsid w:val="006579EC"/>
    <w:rsid w:val="00662EB2"/>
    <w:rsid w:val="0066413A"/>
    <w:rsid w:val="006655C7"/>
    <w:rsid w:val="00681BD1"/>
    <w:rsid w:val="006A196F"/>
    <w:rsid w:val="006A3D45"/>
    <w:rsid w:val="006D1A25"/>
    <w:rsid w:val="006D6DE9"/>
    <w:rsid w:val="006D76A5"/>
    <w:rsid w:val="006E0446"/>
    <w:rsid w:val="007369B5"/>
    <w:rsid w:val="00783B62"/>
    <w:rsid w:val="007B3737"/>
    <w:rsid w:val="007B7EAF"/>
    <w:rsid w:val="007C13F2"/>
    <w:rsid w:val="007D7206"/>
    <w:rsid w:val="00827551"/>
    <w:rsid w:val="0083268D"/>
    <w:rsid w:val="00854BFF"/>
    <w:rsid w:val="008A3671"/>
    <w:rsid w:val="008A514D"/>
    <w:rsid w:val="008C7061"/>
    <w:rsid w:val="008D006D"/>
    <w:rsid w:val="008D3B14"/>
    <w:rsid w:val="008E7CCC"/>
    <w:rsid w:val="008F1666"/>
    <w:rsid w:val="00901C92"/>
    <w:rsid w:val="0090583D"/>
    <w:rsid w:val="00927B33"/>
    <w:rsid w:val="00957DEF"/>
    <w:rsid w:val="00960B79"/>
    <w:rsid w:val="00971968"/>
    <w:rsid w:val="00992DD5"/>
    <w:rsid w:val="009B1E0A"/>
    <w:rsid w:val="009B5AE8"/>
    <w:rsid w:val="009C3F17"/>
    <w:rsid w:val="009D68F8"/>
    <w:rsid w:val="009E1245"/>
    <w:rsid w:val="009F5D9C"/>
    <w:rsid w:val="00A01A7E"/>
    <w:rsid w:val="00A10532"/>
    <w:rsid w:val="00A2645A"/>
    <w:rsid w:val="00A32040"/>
    <w:rsid w:val="00A53FA8"/>
    <w:rsid w:val="00A61E71"/>
    <w:rsid w:val="00A6728E"/>
    <w:rsid w:val="00A977AA"/>
    <w:rsid w:val="00AA4A0F"/>
    <w:rsid w:val="00AA7BA8"/>
    <w:rsid w:val="00AB4502"/>
    <w:rsid w:val="00AC3E81"/>
    <w:rsid w:val="00B3239B"/>
    <w:rsid w:val="00B40008"/>
    <w:rsid w:val="00B465EF"/>
    <w:rsid w:val="00B607B4"/>
    <w:rsid w:val="00B71537"/>
    <w:rsid w:val="00B76C16"/>
    <w:rsid w:val="00BE3E9C"/>
    <w:rsid w:val="00C01EF3"/>
    <w:rsid w:val="00C036D6"/>
    <w:rsid w:val="00C056FF"/>
    <w:rsid w:val="00C3499A"/>
    <w:rsid w:val="00C678EA"/>
    <w:rsid w:val="00C7232D"/>
    <w:rsid w:val="00C76BA0"/>
    <w:rsid w:val="00C95369"/>
    <w:rsid w:val="00CA031B"/>
    <w:rsid w:val="00D53453"/>
    <w:rsid w:val="00D609D2"/>
    <w:rsid w:val="00D6420A"/>
    <w:rsid w:val="00D65CC8"/>
    <w:rsid w:val="00D71DB4"/>
    <w:rsid w:val="00D73969"/>
    <w:rsid w:val="00D74830"/>
    <w:rsid w:val="00D861FD"/>
    <w:rsid w:val="00D94BAC"/>
    <w:rsid w:val="00D957D6"/>
    <w:rsid w:val="00DD41F9"/>
    <w:rsid w:val="00E145A0"/>
    <w:rsid w:val="00E16407"/>
    <w:rsid w:val="00E24288"/>
    <w:rsid w:val="00E60302"/>
    <w:rsid w:val="00E71051"/>
    <w:rsid w:val="00E82BD8"/>
    <w:rsid w:val="00E8675A"/>
    <w:rsid w:val="00E95F62"/>
    <w:rsid w:val="00EA4763"/>
    <w:rsid w:val="00EB4A1E"/>
    <w:rsid w:val="00ED587D"/>
    <w:rsid w:val="00EE57D0"/>
    <w:rsid w:val="00EE7B28"/>
    <w:rsid w:val="00F0190F"/>
    <w:rsid w:val="00F03530"/>
    <w:rsid w:val="00F14A33"/>
    <w:rsid w:val="00F16ADA"/>
    <w:rsid w:val="00F41B0F"/>
    <w:rsid w:val="00F75EB8"/>
    <w:rsid w:val="00F91486"/>
    <w:rsid w:val="00F97257"/>
    <w:rsid w:val="00FC4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957D6A"/>
  <w15:chartTrackingRefBased/>
  <w15:docId w15:val="{0D6F9B35-1CF2-405C-BC64-68DA9D56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6D6"/>
    <w:pPr>
      <w:ind w:left="720"/>
      <w:contextualSpacing/>
    </w:pPr>
  </w:style>
  <w:style w:type="paragraph" w:styleId="Header">
    <w:name w:val="header"/>
    <w:basedOn w:val="Normal"/>
    <w:link w:val="HeaderChar"/>
    <w:uiPriority w:val="99"/>
    <w:unhideWhenUsed/>
    <w:rsid w:val="00EE57D0"/>
    <w:pPr>
      <w:tabs>
        <w:tab w:val="center" w:pos="4680"/>
        <w:tab w:val="right" w:pos="9360"/>
      </w:tabs>
      <w:spacing w:line="240" w:lineRule="auto"/>
    </w:pPr>
  </w:style>
  <w:style w:type="character" w:customStyle="1" w:styleId="HeaderChar">
    <w:name w:val="Header Char"/>
    <w:basedOn w:val="DefaultParagraphFont"/>
    <w:link w:val="Header"/>
    <w:uiPriority w:val="99"/>
    <w:rsid w:val="00EE57D0"/>
  </w:style>
  <w:style w:type="paragraph" w:styleId="Footer">
    <w:name w:val="footer"/>
    <w:basedOn w:val="Normal"/>
    <w:link w:val="FooterChar"/>
    <w:uiPriority w:val="99"/>
    <w:unhideWhenUsed/>
    <w:rsid w:val="00EE57D0"/>
    <w:pPr>
      <w:tabs>
        <w:tab w:val="center" w:pos="4680"/>
        <w:tab w:val="right" w:pos="9360"/>
      </w:tabs>
      <w:spacing w:line="240" w:lineRule="auto"/>
    </w:pPr>
  </w:style>
  <w:style w:type="character" w:customStyle="1" w:styleId="FooterChar">
    <w:name w:val="Footer Char"/>
    <w:basedOn w:val="DefaultParagraphFont"/>
    <w:link w:val="Footer"/>
    <w:uiPriority w:val="99"/>
    <w:rsid w:val="00EE57D0"/>
  </w:style>
  <w:style w:type="character" w:styleId="Hyperlink">
    <w:name w:val="Hyperlink"/>
    <w:basedOn w:val="DefaultParagraphFont"/>
    <w:uiPriority w:val="99"/>
    <w:unhideWhenUsed/>
    <w:rsid w:val="00376D58"/>
    <w:rPr>
      <w:color w:val="0563C1" w:themeColor="hyperlink"/>
      <w:u w:val="single"/>
    </w:rPr>
  </w:style>
  <w:style w:type="character" w:customStyle="1" w:styleId="UnresolvedMention1">
    <w:name w:val="Unresolved Mention1"/>
    <w:basedOn w:val="DefaultParagraphFont"/>
    <w:uiPriority w:val="99"/>
    <w:semiHidden/>
    <w:unhideWhenUsed/>
    <w:rsid w:val="002E057A"/>
    <w:rPr>
      <w:color w:val="605E5C"/>
      <w:shd w:val="clear" w:color="auto" w:fill="E1DFDD"/>
    </w:rPr>
  </w:style>
  <w:style w:type="paragraph" w:styleId="NoSpacing">
    <w:name w:val="No Spacing"/>
    <w:uiPriority w:val="1"/>
    <w:qFormat/>
    <w:rsid w:val="00C01EF3"/>
    <w:pPr>
      <w:spacing w:line="240" w:lineRule="auto"/>
      <w:jc w:val="left"/>
    </w:pPr>
    <w:rPr>
      <w:kern w:val="2"/>
      <w14:ligatures w14:val="standardContextual"/>
    </w:rPr>
  </w:style>
  <w:style w:type="paragraph" w:styleId="NormalWeb">
    <w:name w:val="Normal (Web)"/>
    <w:basedOn w:val="Normal"/>
    <w:uiPriority w:val="99"/>
    <w:semiHidden/>
    <w:unhideWhenUsed/>
    <w:rsid w:val="008D006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171">
      <w:bodyDiv w:val="1"/>
      <w:marLeft w:val="0"/>
      <w:marRight w:val="0"/>
      <w:marTop w:val="0"/>
      <w:marBottom w:val="0"/>
      <w:divBdr>
        <w:top w:val="none" w:sz="0" w:space="0" w:color="auto"/>
        <w:left w:val="none" w:sz="0" w:space="0" w:color="auto"/>
        <w:bottom w:val="none" w:sz="0" w:space="0" w:color="auto"/>
        <w:right w:val="none" w:sz="0" w:space="0" w:color="auto"/>
      </w:divBdr>
    </w:div>
    <w:div w:id="47187623">
      <w:bodyDiv w:val="1"/>
      <w:marLeft w:val="0"/>
      <w:marRight w:val="0"/>
      <w:marTop w:val="0"/>
      <w:marBottom w:val="0"/>
      <w:divBdr>
        <w:top w:val="none" w:sz="0" w:space="0" w:color="auto"/>
        <w:left w:val="none" w:sz="0" w:space="0" w:color="auto"/>
        <w:bottom w:val="none" w:sz="0" w:space="0" w:color="auto"/>
        <w:right w:val="none" w:sz="0" w:space="0" w:color="auto"/>
      </w:divBdr>
    </w:div>
    <w:div w:id="93063963">
      <w:bodyDiv w:val="1"/>
      <w:marLeft w:val="0"/>
      <w:marRight w:val="0"/>
      <w:marTop w:val="0"/>
      <w:marBottom w:val="0"/>
      <w:divBdr>
        <w:top w:val="none" w:sz="0" w:space="0" w:color="auto"/>
        <w:left w:val="none" w:sz="0" w:space="0" w:color="auto"/>
        <w:bottom w:val="none" w:sz="0" w:space="0" w:color="auto"/>
        <w:right w:val="none" w:sz="0" w:space="0" w:color="auto"/>
      </w:divBdr>
    </w:div>
    <w:div w:id="113600873">
      <w:bodyDiv w:val="1"/>
      <w:marLeft w:val="0"/>
      <w:marRight w:val="0"/>
      <w:marTop w:val="0"/>
      <w:marBottom w:val="0"/>
      <w:divBdr>
        <w:top w:val="none" w:sz="0" w:space="0" w:color="auto"/>
        <w:left w:val="none" w:sz="0" w:space="0" w:color="auto"/>
        <w:bottom w:val="none" w:sz="0" w:space="0" w:color="auto"/>
        <w:right w:val="none" w:sz="0" w:space="0" w:color="auto"/>
      </w:divBdr>
    </w:div>
    <w:div w:id="148206093">
      <w:bodyDiv w:val="1"/>
      <w:marLeft w:val="0"/>
      <w:marRight w:val="0"/>
      <w:marTop w:val="0"/>
      <w:marBottom w:val="0"/>
      <w:divBdr>
        <w:top w:val="none" w:sz="0" w:space="0" w:color="auto"/>
        <w:left w:val="none" w:sz="0" w:space="0" w:color="auto"/>
        <w:bottom w:val="none" w:sz="0" w:space="0" w:color="auto"/>
        <w:right w:val="none" w:sz="0" w:space="0" w:color="auto"/>
      </w:divBdr>
    </w:div>
    <w:div w:id="286589441">
      <w:bodyDiv w:val="1"/>
      <w:marLeft w:val="0"/>
      <w:marRight w:val="0"/>
      <w:marTop w:val="0"/>
      <w:marBottom w:val="0"/>
      <w:divBdr>
        <w:top w:val="none" w:sz="0" w:space="0" w:color="auto"/>
        <w:left w:val="none" w:sz="0" w:space="0" w:color="auto"/>
        <w:bottom w:val="none" w:sz="0" w:space="0" w:color="auto"/>
        <w:right w:val="none" w:sz="0" w:space="0" w:color="auto"/>
      </w:divBdr>
    </w:div>
    <w:div w:id="321157509">
      <w:bodyDiv w:val="1"/>
      <w:marLeft w:val="0"/>
      <w:marRight w:val="0"/>
      <w:marTop w:val="0"/>
      <w:marBottom w:val="0"/>
      <w:divBdr>
        <w:top w:val="none" w:sz="0" w:space="0" w:color="auto"/>
        <w:left w:val="none" w:sz="0" w:space="0" w:color="auto"/>
        <w:bottom w:val="none" w:sz="0" w:space="0" w:color="auto"/>
        <w:right w:val="none" w:sz="0" w:space="0" w:color="auto"/>
      </w:divBdr>
    </w:div>
    <w:div w:id="451823277">
      <w:bodyDiv w:val="1"/>
      <w:marLeft w:val="0"/>
      <w:marRight w:val="0"/>
      <w:marTop w:val="0"/>
      <w:marBottom w:val="0"/>
      <w:divBdr>
        <w:top w:val="none" w:sz="0" w:space="0" w:color="auto"/>
        <w:left w:val="none" w:sz="0" w:space="0" w:color="auto"/>
        <w:bottom w:val="none" w:sz="0" w:space="0" w:color="auto"/>
        <w:right w:val="none" w:sz="0" w:space="0" w:color="auto"/>
      </w:divBdr>
    </w:div>
    <w:div w:id="470099375">
      <w:bodyDiv w:val="1"/>
      <w:marLeft w:val="0"/>
      <w:marRight w:val="0"/>
      <w:marTop w:val="0"/>
      <w:marBottom w:val="0"/>
      <w:divBdr>
        <w:top w:val="none" w:sz="0" w:space="0" w:color="auto"/>
        <w:left w:val="none" w:sz="0" w:space="0" w:color="auto"/>
        <w:bottom w:val="none" w:sz="0" w:space="0" w:color="auto"/>
        <w:right w:val="none" w:sz="0" w:space="0" w:color="auto"/>
      </w:divBdr>
    </w:div>
    <w:div w:id="488442338">
      <w:bodyDiv w:val="1"/>
      <w:marLeft w:val="0"/>
      <w:marRight w:val="0"/>
      <w:marTop w:val="0"/>
      <w:marBottom w:val="0"/>
      <w:divBdr>
        <w:top w:val="none" w:sz="0" w:space="0" w:color="auto"/>
        <w:left w:val="none" w:sz="0" w:space="0" w:color="auto"/>
        <w:bottom w:val="none" w:sz="0" w:space="0" w:color="auto"/>
        <w:right w:val="none" w:sz="0" w:space="0" w:color="auto"/>
      </w:divBdr>
    </w:div>
    <w:div w:id="640353601">
      <w:bodyDiv w:val="1"/>
      <w:marLeft w:val="0"/>
      <w:marRight w:val="0"/>
      <w:marTop w:val="0"/>
      <w:marBottom w:val="0"/>
      <w:divBdr>
        <w:top w:val="none" w:sz="0" w:space="0" w:color="auto"/>
        <w:left w:val="none" w:sz="0" w:space="0" w:color="auto"/>
        <w:bottom w:val="none" w:sz="0" w:space="0" w:color="auto"/>
        <w:right w:val="none" w:sz="0" w:space="0" w:color="auto"/>
      </w:divBdr>
    </w:div>
    <w:div w:id="648292729">
      <w:bodyDiv w:val="1"/>
      <w:marLeft w:val="0"/>
      <w:marRight w:val="0"/>
      <w:marTop w:val="0"/>
      <w:marBottom w:val="0"/>
      <w:divBdr>
        <w:top w:val="none" w:sz="0" w:space="0" w:color="auto"/>
        <w:left w:val="none" w:sz="0" w:space="0" w:color="auto"/>
        <w:bottom w:val="none" w:sz="0" w:space="0" w:color="auto"/>
        <w:right w:val="none" w:sz="0" w:space="0" w:color="auto"/>
      </w:divBdr>
    </w:div>
    <w:div w:id="672338052">
      <w:bodyDiv w:val="1"/>
      <w:marLeft w:val="0"/>
      <w:marRight w:val="0"/>
      <w:marTop w:val="0"/>
      <w:marBottom w:val="0"/>
      <w:divBdr>
        <w:top w:val="none" w:sz="0" w:space="0" w:color="auto"/>
        <w:left w:val="none" w:sz="0" w:space="0" w:color="auto"/>
        <w:bottom w:val="none" w:sz="0" w:space="0" w:color="auto"/>
        <w:right w:val="none" w:sz="0" w:space="0" w:color="auto"/>
      </w:divBdr>
    </w:div>
    <w:div w:id="830826649">
      <w:bodyDiv w:val="1"/>
      <w:marLeft w:val="0"/>
      <w:marRight w:val="0"/>
      <w:marTop w:val="0"/>
      <w:marBottom w:val="0"/>
      <w:divBdr>
        <w:top w:val="none" w:sz="0" w:space="0" w:color="auto"/>
        <w:left w:val="none" w:sz="0" w:space="0" w:color="auto"/>
        <w:bottom w:val="none" w:sz="0" w:space="0" w:color="auto"/>
        <w:right w:val="none" w:sz="0" w:space="0" w:color="auto"/>
      </w:divBdr>
    </w:div>
    <w:div w:id="873541839">
      <w:bodyDiv w:val="1"/>
      <w:marLeft w:val="0"/>
      <w:marRight w:val="0"/>
      <w:marTop w:val="0"/>
      <w:marBottom w:val="0"/>
      <w:divBdr>
        <w:top w:val="none" w:sz="0" w:space="0" w:color="auto"/>
        <w:left w:val="none" w:sz="0" w:space="0" w:color="auto"/>
        <w:bottom w:val="none" w:sz="0" w:space="0" w:color="auto"/>
        <w:right w:val="none" w:sz="0" w:space="0" w:color="auto"/>
      </w:divBdr>
    </w:div>
    <w:div w:id="912161522">
      <w:bodyDiv w:val="1"/>
      <w:marLeft w:val="0"/>
      <w:marRight w:val="0"/>
      <w:marTop w:val="0"/>
      <w:marBottom w:val="0"/>
      <w:divBdr>
        <w:top w:val="none" w:sz="0" w:space="0" w:color="auto"/>
        <w:left w:val="none" w:sz="0" w:space="0" w:color="auto"/>
        <w:bottom w:val="none" w:sz="0" w:space="0" w:color="auto"/>
        <w:right w:val="none" w:sz="0" w:space="0" w:color="auto"/>
      </w:divBdr>
    </w:div>
    <w:div w:id="938413861">
      <w:bodyDiv w:val="1"/>
      <w:marLeft w:val="0"/>
      <w:marRight w:val="0"/>
      <w:marTop w:val="0"/>
      <w:marBottom w:val="0"/>
      <w:divBdr>
        <w:top w:val="none" w:sz="0" w:space="0" w:color="auto"/>
        <w:left w:val="none" w:sz="0" w:space="0" w:color="auto"/>
        <w:bottom w:val="none" w:sz="0" w:space="0" w:color="auto"/>
        <w:right w:val="none" w:sz="0" w:space="0" w:color="auto"/>
      </w:divBdr>
    </w:div>
    <w:div w:id="968894786">
      <w:bodyDiv w:val="1"/>
      <w:marLeft w:val="0"/>
      <w:marRight w:val="0"/>
      <w:marTop w:val="0"/>
      <w:marBottom w:val="0"/>
      <w:divBdr>
        <w:top w:val="none" w:sz="0" w:space="0" w:color="auto"/>
        <w:left w:val="none" w:sz="0" w:space="0" w:color="auto"/>
        <w:bottom w:val="none" w:sz="0" w:space="0" w:color="auto"/>
        <w:right w:val="none" w:sz="0" w:space="0" w:color="auto"/>
      </w:divBdr>
    </w:div>
    <w:div w:id="1100300515">
      <w:bodyDiv w:val="1"/>
      <w:marLeft w:val="0"/>
      <w:marRight w:val="0"/>
      <w:marTop w:val="0"/>
      <w:marBottom w:val="0"/>
      <w:divBdr>
        <w:top w:val="none" w:sz="0" w:space="0" w:color="auto"/>
        <w:left w:val="none" w:sz="0" w:space="0" w:color="auto"/>
        <w:bottom w:val="none" w:sz="0" w:space="0" w:color="auto"/>
        <w:right w:val="none" w:sz="0" w:space="0" w:color="auto"/>
      </w:divBdr>
    </w:div>
    <w:div w:id="1219167854">
      <w:bodyDiv w:val="1"/>
      <w:marLeft w:val="0"/>
      <w:marRight w:val="0"/>
      <w:marTop w:val="0"/>
      <w:marBottom w:val="0"/>
      <w:divBdr>
        <w:top w:val="none" w:sz="0" w:space="0" w:color="auto"/>
        <w:left w:val="none" w:sz="0" w:space="0" w:color="auto"/>
        <w:bottom w:val="none" w:sz="0" w:space="0" w:color="auto"/>
        <w:right w:val="none" w:sz="0" w:space="0" w:color="auto"/>
      </w:divBdr>
    </w:div>
    <w:div w:id="1449857019">
      <w:bodyDiv w:val="1"/>
      <w:marLeft w:val="0"/>
      <w:marRight w:val="0"/>
      <w:marTop w:val="0"/>
      <w:marBottom w:val="0"/>
      <w:divBdr>
        <w:top w:val="none" w:sz="0" w:space="0" w:color="auto"/>
        <w:left w:val="none" w:sz="0" w:space="0" w:color="auto"/>
        <w:bottom w:val="none" w:sz="0" w:space="0" w:color="auto"/>
        <w:right w:val="none" w:sz="0" w:space="0" w:color="auto"/>
      </w:divBdr>
    </w:div>
    <w:div w:id="1512917661">
      <w:bodyDiv w:val="1"/>
      <w:marLeft w:val="0"/>
      <w:marRight w:val="0"/>
      <w:marTop w:val="0"/>
      <w:marBottom w:val="0"/>
      <w:divBdr>
        <w:top w:val="none" w:sz="0" w:space="0" w:color="auto"/>
        <w:left w:val="none" w:sz="0" w:space="0" w:color="auto"/>
        <w:bottom w:val="none" w:sz="0" w:space="0" w:color="auto"/>
        <w:right w:val="none" w:sz="0" w:space="0" w:color="auto"/>
      </w:divBdr>
    </w:div>
    <w:div w:id="1570845143">
      <w:bodyDiv w:val="1"/>
      <w:marLeft w:val="0"/>
      <w:marRight w:val="0"/>
      <w:marTop w:val="0"/>
      <w:marBottom w:val="0"/>
      <w:divBdr>
        <w:top w:val="none" w:sz="0" w:space="0" w:color="auto"/>
        <w:left w:val="none" w:sz="0" w:space="0" w:color="auto"/>
        <w:bottom w:val="none" w:sz="0" w:space="0" w:color="auto"/>
        <w:right w:val="none" w:sz="0" w:space="0" w:color="auto"/>
      </w:divBdr>
    </w:div>
    <w:div w:id="1584951719">
      <w:bodyDiv w:val="1"/>
      <w:marLeft w:val="0"/>
      <w:marRight w:val="0"/>
      <w:marTop w:val="0"/>
      <w:marBottom w:val="0"/>
      <w:divBdr>
        <w:top w:val="none" w:sz="0" w:space="0" w:color="auto"/>
        <w:left w:val="none" w:sz="0" w:space="0" w:color="auto"/>
        <w:bottom w:val="none" w:sz="0" w:space="0" w:color="auto"/>
        <w:right w:val="none" w:sz="0" w:space="0" w:color="auto"/>
      </w:divBdr>
    </w:div>
    <w:div w:id="1593472194">
      <w:bodyDiv w:val="1"/>
      <w:marLeft w:val="0"/>
      <w:marRight w:val="0"/>
      <w:marTop w:val="0"/>
      <w:marBottom w:val="0"/>
      <w:divBdr>
        <w:top w:val="none" w:sz="0" w:space="0" w:color="auto"/>
        <w:left w:val="none" w:sz="0" w:space="0" w:color="auto"/>
        <w:bottom w:val="none" w:sz="0" w:space="0" w:color="auto"/>
        <w:right w:val="none" w:sz="0" w:space="0" w:color="auto"/>
      </w:divBdr>
    </w:div>
    <w:div w:id="1696727829">
      <w:bodyDiv w:val="1"/>
      <w:marLeft w:val="0"/>
      <w:marRight w:val="0"/>
      <w:marTop w:val="0"/>
      <w:marBottom w:val="0"/>
      <w:divBdr>
        <w:top w:val="none" w:sz="0" w:space="0" w:color="auto"/>
        <w:left w:val="none" w:sz="0" w:space="0" w:color="auto"/>
        <w:bottom w:val="none" w:sz="0" w:space="0" w:color="auto"/>
        <w:right w:val="none" w:sz="0" w:space="0" w:color="auto"/>
      </w:divBdr>
    </w:div>
    <w:div w:id="1787042995">
      <w:bodyDiv w:val="1"/>
      <w:marLeft w:val="0"/>
      <w:marRight w:val="0"/>
      <w:marTop w:val="0"/>
      <w:marBottom w:val="0"/>
      <w:divBdr>
        <w:top w:val="none" w:sz="0" w:space="0" w:color="auto"/>
        <w:left w:val="none" w:sz="0" w:space="0" w:color="auto"/>
        <w:bottom w:val="none" w:sz="0" w:space="0" w:color="auto"/>
        <w:right w:val="none" w:sz="0" w:space="0" w:color="auto"/>
      </w:divBdr>
    </w:div>
    <w:div w:id="1820919132">
      <w:bodyDiv w:val="1"/>
      <w:marLeft w:val="0"/>
      <w:marRight w:val="0"/>
      <w:marTop w:val="0"/>
      <w:marBottom w:val="0"/>
      <w:divBdr>
        <w:top w:val="none" w:sz="0" w:space="0" w:color="auto"/>
        <w:left w:val="none" w:sz="0" w:space="0" w:color="auto"/>
        <w:bottom w:val="none" w:sz="0" w:space="0" w:color="auto"/>
        <w:right w:val="none" w:sz="0" w:space="0" w:color="auto"/>
      </w:divBdr>
    </w:div>
    <w:div w:id="1850607697">
      <w:bodyDiv w:val="1"/>
      <w:marLeft w:val="0"/>
      <w:marRight w:val="0"/>
      <w:marTop w:val="0"/>
      <w:marBottom w:val="0"/>
      <w:divBdr>
        <w:top w:val="none" w:sz="0" w:space="0" w:color="auto"/>
        <w:left w:val="none" w:sz="0" w:space="0" w:color="auto"/>
        <w:bottom w:val="none" w:sz="0" w:space="0" w:color="auto"/>
        <w:right w:val="none" w:sz="0" w:space="0" w:color="auto"/>
      </w:divBdr>
    </w:div>
    <w:div w:id="2044623721">
      <w:bodyDiv w:val="1"/>
      <w:marLeft w:val="0"/>
      <w:marRight w:val="0"/>
      <w:marTop w:val="0"/>
      <w:marBottom w:val="0"/>
      <w:divBdr>
        <w:top w:val="none" w:sz="0" w:space="0" w:color="auto"/>
        <w:left w:val="none" w:sz="0" w:space="0" w:color="auto"/>
        <w:bottom w:val="none" w:sz="0" w:space="0" w:color="auto"/>
        <w:right w:val="none" w:sz="0" w:space="0" w:color="auto"/>
      </w:divBdr>
    </w:div>
    <w:div w:id="2093307124">
      <w:bodyDiv w:val="1"/>
      <w:marLeft w:val="0"/>
      <w:marRight w:val="0"/>
      <w:marTop w:val="0"/>
      <w:marBottom w:val="0"/>
      <w:divBdr>
        <w:top w:val="none" w:sz="0" w:space="0" w:color="auto"/>
        <w:left w:val="none" w:sz="0" w:space="0" w:color="auto"/>
        <w:bottom w:val="none" w:sz="0" w:space="0" w:color="auto"/>
        <w:right w:val="none" w:sz="0" w:space="0" w:color="auto"/>
      </w:divBdr>
    </w:div>
    <w:div w:id="2098363487">
      <w:bodyDiv w:val="1"/>
      <w:marLeft w:val="0"/>
      <w:marRight w:val="0"/>
      <w:marTop w:val="0"/>
      <w:marBottom w:val="0"/>
      <w:divBdr>
        <w:top w:val="none" w:sz="0" w:space="0" w:color="auto"/>
        <w:left w:val="none" w:sz="0" w:space="0" w:color="auto"/>
        <w:bottom w:val="none" w:sz="0" w:space="0" w:color="auto"/>
        <w:right w:val="none" w:sz="0" w:space="0" w:color="auto"/>
      </w:divBdr>
    </w:div>
    <w:div w:id="2137798119">
      <w:bodyDiv w:val="1"/>
      <w:marLeft w:val="0"/>
      <w:marRight w:val="0"/>
      <w:marTop w:val="0"/>
      <w:marBottom w:val="0"/>
      <w:divBdr>
        <w:top w:val="none" w:sz="0" w:space="0" w:color="auto"/>
        <w:left w:val="none" w:sz="0" w:space="0" w:color="auto"/>
        <w:bottom w:val="none" w:sz="0" w:space="0" w:color="auto"/>
        <w:right w:val="none" w:sz="0" w:space="0" w:color="auto"/>
      </w:divBdr>
    </w:div>
    <w:div w:id="214493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https://doi.org/10.1016/j.cell.2016.07.055"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38/s41598-022-09848-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s://www.healthcare-bulletin.co.uk/article/volume-13-issue-2-pages486-490-ra/?utm_source=chatgpt.co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22</Pages>
  <Words>7672</Words>
  <Characters>43734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1089</cp:lastModifiedBy>
  <cp:revision>20</cp:revision>
  <dcterms:created xsi:type="dcterms:W3CDTF">2026-03-03T18:16:00Z</dcterms:created>
  <dcterms:modified xsi:type="dcterms:W3CDTF">2026-03-06T12:06:00Z</dcterms:modified>
</cp:coreProperties>
</file>