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4A4E" w:rsidRDefault="00C54A4E" w:rsidP="00C54A4E">
      <w:pPr>
        <w:spacing w:line="240" w:lineRule="auto"/>
        <w:jc w:val="center"/>
        <w:rPr>
          <w:rFonts w:ascii="Times New Roman" w:hAnsi="Times New Roman"/>
          <w:b/>
          <w:sz w:val="24"/>
          <w:szCs w:val="24"/>
          <w:lang w:eastAsia="en-GB"/>
        </w:rPr>
      </w:pPr>
    </w:p>
    <w:p w:rsidR="00C54A4E" w:rsidRPr="00E54152" w:rsidRDefault="00EF3BBC" w:rsidP="008B1DE8">
      <w:pPr>
        <w:shd w:val="clear" w:color="auto" w:fill="FFFFFF" w:themeFill="background1"/>
        <w:spacing w:line="240" w:lineRule="auto"/>
        <w:jc w:val="center"/>
        <w:rPr>
          <w:rFonts w:ascii="Times New Roman" w:hAnsi="Times New Roman"/>
          <w:sz w:val="24"/>
          <w:szCs w:val="24"/>
        </w:rPr>
      </w:pPr>
      <w:r w:rsidRPr="008B1DE8">
        <w:rPr>
          <w:rFonts w:ascii="Times New Roman" w:hAnsi="Times New Roman"/>
          <w:b/>
          <w:sz w:val="24"/>
          <w:szCs w:val="24"/>
          <w:lang w:eastAsia="en-GB"/>
        </w:rPr>
        <w:t>Garlic (</w:t>
      </w:r>
      <w:r w:rsidRPr="008B1DE8">
        <w:rPr>
          <w:rFonts w:ascii="Times New Roman" w:hAnsi="Times New Roman"/>
          <w:b/>
          <w:i/>
          <w:sz w:val="24"/>
          <w:szCs w:val="24"/>
          <w:lang w:eastAsia="en-GB"/>
        </w:rPr>
        <w:t>allium sativum l.</w:t>
      </w:r>
      <w:r w:rsidRPr="008B1DE8">
        <w:rPr>
          <w:rFonts w:ascii="Times New Roman" w:hAnsi="Times New Roman"/>
          <w:b/>
          <w:sz w:val="24"/>
          <w:szCs w:val="24"/>
          <w:lang w:eastAsia="en-GB"/>
        </w:rPr>
        <w:t>) Extract inhibits nrf2 resulting in reduced ovarian cancer cell proliferation</w:t>
      </w:r>
    </w:p>
    <w:p w:rsidR="00C54A4E" w:rsidRDefault="00C54A4E" w:rsidP="00C54A4E">
      <w:pPr>
        <w:spacing w:line="240" w:lineRule="auto"/>
        <w:rPr>
          <w:rFonts w:ascii="Times New Roman" w:hAnsi="Times New Roman"/>
          <w:sz w:val="24"/>
          <w:szCs w:val="24"/>
        </w:rPr>
      </w:pPr>
    </w:p>
    <w:p w:rsidR="00C54A4E" w:rsidRPr="00A413E0" w:rsidRDefault="00C54A4E" w:rsidP="00C54A4E">
      <w:pPr>
        <w:spacing w:line="240" w:lineRule="auto"/>
        <w:jc w:val="center"/>
        <w:rPr>
          <w:rFonts w:ascii="Times New Roman" w:hAnsi="Times New Roman"/>
          <w:b/>
          <w:sz w:val="24"/>
          <w:szCs w:val="24"/>
        </w:rPr>
      </w:pPr>
    </w:p>
    <w:p w:rsidR="00C54A4E" w:rsidRPr="00B045AB" w:rsidRDefault="00C54A4E" w:rsidP="00C54A4E">
      <w:pPr>
        <w:shd w:val="clear" w:color="auto" w:fill="FFFFFF"/>
        <w:spacing w:before="180" w:after="180" w:line="240" w:lineRule="auto"/>
        <w:jc w:val="center"/>
        <w:rPr>
          <w:rFonts w:ascii="Times New Roman" w:hAnsi="Times New Roman"/>
          <w:sz w:val="24"/>
          <w:szCs w:val="24"/>
        </w:rPr>
      </w:pPr>
    </w:p>
    <w:p w:rsidR="00C54A4E" w:rsidRDefault="00C54A4E" w:rsidP="00C54A4E">
      <w:pPr>
        <w:shd w:val="clear" w:color="auto" w:fill="FFFFFF"/>
        <w:spacing w:before="180" w:after="180" w:line="240" w:lineRule="auto"/>
        <w:jc w:val="both"/>
        <w:rPr>
          <w:rFonts w:ascii="Times New Roman" w:eastAsia="Times New Roman" w:hAnsi="Times New Roman"/>
          <w:b/>
          <w:sz w:val="24"/>
          <w:szCs w:val="24"/>
          <w:lang w:eastAsia="en-GB"/>
        </w:rPr>
      </w:pPr>
      <w:r w:rsidRPr="00B045AB">
        <w:rPr>
          <w:rFonts w:ascii="Times New Roman" w:eastAsia="Times New Roman" w:hAnsi="Times New Roman"/>
          <w:b/>
          <w:sz w:val="24"/>
          <w:szCs w:val="24"/>
          <w:lang w:eastAsia="en-GB"/>
        </w:rPr>
        <w:t>Abstrac</w:t>
      </w:r>
      <w:r>
        <w:rPr>
          <w:rFonts w:ascii="Times New Roman" w:eastAsia="Times New Roman" w:hAnsi="Times New Roman"/>
          <w:b/>
          <w:sz w:val="24"/>
          <w:szCs w:val="24"/>
          <w:lang w:eastAsia="en-GB"/>
        </w:rPr>
        <w:t>t</w:t>
      </w:r>
    </w:p>
    <w:p w:rsidR="00602D79" w:rsidRDefault="00700CF3" w:rsidP="00C54A4E">
      <w:pPr>
        <w:pStyle w:val="NoSpacing"/>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Garlic, which </w:t>
      </w:r>
      <w:r w:rsidR="00602D79" w:rsidRPr="00602D79">
        <w:rPr>
          <w:rFonts w:ascii="Times New Roman" w:eastAsia="Times New Roman" w:hAnsi="Times New Roman"/>
          <w:sz w:val="24"/>
          <w:szCs w:val="24"/>
          <w:lang w:eastAsia="en-GB"/>
        </w:rPr>
        <w:t xml:space="preserve">primarily composed of </w:t>
      </w:r>
      <w:proofErr w:type="spellStart"/>
      <w:r w:rsidR="00602D79" w:rsidRPr="00602D79">
        <w:rPr>
          <w:rFonts w:ascii="Times New Roman" w:eastAsia="Times New Roman" w:hAnsi="Times New Roman"/>
          <w:sz w:val="24"/>
          <w:szCs w:val="24"/>
          <w:lang w:eastAsia="en-GB"/>
        </w:rPr>
        <w:t>diallyldisulfide</w:t>
      </w:r>
      <w:proofErr w:type="spellEnd"/>
      <w:r w:rsidR="00602D79" w:rsidRPr="00602D79">
        <w:rPr>
          <w:rFonts w:ascii="Times New Roman" w:eastAsia="Times New Roman" w:hAnsi="Times New Roman"/>
          <w:sz w:val="24"/>
          <w:szCs w:val="24"/>
          <w:lang w:eastAsia="en-GB"/>
        </w:rPr>
        <w:t xml:space="preserve"> and </w:t>
      </w:r>
      <w:proofErr w:type="spellStart"/>
      <w:r w:rsidR="00602D79" w:rsidRPr="00602D79">
        <w:rPr>
          <w:rFonts w:ascii="Times New Roman" w:eastAsia="Times New Roman" w:hAnsi="Times New Roman"/>
          <w:sz w:val="24"/>
          <w:szCs w:val="24"/>
          <w:lang w:eastAsia="en-GB"/>
        </w:rPr>
        <w:t>diallyltrisulfide</w:t>
      </w:r>
      <w:proofErr w:type="spellEnd"/>
      <w:r w:rsidR="00602D79" w:rsidRPr="00602D79">
        <w:rPr>
          <w:rFonts w:ascii="Times New Roman" w:eastAsia="Times New Roman" w:hAnsi="Times New Roman"/>
          <w:sz w:val="24"/>
          <w:szCs w:val="24"/>
          <w:lang w:eastAsia="en-GB"/>
        </w:rPr>
        <w:t>, has been shown to inhibit cancer cell proliferation.</w:t>
      </w:r>
      <w:r>
        <w:rPr>
          <w:rFonts w:ascii="Times New Roman" w:eastAsia="Times New Roman" w:hAnsi="Times New Roman"/>
          <w:sz w:val="24"/>
          <w:szCs w:val="24"/>
          <w:lang w:eastAsia="en-GB"/>
        </w:rPr>
        <w:t xml:space="preserve"> Nuclear Factor receptor 1 (NRF2) is the master regulator of many detoxifying enzymes including glutathione.</w:t>
      </w:r>
      <w:r w:rsidR="00602D79" w:rsidRPr="00602D79">
        <w:rPr>
          <w:rFonts w:ascii="Times New Roman" w:eastAsia="Times New Roman" w:hAnsi="Times New Roman"/>
          <w:sz w:val="24"/>
          <w:szCs w:val="24"/>
          <w:lang w:eastAsia="en-GB"/>
        </w:rPr>
        <w:t xml:space="preserve"> In this study, human ovarian cancer cell lines OVCAR3 and OVCAR4 were cultured in RPMI 1640 medium supplemented with 10% </w:t>
      </w:r>
      <w:proofErr w:type="spellStart"/>
      <w:r w:rsidR="00602D79" w:rsidRPr="00602D79">
        <w:rPr>
          <w:rFonts w:ascii="Times New Roman" w:eastAsia="Times New Roman" w:hAnsi="Times New Roman"/>
          <w:sz w:val="24"/>
          <w:szCs w:val="24"/>
          <w:lang w:eastAsia="en-GB"/>
        </w:rPr>
        <w:t>fetal</w:t>
      </w:r>
      <w:proofErr w:type="spellEnd"/>
      <w:r w:rsidR="00602D79" w:rsidRPr="00602D79">
        <w:rPr>
          <w:rFonts w:ascii="Times New Roman" w:eastAsia="Times New Roman" w:hAnsi="Times New Roman"/>
          <w:sz w:val="24"/>
          <w:szCs w:val="24"/>
          <w:lang w:eastAsia="en-GB"/>
        </w:rPr>
        <w:t xml:space="preserve"> bovine serum (FBS) and 1% penicillin/streptomycin under 5% CO2 at 37°C. Prior to treatment, the cells were incubated for 24 hours in this medium, after which they were treated with </w:t>
      </w:r>
      <w:proofErr w:type="spellStart"/>
      <w:r w:rsidR="00467EEF">
        <w:rPr>
          <w:rFonts w:ascii="Times New Roman" w:eastAsia="Times New Roman" w:hAnsi="Times New Roman"/>
          <w:sz w:val="24"/>
          <w:szCs w:val="24"/>
          <w:lang w:eastAsia="en-GB"/>
        </w:rPr>
        <w:t>Tbhq</w:t>
      </w:r>
      <w:proofErr w:type="spellEnd"/>
      <w:r w:rsidR="00467EEF">
        <w:rPr>
          <w:rFonts w:ascii="Times New Roman" w:eastAsia="Times New Roman" w:hAnsi="Times New Roman"/>
          <w:sz w:val="24"/>
          <w:szCs w:val="24"/>
          <w:lang w:eastAsia="en-GB"/>
        </w:rPr>
        <w:t xml:space="preserve"> or </w:t>
      </w:r>
      <w:r w:rsidR="00602D79" w:rsidRPr="00602D79">
        <w:rPr>
          <w:rFonts w:ascii="Times New Roman" w:eastAsia="Times New Roman" w:hAnsi="Times New Roman"/>
          <w:sz w:val="24"/>
          <w:szCs w:val="24"/>
          <w:lang w:eastAsia="en-GB"/>
        </w:rPr>
        <w:t>Garlic Extract (</w:t>
      </w:r>
      <w:proofErr w:type="spellStart"/>
      <w:r w:rsidR="00602D79" w:rsidRPr="00602D79">
        <w:rPr>
          <w:rFonts w:ascii="Times New Roman" w:eastAsia="Times New Roman" w:hAnsi="Times New Roman"/>
          <w:sz w:val="24"/>
          <w:szCs w:val="24"/>
          <w:lang w:eastAsia="en-GB"/>
        </w:rPr>
        <w:t>Carbosynth-Biosynth</w:t>
      </w:r>
      <w:proofErr w:type="spellEnd"/>
      <w:r w:rsidR="00602D79" w:rsidRPr="00602D79">
        <w:rPr>
          <w:rFonts w:ascii="Times New Roman" w:eastAsia="Times New Roman" w:hAnsi="Times New Roman"/>
          <w:sz w:val="24"/>
          <w:szCs w:val="24"/>
          <w:lang w:eastAsia="en-GB"/>
        </w:rPr>
        <w:t>) at the required final concentrations. S</w:t>
      </w:r>
      <w:r>
        <w:rPr>
          <w:rFonts w:ascii="Times New Roman" w:eastAsia="Times New Roman" w:hAnsi="Times New Roman"/>
          <w:sz w:val="24"/>
          <w:szCs w:val="24"/>
          <w:lang w:eastAsia="en-GB"/>
        </w:rPr>
        <w:t xml:space="preserve">ubsequently, a series of assays, </w:t>
      </w:r>
      <w:r w:rsidR="00602D79" w:rsidRPr="00602D79">
        <w:rPr>
          <w:rFonts w:ascii="Times New Roman" w:eastAsia="Times New Roman" w:hAnsi="Times New Roman"/>
          <w:sz w:val="24"/>
          <w:szCs w:val="24"/>
          <w:lang w:eastAsia="en-GB"/>
        </w:rPr>
        <w:t>including cytotoxi</w:t>
      </w:r>
      <w:r>
        <w:rPr>
          <w:rFonts w:ascii="Times New Roman" w:eastAsia="Times New Roman" w:hAnsi="Times New Roman"/>
          <w:sz w:val="24"/>
          <w:szCs w:val="24"/>
          <w:lang w:eastAsia="en-GB"/>
        </w:rPr>
        <w:t xml:space="preserve">city assessment, ROS detection and </w:t>
      </w:r>
      <w:r w:rsidR="00602D79" w:rsidRPr="00602D79">
        <w:rPr>
          <w:rFonts w:ascii="Times New Roman" w:eastAsia="Times New Roman" w:hAnsi="Times New Roman"/>
          <w:sz w:val="24"/>
          <w:szCs w:val="24"/>
          <w:lang w:eastAsia="en-GB"/>
        </w:rPr>
        <w:t>glutathione assay, were conducted. The findings indi</w:t>
      </w:r>
      <w:r>
        <w:rPr>
          <w:rFonts w:ascii="Times New Roman" w:eastAsia="Times New Roman" w:hAnsi="Times New Roman"/>
          <w:sz w:val="24"/>
          <w:szCs w:val="24"/>
          <w:lang w:eastAsia="en-GB"/>
        </w:rPr>
        <w:t>cated that garlic extract</w:t>
      </w:r>
      <w:r w:rsidR="00602D79" w:rsidRPr="00602D79">
        <w:rPr>
          <w:rFonts w:ascii="Times New Roman" w:eastAsia="Times New Roman" w:hAnsi="Times New Roman"/>
          <w:sz w:val="24"/>
          <w:szCs w:val="24"/>
          <w:lang w:eastAsia="en-GB"/>
        </w:rPr>
        <w:t xml:space="preserve"> reduced cell growth, elevated reactive oxygen species (ROS) levels, and decreased total glutathione across all tested cell lines. These results suggest that garlic may impede the growth of ovarian cancer cells through </w:t>
      </w:r>
      <w:r>
        <w:rPr>
          <w:rFonts w:ascii="Times New Roman" w:eastAsia="Times New Roman" w:hAnsi="Times New Roman"/>
          <w:sz w:val="24"/>
          <w:szCs w:val="24"/>
          <w:lang w:eastAsia="en-GB"/>
        </w:rPr>
        <w:t>elevation of ROS and depletion of glutathione</w:t>
      </w:r>
      <w:r w:rsidR="00602D79" w:rsidRPr="00602D79">
        <w:rPr>
          <w:rFonts w:ascii="Times New Roman" w:eastAsia="Times New Roman" w:hAnsi="Times New Roman"/>
          <w:sz w:val="24"/>
          <w:szCs w:val="24"/>
          <w:lang w:eastAsia="en-GB"/>
        </w:rPr>
        <w:t>, presenting a potential new strategy for targeting cancer cell proliferation via garlic-induced NRF2 suppression.</w:t>
      </w:r>
    </w:p>
    <w:p w:rsidR="00C54A4E" w:rsidRPr="00B045AB" w:rsidRDefault="00C54A4E" w:rsidP="00C54A4E">
      <w:pPr>
        <w:pStyle w:val="NoSpacing"/>
        <w:jc w:val="both"/>
        <w:rPr>
          <w:rFonts w:ascii="Times New Roman" w:hAnsi="Times New Roman"/>
          <w:sz w:val="24"/>
          <w:szCs w:val="24"/>
        </w:rPr>
      </w:pPr>
      <w:r>
        <w:rPr>
          <w:rFonts w:ascii="Times New Roman" w:hAnsi="Times New Roman"/>
          <w:b/>
          <w:sz w:val="24"/>
          <w:szCs w:val="24"/>
          <w:shd w:val="clear" w:color="auto" w:fill="FFFFFF"/>
        </w:rPr>
        <w:t>Key</w:t>
      </w:r>
      <w:r w:rsidRPr="00B045AB">
        <w:rPr>
          <w:rFonts w:ascii="Times New Roman" w:hAnsi="Times New Roman"/>
          <w:b/>
          <w:sz w:val="24"/>
          <w:szCs w:val="24"/>
          <w:shd w:val="clear" w:color="auto" w:fill="FFFFFF"/>
        </w:rPr>
        <w:t>word</w:t>
      </w:r>
      <w:r>
        <w:rPr>
          <w:rFonts w:ascii="Times New Roman" w:hAnsi="Times New Roman"/>
          <w:b/>
          <w:sz w:val="24"/>
          <w:szCs w:val="24"/>
          <w:shd w:val="clear" w:color="auto" w:fill="FFFFFF"/>
        </w:rPr>
        <w:t>s</w:t>
      </w:r>
      <w:r w:rsidRPr="00B045AB">
        <w:rPr>
          <w:rFonts w:ascii="Times New Roman" w:hAnsi="Times New Roman"/>
          <w:b/>
          <w:sz w:val="24"/>
          <w:szCs w:val="24"/>
          <w:shd w:val="clear" w:color="auto" w:fill="FFFFFF"/>
        </w:rPr>
        <w:t>:</w:t>
      </w:r>
      <w:r w:rsidR="00885731">
        <w:rPr>
          <w:rFonts w:ascii="Times New Roman" w:hAnsi="Times New Roman"/>
          <w:sz w:val="24"/>
          <w:szCs w:val="24"/>
          <w:shd w:val="clear" w:color="auto" w:fill="FFFFFF"/>
        </w:rPr>
        <w:t xml:space="preserve"> Garlic Extract;</w:t>
      </w:r>
      <w:r w:rsidR="00700CF3">
        <w:rPr>
          <w:rFonts w:ascii="Times New Roman" w:hAnsi="Times New Roman"/>
          <w:sz w:val="24"/>
          <w:szCs w:val="24"/>
          <w:shd w:val="clear" w:color="auto" w:fill="FFFFFF"/>
        </w:rPr>
        <w:t xml:space="preserve"> ROS; Cell growth; Glutathione; </w:t>
      </w:r>
      <w:r w:rsidR="00885731">
        <w:rPr>
          <w:rFonts w:ascii="Times New Roman" w:hAnsi="Times New Roman"/>
          <w:sz w:val="24"/>
          <w:szCs w:val="24"/>
          <w:shd w:val="clear" w:color="auto" w:fill="FFFFFF"/>
        </w:rPr>
        <w:t>PEO1; OVCAR3, SKOV3</w:t>
      </w:r>
      <w:r w:rsidRPr="00B045AB">
        <w:rPr>
          <w:rFonts w:ascii="Times New Roman" w:hAnsi="Times New Roman"/>
          <w:sz w:val="24"/>
          <w:szCs w:val="24"/>
          <w:shd w:val="clear" w:color="auto" w:fill="FFFFFF"/>
        </w:rPr>
        <w:t xml:space="preserve">; </w:t>
      </w:r>
    </w:p>
    <w:p w:rsidR="00C54A4E" w:rsidRPr="00B045AB" w:rsidRDefault="00C54A4E" w:rsidP="00C54A4E">
      <w:pPr>
        <w:pStyle w:val="NoSpacing"/>
        <w:jc w:val="both"/>
        <w:rPr>
          <w:rFonts w:ascii="Times New Roman" w:hAnsi="Times New Roman"/>
          <w:sz w:val="24"/>
          <w:szCs w:val="24"/>
          <w:shd w:val="clear" w:color="auto" w:fill="FFFFFF"/>
        </w:rPr>
      </w:pPr>
    </w:p>
    <w:p w:rsidR="00C54A4E" w:rsidRPr="00B045AB" w:rsidRDefault="00C54A4E" w:rsidP="00C54A4E">
      <w:pPr>
        <w:pStyle w:val="NoSpacing"/>
        <w:jc w:val="both"/>
        <w:rPr>
          <w:rFonts w:ascii="Times New Roman" w:hAnsi="Times New Roman"/>
          <w:sz w:val="24"/>
          <w:szCs w:val="24"/>
          <w:shd w:val="clear" w:color="auto" w:fill="FFFFFF"/>
        </w:rPr>
      </w:pPr>
    </w:p>
    <w:p w:rsidR="00C54A4E" w:rsidRDefault="00C54A4E" w:rsidP="00C54A4E">
      <w:pPr>
        <w:pStyle w:val="Heading1"/>
        <w:jc w:val="both"/>
        <w:rPr>
          <w:rFonts w:eastAsia="Calibri" w:hint="default"/>
          <w:sz w:val="24"/>
          <w:szCs w:val="24"/>
          <w:lang w:val="en-GB" w:eastAsia="en-US"/>
        </w:rPr>
      </w:pPr>
      <w:r w:rsidRPr="00885731">
        <w:rPr>
          <w:rFonts w:ascii="Times New Roman" w:eastAsia="Calibri" w:hAnsi="Times New Roman" w:hint="default"/>
          <w:kern w:val="0"/>
          <w:sz w:val="24"/>
          <w:szCs w:val="24"/>
          <w:lang w:val="en-GB" w:eastAsia="en-US"/>
        </w:rPr>
        <w:t>Introduction</w:t>
      </w:r>
      <w:r w:rsidRPr="00885731">
        <w:rPr>
          <w:rFonts w:eastAsia="Calibri" w:hint="default"/>
          <w:sz w:val="24"/>
          <w:szCs w:val="24"/>
          <w:lang w:val="en-GB" w:eastAsia="en-US"/>
        </w:rPr>
        <w:t>.</w:t>
      </w:r>
    </w:p>
    <w:p w:rsidR="00602D79" w:rsidRPr="00602D79" w:rsidRDefault="00526E18" w:rsidP="00602D79">
      <w:pPr>
        <w:pStyle w:val="Heading1"/>
        <w:jc w:val="both"/>
        <w:rPr>
          <w:rFonts w:ascii="Times New Roman" w:eastAsia="Calibri" w:hAnsi="Times New Roman" w:hint="default"/>
          <w:b w:val="0"/>
          <w:kern w:val="0"/>
          <w:sz w:val="24"/>
          <w:szCs w:val="24"/>
          <w:lang w:val="en-GB" w:eastAsia="en-US"/>
        </w:rPr>
      </w:pPr>
      <w:r>
        <w:rPr>
          <w:rFonts w:ascii="Times New Roman" w:eastAsia="Calibri" w:hAnsi="Times New Roman" w:hint="default"/>
          <w:b w:val="0"/>
          <w:kern w:val="0"/>
          <w:sz w:val="24"/>
          <w:szCs w:val="24"/>
          <w:lang w:val="en-GB" w:eastAsia="en-US"/>
        </w:rPr>
        <w:t>“</w:t>
      </w:r>
      <w:r w:rsidR="00602D79" w:rsidRPr="00602D79">
        <w:rPr>
          <w:rFonts w:ascii="Times New Roman" w:eastAsia="Calibri" w:hAnsi="Times New Roman"/>
          <w:b w:val="0"/>
          <w:kern w:val="0"/>
          <w:sz w:val="24"/>
          <w:szCs w:val="24"/>
          <w:lang w:val="en-GB" w:eastAsia="en-US"/>
        </w:rPr>
        <w:t>Garlic (Allium sativum L.) is widely recognized across various cultures for its preventative and therapeutic properties as a medicinal plant. Throughout history, garlic has held significant dietary and medicinal importance</w:t>
      </w:r>
      <w:r>
        <w:rPr>
          <w:rFonts w:ascii="Times New Roman" w:eastAsia="Calibri" w:hAnsi="Times New Roman" w:hint="default"/>
          <w:b w:val="0"/>
          <w:kern w:val="0"/>
          <w:sz w:val="24"/>
          <w:szCs w:val="24"/>
          <w:lang w:val="en-GB" w:eastAsia="en-US"/>
        </w:rPr>
        <w:t>”</w:t>
      </w:r>
      <w:r w:rsidR="00C80715">
        <w:rPr>
          <w:rFonts w:ascii="Times New Roman" w:eastAsia="Calibri" w:hAnsi="Times New Roman" w:hint="default"/>
          <w:b w:val="0"/>
          <w:kern w:val="0"/>
          <w:sz w:val="24"/>
          <w:szCs w:val="24"/>
          <w:lang w:val="en-GB" w:eastAsia="en-US"/>
        </w:rPr>
        <w:t xml:space="preserve"> (</w:t>
      </w:r>
      <w:r w:rsidR="00C80715">
        <w:rPr>
          <w:rFonts w:ascii="Times New Roman" w:eastAsia="Calibri" w:hAnsi="Times New Roman"/>
          <w:b w:val="0"/>
          <w:kern w:val="0"/>
          <w:sz w:val="24"/>
          <w:szCs w:val="24"/>
          <w:lang w:val="en-GB" w:eastAsia="en-US"/>
        </w:rPr>
        <w:t xml:space="preserve">Tesfaye, </w:t>
      </w:r>
      <w:r w:rsidR="00C80715" w:rsidRPr="0080107A">
        <w:rPr>
          <w:rFonts w:ascii="Times New Roman" w:eastAsia="Calibri" w:hAnsi="Times New Roman"/>
          <w:b w:val="0"/>
          <w:kern w:val="0"/>
          <w:sz w:val="24"/>
          <w:szCs w:val="24"/>
          <w:lang w:val="en-GB" w:eastAsia="en-US"/>
        </w:rPr>
        <w:t>2021)</w:t>
      </w:r>
      <w:r w:rsidR="00602D79" w:rsidRPr="00602D79">
        <w:rPr>
          <w:rFonts w:ascii="Times New Roman" w:eastAsia="Calibri" w:hAnsi="Times New Roman"/>
          <w:b w:val="0"/>
          <w:kern w:val="0"/>
          <w:sz w:val="24"/>
          <w:szCs w:val="24"/>
          <w:lang w:val="en-GB" w:eastAsia="en-US"/>
        </w:rPr>
        <w:t xml:space="preserve">. </w:t>
      </w:r>
      <w:r>
        <w:rPr>
          <w:rFonts w:ascii="Times New Roman" w:eastAsia="Calibri" w:hAnsi="Times New Roman" w:hint="default"/>
          <w:b w:val="0"/>
          <w:kern w:val="0"/>
          <w:sz w:val="24"/>
          <w:szCs w:val="24"/>
          <w:lang w:val="en-GB" w:eastAsia="en-US"/>
        </w:rPr>
        <w:t>“</w:t>
      </w:r>
      <w:r w:rsidR="00602D79" w:rsidRPr="00602D79">
        <w:rPr>
          <w:rFonts w:ascii="Times New Roman" w:eastAsia="Calibri" w:hAnsi="Times New Roman"/>
          <w:b w:val="0"/>
          <w:kern w:val="0"/>
          <w:sz w:val="24"/>
          <w:szCs w:val="24"/>
          <w:lang w:val="en-GB" w:eastAsia="en-US"/>
        </w:rPr>
        <w:t>Numerous studies have indicated its potential cancer-preventive effects and the beneficial properties of its constituents. Garlic is rich in bioactive compounds, particularly allylsulfide derivatives, which possess anticancer properties. Various garlic derivatives have been shown to influence multiple molecular pathways involved in carcinogenesis, including DNA adduct formation, mutagenesis, free radical scavenging, cell proliferation, differentiation, and angiogenesis. Garlic has been found to reduce the growth rate of cancer cells, particularly through cell cycle arrest in the G2/M phase</w:t>
      </w:r>
      <w:r>
        <w:rPr>
          <w:rFonts w:ascii="Times New Roman" w:eastAsia="Calibri" w:hAnsi="Times New Roman" w:hint="default"/>
          <w:b w:val="0"/>
          <w:kern w:val="0"/>
          <w:sz w:val="24"/>
          <w:szCs w:val="24"/>
          <w:lang w:val="en-GB" w:eastAsia="en-US"/>
        </w:rPr>
        <w:t>”</w:t>
      </w:r>
      <w:r w:rsidR="00602D79" w:rsidRPr="00602D79">
        <w:rPr>
          <w:rFonts w:ascii="Times New Roman" w:eastAsia="Calibri" w:hAnsi="Times New Roman"/>
          <w:b w:val="0"/>
          <w:kern w:val="0"/>
          <w:sz w:val="24"/>
          <w:szCs w:val="24"/>
          <w:lang w:val="en-GB" w:eastAsia="en-US"/>
        </w:rPr>
        <w:t xml:space="preserve"> (Bayan et al., 2014). </w:t>
      </w:r>
      <w:r>
        <w:rPr>
          <w:rFonts w:ascii="Times New Roman" w:eastAsia="Calibri" w:hAnsi="Times New Roman" w:hint="default"/>
          <w:b w:val="0"/>
          <w:kern w:val="0"/>
          <w:sz w:val="24"/>
          <w:szCs w:val="24"/>
          <w:lang w:val="en-GB" w:eastAsia="en-US"/>
        </w:rPr>
        <w:t>“</w:t>
      </w:r>
      <w:r w:rsidR="00602D79" w:rsidRPr="00602D79">
        <w:rPr>
          <w:rFonts w:ascii="Times New Roman" w:eastAsia="Calibri" w:hAnsi="Times New Roman"/>
          <w:b w:val="0"/>
          <w:kern w:val="0"/>
          <w:sz w:val="24"/>
          <w:szCs w:val="24"/>
          <w:lang w:val="en-GB" w:eastAsia="en-US"/>
        </w:rPr>
        <w:t xml:space="preserve">Nuclear factor erythroid 2-related factor 2 (NRF2) is a basic leucine zipper protein that plays a crucial role in regulating the cell's response to oxidative stress by activating the transcription of various antioxidant genes. NRF2 serves as a master regulator of numerous genes and is essential for </w:t>
      </w:r>
      <w:proofErr w:type="spellStart"/>
      <w:r w:rsidR="00602D79" w:rsidRPr="00602D79">
        <w:rPr>
          <w:rFonts w:ascii="Times New Roman" w:eastAsia="Calibri" w:hAnsi="Times New Roman"/>
          <w:b w:val="0"/>
          <w:kern w:val="0"/>
          <w:sz w:val="24"/>
          <w:szCs w:val="24"/>
          <w:lang w:val="en-GB" w:eastAsia="en-US"/>
        </w:rPr>
        <w:t>cytoprotection</w:t>
      </w:r>
      <w:proofErr w:type="spellEnd"/>
      <w:r w:rsidR="00602D79" w:rsidRPr="00602D79">
        <w:rPr>
          <w:rFonts w:ascii="Times New Roman" w:eastAsia="Calibri" w:hAnsi="Times New Roman"/>
          <w:b w:val="0"/>
          <w:kern w:val="0"/>
          <w:sz w:val="24"/>
          <w:szCs w:val="24"/>
          <w:lang w:val="en-GB" w:eastAsia="en-US"/>
        </w:rPr>
        <w:t>, including anti-</w:t>
      </w:r>
      <w:proofErr w:type="spellStart"/>
      <w:r w:rsidR="00602D79" w:rsidRPr="00602D79">
        <w:rPr>
          <w:rFonts w:ascii="Times New Roman" w:eastAsia="Calibri" w:hAnsi="Times New Roman"/>
          <w:b w:val="0"/>
          <w:kern w:val="0"/>
          <w:sz w:val="24"/>
          <w:szCs w:val="24"/>
          <w:lang w:val="en-GB" w:eastAsia="en-US"/>
        </w:rPr>
        <w:t>tumor</w:t>
      </w:r>
      <w:proofErr w:type="spellEnd"/>
      <w:r w:rsidR="00602D79" w:rsidRPr="00602D79">
        <w:rPr>
          <w:rFonts w:ascii="Times New Roman" w:eastAsia="Calibri" w:hAnsi="Times New Roman"/>
          <w:b w:val="0"/>
          <w:kern w:val="0"/>
          <w:sz w:val="24"/>
          <w:szCs w:val="24"/>
          <w:lang w:val="en-GB" w:eastAsia="en-US"/>
        </w:rPr>
        <w:t xml:space="preserve"> effects, neuroprotection, and anti-inflammatory responses</w:t>
      </w:r>
      <w:r>
        <w:rPr>
          <w:rFonts w:ascii="Times New Roman" w:eastAsia="Calibri" w:hAnsi="Times New Roman" w:hint="default"/>
          <w:b w:val="0"/>
          <w:kern w:val="0"/>
          <w:sz w:val="24"/>
          <w:szCs w:val="24"/>
          <w:lang w:val="en-GB" w:eastAsia="en-US"/>
        </w:rPr>
        <w:t>”</w:t>
      </w:r>
      <w:r w:rsidR="00602D79" w:rsidRPr="00602D79">
        <w:rPr>
          <w:rFonts w:ascii="Times New Roman" w:eastAsia="Calibri" w:hAnsi="Times New Roman"/>
          <w:b w:val="0"/>
          <w:kern w:val="0"/>
          <w:sz w:val="24"/>
          <w:szCs w:val="24"/>
          <w:lang w:val="en-GB" w:eastAsia="en-US"/>
        </w:rPr>
        <w:t xml:space="preserve"> (Hayes and McMahon, 2009; Hayes and Ashford, 2012; Hayes et al., 2015; Wang et al., 2007; Tang et al., 2011). </w:t>
      </w:r>
      <w:r>
        <w:rPr>
          <w:rFonts w:ascii="Times New Roman" w:eastAsia="Calibri" w:hAnsi="Times New Roman" w:hint="default"/>
          <w:b w:val="0"/>
          <w:kern w:val="0"/>
          <w:sz w:val="24"/>
          <w:szCs w:val="24"/>
          <w:lang w:val="en-GB" w:eastAsia="en-US"/>
        </w:rPr>
        <w:t>“</w:t>
      </w:r>
      <w:r w:rsidR="00602D79" w:rsidRPr="00602D79">
        <w:rPr>
          <w:rFonts w:ascii="Times New Roman" w:eastAsia="Calibri" w:hAnsi="Times New Roman"/>
          <w:b w:val="0"/>
          <w:kern w:val="0"/>
          <w:sz w:val="24"/>
          <w:szCs w:val="24"/>
          <w:lang w:val="en-GB" w:eastAsia="en-US"/>
        </w:rPr>
        <w:t xml:space="preserve">Under normal conditions, NRF2 resides in the cytoplasm and is degraded. However, during oxidative stress, it </w:t>
      </w:r>
      <w:proofErr w:type="spellStart"/>
      <w:r w:rsidR="00602D79" w:rsidRPr="00602D79">
        <w:rPr>
          <w:rFonts w:ascii="Times New Roman" w:eastAsia="Calibri" w:hAnsi="Times New Roman"/>
          <w:b w:val="0"/>
          <w:kern w:val="0"/>
          <w:sz w:val="24"/>
          <w:szCs w:val="24"/>
          <w:lang w:val="en-GB" w:eastAsia="en-US"/>
        </w:rPr>
        <w:t>translocates</w:t>
      </w:r>
      <w:proofErr w:type="spellEnd"/>
      <w:r w:rsidR="00602D79" w:rsidRPr="00602D79">
        <w:rPr>
          <w:rFonts w:ascii="Times New Roman" w:eastAsia="Calibri" w:hAnsi="Times New Roman"/>
          <w:b w:val="0"/>
          <w:kern w:val="0"/>
          <w:sz w:val="24"/>
          <w:szCs w:val="24"/>
          <w:lang w:val="en-GB" w:eastAsia="en-US"/>
        </w:rPr>
        <w:t xml:space="preserve"> to the nucleus, dimerizes with macrophage activating factor (</w:t>
      </w:r>
      <w:proofErr w:type="spellStart"/>
      <w:r w:rsidR="00602D79" w:rsidRPr="00602D79">
        <w:rPr>
          <w:rFonts w:ascii="Times New Roman" w:eastAsia="Calibri" w:hAnsi="Times New Roman"/>
          <w:b w:val="0"/>
          <w:kern w:val="0"/>
          <w:sz w:val="24"/>
          <w:szCs w:val="24"/>
          <w:lang w:val="en-GB" w:eastAsia="en-US"/>
        </w:rPr>
        <w:t>Maf</w:t>
      </w:r>
      <w:proofErr w:type="spellEnd"/>
      <w:r w:rsidR="00602D79" w:rsidRPr="00602D79">
        <w:rPr>
          <w:rFonts w:ascii="Times New Roman" w:eastAsia="Calibri" w:hAnsi="Times New Roman"/>
          <w:b w:val="0"/>
          <w:kern w:val="0"/>
          <w:sz w:val="24"/>
          <w:szCs w:val="24"/>
          <w:lang w:val="en-GB" w:eastAsia="en-US"/>
        </w:rPr>
        <w:t>) proteins, binds to antioxidant response elements (AREs), and initiates the transcription of antioxidant genes</w:t>
      </w:r>
      <w:r>
        <w:rPr>
          <w:rFonts w:ascii="Times New Roman" w:eastAsia="Calibri" w:hAnsi="Times New Roman" w:hint="default"/>
          <w:b w:val="0"/>
          <w:kern w:val="0"/>
          <w:sz w:val="24"/>
          <w:szCs w:val="24"/>
          <w:lang w:val="en-GB" w:eastAsia="en-US"/>
        </w:rPr>
        <w:t>”</w:t>
      </w:r>
      <w:r w:rsidR="00602D79" w:rsidRPr="00602D79">
        <w:rPr>
          <w:rFonts w:ascii="Times New Roman" w:eastAsia="Calibri" w:hAnsi="Times New Roman"/>
          <w:b w:val="0"/>
          <w:kern w:val="0"/>
          <w:sz w:val="24"/>
          <w:szCs w:val="24"/>
          <w:lang w:val="en-GB" w:eastAsia="en-US"/>
        </w:rPr>
        <w:t xml:space="preserve"> (Hayes et al., 2016; Abdullah et al., 2012; Itoh, 1997; Itoh et al., 1995). </w:t>
      </w:r>
      <w:r>
        <w:rPr>
          <w:rFonts w:ascii="Times New Roman" w:eastAsia="Calibri" w:hAnsi="Times New Roman" w:hint="default"/>
          <w:b w:val="0"/>
          <w:kern w:val="0"/>
          <w:sz w:val="24"/>
          <w:szCs w:val="24"/>
          <w:lang w:val="en-GB" w:eastAsia="en-US"/>
        </w:rPr>
        <w:t>“</w:t>
      </w:r>
      <w:r w:rsidR="00602D79" w:rsidRPr="00602D79">
        <w:rPr>
          <w:rFonts w:ascii="Times New Roman" w:eastAsia="Calibri" w:hAnsi="Times New Roman"/>
          <w:b w:val="0"/>
          <w:kern w:val="0"/>
          <w:sz w:val="24"/>
          <w:szCs w:val="24"/>
          <w:lang w:val="en-GB" w:eastAsia="en-US"/>
        </w:rPr>
        <w:t>Previously identified NRF2 activators include tert-butylhydroquinone (</w:t>
      </w:r>
      <w:proofErr w:type="spellStart"/>
      <w:r w:rsidR="00602D79" w:rsidRPr="00602D79">
        <w:rPr>
          <w:rFonts w:ascii="Times New Roman" w:eastAsia="Calibri" w:hAnsi="Times New Roman"/>
          <w:b w:val="0"/>
          <w:kern w:val="0"/>
          <w:sz w:val="24"/>
          <w:szCs w:val="24"/>
          <w:lang w:val="en-GB" w:eastAsia="en-US"/>
        </w:rPr>
        <w:t>tBHQ</w:t>
      </w:r>
      <w:proofErr w:type="spellEnd"/>
      <w:r w:rsidR="00602D79" w:rsidRPr="00602D79">
        <w:rPr>
          <w:rFonts w:ascii="Times New Roman" w:eastAsia="Calibri" w:hAnsi="Times New Roman"/>
          <w:b w:val="0"/>
          <w:kern w:val="0"/>
          <w:sz w:val="24"/>
          <w:szCs w:val="24"/>
          <w:lang w:val="en-GB" w:eastAsia="en-US"/>
        </w:rPr>
        <w:t>)</w:t>
      </w:r>
      <w:r>
        <w:rPr>
          <w:rFonts w:ascii="Times New Roman" w:eastAsia="Calibri" w:hAnsi="Times New Roman" w:hint="default"/>
          <w:b w:val="0"/>
          <w:kern w:val="0"/>
          <w:sz w:val="24"/>
          <w:szCs w:val="24"/>
          <w:lang w:val="en-GB" w:eastAsia="en-US"/>
        </w:rPr>
        <w:t>”</w:t>
      </w:r>
      <w:r w:rsidR="00602D79" w:rsidRPr="00602D79">
        <w:rPr>
          <w:rFonts w:ascii="Times New Roman" w:eastAsia="Calibri" w:hAnsi="Times New Roman"/>
          <w:b w:val="0"/>
          <w:kern w:val="0"/>
          <w:sz w:val="24"/>
          <w:szCs w:val="24"/>
          <w:lang w:val="en-GB" w:eastAsia="en-US"/>
        </w:rPr>
        <w:t xml:space="preserve"> (</w:t>
      </w:r>
      <w:proofErr w:type="spellStart"/>
      <w:r w:rsidR="00602D79" w:rsidRPr="00602D79">
        <w:rPr>
          <w:rFonts w:ascii="Times New Roman" w:eastAsia="Calibri" w:hAnsi="Times New Roman"/>
          <w:b w:val="0"/>
          <w:kern w:val="0"/>
          <w:sz w:val="24"/>
          <w:szCs w:val="24"/>
          <w:lang w:val="en-GB" w:eastAsia="en-US"/>
        </w:rPr>
        <w:t>Kankia</w:t>
      </w:r>
      <w:proofErr w:type="spellEnd"/>
      <w:r w:rsidR="00602D79" w:rsidRPr="00602D79">
        <w:rPr>
          <w:rFonts w:ascii="Times New Roman" w:eastAsia="Calibri" w:hAnsi="Times New Roman"/>
          <w:b w:val="0"/>
          <w:kern w:val="0"/>
          <w:sz w:val="24"/>
          <w:szCs w:val="24"/>
          <w:lang w:val="en-GB" w:eastAsia="en-US"/>
        </w:rPr>
        <w:t xml:space="preserve"> et al., 2021; </w:t>
      </w:r>
      <w:proofErr w:type="spellStart"/>
      <w:r w:rsidR="00602D79" w:rsidRPr="00602D79">
        <w:rPr>
          <w:rFonts w:ascii="Times New Roman" w:eastAsia="Calibri" w:hAnsi="Times New Roman"/>
          <w:b w:val="0"/>
          <w:kern w:val="0"/>
          <w:sz w:val="24"/>
          <w:szCs w:val="24"/>
          <w:lang w:val="en-GB" w:eastAsia="en-US"/>
        </w:rPr>
        <w:t>Kankia</w:t>
      </w:r>
      <w:proofErr w:type="spellEnd"/>
      <w:r w:rsidR="00602D79" w:rsidRPr="00602D79">
        <w:rPr>
          <w:rFonts w:ascii="Times New Roman" w:eastAsia="Calibri" w:hAnsi="Times New Roman"/>
          <w:b w:val="0"/>
          <w:kern w:val="0"/>
          <w:sz w:val="24"/>
          <w:szCs w:val="24"/>
          <w:lang w:val="en-GB" w:eastAsia="en-US"/>
        </w:rPr>
        <w:t xml:space="preserve"> et al., 2017; Khalil et al., 2015), </w:t>
      </w:r>
      <w:r>
        <w:rPr>
          <w:rFonts w:ascii="Times New Roman" w:eastAsia="Calibri" w:hAnsi="Times New Roman" w:hint="default"/>
          <w:b w:val="0"/>
          <w:kern w:val="0"/>
          <w:sz w:val="24"/>
          <w:szCs w:val="24"/>
          <w:lang w:val="en-GB" w:eastAsia="en-US"/>
        </w:rPr>
        <w:t>“</w:t>
      </w:r>
      <w:r w:rsidR="00602D79" w:rsidRPr="00602D79">
        <w:rPr>
          <w:rFonts w:ascii="Times New Roman" w:eastAsia="Calibri" w:hAnsi="Times New Roman"/>
          <w:b w:val="0"/>
          <w:kern w:val="0"/>
          <w:sz w:val="24"/>
          <w:szCs w:val="24"/>
          <w:lang w:val="en-GB" w:eastAsia="en-US"/>
        </w:rPr>
        <w:t>while its inhibitors include components of the retinoid garlic pathway</w:t>
      </w:r>
      <w:r>
        <w:rPr>
          <w:rFonts w:ascii="Times New Roman" w:eastAsia="Calibri" w:hAnsi="Times New Roman" w:hint="default"/>
          <w:b w:val="0"/>
          <w:kern w:val="0"/>
          <w:sz w:val="24"/>
          <w:szCs w:val="24"/>
          <w:lang w:val="en-GB" w:eastAsia="en-US"/>
        </w:rPr>
        <w:t>”</w:t>
      </w:r>
      <w:r w:rsidR="00602D79" w:rsidRPr="00602D79">
        <w:rPr>
          <w:rFonts w:ascii="Times New Roman" w:eastAsia="Calibri" w:hAnsi="Times New Roman"/>
          <w:b w:val="0"/>
          <w:kern w:val="0"/>
          <w:sz w:val="24"/>
          <w:szCs w:val="24"/>
          <w:lang w:val="en-GB" w:eastAsia="en-US"/>
        </w:rPr>
        <w:t xml:space="preserve"> (Hayes et al., 2015; Hayes and </w:t>
      </w:r>
      <w:proofErr w:type="spellStart"/>
      <w:r w:rsidR="00602D79" w:rsidRPr="00602D79">
        <w:rPr>
          <w:rFonts w:ascii="Times New Roman" w:eastAsia="Calibri" w:hAnsi="Times New Roman"/>
          <w:b w:val="0"/>
          <w:kern w:val="0"/>
          <w:sz w:val="24"/>
          <w:szCs w:val="24"/>
          <w:lang w:val="en-GB" w:eastAsia="en-US"/>
        </w:rPr>
        <w:t>Dinkova-Kostova</w:t>
      </w:r>
      <w:proofErr w:type="spellEnd"/>
      <w:r w:rsidR="00602D79" w:rsidRPr="00602D79">
        <w:rPr>
          <w:rFonts w:ascii="Times New Roman" w:eastAsia="Calibri" w:hAnsi="Times New Roman"/>
          <w:b w:val="0"/>
          <w:kern w:val="0"/>
          <w:sz w:val="24"/>
          <w:szCs w:val="24"/>
          <w:lang w:val="en-GB" w:eastAsia="en-US"/>
        </w:rPr>
        <w:t xml:space="preserve">, 2014; Hayes et al., 2016; </w:t>
      </w:r>
      <w:r w:rsidR="00602D79" w:rsidRPr="00602D79">
        <w:rPr>
          <w:rFonts w:ascii="Times New Roman" w:eastAsia="Calibri" w:hAnsi="Times New Roman"/>
          <w:b w:val="0"/>
          <w:kern w:val="0"/>
          <w:sz w:val="24"/>
          <w:szCs w:val="24"/>
          <w:lang w:val="en-GB" w:eastAsia="en-US"/>
        </w:rPr>
        <w:lastRenderedPageBreak/>
        <w:t xml:space="preserve">McMahon et al., 2014; Hayes et al., 2010; </w:t>
      </w:r>
      <w:proofErr w:type="spellStart"/>
      <w:r w:rsidR="00602D79" w:rsidRPr="00602D79">
        <w:rPr>
          <w:rFonts w:ascii="Times New Roman" w:eastAsia="Calibri" w:hAnsi="Times New Roman"/>
          <w:b w:val="0"/>
          <w:kern w:val="0"/>
          <w:sz w:val="24"/>
          <w:szCs w:val="24"/>
          <w:lang w:val="en-GB" w:eastAsia="en-US"/>
        </w:rPr>
        <w:t>Krajka-Kuźniak</w:t>
      </w:r>
      <w:proofErr w:type="spellEnd"/>
      <w:r w:rsidR="00602D79" w:rsidRPr="00602D79">
        <w:rPr>
          <w:rFonts w:ascii="Times New Roman" w:eastAsia="Calibri" w:hAnsi="Times New Roman"/>
          <w:b w:val="0"/>
          <w:kern w:val="0"/>
          <w:sz w:val="24"/>
          <w:szCs w:val="24"/>
          <w:lang w:val="en-GB" w:eastAsia="en-US"/>
        </w:rPr>
        <w:t xml:space="preserve"> et al., 2017). </w:t>
      </w:r>
      <w:r>
        <w:rPr>
          <w:rFonts w:ascii="Times New Roman" w:eastAsia="Calibri" w:hAnsi="Times New Roman" w:hint="default"/>
          <w:b w:val="0"/>
          <w:kern w:val="0"/>
          <w:sz w:val="24"/>
          <w:szCs w:val="24"/>
          <w:lang w:val="en-GB" w:eastAsia="en-US"/>
        </w:rPr>
        <w:t>“</w:t>
      </w:r>
      <w:r w:rsidR="00602D79" w:rsidRPr="00602D79">
        <w:rPr>
          <w:rFonts w:ascii="Times New Roman" w:eastAsia="Calibri" w:hAnsi="Times New Roman"/>
          <w:b w:val="0"/>
          <w:kern w:val="0"/>
          <w:sz w:val="24"/>
          <w:szCs w:val="24"/>
          <w:lang w:val="en-GB" w:eastAsia="en-US"/>
        </w:rPr>
        <w:t>Overexpression of NRF2 is frequently observed in ovarian cancer cases</w:t>
      </w:r>
      <w:r>
        <w:rPr>
          <w:rFonts w:ascii="Times New Roman" w:eastAsia="Calibri" w:hAnsi="Times New Roman" w:hint="default"/>
          <w:b w:val="0"/>
          <w:kern w:val="0"/>
          <w:sz w:val="24"/>
          <w:szCs w:val="24"/>
          <w:lang w:val="en-GB" w:eastAsia="en-US"/>
        </w:rPr>
        <w:t>”</w:t>
      </w:r>
      <w:r w:rsidR="00602D79" w:rsidRPr="00602D79">
        <w:rPr>
          <w:rFonts w:ascii="Times New Roman" w:eastAsia="Calibri" w:hAnsi="Times New Roman"/>
          <w:b w:val="0"/>
          <w:kern w:val="0"/>
          <w:sz w:val="24"/>
          <w:szCs w:val="24"/>
          <w:lang w:val="en-GB" w:eastAsia="en-US"/>
        </w:rPr>
        <w:t xml:space="preserve"> (Zhang et al., 2016a; </w:t>
      </w:r>
      <w:proofErr w:type="spellStart"/>
      <w:r w:rsidR="00602D79" w:rsidRPr="00602D79">
        <w:rPr>
          <w:rFonts w:ascii="Times New Roman" w:eastAsia="Calibri" w:hAnsi="Times New Roman"/>
          <w:b w:val="0"/>
          <w:kern w:val="0"/>
          <w:sz w:val="24"/>
          <w:szCs w:val="24"/>
          <w:lang w:val="en-GB" w:eastAsia="en-US"/>
        </w:rPr>
        <w:t>Liou</w:t>
      </w:r>
      <w:proofErr w:type="spellEnd"/>
      <w:r w:rsidR="00602D79" w:rsidRPr="00602D79">
        <w:rPr>
          <w:rFonts w:ascii="Times New Roman" w:eastAsia="Calibri" w:hAnsi="Times New Roman"/>
          <w:b w:val="0"/>
          <w:kern w:val="0"/>
          <w:sz w:val="24"/>
          <w:szCs w:val="24"/>
          <w:lang w:val="en-GB" w:eastAsia="en-US"/>
        </w:rPr>
        <w:t xml:space="preserve"> and Storz, 2010; Khalil et al., 2015). </w:t>
      </w:r>
      <w:r>
        <w:rPr>
          <w:rFonts w:ascii="Times New Roman" w:eastAsia="Calibri" w:hAnsi="Times New Roman" w:hint="default"/>
          <w:b w:val="0"/>
          <w:kern w:val="0"/>
          <w:sz w:val="24"/>
          <w:szCs w:val="24"/>
          <w:lang w:val="en-GB" w:eastAsia="en-US"/>
        </w:rPr>
        <w:t>“</w:t>
      </w:r>
      <w:r w:rsidR="00602D79" w:rsidRPr="008B1DE8">
        <w:rPr>
          <w:rFonts w:ascii="Times New Roman" w:eastAsia="Calibri" w:hAnsi="Times New Roman"/>
          <w:b w:val="0"/>
          <w:kern w:val="0"/>
          <w:sz w:val="24"/>
          <w:szCs w:val="24"/>
          <w:lang w:val="en-GB" w:eastAsia="en-US"/>
        </w:rPr>
        <w:t xml:space="preserve">NRF2 may directly interact with </w:t>
      </w:r>
      <w:r w:rsidR="008B1DE8" w:rsidRPr="008B1DE8">
        <w:rPr>
          <w:rFonts w:ascii="Times New Roman" w:eastAsia="Calibri" w:hAnsi="Times New Roman" w:hint="default"/>
          <w:b w:val="0"/>
          <w:kern w:val="0"/>
          <w:sz w:val="24"/>
          <w:szCs w:val="24"/>
          <w:lang w:val="en-GB" w:eastAsia="en-US"/>
        </w:rPr>
        <w:t>many</w:t>
      </w:r>
      <w:r w:rsidR="00602D79" w:rsidRPr="008B1DE8">
        <w:rPr>
          <w:rFonts w:ascii="Times New Roman" w:eastAsia="Calibri" w:hAnsi="Times New Roman"/>
          <w:b w:val="0"/>
          <w:kern w:val="0"/>
          <w:sz w:val="24"/>
          <w:szCs w:val="24"/>
          <w:lang w:val="en-GB" w:eastAsia="en-US"/>
        </w:rPr>
        <w:t xml:space="preserve"> </w:t>
      </w:r>
      <w:proofErr w:type="spellStart"/>
      <w:r w:rsidR="00602D79" w:rsidRPr="008B1DE8">
        <w:rPr>
          <w:rFonts w:ascii="Times New Roman" w:eastAsia="Calibri" w:hAnsi="Times New Roman"/>
          <w:b w:val="0"/>
          <w:kern w:val="0"/>
          <w:sz w:val="24"/>
          <w:szCs w:val="24"/>
          <w:lang w:val="en-GB" w:eastAsia="en-US"/>
        </w:rPr>
        <w:t>signaling</w:t>
      </w:r>
      <w:proofErr w:type="spellEnd"/>
      <w:r w:rsidR="00602D79" w:rsidRPr="008B1DE8">
        <w:rPr>
          <w:rFonts w:ascii="Times New Roman" w:eastAsia="Calibri" w:hAnsi="Times New Roman"/>
          <w:b w:val="0"/>
          <w:kern w:val="0"/>
          <w:sz w:val="24"/>
          <w:szCs w:val="24"/>
          <w:lang w:val="en-GB" w:eastAsia="en-US"/>
        </w:rPr>
        <w:t xml:space="preserve"> pathways that involve phosphatidylinositol 3-kinase (PI3K)/serine-threonine kinase (AKT)/mammalian target of rapamycin (mTOR), mitogen-activated protein kinase (MAPK), and signal transducers and activators of transcription (STAT)</w:t>
      </w:r>
      <w:r>
        <w:rPr>
          <w:rFonts w:ascii="Times New Roman" w:eastAsia="Calibri" w:hAnsi="Times New Roman" w:hint="default"/>
          <w:b w:val="0"/>
          <w:kern w:val="0"/>
          <w:sz w:val="24"/>
          <w:szCs w:val="24"/>
          <w:lang w:val="en-GB" w:eastAsia="en-US"/>
        </w:rPr>
        <w:t>”</w:t>
      </w:r>
      <w:r w:rsidR="00602D79" w:rsidRPr="008B1DE8">
        <w:rPr>
          <w:rFonts w:ascii="Times New Roman" w:eastAsia="Calibri" w:hAnsi="Times New Roman"/>
          <w:b w:val="0"/>
          <w:kern w:val="0"/>
          <w:sz w:val="24"/>
          <w:szCs w:val="24"/>
          <w:lang w:val="en-GB" w:eastAsia="en-US"/>
        </w:rPr>
        <w:t xml:space="preserve"> (Hayes et al., 2015; Hayes and </w:t>
      </w:r>
      <w:proofErr w:type="spellStart"/>
      <w:r w:rsidR="00602D79" w:rsidRPr="008B1DE8">
        <w:rPr>
          <w:rFonts w:ascii="Times New Roman" w:eastAsia="Calibri" w:hAnsi="Times New Roman"/>
          <w:b w:val="0"/>
          <w:kern w:val="0"/>
          <w:sz w:val="24"/>
          <w:szCs w:val="24"/>
          <w:lang w:val="en-GB" w:eastAsia="en-US"/>
        </w:rPr>
        <w:t>Dinkova-Kostova</w:t>
      </w:r>
      <w:proofErr w:type="spellEnd"/>
      <w:r w:rsidR="00602D79" w:rsidRPr="008B1DE8">
        <w:rPr>
          <w:rFonts w:ascii="Times New Roman" w:eastAsia="Calibri" w:hAnsi="Times New Roman"/>
          <w:b w:val="0"/>
          <w:kern w:val="0"/>
          <w:sz w:val="24"/>
          <w:szCs w:val="24"/>
          <w:lang w:val="en-GB" w:eastAsia="en-US"/>
        </w:rPr>
        <w:t xml:space="preserve">, 2014; Hayes et al., 2016; McMahon et al., 2014; Hayes et al., 2010; </w:t>
      </w:r>
      <w:proofErr w:type="spellStart"/>
      <w:r w:rsidR="00602D79" w:rsidRPr="008B1DE8">
        <w:rPr>
          <w:rFonts w:ascii="Times New Roman" w:eastAsia="Calibri" w:hAnsi="Times New Roman"/>
          <w:b w:val="0"/>
          <w:kern w:val="0"/>
          <w:sz w:val="24"/>
          <w:szCs w:val="24"/>
          <w:lang w:val="en-GB" w:eastAsia="en-US"/>
        </w:rPr>
        <w:t>Krajka-Kuźniak</w:t>
      </w:r>
      <w:proofErr w:type="spellEnd"/>
      <w:r w:rsidR="00602D79" w:rsidRPr="008B1DE8">
        <w:rPr>
          <w:rFonts w:ascii="Times New Roman" w:eastAsia="Calibri" w:hAnsi="Times New Roman"/>
          <w:b w:val="0"/>
          <w:kern w:val="0"/>
          <w:sz w:val="24"/>
          <w:szCs w:val="24"/>
          <w:lang w:val="en-GB" w:eastAsia="en-US"/>
        </w:rPr>
        <w:t xml:space="preserve"> et al., 2017).</w:t>
      </w:r>
      <w:r w:rsidR="00602D79" w:rsidRPr="00602D79">
        <w:rPr>
          <w:rFonts w:ascii="Times New Roman" w:eastAsia="Calibri" w:hAnsi="Times New Roman"/>
          <w:b w:val="0"/>
          <w:kern w:val="0"/>
          <w:sz w:val="24"/>
          <w:szCs w:val="24"/>
          <w:lang w:val="en-GB" w:eastAsia="en-US"/>
        </w:rPr>
        <w:t xml:space="preserve"> </w:t>
      </w:r>
      <w:r>
        <w:rPr>
          <w:rFonts w:ascii="Times New Roman" w:eastAsia="Calibri" w:hAnsi="Times New Roman" w:hint="default"/>
          <w:b w:val="0"/>
          <w:kern w:val="0"/>
          <w:sz w:val="24"/>
          <w:szCs w:val="24"/>
          <w:lang w:val="en-GB" w:eastAsia="en-US"/>
        </w:rPr>
        <w:t>“</w:t>
      </w:r>
      <w:r w:rsidR="00602D79" w:rsidRPr="00602D79">
        <w:rPr>
          <w:rFonts w:ascii="Times New Roman" w:eastAsia="Calibri" w:hAnsi="Times New Roman"/>
          <w:b w:val="0"/>
          <w:kern w:val="0"/>
          <w:sz w:val="24"/>
          <w:szCs w:val="24"/>
          <w:lang w:val="en-GB" w:eastAsia="en-US"/>
        </w:rPr>
        <w:t xml:space="preserve">Previous research has indicated that NRF2 transcriptionally regulates the expression of HER2 and HER3, establishing connections between NRF2 function, HER2/HER3 </w:t>
      </w:r>
      <w:proofErr w:type="spellStart"/>
      <w:r w:rsidR="00602D79" w:rsidRPr="00602D79">
        <w:rPr>
          <w:rFonts w:ascii="Times New Roman" w:eastAsia="Calibri" w:hAnsi="Times New Roman"/>
          <w:b w:val="0"/>
          <w:kern w:val="0"/>
          <w:sz w:val="24"/>
          <w:szCs w:val="24"/>
          <w:lang w:val="en-GB" w:eastAsia="en-US"/>
        </w:rPr>
        <w:t>signaling</w:t>
      </w:r>
      <w:proofErr w:type="spellEnd"/>
      <w:r w:rsidR="00602D79" w:rsidRPr="00602D79">
        <w:rPr>
          <w:rFonts w:ascii="Times New Roman" w:eastAsia="Calibri" w:hAnsi="Times New Roman"/>
          <w:b w:val="0"/>
          <w:kern w:val="0"/>
          <w:sz w:val="24"/>
          <w:szCs w:val="24"/>
          <w:lang w:val="en-GB" w:eastAsia="en-US"/>
        </w:rPr>
        <w:t xml:space="preserve">, reactive oxygen species (ROS) production, and glutathione </w:t>
      </w:r>
      <w:proofErr w:type="gramStart"/>
      <w:r w:rsidR="00602D79" w:rsidRPr="00602D79">
        <w:rPr>
          <w:rFonts w:ascii="Times New Roman" w:eastAsia="Calibri" w:hAnsi="Times New Roman"/>
          <w:b w:val="0"/>
          <w:kern w:val="0"/>
          <w:sz w:val="24"/>
          <w:szCs w:val="24"/>
          <w:lang w:val="en-GB" w:eastAsia="en-US"/>
        </w:rPr>
        <w:t>depletion</w:t>
      </w:r>
      <w:r>
        <w:rPr>
          <w:rFonts w:ascii="Times New Roman" w:eastAsia="Calibri" w:hAnsi="Times New Roman" w:hint="default"/>
          <w:b w:val="0"/>
          <w:kern w:val="0"/>
          <w:sz w:val="24"/>
          <w:szCs w:val="24"/>
          <w:lang w:val="en-GB" w:eastAsia="en-US"/>
        </w:rPr>
        <w:t>”</w:t>
      </w:r>
      <w:r w:rsidR="00602D79" w:rsidRPr="00602D79">
        <w:rPr>
          <w:rFonts w:ascii="Times New Roman" w:eastAsia="Calibri" w:hAnsi="Times New Roman"/>
          <w:b w:val="0"/>
          <w:kern w:val="0"/>
          <w:sz w:val="24"/>
          <w:szCs w:val="24"/>
          <w:lang w:val="en-GB" w:eastAsia="en-US"/>
        </w:rPr>
        <w:t>(</w:t>
      </w:r>
      <w:proofErr w:type="gramEnd"/>
      <w:r w:rsidR="00602D79" w:rsidRPr="00602D79">
        <w:rPr>
          <w:rFonts w:ascii="Times New Roman" w:eastAsia="Calibri" w:hAnsi="Times New Roman"/>
          <w:b w:val="0"/>
          <w:kern w:val="0"/>
          <w:sz w:val="24"/>
          <w:szCs w:val="24"/>
          <w:lang w:val="en-GB" w:eastAsia="en-US"/>
        </w:rPr>
        <w:t xml:space="preserve">Zhang et al., 2016a; </w:t>
      </w:r>
      <w:proofErr w:type="spellStart"/>
      <w:r w:rsidR="00602D79" w:rsidRPr="00602D79">
        <w:rPr>
          <w:rFonts w:ascii="Times New Roman" w:eastAsia="Calibri" w:hAnsi="Times New Roman"/>
          <w:b w:val="0"/>
          <w:kern w:val="0"/>
          <w:sz w:val="24"/>
          <w:szCs w:val="24"/>
          <w:lang w:val="en-GB" w:eastAsia="en-US"/>
        </w:rPr>
        <w:t>Liou</w:t>
      </w:r>
      <w:proofErr w:type="spellEnd"/>
      <w:r w:rsidR="00602D79" w:rsidRPr="00602D79">
        <w:rPr>
          <w:rFonts w:ascii="Times New Roman" w:eastAsia="Calibri" w:hAnsi="Times New Roman"/>
          <w:b w:val="0"/>
          <w:kern w:val="0"/>
          <w:sz w:val="24"/>
          <w:szCs w:val="24"/>
          <w:lang w:val="en-GB" w:eastAsia="en-US"/>
        </w:rPr>
        <w:t xml:space="preserve"> and Storz, 2010; Khalil et al., 2015). Furthermore, </w:t>
      </w:r>
      <w:proofErr w:type="spellStart"/>
      <w:r w:rsidR="00602D79" w:rsidRPr="00602D79">
        <w:rPr>
          <w:rFonts w:ascii="Times New Roman" w:eastAsia="Calibri" w:hAnsi="Times New Roman"/>
          <w:b w:val="0"/>
          <w:kern w:val="0"/>
          <w:sz w:val="24"/>
          <w:szCs w:val="24"/>
          <w:lang w:val="en-GB" w:eastAsia="en-US"/>
        </w:rPr>
        <w:t>Kankia</w:t>
      </w:r>
      <w:proofErr w:type="spellEnd"/>
      <w:r w:rsidR="00602D79" w:rsidRPr="00602D79">
        <w:rPr>
          <w:rFonts w:ascii="Times New Roman" w:eastAsia="Calibri" w:hAnsi="Times New Roman"/>
          <w:b w:val="0"/>
          <w:kern w:val="0"/>
          <w:sz w:val="24"/>
          <w:szCs w:val="24"/>
          <w:lang w:val="en-GB" w:eastAsia="en-US"/>
        </w:rPr>
        <w:t xml:space="preserve"> et al. (2017) demonstrated that NRF2 regulates HER1 expression and modulates the sensitization of ovarian cancer cells to receptor tyrosine kinase inhibitors (RTKIs) and anticancer drugs targeting HER1/HER2 receptors.</w:t>
      </w:r>
    </w:p>
    <w:p w:rsidR="00602D79" w:rsidRDefault="00602D79" w:rsidP="00602D79">
      <w:pPr>
        <w:pStyle w:val="Heading1"/>
        <w:jc w:val="both"/>
        <w:rPr>
          <w:rFonts w:ascii="Times New Roman" w:eastAsia="Calibri" w:hAnsi="Times New Roman" w:hint="default"/>
          <w:b w:val="0"/>
          <w:kern w:val="0"/>
          <w:sz w:val="24"/>
          <w:szCs w:val="24"/>
          <w:lang w:val="en-GB" w:eastAsia="en-US"/>
        </w:rPr>
      </w:pPr>
      <w:r w:rsidRPr="00602D79">
        <w:rPr>
          <w:rFonts w:ascii="Times New Roman" w:eastAsia="Calibri" w:hAnsi="Times New Roman"/>
          <w:b w:val="0"/>
          <w:kern w:val="0"/>
          <w:sz w:val="24"/>
          <w:szCs w:val="24"/>
          <w:lang w:val="en-GB" w:eastAsia="en-US"/>
        </w:rPr>
        <w:t>In this study, we invest</w:t>
      </w:r>
      <w:r w:rsidR="008B1DE8">
        <w:rPr>
          <w:rFonts w:ascii="Times New Roman" w:eastAsia="Calibri" w:hAnsi="Times New Roman"/>
          <w:b w:val="0"/>
          <w:kern w:val="0"/>
          <w:sz w:val="24"/>
          <w:szCs w:val="24"/>
          <w:lang w:val="en-GB" w:eastAsia="en-US"/>
        </w:rPr>
        <w:t xml:space="preserve">igated the how inhibition of </w:t>
      </w:r>
      <w:r w:rsidRPr="00602D79">
        <w:rPr>
          <w:rFonts w:ascii="Times New Roman" w:eastAsia="Calibri" w:hAnsi="Times New Roman"/>
          <w:b w:val="0"/>
          <w:kern w:val="0"/>
          <w:sz w:val="24"/>
          <w:szCs w:val="24"/>
          <w:lang w:val="en-GB" w:eastAsia="en-US"/>
        </w:rPr>
        <w:t>NRF2</w:t>
      </w:r>
      <w:r w:rsidR="008B1DE8">
        <w:rPr>
          <w:rFonts w:ascii="Times New Roman" w:eastAsia="Calibri" w:hAnsi="Times New Roman" w:hint="default"/>
          <w:b w:val="0"/>
          <w:kern w:val="0"/>
          <w:sz w:val="24"/>
          <w:szCs w:val="24"/>
          <w:lang w:val="en-GB" w:eastAsia="en-US"/>
        </w:rPr>
        <w:t xml:space="preserve"> plays</w:t>
      </w:r>
      <w:r w:rsidRPr="00602D79">
        <w:rPr>
          <w:rFonts w:ascii="Times New Roman" w:eastAsia="Calibri" w:hAnsi="Times New Roman"/>
          <w:b w:val="0"/>
          <w:kern w:val="0"/>
          <w:sz w:val="24"/>
          <w:szCs w:val="24"/>
          <w:lang w:val="en-GB" w:eastAsia="en-US"/>
        </w:rPr>
        <w:t xml:space="preserve"> potential role in modulating the cellular response to garlic extract as an anticancer agent.</w:t>
      </w:r>
    </w:p>
    <w:p w:rsidR="00D755E5" w:rsidRDefault="00D755E5" w:rsidP="00D755E5"/>
    <w:p w:rsidR="00D755E5" w:rsidRDefault="00D755E5" w:rsidP="00D755E5"/>
    <w:p w:rsidR="00D755E5" w:rsidRPr="00D755E5" w:rsidRDefault="00D755E5" w:rsidP="00D755E5"/>
    <w:p w:rsidR="00D755E5" w:rsidRPr="00D755E5" w:rsidRDefault="00C54A4E" w:rsidP="00D755E5">
      <w:pPr>
        <w:pStyle w:val="Heading1"/>
        <w:jc w:val="both"/>
        <w:rPr>
          <w:rFonts w:ascii="Times New Roman" w:eastAsia="Calibri" w:hAnsi="Times New Roman" w:hint="default"/>
          <w:kern w:val="0"/>
          <w:sz w:val="24"/>
          <w:szCs w:val="24"/>
          <w:lang w:val="en-GB" w:eastAsia="en-US"/>
        </w:rPr>
      </w:pPr>
      <w:r w:rsidRPr="00985D38">
        <w:rPr>
          <w:rFonts w:ascii="Times New Roman" w:eastAsia="Calibri" w:hAnsi="Times New Roman" w:hint="default"/>
          <w:kern w:val="0"/>
          <w:sz w:val="24"/>
          <w:szCs w:val="24"/>
          <w:lang w:val="en-GB" w:eastAsia="en-US"/>
        </w:rPr>
        <w:t xml:space="preserve">Materials and </w:t>
      </w:r>
      <w:r w:rsidRPr="00985D38">
        <w:rPr>
          <w:rFonts w:ascii="Times New Roman" w:eastAsia="Calibri" w:hAnsi="Times New Roman"/>
          <w:kern w:val="0"/>
          <w:sz w:val="24"/>
          <w:szCs w:val="24"/>
          <w:lang w:val="en-GB" w:eastAsia="en-US"/>
        </w:rPr>
        <w:t>m</w:t>
      </w:r>
      <w:r w:rsidRPr="00985D38">
        <w:rPr>
          <w:rFonts w:ascii="Times New Roman" w:eastAsia="Calibri" w:hAnsi="Times New Roman" w:hint="default"/>
          <w:kern w:val="0"/>
          <w:sz w:val="24"/>
          <w:szCs w:val="24"/>
          <w:lang w:val="en-GB" w:eastAsia="en-US"/>
        </w:rPr>
        <w:t>ethods</w:t>
      </w:r>
    </w:p>
    <w:p w:rsidR="008F0D61" w:rsidRPr="00303ADC" w:rsidRDefault="00C54A4E" w:rsidP="008F0D61">
      <w:pPr>
        <w:spacing w:line="240" w:lineRule="auto"/>
        <w:jc w:val="both"/>
        <w:rPr>
          <w:rFonts w:ascii="Times New Roman" w:hAnsi="Times New Roman"/>
          <w:sz w:val="24"/>
          <w:szCs w:val="24"/>
        </w:rPr>
      </w:pPr>
      <w:r w:rsidRPr="0059348E">
        <w:rPr>
          <w:rFonts w:ascii="Times New Roman" w:hAnsi="Times New Roman"/>
          <w:sz w:val="24"/>
          <w:szCs w:val="24"/>
        </w:rPr>
        <w:t>.</w:t>
      </w:r>
    </w:p>
    <w:p w:rsidR="008F0D61" w:rsidRPr="00985D38" w:rsidRDefault="008F0D61" w:rsidP="008F0D61">
      <w:pPr>
        <w:spacing w:line="240" w:lineRule="auto"/>
        <w:jc w:val="both"/>
        <w:rPr>
          <w:rFonts w:ascii="Times New Roman" w:hAnsi="Times New Roman"/>
          <w:b/>
          <w:sz w:val="24"/>
          <w:szCs w:val="24"/>
        </w:rPr>
      </w:pPr>
      <w:r w:rsidRPr="00985D38">
        <w:rPr>
          <w:rFonts w:ascii="Times New Roman" w:hAnsi="Times New Roman"/>
          <w:b/>
          <w:sz w:val="24"/>
          <w:szCs w:val="24"/>
        </w:rPr>
        <w:t>Cell culture</w:t>
      </w:r>
    </w:p>
    <w:p w:rsidR="000026F2" w:rsidRPr="00303ADC" w:rsidRDefault="008F0D61" w:rsidP="00C54A4E">
      <w:pPr>
        <w:spacing w:line="240" w:lineRule="auto"/>
        <w:jc w:val="both"/>
        <w:rPr>
          <w:rFonts w:ascii="Times New Roman" w:hAnsi="Times New Roman"/>
          <w:sz w:val="24"/>
          <w:szCs w:val="24"/>
        </w:rPr>
      </w:pPr>
      <w:r w:rsidRPr="0059348E">
        <w:rPr>
          <w:rFonts w:ascii="Times New Roman" w:hAnsi="Times New Roman"/>
          <w:sz w:val="24"/>
          <w:szCs w:val="24"/>
        </w:rPr>
        <w:t xml:space="preserve">The </w:t>
      </w:r>
      <w:r>
        <w:rPr>
          <w:rFonts w:ascii="Times New Roman" w:hAnsi="Times New Roman"/>
          <w:sz w:val="24"/>
          <w:szCs w:val="24"/>
        </w:rPr>
        <w:t>PEO1, OVCAR3 and SKOV3</w:t>
      </w:r>
      <w:r w:rsidRPr="0059348E">
        <w:rPr>
          <w:rFonts w:ascii="Times New Roman" w:hAnsi="Times New Roman"/>
          <w:sz w:val="24"/>
          <w:szCs w:val="24"/>
        </w:rPr>
        <w:t xml:space="preserve"> cell lines were cultured at 37°C in 5% CO2: 95% air in RPMI 1640 medium containing </w:t>
      </w:r>
      <w:proofErr w:type="spellStart"/>
      <w:r w:rsidRPr="0059348E">
        <w:rPr>
          <w:rFonts w:ascii="Times New Roman" w:hAnsi="Times New Roman"/>
          <w:sz w:val="24"/>
          <w:szCs w:val="24"/>
        </w:rPr>
        <w:t>fetal</w:t>
      </w:r>
      <w:proofErr w:type="spellEnd"/>
      <w:r w:rsidRPr="0059348E">
        <w:rPr>
          <w:rFonts w:ascii="Times New Roman" w:hAnsi="Times New Roman"/>
          <w:sz w:val="24"/>
          <w:szCs w:val="24"/>
        </w:rPr>
        <w:t xml:space="preserve"> calf serum (FCS, 9:1) together with glutamine (2 mM), sodium pyruvate (1mM), streptomycin (100 </w:t>
      </w:r>
      <w:proofErr w:type="spellStart"/>
      <w:r w:rsidRPr="0059348E">
        <w:rPr>
          <w:rFonts w:ascii="Times New Roman" w:hAnsi="Times New Roman"/>
          <w:sz w:val="24"/>
          <w:szCs w:val="24"/>
        </w:rPr>
        <w:t>μg</w:t>
      </w:r>
      <w:proofErr w:type="spellEnd"/>
      <w:r w:rsidRPr="0059348E">
        <w:rPr>
          <w:rFonts w:ascii="Times New Roman" w:hAnsi="Times New Roman"/>
          <w:sz w:val="24"/>
          <w:szCs w:val="24"/>
        </w:rPr>
        <w:t xml:space="preserve">/mL) and penicillin (100 U/mL). For experiments, cells were grown for 24 h in RPMI 1640 medium with 5% double charcoal stripped </w:t>
      </w:r>
      <w:proofErr w:type="spellStart"/>
      <w:r w:rsidRPr="0059348E">
        <w:rPr>
          <w:rFonts w:ascii="Times New Roman" w:hAnsi="Times New Roman"/>
          <w:sz w:val="24"/>
          <w:szCs w:val="24"/>
        </w:rPr>
        <w:t>fetal</w:t>
      </w:r>
      <w:proofErr w:type="spellEnd"/>
      <w:r w:rsidRPr="0059348E">
        <w:rPr>
          <w:rFonts w:ascii="Times New Roman" w:hAnsi="Times New Roman"/>
          <w:sz w:val="24"/>
          <w:szCs w:val="24"/>
        </w:rPr>
        <w:t xml:space="preserve"> bovine serum (FBS, Fisher) replacing FBS. </w:t>
      </w:r>
      <w:proofErr w:type="spellStart"/>
      <w:r w:rsidRPr="0059348E">
        <w:rPr>
          <w:rFonts w:ascii="Times New Roman" w:hAnsi="Times New Roman"/>
          <w:sz w:val="24"/>
          <w:szCs w:val="24"/>
        </w:rPr>
        <w:t>Heregulin</w:t>
      </w:r>
      <w:proofErr w:type="spellEnd"/>
      <w:r w:rsidRPr="0059348E">
        <w:rPr>
          <w:rFonts w:ascii="Times New Roman" w:hAnsi="Times New Roman"/>
          <w:sz w:val="24"/>
          <w:szCs w:val="24"/>
        </w:rPr>
        <w:t xml:space="preserve">-β1 (H, Sigma) was prepared as a 1 </w:t>
      </w:r>
      <w:proofErr w:type="spellStart"/>
      <w:r w:rsidRPr="0059348E">
        <w:rPr>
          <w:rFonts w:ascii="Times New Roman" w:hAnsi="Times New Roman"/>
          <w:sz w:val="24"/>
          <w:szCs w:val="24"/>
        </w:rPr>
        <w:t>μM</w:t>
      </w:r>
      <w:proofErr w:type="spellEnd"/>
      <w:r w:rsidRPr="0059348E">
        <w:rPr>
          <w:rFonts w:ascii="Times New Roman" w:hAnsi="Times New Roman"/>
          <w:sz w:val="24"/>
          <w:szCs w:val="24"/>
        </w:rPr>
        <w:t xml:space="preserve"> solution containing 5% </w:t>
      </w:r>
      <w:proofErr w:type="spellStart"/>
      <w:r w:rsidRPr="0059348E">
        <w:rPr>
          <w:rFonts w:ascii="Times New Roman" w:hAnsi="Times New Roman"/>
          <w:sz w:val="24"/>
          <w:szCs w:val="24"/>
        </w:rPr>
        <w:t>trehalose</w:t>
      </w:r>
      <w:proofErr w:type="spellEnd"/>
      <w:r w:rsidRPr="0059348E">
        <w:rPr>
          <w:rFonts w:ascii="Times New Roman" w:hAnsi="Times New Roman"/>
          <w:sz w:val="24"/>
          <w:szCs w:val="24"/>
        </w:rPr>
        <w:t xml:space="preserve"> and 10% FCS in phosphate buffered saline (PBS) and diluted to 1 </w:t>
      </w:r>
      <w:proofErr w:type="spellStart"/>
      <w:r w:rsidRPr="0059348E">
        <w:rPr>
          <w:rFonts w:ascii="Times New Roman" w:hAnsi="Times New Roman"/>
          <w:sz w:val="24"/>
          <w:szCs w:val="24"/>
        </w:rPr>
        <w:t>nM</w:t>
      </w:r>
      <w:proofErr w:type="spellEnd"/>
      <w:r w:rsidRPr="0059348E">
        <w:rPr>
          <w:rFonts w:ascii="Times New Roman" w:hAnsi="Times New Roman"/>
          <w:sz w:val="24"/>
          <w:szCs w:val="24"/>
        </w:rPr>
        <w:t xml:space="preserve"> with media within experiments. </w:t>
      </w:r>
      <w:proofErr w:type="spellStart"/>
      <w:r w:rsidRPr="0059348E">
        <w:rPr>
          <w:rFonts w:ascii="Times New Roman" w:hAnsi="Times New Roman"/>
          <w:sz w:val="24"/>
          <w:szCs w:val="24"/>
        </w:rPr>
        <w:t>tBHQ</w:t>
      </w:r>
      <w:proofErr w:type="spellEnd"/>
      <w:r w:rsidRPr="0059348E">
        <w:rPr>
          <w:rFonts w:ascii="Times New Roman" w:hAnsi="Times New Roman"/>
          <w:sz w:val="24"/>
          <w:szCs w:val="24"/>
        </w:rPr>
        <w:t xml:space="preserve"> (Sigma) and </w:t>
      </w:r>
      <w:r>
        <w:rPr>
          <w:rFonts w:ascii="Times New Roman" w:hAnsi="Times New Roman"/>
          <w:sz w:val="24"/>
          <w:szCs w:val="24"/>
        </w:rPr>
        <w:t>garlic</w:t>
      </w:r>
      <w:r w:rsidRPr="0059348E">
        <w:rPr>
          <w:rFonts w:ascii="Times New Roman" w:hAnsi="Times New Roman"/>
          <w:sz w:val="24"/>
          <w:szCs w:val="24"/>
        </w:rPr>
        <w:t xml:space="preserve"> (</w:t>
      </w:r>
      <w:proofErr w:type="spellStart"/>
      <w:r w:rsidRPr="0059348E">
        <w:rPr>
          <w:rFonts w:ascii="Times New Roman" w:hAnsi="Times New Roman"/>
          <w:sz w:val="24"/>
          <w:szCs w:val="24"/>
        </w:rPr>
        <w:t>Carbosynth</w:t>
      </w:r>
      <w:r>
        <w:rPr>
          <w:rFonts w:ascii="Times New Roman" w:hAnsi="Times New Roman"/>
          <w:sz w:val="24"/>
          <w:szCs w:val="24"/>
        </w:rPr>
        <w:t>-Biosynth</w:t>
      </w:r>
      <w:proofErr w:type="spellEnd"/>
      <w:r w:rsidRPr="0059348E">
        <w:rPr>
          <w:rFonts w:ascii="Times New Roman" w:hAnsi="Times New Roman"/>
          <w:sz w:val="24"/>
          <w:szCs w:val="24"/>
        </w:rPr>
        <w:t>) stock solutions were prepared in dimethyl sulfoxide (Fisher).</w:t>
      </w:r>
    </w:p>
    <w:p w:rsidR="00C54A4E" w:rsidRPr="00885731" w:rsidRDefault="00C54A4E" w:rsidP="00C54A4E">
      <w:pPr>
        <w:spacing w:line="240" w:lineRule="auto"/>
        <w:jc w:val="both"/>
        <w:rPr>
          <w:rFonts w:ascii="Times New Roman" w:hAnsi="Times New Roman"/>
          <w:b/>
          <w:sz w:val="24"/>
          <w:szCs w:val="24"/>
        </w:rPr>
      </w:pPr>
      <w:r w:rsidRPr="00885731">
        <w:rPr>
          <w:rFonts w:ascii="Times New Roman" w:hAnsi="Times New Roman"/>
          <w:b/>
          <w:sz w:val="24"/>
          <w:szCs w:val="24"/>
        </w:rPr>
        <w:t>Cytotoxicity assay</w:t>
      </w:r>
    </w:p>
    <w:p w:rsidR="00CC580B" w:rsidRPr="00853F63" w:rsidRDefault="00C54A4E" w:rsidP="00C54A4E">
      <w:pPr>
        <w:spacing w:line="240" w:lineRule="auto"/>
        <w:jc w:val="both"/>
        <w:rPr>
          <w:rFonts w:ascii="Times New Roman" w:hAnsi="Times New Roman"/>
          <w:sz w:val="24"/>
          <w:szCs w:val="24"/>
        </w:rPr>
      </w:pPr>
      <w:r w:rsidRPr="0059348E">
        <w:rPr>
          <w:rFonts w:ascii="Times New Roman" w:hAnsi="Times New Roman"/>
          <w:sz w:val="24"/>
          <w:szCs w:val="24"/>
        </w:rPr>
        <w:t xml:space="preserve">Cell viability was assessed with the </w:t>
      </w:r>
      <w:proofErr w:type="spellStart"/>
      <w:r w:rsidRPr="0059348E">
        <w:rPr>
          <w:rFonts w:ascii="Times New Roman" w:hAnsi="Times New Roman"/>
          <w:sz w:val="24"/>
          <w:szCs w:val="24"/>
        </w:rPr>
        <w:t>CellTiter</w:t>
      </w:r>
      <w:proofErr w:type="spellEnd"/>
      <w:r w:rsidRPr="0059348E">
        <w:rPr>
          <w:rFonts w:ascii="Times New Roman" w:hAnsi="Times New Roman"/>
          <w:sz w:val="24"/>
          <w:szCs w:val="24"/>
        </w:rPr>
        <w:t xml:space="preserve">-Glo® 2.0 assay kit (Promega). Cells were plated in 96-well plates and left for 24 h. After treatment with drugs as described, the plates were left for 30 min at room temperature. </w:t>
      </w:r>
      <w:proofErr w:type="spellStart"/>
      <w:r w:rsidRPr="0059348E">
        <w:rPr>
          <w:rFonts w:ascii="Times New Roman" w:hAnsi="Times New Roman"/>
          <w:sz w:val="24"/>
          <w:szCs w:val="24"/>
        </w:rPr>
        <w:t>CellTiter</w:t>
      </w:r>
      <w:proofErr w:type="spellEnd"/>
      <w:r w:rsidRPr="0059348E">
        <w:rPr>
          <w:rFonts w:ascii="Times New Roman" w:hAnsi="Times New Roman"/>
          <w:sz w:val="24"/>
          <w:szCs w:val="24"/>
        </w:rPr>
        <w:t xml:space="preserve">-Glo 2.0 reagent was added at a volume equal to that of medium present in each well and cell lysis was induced by placing the plate on an orbital shaker and then incubating at room temperature for 10 min to stabilize the luminescent signal read by luminometer (MODULUS, Promega). The assay measures ATP which in turn indicates the level of live </w:t>
      </w:r>
      <w:r w:rsidR="00853F63">
        <w:rPr>
          <w:rFonts w:ascii="Times New Roman" w:hAnsi="Times New Roman"/>
          <w:sz w:val="24"/>
          <w:szCs w:val="24"/>
        </w:rPr>
        <w:t>and metabolically active cells.</w:t>
      </w:r>
    </w:p>
    <w:p w:rsidR="00C54A4E" w:rsidRPr="005A7D6D" w:rsidRDefault="00C54A4E" w:rsidP="00C54A4E">
      <w:pPr>
        <w:spacing w:line="240" w:lineRule="auto"/>
        <w:jc w:val="both"/>
        <w:rPr>
          <w:rFonts w:ascii="Times New Roman" w:hAnsi="Times New Roman"/>
          <w:b/>
          <w:sz w:val="24"/>
          <w:szCs w:val="24"/>
        </w:rPr>
      </w:pPr>
      <w:r w:rsidRPr="005A7D6D">
        <w:rPr>
          <w:rFonts w:ascii="Times New Roman" w:hAnsi="Times New Roman"/>
          <w:b/>
          <w:sz w:val="24"/>
          <w:szCs w:val="24"/>
        </w:rPr>
        <w:t xml:space="preserve">Determination of </w:t>
      </w:r>
      <w:r w:rsidR="00A968DE" w:rsidRPr="005A7D6D">
        <w:rPr>
          <w:rFonts w:ascii="Times New Roman" w:hAnsi="Times New Roman"/>
          <w:b/>
          <w:sz w:val="24"/>
          <w:szCs w:val="24"/>
        </w:rPr>
        <w:t>ROS and</w:t>
      </w:r>
      <w:r w:rsidRPr="005A7D6D">
        <w:rPr>
          <w:rFonts w:ascii="Times New Roman" w:hAnsi="Times New Roman"/>
          <w:b/>
          <w:sz w:val="24"/>
          <w:szCs w:val="24"/>
        </w:rPr>
        <w:t xml:space="preserve"> glutathione levels</w:t>
      </w:r>
    </w:p>
    <w:p w:rsidR="0080705E" w:rsidRDefault="0080705E" w:rsidP="00C54A4E">
      <w:pPr>
        <w:spacing w:line="240" w:lineRule="auto"/>
        <w:jc w:val="both"/>
        <w:rPr>
          <w:rFonts w:ascii="Times New Roman" w:hAnsi="Times New Roman"/>
          <w:sz w:val="24"/>
          <w:szCs w:val="24"/>
        </w:rPr>
      </w:pPr>
      <w:r w:rsidRPr="0080705E">
        <w:rPr>
          <w:rFonts w:ascii="Times New Roman" w:hAnsi="Times New Roman"/>
          <w:sz w:val="24"/>
          <w:szCs w:val="24"/>
        </w:rPr>
        <w:t>To measure reactive oxyg</w:t>
      </w:r>
      <w:r>
        <w:rPr>
          <w:rFonts w:ascii="Times New Roman" w:hAnsi="Times New Roman"/>
          <w:sz w:val="24"/>
          <w:szCs w:val="24"/>
        </w:rPr>
        <w:t>en species (ROS), cells (2 × 10</w:t>
      </w:r>
      <w:r w:rsidRPr="0080705E">
        <w:rPr>
          <w:rFonts w:ascii="Times New Roman" w:hAnsi="Times New Roman"/>
          <w:sz w:val="24"/>
          <w:szCs w:val="24"/>
          <w:vertAlign w:val="superscript"/>
        </w:rPr>
        <w:t>4</w:t>
      </w:r>
      <w:r w:rsidRPr="0080705E">
        <w:rPr>
          <w:rFonts w:ascii="Times New Roman" w:hAnsi="Times New Roman"/>
          <w:sz w:val="24"/>
          <w:szCs w:val="24"/>
        </w:rPr>
        <w:t xml:space="preserve"> cells/mL) were plated in triplicate in opaque 96-well plates using 100 µL of phenol red-free medium. After 18 hours, an equal volume of 2’,7’-dichlorofluorescein diacetate (DCFDA) solution (50 mM) was added to each well and allowed to react for 45 minutes at 37°C. ROS levels were then assessed by </w:t>
      </w:r>
      <w:r w:rsidRPr="0080705E">
        <w:rPr>
          <w:rFonts w:ascii="Times New Roman" w:hAnsi="Times New Roman"/>
          <w:sz w:val="24"/>
          <w:szCs w:val="24"/>
        </w:rPr>
        <w:lastRenderedPageBreak/>
        <w:t xml:space="preserve">fluorescence, with excitation at 485 nm and emission at 535 nm, using a multiplate reader (MODULUS, Promega). For normalization, cells were stained with Coomassie blue stain (Sigma) for 1 hour, followed by washing with distilled water. To release the dye, a 10% sodium dodecyl </w:t>
      </w:r>
      <w:proofErr w:type="spellStart"/>
      <w:r w:rsidRPr="0080705E">
        <w:rPr>
          <w:rFonts w:ascii="Times New Roman" w:hAnsi="Times New Roman"/>
          <w:sz w:val="24"/>
          <w:szCs w:val="24"/>
        </w:rPr>
        <w:t>sulfate</w:t>
      </w:r>
      <w:proofErr w:type="spellEnd"/>
      <w:r w:rsidRPr="0080705E">
        <w:rPr>
          <w:rFonts w:ascii="Times New Roman" w:hAnsi="Times New Roman"/>
          <w:sz w:val="24"/>
          <w:szCs w:val="24"/>
        </w:rPr>
        <w:t xml:space="preserve"> solution was added, and the plates were shaken for 10 minutes. Absorbance was measured at 595 nm using the same multiplate reader. For glutath</w:t>
      </w:r>
      <w:r>
        <w:rPr>
          <w:rFonts w:ascii="Times New Roman" w:hAnsi="Times New Roman"/>
          <w:sz w:val="24"/>
          <w:szCs w:val="24"/>
        </w:rPr>
        <w:t>ione measurement, cells (1 × 10</w:t>
      </w:r>
      <w:r w:rsidRPr="0080705E">
        <w:rPr>
          <w:rFonts w:ascii="Times New Roman" w:hAnsi="Times New Roman"/>
          <w:sz w:val="24"/>
          <w:szCs w:val="24"/>
          <w:vertAlign w:val="superscript"/>
        </w:rPr>
        <w:t>4</w:t>
      </w:r>
      <w:r w:rsidRPr="0080705E">
        <w:rPr>
          <w:rFonts w:ascii="Times New Roman" w:hAnsi="Times New Roman"/>
          <w:sz w:val="24"/>
          <w:szCs w:val="24"/>
        </w:rPr>
        <w:t xml:space="preserve"> cells/mL) were plated in white clear-bottom 96-well plates and incubated for 18 hours. The media was then removed. </w:t>
      </w:r>
    </w:p>
    <w:p w:rsidR="005A7D6D" w:rsidRDefault="0080705E" w:rsidP="00C54A4E">
      <w:pPr>
        <w:spacing w:line="240" w:lineRule="auto"/>
        <w:jc w:val="both"/>
        <w:rPr>
          <w:rFonts w:ascii="Times New Roman" w:hAnsi="Times New Roman"/>
          <w:b/>
          <w:sz w:val="24"/>
          <w:szCs w:val="24"/>
        </w:rPr>
      </w:pPr>
      <w:r w:rsidRPr="0080705E">
        <w:rPr>
          <w:rFonts w:ascii="Times New Roman" w:hAnsi="Times New Roman"/>
          <w:sz w:val="24"/>
          <w:szCs w:val="24"/>
        </w:rPr>
        <w:t>The glutathione (GSH)/</w:t>
      </w:r>
      <w:proofErr w:type="spellStart"/>
      <w:r w:rsidRPr="0080705E">
        <w:rPr>
          <w:rFonts w:ascii="Times New Roman" w:hAnsi="Times New Roman"/>
          <w:sz w:val="24"/>
          <w:szCs w:val="24"/>
        </w:rPr>
        <w:t>GSSGGlo</w:t>
      </w:r>
      <w:proofErr w:type="spellEnd"/>
      <w:r w:rsidRPr="0080705E">
        <w:rPr>
          <w:rFonts w:ascii="Times New Roman" w:hAnsi="Times New Roman"/>
          <w:sz w:val="24"/>
          <w:szCs w:val="24"/>
        </w:rPr>
        <w:t>™ Assay (Promega) was performed according to the manufacturer's instructions. A total glutathione lysis reagent (50 µL) was added to each well, and the lysates were transferred to a 96-well opaque plate. The plates were shaken at room temperature for 5 minutes. Subsequently, Luciferin Generation Reagent (50 µL) was added to each well, followed by shaking and a 30-minute incubation at room temperature. Finally, Luciferin Detection Reagent (100 µL) was added, and the plates were shaken for an additional 15 minutes. Luminescence was measured using a luminometer (MODULUS, Promega).</w:t>
      </w:r>
    </w:p>
    <w:p w:rsidR="00C54A4E" w:rsidRPr="005A7D6D" w:rsidRDefault="00C54A4E" w:rsidP="00C54A4E">
      <w:pPr>
        <w:spacing w:line="240" w:lineRule="auto"/>
        <w:jc w:val="both"/>
        <w:rPr>
          <w:rFonts w:ascii="Times New Roman" w:hAnsi="Times New Roman"/>
          <w:b/>
          <w:sz w:val="24"/>
          <w:szCs w:val="24"/>
        </w:rPr>
      </w:pPr>
      <w:r w:rsidRPr="005A7D6D">
        <w:rPr>
          <w:rFonts w:ascii="Times New Roman" w:hAnsi="Times New Roman"/>
          <w:b/>
          <w:sz w:val="24"/>
          <w:szCs w:val="24"/>
        </w:rPr>
        <w:t>Statistical analysis</w:t>
      </w:r>
    </w:p>
    <w:p w:rsidR="005A7D6D" w:rsidRPr="0059348E" w:rsidRDefault="0080705E" w:rsidP="00C54A4E">
      <w:pPr>
        <w:spacing w:line="240" w:lineRule="auto"/>
        <w:jc w:val="both"/>
        <w:rPr>
          <w:rFonts w:ascii="Times New Roman" w:hAnsi="Times New Roman"/>
          <w:sz w:val="24"/>
          <w:szCs w:val="24"/>
        </w:rPr>
      </w:pPr>
      <w:r w:rsidRPr="0080705E">
        <w:rPr>
          <w:rFonts w:ascii="Times New Roman" w:hAnsi="Times New Roman"/>
          <w:sz w:val="24"/>
          <w:szCs w:val="24"/>
        </w:rPr>
        <w:t>Statistical analyses were conducted using GraphPad software. The significance of differences among pooled results was assessed using either independent t-tests or one-way analysis of variance (ANOVA), followed by post hoc Tukey’s tests. Significance levels were defined as follows: *, P &lt; 0.05; **, P &lt; 0.01; ***, P &lt; 0.001; and ****, P &lt; 0.0001.</w:t>
      </w:r>
    </w:p>
    <w:p w:rsidR="008F0D61" w:rsidRPr="00DF4BA6" w:rsidRDefault="00C54A4E" w:rsidP="00DF4BA6">
      <w:pPr>
        <w:pStyle w:val="Heading1"/>
        <w:jc w:val="both"/>
        <w:rPr>
          <w:rFonts w:ascii="Times New Roman" w:eastAsia="Calibri" w:hAnsi="Times New Roman" w:hint="default"/>
          <w:kern w:val="0"/>
          <w:sz w:val="24"/>
          <w:szCs w:val="24"/>
          <w:lang w:val="en-GB" w:eastAsia="en-US"/>
        </w:rPr>
      </w:pPr>
      <w:r w:rsidRPr="00DB25FA">
        <w:rPr>
          <w:rFonts w:ascii="Times New Roman" w:eastAsia="Calibri" w:hAnsi="Times New Roman" w:hint="default"/>
          <w:kern w:val="0"/>
          <w:sz w:val="24"/>
          <w:szCs w:val="24"/>
          <w:lang w:val="en-GB" w:eastAsia="en-US"/>
        </w:rPr>
        <w:t>Results</w:t>
      </w:r>
    </w:p>
    <w:p w:rsidR="00150422" w:rsidRPr="00150422" w:rsidRDefault="00150422" w:rsidP="00150422">
      <w:pPr>
        <w:spacing w:line="240" w:lineRule="auto"/>
        <w:jc w:val="both"/>
        <w:rPr>
          <w:rFonts w:ascii="Times New Roman" w:hAnsi="Times New Roman"/>
          <w:b/>
          <w:sz w:val="24"/>
          <w:szCs w:val="24"/>
        </w:rPr>
      </w:pPr>
      <w:bookmarkStart w:id="0" w:name="_GoBack"/>
      <w:bookmarkEnd w:id="0"/>
      <w:proofErr w:type="spellStart"/>
      <w:r w:rsidRPr="00150422">
        <w:rPr>
          <w:rFonts w:ascii="Times New Roman" w:hAnsi="Times New Roman"/>
          <w:b/>
          <w:sz w:val="24"/>
          <w:szCs w:val="24"/>
        </w:rPr>
        <w:t>tBHQ</w:t>
      </w:r>
      <w:proofErr w:type="spellEnd"/>
      <w:r w:rsidRPr="00150422">
        <w:rPr>
          <w:rFonts w:ascii="Times New Roman" w:hAnsi="Times New Roman"/>
          <w:b/>
          <w:sz w:val="24"/>
          <w:szCs w:val="24"/>
        </w:rPr>
        <w:t xml:space="preserve">-Mediated Activation of NRF2 Promotes Proliferation and Survival of Ovarian Cancer Cells and Reduces </w:t>
      </w:r>
      <w:r>
        <w:rPr>
          <w:rFonts w:ascii="Times New Roman" w:hAnsi="Times New Roman"/>
          <w:b/>
          <w:sz w:val="24"/>
          <w:szCs w:val="24"/>
        </w:rPr>
        <w:t>the Cytotoxic Effects of Garlic</w:t>
      </w:r>
    </w:p>
    <w:p w:rsidR="00150422" w:rsidRPr="0059348E" w:rsidRDefault="00526E18" w:rsidP="00853F63">
      <w:pPr>
        <w:spacing w:before="240" w:line="240" w:lineRule="auto"/>
        <w:jc w:val="both"/>
        <w:rPr>
          <w:rFonts w:ascii="Times New Roman" w:hAnsi="Times New Roman"/>
          <w:sz w:val="24"/>
          <w:szCs w:val="24"/>
        </w:rPr>
      </w:pPr>
      <w:r>
        <w:rPr>
          <w:rFonts w:ascii="Times New Roman" w:hAnsi="Times New Roman"/>
          <w:sz w:val="24"/>
          <w:szCs w:val="24"/>
        </w:rPr>
        <w:t>“</w:t>
      </w:r>
      <w:r w:rsidR="00150422" w:rsidRPr="00150422">
        <w:rPr>
          <w:rFonts w:ascii="Times New Roman" w:hAnsi="Times New Roman"/>
          <w:sz w:val="24"/>
          <w:szCs w:val="24"/>
        </w:rPr>
        <w:t>Previous studies have demonstrated that NRF2 activation contributes to cancer cell proliferation and resistance to chemotherapeutic agents</w:t>
      </w:r>
      <w:r>
        <w:rPr>
          <w:rFonts w:ascii="Times New Roman" w:hAnsi="Times New Roman"/>
          <w:sz w:val="24"/>
          <w:szCs w:val="24"/>
        </w:rPr>
        <w:t>”</w:t>
      </w:r>
      <w:r w:rsidR="00150422" w:rsidRPr="00150422">
        <w:rPr>
          <w:rFonts w:ascii="Times New Roman" w:hAnsi="Times New Roman"/>
          <w:sz w:val="24"/>
          <w:szCs w:val="24"/>
        </w:rPr>
        <w:t xml:space="preserve"> (Khalil et al., 2015). </w:t>
      </w:r>
      <w:r w:rsidR="00467EEF">
        <w:rPr>
          <w:rFonts w:ascii="Times New Roman" w:hAnsi="Times New Roman"/>
          <w:sz w:val="24"/>
          <w:szCs w:val="24"/>
        </w:rPr>
        <w:t xml:space="preserve"> </w:t>
      </w:r>
      <w:r>
        <w:rPr>
          <w:rFonts w:ascii="Times New Roman" w:hAnsi="Times New Roman"/>
          <w:sz w:val="24"/>
          <w:szCs w:val="24"/>
        </w:rPr>
        <w:t>“</w:t>
      </w:r>
      <w:r w:rsidR="00467EEF">
        <w:rPr>
          <w:rFonts w:ascii="Times New Roman" w:hAnsi="Times New Roman"/>
          <w:sz w:val="24"/>
          <w:szCs w:val="24"/>
        </w:rPr>
        <w:t xml:space="preserve">A chemical known as </w:t>
      </w:r>
      <w:r w:rsidR="00467EEF" w:rsidRPr="00467EEF">
        <w:rPr>
          <w:rFonts w:ascii="Times New Roman" w:hAnsi="Times New Roman"/>
          <w:sz w:val="24"/>
          <w:szCs w:val="24"/>
        </w:rPr>
        <w:t>tert-butylhydroquinone</w:t>
      </w:r>
      <w:r w:rsidR="00853F63">
        <w:rPr>
          <w:rFonts w:ascii="Times New Roman" w:hAnsi="Times New Roman"/>
          <w:sz w:val="24"/>
          <w:szCs w:val="24"/>
        </w:rPr>
        <w:t xml:space="preserve"> (</w:t>
      </w:r>
      <w:proofErr w:type="spellStart"/>
      <w:r w:rsidR="00853F63">
        <w:rPr>
          <w:rFonts w:ascii="Times New Roman" w:hAnsi="Times New Roman"/>
          <w:sz w:val="24"/>
          <w:szCs w:val="24"/>
        </w:rPr>
        <w:t>Tbhq</w:t>
      </w:r>
      <w:proofErr w:type="spellEnd"/>
      <w:r w:rsidR="00853F63">
        <w:rPr>
          <w:rFonts w:ascii="Times New Roman" w:hAnsi="Times New Roman"/>
          <w:sz w:val="24"/>
          <w:szCs w:val="24"/>
        </w:rPr>
        <w:t xml:space="preserve"> and a gene knocking substance (siRNA) </w:t>
      </w:r>
      <w:proofErr w:type="gramStart"/>
      <w:r w:rsidR="00853F63">
        <w:rPr>
          <w:rFonts w:ascii="Times New Roman" w:hAnsi="Times New Roman"/>
          <w:sz w:val="24"/>
          <w:szCs w:val="24"/>
        </w:rPr>
        <w:t xml:space="preserve">are </w:t>
      </w:r>
      <w:r w:rsidR="00467EEF">
        <w:rPr>
          <w:rFonts w:ascii="Times New Roman" w:hAnsi="Times New Roman"/>
          <w:sz w:val="24"/>
          <w:szCs w:val="24"/>
        </w:rPr>
        <w:t xml:space="preserve"> reported</w:t>
      </w:r>
      <w:proofErr w:type="gramEnd"/>
      <w:r w:rsidR="00467EEF">
        <w:rPr>
          <w:rFonts w:ascii="Times New Roman" w:hAnsi="Times New Roman"/>
          <w:sz w:val="24"/>
          <w:szCs w:val="24"/>
        </w:rPr>
        <w:t xml:space="preserve"> to be an activator of NRF2</w:t>
      </w:r>
      <w:r>
        <w:rPr>
          <w:rFonts w:ascii="Times New Roman" w:hAnsi="Times New Roman"/>
          <w:sz w:val="24"/>
          <w:szCs w:val="24"/>
        </w:rPr>
        <w:t>”</w:t>
      </w:r>
      <w:r w:rsidR="00853F63">
        <w:rPr>
          <w:rFonts w:ascii="Times New Roman" w:hAnsi="Times New Roman"/>
          <w:sz w:val="24"/>
          <w:szCs w:val="24"/>
        </w:rPr>
        <w:t xml:space="preserve"> (</w:t>
      </w:r>
      <w:proofErr w:type="spellStart"/>
      <w:r w:rsidR="00853F63">
        <w:rPr>
          <w:rFonts w:ascii="Times New Roman" w:hAnsi="Times New Roman"/>
          <w:sz w:val="24"/>
          <w:szCs w:val="24"/>
        </w:rPr>
        <w:t>Kankia</w:t>
      </w:r>
      <w:proofErr w:type="spellEnd"/>
      <w:r w:rsidR="00853F63">
        <w:rPr>
          <w:rFonts w:ascii="Times New Roman" w:hAnsi="Times New Roman"/>
          <w:sz w:val="24"/>
          <w:szCs w:val="24"/>
        </w:rPr>
        <w:t xml:space="preserve"> et al 2017)</w:t>
      </w:r>
      <w:r w:rsidR="00467EEF">
        <w:rPr>
          <w:rFonts w:ascii="Times New Roman" w:hAnsi="Times New Roman"/>
          <w:sz w:val="24"/>
          <w:szCs w:val="24"/>
        </w:rPr>
        <w:t xml:space="preserve">. </w:t>
      </w:r>
      <w:r w:rsidR="00150422" w:rsidRPr="00150422">
        <w:rPr>
          <w:rFonts w:ascii="Times New Roman" w:hAnsi="Times New Roman"/>
          <w:sz w:val="24"/>
          <w:szCs w:val="24"/>
        </w:rPr>
        <w:t>In this study, we examined whether NRF2 activation modulates the response of ovarian cancer cell lines, which express both HER family receptors and NRF2, to garlic extract. Cells were cultured in medium supplemented with 5% charcoal-stripped FBS and 1 </w:t>
      </w:r>
      <w:proofErr w:type="spellStart"/>
      <w:r w:rsidR="00150422" w:rsidRPr="00150422">
        <w:rPr>
          <w:rFonts w:ascii="Times New Roman" w:hAnsi="Times New Roman"/>
          <w:sz w:val="24"/>
          <w:szCs w:val="24"/>
        </w:rPr>
        <w:t>nM</w:t>
      </w:r>
      <w:proofErr w:type="spellEnd"/>
      <w:r w:rsidR="00150422" w:rsidRPr="00150422">
        <w:rPr>
          <w:rFonts w:ascii="Times New Roman" w:hAnsi="Times New Roman"/>
          <w:sz w:val="24"/>
          <w:szCs w:val="24"/>
        </w:rPr>
        <w:t xml:space="preserve"> </w:t>
      </w:r>
      <w:proofErr w:type="spellStart"/>
      <w:r w:rsidR="00150422" w:rsidRPr="00150422">
        <w:rPr>
          <w:rFonts w:ascii="Times New Roman" w:hAnsi="Times New Roman"/>
          <w:sz w:val="24"/>
          <w:szCs w:val="24"/>
        </w:rPr>
        <w:t>heregulin</w:t>
      </w:r>
      <w:proofErr w:type="spellEnd"/>
      <w:r w:rsidR="00150422" w:rsidRPr="00150422">
        <w:rPr>
          <w:rFonts w:ascii="Times New Roman" w:hAnsi="Times New Roman"/>
          <w:sz w:val="24"/>
          <w:szCs w:val="24"/>
        </w:rPr>
        <w:t xml:space="preserve"> (H) </w:t>
      </w:r>
      <w:r w:rsidR="00150422">
        <w:rPr>
          <w:rFonts w:ascii="Times New Roman" w:hAnsi="Times New Roman"/>
          <w:sz w:val="24"/>
          <w:szCs w:val="24"/>
        </w:rPr>
        <w:t>before treatments were applied.</w:t>
      </w:r>
      <w:r w:rsidR="00C42C57">
        <w:rPr>
          <w:rFonts w:ascii="Times New Roman" w:hAnsi="Times New Roman"/>
          <w:sz w:val="24"/>
          <w:szCs w:val="24"/>
        </w:rPr>
        <w:t xml:space="preserve"> </w:t>
      </w:r>
      <w:r w:rsidR="00150422" w:rsidRPr="00150422">
        <w:rPr>
          <w:rFonts w:ascii="Times New Roman" w:hAnsi="Times New Roman"/>
          <w:sz w:val="24"/>
          <w:szCs w:val="24"/>
        </w:rPr>
        <w:t xml:space="preserve">Initial results showed that NRF2 activation by </w:t>
      </w:r>
      <w:proofErr w:type="spellStart"/>
      <w:r w:rsidR="00150422" w:rsidRPr="00150422">
        <w:rPr>
          <w:rFonts w:ascii="Times New Roman" w:hAnsi="Times New Roman"/>
          <w:sz w:val="24"/>
          <w:szCs w:val="24"/>
        </w:rPr>
        <w:t>tBHQ</w:t>
      </w:r>
      <w:proofErr w:type="spellEnd"/>
      <w:r w:rsidR="00150422" w:rsidRPr="00150422">
        <w:rPr>
          <w:rFonts w:ascii="Times New Roman" w:hAnsi="Times New Roman"/>
          <w:sz w:val="24"/>
          <w:szCs w:val="24"/>
        </w:rPr>
        <w:t xml:space="preserve"> alone significantly enhanced proliferation in these ova</w:t>
      </w:r>
      <w:r w:rsidR="006E42C9">
        <w:rPr>
          <w:rFonts w:ascii="Times New Roman" w:hAnsi="Times New Roman"/>
          <w:sz w:val="24"/>
          <w:szCs w:val="24"/>
        </w:rPr>
        <w:t>rian cancer cell lines (Figure 1</w:t>
      </w:r>
      <w:r w:rsidR="00150422" w:rsidRPr="00150422">
        <w:rPr>
          <w:rFonts w:ascii="Times New Roman" w:hAnsi="Times New Roman"/>
          <w:sz w:val="24"/>
          <w:szCs w:val="24"/>
        </w:rPr>
        <w:t>). In contrast, treatment with garlic extract (G1 at 10 mg/ml and G2 at 20 mg/ml) inhibited cell proliferation across all lines for up to 72 hours, though this antiproliferative and cytotoxic effect diminished by 96 hours.</w:t>
      </w:r>
      <w:r w:rsidR="00150422">
        <w:rPr>
          <w:rFonts w:ascii="Times New Roman" w:hAnsi="Times New Roman"/>
          <w:sz w:val="24"/>
          <w:szCs w:val="24"/>
        </w:rPr>
        <w:t xml:space="preserve"> </w:t>
      </w:r>
      <w:r w:rsidR="00150422" w:rsidRPr="00150422">
        <w:rPr>
          <w:rFonts w:ascii="Times New Roman" w:hAnsi="Times New Roman"/>
          <w:sz w:val="24"/>
          <w:szCs w:val="24"/>
        </w:rPr>
        <w:t xml:space="preserve">Interestingly, garlic was found to be an effective cytotoxic agent </w:t>
      </w:r>
      <w:r w:rsidR="006E42C9">
        <w:rPr>
          <w:rFonts w:ascii="Times New Roman" w:hAnsi="Times New Roman"/>
          <w:sz w:val="24"/>
          <w:szCs w:val="24"/>
        </w:rPr>
        <w:t>(Figures 1</w:t>
      </w:r>
      <w:r w:rsidR="00150422" w:rsidRPr="00150422">
        <w:rPr>
          <w:rFonts w:ascii="Times New Roman" w:hAnsi="Times New Roman"/>
          <w:sz w:val="24"/>
          <w:szCs w:val="24"/>
        </w:rPr>
        <w:t xml:space="preserve">). However, </w:t>
      </w:r>
      <w:proofErr w:type="spellStart"/>
      <w:r w:rsidR="00150422" w:rsidRPr="00150422">
        <w:rPr>
          <w:rFonts w:ascii="Times New Roman" w:hAnsi="Times New Roman"/>
          <w:sz w:val="24"/>
          <w:szCs w:val="24"/>
        </w:rPr>
        <w:t>pretreatment</w:t>
      </w:r>
      <w:proofErr w:type="spellEnd"/>
      <w:r w:rsidR="00150422" w:rsidRPr="00150422">
        <w:rPr>
          <w:rFonts w:ascii="Times New Roman" w:hAnsi="Times New Roman"/>
          <w:sz w:val="24"/>
          <w:szCs w:val="24"/>
        </w:rPr>
        <w:t xml:space="preserve"> with 100 </w:t>
      </w:r>
      <w:proofErr w:type="spellStart"/>
      <w:r w:rsidR="00150422" w:rsidRPr="00150422">
        <w:rPr>
          <w:rFonts w:ascii="Times New Roman" w:hAnsi="Times New Roman"/>
          <w:sz w:val="24"/>
          <w:szCs w:val="24"/>
        </w:rPr>
        <w:t>μM</w:t>
      </w:r>
      <w:proofErr w:type="spellEnd"/>
      <w:r w:rsidR="00150422" w:rsidRPr="00150422">
        <w:rPr>
          <w:rFonts w:ascii="Times New Roman" w:hAnsi="Times New Roman"/>
          <w:sz w:val="24"/>
          <w:szCs w:val="24"/>
        </w:rPr>
        <w:t xml:space="preserve"> </w:t>
      </w:r>
      <w:proofErr w:type="spellStart"/>
      <w:r w:rsidR="00150422" w:rsidRPr="00150422">
        <w:rPr>
          <w:rFonts w:ascii="Times New Roman" w:hAnsi="Times New Roman"/>
          <w:sz w:val="24"/>
          <w:szCs w:val="24"/>
        </w:rPr>
        <w:t>tBHQ</w:t>
      </w:r>
      <w:proofErr w:type="spellEnd"/>
      <w:r w:rsidR="00150422" w:rsidRPr="00150422">
        <w:rPr>
          <w:rFonts w:ascii="Times New Roman" w:hAnsi="Times New Roman"/>
          <w:sz w:val="24"/>
          <w:szCs w:val="24"/>
        </w:rPr>
        <w:t xml:space="preserve"> for 5 hours prior to garlic exposure significantly reduced garlic’s growth-inhibitory effects. This protective effect of NRF2 activation was observed across all three ovarian cancer cell line</w:t>
      </w:r>
      <w:r w:rsidR="00150422">
        <w:rPr>
          <w:rFonts w:ascii="Times New Roman" w:hAnsi="Times New Roman"/>
          <w:sz w:val="24"/>
          <w:szCs w:val="24"/>
        </w:rPr>
        <w:t xml:space="preserve">s at every time point examined. </w:t>
      </w:r>
      <w:r w:rsidR="006E42C9">
        <w:rPr>
          <w:rFonts w:ascii="Times New Roman" w:hAnsi="Times New Roman"/>
          <w:sz w:val="24"/>
          <w:szCs w:val="24"/>
        </w:rPr>
        <w:t>These findings (Figure 1</w:t>
      </w:r>
      <w:r w:rsidR="00150422" w:rsidRPr="00150422">
        <w:rPr>
          <w:rFonts w:ascii="Times New Roman" w:hAnsi="Times New Roman"/>
          <w:sz w:val="24"/>
          <w:szCs w:val="24"/>
        </w:rPr>
        <w:t xml:space="preserve">) suggest that NRF2 activation confers resistance to garlic-induced cytotoxicity, potentially through upregulation of HER1 and HER4, and may eventually influence susceptibility to garlic's anticancer activity. Overall, the results support a functional interaction between HER family receptor </w:t>
      </w:r>
      <w:proofErr w:type="spellStart"/>
      <w:r w:rsidR="00150422" w:rsidRPr="00150422">
        <w:rPr>
          <w:rFonts w:ascii="Times New Roman" w:hAnsi="Times New Roman"/>
          <w:sz w:val="24"/>
          <w:szCs w:val="24"/>
        </w:rPr>
        <w:t>signaling</w:t>
      </w:r>
      <w:proofErr w:type="spellEnd"/>
      <w:r w:rsidR="00150422" w:rsidRPr="00150422">
        <w:rPr>
          <w:rFonts w:ascii="Times New Roman" w:hAnsi="Times New Roman"/>
          <w:sz w:val="24"/>
          <w:szCs w:val="24"/>
        </w:rPr>
        <w:t xml:space="preserve"> and the NRF2 antioxidant response pathway, implicating NRF2 as a potential contributor to treatment resistance in ovarian cancer.</w:t>
      </w:r>
    </w:p>
    <w:p w:rsidR="00C54A4E" w:rsidRPr="0059348E" w:rsidRDefault="00964FA7" w:rsidP="00C54A4E">
      <w:pPr>
        <w:spacing w:line="240" w:lineRule="auto"/>
        <w:jc w:val="both"/>
        <w:rPr>
          <w:rFonts w:ascii="Times New Roman" w:hAnsi="Times New Roman"/>
          <w:sz w:val="24"/>
          <w:szCs w:val="24"/>
        </w:rPr>
      </w:pPr>
      <w:r>
        <w:rPr>
          <w:rFonts w:ascii="Times New Roman" w:hAnsi="Times New Roman"/>
          <w:noProof/>
          <w:sz w:val="24"/>
          <w:szCs w:val="24"/>
          <w:lang w:val="en-US"/>
        </w:rPr>
        <w:lastRenderedPageBreak/>
        <w:drawing>
          <wp:inline distT="0" distB="0" distL="0" distR="0" wp14:anchorId="7CDD5CD9">
            <wp:extent cx="5867400" cy="4649638"/>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72370" cy="4653576"/>
                    </a:xfrm>
                    <a:prstGeom prst="rect">
                      <a:avLst/>
                    </a:prstGeom>
                    <a:noFill/>
                  </pic:spPr>
                </pic:pic>
              </a:graphicData>
            </a:graphic>
          </wp:inline>
        </w:drawing>
      </w:r>
    </w:p>
    <w:p w:rsidR="00AD0380" w:rsidRPr="00AD0380" w:rsidRDefault="006E42C9" w:rsidP="00AD0380">
      <w:pPr>
        <w:spacing w:before="240" w:line="240" w:lineRule="auto"/>
        <w:jc w:val="both"/>
        <w:rPr>
          <w:rFonts w:ascii="Times New Roman" w:hAnsi="Times New Roman"/>
          <w:sz w:val="18"/>
          <w:szCs w:val="18"/>
          <w:lang w:val="en-US"/>
        </w:rPr>
      </w:pPr>
      <w:r>
        <w:rPr>
          <w:rFonts w:ascii="Times New Roman" w:hAnsi="Times New Roman"/>
          <w:b/>
          <w:sz w:val="18"/>
          <w:szCs w:val="18"/>
          <w:lang w:val="en-US"/>
        </w:rPr>
        <w:t>Figure 1</w:t>
      </w:r>
      <w:r w:rsidR="00AD0380" w:rsidRPr="00AD0380">
        <w:rPr>
          <w:rFonts w:ascii="Times New Roman" w:hAnsi="Times New Roman"/>
          <w:b/>
          <w:sz w:val="18"/>
          <w:szCs w:val="18"/>
          <w:lang w:val="en-US"/>
        </w:rPr>
        <w:t xml:space="preserve">. Garlic Inhibits Cell Survival even in the Presence of </w:t>
      </w:r>
      <w:proofErr w:type="spellStart"/>
      <w:r w:rsidR="00AD0380" w:rsidRPr="00AD0380">
        <w:rPr>
          <w:rFonts w:ascii="Times New Roman" w:hAnsi="Times New Roman"/>
          <w:b/>
          <w:sz w:val="18"/>
          <w:szCs w:val="18"/>
          <w:lang w:val="en-US"/>
        </w:rPr>
        <w:t>Heregulin</w:t>
      </w:r>
      <w:proofErr w:type="spellEnd"/>
      <w:r w:rsidR="00AD0380" w:rsidRPr="00AD0380">
        <w:rPr>
          <w:rFonts w:ascii="Times New Roman" w:hAnsi="Times New Roman"/>
          <w:b/>
          <w:sz w:val="18"/>
          <w:szCs w:val="18"/>
          <w:lang w:val="en-US"/>
        </w:rPr>
        <w:t xml:space="preserve">, and NRF2 inactivation Confers </w:t>
      </w:r>
      <w:proofErr w:type="spellStart"/>
      <w:r w:rsidR="00AD0380" w:rsidRPr="00AD0380">
        <w:rPr>
          <w:rFonts w:ascii="Times New Roman" w:hAnsi="Times New Roman"/>
          <w:b/>
          <w:sz w:val="18"/>
          <w:szCs w:val="18"/>
          <w:lang w:val="en-US"/>
        </w:rPr>
        <w:t>Cytoprotection</w:t>
      </w:r>
      <w:proofErr w:type="spellEnd"/>
      <w:r w:rsidR="00AD0380" w:rsidRPr="00AD0380">
        <w:rPr>
          <w:rFonts w:ascii="Times New Roman" w:hAnsi="Times New Roman"/>
          <w:b/>
          <w:sz w:val="18"/>
          <w:szCs w:val="18"/>
          <w:lang w:val="en-US"/>
        </w:rPr>
        <w:t xml:space="preserve"> Against Garlic-Induced Cytotoxicity in Ovarian Cancer Cells</w:t>
      </w:r>
      <w:r w:rsidR="00AD0380">
        <w:rPr>
          <w:rFonts w:ascii="Times New Roman" w:hAnsi="Times New Roman"/>
          <w:sz w:val="18"/>
          <w:szCs w:val="18"/>
          <w:lang w:val="en-US"/>
        </w:rPr>
        <w:t xml:space="preserve">. </w:t>
      </w:r>
      <w:r w:rsidR="00AD0380" w:rsidRPr="00AD0380">
        <w:rPr>
          <w:rFonts w:ascii="Times New Roman" w:hAnsi="Times New Roman"/>
          <w:sz w:val="18"/>
          <w:szCs w:val="18"/>
          <w:lang w:val="en-US"/>
        </w:rPr>
        <w:t>Ovarian cancer cells were cultured in media containing 1 </w:t>
      </w:r>
      <w:proofErr w:type="spellStart"/>
      <w:r w:rsidR="00AD0380" w:rsidRPr="00AD0380">
        <w:rPr>
          <w:rFonts w:ascii="Times New Roman" w:hAnsi="Times New Roman"/>
          <w:sz w:val="18"/>
          <w:szCs w:val="18"/>
          <w:lang w:val="en-US"/>
        </w:rPr>
        <w:t>nM</w:t>
      </w:r>
      <w:proofErr w:type="spellEnd"/>
      <w:r w:rsidR="00AD0380" w:rsidRPr="00AD0380">
        <w:rPr>
          <w:rFonts w:ascii="Times New Roman" w:hAnsi="Times New Roman"/>
          <w:sz w:val="18"/>
          <w:szCs w:val="18"/>
          <w:lang w:val="en-US"/>
        </w:rPr>
        <w:t xml:space="preserve"> </w:t>
      </w:r>
      <w:proofErr w:type="spellStart"/>
      <w:r w:rsidR="00AD0380" w:rsidRPr="00AD0380">
        <w:rPr>
          <w:rFonts w:ascii="Times New Roman" w:hAnsi="Times New Roman"/>
          <w:sz w:val="18"/>
          <w:szCs w:val="18"/>
          <w:lang w:val="en-US"/>
        </w:rPr>
        <w:t>heregulin</w:t>
      </w:r>
      <w:proofErr w:type="spellEnd"/>
      <w:r w:rsidR="00AD0380" w:rsidRPr="00AD0380">
        <w:rPr>
          <w:rFonts w:ascii="Times New Roman" w:hAnsi="Times New Roman"/>
          <w:sz w:val="18"/>
          <w:szCs w:val="18"/>
          <w:lang w:val="en-US"/>
        </w:rPr>
        <w:t xml:space="preserve"> (HRG) and then treated with various combinations of garlic extract and the NRF2 activator </w:t>
      </w:r>
      <w:proofErr w:type="spellStart"/>
      <w:r w:rsidR="00AD0380" w:rsidRPr="00AD0380">
        <w:rPr>
          <w:rFonts w:ascii="Times New Roman" w:hAnsi="Times New Roman"/>
          <w:sz w:val="18"/>
          <w:szCs w:val="18"/>
          <w:lang w:val="en-US"/>
        </w:rPr>
        <w:t>tBHQ</w:t>
      </w:r>
      <w:proofErr w:type="spellEnd"/>
      <w:r w:rsidR="00AD0380" w:rsidRPr="00AD0380">
        <w:rPr>
          <w:rFonts w:ascii="Times New Roman" w:hAnsi="Times New Roman"/>
          <w:sz w:val="18"/>
          <w:szCs w:val="18"/>
          <w:lang w:val="en-US"/>
        </w:rPr>
        <w:t xml:space="preserve"> to assess cell survival. Treatment conditions included: HRG alone (H), HRG + Garlic 1 (H + G1, 10 mg/mL), HRG + Garlic 2 (H + G2, 20 mg/mL), HRG + </w:t>
      </w:r>
      <w:proofErr w:type="spellStart"/>
      <w:r w:rsidR="00AD0380" w:rsidRPr="00AD0380">
        <w:rPr>
          <w:rFonts w:ascii="Times New Roman" w:hAnsi="Times New Roman"/>
          <w:sz w:val="18"/>
          <w:szCs w:val="18"/>
          <w:lang w:val="en-US"/>
        </w:rPr>
        <w:t>tBHQ</w:t>
      </w:r>
      <w:proofErr w:type="spellEnd"/>
      <w:r w:rsidR="00AD0380" w:rsidRPr="00AD0380">
        <w:rPr>
          <w:rFonts w:ascii="Times New Roman" w:hAnsi="Times New Roman"/>
          <w:sz w:val="18"/>
          <w:szCs w:val="18"/>
          <w:lang w:val="en-US"/>
        </w:rPr>
        <w:t xml:space="preserve"> (H + T, 100 </w:t>
      </w:r>
      <w:proofErr w:type="spellStart"/>
      <w:r w:rsidR="00AD0380" w:rsidRPr="00AD0380">
        <w:rPr>
          <w:rFonts w:ascii="Times New Roman" w:hAnsi="Times New Roman"/>
          <w:sz w:val="18"/>
          <w:szCs w:val="18"/>
          <w:lang w:val="en-US"/>
        </w:rPr>
        <w:t>μM</w:t>
      </w:r>
      <w:proofErr w:type="spellEnd"/>
      <w:r w:rsidR="00AD0380" w:rsidRPr="00AD0380">
        <w:rPr>
          <w:rFonts w:ascii="Times New Roman" w:hAnsi="Times New Roman"/>
          <w:sz w:val="18"/>
          <w:szCs w:val="18"/>
          <w:lang w:val="en-US"/>
        </w:rPr>
        <w:t xml:space="preserve">), HRG + Garlic 1 + </w:t>
      </w:r>
      <w:proofErr w:type="spellStart"/>
      <w:r w:rsidR="00AD0380" w:rsidRPr="00AD0380">
        <w:rPr>
          <w:rFonts w:ascii="Times New Roman" w:hAnsi="Times New Roman"/>
          <w:sz w:val="18"/>
          <w:szCs w:val="18"/>
          <w:lang w:val="en-US"/>
        </w:rPr>
        <w:t>tBHQ</w:t>
      </w:r>
      <w:proofErr w:type="spellEnd"/>
      <w:r w:rsidR="00AD0380" w:rsidRPr="00AD0380">
        <w:rPr>
          <w:rFonts w:ascii="Times New Roman" w:hAnsi="Times New Roman"/>
          <w:sz w:val="18"/>
          <w:szCs w:val="18"/>
          <w:lang w:val="en-US"/>
        </w:rPr>
        <w:t xml:space="preserve"> (H + G1 + T), and HRG + Garlic 2 + </w:t>
      </w:r>
      <w:proofErr w:type="spellStart"/>
      <w:r w:rsidR="00AD0380" w:rsidRPr="00AD0380">
        <w:rPr>
          <w:rFonts w:ascii="Times New Roman" w:hAnsi="Times New Roman"/>
          <w:sz w:val="18"/>
          <w:szCs w:val="18"/>
          <w:lang w:val="en-US"/>
        </w:rPr>
        <w:t>tBHQ</w:t>
      </w:r>
      <w:proofErr w:type="spellEnd"/>
      <w:r w:rsidR="00AD0380" w:rsidRPr="00AD0380">
        <w:rPr>
          <w:rFonts w:ascii="Times New Roman" w:hAnsi="Times New Roman"/>
          <w:sz w:val="18"/>
          <w:szCs w:val="18"/>
          <w:lang w:val="en-US"/>
        </w:rPr>
        <w:t xml:space="preserve"> (H + G2 + T). </w:t>
      </w:r>
      <w:proofErr w:type="spellStart"/>
      <w:r w:rsidR="00AD0380" w:rsidRPr="00AD0380">
        <w:rPr>
          <w:rFonts w:ascii="Times New Roman" w:hAnsi="Times New Roman"/>
          <w:sz w:val="18"/>
          <w:szCs w:val="18"/>
          <w:lang w:val="en-US"/>
        </w:rPr>
        <w:t>tBHQ</w:t>
      </w:r>
      <w:proofErr w:type="spellEnd"/>
      <w:r w:rsidR="00AD0380" w:rsidRPr="00AD0380">
        <w:rPr>
          <w:rFonts w:ascii="Times New Roman" w:hAnsi="Times New Roman"/>
          <w:sz w:val="18"/>
          <w:szCs w:val="18"/>
          <w:lang w:val="en-US"/>
        </w:rPr>
        <w:t xml:space="preserve"> was added 5 hours prior to garlic treatment to allow for NRF2 activation.</w:t>
      </w:r>
      <w:r w:rsidR="00AD0380">
        <w:rPr>
          <w:rFonts w:ascii="Times New Roman" w:hAnsi="Times New Roman"/>
          <w:sz w:val="18"/>
          <w:szCs w:val="18"/>
          <w:lang w:val="en-US"/>
        </w:rPr>
        <w:t xml:space="preserve"> </w:t>
      </w:r>
      <w:r w:rsidR="00AD0380" w:rsidRPr="00AD0380">
        <w:rPr>
          <w:rFonts w:ascii="Times New Roman" w:hAnsi="Times New Roman"/>
          <w:sz w:val="18"/>
          <w:szCs w:val="18"/>
          <w:lang w:val="en-US"/>
        </w:rPr>
        <w:t xml:space="preserve">Cell viability was measured using the </w:t>
      </w:r>
      <w:proofErr w:type="spellStart"/>
      <w:r w:rsidR="00AD0380" w:rsidRPr="00AD0380">
        <w:rPr>
          <w:rFonts w:ascii="Times New Roman" w:hAnsi="Times New Roman"/>
          <w:sz w:val="18"/>
          <w:szCs w:val="18"/>
          <w:lang w:val="en-US"/>
        </w:rPr>
        <w:t>CellTiter</w:t>
      </w:r>
      <w:proofErr w:type="spellEnd"/>
      <w:r w:rsidR="00AD0380" w:rsidRPr="00AD0380">
        <w:rPr>
          <w:rFonts w:ascii="Times New Roman" w:hAnsi="Times New Roman"/>
          <w:sz w:val="18"/>
          <w:szCs w:val="18"/>
          <w:lang w:val="en-US"/>
        </w:rPr>
        <w:t>-Glo assay (Promega), and survival was expressed relative to untreated controls. The data represent mean ± SD from triplicate experiments. Statistical comparisons among treatment groups (H + G1, H + G2, H + T, H + G1 + T, H + G2 + T) were performed using one-way ANOVA followed by Tukey’s post hoc test. Significance levels are indicated as follows:</w:t>
      </w:r>
      <w:r w:rsidR="00AD0380">
        <w:rPr>
          <w:rFonts w:ascii="Times New Roman" w:hAnsi="Times New Roman"/>
          <w:sz w:val="18"/>
          <w:szCs w:val="18"/>
          <w:lang w:val="en-US"/>
        </w:rPr>
        <w:t xml:space="preserve"> </w:t>
      </w:r>
      <w:r w:rsidR="00AD0380" w:rsidRPr="00AD0380">
        <w:rPr>
          <w:rFonts w:ascii="Times New Roman" w:hAnsi="Times New Roman"/>
          <w:sz w:val="18"/>
          <w:szCs w:val="18"/>
          <w:lang w:val="en-US"/>
        </w:rPr>
        <w:t>*P &lt; 0.05,</w:t>
      </w:r>
      <w:r w:rsidR="00AD0380">
        <w:rPr>
          <w:rFonts w:ascii="Times New Roman" w:hAnsi="Times New Roman"/>
          <w:sz w:val="18"/>
          <w:szCs w:val="18"/>
          <w:lang w:val="en-US"/>
        </w:rPr>
        <w:t xml:space="preserve"> </w:t>
      </w:r>
      <w:r w:rsidR="00AD0380" w:rsidRPr="00AD0380">
        <w:rPr>
          <w:rFonts w:ascii="Times New Roman" w:hAnsi="Times New Roman"/>
          <w:sz w:val="18"/>
          <w:szCs w:val="18"/>
          <w:lang w:val="en-US"/>
        </w:rPr>
        <w:t>**P &lt; 0.01,</w:t>
      </w:r>
      <w:r w:rsidR="00AD0380">
        <w:rPr>
          <w:rFonts w:ascii="Times New Roman" w:hAnsi="Times New Roman"/>
          <w:sz w:val="18"/>
          <w:szCs w:val="18"/>
          <w:lang w:val="en-US"/>
        </w:rPr>
        <w:t xml:space="preserve"> </w:t>
      </w:r>
      <w:r w:rsidR="00AD0380" w:rsidRPr="00AD0380">
        <w:rPr>
          <w:rFonts w:ascii="Times New Roman" w:hAnsi="Times New Roman"/>
          <w:sz w:val="18"/>
          <w:szCs w:val="18"/>
          <w:lang w:val="en-US"/>
        </w:rPr>
        <w:t>***P &lt; 0.001,</w:t>
      </w:r>
      <w:r w:rsidR="00AD0380">
        <w:rPr>
          <w:rFonts w:ascii="Times New Roman" w:hAnsi="Times New Roman"/>
          <w:sz w:val="18"/>
          <w:szCs w:val="18"/>
          <w:lang w:val="en-US"/>
        </w:rPr>
        <w:t xml:space="preserve"> </w:t>
      </w:r>
      <w:r w:rsidR="00AD0380" w:rsidRPr="00AD0380">
        <w:rPr>
          <w:rFonts w:ascii="Times New Roman" w:hAnsi="Times New Roman"/>
          <w:sz w:val="18"/>
          <w:szCs w:val="18"/>
          <w:lang w:val="en-US"/>
        </w:rPr>
        <w:t>****P &lt; 0.0001.</w:t>
      </w:r>
    </w:p>
    <w:p w:rsidR="0087677C" w:rsidRPr="0087677C" w:rsidRDefault="0087677C" w:rsidP="0087677C">
      <w:pPr>
        <w:spacing w:line="240" w:lineRule="auto"/>
        <w:jc w:val="both"/>
        <w:rPr>
          <w:rFonts w:ascii="Times New Roman" w:hAnsi="Times New Roman"/>
          <w:b/>
          <w:sz w:val="24"/>
          <w:szCs w:val="24"/>
          <w:lang w:val="en-US"/>
        </w:rPr>
      </w:pPr>
      <w:r w:rsidRPr="0087677C">
        <w:rPr>
          <w:rFonts w:ascii="Times New Roman" w:hAnsi="Times New Roman"/>
          <w:b/>
          <w:sz w:val="24"/>
          <w:szCs w:val="24"/>
          <w:lang w:val="en-US"/>
        </w:rPr>
        <w:t>Garlic or siRNA-Mediated Inhibition of NRF2 Increases Cellular ROS and Reduces Glutathione (GSH) Levels</w:t>
      </w:r>
    </w:p>
    <w:p w:rsidR="0087677C" w:rsidRPr="0087677C" w:rsidRDefault="00526E18" w:rsidP="0087677C">
      <w:pPr>
        <w:spacing w:line="240" w:lineRule="auto"/>
        <w:jc w:val="both"/>
        <w:rPr>
          <w:rFonts w:ascii="Times New Roman" w:hAnsi="Times New Roman"/>
          <w:sz w:val="24"/>
          <w:szCs w:val="24"/>
          <w:lang w:val="en-US"/>
        </w:rPr>
      </w:pPr>
      <w:r>
        <w:rPr>
          <w:rFonts w:ascii="Times New Roman" w:hAnsi="Times New Roman"/>
          <w:sz w:val="24"/>
          <w:szCs w:val="24"/>
          <w:lang w:val="en-US"/>
        </w:rPr>
        <w:t>“</w:t>
      </w:r>
      <w:r w:rsidR="0087677C" w:rsidRPr="0087677C">
        <w:rPr>
          <w:rFonts w:ascii="Times New Roman" w:hAnsi="Times New Roman"/>
          <w:sz w:val="24"/>
          <w:szCs w:val="24"/>
          <w:lang w:val="en-US"/>
        </w:rPr>
        <w:t>Reactive oxygen species (ROS) are crucial mediators of various cellular processes, including proliferation, growth, and apoptosis. Elevated ROS levels have been implicated in promoting cancer cell survival, proliferation, and adaptation to hypoxic conditions</w:t>
      </w:r>
      <w:r>
        <w:rPr>
          <w:rFonts w:ascii="Times New Roman" w:hAnsi="Times New Roman"/>
          <w:sz w:val="24"/>
          <w:szCs w:val="24"/>
          <w:lang w:val="en-US"/>
        </w:rPr>
        <w:t>”</w:t>
      </w:r>
      <w:r w:rsidR="0087677C" w:rsidRPr="0087677C">
        <w:rPr>
          <w:rFonts w:ascii="Times New Roman" w:hAnsi="Times New Roman"/>
          <w:sz w:val="24"/>
          <w:szCs w:val="24"/>
          <w:lang w:val="en-US"/>
        </w:rPr>
        <w:t xml:space="preserve"> (Zhang et al., 2016b). </w:t>
      </w:r>
      <w:r>
        <w:rPr>
          <w:rFonts w:ascii="Times New Roman" w:hAnsi="Times New Roman"/>
          <w:sz w:val="24"/>
          <w:szCs w:val="24"/>
          <w:lang w:val="en-US"/>
        </w:rPr>
        <w:t>“</w:t>
      </w:r>
      <w:r w:rsidR="0087677C" w:rsidRPr="0087677C">
        <w:rPr>
          <w:rFonts w:ascii="Times New Roman" w:hAnsi="Times New Roman"/>
          <w:sz w:val="24"/>
          <w:szCs w:val="24"/>
          <w:lang w:val="en-US"/>
        </w:rPr>
        <w:t>Compared to normal cells, cancer cells often generate higher levels of ROS to activate signaling pathways essential for cellular transformation and tumor progression</w:t>
      </w:r>
      <w:r>
        <w:rPr>
          <w:rFonts w:ascii="Times New Roman" w:hAnsi="Times New Roman"/>
          <w:sz w:val="24"/>
          <w:szCs w:val="24"/>
          <w:lang w:val="en-US"/>
        </w:rPr>
        <w:t>”</w:t>
      </w:r>
      <w:r w:rsidR="0087677C" w:rsidRPr="0087677C">
        <w:rPr>
          <w:rFonts w:ascii="Times New Roman" w:hAnsi="Times New Roman"/>
          <w:sz w:val="24"/>
          <w:szCs w:val="24"/>
          <w:lang w:val="en-US"/>
        </w:rPr>
        <w:t xml:space="preserve"> (</w:t>
      </w:r>
      <w:proofErr w:type="spellStart"/>
      <w:r w:rsidR="0087677C" w:rsidRPr="0087677C">
        <w:rPr>
          <w:rFonts w:ascii="Times New Roman" w:hAnsi="Times New Roman"/>
          <w:sz w:val="24"/>
          <w:szCs w:val="24"/>
          <w:lang w:val="en-US"/>
        </w:rPr>
        <w:t>Reczek</w:t>
      </w:r>
      <w:proofErr w:type="spellEnd"/>
      <w:r w:rsidR="0087677C" w:rsidRPr="0087677C">
        <w:rPr>
          <w:rFonts w:ascii="Times New Roman" w:hAnsi="Times New Roman"/>
          <w:sz w:val="24"/>
          <w:szCs w:val="24"/>
          <w:lang w:val="en-US"/>
        </w:rPr>
        <w:t xml:space="preserve"> and </w:t>
      </w:r>
      <w:proofErr w:type="spellStart"/>
      <w:r w:rsidR="0087677C" w:rsidRPr="0087677C">
        <w:rPr>
          <w:rFonts w:ascii="Times New Roman" w:hAnsi="Times New Roman"/>
          <w:sz w:val="24"/>
          <w:szCs w:val="24"/>
          <w:lang w:val="en-US"/>
        </w:rPr>
        <w:t>Chandel</w:t>
      </w:r>
      <w:proofErr w:type="spellEnd"/>
      <w:r w:rsidR="0087677C" w:rsidRPr="0087677C">
        <w:rPr>
          <w:rFonts w:ascii="Times New Roman" w:hAnsi="Times New Roman"/>
          <w:sz w:val="24"/>
          <w:szCs w:val="24"/>
          <w:lang w:val="en-US"/>
        </w:rPr>
        <w:t>, 2017). As secondary messengers, ROS contribute to signal transduction and cytoprotective mechanisms, influencing cell survival and overall homeostasis.</w:t>
      </w:r>
      <w:r w:rsidR="0087677C">
        <w:rPr>
          <w:rFonts w:ascii="Times New Roman" w:hAnsi="Times New Roman"/>
          <w:sz w:val="24"/>
          <w:szCs w:val="24"/>
          <w:lang w:val="en-US"/>
        </w:rPr>
        <w:t xml:space="preserve"> </w:t>
      </w:r>
      <w:r w:rsidR="0087677C" w:rsidRPr="0087677C">
        <w:rPr>
          <w:rFonts w:ascii="Times New Roman" w:hAnsi="Times New Roman"/>
          <w:sz w:val="24"/>
          <w:szCs w:val="24"/>
          <w:lang w:val="en-US"/>
        </w:rPr>
        <w:t xml:space="preserve">To counteract ROS accumulation, cells utilize both enzymatic antioxidant systems—including superoxide </w:t>
      </w:r>
      <w:proofErr w:type="spellStart"/>
      <w:r w:rsidR="0087677C" w:rsidRPr="0087677C">
        <w:rPr>
          <w:rFonts w:ascii="Times New Roman" w:hAnsi="Times New Roman"/>
          <w:sz w:val="24"/>
          <w:szCs w:val="24"/>
          <w:lang w:val="en-US"/>
        </w:rPr>
        <w:t>dismutases</w:t>
      </w:r>
      <w:proofErr w:type="spellEnd"/>
      <w:r w:rsidR="0087677C" w:rsidRPr="0087677C">
        <w:rPr>
          <w:rFonts w:ascii="Times New Roman" w:hAnsi="Times New Roman"/>
          <w:sz w:val="24"/>
          <w:szCs w:val="24"/>
          <w:lang w:val="en-US"/>
        </w:rPr>
        <w:t>, catalases, peroxidases, thioredoxins, peroxiredoxins, and glutathione-related enzymes—and nonenzymatic, low-molecular-weight antioxidants such as glutathione (GSH). NRF2 plays a central role in regulating redox balance by driving the basal and inducible expression of genes involved in antioxidant defense, detoxification, and stress responses.</w:t>
      </w:r>
      <w:r w:rsidR="0087677C">
        <w:rPr>
          <w:rFonts w:ascii="Times New Roman" w:hAnsi="Times New Roman"/>
          <w:sz w:val="24"/>
          <w:szCs w:val="24"/>
          <w:lang w:val="en-US"/>
        </w:rPr>
        <w:t xml:space="preserve"> </w:t>
      </w:r>
      <w:r w:rsidR="0087677C" w:rsidRPr="0087677C">
        <w:rPr>
          <w:rFonts w:ascii="Times New Roman" w:hAnsi="Times New Roman"/>
          <w:sz w:val="24"/>
          <w:szCs w:val="24"/>
          <w:lang w:val="en-US"/>
        </w:rPr>
        <w:t xml:space="preserve">To further explore the interplay between NRF2, ROS, and the regulation of HER1 and HER4, we assessed basal ROS levels following NRF2 inhibition. NRF2 activity was suppressed using </w:t>
      </w:r>
      <w:r w:rsidR="0087677C" w:rsidRPr="0087677C">
        <w:rPr>
          <w:rFonts w:ascii="Times New Roman" w:hAnsi="Times New Roman"/>
          <w:sz w:val="24"/>
          <w:szCs w:val="24"/>
          <w:lang w:val="en-US"/>
        </w:rPr>
        <w:lastRenderedPageBreak/>
        <w:t xml:space="preserve">either garlic extract or siRNA-mediated knockdown, and ROS levels were measured using the fluorescent probe 2′,7′-dichlorofluorescin diacetate (DCFDA). Results showed a significant increase in intracellular ROS at both </w:t>
      </w:r>
      <w:proofErr w:type="gramStart"/>
      <w:r w:rsidR="0087677C" w:rsidRPr="0087677C">
        <w:rPr>
          <w:rFonts w:ascii="Times New Roman" w:hAnsi="Times New Roman"/>
          <w:sz w:val="24"/>
          <w:szCs w:val="24"/>
          <w:lang w:val="en-US"/>
        </w:rPr>
        <w:t>24 and 48 hours’</w:t>
      </w:r>
      <w:proofErr w:type="gramEnd"/>
      <w:r w:rsidR="0087677C" w:rsidRPr="0087677C">
        <w:rPr>
          <w:rFonts w:ascii="Times New Roman" w:hAnsi="Times New Roman"/>
          <w:sz w:val="24"/>
          <w:szCs w:val="24"/>
          <w:lang w:val="en-US"/>
        </w:rPr>
        <w:t xml:space="preserve"> post-treatment, confirming that NRF2 inhibition lea</w:t>
      </w:r>
      <w:r w:rsidR="006E42C9">
        <w:rPr>
          <w:rFonts w:ascii="Times New Roman" w:hAnsi="Times New Roman"/>
          <w:sz w:val="24"/>
          <w:szCs w:val="24"/>
          <w:lang w:val="en-US"/>
        </w:rPr>
        <w:t>ds to ROS accumulation (Figure 2</w:t>
      </w:r>
      <w:r w:rsidR="0087677C" w:rsidRPr="0087677C">
        <w:rPr>
          <w:rFonts w:ascii="Times New Roman" w:hAnsi="Times New Roman"/>
          <w:sz w:val="24"/>
          <w:szCs w:val="24"/>
          <w:lang w:val="en-US"/>
        </w:rPr>
        <w:t>a &amp; b).</w:t>
      </w:r>
      <w:r w:rsidR="0087677C">
        <w:rPr>
          <w:rFonts w:ascii="Times New Roman" w:hAnsi="Times New Roman"/>
          <w:sz w:val="24"/>
          <w:szCs w:val="24"/>
          <w:lang w:val="en-US"/>
        </w:rPr>
        <w:t xml:space="preserve"> </w:t>
      </w:r>
      <w:r w:rsidR="0087677C" w:rsidRPr="0087677C">
        <w:rPr>
          <w:rFonts w:ascii="Times New Roman" w:hAnsi="Times New Roman"/>
          <w:sz w:val="24"/>
          <w:szCs w:val="24"/>
          <w:lang w:val="en-US"/>
        </w:rPr>
        <w:t xml:space="preserve">Given the observed rise in ROS and the downregulation of HER1 and HER4 expression in ovarian cancer cells treated with garlic extract or NRF2-targeting siRNA, we next investigated whether NRF2 depletion also affects cellular GSH levels. Cells were either left untreated or treated with garlic extract or siRNA. As a positive control, some cells were treated with </w:t>
      </w:r>
      <w:proofErr w:type="spellStart"/>
      <w:r w:rsidR="0087677C" w:rsidRPr="0087677C">
        <w:rPr>
          <w:rFonts w:ascii="Times New Roman" w:hAnsi="Times New Roman"/>
          <w:sz w:val="24"/>
          <w:szCs w:val="24"/>
          <w:lang w:val="en-US"/>
        </w:rPr>
        <w:t>heregulin</w:t>
      </w:r>
      <w:proofErr w:type="spellEnd"/>
      <w:r w:rsidR="0087677C" w:rsidRPr="0087677C">
        <w:rPr>
          <w:rFonts w:ascii="Times New Roman" w:hAnsi="Times New Roman"/>
          <w:sz w:val="24"/>
          <w:szCs w:val="24"/>
          <w:lang w:val="en-US"/>
        </w:rPr>
        <w:t xml:space="preserve"> (HRG), which is known to induce GSH synthesis. After 24 hours, HRG treatment led to increased GSH levels, whereas both garlic and siRNA treatments resulted in sig</w:t>
      </w:r>
      <w:r w:rsidR="006E42C9">
        <w:rPr>
          <w:rFonts w:ascii="Times New Roman" w:hAnsi="Times New Roman"/>
          <w:sz w:val="24"/>
          <w:szCs w:val="24"/>
          <w:lang w:val="en-US"/>
        </w:rPr>
        <w:t>nificant GSH depletion (Figure 2</w:t>
      </w:r>
      <w:r w:rsidR="0087677C" w:rsidRPr="0087677C">
        <w:rPr>
          <w:rFonts w:ascii="Times New Roman" w:hAnsi="Times New Roman"/>
          <w:sz w:val="24"/>
          <w:szCs w:val="24"/>
          <w:lang w:val="en-US"/>
        </w:rPr>
        <w:t>c).</w:t>
      </w:r>
      <w:r w:rsidR="0087677C">
        <w:rPr>
          <w:rFonts w:ascii="Times New Roman" w:hAnsi="Times New Roman"/>
          <w:sz w:val="24"/>
          <w:szCs w:val="24"/>
          <w:lang w:val="en-US"/>
        </w:rPr>
        <w:t xml:space="preserve"> </w:t>
      </w:r>
      <w:r w:rsidR="0087677C" w:rsidRPr="0087677C">
        <w:rPr>
          <w:rFonts w:ascii="Times New Roman" w:hAnsi="Times New Roman"/>
          <w:sz w:val="24"/>
          <w:szCs w:val="24"/>
          <w:lang w:val="en-US"/>
        </w:rPr>
        <w:t>These findings suggest that disruption of redox homeostasis through NRF2 inhibition can modulate HER1 expression and may have therapeutic implications for HER1-targeted strategies in ovarian cancer.</w:t>
      </w:r>
    </w:p>
    <w:p w:rsidR="002C21F1" w:rsidRPr="0059348E" w:rsidRDefault="002C21F1" w:rsidP="007F3F6F">
      <w:pPr>
        <w:spacing w:line="240" w:lineRule="auto"/>
        <w:jc w:val="both"/>
        <w:rPr>
          <w:rFonts w:ascii="Times New Roman" w:hAnsi="Times New Roman"/>
          <w:sz w:val="24"/>
          <w:szCs w:val="24"/>
        </w:rPr>
      </w:pPr>
      <w:r>
        <w:rPr>
          <w:rFonts w:ascii="Times New Roman" w:hAnsi="Times New Roman"/>
          <w:noProof/>
          <w:sz w:val="24"/>
          <w:szCs w:val="24"/>
          <w:lang w:val="en-US"/>
        </w:rPr>
        <w:drawing>
          <wp:inline distT="0" distB="0" distL="0" distR="0" wp14:anchorId="27CD88FE">
            <wp:extent cx="6067425" cy="25016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84391" cy="2508655"/>
                    </a:xfrm>
                    <a:prstGeom prst="rect">
                      <a:avLst/>
                    </a:prstGeom>
                    <a:noFill/>
                  </pic:spPr>
                </pic:pic>
              </a:graphicData>
            </a:graphic>
          </wp:inline>
        </w:drawing>
      </w:r>
    </w:p>
    <w:p w:rsidR="00552D1B" w:rsidRDefault="00656FE1" w:rsidP="00C54A4E">
      <w:pPr>
        <w:spacing w:line="360" w:lineRule="auto"/>
        <w:rPr>
          <w:rFonts w:ascii="Times New Roman" w:hAnsi="Times New Roman"/>
          <w:b/>
          <w:color w:val="000000"/>
          <w:sz w:val="32"/>
          <w:szCs w:val="32"/>
        </w:rPr>
      </w:pPr>
      <w:r>
        <w:rPr>
          <w:rFonts w:ascii="Times New Roman" w:hAnsi="Times New Roman"/>
          <w:b/>
          <w:noProof/>
          <w:color w:val="000000"/>
          <w:sz w:val="32"/>
          <w:szCs w:val="32"/>
          <w:lang w:val="en-US"/>
        </w:rPr>
        <w:drawing>
          <wp:inline distT="0" distB="0" distL="0" distR="0" wp14:anchorId="51EA0E3C">
            <wp:extent cx="5428581" cy="35147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69693" cy="3541343"/>
                    </a:xfrm>
                    <a:prstGeom prst="rect">
                      <a:avLst/>
                    </a:prstGeom>
                    <a:noFill/>
                  </pic:spPr>
                </pic:pic>
              </a:graphicData>
            </a:graphic>
          </wp:inline>
        </w:drawing>
      </w:r>
    </w:p>
    <w:p w:rsidR="00303ADC" w:rsidRDefault="00303ADC" w:rsidP="0094404A">
      <w:pPr>
        <w:spacing w:line="240" w:lineRule="auto"/>
        <w:jc w:val="both"/>
        <w:rPr>
          <w:rFonts w:ascii="Times New Roman" w:hAnsi="Times New Roman"/>
          <w:color w:val="1C1D1E"/>
          <w:sz w:val="18"/>
          <w:szCs w:val="18"/>
          <w:shd w:val="clear" w:color="auto" w:fill="FFFFFF"/>
        </w:rPr>
      </w:pPr>
    </w:p>
    <w:p w:rsidR="00AD0380" w:rsidRPr="00807995" w:rsidRDefault="006E42C9" w:rsidP="0094404A">
      <w:pPr>
        <w:spacing w:line="240" w:lineRule="auto"/>
        <w:jc w:val="both"/>
        <w:rPr>
          <w:rFonts w:ascii="Times New Roman" w:hAnsi="Times New Roman"/>
          <w:color w:val="1C1D1E"/>
          <w:sz w:val="18"/>
          <w:szCs w:val="18"/>
          <w:shd w:val="clear" w:color="auto" w:fill="FFFFFF"/>
          <w:lang w:val="en-US"/>
        </w:rPr>
      </w:pPr>
      <w:r>
        <w:rPr>
          <w:rFonts w:ascii="Times New Roman" w:hAnsi="Times New Roman"/>
          <w:b/>
          <w:color w:val="1C1D1E"/>
          <w:sz w:val="18"/>
          <w:szCs w:val="18"/>
          <w:shd w:val="clear" w:color="auto" w:fill="FFFFFF"/>
          <w:lang w:val="en-US"/>
        </w:rPr>
        <w:t>Figure 2</w:t>
      </w:r>
      <w:r w:rsidR="00AD0380" w:rsidRPr="00807995">
        <w:rPr>
          <w:rFonts w:ascii="Times New Roman" w:hAnsi="Times New Roman"/>
          <w:b/>
          <w:color w:val="1C1D1E"/>
          <w:sz w:val="18"/>
          <w:szCs w:val="18"/>
          <w:shd w:val="clear" w:color="auto" w:fill="FFFFFF"/>
          <w:lang w:val="en-US"/>
        </w:rPr>
        <w:t>. NRF2 Inhibition by Garlic and siRNA Elevates ROS Levels and Depletes Total Glutathione.</w:t>
      </w:r>
      <w:r w:rsidR="00AD0380">
        <w:rPr>
          <w:rFonts w:ascii="Times New Roman" w:hAnsi="Times New Roman"/>
          <w:color w:val="1C1D1E"/>
          <w:sz w:val="18"/>
          <w:szCs w:val="18"/>
          <w:shd w:val="clear" w:color="auto" w:fill="FFFFFF"/>
          <w:lang w:val="en-US"/>
        </w:rPr>
        <w:t xml:space="preserve"> </w:t>
      </w:r>
      <w:r w:rsidR="00AD0380" w:rsidRPr="00AD0380">
        <w:rPr>
          <w:rFonts w:ascii="Times New Roman" w:hAnsi="Times New Roman"/>
          <w:color w:val="1C1D1E"/>
          <w:sz w:val="18"/>
          <w:szCs w:val="18"/>
          <w:shd w:val="clear" w:color="auto" w:fill="FFFFFF"/>
          <w:lang w:val="en-US"/>
        </w:rPr>
        <w:t>(A</w:t>
      </w:r>
      <w:r w:rsidR="00807995">
        <w:rPr>
          <w:rFonts w:ascii="Times New Roman" w:hAnsi="Times New Roman"/>
          <w:color w:val="1C1D1E"/>
          <w:sz w:val="18"/>
          <w:szCs w:val="18"/>
          <w:shd w:val="clear" w:color="auto" w:fill="FFFFFF"/>
          <w:lang w:val="en-US"/>
        </w:rPr>
        <w:t xml:space="preserve"> and B</w:t>
      </w:r>
      <w:r w:rsidR="00AD0380" w:rsidRPr="00AD0380">
        <w:rPr>
          <w:rFonts w:ascii="Times New Roman" w:hAnsi="Times New Roman"/>
          <w:color w:val="1C1D1E"/>
          <w:sz w:val="18"/>
          <w:szCs w:val="18"/>
          <w:shd w:val="clear" w:color="auto" w:fill="FFFFFF"/>
          <w:lang w:val="en-US"/>
        </w:rPr>
        <w:t xml:space="preserve">) </w:t>
      </w:r>
      <w:r w:rsidR="00807995">
        <w:rPr>
          <w:rFonts w:ascii="Times New Roman" w:hAnsi="Times New Roman"/>
          <w:color w:val="1C1D1E"/>
          <w:sz w:val="18"/>
          <w:szCs w:val="18"/>
          <w:shd w:val="clear" w:color="auto" w:fill="FFFFFF"/>
          <w:lang w:val="en-US"/>
        </w:rPr>
        <w:t xml:space="preserve">Treatment with garlic extract and </w:t>
      </w:r>
      <w:r w:rsidR="00AD0380" w:rsidRPr="00AD0380">
        <w:rPr>
          <w:rFonts w:ascii="Times New Roman" w:hAnsi="Times New Roman"/>
          <w:color w:val="1C1D1E"/>
          <w:sz w:val="18"/>
          <w:szCs w:val="18"/>
          <w:shd w:val="clear" w:color="auto" w:fill="FFFFFF"/>
          <w:lang w:val="en-US"/>
        </w:rPr>
        <w:t>NRF2-targeted siRNA</w:t>
      </w:r>
      <w:r w:rsidR="00807995">
        <w:rPr>
          <w:rFonts w:ascii="Times New Roman" w:hAnsi="Times New Roman"/>
          <w:color w:val="1C1D1E"/>
          <w:sz w:val="18"/>
          <w:szCs w:val="18"/>
          <w:shd w:val="clear" w:color="auto" w:fill="FFFFFF"/>
          <w:lang w:val="en-US"/>
        </w:rPr>
        <w:t>, respectively,</w:t>
      </w:r>
      <w:r w:rsidR="00AD0380" w:rsidRPr="00AD0380">
        <w:rPr>
          <w:rFonts w:ascii="Times New Roman" w:hAnsi="Times New Roman"/>
          <w:color w:val="1C1D1E"/>
          <w:sz w:val="18"/>
          <w:szCs w:val="18"/>
          <w:shd w:val="clear" w:color="auto" w:fill="FFFFFF"/>
          <w:lang w:val="en-US"/>
        </w:rPr>
        <w:t xml:space="preserve"> increases intracellular reactive oxygen species (ROS) </w:t>
      </w:r>
      <w:r w:rsidR="00AD0380" w:rsidRPr="00AD0380">
        <w:rPr>
          <w:rFonts w:ascii="Times New Roman" w:hAnsi="Times New Roman"/>
          <w:color w:val="1C1D1E"/>
          <w:sz w:val="18"/>
          <w:szCs w:val="18"/>
          <w:shd w:val="clear" w:color="auto" w:fill="FFFFFF"/>
          <w:lang w:val="en-US"/>
        </w:rPr>
        <w:lastRenderedPageBreak/>
        <w:t>levels. Exponentially growing cells were seeded in triplicate into black-walled, opaque, flat-bottom 96-well plates and incubated for 24 hours. Cells were then either left untreated (UT) or treated with 10 mg/mL garlic extract, 7 </w:t>
      </w:r>
      <w:proofErr w:type="spellStart"/>
      <w:r w:rsidR="00AD0380" w:rsidRPr="00AD0380">
        <w:rPr>
          <w:rFonts w:ascii="Times New Roman" w:hAnsi="Times New Roman"/>
          <w:color w:val="1C1D1E"/>
          <w:sz w:val="18"/>
          <w:szCs w:val="18"/>
          <w:shd w:val="clear" w:color="auto" w:fill="FFFFFF"/>
          <w:lang w:val="en-US"/>
        </w:rPr>
        <w:t>pmol</w:t>
      </w:r>
      <w:proofErr w:type="spellEnd"/>
      <w:r w:rsidR="00AD0380" w:rsidRPr="00AD0380">
        <w:rPr>
          <w:rFonts w:ascii="Times New Roman" w:hAnsi="Times New Roman"/>
          <w:color w:val="1C1D1E"/>
          <w:sz w:val="18"/>
          <w:szCs w:val="18"/>
          <w:shd w:val="clear" w:color="auto" w:fill="FFFFFF"/>
          <w:lang w:val="en-US"/>
        </w:rPr>
        <w:t xml:space="preserve"> scrambled siRNA, or NRF2-specific siRNA for the indicated time points. After treatment, cells were incubated with the fluorescent ROS indicator DCFDA for 45 minutes, and ROS levels were measured by fluorescence as described in the Materials and Methods.</w:t>
      </w:r>
      <w:r w:rsidR="00807995">
        <w:rPr>
          <w:rFonts w:ascii="Times New Roman" w:hAnsi="Times New Roman"/>
          <w:color w:val="1C1D1E"/>
          <w:sz w:val="18"/>
          <w:szCs w:val="18"/>
          <w:shd w:val="clear" w:color="auto" w:fill="FFFFFF"/>
          <w:lang w:val="en-US"/>
        </w:rPr>
        <w:t xml:space="preserve"> </w:t>
      </w:r>
      <w:r w:rsidR="00AD0380" w:rsidRPr="00AD0380">
        <w:rPr>
          <w:rFonts w:ascii="Times New Roman" w:hAnsi="Times New Roman"/>
          <w:color w:val="1C1D1E"/>
          <w:sz w:val="18"/>
          <w:szCs w:val="18"/>
          <w:shd w:val="clear" w:color="auto" w:fill="FFFFFF"/>
          <w:lang w:val="en-US"/>
        </w:rPr>
        <w:t>(C) Garlic and siRNA treatments reduce total cellular glutathione (GSH) levels. Cells were seeded in 60 mm dishes and allowed to grow for 24 hours before being treated with either 1 </w:t>
      </w:r>
      <w:proofErr w:type="spellStart"/>
      <w:r w:rsidR="00AD0380" w:rsidRPr="00AD0380">
        <w:rPr>
          <w:rFonts w:ascii="Times New Roman" w:hAnsi="Times New Roman"/>
          <w:color w:val="1C1D1E"/>
          <w:sz w:val="18"/>
          <w:szCs w:val="18"/>
          <w:shd w:val="clear" w:color="auto" w:fill="FFFFFF"/>
          <w:lang w:val="en-US"/>
        </w:rPr>
        <w:t>nM</w:t>
      </w:r>
      <w:proofErr w:type="spellEnd"/>
      <w:r w:rsidR="00AD0380" w:rsidRPr="00AD0380">
        <w:rPr>
          <w:rFonts w:ascii="Times New Roman" w:hAnsi="Times New Roman"/>
          <w:color w:val="1C1D1E"/>
          <w:sz w:val="18"/>
          <w:szCs w:val="18"/>
          <w:shd w:val="clear" w:color="auto" w:fill="FFFFFF"/>
          <w:lang w:val="en-US"/>
        </w:rPr>
        <w:t xml:space="preserve"> </w:t>
      </w:r>
      <w:proofErr w:type="spellStart"/>
      <w:r w:rsidR="00AD0380" w:rsidRPr="00AD0380">
        <w:rPr>
          <w:rFonts w:ascii="Times New Roman" w:hAnsi="Times New Roman"/>
          <w:color w:val="1C1D1E"/>
          <w:sz w:val="18"/>
          <w:szCs w:val="18"/>
          <w:shd w:val="clear" w:color="auto" w:fill="FFFFFF"/>
          <w:lang w:val="en-US"/>
        </w:rPr>
        <w:t>heregulin</w:t>
      </w:r>
      <w:proofErr w:type="spellEnd"/>
      <w:r w:rsidR="00AD0380" w:rsidRPr="00AD0380">
        <w:rPr>
          <w:rFonts w:ascii="Times New Roman" w:hAnsi="Times New Roman"/>
          <w:color w:val="1C1D1E"/>
          <w:sz w:val="18"/>
          <w:szCs w:val="18"/>
          <w:shd w:val="clear" w:color="auto" w:fill="FFFFFF"/>
          <w:lang w:val="en-US"/>
        </w:rPr>
        <w:t xml:space="preserve"> (HRG), HRG + garlic (10 mg/mL), or HRG + NRF2 siRNA (100 </w:t>
      </w:r>
      <w:proofErr w:type="spellStart"/>
      <w:r w:rsidR="00AD0380" w:rsidRPr="00AD0380">
        <w:rPr>
          <w:rFonts w:ascii="Times New Roman" w:hAnsi="Times New Roman"/>
          <w:color w:val="1C1D1E"/>
          <w:sz w:val="18"/>
          <w:szCs w:val="18"/>
          <w:shd w:val="clear" w:color="auto" w:fill="FFFFFF"/>
          <w:lang w:val="en-US"/>
        </w:rPr>
        <w:t>pmol</w:t>
      </w:r>
      <w:proofErr w:type="spellEnd"/>
      <w:r w:rsidR="00AD0380" w:rsidRPr="00AD0380">
        <w:rPr>
          <w:rFonts w:ascii="Times New Roman" w:hAnsi="Times New Roman"/>
          <w:color w:val="1C1D1E"/>
          <w:sz w:val="18"/>
          <w:szCs w:val="18"/>
          <w:shd w:val="clear" w:color="auto" w:fill="FFFFFF"/>
          <w:lang w:val="en-US"/>
        </w:rPr>
        <w:t>) for 24 hours. Cells were then harvested, lysed, and processed for glutathione quantification as described in the Materials and Methods.</w:t>
      </w:r>
      <w:r w:rsidR="00807995">
        <w:rPr>
          <w:rFonts w:ascii="Times New Roman" w:hAnsi="Times New Roman"/>
          <w:color w:val="1C1D1E"/>
          <w:sz w:val="18"/>
          <w:szCs w:val="18"/>
          <w:shd w:val="clear" w:color="auto" w:fill="FFFFFF"/>
          <w:lang w:val="en-US"/>
        </w:rPr>
        <w:t xml:space="preserve"> </w:t>
      </w:r>
      <w:r w:rsidR="00AD0380" w:rsidRPr="00AD0380">
        <w:rPr>
          <w:rFonts w:ascii="Times New Roman" w:hAnsi="Times New Roman"/>
          <w:color w:val="1C1D1E"/>
          <w:sz w:val="18"/>
          <w:szCs w:val="18"/>
          <w:shd w:val="clear" w:color="auto" w:fill="FFFFFF"/>
          <w:lang w:val="en-US"/>
        </w:rPr>
        <w:t>Data are presented as fold change relative to untreated or scrambled siRNA controls. Statistical analysis was performed using one-way ANOVA followed by Tukey’s post hoc test. Significance levels are indicated as:</w:t>
      </w:r>
      <w:r w:rsidR="00807995">
        <w:rPr>
          <w:rFonts w:ascii="Times New Roman" w:hAnsi="Times New Roman"/>
          <w:color w:val="1C1D1E"/>
          <w:sz w:val="18"/>
          <w:szCs w:val="18"/>
          <w:shd w:val="clear" w:color="auto" w:fill="FFFFFF"/>
          <w:lang w:val="en-US"/>
        </w:rPr>
        <w:t xml:space="preserve"> </w:t>
      </w:r>
      <w:r w:rsidR="00AD0380" w:rsidRPr="00AD0380">
        <w:rPr>
          <w:rFonts w:ascii="Times New Roman" w:hAnsi="Times New Roman"/>
          <w:color w:val="1C1D1E"/>
          <w:sz w:val="18"/>
          <w:szCs w:val="18"/>
          <w:shd w:val="clear" w:color="auto" w:fill="FFFFFF"/>
          <w:lang w:val="en-US"/>
        </w:rPr>
        <w:t>*p &lt; 0.05,</w:t>
      </w:r>
      <w:r w:rsidR="00807995">
        <w:rPr>
          <w:rFonts w:ascii="Times New Roman" w:hAnsi="Times New Roman"/>
          <w:color w:val="1C1D1E"/>
          <w:sz w:val="18"/>
          <w:szCs w:val="18"/>
          <w:shd w:val="clear" w:color="auto" w:fill="FFFFFF"/>
          <w:lang w:val="en-US"/>
        </w:rPr>
        <w:t xml:space="preserve"> </w:t>
      </w:r>
      <w:r w:rsidR="00AD0380" w:rsidRPr="00AD0380">
        <w:rPr>
          <w:rFonts w:ascii="Times New Roman" w:hAnsi="Times New Roman"/>
          <w:color w:val="1C1D1E"/>
          <w:sz w:val="18"/>
          <w:szCs w:val="18"/>
          <w:shd w:val="clear" w:color="auto" w:fill="FFFFFF"/>
          <w:lang w:val="en-US"/>
        </w:rPr>
        <w:t>**p &lt; 0.01,</w:t>
      </w:r>
      <w:r w:rsidR="00807995">
        <w:rPr>
          <w:rFonts w:ascii="Times New Roman" w:hAnsi="Times New Roman"/>
          <w:color w:val="1C1D1E"/>
          <w:sz w:val="18"/>
          <w:szCs w:val="18"/>
          <w:shd w:val="clear" w:color="auto" w:fill="FFFFFF"/>
          <w:lang w:val="en-US"/>
        </w:rPr>
        <w:t xml:space="preserve"> </w:t>
      </w:r>
      <w:r w:rsidR="00AD0380" w:rsidRPr="00AD0380">
        <w:rPr>
          <w:rFonts w:ascii="Times New Roman" w:hAnsi="Times New Roman"/>
          <w:color w:val="1C1D1E"/>
          <w:sz w:val="18"/>
          <w:szCs w:val="18"/>
          <w:shd w:val="clear" w:color="auto" w:fill="FFFFFF"/>
          <w:lang w:val="en-US"/>
        </w:rPr>
        <w:t>***p &lt; 0.001,</w:t>
      </w:r>
      <w:r w:rsidR="00807995">
        <w:rPr>
          <w:rFonts w:ascii="Times New Roman" w:hAnsi="Times New Roman"/>
          <w:color w:val="1C1D1E"/>
          <w:sz w:val="18"/>
          <w:szCs w:val="18"/>
          <w:shd w:val="clear" w:color="auto" w:fill="FFFFFF"/>
          <w:lang w:val="en-US"/>
        </w:rPr>
        <w:t xml:space="preserve"> </w:t>
      </w:r>
      <w:r w:rsidR="00AD0380" w:rsidRPr="00AD0380">
        <w:rPr>
          <w:rFonts w:ascii="Times New Roman" w:hAnsi="Times New Roman"/>
          <w:color w:val="1C1D1E"/>
          <w:sz w:val="18"/>
          <w:szCs w:val="18"/>
          <w:shd w:val="clear" w:color="auto" w:fill="FFFFFF"/>
          <w:lang w:val="en-US"/>
        </w:rPr>
        <w:t>****p &lt; 0.0001.</w:t>
      </w:r>
    </w:p>
    <w:p w:rsidR="00C54A4E" w:rsidRPr="00303ADC" w:rsidRDefault="00C54A4E" w:rsidP="00C54A4E">
      <w:pPr>
        <w:spacing w:line="360" w:lineRule="auto"/>
        <w:rPr>
          <w:rFonts w:ascii="Times New Roman" w:hAnsi="Times New Roman"/>
          <w:b/>
          <w:color w:val="000000"/>
          <w:sz w:val="24"/>
          <w:szCs w:val="24"/>
        </w:rPr>
      </w:pPr>
      <w:r w:rsidRPr="00303ADC">
        <w:rPr>
          <w:rFonts w:ascii="Times New Roman" w:hAnsi="Times New Roman"/>
          <w:b/>
          <w:color w:val="000000"/>
          <w:sz w:val="24"/>
          <w:szCs w:val="24"/>
        </w:rPr>
        <w:t>Discussion</w:t>
      </w:r>
    </w:p>
    <w:p w:rsidR="004A66B9" w:rsidRDefault="00526E18" w:rsidP="001460BB">
      <w:pPr>
        <w:spacing w:line="240" w:lineRule="auto"/>
        <w:jc w:val="both"/>
        <w:rPr>
          <w:rFonts w:ascii="Times New Roman" w:hAnsi="Times New Roman"/>
          <w:color w:val="000000"/>
          <w:sz w:val="24"/>
          <w:lang w:val="en-US"/>
        </w:rPr>
      </w:pPr>
      <w:r>
        <w:rPr>
          <w:rFonts w:ascii="Times New Roman" w:hAnsi="Times New Roman"/>
          <w:color w:val="000000"/>
          <w:sz w:val="24"/>
          <w:lang w:val="en-US"/>
        </w:rPr>
        <w:t>“</w:t>
      </w:r>
      <w:r w:rsidR="001460BB" w:rsidRPr="001460BB">
        <w:rPr>
          <w:rFonts w:ascii="Times New Roman" w:hAnsi="Times New Roman"/>
          <w:color w:val="000000"/>
          <w:sz w:val="24"/>
          <w:lang w:val="en-US"/>
        </w:rPr>
        <w:t xml:space="preserve">In this study, we have shown that garlic extract </w:t>
      </w:r>
      <w:r w:rsidR="00853F63">
        <w:rPr>
          <w:rFonts w:ascii="Times New Roman" w:hAnsi="Times New Roman"/>
          <w:color w:val="000000"/>
          <w:sz w:val="24"/>
          <w:lang w:val="en-US"/>
        </w:rPr>
        <w:t xml:space="preserve">inhibited the growth of cancer cells </w:t>
      </w:r>
      <w:proofErr w:type="gramStart"/>
      <w:r w:rsidR="001460BB" w:rsidRPr="001460BB">
        <w:rPr>
          <w:rFonts w:ascii="Times New Roman" w:hAnsi="Times New Roman"/>
          <w:color w:val="000000"/>
          <w:sz w:val="24"/>
          <w:lang w:val="en-US"/>
        </w:rPr>
        <w:t>The</w:t>
      </w:r>
      <w:proofErr w:type="gramEnd"/>
      <w:r w:rsidR="001460BB" w:rsidRPr="001460BB">
        <w:rPr>
          <w:rFonts w:ascii="Times New Roman" w:hAnsi="Times New Roman"/>
          <w:color w:val="000000"/>
          <w:sz w:val="24"/>
          <w:lang w:val="en-US"/>
        </w:rPr>
        <w:t xml:space="preserve"> activation of NRF2 by </w:t>
      </w:r>
      <w:proofErr w:type="spellStart"/>
      <w:r w:rsidR="001460BB" w:rsidRPr="001460BB">
        <w:rPr>
          <w:rFonts w:ascii="Times New Roman" w:hAnsi="Times New Roman"/>
          <w:color w:val="000000"/>
          <w:sz w:val="24"/>
          <w:lang w:val="en-US"/>
        </w:rPr>
        <w:t>tBHQ</w:t>
      </w:r>
      <w:proofErr w:type="spellEnd"/>
      <w:r w:rsidR="001460BB" w:rsidRPr="001460BB">
        <w:rPr>
          <w:rFonts w:ascii="Times New Roman" w:hAnsi="Times New Roman"/>
          <w:color w:val="000000"/>
          <w:sz w:val="24"/>
          <w:lang w:val="en-US"/>
        </w:rPr>
        <w:t xml:space="preserve"> led to an increase </w:t>
      </w:r>
      <w:r w:rsidR="00853F63">
        <w:rPr>
          <w:rFonts w:ascii="Times New Roman" w:hAnsi="Times New Roman"/>
          <w:color w:val="000000"/>
          <w:sz w:val="24"/>
          <w:lang w:val="en-US"/>
        </w:rPr>
        <w:t xml:space="preserve">growth of cancer cells </w:t>
      </w:r>
      <w:r w:rsidR="001460BB" w:rsidRPr="001460BB">
        <w:rPr>
          <w:rFonts w:ascii="Times New Roman" w:hAnsi="Times New Roman"/>
          <w:color w:val="000000"/>
          <w:sz w:val="24"/>
          <w:lang w:val="en-US"/>
        </w:rPr>
        <w:t>while inhibiting NRF2 using garlic or NRF2-targete</w:t>
      </w:r>
      <w:r w:rsidR="00853F63">
        <w:rPr>
          <w:rFonts w:ascii="Times New Roman" w:hAnsi="Times New Roman"/>
          <w:color w:val="000000"/>
          <w:sz w:val="24"/>
          <w:lang w:val="en-US"/>
        </w:rPr>
        <w:t xml:space="preserve">d siRNA resulted in decreased in the growth of cells. </w:t>
      </w:r>
      <w:r w:rsidR="001460BB" w:rsidRPr="001460BB">
        <w:rPr>
          <w:rFonts w:ascii="Times New Roman" w:hAnsi="Times New Roman"/>
          <w:color w:val="000000"/>
          <w:sz w:val="24"/>
          <w:lang w:val="en-US"/>
        </w:rPr>
        <w:t>As a recognized activato</w:t>
      </w:r>
      <w:r w:rsidR="00853F63">
        <w:rPr>
          <w:rFonts w:ascii="Times New Roman" w:hAnsi="Times New Roman"/>
          <w:color w:val="000000"/>
          <w:sz w:val="24"/>
          <w:lang w:val="en-US"/>
        </w:rPr>
        <w:t>r of NRF2</w:t>
      </w:r>
      <w:r>
        <w:rPr>
          <w:rFonts w:ascii="Times New Roman" w:hAnsi="Times New Roman"/>
          <w:color w:val="000000"/>
          <w:sz w:val="24"/>
          <w:lang w:val="en-US"/>
        </w:rPr>
        <w:t>”</w:t>
      </w:r>
      <w:r w:rsidR="00853F63">
        <w:rPr>
          <w:rFonts w:ascii="Times New Roman" w:hAnsi="Times New Roman"/>
          <w:color w:val="000000"/>
          <w:sz w:val="24"/>
          <w:lang w:val="en-US"/>
        </w:rPr>
        <w:t xml:space="preserve"> (Khalil et al., 2015)</w:t>
      </w:r>
      <w:r w:rsidR="001460BB" w:rsidRPr="001460BB">
        <w:rPr>
          <w:rFonts w:ascii="Times New Roman" w:hAnsi="Times New Roman"/>
          <w:color w:val="000000"/>
          <w:sz w:val="24"/>
          <w:lang w:val="en-US"/>
        </w:rPr>
        <w:t xml:space="preserve">. </w:t>
      </w:r>
      <w:r>
        <w:rPr>
          <w:rFonts w:ascii="Times New Roman" w:hAnsi="Times New Roman"/>
          <w:color w:val="000000"/>
          <w:sz w:val="24"/>
          <w:lang w:val="en-US"/>
        </w:rPr>
        <w:t>“</w:t>
      </w:r>
      <w:r w:rsidR="001460BB" w:rsidRPr="001460BB">
        <w:rPr>
          <w:rFonts w:ascii="Times New Roman" w:hAnsi="Times New Roman"/>
          <w:color w:val="000000"/>
          <w:sz w:val="24"/>
          <w:lang w:val="en-US"/>
        </w:rPr>
        <w:t>Garlic is known for its anticancer properties and as an NRF2 inhibitor</w:t>
      </w:r>
      <w:r>
        <w:rPr>
          <w:rFonts w:ascii="Times New Roman" w:hAnsi="Times New Roman"/>
          <w:color w:val="000000"/>
          <w:sz w:val="24"/>
          <w:lang w:val="en-US"/>
        </w:rPr>
        <w:t>”</w:t>
      </w:r>
      <w:r w:rsidR="001460BB" w:rsidRPr="001460BB">
        <w:rPr>
          <w:rFonts w:ascii="Times New Roman" w:hAnsi="Times New Roman"/>
          <w:color w:val="000000"/>
          <w:sz w:val="24"/>
          <w:lang w:val="en-US"/>
        </w:rPr>
        <w:t xml:space="preserve"> (Chen et al., 2004). </w:t>
      </w:r>
      <w:r>
        <w:rPr>
          <w:rFonts w:ascii="Times New Roman" w:hAnsi="Times New Roman"/>
          <w:color w:val="000000"/>
          <w:sz w:val="24"/>
          <w:lang w:val="en-US"/>
        </w:rPr>
        <w:t>“</w:t>
      </w:r>
      <w:r w:rsidR="001460BB" w:rsidRPr="001460BB">
        <w:rPr>
          <w:rFonts w:ascii="Times New Roman" w:hAnsi="Times New Roman"/>
          <w:color w:val="000000"/>
          <w:sz w:val="24"/>
          <w:lang w:val="en-US"/>
        </w:rPr>
        <w:t>There is growing interest in molecularly targeted inhibitors for cancer treatment, yet their effectiveness can be significantly diminished by the development of resistance</w:t>
      </w:r>
      <w:r>
        <w:rPr>
          <w:rFonts w:ascii="Times New Roman" w:hAnsi="Times New Roman"/>
          <w:color w:val="000000"/>
          <w:sz w:val="24"/>
          <w:lang w:val="en-US"/>
        </w:rPr>
        <w:t>”</w:t>
      </w:r>
      <w:r w:rsidR="001460BB" w:rsidRPr="001460BB">
        <w:rPr>
          <w:rFonts w:ascii="Times New Roman" w:hAnsi="Times New Roman"/>
          <w:color w:val="000000"/>
          <w:sz w:val="24"/>
          <w:lang w:val="en-US"/>
        </w:rPr>
        <w:t xml:space="preserve"> (Langdon et al., 1988; Mullen et al., 2007; Khalil et al., 2016b). </w:t>
      </w:r>
      <w:r>
        <w:rPr>
          <w:rFonts w:ascii="Times New Roman" w:hAnsi="Times New Roman"/>
          <w:color w:val="000000"/>
          <w:sz w:val="24"/>
          <w:lang w:val="en-US"/>
        </w:rPr>
        <w:t>“</w:t>
      </w:r>
      <w:r w:rsidR="001460BB" w:rsidRPr="001460BB">
        <w:rPr>
          <w:rFonts w:ascii="Times New Roman" w:hAnsi="Times New Roman"/>
          <w:color w:val="000000"/>
          <w:sz w:val="24"/>
          <w:lang w:val="en-US"/>
        </w:rPr>
        <w:t xml:space="preserve">Anticancer strategies, including chemotherapy, often rely on manipulating ROS levels to induce cytotoxicity in cancer cells. In this study, we demonstrated that pharmacological activation of NRF2 by </w:t>
      </w:r>
      <w:proofErr w:type="spellStart"/>
      <w:r w:rsidR="001460BB" w:rsidRPr="001460BB">
        <w:rPr>
          <w:rFonts w:ascii="Times New Roman" w:hAnsi="Times New Roman"/>
          <w:color w:val="000000"/>
          <w:sz w:val="24"/>
          <w:lang w:val="en-US"/>
        </w:rPr>
        <w:t>tBHQ</w:t>
      </w:r>
      <w:proofErr w:type="spellEnd"/>
      <w:r w:rsidR="001460BB" w:rsidRPr="001460BB">
        <w:rPr>
          <w:rFonts w:ascii="Times New Roman" w:hAnsi="Times New Roman"/>
          <w:color w:val="000000"/>
          <w:sz w:val="24"/>
          <w:lang w:val="en-US"/>
        </w:rPr>
        <w:t xml:space="preserve"> increases enhanced survival of cancer cells by reducing the cytotoxicity of garlic extracts, similar to the effects observed with HER-targeting chemotherapeutic agents such as lapatinib and erlotinib</w:t>
      </w:r>
      <w:r>
        <w:rPr>
          <w:rFonts w:ascii="Times New Roman" w:hAnsi="Times New Roman"/>
          <w:color w:val="000000"/>
          <w:sz w:val="24"/>
          <w:lang w:val="en-US"/>
        </w:rPr>
        <w:t>”</w:t>
      </w:r>
      <w:r w:rsidR="001460BB" w:rsidRPr="001460BB">
        <w:rPr>
          <w:rFonts w:ascii="Times New Roman" w:hAnsi="Times New Roman"/>
          <w:color w:val="000000"/>
          <w:sz w:val="24"/>
          <w:lang w:val="en-US"/>
        </w:rPr>
        <w:t xml:space="preserve"> (</w:t>
      </w:r>
      <w:proofErr w:type="spellStart"/>
      <w:r w:rsidR="001460BB" w:rsidRPr="001460BB">
        <w:rPr>
          <w:rFonts w:ascii="Times New Roman" w:hAnsi="Times New Roman"/>
          <w:color w:val="000000"/>
          <w:sz w:val="24"/>
          <w:lang w:val="en-US"/>
        </w:rPr>
        <w:t>Kankia</w:t>
      </w:r>
      <w:proofErr w:type="spellEnd"/>
      <w:r w:rsidR="001460BB" w:rsidRPr="001460BB">
        <w:rPr>
          <w:rFonts w:ascii="Times New Roman" w:hAnsi="Times New Roman"/>
          <w:color w:val="000000"/>
          <w:sz w:val="24"/>
          <w:lang w:val="en-US"/>
        </w:rPr>
        <w:t xml:space="preserve"> et al., 2017; </w:t>
      </w:r>
      <w:proofErr w:type="spellStart"/>
      <w:r w:rsidR="001460BB" w:rsidRPr="001460BB">
        <w:rPr>
          <w:rFonts w:ascii="Times New Roman" w:hAnsi="Times New Roman"/>
          <w:color w:val="000000"/>
          <w:sz w:val="24"/>
          <w:lang w:val="en-US"/>
        </w:rPr>
        <w:t>Kankia</w:t>
      </w:r>
      <w:proofErr w:type="spellEnd"/>
      <w:r w:rsidR="001460BB" w:rsidRPr="001460BB">
        <w:rPr>
          <w:rFonts w:ascii="Times New Roman" w:hAnsi="Times New Roman"/>
          <w:color w:val="000000"/>
          <w:sz w:val="24"/>
          <w:lang w:val="en-US"/>
        </w:rPr>
        <w:t xml:space="preserve"> et al., 2021). </w:t>
      </w:r>
      <w:r>
        <w:rPr>
          <w:rFonts w:ascii="Times New Roman" w:hAnsi="Times New Roman"/>
          <w:color w:val="000000"/>
          <w:sz w:val="24"/>
          <w:lang w:val="en-US"/>
        </w:rPr>
        <w:t>“</w:t>
      </w:r>
      <w:r w:rsidR="001460BB" w:rsidRPr="001460BB">
        <w:rPr>
          <w:rFonts w:ascii="Times New Roman" w:hAnsi="Times New Roman"/>
          <w:color w:val="000000"/>
          <w:sz w:val="24"/>
          <w:lang w:val="en-US"/>
        </w:rPr>
        <w:t xml:space="preserve">Conversely, pharmacological and genetic inhibition of NRF2 with garlic and siRNA </w:t>
      </w:r>
      <w:r w:rsidR="00853F63">
        <w:rPr>
          <w:rFonts w:ascii="Times New Roman" w:hAnsi="Times New Roman"/>
          <w:color w:val="000000"/>
          <w:sz w:val="24"/>
          <w:lang w:val="en-US"/>
        </w:rPr>
        <w:t xml:space="preserve">respectively, decreased the level of cancer </w:t>
      </w:r>
      <w:r w:rsidR="006E42C9">
        <w:rPr>
          <w:rFonts w:ascii="Times New Roman" w:hAnsi="Times New Roman"/>
          <w:color w:val="000000"/>
          <w:sz w:val="24"/>
          <w:lang w:val="en-US"/>
        </w:rPr>
        <w:t>cells.</w:t>
      </w:r>
      <w:r w:rsidR="001460BB" w:rsidRPr="001460BB">
        <w:rPr>
          <w:rFonts w:ascii="Times New Roman" w:hAnsi="Times New Roman"/>
          <w:color w:val="000000"/>
          <w:sz w:val="24"/>
          <w:lang w:val="en-US"/>
        </w:rPr>
        <w:t xml:space="preserve"> Notably, we previously reported that bexarotene-induced inhibition of NRF2 reduced HER2 and HER3 expression, enhancing the cytotoxicity of erlotinib and lapatinib in ovarian cancer cells</w:t>
      </w:r>
      <w:r>
        <w:rPr>
          <w:rFonts w:ascii="Times New Roman" w:hAnsi="Times New Roman"/>
          <w:color w:val="000000"/>
          <w:sz w:val="24"/>
          <w:lang w:val="en-US"/>
        </w:rPr>
        <w:t>”</w:t>
      </w:r>
      <w:r w:rsidR="001460BB" w:rsidRPr="001460BB">
        <w:rPr>
          <w:rFonts w:ascii="Times New Roman" w:hAnsi="Times New Roman"/>
          <w:color w:val="000000"/>
          <w:sz w:val="24"/>
          <w:lang w:val="en-US"/>
        </w:rPr>
        <w:t xml:space="preserve"> (Khalil et al., 2015; Khalil et al., 2016a; Khalil et al., 2016b; </w:t>
      </w:r>
      <w:proofErr w:type="spellStart"/>
      <w:r w:rsidR="001460BB" w:rsidRPr="001460BB">
        <w:rPr>
          <w:rFonts w:ascii="Times New Roman" w:hAnsi="Times New Roman"/>
          <w:color w:val="000000"/>
          <w:sz w:val="24"/>
          <w:lang w:val="en-US"/>
        </w:rPr>
        <w:t>Kankia</w:t>
      </w:r>
      <w:proofErr w:type="spellEnd"/>
      <w:r w:rsidR="001460BB" w:rsidRPr="001460BB">
        <w:rPr>
          <w:rFonts w:ascii="Times New Roman" w:hAnsi="Times New Roman"/>
          <w:color w:val="000000"/>
          <w:sz w:val="24"/>
          <w:lang w:val="en-US"/>
        </w:rPr>
        <w:t xml:space="preserve"> et al., 2017). </w:t>
      </w:r>
      <w:r>
        <w:rPr>
          <w:rFonts w:ascii="Times New Roman" w:hAnsi="Times New Roman"/>
          <w:color w:val="000000"/>
          <w:sz w:val="24"/>
          <w:lang w:val="en-US"/>
        </w:rPr>
        <w:t>“</w:t>
      </w:r>
      <w:r w:rsidR="001460BB" w:rsidRPr="001460BB">
        <w:rPr>
          <w:rFonts w:ascii="Times New Roman" w:hAnsi="Times New Roman"/>
          <w:color w:val="000000"/>
          <w:sz w:val="24"/>
          <w:lang w:val="en-US"/>
        </w:rPr>
        <w:t>While the beneficial effects of NRF2 activation have been observed in various healthy cell systems, there is accumulating evidence highlighting the detrimental role of NRF2 in cancer. NRF2 has been implicated in tumor resistance to multiple anti-cancer drugs by detoxifying drug-induced ROS, thus preventing drug accumulation and reducing efficacy</w:t>
      </w:r>
      <w:r>
        <w:rPr>
          <w:rFonts w:ascii="Times New Roman" w:hAnsi="Times New Roman"/>
          <w:color w:val="000000"/>
          <w:sz w:val="24"/>
          <w:lang w:val="en-US"/>
        </w:rPr>
        <w:t>”</w:t>
      </w:r>
      <w:r w:rsidR="001460BB" w:rsidRPr="001460BB">
        <w:rPr>
          <w:rFonts w:ascii="Times New Roman" w:hAnsi="Times New Roman"/>
          <w:color w:val="000000"/>
          <w:sz w:val="24"/>
          <w:lang w:val="en-US"/>
        </w:rPr>
        <w:t xml:space="preserve"> (Choi and Kwak, 2016). </w:t>
      </w:r>
      <w:r>
        <w:rPr>
          <w:rFonts w:ascii="Times New Roman" w:hAnsi="Times New Roman"/>
          <w:color w:val="000000"/>
          <w:sz w:val="24"/>
          <w:lang w:val="en-US"/>
        </w:rPr>
        <w:t>“</w:t>
      </w:r>
      <w:r w:rsidR="001460BB" w:rsidRPr="001460BB">
        <w:rPr>
          <w:rFonts w:ascii="Times New Roman" w:hAnsi="Times New Roman"/>
          <w:color w:val="000000"/>
          <w:sz w:val="24"/>
          <w:lang w:val="en-US"/>
        </w:rPr>
        <w:t>Moreover, ROS, which regulates NRF2 stability and activity, can also trigger the ARE pathway, indicating a complex interplay between ROS levels and NRF2 function</w:t>
      </w:r>
      <w:r>
        <w:rPr>
          <w:rFonts w:ascii="Times New Roman" w:hAnsi="Times New Roman"/>
          <w:color w:val="000000"/>
          <w:sz w:val="24"/>
          <w:lang w:val="en-US"/>
        </w:rPr>
        <w:t>”</w:t>
      </w:r>
      <w:r w:rsidR="001460BB" w:rsidRPr="001460BB">
        <w:rPr>
          <w:rFonts w:ascii="Times New Roman" w:hAnsi="Times New Roman"/>
          <w:color w:val="000000"/>
          <w:sz w:val="24"/>
          <w:lang w:val="en-US"/>
        </w:rPr>
        <w:t xml:space="preserve"> (Khalil et al., 2016b). </w:t>
      </w:r>
      <w:r>
        <w:rPr>
          <w:rFonts w:ascii="Times New Roman" w:hAnsi="Times New Roman"/>
          <w:color w:val="000000"/>
          <w:sz w:val="24"/>
          <w:lang w:val="en-US"/>
        </w:rPr>
        <w:t>“</w:t>
      </w:r>
      <w:r w:rsidR="001460BB" w:rsidRPr="001460BB">
        <w:rPr>
          <w:rFonts w:ascii="Times New Roman" w:hAnsi="Times New Roman"/>
          <w:color w:val="000000"/>
          <w:sz w:val="24"/>
          <w:lang w:val="en-US"/>
        </w:rPr>
        <w:t>To explore this relationship, we</w:t>
      </w:r>
      <w:r w:rsidR="006E42C9">
        <w:rPr>
          <w:rFonts w:ascii="Times New Roman" w:hAnsi="Times New Roman"/>
          <w:color w:val="000000"/>
          <w:sz w:val="24"/>
          <w:lang w:val="en-US"/>
        </w:rPr>
        <w:t xml:space="preserve"> examined the level of ROS, e</w:t>
      </w:r>
      <w:r w:rsidR="001460BB" w:rsidRPr="001460BB">
        <w:rPr>
          <w:rFonts w:ascii="Times New Roman" w:hAnsi="Times New Roman"/>
          <w:color w:val="000000"/>
          <w:sz w:val="24"/>
          <w:lang w:val="en-US"/>
        </w:rPr>
        <w:t xml:space="preserve">xposure to garlic extract. </w:t>
      </w:r>
      <w:r w:rsidR="00853F63">
        <w:rPr>
          <w:rFonts w:ascii="Times New Roman" w:hAnsi="Times New Roman"/>
          <w:color w:val="000000"/>
          <w:sz w:val="24"/>
          <w:lang w:val="en-US"/>
        </w:rPr>
        <w:t>I</w:t>
      </w:r>
      <w:r w:rsidR="001460BB" w:rsidRPr="001460BB">
        <w:rPr>
          <w:rFonts w:ascii="Times New Roman" w:hAnsi="Times New Roman"/>
          <w:color w:val="000000"/>
          <w:sz w:val="24"/>
          <w:lang w:val="en-US"/>
        </w:rPr>
        <w:t>mportantly, treatment with garlic extract significantly increased ROS and cytotoxicity. Clinical trials thus far have shown limited efficacy of certain chemotherapeutic agents in ovarian cancer, with a phase II trial of erlotinib as monotherapy reporting only a 6% response rate and a 44% disease stabilization rate. Combination strategies with chemotherapy or bevacizumab have yet to prove effective. While lapatinib alone appears ineffective, there is interest in its combination with carboplatin and paclitaxel</w:t>
      </w:r>
      <w:r>
        <w:rPr>
          <w:rFonts w:ascii="Times New Roman" w:hAnsi="Times New Roman"/>
          <w:color w:val="000000"/>
          <w:sz w:val="24"/>
          <w:lang w:val="en-US"/>
        </w:rPr>
        <w:t>”</w:t>
      </w:r>
      <w:r w:rsidR="001460BB" w:rsidRPr="001460BB">
        <w:rPr>
          <w:rFonts w:ascii="Times New Roman" w:hAnsi="Times New Roman"/>
          <w:color w:val="000000"/>
          <w:sz w:val="24"/>
          <w:lang w:val="en-US"/>
        </w:rPr>
        <w:t xml:space="preserve"> (</w:t>
      </w:r>
      <w:proofErr w:type="spellStart"/>
      <w:r w:rsidR="001460BB" w:rsidRPr="001460BB">
        <w:rPr>
          <w:rFonts w:ascii="Times New Roman" w:hAnsi="Times New Roman"/>
          <w:color w:val="000000"/>
          <w:sz w:val="24"/>
          <w:lang w:val="en-US"/>
        </w:rPr>
        <w:t>Hoelder</w:t>
      </w:r>
      <w:proofErr w:type="spellEnd"/>
      <w:r w:rsidR="001460BB" w:rsidRPr="001460BB">
        <w:rPr>
          <w:rFonts w:ascii="Times New Roman" w:hAnsi="Times New Roman"/>
          <w:color w:val="000000"/>
          <w:sz w:val="24"/>
          <w:lang w:val="en-US"/>
        </w:rPr>
        <w:t xml:space="preserve"> et al., 2012; </w:t>
      </w:r>
      <w:proofErr w:type="spellStart"/>
      <w:r w:rsidR="001460BB" w:rsidRPr="001460BB">
        <w:rPr>
          <w:rFonts w:ascii="Times New Roman" w:hAnsi="Times New Roman"/>
          <w:color w:val="000000"/>
          <w:sz w:val="24"/>
          <w:lang w:val="en-US"/>
        </w:rPr>
        <w:t>Roskos</w:t>
      </w:r>
      <w:proofErr w:type="spellEnd"/>
      <w:r w:rsidR="001460BB" w:rsidRPr="001460BB">
        <w:rPr>
          <w:rFonts w:ascii="Times New Roman" w:hAnsi="Times New Roman"/>
          <w:color w:val="000000"/>
          <w:sz w:val="24"/>
          <w:lang w:val="en-US"/>
        </w:rPr>
        <w:t xml:space="preserve">). </w:t>
      </w:r>
    </w:p>
    <w:p w:rsidR="004A66B9" w:rsidRPr="004A66B9" w:rsidRDefault="004A66B9" w:rsidP="001460BB">
      <w:pPr>
        <w:spacing w:line="240" w:lineRule="auto"/>
        <w:jc w:val="both"/>
        <w:rPr>
          <w:rFonts w:ascii="Times New Roman" w:hAnsi="Times New Roman"/>
          <w:b/>
          <w:color w:val="000000"/>
          <w:sz w:val="24"/>
          <w:lang w:val="en-US"/>
        </w:rPr>
      </w:pPr>
      <w:r w:rsidRPr="004A66B9">
        <w:rPr>
          <w:rFonts w:ascii="Times New Roman" w:hAnsi="Times New Roman"/>
          <w:b/>
          <w:color w:val="000000"/>
          <w:sz w:val="24"/>
          <w:lang w:val="en-US"/>
        </w:rPr>
        <w:t>Conclusion</w:t>
      </w:r>
    </w:p>
    <w:p w:rsidR="001460BB" w:rsidRPr="001460BB" w:rsidRDefault="004A66B9" w:rsidP="001460BB">
      <w:pPr>
        <w:spacing w:line="240" w:lineRule="auto"/>
        <w:jc w:val="both"/>
        <w:rPr>
          <w:rFonts w:ascii="Times New Roman" w:hAnsi="Times New Roman"/>
          <w:color w:val="000000"/>
          <w:sz w:val="24"/>
          <w:lang w:val="en-US"/>
        </w:rPr>
      </w:pPr>
      <w:r>
        <w:rPr>
          <w:rFonts w:ascii="Times New Roman" w:hAnsi="Times New Roman"/>
          <w:color w:val="000000"/>
          <w:sz w:val="24"/>
          <w:lang w:val="en-US"/>
        </w:rPr>
        <w:t>The</w:t>
      </w:r>
      <w:r w:rsidR="001460BB">
        <w:rPr>
          <w:rFonts w:ascii="Times New Roman" w:hAnsi="Times New Roman"/>
          <w:color w:val="000000"/>
          <w:sz w:val="24"/>
          <w:lang w:val="en-US"/>
        </w:rPr>
        <w:t xml:space="preserve"> </w:t>
      </w:r>
      <w:r w:rsidR="001460BB" w:rsidRPr="001460BB">
        <w:rPr>
          <w:rFonts w:ascii="Times New Roman" w:hAnsi="Times New Roman"/>
          <w:color w:val="000000"/>
          <w:sz w:val="24"/>
          <w:lang w:val="en-US"/>
        </w:rPr>
        <w:t>current findings</w:t>
      </w:r>
      <w:r w:rsidR="001460BB">
        <w:rPr>
          <w:rFonts w:ascii="Times New Roman" w:hAnsi="Times New Roman"/>
          <w:color w:val="000000"/>
          <w:sz w:val="24"/>
          <w:lang w:val="en-US"/>
        </w:rPr>
        <w:t xml:space="preserve"> </w:t>
      </w:r>
      <w:r w:rsidR="001460BB" w:rsidRPr="001460BB">
        <w:rPr>
          <w:rFonts w:ascii="Times New Roman" w:hAnsi="Times New Roman"/>
          <w:color w:val="000000"/>
          <w:sz w:val="24"/>
          <w:lang w:val="en-US"/>
        </w:rPr>
        <w:t xml:space="preserve">suggest that preclinical </w:t>
      </w:r>
      <w:r w:rsidR="00853F63">
        <w:rPr>
          <w:rFonts w:ascii="Times New Roman" w:hAnsi="Times New Roman"/>
          <w:color w:val="000000"/>
          <w:sz w:val="24"/>
          <w:lang w:val="en-US"/>
        </w:rPr>
        <w:t xml:space="preserve">studies with NRF2 inhibitors such as garlic extract </w:t>
      </w:r>
      <w:r w:rsidR="001460BB" w:rsidRPr="001460BB">
        <w:rPr>
          <w:rFonts w:ascii="Times New Roman" w:hAnsi="Times New Roman"/>
          <w:color w:val="000000"/>
          <w:sz w:val="24"/>
          <w:lang w:val="en-US"/>
        </w:rPr>
        <w:t>would be of interest. Effective modulation of the ROS/NRF2/ axis would be a novel</w:t>
      </w:r>
      <w:r w:rsidR="001460BB">
        <w:rPr>
          <w:rFonts w:ascii="Times New Roman" w:hAnsi="Times New Roman"/>
          <w:color w:val="000000"/>
          <w:sz w:val="24"/>
          <w:lang w:val="en-US"/>
        </w:rPr>
        <w:t xml:space="preserve"> </w:t>
      </w:r>
      <w:r w:rsidR="001460BB" w:rsidRPr="001460BB">
        <w:rPr>
          <w:rFonts w:ascii="Times New Roman" w:hAnsi="Times New Roman"/>
          <w:color w:val="000000"/>
          <w:sz w:val="24"/>
          <w:lang w:val="en-US"/>
        </w:rPr>
        <w:t>strategy to improve the efficacy of chemotherapeutic drugs by sensitization or by overcomin</w:t>
      </w:r>
      <w:r w:rsidR="001460BB">
        <w:rPr>
          <w:rFonts w:ascii="Times New Roman" w:hAnsi="Times New Roman"/>
          <w:color w:val="000000"/>
          <w:sz w:val="24"/>
          <w:lang w:val="en-US"/>
        </w:rPr>
        <w:t>g drug resistance.</w:t>
      </w:r>
    </w:p>
    <w:p w:rsidR="00C54A4E" w:rsidRDefault="00C54A4E" w:rsidP="00C54A4E">
      <w:pPr>
        <w:spacing w:line="240" w:lineRule="auto"/>
        <w:jc w:val="both"/>
        <w:rPr>
          <w:rFonts w:ascii="Times New Roman" w:hAnsi="Times New Roman"/>
          <w:color w:val="000000"/>
          <w:sz w:val="24"/>
        </w:rPr>
      </w:pPr>
    </w:p>
    <w:p w:rsidR="00563162" w:rsidRPr="00563162" w:rsidRDefault="00563162" w:rsidP="00563162">
      <w:pPr>
        <w:spacing w:line="240" w:lineRule="auto"/>
        <w:jc w:val="both"/>
        <w:rPr>
          <w:rFonts w:ascii="Times New Roman" w:hAnsi="Times New Roman"/>
          <w:color w:val="000000"/>
          <w:sz w:val="24"/>
        </w:rPr>
      </w:pPr>
      <w:r w:rsidRPr="00563162">
        <w:rPr>
          <w:rFonts w:ascii="Times New Roman" w:hAnsi="Times New Roman"/>
          <w:color w:val="000000"/>
          <w:sz w:val="24"/>
        </w:rPr>
        <w:t>Disclaimer (Artificial intelligence)</w:t>
      </w:r>
    </w:p>
    <w:p w:rsidR="00563162" w:rsidRPr="00563162" w:rsidRDefault="00563162" w:rsidP="00563162">
      <w:pPr>
        <w:spacing w:line="240" w:lineRule="auto"/>
        <w:jc w:val="both"/>
        <w:rPr>
          <w:rFonts w:ascii="Times New Roman" w:hAnsi="Times New Roman"/>
          <w:color w:val="000000"/>
          <w:sz w:val="24"/>
        </w:rPr>
      </w:pPr>
      <w:r w:rsidRPr="00563162">
        <w:rPr>
          <w:rFonts w:ascii="Times New Roman" w:hAnsi="Times New Roman"/>
          <w:color w:val="000000"/>
          <w:sz w:val="24"/>
        </w:rPr>
        <w:t xml:space="preserve">Option 1: </w:t>
      </w:r>
    </w:p>
    <w:p w:rsidR="00563162" w:rsidRPr="00563162" w:rsidRDefault="00563162" w:rsidP="00563162">
      <w:pPr>
        <w:spacing w:line="240" w:lineRule="auto"/>
        <w:jc w:val="both"/>
        <w:rPr>
          <w:rFonts w:ascii="Times New Roman" w:hAnsi="Times New Roman"/>
          <w:color w:val="000000"/>
          <w:sz w:val="24"/>
        </w:rPr>
      </w:pPr>
      <w:r w:rsidRPr="00563162">
        <w:rPr>
          <w:rFonts w:ascii="Times New Roman" w:hAnsi="Times New Roman"/>
          <w:color w:val="000000"/>
          <w:sz w:val="24"/>
        </w:rPr>
        <w:lastRenderedPageBreak/>
        <w:t>Author(s) hereby declare that NO generative AI technologies such as Large Language Models (</w:t>
      </w:r>
      <w:proofErr w:type="spellStart"/>
      <w:r w:rsidRPr="00563162">
        <w:rPr>
          <w:rFonts w:ascii="Times New Roman" w:hAnsi="Times New Roman"/>
          <w:color w:val="000000"/>
          <w:sz w:val="24"/>
        </w:rPr>
        <w:t>ChatGPT</w:t>
      </w:r>
      <w:proofErr w:type="spellEnd"/>
      <w:r w:rsidRPr="00563162">
        <w:rPr>
          <w:rFonts w:ascii="Times New Roman" w:hAnsi="Times New Roman"/>
          <w:color w:val="000000"/>
          <w:sz w:val="24"/>
        </w:rPr>
        <w:t xml:space="preserve">, COPILOT, etc.) and text-to-image generators have been used during the writing or editing of this manuscript. </w:t>
      </w:r>
    </w:p>
    <w:p w:rsidR="00563162" w:rsidRPr="00563162" w:rsidRDefault="00563162" w:rsidP="00563162">
      <w:pPr>
        <w:spacing w:line="240" w:lineRule="auto"/>
        <w:jc w:val="both"/>
        <w:rPr>
          <w:rFonts w:ascii="Times New Roman" w:hAnsi="Times New Roman"/>
          <w:color w:val="000000"/>
          <w:sz w:val="24"/>
        </w:rPr>
      </w:pPr>
      <w:r w:rsidRPr="00563162">
        <w:rPr>
          <w:rFonts w:ascii="Times New Roman" w:hAnsi="Times New Roman"/>
          <w:color w:val="000000"/>
          <w:sz w:val="24"/>
        </w:rPr>
        <w:t xml:space="preserve">Option 2: </w:t>
      </w:r>
    </w:p>
    <w:p w:rsidR="00563162" w:rsidRPr="00563162" w:rsidRDefault="00563162" w:rsidP="00563162">
      <w:pPr>
        <w:spacing w:line="240" w:lineRule="auto"/>
        <w:jc w:val="both"/>
        <w:rPr>
          <w:rFonts w:ascii="Times New Roman" w:hAnsi="Times New Roman"/>
          <w:color w:val="000000"/>
          <w:sz w:val="24"/>
        </w:rPr>
      </w:pPr>
      <w:r w:rsidRPr="00563162">
        <w:rPr>
          <w:rFonts w:ascii="Times New Roman" w:hAnsi="Times New Roman"/>
          <w:color w:val="000000"/>
          <w:sz w:val="24"/>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563162" w:rsidRPr="00563162" w:rsidRDefault="00563162" w:rsidP="00563162">
      <w:pPr>
        <w:spacing w:line="240" w:lineRule="auto"/>
        <w:jc w:val="both"/>
        <w:rPr>
          <w:rFonts w:ascii="Times New Roman" w:hAnsi="Times New Roman"/>
          <w:color w:val="000000"/>
          <w:sz w:val="24"/>
        </w:rPr>
      </w:pPr>
      <w:r w:rsidRPr="00563162">
        <w:rPr>
          <w:rFonts w:ascii="Times New Roman" w:hAnsi="Times New Roman"/>
          <w:color w:val="000000"/>
          <w:sz w:val="24"/>
        </w:rPr>
        <w:t>Details of the AI usage are given below:</w:t>
      </w:r>
    </w:p>
    <w:p w:rsidR="00563162" w:rsidRPr="00563162" w:rsidRDefault="00563162" w:rsidP="00563162">
      <w:pPr>
        <w:spacing w:line="240" w:lineRule="auto"/>
        <w:jc w:val="both"/>
        <w:rPr>
          <w:rFonts w:ascii="Times New Roman" w:hAnsi="Times New Roman"/>
          <w:color w:val="000000"/>
          <w:sz w:val="24"/>
        </w:rPr>
      </w:pPr>
      <w:r w:rsidRPr="00563162">
        <w:rPr>
          <w:rFonts w:ascii="Times New Roman" w:hAnsi="Times New Roman"/>
          <w:color w:val="000000"/>
          <w:sz w:val="24"/>
        </w:rPr>
        <w:t>1.</w:t>
      </w:r>
    </w:p>
    <w:p w:rsidR="00563162" w:rsidRPr="00563162" w:rsidRDefault="00563162" w:rsidP="00563162">
      <w:pPr>
        <w:spacing w:line="240" w:lineRule="auto"/>
        <w:jc w:val="both"/>
        <w:rPr>
          <w:rFonts w:ascii="Times New Roman" w:hAnsi="Times New Roman"/>
          <w:color w:val="000000"/>
          <w:sz w:val="24"/>
        </w:rPr>
      </w:pPr>
      <w:r w:rsidRPr="00563162">
        <w:rPr>
          <w:rFonts w:ascii="Times New Roman" w:hAnsi="Times New Roman"/>
          <w:color w:val="000000"/>
          <w:sz w:val="24"/>
        </w:rPr>
        <w:t>2.</w:t>
      </w:r>
    </w:p>
    <w:p w:rsidR="006E42C9" w:rsidRDefault="00563162" w:rsidP="00563162">
      <w:pPr>
        <w:spacing w:line="240" w:lineRule="auto"/>
        <w:jc w:val="both"/>
        <w:rPr>
          <w:rFonts w:ascii="Times New Roman" w:hAnsi="Times New Roman"/>
          <w:color w:val="000000"/>
          <w:sz w:val="24"/>
        </w:rPr>
      </w:pPr>
      <w:r w:rsidRPr="00563162">
        <w:rPr>
          <w:rFonts w:ascii="Times New Roman" w:hAnsi="Times New Roman"/>
          <w:color w:val="000000"/>
          <w:sz w:val="24"/>
        </w:rPr>
        <w:t>3.</w:t>
      </w:r>
    </w:p>
    <w:p w:rsidR="006E42C9" w:rsidRDefault="006E42C9" w:rsidP="00C54A4E">
      <w:pPr>
        <w:spacing w:line="240" w:lineRule="auto"/>
        <w:jc w:val="both"/>
        <w:rPr>
          <w:rFonts w:ascii="Times New Roman" w:hAnsi="Times New Roman"/>
          <w:color w:val="000000"/>
          <w:sz w:val="24"/>
        </w:rPr>
      </w:pPr>
    </w:p>
    <w:p w:rsidR="006E42C9" w:rsidRDefault="006E42C9" w:rsidP="00C54A4E">
      <w:pPr>
        <w:spacing w:line="240" w:lineRule="auto"/>
        <w:jc w:val="both"/>
        <w:rPr>
          <w:rFonts w:ascii="Times New Roman" w:hAnsi="Times New Roman"/>
          <w:color w:val="000000"/>
          <w:sz w:val="24"/>
        </w:rPr>
      </w:pPr>
    </w:p>
    <w:p w:rsidR="00C54A4E" w:rsidRPr="00F16AF5" w:rsidRDefault="00C54A4E" w:rsidP="00C54A4E">
      <w:pPr>
        <w:spacing w:line="240" w:lineRule="auto"/>
        <w:jc w:val="both"/>
        <w:rPr>
          <w:rFonts w:ascii="Times New Roman" w:hAnsi="Times New Roman"/>
          <w:b/>
          <w:color w:val="000000"/>
          <w:sz w:val="24"/>
        </w:rPr>
      </w:pPr>
      <w:r w:rsidRPr="00F16AF5">
        <w:rPr>
          <w:rFonts w:ascii="Times New Roman" w:hAnsi="Times New Roman"/>
          <w:b/>
          <w:color w:val="000000"/>
          <w:sz w:val="24"/>
        </w:rPr>
        <w:t>Acknowledgement</w:t>
      </w:r>
    </w:p>
    <w:p w:rsidR="001460BB" w:rsidRPr="001460BB" w:rsidRDefault="001460BB" w:rsidP="001460BB">
      <w:pPr>
        <w:spacing w:line="240" w:lineRule="auto"/>
        <w:jc w:val="both"/>
        <w:rPr>
          <w:rFonts w:ascii="Times New Roman" w:hAnsi="Times New Roman"/>
          <w:color w:val="000000"/>
          <w:sz w:val="24"/>
          <w:lang w:val="en-US"/>
        </w:rPr>
      </w:pPr>
      <w:r w:rsidRPr="001460BB">
        <w:rPr>
          <w:rFonts w:ascii="Times New Roman" w:hAnsi="Times New Roman"/>
          <w:color w:val="000000"/>
          <w:sz w:val="24"/>
          <w:lang w:val="en-US"/>
        </w:rPr>
        <w:t>The authors express their gratitude to the Tertiary Education Trust Fund (TETFUND) of Nigeria for the financial support provided for this research. Additionally, the authors wish to thank Umaru Musa</w:t>
      </w:r>
      <w:r>
        <w:rPr>
          <w:rFonts w:ascii="Times New Roman" w:hAnsi="Times New Roman"/>
          <w:color w:val="000000"/>
          <w:sz w:val="24"/>
          <w:lang w:val="en-US"/>
        </w:rPr>
        <w:t xml:space="preserve"> </w:t>
      </w:r>
      <w:proofErr w:type="spellStart"/>
      <w:r w:rsidRPr="001460BB">
        <w:rPr>
          <w:rFonts w:ascii="Times New Roman" w:hAnsi="Times New Roman"/>
          <w:color w:val="000000"/>
          <w:sz w:val="24"/>
          <w:lang w:val="en-US"/>
        </w:rPr>
        <w:t>Yar’adua</w:t>
      </w:r>
      <w:proofErr w:type="spellEnd"/>
      <w:r w:rsidRPr="001460BB">
        <w:rPr>
          <w:rFonts w:ascii="Times New Roman" w:hAnsi="Times New Roman"/>
          <w:color w:val="000000"/>
          <w:sz w:val="24"/>
          <w:lang w:val="en-US"/>
        </w:rPr>
        <w:t xml:space="preserve"> University </w:t>
      </w:r>
      <w:proofErr w:type="spellStart"/>
      <w:r w:rsidRPr="001460BB">
        <w:rPr>
          <w:rFonts w:ascii="Times New Roman" w:hAnsi="Times New Roman"/>
          <w:color w:val="000000"/>
          <w:sz w:val="24"/>
          <w:lang w:val="en-US"/>
        </w:rPr>
        <w:t>Katsina</w:t>
      </w:r>
      <w:proofErr w:type="spellEnd"/>
      <w:r w:rsidRPr="001460BB">
        <w:rPr>
          <w:rFonts w:ascii="Times New Roman" w:hAnsi="Times New Roman"/>
          <w:color w:val="000000"/>
          <w:sz w:val="24"/>
          <w:lang w:val="en-US"/>
        </w:rPr>
        <w:t xml:space="preserve"> for assisting in securing the grant and providing an enabling environment.</w:t>
      </w:r>
    </w:p>
    <w:p w:rsidR="00552D1B" w:rsidRPr="00B045AB" w:rsidRDefault="00552D1B" w:rsidP="00C54A4E">
      <w:pPr>
        <w:spacing w:line="240" w:lineRule="auto"/>
        <w:jc w:val="both"/>
        <w:rPr>
          <w:rFonts w:ascii="Times New Roman" w:hAnsi="Times New Roman"/>
          <w:sz w:val="24"/>
          <w:szCs w:val="24"/>
        </w:rPr>
      </w:pPr>
    </w:p>
    <w:p w:rsidR="00C54A4E" w:rsidRPr="008232A5" w:rsidRDefault="00C54A4E" w:rsidP="00C54A4E">
      <w:pPr>
        <w:pStyle w:val="Heading1"/>
        <w:jc w:val="both"/>
        <w:rPr>
          <w:rFonts w:ascii="Times New Roman" w:hAnsi="Times New Roman" w:hint="default"/>
          <w:sz w:val="32"/>
          <w:szCs w:val="32"/>
        </w:rPr>
      </w:pPr>
      <w:r w:rsidRPr="008232A5">
        <w:rPr>
          <w:rFonts w:ascii="Times New Roman" w:hAnsi="Times New Roman" w:hint="default"/>
          <w:sz w:val="32"/>
          <w:szCs w:val="32"/>
        </w:rPr>
        <w:t>References</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fldChar w:fldCharType="begin"/>
      </w:r>
      <w:r w:rsidRPr="00552D1B">
        <w:rPr>
          <w:rFonts w:ascii="Times New Roman" w:hAnsi="Times New Roman" w:cs="Times New Roman"/>
          <w:sz w:val="24"/>
          <w:szCs w:val="24"/>
        </w:rPr>
        <w:instrText xml:space="preserve"> ADDIN EN.REFLIST </w:instrText>
      </w:r>
      <w:r w:rsidRPr="00552D1B">
        <w:rPr>
          <w:rFonts w:ascii="Times New Roman" w:hAnsi="Times New Roman" w:cs="Times New Roman"/>
          <w:sz w:val="24"/>
          <w:szCs w:val="24"/>
        </w:rPr>
        <w:fldChar w:fldCharType="separate"/>
      </w:r>
      <w:r w:rsidRPr="00552D1B">
        <w:rPr>
          <w:rFonts w:ascii="Times New Roman" w:hAnsi="Times New Roman" w:cs="Times New Roman"/>
          <w:sz w:val="24"/>
          <w:szCs w:val="24"/>
        </w:rPr>
        <w:fldChar w:fldCharType="begin"/>
      </w:r>
      <w:r w:rsidRPr="00552D1B">
        <w:rPr>
          <w:rFonts w:ascii="Times New Roman" w:hAnsi="Times New Roman" w:cs="Times New Roman"/>
          <w:sz w:val="24"/>
          <w:szCs w:val="24"/>
        </w:rPr>
        <w:instrText xml:space="preserve"> ADDIN EN.REFLIST </w:instrText>
      </w:r>
      <w:r w:rsidRPr="00552D1B">
        <w:rPr>
          <w:rFonts w:ascii="Times New Roman" w:hAnsi="Times New Roman" w:cs="Times New Roman"/>
          <w:sz w:val="24"/>
          <w:szCs w:val="24"/>
        </w:rPr>
        <w:fldChar w:fldCharType="separate"/>
      </w:r>
      <w:r w:rsidRPr="00552D1B">
        <w:rPr>
          <w:rFonts w:ascii="Times New Roman" w:hAnsi="Times New Roman" w:cs="Times New Roman"/>
          <w:sz w:val="24"/>
          <w:szCs w:val="24"/>
        </w:rPr>
        <w:t xml:space="preserve">Abdullah, A., Kitteringham, N. R., Jenkins, R. E., Goldring, C., Higgins, L., Yamamoto, M., Hayes, J. and Park, B. K. (2012) 'Analysis of the role of Nrf2 in the expression of liver proteins in mice using two-dimensional gel-based proteomics', </w:t>
      </w:r>
      <w:r w:rsidRPr="00552D1B">
        <w:rPr>
          <w:rFonts w:ascii="Times New Roman" w:hAnsi="Times New Roman" w:cs="Times New Roman"/>
          <w:i/>
          <w:sz w:val="24"/>
          <w:szCs w:val="24"/>
        </w:rPr>
        <w:t>Pharmacological Reports,</w:t>
      </w:r>
      <w:r w:rsidRPr="00552D1B">
        <w:rPr>
          <w:rFonts w:ascii="Times New Roman" w:hAnsi="Times New Roman" w:cs="Times New Roman"/>
          <w:sz w:val="24"/>
          <w:szCs w:val="24"/>
        </w:rPr>
        <w:t xml:space="preserve"> 64(3), pp. 680-697.</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Agarwal, R. and Kaye, S. B. (2003) 'Ovarian cancer: strategies for overcoming resistance to chemotherapy', </w:t>
      </w:r>
      <w:r w:rsidRPr="00552D1B">
        <w:rPr>
          <w:rFonts w:ascii="Times New Roman" w:hAnsi="Times New Roman" w:cs="Times New Roman"/>
          <w:i/>
          <w:sz w:val="24"/>
          <w:szCs w:val="24"/>
        </w:rPr>
        <w:t>Nature Reviews Cancer,</w:t>
      </w:r>
      <w:r w:rsidRPr="00552D1B">
        <w:rPr>
          <w:rFonts w:ascii="Times New Roman" w:hAnsi="Times New Roman" w:cs="Times New Roman"/>
          <w:sz w:val="24"/>
          <w:szCs w:val="24"/>
        </w:rPr>
        <w:t xml:space="preserve"> 3(7), pp. 502-516.</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Agus, V. and Janovjak, H. (2017) 'Optogenetic methods in drug screening: technologies and applications', </w:t>
      </w:r>
      <w:r w:rsidRPr="00552D1B">
        <w:rPr>
          <w:rFonts w:ascii="Times New Roman" w:hAnsi="Times New Roman" w:cs="Times New Roman"/>
          <w:i/>
          <w:sz w:val="24"/>
          <w:szCs w:val="24"/>
        </w:rPr>
        <w:t>Current Opinion in Biotechnology,</w:t>
      </w:r>
      <w:r w:rsidRPr="00552D1B">
        <w:rPr>
          <w:rFonts w:ascii="Times New Roman" w:hAnsi="Times New Roman" w:cs="Times New Roman"/>
          <w:sz w:val="24"/>
          <w:szCs w:val="24"/>
        </w:rPr>
        <w:t xml:space="preserve"> 48, pp. 8-14.</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Ahmed, S. M. U., Luo, L., Namani, A., Wang, X. J. and Tang, X. (2017) 'Nrf2 signaling pathway: Pivotal roles in inflammation', </w:t>
      </w:r>
      <w:r w:rsidRPr="00552D1B">
        <w:rPr>
          <w:rFonts w:ascii="Times New Roman" w:hAnsi="Times New Roman" w:cs="Times New Roman"/>
          <w:i/>
          <w:sz w:val="24"/>
          <w:szCs w:val="24"/>
        </w:rPr>
        <w:t>Biochimica et Biophysica Acta (BBA) - Molecular Basis of Disease,</w:t>
      </w:r>
      <w:r w:rsidRPr="00552D1B">
        <w:rPr>
          <w:rFonts w:ascii="Times New Roman" w:hAnsi="Times New Roman" w:cs="Times New Roman"/>
          <w:sz w:val="24"/>
          <w:szCs w:val="24"/>
        </w:rPr>
        <w:t xml:space="preserve"> 1863(2), pp. 585-597.</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Ahn, Y.-H., Hwang, Y., Liu, H., Wang, X. J., Zhang, Y., Stephenson, K. K., Boronina, T. N., Cole, R. N., Dinkova-Kostova, A. T. and Talalay, P. (2010) 'Electrophilic tuning of the chemoprotective natural product sulforaphane', </w:t>
      </w:r>
      <w:r w:rsidRPr="00552D1B">
        <w:rPr>
          <w:rFonts w:ascii="Times New Roman" w:hAnsi="Times New Roman" w:cs="Times New Roman"/>
          <w:i/>
          <w:sz w:val="24"/>
          <w:szCs w:val="24"/>
        </w:rPr>
        <w:t>Proceedings of the National Academy of Sciences,</w:t>
      </w:r>
      <w:r w:rsidRPr="00552D1B">
        <w:rPr>
          <w:rFonts w:ascii="Times New Roman" w:hAnsi="Times New Roman" w:cs="Times New Roman"/>
          <w:sz w:val="24"/>
          <w:szCs w:val="24"/>
        </w:rPr>
        <w:t xml:space="preserve"> 107(21), pp. 9590-9595.</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Ajgal, Z., de Percin, S., Diéras, V., Pierga, J. Y., Campana, F., Fourquet, A. and Kirova, Y. M. (2017) 'Combination of radiotherapy and double blockade HER2 with pertuzumab and trastuzumab for HER2-positive metastatic or locally recurrent unresectable and/or metastatic breast cancer: Assessment of early toxicity', </w:t>
      </w:r>
      <w:r w:rsidRPr="00552D1B">
        <w:rPr>
          <w:rFonts w:ascii="Times New Roman" w:hAnsi="Times New Roman" w:cs="Times New Roman"/>
          <w:i/>
          <w:sz w:val="24"/>
          <w:szCs w:val="24"/>
        </w:rPr>
        <w:t>Cancer/Radiothérapie,</w:t>
      </w:r>
      <w:r w:rsidRPr="00552D1B">
        <w:rPr>
          <w:rFonts w:ascii="Times New Roman" w:hAnsi="Times New Roman" w:cs="Times New Roman"/>
          <w:sz w:val="24"/>
          <w:szCs w:val="24"/>
        </w:rPr>
        <w:t xml:space="preserve"> 21(2), pp. 114-118.</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lastRenderedPageBreak/>
        <w:t xml:space="preserve">Akhdar, H., Loyer, P., Rauch, C., Corlu, A., Guillouzo, A. and Morel, F. (2009) 'Involvement of Nrf2 activation in resistance to 5-fluorouracil in human colon cancer HT-29 cells', </w:t>
      </w:r>
      <w:r w:rsidRPr="00552D1B">
        <w:rPr>
          <w:rFonts w:ascii="Times New Roman" w:hAnsi="Times New Roman" w:cs="Times New Roman"/>
          <w:i/>
          <w:sz w:val="24"/>
          <w:szCs w:val="24"/>
        </w:rPr>
        <w:t>European Journal of Cancer,</w:t>
      </w:r>
      <w:r w:rsidRPr="00552D1B">
        <w:rPr>
          <w:rFonts w:ascii="Times New Roman" w:hAnsi="Times New Roman" w:cs="Times New Roman"/>
          <w:sz w:val="24"/>
          <w:szCs w:val="24"/>
        </w:rPr>
        <w:t xml:space="preserve"> 45(12), pp. 2219-2227.</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Alarcón-Aguilar, A., Luna-López, A., Ventura-Gallegos, J. L., Lazzarini, R., Galván-Arzate, S., González-Puertos, V. Y., Morán, J., Santamaría, A. and Königsberg, M. (2014) 'Primary cultured astrocytes from old rats are capable to activate the Nrf2 response against MPP+ toxicity after tBHQ pretreatment', </w:t>
      </w:r>
      <w:r w:rsidRPr="00552D1B">
        <w:rPr>
          <w:rFonts w:ascii="Times New Roman" w:hAnsi="Times New Roman" w:cs="Times New Roman"/>
          <w:i/>
          <w:sz w:val="24"/>
          <w:szCs w:val="24"/>
        </w:rPr>
        <w:t>Neurobiology of Aging,</w:t>
      </w:r>
      <w:r w:rsidRPr="00552D1B">
        <w:rPr>
          <w:rFonts w:ascii="Times New Roman" w:hAnsi="Times New Roman" w:cs="Times New Roman"/>
          <w:sz w:val="24"/>
          <w:szCs w:val="24"/>
        </w:rPr>
        <w:t xml:space="preserve"> 35(8), pp. 1901-1912.</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Alečković, M. and Kang, Y. (2015) 'Regulation of cancer metastasis by cell-free miRNAs', </w:t>
      </w:r>
      <w:r w:rsidRPr="00552D1B">
        <w:rPr>
          <w:rFonts w:ascii="Times New Roman" w:hAnsi="Times New Roman" w:cs="Times New Roman"/>
          <w:i/>
          <w:sz w:val="24"/>
          <w:szCs w:val="24"/>
        </w:rPr>
        <w:t>Biochimica et Biophysica Acta (BBA) - Reviews on Cancer,</w:t>
      </w:r>
      <w:r w:rsidRPr="00552D1B">
        <w:rPr>
          <w:rFonts w:ascii="Times New Roman" w:hAnsi="Times New Roman" w:cs="Times New Roman"/>
          <w:sz w:val="24"/>
          <w:szCs w:val="24"/>
        </w:rPr>
        <w:t xml:space="preserve"> 1855(1), pp. 24-42.</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Allard, J. S., Perez, E. J., Fukui, K., Carpenter, P., Ingram, D. K. and Cabo, R. d. (2016) 'Prolonged metformin treatment leads to reduced transcription of Nrf2 and neurotrophic factors without cognitive impairment in older C57BL/6J mice', </w:t>
      </w:r>
      <w:r w:rsidRPr="00552D1B">
        <w:rPr>
          <w:rFonts w:ascii="Times New Roman" w:hAnsi="Times New Roman" w:cs="Times New Roman"/>
          <w:i/>
          <w:sz w:val="24"/>
          <w:szCs w:val="24"/>
        </w:rPr>
        <w:t>Behavioural Brain Research,</w:t>
      </w:r>
      <w:r w:rsidRPr="00552D1B">
        <w:rPr>
          <w:rFonts w:ascii="Times New Roman" w:hAnsi="Times New Roman" w:cs="Times New Roman"/>
          <w:sz w:val="24"/>
          <w:szCs w:val="24"/>
        </w:rPr>
        <w:t xml:space="preserve"> 301, pp. 1-9.</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Amin, D. N., Campbell, M. R. and Moasser, M. M. (2010) 'The role of HER3, the unpretentious member of the HER family, in cancer biology and cancer therapeutics', </w:t>
      </w:r>
      <w:r w:rsidRPr="00552D1B">
        <w:rPr>
          <w:rFonts w:ascii="Times New Roman" w:hAnsi="Times New Roman" w:cs="Times New Roman"/>
          <w:i/>
          <w:sz w:val="24"/>
          <w:szCs w:val="24"/>
        </w:rPr>
        <w:t>Seminars in Cell &amp; Developmental Biology,</w:t>
      </w:r>
      <w:r w:rsidRPr="00552D1B">
        <w:rPr>
          <w:rFonts w:ascii="Times New Roman" w:hAnsi="Times New Roman" w:cs="Times New Roman"/>
          <w:sz w:val="24"/>
          <w:szCs w:val="24"/>
        </w:rPr>
        <w:t xml:space="preserve"> 21(9), pp. 944-950.</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Andrews, N. C., Erdjument-Bromage, H., Davidson, M. B., Tempst, P. and Orkin, S. H. (1993) 'Erythroid transcription factor NF-E2 is a haematopoietic-specific basic-leucine zipper protein', </w:t>
      </w:r>
      <w:r w:rsidRPr="00552D1B">
        <w:rPr>
          <w:rFonts w:ascii="Times New Roman" w:hAnsi="Times New Roman" w:cs="Times New Roman"/>
          <w:i/>
          <w:sz w:val="24"/>
          <w:szCs w:val="24"/>
        </w:rPr>
        <w:t>Nature,</w:t>
      </w:r>
      <w:r w:rsidRPr="00552D1B">
        <w:rPr>
          <w:rFonts w:ascii="Times New Roman" w:hAnsi="Times New Roman" w:cs="Times New Roman"/>
          <w:sz w:val="24"/>
          <w:szCs w:val="24"/>
        </w:rPr>
        <w:t xml:space="preserve"> 362(6422), pp. 722.</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Anuranjani and Bala, M. (2014) 'Concerted action of Nrf2-ARE pathway, MRN complex, HMGB1 and inflammatory cytokines - Implication in modification of radiation damage', </w:t>
      </w:r>
      <w:r w:rsidRPr="00552D1B">
        <w:rPr>
          <w:rFonts w:ascii="Times New Roman" w:hAnsi="Times New Roman" w:cs="Times New Roman"/>
          <w:i/>
          <w:sz w:val="24"/>
          <w:szCs w:val="24"/>
        </w:rPr>
        <w:t>Redox Biology,</w:t>
      </w:r>
      <w:r w:rsidRPr="00552D1B">
        <w:rPr>
          <w:rFonts w:ascii="Times New Roman" w:hAnsi="Times New Roman" w:cs="Times New Roman"/>
          <w:sz w:val="24"/>
          <w:szCs w:val="24"/>
        </w:rPr>
        <w:t xml:space="preserve"> 2, pp. 832-846.</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Arlt, A., Sebens, S., Krebs, S., Geismann, C., Grossmann, M., Kruse, M. L., Schreiber, S. and Schafer, H. (2013) 'Inhibition of the Nrf2 transcription factor by the alkaloid trigonelline renders pancreatic cancer cells more susceptible to apoptosis through decreased proteasomal gene expression and proteasome activity', </w:t>
      </w:r>
      <w:r w:rsidRPr="00552D1B">
        <w:rPr>
          <w:rFonts w:ascii="Times New Roman" w:hAnsi="Times New Roman" w:cs="Times New Roman"/>
          <w:i/>
          <w:sz w:val="24"/>
          <w:szCs w:val="24"/>
        </w:rPr>
        <w:t>Oncogene,</w:t>
      </w:r>
      <w:r w:rsidRPr="00552D1B">
        <w:rPr>
          <w:rFonts w:ascii="Times New Roman" w:hAnsi="Times New Roman" w:cs="Times New Roman"/>
          <w:sz w:val="24"/>
          <w:szCs w:val="24"/>
        </w:rPr>
        <w:t xml:space="preserve"> 32(40), pp. 4825-4835.</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Avendaño, C. and Menéndez, J. C. (2015) 'Chapter 4 - Anticancer Drugs Acting via Radical Species: Radiotherapy and Photodynamic Therapy of Cancer',  </w:t>
      </w:r>
      <w:r w:rsidRPr="00552D1B">
        <w:rPr>
          <w:rFonts w:ascii="Times New Roman" w:hAnsi="Times New Roman" w:cs="Times New Roman"/>
          <w:i/>
          <w:sz w:val="24"/>
          <w:szCs w:val="24"/>
        </w:rPr>
        <w:t>Medicinal Chemistry of Anticancer Drugs (Second Edition)</w:t>
      </w:r>
      <w:r w:rsidRPr="00552D1B">
        <w:rPr>
          <w:rFonts w:ascii="Times New Roman" w:hAnsi="Times New Roman" w:cs="Times New Roman"/>
          <w:sz w:val="24"/>
          <w:szCs w:val="24"/>
        </w:rPr>
        <w:t>. Boston: Elsevier, pp. 133-195.</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Avraham, R. and Yarden, Y. (2011) 'Feedback regulation of EGFR signalling: decision making by early and delayed loops', </w:t>
      </w:r>
      <w:r w:rsidRPr="00552D1B">
        <w:rPr>
          <w:rFonts w:ascii="Times New Roman" w:hAnsi="Times New Roman" w:cs="Times New Roman"/>
          <w:i/>
          <w:sz w:val="24"/>
          <w:szCs w:val="24"/>
        </w:rPr>
        <w:t>Nature reviews Molecular cell biology,</w:t>
      </w:r>
      <w:r w:rsidRPr="00552D1B">
        <w:rPr>
          <w:rFonts w:ascii="Times New Roman" w:hAnsi="Times New Roman" w:cs="Times New Roman"/>
          <w:sz w:val="24"/>
          <w:szCs w:val="24"/>
        </w:rPr>
        <w:t xml:space="preserve"> 12(2), pp. 104-117.</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Barbosa, M. L. d. C., Lima, L. M., Tesch, R., Sant'Anna, C. M. R., Totzke, F., Kubbutat, M. H. G., Schächtele, C., Laufer, S. A. and Barreiro, E. J. (2014) 'Novel 2-chloro-4-anilino-quinazoline derivatives as EGFR and VEGFR-2 dual inhibitors', </w:t>
      </w:r>
      <w:r w:rsidRPr="00552D1B">
        <w:rPr>
          <w:rFonts w:ascii="Times New Roman" w:hAnsi="Times New Roman" w:cs="Times New Roman"/>
          <w:i/>
          <w:sz w:val="24"/>
          <w:szCs w:val="24"/>
        </w:rPr>
        <w:t>European Journal of Medicinal Chemistry,</w:t>
      </w:r>
      <w:r w:rsidRPr="00552D1B">
        <w:rPr>
          <w:rFonts w:ascii="Times New Roman" w:hAnsi="Times New Roman" w:cs="Times New Roman"/>
          <w:sz w:val="24"/>
          <w:szCs w:val="24"/>
        </w:rPr>
        <w:t xml:space="preserve"> 71(0), pp. 1-14.</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Barrera, L. N., Cassidy, A., Wang, W., Wei, T., Belshaw, N. J., Johnson, I. T., Brigelius-Flohé, R. and Bao, Y. (2012) 'TrxR1 and GPx2 are potently induced by isothiocyanates and selenium, and mutually cooperate to protect Caco-2 cells against free radical-mediated cell death', </w:t>
      </w:r>
      <w:r w:rsidRPr="00552D1B">
        <w:rPr>
          <w:rFonts w:ascii="Times New Roman" w:hAnsi="Times New Roman" w:cs="Times New Roman"/>
          <w:i/>
          <w:sz w:val="24"/>
          <w:szCs w:val="24"/>
        </w:rPr>
        <w:t>Biochimica et Biophysica Acta (BBA) - Molecular Cell Research,</w:t>
      </w:r>
      <w:r w:rsidRPr="00552D1B">
        <w:rPr>
          <w:rFonts w:ascii="Times New Roman" w:hAnsi="Times New Roman" w:cs="Times New Roman"/>
          <w:sz w:val="24"/>
          <w:szCs w:val="24"/>
        </w:rPr>
        <w:t xml:space="preserve"> 1823(10), pp. 1914-1924.</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BarthÉLÉMy, P., Leblanc, J., Goldbarg, V., Wendling, F. and Kurtz, J.-E. (2014) 'Pertuzumab: Development Beyond Breast Cancer', </w:t>
      </w:r>
      <w:r w:rsidRPr="00552D1B">
        <w:rPr>
          <w:rFonts w:ascii="Times New Roman" w:hAnsi="Times New Roman" w:cs="Times New Roman"/>
          <w:i/>
          <w:sz w:val="24"/>
          <w:szCs w:val="24"/>
        </w:rPr>
        <w:t>Anticancer Research,</w:t>
      </w:r>
      <w:r w:rsidRPr="00552D1B">
        <w:rPr>
          <w:rFonts w:ascii="Times New Roman" w:hAnsi="Times New Roman" w:cs="Times New Roman"/>
          <w:sz w:val="24"/>
          <w:szCs w:val="24"/>
        </w:rPr>
        <w:t xml:space="preserve"> 34(4), pp. 1483-1491.</w:t>
      </w:r>
    </w:p>
    <w:p w:rsid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Baselga, J., Cortés, J., Kim, S.-B., Im, S.-A., Hegg, R., Im, Y.-H., Roman, L., Pedrini, J. L., Pienkowski, T. and Knott, A. (2012) 'Pertuzumab plus trastuzumab plus docetaxel for metastatic breast cancer', </w:t>
      </w:r>
      <w:r w:rsidRPr="00552D1B">
        <w:rPr>
          <w:rFonts w:ascii="Times New Roman" w:hAnsi="Times New Roman" w:cs="Times New Roman"/>
          <w:i/>
          <w:sz w:val="24"/>
          <w:szCs w:val="24"/>
        </w:rPr>
        <w:t>New England Journal of Medicine,</w:t>
      </w:r>
      <w:r w:rsidRPr="00552D1B">
        <w:rPr>
          <w:rFonts w:ascii="Times New Roman" w:hAnsi="Times New Roman" w:cs="Times New Roman"/>
          <w:sz w:val="24"/>
          <w:szCs w:val="24"/>
        </w:rPr>
        <w:t xml:space="preserve"> 366(2), pp. 109-119.</w:t>
      </w:r>
    </w:p>
    <w:p w:rsidR="00A968DE" w:rsidRPr="00A968DE" w:rsidRDefault="00A968DE" w:rsidP="00552D1B">
      <w:pPr>
        <w:pStyle w:val="EndNoteBibliography"/>
        <w:spacing w:after="0"/>
        <w:ind w:left="720" w:hanging="720"/>
        <w:jc w:val="both"/>
        <w:rPr>
          <w:rFonts w:ascii="Times New Roman" w:hAnsi="Times New Roman" w:cs="Times New Roman"/>
          <w:sz w:val="24"/>
          <w:szCs w:val="24"/>
        </w:rPr>
      </w:pPr>
      <w:r w:rsidRPr="00A968DE">
        <w:rPr>
          <w:rFonts w:ascii="Times New Roman" w:hAnsi="Times New Roman" w:cs="Times New Roman"/>
          <w:color w:val="222222"/>
          <w:sz w:val="24"/>
          <w:szCs w:val="24"/>
          <w:shd w:val="clear" w:color="auto" w:fill="FFFFFF"/>
        </w:rPr>
        <w:t>Bayan, L., Koulivand, P. H., &amp; Gorji, A. (2014). Garlic: a review of potential therapeutic effects. </w:t>
      </w:r>
      <w:r w:rsidRPr="00A968DE">
        <w:rPr>
          <w:rFonts w:ascii="Times New Roman" w:hAnsi="Times New Roman" w:cs="Times New Roman"/>
          <w:i/>
          <w:iCs/>
          <w:color w:val="222222"/>
          <w:sz w:val="24"/>
          <w:szCs w:val="24"/>
          <w:shd w:val="clear" w:color="auto" w:fill="FFFFFF"/>
        </w:rPr>
        <w:t>Avicenna journal of phytomedicine</w:t>
      </w:r>
      <w:r w:rsidRPr="00A968DE">
        <w:rPr>
          <w:rFonts w:ascii="Times New Roman" w:hAnsi="Times New Roman" w:cs="Times New Roman"/>
          <w:color w:val="222222"/>
          <w:sz w:val="24"/>
          <w:szCs w:val="24"/>
          <w:shd w:val="clear" w:color="auto" w:fill="FFFFFF"/>
        </w:rPr>
        <w:t>, </w:t>
      </w:r>
      <w:r w:rsidRPr="00A968DE">
        <w:rPr>
          <w:rFonts w:ascii="Times New Roman" w:hAnsi="Times New Roman" w:cs="Times New Roman"/>
          <w:i/>
          <w:iCs/>
          <w:color w:val="222222"/>
          <w:sz w:val="24"/>
          <w:szCs w:val="24"/>
          <w:shd w:val="clear" w:color="auto" w:fill="FFFFFF"/>
        </w:rPr>
        <w:t>4</w:t>
      </w:r>
      <w:r w:rsidRPr="00A968DE">
        <w:rPr>
          <w:rFonts w:ascii="Times New Roman" w:hAnsi="Times New Roman" w:cs="Times New Roman"/>
          <w:color w:val="222222"/>
          <w:sz w:val="24"/>
          <w:szCs w:val="24"/>
          <w:shd w:val="clear" w:color="auto" w:fill="FFFFFF"/>
        </w:rPr>
        <w:t>(1), 1.</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Berchuck, A., Kamel, A., Whitaker, R., Kerns, B., Olt, G., Kinney, R., Soper, J. T., Dodge, R., Clarke-Pearson, D. L. and Marks, P. (1990) 'Overexpression of HER-2/neu is </w:t>
      </w:r>
      <w:r w:rsidRPr="00552D1B">
        <w:rPr>
          <w:rFonts w:ascii="Times New Roman" w:hAnsi="Times New Roman" w:cs="Times New Roman"/>
          <w:sz w:val="24"/>
          <w:szCs w:val="24"/>
        </w:rPr>
        <w:lastRenderedPageBreak/>
        <w:t xml:space="preserve">associated with poor survival in advanced epithelial ovarian cancer', </w:t>
      </w:r>
      <w:r w:rsidRPr="00552D1B">
        <w:rPr>
          <w:rFonts w:ascii="Times New Roman" w:hAnsi="Times New Roman" w:cs="Times New Roman"/>
          <w:i/>
          <w:sz w:val="24"/>
          <w:szCs w:val="24"/>
        </w:rPr>
        <w:t>Cancer research,</w:t>
      </w:r>
      <w:r w:rsidRPr="00552D1B">
        <w:rPr>
          <w:rFonts w:ascii="Times New Roman" w:hAnsi="Times New Roman" w:cs="Times New Roman"/>
          <w:sz w:val="24"/>
          <w:szCs w:val="24"/>
        </w:rPr>
        <w:t xml:space="preserve"> 50(13), pp. 4087-4091.</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Bowerman, B., Eaton, B. A. and Priess, J. R. (1992) 'skn-1, a maternally expressed gene required to specify the fate of ventral blastomeres in the early C. elegans embryo', </w:t>
      </w:r>
      <w:r w:rsidRPr="00552D1B">
        <w:rPr>
          <w:rFonts w:ascii="Times New Roman" w:hAnsi="Times New Roman" w:cs="Times New Roman"/>
          <w:i/>
          <w:sz w:val="24"/>
          <w:szCs w:val="24"/>
        </w:rPr>
        <w:t>Cell,</w:t>
      </w:r>
      <w:r w:rsidRPr="00552D1B">
        <w:rPr>
          <w:rFonts w:ascii="Times New Roman" w:hAnsi="Times New Roman" w:cs="Times New Roman"/>
          <w:sz w:val="24"/>
          <w:szCs w:val="24"/>
        </w:rPr>
        <w:t xml:space="preserve"> 68(6), pp. 1061-1075.</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Buchdunger, E., Zimmermann, J., Mett, H., Meyer, T., Müller, M., Druker, B. J. and Lydon, N. B. (1996) 'Inhibition of the Abl protein-tyrosine kinase in vitro and in vivo by a 2-phenylaminopyrimidine derivative', </w:t>
      </w:r>
      <w:r w:rsidRPr="00552D1B">
        <w:rPr>
          <w:rFonts w:ascii="Times New Roman" w:hAnsi="Times New Roman" w:cs="Times New Roman"/>
          <w:i/>
          <w:sz w:val="24"/>
          <w:szCs w:val="24"/>
        </w:rPr>
        <w:t>Cancer research,</w:t>
      </w:r>
      <w:r w:rsidRPr="00552D1B">
        <w:rPr>
          <w:rFonts w:ascii="Times New Roman" w:hAnsi="Times New Roman" w:cs="Times New Roman"/>
          <w:sz w:val="24"/>
          <w:szCs w:val="24"/>
        </w:rPr>
        <w:t xml:space="preserve"> 56(1), pp. 100-104.</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Burgess, A. W. (2008) 'EGFR family: structure physiology signalling and therapeutic targets', </w:t>
      </w:r>
      <w:r w:rsidRPr="00552D1B">
        <w:rPr>
          <w:rFonts w:ascii="Times New Roman" w:hAnsi="Times New Roman" w:cs="Times New Roman"/>
          <w:i/>
          <w:sz w:val="24"/>
          <w:szCs w:val="24"/>
        </w:rPr>
        <w:t>Growth Factors,</w:t>
      </w:r>
      <w:r w:rsidRPr="00552D1B">
        <w:rPr>
          <w:rFonts w:ascii="Times New Roman" w:hAnsi="Times New Roman" w:cs="Times New Roman"/>
          <w:sz w:val="24"/>
          <w:szCs w:val="24"/>
        </w:rPr>
        <w:t xml:space="preserve"> 26(5), pp. 263-274.</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Burkhart, C. A., Kavallaris, M. and Horwitz, S. B. (2001) 'The role of β-tubulin isotypes in resistance to antimitotic drugs', </w:t>
      </w:r>
      <w:r w:rsidRPr="00552D1B">
        <w:rPr>
          <w:rFonts w:ascii="Times New Roman" w:hAnsi="Times New Roman" w:cs="Times New Roman"/>
          <w:i/>
          <w:sz w:val="24"/>
          <w:szCs w:val="24"/>
        </w:rPr>
        <w:t>Biochimica et Biophysica Acta (BBA) - Reviews on Cancer,</w:t>
      </w:r>
      <w:r w:rsidRPr="00552D1B">
        <w:rPr>
          <w:rFonts w:ascii="Times New Roman" w:hAnsi="Times New Roman" w:cs="Times New Roman"/>
          <w:sz w:val="24"/>
          <w:szCs w:val="24"/>
        </w:rPr>
        <w:t xml:space="preserve"> 1471(2), pp. O1-O9.</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Calderwood, S. K., Khaleque, M. A., Sawyer, D. B. and Ciocca, D. R. (2006) 'Heat shock proteins in cancer: chaperones of tumorigenesis', </w:t>
      </w:r>
      <w:r w:rsidRPr="00552D1B">
        <w:rPr>
          <w:rFonts w:ascii="Times New Roman" w:hAnsi="Times New Roman" w:cs="Times New Roman"/>
          <w:i/>
          <w:sz w:val="24"/>
          <w:szCs w:val="24"/>
        </w:rPr>
        <w:t>Trends in biochemical sciences,</w:t>
      </w:r>
      <w:r w:rsidRPr="00552D1B">
        <w:rPr>
          <w:rFonts w:ascii="Times New Roman" w:hAnsi="Times New Roman" w:cs="Times New Roman"/>
          <w:sz w:val="24"/>
          <w:szCs w:val="24"/>
        </w:rPr>
        <w:t xml:space="preserve"> 31(3), pp. 164-172.</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Campbell, M. R., Amin, D. and Moasser, M. M. (2010) 'HER3 comes of age: new insights into its functions and role in signaling, tumor biology, and cancer therapy', </w:t>
      </w:r>
      <w:r w:rsidRPr="00552D1B">
        <w:rPr>
          <w:rFonts w:ascii="Times New Roman" w:hAnsi="Times New Roman" w:cs="Times New Roman"/>
          <w:i/>
          <w:sz w:val="24"/>
          <w:szCs w:val="24"/>
        </w:rPr>
        <w:t>Clinical Cancer Research,</w:t>
      </w:r>
      <w:r w:rsidRPr="00552D1B">
        <w:rPr>
          <w:rFonts w:ascii="Times New Roman" w:hAnsi="Times New Roman" w:cs="Times New Roman"/>
          <w:sz w:val="24"/>
          <w:szCs w:val="24"/>
        </w:rPr>
        <w:t xml:space="preserve"> 16(5), pp. 1373-1383.</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Cao, C., Lu, S., Sowa, A., Kivlin, R., Amaral, A., Chu, W., Yang, H., Di, W. and Wan, Y. (2008) 'Priming with EGFR tyrosine kinase inhibitor and EGF sensitizes ovarian cancer cells to respond to chemotherapeutical drugs', </w:t>
      </w:r>
      <w:r w:rsidRPr="00552D1B">
        <w:rPr>
          <w:rFonts w:ascii="Times New Roman" w:hAnsi="Times New Roman" w:cs="Times New Roman"/>
          <w:i/>
          <w:sz w:val="24"/>
          <w:szCs w:val="24"/>
        </w:rPr>
        <w:t>Cancer Letters,</w:t>
      </w:r>
      <w:r w:rsidRPr="00552D1B">
        <w:rPr>
          <w:rFonts w:ascii="Times New Roman" w:hAnsi="Times New Roman" w:cs="Times New Roman"/>
          <w:sz w:val="24"/>
          <w:szCs w:val="24"/>
        </w:rPr>
        <w:t xml:space="preserve"> 266(2), pp. 249-262.</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Cao, L., Zhou, Y., Huang, L., Dong, S. and Ma, Y. (2017) 'Development of a dual-expression vector facilitated with selection-free PCR recombination cloning strategy', </w:t>
      </w:r>
      <w:r w:rsidRPr="00552D1B">
        <w:rPr>
          <w:rFonts w:ascii="Times New Roman" w:hAnsi="Times New Roman" w:cs="Times New Roman"/>
          <w:i/>
          <w:sz w:val="24"/>
          <w:szCs w:val="24"/>
        </w:rPr>
        <w:t>AMB Express,</w:t>
      </w:r>
      <w:r w:rsidRPr="00552D1B">
        <w:rPr>
          <w:rFonts w:ascii="Times New Roman" w:hAnsi="Times New Roman" w:cs="Times New Roman"/>
          <w:sz w:val="24"/>
          <w:szCs w:val="24"/>
        </w:rPr>
        <w:t xml:space="preserve"> 7, pp. 98.</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Caplen, N. J., Parrish, S., Imani, F., Fire, A. and Morgan, R. A. (2001) 'Specific inhibition of gene expression by small double-stranded RNAs in invertebrate and vertebrate systems', </w:t>
      </w:r>
      <w:r w:rsidRPr="00552D1B">
        <w:rPr>
          <w:rFonts w:ascii="Times New Roman" w:hAnsi="Times New Roman" w:cs="Times New Roman"/>
          <w:i/>
          <w:sz w:val="24"/>
          <w:szCs w:val="24"/>
        </w:rPr>
        <w:t>Proceedings of the National Academy of Sciences,</w:t>
      </w:r>
      <w:r w:rsidRPr="00552D1B">
        <w:rPr>
          <w:rFonts w:ascii="Times New Roman" w:hAnsi="Times New Roman" w:cs="Times New Roman"/>
          <w:sz w:val="24"/>
          <w:szCs w:val="24"/>
        </w:rPr>
        <w:t xml:space="preserve"> 98(17), pp. 9742-9747.</w:t>
      </w:r>
    </w:p>
    <w:p w:rsid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Cell, S. (2016) </w:t>
      </w:r>
      <w:r w:rsidRPr="00552D1B">
        <w:rPr>
          <w:rFonts w:ascii="Times New Roman" w:hAnsi="Times New Roman" w:cs="Times New Roman"/>
          <w:i/>
          <w:sz w:val="24"/>
          <w:szCs w:val="24"/>
        </w:rPr>
        <w:t>ErbB / HER Signaling Pathway</w:t>
      </w:r>
      <w:r w:rsidRPr="00552D1B">
        <w:rPr>
          <w:rFonts w:ascii="Times New Roman" w:hAnsi="Times New Roman" w:cs="Times New Roman"/>
          <w:sz w:val="24"/>
          <w:szCs w:val="24"/>
        </w:rPr>
        <w:t xml:space="preserve"> (Accessed: 11/02/2017 2017).</w:t>
      </w:r>
    </w:p>
    <w:p w:rsidR="00E96506" w:rsidRPr="00552D1B" w:rsidRDefault="00E96506" w:rsidP="00552D1B">
      <w:pPr>
        <w:pStyle w:val="EndNoteBibliography"/>
        <w:spacing w:after="0"/>
        <w:ind w:left="720" w:hanging="720"/>
        <w:jc w:val="both"/>
        <w:rPr>
          <w:rFonts w:ascii="Times New Roman" w:hAnsi="Times New Roman" w:cs="Times New Roman"/>
          <w:sz w:val="24"/>
          <w:szCs w:val="24"/>
        </w:rPr>
      </w:pPr>
      <w:r w:rsidRPr="00E96506">
        <w:rPr>
          <w:rFonts w:ascii="Times New Roman" w:hAnsi="Times New Roman" w:cs="Times New Roman"/>
          <w:sz w:val="24"/>
          <w:szCs w:val="24"/>
        </w:rPr>
        <w:t>Chen, C., Pung, D., Leong, V., Hebbar, V., Shen, G., Nair, S., ... &amp; Kong, A. N. T. (2004). Induction of detoxifying enzymes by garlic organosulfur compounds through transcription factor Nrf2: effect of chemical structure and stress signals. Free Radical Biology and Medicine, 37(10), 1578-1590.</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Chan, J. Y., Han, X.-L. and Kan, Y. W. (1993a) 'Cloning of Nrf1, an NF-E2-related transcription factor, by genetic selection in yeast', </w:t>
      </w:r>
      <w:r w:rsidRPr="00552D1B">
        <w:rPr>
          <w:rFonts w:ascii="Times New Roman" w:hAnsi="Times New Roman" w:cs="Times New Roman"/>
          <w:i/>
          <w:sz w:val="24"/>
          <w:szCs w:val="24"/>
        </w:rPr>
        <w:t>Proceedings of the National Academy of Sciences,</w:t>
      </w:r>
      <w:r w:rsidRPr="00552D1B">
        <w:rPr>
          <w:rFonts w:ascii="Times New Roman" w:hAnsi="Times New Roman" w:cs="Times New Roman"/>
          <w:sz w:val="24"/>
          <w:szCs w:val="24"/>
        </w:rPr>
        <w:t xml:space="preserve"> 90(23), pp. 11371-11375.</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Chan, J. Y., Han, X.-L. and Kan, Y. W. (1993b) 'Isolation of cDNA encoding the human NF-E2 protein', </w:t>
      </w:r>
      <w:r w:rsidRPr="00552D1B">
        <w:rPr>
          <w:rFonts w:ascii="Times New Roman" w:hAnsi="Times New Roman" w:cs="Times New Roman"/>
          <w:i/>
          <w:sz w:val="24"/>
          <w:szCs w:val="24"/>
        </w:rPr>
        <w:t>Proceedings of the National Academy of Sciences,</w:t>
      </w:r>
      <w:r w:rsidRPr="00552D1B">
        <w:rPr>
          <w:rFonts w:ascii="Times New Roman" w:hAnsi="Times New Roman" w:cs="Times New Roman"/>
          <w:sz w:val="24"/>
          <w:szCs w:val="24"/>
        </w:rPr>
        <w:t xml:space="preserve"> 90(23), pp. 11366-11370.</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Chandar</w:t>
      </w:r>
      <w:r w:rsidR="0074410B">
        <w:rPr>
          <w:rFonts w:ascii="Times New Roman" w:hAnsi="Times New Roman" w:cs="Times New Roman"/>
          <w:sz w:val="24"/>
          <w:szCs w:val="24"/>
        </w:rPr>
        <w:t>lapatinib</w:t>
      </w:r>
      <w:r w:rsidRPr="00552D1B">
        <w:rPr>
          <w:rFonts w:ascii="Times New Roman" w:hAnsi="Times New Roman" w:cs="Times New Roman"/>
          <w:sz w:val="24"/>
          <w:szCs w:val="24"/>
        </w:rPr>
        <w:t xml:space="preserve">aty, S., Sawai, A., Scaltriti, M., Rodrik-Outmezguine, V., Grbovic-Huezo, O., Serra, V., Majumder, P. K., Baselga, J. and Rosen, N. (2011) 'AKT inhibition relieves feedback suppression of receptor tyrosine kinase expression and activity', </w:t>
      </w:r>
      <w:r w:rsidRPr="00552D1B">
        <w:rPr>
          <w:rFonts w:ascii="Times New Roman" w:hAnsi="Times New Roman" w:cs="Times New Roman"/>
          <w:i/>
          <w:sz w:val="24"/>
          <w:szCs w:val="24"/>
        </w:rPr>
        <w:t>Cancer cell,</w:t>
      </w:r>
      <w:r w:rsidRPr="00552D1B">
        <w:rPr>
          <w:rFonts w:ascii="Times New Roman" w:hAnsi="Times New Roman" w:cs="Times New Roman"/>
          <w:sz w:val="24"/>
          <w:szCs w:val="24"/>
        </w:rPr>
        <w:t xml:space="preserve"> 19(1), pp. 58-71.</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Chen, C.-C., Chu, C.-B., Liu, K.-J., Huang, C.-Y. F., Chang, J.-Y., Pan, W.-Y., Chen, H.-H., Cheng, Y.-H., Lee, K.-D., Chen, M.-F., Kuo, C.-C. and Chen, L.-T. (2013) 'Gene expression profiling for analysis acquired oxaliplatin resistant factors in human gastric carcinoma TSGH-S3 cells: The role of IL-6 signaling and Nrf2/AKR1C axis identification', </w:t>
      </w:r>
      <w:r w:rsidRPr="00552D1B">
        <w:rPr>
          <w:rFonts w:ascii="Times New Roman" w:hAnsi="Times New Roman" w:cs="Times New Roman"/>
          <w:i/>
          <w:sz w:val="24"/>
          <w:szCs w:val="24"/>
        </w:rPr>
        <w:t>Biochemical Pharmacology,</w:t>
      </w:r>
      <w:r w:rsidRPr="00552D1B">
        <w:rPr>
          <w:rFonts w:ascii="Times New Roman" w:hAnsi="Times New Roman" w:cs="Times New Roman"/>
          <w:sz w:val="24"/>
          <w:szCs w:val="24"/>
        </w:rPr>
        <w:t xml:space="preserve"> 86(7), pp. 872-887.</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Chen, Q., Peng, H., Dong, L., Chen, L., Ma, X., Peng, Y., Dai, S. and Liu, Q. (2016) 'Activation of the NRF2-ARE signalling pathway by the Lentinula edodes polysaccharose LNT alleviates ROS-mediated cisplatin nephrotoxicity', </w:t>
      </w:r>
      <w:r w:rsidRPr="00552D1B">
        <w:rPr>
          <w:rFonts w:ascii="Times New Roman" w:hAnsi="Times New Roman" w:cs="Times New Roman"/>
          <w:i/>
          <w:sz w:val="24"/>
          <w:szCs w:val="24"/>
        </w:rPr>
        <w:t>International Immunopharmacology,</w:t>
      </w:r>
      <w:r w:rsidRPr="00552D1B">
        <w:rPr>
          <w:rFonts w:ascii="Times New Roman" w:hAnsi="Times New Roman" w:cs="Times New Roman"/>
          <w:sz w:val="24"/>
          <w:szCs w:val="24"/>
        </w:rPr>
        <w:t xml:space="preserve"> 36, pp. 1-8.</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lastRenderedPageBreak/>
        <w:t xml:space="preserve">Cheng, W., Liu, J., Yoshida, H., Rosen, D. and Naora, H. (2005) 'Lineage infidelity of epithelial ovarian cancers is controlled by HOX genes that specify regional identity in the reproductive tract', </w:t>
      </w:r>
      <w:r w:rsidRPr="00552D1B">
        <w:rPr>
          <w:rFonts w:ascii="Times New Roman" w:hAnsi="Times New Roman" w:cs="Times New Roman"/>
          <w:i/>
          <w:sz w:val="24"/>
          <w:szCs w:val="24"/>
        </w:rPr>
        <w:t>Nature medicine,</w:t>
      </w:r>
      <w:r w:rsidRPr="00552D1B">
        <w:rPr>
          <w:rFonts w:ascii="Times New Roman" w:hAnsi="Times New Roman" w:cs="Times New Roman"/>
          <w:sz w:val="24"/>
          <w:szCs w:val="24"/>
        </w:rPr>
        <w:t xml:space="preserve"> 11(5), pp. 531.</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Chian, S., Li, Y.-Y., Wang, X.-J. and Tang, X.-W. (2014a) 'Luteolin sensitizes two oxaliplatin-resistant colorectal cancer cell lines to chemotherapeutic drugs via inhibition of the Nrf2 pathway', </w:t>
      </w:r>
      <w:r w:rsidRPr="00552D1B">
        <w:rPr>
          <w:rFonts w:ascii="Times New Roman" w:hAnsi="Times New Roman" w:cs="Times New Roman"/>
          <w:i/>
          <w:sz w:val="24"/>
          <w:szCs w:val="24"/>
        </w:rPr>
        <w:t>Asian Pacific journal of cancer prevention: APJCP,</w:t>
      </w:r>
      <w:r w:rsidRPr="00552D1B">
        <w:rPr>
          <w:rFonts w:ascii="Times New Roman" w:hAnsi="Times New Roman" w:cs="Times New Roman"/>
          <w:sz w:val="24"/>
          <w:szCs w:val="24"/>
        </w:rPr>
        <w:t xml:space="preserve"> 15(6), pp. 2911-2916.</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Cárdenas, C., Quesada, A. R. and Medina, M. Á. (2014) 'Insights on the antitumor effects of kahweol on human breast cancer: Decreased survival and increased production of reactive oxygen species and cytotoxicity', </w:t>
      </w:r>
      <w:r w:rsidRPr="00552D1B">
        <w:rPr>
          <w:rFonts w:ascii="Times New Roman" w:hAnsi="Times New Roman" w:cs="Times New Roman"/>
          <w:i/>
          <w:sz w:val="24"/>
          <w:szCs w:val="24"/>
        </w:rPr>
        <w:t>Biochemical and Biophysical Research Communications,</w:t>
      </w:r>
      <w:r w:rsidRPr="00552D1B">
        <w:rPr>
          <w:rFonts w:ascii="Times New Roman" w:hAnsi="Times New Roman" w:cs="Times New Roman"/>
          <w:sz w:val="24"/>
          <w:szCs w:val="24"/>
        </w:rPr>
        <w:t xml:space="preserve"> 447(3), pp. 452-458.</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Dassonville, O., Bozec, A., Fischel, J. L. and Milano, G. (2017) 'EGFR targeting therapies: Monoclonal antibodies versus tyrosine kinase inhibitors', </w:t>
      </w:r>
      <w:r w:rsidRPr="00552D1B">
        <w:rPr>
          <w:rFonts w:ascii="Times New Roman" w:hAnsi="Times New Roman" w:cs="Times New Roman"/>
          <w:i/>
          <w:sz w:val="24"/>
          <w:szCs w:val="24"/>
        </w:rPr>
        <w:t>Critical Reviews in Oncology / Hematology,</w:t>
      </w:r>
      <w:r w:rsidRPr="00552D1B">
        <w:rPr>
          <w:rFonts w:ascii="Times New Roman" w:hAnsi="Times New Roman" w:cs="Times New Roman"/>
          <w:sz w:val="24"/>
          <w:szCs w:val="24"/>
        </w:rPr>
        <w:t xml:space="preserve"> 62(1), pp. 53-61.</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de Bono, J. S. and Rowinsky, E. K. (2002) 'The ErbB receptor family: a therapeutic target for cancer', </w:t>
      </w:r>
      <w:r w:rsidRPr="00552D1B">
        <w:rPr>
          <w:rFonts w:ascii="Times New Roman" w:hAnsi="Times New Roman" w:cs="Times New Roman"/>
          <w:i/>
          <w:sz w:val="24"/>
          <w:szCs w:val="24"/>
        </w:rPr>
        <w:t>Trends in molecular medicine,</w:t>
      </w:r>
      <w:r w:rsidRPr="00552D1B">
        <w:rPr>
          <w:rFonts w:ascii="Times New Roman" w:hAnsi="Times New Roman" w:cs="Times New Roman"/>
          <w:sz w:val="24"/>
          <w:szCs w:val="24"/>
        </w:rPr>
        <w:t xml:space="preserve"> 8(4), pp. S19-S26.</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Derjuga, A., Gourley, T. S., Holm, T. M., Heng, H. H. Q., Shivdasani, R. A., Ahmed, R., Andrews, N. C. and Blank, V. (2004) 'Complexity of CNC transcription factors as revealed by gene targeting of the Nrf3 locus', </w:t>
      </w:r>
      <w:r w:rsidRPr="00552D1B">
        <w:rPr>
          <w:rFonts w:ascii="Times New Roman" w:hAnsi="Times New Roman" w:cs="Times New Roman"/>
          <w:i/>
          <w:sz w:val="24"/>
          <w:szCs w:val="24"/>
        </w:rPr>
        <w:t>Molecular and cellular biology,</w:t>
      </w:r>
      <w:r w:rsidRPr="00552D1B">
        <w:rPr>
          <w:rFonts w:ascii="Times New Roman" w:hAnsi="Times New Roman" w:cs="Times New Roman"/>
          <w:sz w:val="24"/>
          <w:szCs w:val="24"/>
        </w:rPr>
        <w:t xml:space="preserve"> 24(8), pp. 3286-3294.</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Dietz, B. M., Kang, Y.-H., Liu, G., Eggler, A. L., Yao, P., Chadwick, L. R., Pauli, G. F., Farnsworth, N. R., Mesecar, A. D. and Van Breemen, R. B. (2005) 'Xanthohumol isolated from Humulus lupulus inhibits menadione-induced DNA damage through induction of quinone reductase', </w:t>
      </w:r>
      <w:r w:rsidRPr="00552D1B">
        <w:rPr>
          <w:rFonts w:ascii="Times New Roman" w:hAnsi="Times New Roman" w:cs="Times New Roman"/>
          <w:i/>
          <w:sz w:val="24"/>
          <w:szCs w:val="24"/>
        </w:rPr>
        <w:t>Chemical research in toxicology,</w:t>
      </w:r>
      <w:r w:rsidRPr="00552D1B">
        <w:rPr>
          <w:rFonts w:ascii="Times New Roman" w:hAnsi="Times New Roman" w:cs="Times New Roman"/>
          <w:sz w:val="24"/>
          <w:szCs w:val="24"/>
        </w:rPr>
        <w:t xml:space="preserve"> 18(8), pp. 1296-1305.</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Downward, J. (2003) 'Targeting RAS signalling pathways in cancer therapy', </w:t>
      </w:r>
      <w:r w:rsidRPr="00552D1B">
        <w:rPr>
          <w:rFonts w:ascii="Times New Roman" w:hAnsi="Times New Roman" w:cs="Times New Roman"/>
          <w:i/>
          <w:sz w:val="24"/>
          <w:szCs w:val="24"/>
        </w:rPr>
        <w:t>Nature Reviews Cancer,</w:t>
      </w:r>
      <w:r w:rsidRPr="00552D1B">
        <w:rPr>
          <w:rFonts w:ascii="Times New Roman" w:hAnsi="Times New Roman" w:cs="Times New Roman"/>
          <w:sz w:val="24"/>
          <w:szCs w:val="24"/>
        </w:rPr>
        <w:t xml:space="preserve"> 3(1), pp. 11-22.</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Dragnev, K. H., Ma, T., Cyrus, J., Galimberti, F., Memoli, V., Busch, A. M., Tsongalis, G. J., Seltzer, M., Johnstone, D. and Erkmen, C. P. (2011) 'Bexarotene plus </w:t>
      </w:r>
      <w:r w:rsidR="0074410B">
        <w:rPr>
          <w:rFonts w:ascii="Times New Roman" w:hAnsi="Times New Roman" w:cs="Times New Roman"/>
          <w:sz w:val="24"/>
          <w:szCs w:val="24"/>
        </w:rPr>
        <w:t>erlotinib</w:t>
      </w:r>
      <w:r w:rsidRPr="00552D1B">
        <w:rPr>
          <w:rFonts w:ascii="Times New Roman" w:hAnsi="Times New Roman" w:cs="Times New Roman"/>
          <w:sz w:val="24"/>
          <w:szCs w:val="24"/>
        </w:rPr>
        <w:t xml:space="preserve">otinib suppress lung carcinogenesis independent of KRAS mutations in two clinical trials and transgenic models', </w:t>
      </w:r>
      <w:r w:rsidRPr="00552D1B">
        <w:rPr>
          <w:rFonts w:ascii="Times New Roman" w:hAnsi="Times New Roman" w:cs="Times New Roman"/>
          <w:i/>
          <w:sz w:val="24"/>
          <w:szCs w:val="24"/>
        </w:rPr>
        <w:t>Cancer Prevention Research,</w:t>
      </w:r>
      <w:r w:rsidRPr="00552D1B">
        <w:rPr>
          <w:rFonts w:ascii="Times New Roman" w:hAnsi="Times New Roman" w:cs="Times New Roman"/>
          <w:sz w:val="24"/>
          <w:szCs w:val="24"/>
        </w:rPr>
        <w:t xml:space="preserve"> 4(6), pp. 818-828.</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Dragnev, K. H., Petty, W. J., Shah, S., Biddle, A., Desai, N. B., Memoli, V., Rigas, J. R. and Dmitrovsky, E. (2005) 'Bexarotene and </w:t>
      </w:r>
      <w:r w:rsidR="0074410B">
        <w:rPr>
          <w:rFonts w:ascii="Times New Roman" w:hAnsi="Times New Roman" w:cs="Times New Roman"/>
          <w:sz w:val="24"/>
          <w:szCs w:val="24"/>
        </w:rPr>
        <w:t>erlotinib</w:t>
      </w:r>
      <w:r w:rsidRPr="00552D1B">
        <w:rPr>
          <w:rFonts w:ascii="Times New Roman" w:hAnsi="Times New Roman" w:cs="Times New Roman"/>
          <w:sz w:val="24"/>
          <w:szCs w:val="24"/>
        </w:rPr>
        <w:t xml:space="preserve">otinib for aerodigestive tract cancer', </w:t>
      </w:r>
      <w:r w:rsidRPr="00552D1B">
        <w:rPr>
          <w:rFonts w:ascii="Times New Roman" w:hAnsi="Times New Roman" w:cs="Times New Roman"/>
          <w:i/>
          <w:sz w:val="24"/>
          <w:szCs w:val="24"/>
        </w:rPr>
        <w:t>Journal of Clinical Oncology,</w:t>
      </w:r>
      <w:r w:rsidRPr="00552D1B">
        <w:rPr>
          <w:rFonts w:ascii="Times New Roman" w:hAnsi="Times New Roman" w:cs="Times New Roman"/>
          <w:sz w:val="24"/>
          <w:szCs w:val="24"/>
        </w:rPr>
        <w:t xml:space="preserve"> 23(34), pp. 8757-8764.</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Dragnev, K. H., Petty, W. J., Shah, S. J., Lewis, L. D., Black, C. C., Memoli, V., Nugent, W. C., Hermann, T., Negro-Vilar, A. and Rigas, J. R. (2007) 'A Proof-of-Principle Clinical Trial of Bexarotene in Patients with Non–Small Cell Lung Cancer', </w:t>
      </w:r>
      <w:r w:rsidRPr="00552D1B">
        <w:rPr>
          <w:rFonts w:ascii="Times New Roman" w:hAnsi="Times New Roman" w:cs="Times New Roman"/>
          <w:i/>
          <w:sz w:val="24"/>
          <w:szCs w:val="24"/>
        </w:rPr>
        <w:t>Clinical Cancer Research,</w:t>
      </w:r>
      <w:r w:rsidRPr="00552D1B">
        <w:rPr>
          <w:rFonts w:ascii="Times New Roman" w:hAnsi="Times New Roman" w:cs="Times New Roman"/>
          <w:sz w:val="24"/>
          <w:szCs w:val="24"/>
        </w:rPr>
        <w:t xml:space="preserve"> 13(6), pp. 1794-1800.</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Ercan, D., Xu, C., Yanagita, M., Monast, C. S., Pratilas, C. A., Montero, J., Butaney, M., Shimamura, T., Sholl, L. and Ivanova, E. V. (2012) 'Reactivation of ERK signaling causes resistance to EGFR kinase inhibitors', </w:t>
      </w:r>
      <w:r w:rsidRPr="00552D1B">
        <w:rPr>
          <w:rFonts w:ascii="Times New Roman" w:hAnsi="Times New Roman" w:cs="Times New Roman"/>
          <w:i/>
          <w:sz w:val="24"/>
          <w:szCs w:val="24"/>
        </w:rPr>
        <w:t>Cancer discovery,</w:t>
      </w:r>
      <w:r w:rsidRPr="00552D1B">
        <w:rPr>
          <w:rFonts w:ascii="Times New Roman" w:hAnsi="Times New Roman" w:cs="Times New Roman"/>
          <w:sz w:val="24"/>
          <w:szCs w:val="24"/>
        </w:rPr>
        <w:t xml:space="preserve"> 2(10), pp. 934-947.</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Esmaeili, M. A. (2016) 'Combination of siRNA-directed gene silencing with epigallocatechin-3-gallate (EGCG) reverses drug resistance in human breast cancer cells', </w:t>
      </w:r>
      <w:r w:rsidRPr="00552D1B">
        <w:rPr>
          <w:rFonts w:ascii="Times New Roman" w:hAnsi="Times New Roman" w:cs="Times New Roman"/>
          <w:i/>
          <w:sz w:val="24"/>
          <w:szCs w:val="24"/>
        </w:rPr>
        <w:t>Journal of chemical biology,</w:t>
      </w:r>
      <w:r w:rsidRPr="00552D1B">
        <w:rPr>
          <w:rFonts w:ascii="Times New Roman" w:hAnsi="Times New Roman" w:cs="Times New Roman"/>
          <w:sz w:val="24"/>
          <w:szCs w:val="24"/>
        </w:rPr>
        <w:t xml:space="preserve"> 9(1), pp. 41-52.</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Farombi, E. O., Shrotriya, S., Na, H.-K., Kim, S.-H. and Surh, Y.-J. (2008) 'Curcumin attenuates dimethylnitrosamine-induced liver injury in rats through Nrf2-mediated induction of heme oxygenase-1', </w:t>
      </w:r>
      <w:r w:rsidRPr="00552D1B">
        <w:rPr>
          <w:rFonts w:ascii="Times New Roman" w:hAnsi="Times New Roman" w:cs="Times New Roman"/>
          <w:i/>
          <w:sz w:val="24"/>
          <w:szCs w:val="24"/>
        </w:rPr>
        <w:t>Food and Chemical Toxicology,</w:t>
      </w:r>
      <w:r w:rsidRPr="00552D1B">
        <w:rPr>
          <w:rFonts w:ascii="Times New Roman" w:hAnsi="Times New Roman" w:cs="Times New Roman"/>
          <w:sz w:val="24"/>
          <w:szCs w:val="24"/>
        </w:rPr>
        <w:t xml:space="preserve"> 46(4), pp. 1279-1287.</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F</w:t>
      </w:r>
      <w:r w:rsidR="0074410B">
        <w:rPr>
          <w:rFonts w:ascii="Times New Roman" w:hAnsi="Times New Roman" w:cs="Times New Roman"/>
          <w:sz w:val="24"/>
          <w:szCs w:val="24"/>
        </w:rPr>
        <w:t>erlotinib</w:t>
      </w:r>
      <w:r w:rsidRPr="00552D1B">
        <w:rPr>
          <w:rFonts w:ascii="Times New Roman" w:hAnsi="Times New Roman" w:cs="Times New Roman"/>
          <w:sz w:val="24"/>
          <w:szCs w:val="24"/>
        </w:rPr>
        <w:t xml:space="preserve">ay, J., Soerjomataram, I., Dikshit, R., Eser, S., Mathers, C., Rebelo, M., Parkin, D. M., Forman, D. and Bray, F. (2015) 'Cancer incidence and mortality worldwide: sources, methods and major patterns in GLOBOCAN 2012', </w:t>
      </w:r>
      <w:r w:rsidRPr="00552D1B">
        <w:rPr>
          <w:rFonts w:ascii="Times New Roman" w:hAnsi="Times New Roman" w:cs="Times New Roman"/>
          <w:i/>
          <w:sz w:val="24"/>
          <w:szCs w:val="24"/>
        </w:rPr>
        <w:t>International journal of cancer,</w:t>
      </w:r>
      <w:r w:rsidRPr="00552D1B">
        <w:rPr>
          <w:rFonts w:ascii="Times New Roman" w:hAnsi="Times New Roman" w:cs="Times New Roman"/>
          <w:sz w:val="24"/>
          <w:szCs w:val="24"/>
        </w:rPr>
        <w:t xml:space="preserve"> 136(5), pp. E359-E386.</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lastRenderedPageBreak/>
        <w:t>F</w:t>
      </w:r>
      <w:r w:rsidR="0074410B">
        <w:rPr>
          <w:rFonts w:ascii="Times New Roman" w:hAnsi="Times New Roman" w:cs="Times New Roman"/>
          <w:sz w:val="24"/>
          <w:szCs w:val="24"/>
        </w:rPr>
        <w:t>erlotinib</w:t>
      </w:r>
      <w:r w:rsidRPr="00552D1B">
        <w:rPr>
          <w:rFonts w:ascii="Times New Roman" w:hAnsi="Times New Roman" w:cs="Times New Roman"/>
          <w:sz w:val="24"/>
          <w:szCs w:val="24"/>
        </w:rPr>
        <w:t xml:space="preserve">ay, J., Steliarova-Foucher, E., Lortet-Tieulent, J., Rosso, S., Coebergh, J. W. W., Comber, H., Forman, D. and Bray, F. (2013) 'Cancer incidence and mortality patterns in Europe: Estimates for 40 countries in 2012', </w:t>
      </w:r>
      <w:r w:rsidRPr="00552D1B">
        <w:rPr>
          <w:rFonts w:ascii="Times New Roman" w:hAnsi="Times New Roman" w:cs="Times New Roman"/>
          <w:i/>
          <w:sz w:val="24"/>
          <w:szCs w:val="24"/>
        </w:rPr>
        <w:t>European Journal of Cancer,</w:t>
      </w:r>
      <w:r w:rsidRPr="00552D1B">
        <w:rPr>
          <w:rFonts w:ascii="Times New Roman" w:hAnsi="Times New Roman" w:cs="Times New Roman"/>
          <w:sz w:val="24"/>
          <w:szCs w:val="24"/>
        </w:rPr>
        <w:t xml:space="preserve"> 49(6), pp. 1374-1403.</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Friedlander, M. (1998) 'Prognostic factors', </w:t>
      </w:r>
      <w:r w:rsidRPr="00552D1B">
        <w:rPr>
          <w:rFonts w:ascii="Times New Roman" w:hAnsi="Times New Roman" w:cs="Times New Roman"/>
          <w:i/>
          <w:sz w:val="24"/>
          <w:szCs w:val="24"/>
        </w:rPr>
        <w:t>Ovarian cancer,</w:t>
      </w:r>
      <w:r w:rsidRPr="00552D1B">
        <w:rPr>
          <w:rFonts w:ascii="Times New Roman" w:hAnsi="Times New Roman" w:cs="Times New Roman"/>
          <w:sz w:val="24"/>
          <w:szCs w:val="24"/>
        </w:rPr>
        <w:t xml:space="preserve"> 5, pp. 143-152.</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Gajria, D. and Chandar</w:t>
      </w:r>
      <w:r w:rsidR="0074410B">
        <w:rPr>
          <w:rFonts w:ascii="Times New Roman" w:hAnsi="Times New Roman" w:cs="Times New Roman"/>
          <w:sz w:val="24"/>
          <w:szCs w:val="24"/>
        </w:rPr>
        <w:t>lapatinib</w:t>
      </w:r>
      <w:r w:rsidRPr="00552D1B">
        <w:rPr>
          <w:rFonts w:ascii="Times New Roman" w:hAnsi="Times New Roman" w:cs="Times New Roman"/>
          <w:sz w:val="24"/>
          <w:szCs w:val="24"/>
        </w:rPr>
        <w:t xml:space="preserve">aty, S. (2011) 'HER2-amplified breast cancer: mechanisms of trastuzumab resistance and novel targeted therapies', </w:t>
      </w:r>
      <w:r w:rsidRPr="00552D1B">
        <w:rPr>
          <w:rFonts w:ascii="Times New Roman" w:hAnsi="Times New Roman" w:cs="Times New Roman"/>
          <w:i/>
          <w:sz w:val="24"/>
          <w:szCs w:val="24"/>
        </w:rPr>
        <w:t>Expert review of anticancer therapy,</w:t>
      </w:r>
      <w:r w:rsidRPr="00552D1B">
        <w:rPr>
          <w:rFonts w:ascii="Times New Roman" w:hAnsi="Times New Roman" w:cs="Times New Roman"/>
          <w:sz w:val="24"/>
          <w:szCs w:val="24"/>
        </w:rPr>
        <w:t xml:space="preserve"> 11(2), pp. 263-275.</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Gala, K. and Chandar</w:t>
      </w:r>
      <w:r w:rsidR="0074410B">
        <w:rPr>
          <w:rFonts w:ascii="Times New Roman" w:hAnsi="Times New Roman" w:cs="Times New Roman"/>
          <w:sz w:val="24"/>
          <w:szCs w:val="24"/>
        </w:rPr>
        <w:t>lapatinib</w:t>
      </w:r>
      <w:r w:rsidRPr="00552D1B">
        <w:rPr>
          <w:rFonts w:ascii="Times New Roman" w:hAnsi="Times New Roman" w:cs="Times New Roman"/>
          <w:sz w:val="24"/>
          <w:szCs w:val="24"/>
        </w:rPr>
        <w:t xml:space="preserve">aty, S. (2014) 'Molecular pathways: HER3 targeted therapy', </w:t>
      </w:r>
      <w:r w:rsidRPr="00552D1B">
        <w:rPr>
          <w:rFonts w:ascii="Times New Roman" w:hAnsi="Times New Roman" w:cs="Times New Roman"/>
          <w:i/>
          <w:sz w:val="24"/>
          <w:szCs w:val="24"/>
        </w:rPr>
        <w:t>Clinical cancer research,</w:t>
      </w:r>
      <w:r w:rsidRPr="00552D1B">
        <w:rPr>
          <w:rFonts w:ascii="Times New Roman" w:hAnsi="Times New Roman" w:cs="Times New Roman"/>
          <w:sz w:val="24"/>
          <w:szCs w:val="24"/>
        </w:rPr>
        <w:t xml:space="preserve"> 20(6), pp. 1410-1416.</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Gao, A.-M., Ke, Z.-P., Shi, F., Sun, G.-C. and Chen, H. (2013a) 'Chrysin enhances sensitivity of BEL-7402/ADM cells to doxorubicin by suppressing PI3K/Akt/Nrf2 and ERK/Nrf2 pathway', </w:t>
      </w:r>
      <w:r w:rsidRPr="00552D1B">
        <w:rPr>
          <w:rFonts w:ascii="Times New Roman" w:hAnsi="Times New Roman" w:cs="Times New Roman"/>
          <w:i/>
          <w:sz w:val="24"/>
          <w:szCs w:val="24"/>
        </w:rPr>
        <w:t>Chemico-Biological Interactions,</w:t>
      </w:r>
      <w:r w:rsidRPr="00552D1B">
        <w:rPr>
          <w:rFonts w:ascii="Times New Roman" w:hAnsi="Times New Roman" w:cs="Times New Roman"/>
          <w:sz w:val="24"/>
          <w:szCs w:val="24"/>
        </w:rPr>
        <w:t xml:space="preserve"> 206(1), pp. 100-108.</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Gao, A.-M., Ke, Z.-P., Wang, J.-N., Yang, J.-Y., Chen, S.-Y. and Chen, H. (2013b) 'Apigenin sensitizes doxorubicin-resistant hepatocellular carcinoma BEL-7402/ADM cells to doxorubicin via inhibiting PI3K/Akt/Nrf2 pathway', </w:t>
      </w:r>
      <w:r w:rsidRPr="00552D1B">
        <w:rPr>
          <w:rFonts w:ascii="Times New Roman" w:hAnsi="Times New Roman" w:cs="Times New Roman"/>
          <w:i/>
          <w:sz w:val="24"/>
          <w:szCs w:val="24"/>
        </w:rPr>
        <w:t>Carcinogenesis,</w:t>
      </w:r>
      <w:r w:rsidRPr="00552D1B">
        <w:rPr>
          <w:rFonts w:ascii="Times New Roman" w:hAnsi="Times New Roman" w:cs="Times New Roman"/>
          <w:sz w:val="24"/>
          <w:szCs w:val="24"/>
        </w:rPr>
        <w:t xml:space="preserve"> 34(8), pp. 1806-1814.</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Garattini, E., Bolis, M., Garattini, S. K., Fratelli, M., Centritto, F., Paroni, G., Gianni’, M., Zanetti, A., Pagani, A., Fisher, J. N., Zambelli, A. and Terao, M. (2014) 'Retinoids and breast cancer: From basic studies to the clinic and back again', </w:t>
      </w:r>
      <w:r w:rsidRPr="00552D1B">
        <w:rPr>
          <w:rFonts w:ascii="Times New Roman" w:hAnsi="Times New Roman" w:cs="Times New Roman"/>
          <w:i/>
          <w:sz w:val="24"/>
          <w:szCs w:val="24"/>
        </w:rPr>
        <w:t>Cancer Treatment Reviews,</w:t>
      </w:r>
      <w:r w:rsidRPr="00552D1B">
        <w:rPr>
          <w:rFonts w:ascii="Times New Roman" w:hAnsi="Times New Roman" w:cs="Times New Roman"/>
          <w:sz w:val="24"/>
          <w:szCs w:val="24"/>
        </w:rPr>
        <w:t xml:space="preserve"> 40(6), pp. 739-749.</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Gerber, H.-P. and Ferrara, N. (2005) 'Pharmacology and pharmacodynamics of bevacizumab as monotherapy or in combination with cytotoxic therapy in preclinical studies', </w:t>
      </w:r>
      <w:r w:rsidRPr="00552D1B">
        <w:rPr>
          <w:rFonts w:ascii="Times New Roman" w:hAnsi="Times New Roman" w:cs="Times New Roman"/>
          <w:i/>
          <w:sz w:val="24"/>
          <w:szCs w:val="24"/>
        </w:rPr>
        <w:t>Cancer research,</w:t>
      </w:r>
      <w:r w:rsidRPr="00552D1B">
        <w:rPr>
          <w:rFonts w:ascii="Times New Roman" w:hAnsi="Times New Roman" w:cs="Times New Roman"/>
          <w:sz w:val="24"/>
          <w:szCs w:val="24"/>
        </w:rPr>
        <w:t xml:space="preserve"> 65(3), pp. 671-680.</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Gershenson, D. M. (1994) 'Management of early ovarian cancer: germ cell and sex cord-stromal tumors', </w:t>
      </w:r>
      <w:r w:rsidRPr="00552D1B">
        <w:rPr>
          <w:rFonts w:ascii="Times New Roman" w:hAnsi="Times New Roman" w:cs="Times New Roman"/>
          <w:i/>
          <w:sz w:val="24"/>
          <w:szCs w:val="24"/>
        </w:rPr>
        <w:t>Gynecologic oncology,</w:t>
      </w:r>
      <w:r w:rsidRPr="00552D1B">
        <w:rPr>
          <w:rFonts w:ascii="Times New Roman" w:hAnsi="Times New Roman" w:cs="Times New Roman"/>
          <w:sz w:val="24"/>
          <w:szCs w:val="24"/>
        </w:rPr>
        <w:t xml:space="preserve"> 55(3), pp. S562-S572.</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Geyer, C. E., Forster, J., Lindquist, D., Chan, S., Romieu, C. G., Pienkowski, T., Jagiello-Gruszfeld, A., Crown, J., Chan, A. and Kaufman, B. (2006) '</w:t>
      </w:r>
      <w:r w:rsidR="0074410B">
        <w:rPr>
          <w:rFonts w:ascii="Times New Roman" w:hAnsi="Times New Roman" w:cs="Times New Roman"/>
          <w:sz w:val="24"/>
          <w:szCs w:val="24"/>
        </w:rPr>
        <w:t>Lapatinib</w:t>
      </w:r>
      <w:r w:rsidRPr="00552D1B">
        <w:rPr>
          <w:rFonts w:ascii="Times New Roman" w:hAnsi="Times New Roman" w:cs="Times New Roman"/>
          <w:sz w:val="24"/>
          <w:szCs w:val="24"/>
        </w:rPr>
        <w:t xml:space="preserve">atinib plus capecitabine for HER2-positive advanced breast cancer', </w:t>
      </w:r>
      <w:r w:rsidRPr="00552D1B">
        <w:rPr>
          <w:rFonts w:ascii="Times New Roman" w:hAnsi="Times New Roman" w:cs="Times New Roman"/>
          <w:i/>
          <w:sz w:val="24"/>
          <w:szCs w:val="24"/>
        </w:rPr>
        <w:t>New England Journal of Medicine,</w:t>
      </w:r>
      <w:r w:rsidRPr="00552D1B">
        <w:rPr>
          <w:rFonts w:ascii="Times New Roman" w:hAnsi="Times New Roman" w:cs="Times New Roman"/>
          <w:sz w:val="24"/>
          <w:szCs w:val="24"/>
        </w:rPr>
        <w:t xml:space="preserve"> 355(26), pp. 2733-2743.</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Gharwan, H. and Groninger, H. (2016) 'Kinase inhibitors and monoclonal antibodies in oncology: clinical implications', </w:t>
      </w:r>
      <w:r w:rsidRPr="00552D1B">
        <w:rPr>
          <w:rFonts w:ascii="Times New Roman" w:hAnsi="Times New Roman" w:cs="Times New Roman"/>
          <w:i/>
          <w:sz w:val="24"/>
          <w:szCs w:val="24"/>
        </w:rPr>
        <w:t>Nat Rev Clin Oncol,</w:t>
      </w:r>
      <w:r w:rsidRPr="00552D1B">
        <w:rPr>
          <w:rFonts w:ascii="Times New Roman" w:hAnsi="Times New Roman" w:cs="Times New Roman"/>
          <w:sz w:val="24"/>
          <w:szCs w:val="24"/>
        </w:rPr>
        <w:t xml:space="preserve"> 13(4), pp. 209-227.</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Giannakakou, P., Sackett, D. L., Kang, Y.-K., Zhan, Z., Buters, J. T. M., Fojo, T. and Poruchynsky, M. S. (1997) 'Paclitaxel-resistant human ovarian cancer cells have mutant β-tubulins that exhibit impaired paclitaxel-driven polymerization', </w:t>
      </w:r>
      <w:r w:rsidRPr="00552D1B">
        <w:rPr>
          <w:rFonts w:ascii="Times New Roman" w:hAnsi="Times New Roman" w:cs="Times New Roman"/>
          <w:i/>
          <w:sz w:val="24"/>
          <w:szCs w:val="24"/>
        </w:rPr>
        <w:t>Journal of Biological Chemistry,</w:t>
      </w:r>
      <w:r w:rsidRPr="00552D1B">
        <w:rPr>
          <w:rFonts w:ascii="Times New Roman" w:hAnsi="Times New Roman" w:cs="Times New Roman"/>
          <w:sz w:val="24"/>
          <w:szCs w:val="24"/>
        </w:rPr>
        <w:t xml:space="preserve"> 272(27), pp. 17118-17125.</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Giantonio, B. J., Catalano, P. J., Meropol, N. J., O'Dwyer, P. J., Mitchell, E. P., Alberts, S. R., Schwartz, M. A. and Benson Iii, A. B. (2007) 'Bevacizumab in combination with oxaliplatin, fluorouracil, and leucovorin (FOLFOX4) for previously treated metastatic colorectal cancer: results from the Eastern Cooperative Oncology Group Study E3200', </w:t>
      </w:r>
      <w:r w:rsidRPr="00552D1B">
        <w:rPr>
          <w:rFonts w:ascii="Times New Roman" w:hAnsi="Times New Roman" w:cs="Times New Roman"/>
          <w:i/>
          <w:sz w:val="24"/>
          <w:szCs w:val="24"/>
        </w:rPr>
        <w:t>Journal of Clinical Oncology,</w:t>
      </w:r>
      <w:r w:rsidRPr="00552D1B">
        <w:rPr>
          <w:rFonts w:ascii="Times New Roman" w:hAnsi="Times New Roman" w:cs="Times New Roman"/>
          <w:sz w:val="24"/>
          <w:szCs w:val="24"/>
        </w:rPr>
        <w:t xml:space="preserve"> 25(12), pp. 1539-1544.</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Gilmour, L. M. R., Macleod, K. G., McCaig, A., Gullick, W. J., Smyth, J. F. and Langdon, S. P. (2001) 'Expression of erbB-4/HER-4 growth factor receptor isoforms in ovarian cancer', </w:t>
      </w:r>
      <w:r w:rsidRPr="00552D1B">
        <w:rPr>
          <w:rFonts w:ascii="Times New Roman" w:hAnsi="Times New Roman" w:cs="Times New Roman"/>
          <w:i/>
          <w:sz w:val="24"/>
          <w:szCs w:val="24"/>
        </w:rPr>
        <w:t>Cancer research,</w:t>
      </w:r>
      <w:r w:rsidRPr="00552D1B">
        <w:rPr>
          <w:rFonts w:ascii="Times New Roman" w:hAnsi="Times New Roman" w:cs="Times New Roman"/>
          <w:sz w:val="24"/>
          <w:szCs w:val="24"/>
        </w:rPr>
        <w:t xml:space="preserve"> 61(5), pp. 2169-2176.</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Gilmour, L. M. R., Macleod, K. G., McCaig, A., Sewell, J. M., Gullick, W. J., Smyth, J. F. and Langdon, S. P. (2002) 'Neuregulin Expression, Function, and Signaling in Human Ovarian Cancer Cells', </w:t>
      </w:r>
      <w:r w:rsidRPr="00552D1B">
        <w:rPr>
          <w:rFonts w:ascii="Times New Roman" w:hAnsi="Times New Roman" w:cs="Times New Roman"/>
          <w:i/>
          <w:sz w:val="24"/>
          <w:szCs w:val="24"/>
        </w:rPr>
        <w:t>Clinical Cancer Research,</w:t>
      </w:r>
      <w:r w:rsidRPr="00552D1B">
        <w:rPr>
          <w:rFonts w:ascii="Times New Roman" w:hAnsi="Times New Roman" w:cs="Times New Roman"/>
          <w:sz w:val="24"/>
          <w:szCs w:val="24"/>
        </w:rPr>
        <w:t xml:space="preserve"> 8(12), pp. 3933.</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Goldstein, Leonard D., Lee, J., Gnad, F., Klijn, C., Schaub, A., Reeder, J., Daemen, A., Bakalarski, Corey E., Holcomb, T., Shames, David S., Hartmaier, Ryan J., Chmielecki, J., Seshagiri, S., Gentleman, R. and Stokoe, D. (2016) 'Recurrent Loss of NFE2L2 Exon 2 Is a Mechanism for Nrf2 Pathway Activation in Human Cancers', </w:t>
      </w:r>
      <w:r w:rsidRPr="00552D1B">
        <w:rPr>
          <w:rFonts w:ascii="Times New Roman" w:hAnsi="Times New Roman" w:cs="Times New Roman"/>
          <w:i/>
          <w:sz w:val="24"/>
          <w:szCs w:val="24"/>
        </w:rPr>
        <w:t>Cell Reports,</w:t>
      </w:r>
      <w:r w:rsidRPr="00552D1B">
        <w:rPr>
          <w:rFonts w:ascii="Times New Roman" w:hAnsi="Times New Roman" w:cs="Times New Roman"/>
          <w:sz w:val="24"/>
          <w:szCs w:val="24"/>
        </w:rPr>
        <w:t xml:space="preserve"> 16(10), pp. 2605-2617.</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lastRenderedPageBreak/>
        <w:t xml:space="preserve">Goltsov, A., Deeni, Y., Khalil, H. S., Soininen, T., Kyriakidis, S., Hu, H., Langdon, S. P., Harrison, D. J. and Bown, J. (2014a) 'Systems analysis of drug-induced receptor tyrosine kinase reprogramming following targeted mono- and combination anti-cancer therapy', </w:t>
      </w:r>
      <w:r w:rsidRPr="00552D1B">
        <w:rPr>
          <w:rFonts w:ascii="Times New Roman" w:hAnsi="Times New Roman" w:cs="Times New Roman"/>
          <w:i/>
          <w:sz w:val="24"/>
          <w:szCs w:val="24"/>
        </w:rPr>
        <w:t>Cells,</w:t>
      </w:r>
      <w:r w:rsidRPr="00552D1B">
        <w:rPr>
          <w:rFonts w:ascii="Times New Roman" w:hAnsi="Times New Roman" w:cs="Times New Roman"/>
          <w:sz w:val="24"/>
          <w:szCs w:val="24"/>
        </w:rPr>
        <w:t xml:space="preserve"> 3(2), pp. 563-91.</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Gomperts, B. D., Kramer, I. M. and Tatham, P. E. R. (2009) 'Chapter 12 - Signalling Pathways Operated by Receptor Protein Tyrosine Kinases', in Tatham, B.D.G.M.K.E.R. (ed.) </w:t>
      </w:r>
      <w:r w:rsidRPr="00552D1B">
        <w:rPr>
          <w:rFonts w:ascii="Times New Roman" w:hAnsi="Times New Roman" w:cs="Times New Roman"/>
          <w:i/>
          <w:sz w:val="24"/>
          <w:szCs w:val="24"/>
        </w:rPr>
        <w:t>Signal Transduction (Second Edition)</w:t>
      </w:r>
      <w:r w:rsidRPr="00552D1B">
        <w:rPr>
          <w:rFonts w:ascii="Times New Roman" w:hAnsi="Times New Roman" w:cs="Times New Roman"/>
          <w:sz w:val="24"/>
          <w:szCs w:val="24"/>
        </w:rPr>
        <w:t>. San Diego: Academic Press, pp. 315-374.</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Gonzales, C. B., De La Chapa, J. J., Saikumar, P., Singha, P. K., Dybdal-Hargreaves, N. F., Chavez, J., Horning, A. M., Parra, J. and Kirma, N. B. (2016) 'Co-targeting ALK and EGFR parallel signaling in oral squamous cell carcinoma', </w:t>
      </w:r>
      <w:r w:rsidRPr="00552D1B">
        <w:rPr>
          <w:rFonts w:ascii="Times New Roman" w:hAnsi="Times New Roman" w:cs="Times New Roman"/>
          <w:i/>
          <w:sz w:val="24"/>
          <w:szCs w:val="24"/>
        </w:rPr>
        <w:t>Oral Oncology,</w:t>
      </w:r>
      <w:r w:rsidRPr="00552D1B">
        <w:rPr>
          <w:rFonts w:ascii="Times New Roman" w:hAnsi="Times New Roman" w:cs="Times New Roman"/>
          <w:sz w:val="24"/>
          <w:szCs w:val="24"/>
        </w:rPr>
        <w:t xml:space="preserve"> 59, pp. 12-19.</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Gordon, A. N., Finkler, N., Edwards, R. P., Garcia, A. A., Crozier, M., Irwin, D. H. and Barrett, E. (2005) 'Efficacy and safety of </w:t>
      </w:r>
      <w:r w:rsidR="0074410B">
        <w:rPr>
          <w:rFonts w:ascii="Times New Roman" w:hAnsi="Times New Roman" w:cs="Times New Roman"/>
          <w:sz w:val="24"/>
          <w:szCs w:val="24"/>
        </w:rPr>
        <w:t>erlotinib</w:t>
      </w:r>
      <w:r w:rsidRPr="00552D1B">
        <w:rPr>
          <w:rFonts w:ascii="Times New Roman" w:hAnsi="Times New Roman" w:cs="Times New Roman"/>
          <w:sz w:val="24"/>
          <w:szCs w:val="24"/>
        </w:rPr>
        <w:t xml:space="preserve">otinib HCl, an epidermal growth factor receptor (HER1/EGFR) tyrosine kinase inhibitor, in patients with advanced ovarian carcinoma: results from a phase II multicenter study', </w:t>
      </w:r>
      <w:r w:rsidRPr="00552D1B">
        <w:rPr>
          <w:rFonts w:ascii="Times New Roman" w:hAnsi="Times New Roman" w:cs="Times New Roman"/>
          <w:i/>
          <w:sz w:val="24"/>
          <w:szCs w:val="24"/>
        </w:rPr>
        <w:t>International Journal of Gynecological Cancer,</w:t>
      </w:r>
      <w:r w:rsidRPr="00552D1B">
        <w:rPr>
          <w:rFonts w:ascii="Times New Roman" w:hAnsi="Times New Roman" w:cs="Times New Roman"/>
          <w:sz w:val="24"/>
          <w:szCs w:val="24"/>
        </w:rPr>
        <w:t xml:space="preserve"> 15(5), pp. 785-792.</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Gordon, M. S., Matei, D., Aghajanian, C., Matulonis, U. A., Brewer, M., Fleming, G. F., Hainsworth, J. D., Garcia, A. A., Pegram, M. D. and Schilder, R. J. (2006) 'Clinical activity of pertuzumab (rhuMAb 2C4), a HER dimerization inhibitor, in advanced ovarian cancer: potential predictive relationship with tumor HER2 activation status', </w:t>
      </w:r>
      <w:r w:rsidRPr="00552D1B">
        <w:rPr>
          <w:rFonts w:ascii="Times New Roman" w:hAnsi="Times New Roman" w:cs="Times New Roman"/>
          <w:i/>
          <w:sz w:val="24"/>
          <w:szCs w:val="24"/>
        </w:rPr>
        <w:t>Journal of Clinical Oncology,</w:t>
      </w:r>
      <w:r w:rsidRPr="00552D1B">
        <w:rPr>
          <w:rFonts w:ascii="Times New Roman" w:hAnsi="Times New Roman" w:cs="Times New Roman"/>
          <w:sz w:val="24"/>
          <w:szCs w:val="24"/>
        </w:rPr>
        <w:t xml:space="preserve"> 24(26), pp. 4324-4332.</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Gorrini, C., Harris, I. S. and Mak, T. W. (2013) 'Modulation of oxidative stress as an anticancer strategy', </w:t>
      </w:r>
      <w:r w:rsidRPr="00552D1B">
        <w:rPr>
          <w:rFonts w:ascii="Times New Roman" w:hAnsi="Times New Roman" w:cs="Times New Roman"/>
          <w:i/>
          <w:sz w:val="24"/>
          <w:szCs w:val="24"/>
        </w:rPr>
        <w:t>Nature reviews Drug discovery,</w:t>
      </w:r>
      <w:r w:rsidRPr="00552D1B">
        <w:rPr>
          <w:rFonts w:ascii="Times New Roman" w:hAnsi="Times New Roman" w:cs="Times New Roman"/>
          <w:sz w:val="24"/>
          <w:szCs w:val="24"/>
        </w:rPr>
        <w:t xml:space="preserve"> 12(12), pp. 931-947.</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Grossman, R. and Ram, Z. (2013) 'The Dark Side of Nrf2', </w:t>
      </w:r>
      <w:r w:rsidRPr="00552D1B">
        <w:rPr>
          <w:rFonts w:ascii="Times New Roman" w:hAnsi="Times New Roman" w:cs="Times New Roman"/>
          <w:i/>
          <w:sz w:val="24"/>
          <w:szCs w:val="24"/>
        </w:rPr>
        <w:t>World Neurosurgery,</w:t>
      </w:r>
      <w:r w:rsidRPr="00552D1B">
        <w:rPr>
          <w:rFonts w:ascii="Times New Roman" w:hAnsi="Times New Roman" w:cs="Times New Roman"/>
          <w:sz w:val="24"/>
          <w:szCs w:val="24"/>
        </w:rPr>
        <w:t xml:space="preserve"> 80(3–4), pp. 284-286.</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Gschwind, A., Fischer, O. M. and Ullrich, A. (2004) 'The discovery of receptor tyrosine kinases: targets for cancer therapy', </w:t>
      </w:r>
      <w:r w:rsidRPr="00552D1B">
        <w:rPr>
          <w:rFonts w:ascii="Times New Roman" w:hAnsi="Times New Roman" w:cs="Times New Roman"/>
          <w:i/>
          <w:sz w:val="24"/>
          <w:szCs w:val="24"/>
        </w:rPr>
        <w:t>Nature Reviews Cancer,</w:t>
      </w:r>
      <w:r w:rsidRPr="00552D1B">
        <w:rPr>
          <w:rFonts w:ascii="Times New Roman" w:hAnsi="Times New Roman" w:cs="Times New Roman"/>
          <w:sz w:val="24"/>
          <w:szCs w:val="24"/>
        </w:rPr>
        <w:t xml:space="preserve"> 4(5), pp. 361-370.</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Gui, T. and Shen, K. (2012) 'The epidermal growth factor receptor as a therapeutic target in epithelial ovarian cancer', </w:t>
      </w:r>
      <w:r w:rsidRPr="00552D1B">
        <w:rPr>
          <w:rFonts w:ascii="Times New Roman" w:hAnsi="Times New Roman" w:cs="Times New Roman"/>
          <w:i/>
          <w:sz w:val="24"/>
          <w:szCs w:val="24"/>
        </w:rPr>
        <w:t>Cancer Epidemiology,</w:t>
      </w:r>
      <w:r w:rsidRPr="00552D1B">
        <w:rPr>
          <w:rFonts w:ascii="Times New Roman" w:hAnsi="Times New Roman" w:cs="Times New Roman"/>
          <w:sz w:val="24"/>
          <w:szCs w:val="24"/>
        </w:rPr>
        <w:t xml:space="preserve"> 36(5), pp. 490-496.</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Harrington, E. A., Bebbington, D., Moore, J., Rasmussen, R. K., Ajose-Adeogun, A. O., Nakayama, T., Graham, J. A., Demur, C., Hercend, T. and Diu-Hercend, A. (2004) 'VX-680, a potent and selective small-molecule inhibitor of the Aurora kinases, suppresses tumor growth in vivo', </w:t>
      </w:r>
      <w:r w:rsidRPr="00552D1B">
        <w:rPr>
          <w:rFonts w:ascii="Times New Roman" w:hAnsi="Times New Roman" w:cs="Times New Roman"/>
          <w:i/>
          <w:sz w:val="24"/>
          <w:szCs w:val="24"/>
        </w:rPr>
        <w:t>Nature medicine,</w:t>
      </w:r>
      <w:r w:rsidRPr="00552D1B">
        <w:rPr>
          <w:rFonts w:ascii="Times New Roman" w:hAnsi="Times New Roman" w:cs="Times New Roman"/>
          <w:sz w:val="24"/>
          <w:szCs w:val="24"/>
        </w:rPr>
        <w:t xml:space="preserve"> 10(3), pp. 262-267.</w:t>
      </w:r>
    </w:p>
    <w:p w:rsidR="00552D1B" w:rsidRPr="00552D1B" w:rsidRDefault="00552D1B" w:rsidP="002E5C21">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Harrison, M. L., Hoskins, P., Du Bois, A., Quinn, M., Rustin, G. J. S., Ledermann, J. A., Baron-Hay, S. and Friedlander, M. L. (2006) 'Small cell of the ovary, hypercalcemic type—analysis of combined experience and recommendation for management. A GCIG </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Hayes, A. J., Skouras, C., Haugk, B. and Charnley, R. M. (2015) 'Keap1–Nrf2 signalling in pancreatic cancer', </w:t>
      </w:r>
      <w:r w:rsidRPr="00552D1B">
        <w:rPr>
          <w:rFonts w:ascii="Times New Roman" w:hAnsi="Times New Roman" w:cs="Times New Roman"/>
          <w:i/>
          <w:sz w:val="24"/>
          <w:szCs w:val="24"/>
        </w:rPr>
        <w:t>The International Journal of Biochemistry &amp; Cell Biology,</w:t>
      </w:r>
      <w:r w:rsidRPr="00552D1B">
        <w:rPr>
          <w:rFonts w:ascii="Times New Roman" w:hAnsi="Times New Roman" w:cs="Times New Roman"/>
          <w:sz w:val="24"/>
          <w:szCs w:val="24"/>
        </w:rPr>
        <w:t xml:space="preserve"> 65, pp. 288-299.</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Hayes, J. D. (2000) 'The Nrf2 transcription factor contributes both to the basal expression of glutathione S-transferases in mouse liver and to their induction by the chemopreventive synthetic antioxidants, butylated hydroxyanisole and ethoxyquin', </w:t>
      </w:r>
      <w:r w:rsidRPr="00552D1B">
        <w:rPr>
          <w:rFonts w:ascii="Times New Roman" w:hAnsi="Times New Roman" w:cs="Times New Roman"/>
          <w:i/>
          <w:sz w:val="24"/>
          <w:szCs w:val="24"/>
        </w:rPr>
        <w:t>Biochem. Soc. Trans.,</w:t>
      </w:r>
      <w:r w:rsidRPr="00552D1B">
        <w:rPr>
          <w:rFonts w:ascii="Times New Roman" w:hAnsi="Times New Roman" w:cs="Times New Roman"/>
          <w:sz w:val="24"/>
          <w:szCs w:val="24"/>
        </w:rPr>
        <w:t xml:space="preserve"> 28, pp. 33-41.</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Hayes, John D. and Ashford, Michael L. J. (2012) 'Nrf2 Orchestrates Fuel Partitioning for Cell Proliferation', </w:t>
      </w:r>
      <w:r w:rsidRPr="00552D1B">
        <w:rPr>
          <w:rFonts w:ascii="Times New Roman" w:hAnsi="Times New Roman" w:cs="Times New Roman"/>
          <w:i/>
          <w:sz w:val="24"/>
          <w:szCs w:val="24"/>
        </w:rPr>
        <w:t>Cell Metabolism,</w:t>
      </w:r>
      <w:r w:rsidRPr="00552D1B">
        <w:rPr>
          <w:rFonts w:ascii="Times New Roman" w:hAnsi="Times New Roman" w:cs="Times New Roman"/>
          <w:sz w:val="24"/>
          <w:szCs w:val="24"/>
        </w:rPr>
        <w:t xml:space="preserve"> 16(2), pp. 139-141.</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Hayes, J. D. and Dinkova-Kostova, A. T. (2014) 'The Nrf2 regulatory network provides an interface between redox and intermediary metabolism', </w:t>
      </w:r>
      <w:r w:rsidRPr="00552D1B">
        <w:rPr>
          <w:rFonts w:ascii="Times New Roman" w:hAnsi="Times New Roman" w:cs="Times New Roman"/>
          <w:i/>
          <w:sz w:val="24"/>
          <w:szCs w:val="24"/>
        </w:rPr>
        <w:t>Trends in Biochemical Sciences,</w:t>
      </w:r>
      <w:r w:rsidRPr="00552D1B">
        <w:rPr>
          <w:rFonts w:ascii="Times New Roman" w:hAnsi="Times New Roman" w:cs="Times New Roman"/>
          <w:sz w:val="24"/>
          <w:szCs w:val="24"/>
        </w:rPr>
        <w:t xml:space="preserve"> 39(4), pp. 199-218.</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Hayes, J. D., Ebisine, K., Sharma, R. S., Chowdhry, S., Dinkova-Kostova, A. T. and Suth</w:t>
      </w:r>
      <w:r w:rsidR="0074410B">
        <w:rPr>
          <w:rFonts w:ascii="Times New Roman" w:hAnsi="Times New Roman" w:cs="Times New Roman"/>
          <w:sz w:val="24"/>
          <w:szCs w:val="24"/>
        </w:rPr>
        <w:t>erlotinib</w:t>
      </w:r>
      <w:r w:rsidRPr="00552D1B">
        <w:rPr>
          <w:rFonts w:ascii="Times New Roman" w:hAnsi="Times New Roman" w:cs="Times New Roman"/>
          <w:sz w:val="24"/>
          <w:szCs w:val="24"/>
        </w:rPr>
        <w:t xml:space="preserve">and, C. (2016) 'Regulation of the CNC-bZIP transcription factor Nrf2 by Keap1 and the axis between GSK-3 and β-TrCP', </w:t>
      </w:r>
      <w:r w:rsidRPr="00552D1B">
        <w:rPr>
          <w:rFonts w:ascii="Times New Roman" w:hAnsi="Times New Roman" w:cs="Times New Roman"/>
          <w:i/>
          <w:sz w:val="24"/>
          <w:szCs w:val="24"/>
        </w:rPr>
        <w:t>Current Opinion in Toxicology,</w:t>
      </w:r>
      <w:r w:rsidRPr="00552D1B">
        <w:rPr>
          <w:rFonts w:ascii="Times New Roman" w:hAnsi="Times New Roman" w:cs="Times New Roman"/>
          <w:sz w:val="24"/>
          <w:szCs w:val="24"/>
        </w:rPr>
        <w:t xml:space="preserve"> 1, pp. 92-103.</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lastRenderedPageBreak/>
        <w:t xml:space="preserve">Hayes, J. D. and McMahon, M. (2009) 'NRF2 and KEAP1 mutations: permanent activation of an adaptive response in cancer', </w:t>
      </w:r>
      <w:r w:rsidRPr="00552D1B">
        <w:rPr>
          <w:rFonts w:ascii="Times New Roman" w:hAnsi="Times New Roman" w:cs="Times New Roman"/>
          <w:i/>
          <w:sz w:val="24"/>
          <w:szCs w:val="24"/>
        </w:rPr>
        <w:t>Trends in Biochemical Sciences,</w:t>
      </w:r>
      <w:r w:rsidRPr="00552D1B">
        <w:rPr>
          <w:rFonts w:ascii="Times New Roman" w:hAnsi="Times New Roman" w:cs="Times New Roman"/>
          <w:sz w:val="24"/>
          <w:szCs w:val="24"/>
        </w:rPr>
        <w:t xml:space="preserve"> 34(4), pp. 176-188.</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Hayes, J. D., McMahon, M., Chowdhry, S. and Dinkova-Kostova, A. T. (2010) 'Cancer chemoprevention mechanisms mediated through the Keap1–Nrf2 pathway', </w:t>
      </w:r>
      <w:r w:rsidRPr="00552D1B">
        <w:rPr>
          <w:rFonts w:ascii="Times New Roman" w:hAnsi="Times New Roman" w:cs="Times New Roman"/>
          <w:i/>
          <w:sz w:val="24"/>
          <w:szCs w:val="24"/>
        </w:rPr>
        <w:t>Antioxid. Redox Signal.,</w:t>
      </w:r>
      <w:r w:rsidRPr="00552D1B">
        <w:rPr>
          <w:rFonts w:ascii="Times New Roman" w:hAnsi="Times New Roman" w:cs="Times New Roman"/>
          <w:sz w:val="24"/>
          <w:szCs w:val="24"/>
        </w:rPr>
        <w:t xml:space="preserve"> 13, pp. 1713-1748.</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He, J., Xu, Q., Jing, Y., Agani, F., Qian, X., Carpenter, R., Li, Q., Wang, X. R., Peiper, S. S. and Lu, Z. (2012) 'Reactive oxygen species regulate ERBB2 and ERBB3 expression via miR‐199a/125b and DNA methylation', </w:t>
      </w:r>
      <w:r w:rsidRPr="00552D1B">
        <w:rPr>
          <w:rFonts w:ascii="Times New Roman" w:hAnsi="Times New Roman" w:cs="Times New Roman"/>
          <w:i/>
          <w:sz w:val="24"/>
          <w:szCs w:val="24"/>
        </w:rPr>
        <w:t>EMBO reports,</w:t>
      </w:r>
      <w:r w:rsidRPr="00552D1B">
        <w:rPr>
          <w:rFonts w:ascii="Times New Roman" w:hAnsi="Times New Roman" w:cs="Times New Roman"/>
          <w:sz w:val="24"/>
          <w:szCs w:val="24"/>
        </w:rPr>
        <w:t xml:space="preserve"> 13(12), pp. 1116-1122.</w:t>
      </w:r>
    </w:p>
    <w:p w:rsidR="00552D1B" w:rsidRPr="00552D1B" w:rsidRDefault="00552D1B" w:rsidP="003B4663">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Heller, M. J. (2002) 'DNA microarray technology: devices, systems, and applications', </w:t>
      </w:r>
      <w:r w:rsidRPr="00552D1B">
        <w:rPr>
          <w:rFonts w:ascii="Times New Roman" w:hAnsi="Times New Roman" w:cs="Times New Roman"/>
          <w:i/>
          <w:sz w:val="24"/>
          <w:szCs w:val="24"/>
        </w:rPr>
        <w:t>Annual review of biomedical engineering,</w:t>
      </w:r>
      <w:r w:rsidR="003B4663">
        <w:rPr>
          <w:rFonts w:ascii="Times New Roman" w:hAnsi="Times New Roman" w:cs="Times New Roman"/>
          <w:sz w:val="24"/>
          <w:szCs w:val="24"/>
        </w:rPr>
        <w:t xml:space="preserve"> 4(1), pp. 129-153.</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Horikawa, I., Cable, P. L., Afshari, C. and Barrett, J. C. (1999) 'Cloning and characterization of the promoter region of human telomerase reverse transcriptase gene', </w:t>
      </w:r>
      <w:r w:rsidRPr="00552D1B">
        <w:rPr>
          <w:rFonts w:ascii="Times New Roman" w:hAnsi="Times New Roman" w:cs="Times New Roman"/>
          <w:i/>
          <w:sz w:val="24"/>
          <w:szCs w:val="24"/>
        </w:rPr>
        <w:t>Cancer research,</w:t>
      </w:r>
      <w:r w:rsidRPr="00552D1B">
        <w:rPr>
          <w:rFonts w:ascii="Times New Roman" w:hAnsi="Times New Roman" w:cs="Times New Roman"/>
          <w:sz w:val="24"/>
          <w:szCs w:val="24"/>
        </w:rPr>
        <w:t xml:space="preserve"> 59(4), pp. 826-830.</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Hurwitz, H., Fehrenbacher, L., Novotny, W., Cartwright, T., Hainsworth, J., Heim, W., B</w:t>
      </w:r>
      <w:r w:rsidR="0074410B">
        <w:rPr>
          <w:rFonts w:ascii="Times New Roman" w:hAnsi="Times New Roman" w:cs="Times New Roman"/>
          <w:sz w:val="24"/>
          <w:szCs w:val="24"/>
        </w:rPr>
        <w:t>erlotinib</w:t>
      </w:r>
      <w:r w:rsidRPr="00552D1B">
        <w:rPr>
          <w:rFonts w:ascii="Times New Roman" w:hAnsi="Times New Roman" w:cs="Times New Roman"/>
          <w:sz w:val="24"/>
          <w:szCs w:val="24"/>
        </w:rPr>
        <w:t xml:space="preserve">in, J., Baron, A., Griffing, S. and Holmgren, E. (2004) 'Bevacizumab plus irinotecan, fluorouracil, and leucovorin for metastatic colorectal cancer', </w:t>
      </w:r>
      <w:r w:rsidRPr="00552D1B">
        <w:rPr>
          <w:rFonts w:ascii="Times New Roman" w:hAnsi="Times New Roman" w:cs="Times New Roman"/>
          <w:i/>
          <w:sz w:val="24"/>
          <w:szCs w:val="24"/>
        </w:rPr>
        <w:t>New England journal of medicine,</w:t>
      </w:r>
      <w:r w:rsidRPr="00552D1B">
        <w:rPr>
          <w:rFonts w:ascii="Times New Roman" w:hAnsi="Times New Roman" w:cs="Times New Roman"/>
          <w:sz w:val="24"/>
          <w:szCs w:val="24"/>
        </w:rPr>
        <w:t xml:space="preserve"> 350(23), pp. 2335-2342.</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Hynes, N. E. and Lane, H. A. (2005) 'ERBB receptors and cancer: the complexity of targeted inhibitors', </w:t>
      </w:r>
      <w:r w:rsidRPr="00552D1B">
        <w:rPr>
          <w:rFonts w:ascii="Times New Roman" w:hAnsi="Times New Roman" w:cs="Times New Roman"/>
          <w:i/>
          <w:sz w:val="24"/>
          <w:szCs w:val="24"/>
        </w:rPr>
        <w:t>Nature Reviews Cancer,</w:t>
      </w:r>
      <w:r w:rsidRPr="00552D1B">
        <w:rPr>
          <w:rFonts w:ascii="Times New Roman" w:hAnsi="Times New Roman" w:cs="Times New Roman"/>
          <w:sz w:val="24"/>
          <w:szCs w:val="24"/>
        </w:rPr>
        <w:t xml:space="preserve"> 5(5), pp. 341-354.</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Igarashi, K., Hoshino, H., Muto, A., Suwabe, N., Nishikawa, S., Nakauchi, H. and Yamamoto, M. (1998) 'Multivalent DNA binding complex generated by small Maf and Bach1 as a possible biochemical basis for β-globin locus control region complex', </w:t>
      </w:r>
      <w:r w:rsidRPr="00552D1B">
        <w:rPr>
          <w:rFonts w:ascii="Times New Roman" w:hAnsi="Times New Roman" w:cs="Times New Roman"/>
          <w:i/>
          <w:sz w:val="24"/>
          <w:szCs w:val="24"/>
        </w:rPr>
        <w:t>Journal of Biological Chemistry,</w:t>
      </w:r>
      <w:r w:rsidRPr="00552D1B">
        <w:rPr>
          <w:rFonts w:ascii="Times New Roman" w:hAnsi="Times New Roman" w:cs="Times New Roman"/>
          <w:sz w:val="24"/>
          <w:szCs w:val="24"/>
        </w:rPr>
        <w:t xml:space="preserve"> 273(19), pp. 11783-11790.</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Igarashi, K., Kataokat, K., Itoh, K., Hayashi, N., Nishizawa, M. and Yamamoto, M. (1994) 'Regulation of transcription by dimerization of erythroid factor NF-E2 p45 with small Maf proteins', </w:t>
      </w:r>
      <w:r w:rsidRPr="00552D1B">
        <w:rPr>
          <w:rFonts w:ascii="Times New Roman" w:hAnsi="Times New Roman" w:cs="Times New Roman"/>
          <w:i/>
          <w:sz w:val="24"/>
          <w:szCs w:val="24"/>
        </w:rPr>
        <w:t>Nature,</w:t>
      </w:r>
      <w:r w:rsidRPr="00552D1B">
        <w:rPr>
          <w:rFonts w:ascii="Times New Roman" w:hAnsi="Times New Roman" w:cs="Times New Roman"/>
          <w:sz w:val="24"/>
          <w:szCs w:val="24"/>
        </w:rPr>
        <w:t xml:space="preserve"> 367(6463), pp. 568-572.</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Iida, K. (2004) 'Nrf2 is essential for the chemopreventive efficacy of oltipraz against urinary bladder carcinogenesis', </w:t>
      </w:r>
      <w:r w:rsidRPr="00552D1B">
        <w:rPr>
          <w:rFonts w:ascii="Times New Roman" w:hAnsi="Times New Roman" w:cs="Times New Roman"/>
          <w:i/>
          <w:sz w:val="24"/>
          <w:szCs w:val="24"/>
        </w:rPr>
        <w:t>Cancer Res.,</w:t>
      </w:r>
      <w:r w:rsidRPr="00552D1B">
        <w:rPr>
          <w:rFonts w:ascii="Times New Roman" w:hAnsi="Times New Roman" w:cs="Times New Roman"/>
          <w:sz w:val="24"/>
          <w:szCs w:val="24"/>
        </w:rPr>
        <w:t xml:space="preserve"> 64, pp. 6424-6431.</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Ilkhani, H., Sarparast, M., Noori, A., Zahra Bathaie, S. and Mousavi, M. F. (2015) 'Electrochemical aptamer/antibody based sandwich immunosensor for the detection of EGFR, a cancer biomarker, using gold nanoparticles as a signaling probe', </w:t>
      </w:r>
      <w:r w:rsidRPr="00552D1B">
        <w:rPr>
          <w:rFonts w:ascii="Times New Roman" w:hAnsi="Times New Roman" w:cs="Times New Roman"/>
          <w:i/>
          <w:sz w:val="24"/>
          <w:szCs w:val="24"/>
        </w:rPr>
        <w:t>Biosensors and Bioelectronics,</w:t>
      </w:r>
      <w:r w:rsidRPr="00552D1B">
        <w:rPr>
          <w:rFonts w:ascii="Times New Roman" w:hAnsi="Times New Roman" w:cs="Times New Roman"/>
          <w:sz w:val="24"/>
          <w:szCs w:val="24"/>
        </w:rPr>
        <w:t xml:space="preserve"> 74, pp. 491-497.</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Imai, K. and Takaoka, A. (2006) 'Comparing antibody and small-molecule therapies for cancer', </w:t>
      </w:r>
      <w:r w:rsidRPr="00552D1B">
        <w:rPr>
          <w:rFonts w:ascii="Times New Roman" w:hAnsi="Times New Roman" w:cs="Times New Roman"/>
          <w:i/>
          <w:sz w:val="24"/>
          <w:szCs w:val="24"/>
        </w:rPr>
        <w:t>Nature Reviews Cancer,</w:t>
      </w:r>
      <w:r w:rsidRPr="00552D1B">
        <w:rPr>
          <w:rFonts w:ascii="Times New Roman" w:hAnsi="Times New Roman" w:cs="Times New Roman"/>
          <w:sz w:val="24"/>
          <w:szCs w:val="24"/>
        </w:rPr>
        <w:t xml:space="preserve"> 6(9), pp. 714-727.</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Imhoff, B. R. and Hansen, J. M. (2010) 'Tert-butylhydroquinone induces mitochondrial oxidative stress causing Nrf2 activation', </w:t>
      </w:r>
      <w:r w:rsidRPr="00552D1B">
        <w:rPr>
          <w:rFonts w:ascii="Times New Roman" w:hAnsi="Times New Roman" w:cs="Times New Roman"/>
          <w:i/>
          <w:sz w:val="24"/>
          <w:szCs w:val="24"/>
        </w:rPr>
        <w:t>Cell biology and toxicology,</w:t>
      </w:r>
      <w:r w:rsidRPr="00552D1B">
        <w:rPr>
          <w:rFonts w:ascii="Times New Roman" w:hAnsi="Times New Roman" w:cs="Times New Roman"/>
          <w:sz w:val="24"/>
          <w:szCs w:val="24"/>
        </w:rPr>
        <w:t xml:space="preserve"> 26(6), pp. 541-551.</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Itoh, K. (1997) 'An Nrf2/small Maf heterodimer mediates the induction of Phase II detoxifying enzyme genes through antioxidant response elements', </w:t>
      </w:r>
      <w:r w:rsidRPr="00552D1B">
        <w:rPr>
          <w:rFonts w:ascii="Times New Roman" w:hAnsi="Times New Roman" w:cs="Times New Roman"/>
          <w:i/>
          <w:sz w:val="24"/>
          <w:szCs w:val="24"/>
        </w:rPr>
        <w:t>Biochem. Biophys. Res. Commun.,</w:t>
      </w:r>
      <w:r w:rsidRPr="00552D1B">
        <w:rPr>
          <w:rFonts w:ascii="Times New Roman" w:hAnsi="Times New Roman" w:cs="Times New Roman"/>
          <w:sz w:val="24"/>
          <w:szCs w:val="24"/>
        </w:rPr>
        <w:t xml:space="preserve"> 236, pp. 313-322.</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Itoh, K., Igarashi, K., Hayashi, N., Nishizawa, M. and Yamamoto, M. (1995) 'Cloning and characterization of a novel erythroid cell-derived CNC family transcription factor heterodimerizing with the small Maf family proteins', </w:t>
      </w:r>
      <w:r w:rsidRPr="00552D1B">
        <w:rPr>
          <w:rFonts w:ascii="Times New Roman" w:hAnsi="Times New Roman" w:cs="Times New Roman"/>
          <w:i/>
          <w:sz w:val="24"/>
          <w:szCs w:val="24"/>
        </w:rPr>
        <w:t>Molecular and Cellular Biology,</w:t>
      </w:r>
      <w:r w:rsidRPr="00552D1B">
        <w:rPr>
          <w:rFonts w:ascii="Times New Roman" w:hAnsi="Times New Roman" w:cs="Times New Roman"/>
          <w:sz w:val="24"/>
          <w:szCs w:val="24"/>
        </w:rPr>
        <w:t xml:space="preserve"> 15(8), pp. 4184-4193.</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Ivey, J. W., Bonakdar, M., Kanitkar, A., Davalos, R. V. and Verbridge, S. S. (2016) 'Improving cancer therapies by targeting the physical and chemical hallmarks of the tumor microenvironment', </w:t>
      </w:r>
      <w:r w:rsidRPr="00552D1B">
        <w:rPr>
          <w:rFonts w:ascii="Times New Roman" w:hAnsi="Times New Roman" w:cs="Times New Roman"/>
          <w:i/>
          <w:sz w:val="24"/>
          <w:szCs w:val="24"/>
        </w:rPr>
        <w:t>Cancer letters,</w:t>
      </w:r>
      <w:r w:rsidRPr="00552D1B">
        <w:rPr>
          <w:rFonts w:ascii="Times New Roman" w:hAnsi="Times New Roman" w:cs="Times New Roman"/>
          <w:sz w:val="24"/>
          <w:szCs w:val="24"/>
        </w:rPr>
        <w:t xml:space="preserve"> 380(1), pp. 330-339.</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Jacobs, I. J., Menon, U., Ryan, A., Gentry-Maharaj, A., Burnell, M., Kalsi, J. K., Amso, N. N., Apostolidou, S., Benjamin, E., Cruickshank, D., Crump, D. N., Davies, S. K., Dawnay, A., Dobbs, S., Fletcher, G., Ford, J., Godfrey, K., Gunu, R., Habib, M., Hallett, R., Herod, J., Jenkins, H., Karpinskyj, C., Leeson, S., Lewis, S. J., Liston, W. R., Lopes, A., Mould, T., Murdoch, J., Oram, D., Rabideau, D. J., Reynolds, K., Scott, I., Seif, M. </w:t>
      </w:r>
      <w:r w:rsidRPr="00552D1B">
        <w:rPr>
          <w:rFonts w:ascii="Times New Roman" w:hAnsi="Times New Roman" w:cs="Times New Roman"/>
          <w:sz w:val="24"/>
          <w:szCs w:val="24"/>
        </w:rPr>
        <w:lastRenderedPageBreak/>
        <w:t xml:space="preserve">W., Sharma, A., Singh, N., Taylor, J., Warburton, F., Widschwendter, M., Williamson, K., Woolas, R., Fallowfield, L., McGuire, A. J., Campbell, S., Parmar, M. and Skates, S. J. (2016) 'Ovarian cancer screening and mortality in the UK Collaborative Trial of Ovarian Cancer Screening (UKCTOCS): a randomised controlled trial', </w:t>
      </w:r>
      <w:r w:rsidRPr="00552D1B">
        <w:rPr>
          <w:rFonts w:ascii="Times New Roman" w:hAnsi="Times New Roman" w:cs="Times New Roman"/>
          <w:i/>
          <w:sz w:val="24"/>
          <w:szCs w:val="24"/>
        </w:rPr>
        <w:t>The Lancet,</w:t>
      </w:r>
      <w:r w:rsidRPr="00552D1B">
        <w:rPr>
          <w:rFonts w:ascii="Times New Roman" w:hAnsi="Times New Roman" w:cs="Times New Roman"/>
          <w:sz w:val="24"/>
          <w:szCs w:val="24"/>
        </w:rPr>
        <w:t xml:space="preserve"> 387(10022), pp. 945-956.</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Jayakumar, S., Pal, D. and Sandur, S. K. (2015) 'Nrf2 facilitates repair of radiation induced DNA damage through homologous recombination repair pathway in a ROS independent manner in cancer cells', </w:t>
      </w:r>
      <w:r w:rsidRPr="00552D1B">
        <w:rPr>
          <w:rFonts w:ascii="Times New Roman" w:hAnsi="Times New Roman" w:cs="Times New Roman"/>
          <w:i/>
          <w:sz w:val="24"/>
          <w:szCs w:val="24"/>
        </w:rPr>
        <w:t>Mutation Research/Fundamental and Molecular Mechanisms of Mutagenesis,</w:t>
      </w:r>
      <w:r w:rsidRPr="00552D1B">
        <w:rPr>
          <w:rFonts w:ascii="Times New Roman" w:hAnsi="Times New Roman" w:cs="Times New Roman"/>
          <w:sz w:val="24"/>
          <w:szCs w:val="24"/>
        </w:rPr>
        <w:t xml:space="preserve"> 779, pp. 33-45.</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Jeong, K. J., Cho, K. H., Panupinthu, N., Kim, H., Kang, J., Park, C. G., Mills, G. B. and Lee, H. Y. (2013) 'EGFR mediates LPA-induced proteolytic enzyme expression and ovarian cancer invasion: Inhibition by resveratrol', </w:t>
      </w:r>
      <w:r w:rsidRPr="00552D1B">
        <w:rPr>
          <w:rFonts w:ascii="Times New Roman" w:hAnsi="Times New Roman" w:cs="Times New Roman"/>
          <w:i/>
          <w:sz w:val="24"/>
          <w:szCs w:val="24"/>
        </w:rPr>
        <w:t>Molecular Oncology,</w:t>
      </w:r>
      <w:r w:rsidRPr="00552D1B">
        <w:rPr>
          <w:rFonts w:ascii="Times New Roman" w:hAnsi="Times New Roman" w:cs="Times New Roman"/>
          <w:sz w:val="24"/>
          <w:szCs w:val="24"/>
        </w:rPr>
        <w:t xml:space="preserve"> 7(1), pp. 121-129.</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Jia, J., Zhu, F., Ma, X., Cao, Z. W., Li, Y. X. and Chen, Y. Z. (2009) 'Mechanisms of drug combinations: interaction and network perspectives', </w:t>
      </w:r>
      <w:r w:rsidRPr="00552D1B">
        <w:rPr>
          <w:rFonts w:ascii="Times New Roman" w:hAnsi="Times New Roman" w:cs="Times New Roman"/>
          <w:i/>
          <w:sz w:val="24"/>
          <w:szCs w:val="24"/>
        </w:rPr>
        <w:t>Nature reviews. Drug discovery,</w:t>
      </w:r>
      <w:r w:rsidRPr="00552D1B">
        <w:rPr>
          <w:rFonts w:ascii="Times New Roman" w:hAnsi="Times New Roman" w:cs="Times New Roman"/>
          <w:sz w:val="24"/>
          <w:szCs w:val="24"/>
        </w:rPr>
        <w:t xml:space="preserve"> 8(2), pp. 111.</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Jiang, T. (2010) 'High levels of Nrf2 determine chemoresistance in type II endometrial cancer', </w:t>
      </w:r>
      <w:r w:rsidRPr="00552D1B">
        <w:rPr>
          <w:rFonts w:ascii="Times New Roman" w:hAnsi="Times New Roman" w:cs="Times New Roman"/>
          <w:i/>
          <w:sz w:val="24"/>
          <w:szCs w:val="24"/>
        </w:rPr>
        <w:t>Cancer Res.,</w:t>
      </w:r>
      <w:r w:rsidRPr="00552D1B">
        <w:rPr>
          <w:rFonts w:ascii="Times New Roman" w:hAnsi="Times New Roman" w:cs="Times New Roman"/>
          <w:sz w:val="24"/>
          <w:szCs w:val="24"/>
        </w:rPr>
        <w:t xml:space="preserve"> 70, pp. 5486-5496.</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Johnson, A. C. (1996) 'Activation of epidermal growth factor receptor gene transcription by phorbol 12-myristate 13-acetate is mediated by activator protein 2', </w:t>
      </w:r>
      <w:r w:rsidRPr="00552D1B">
        <w:rPr>
          <w:rFonts w:ascii="Times New Roman" w:hAnsi="Times New Roman" w:cs="Times New Roman"/>
          <w:i/>
          <w:sz w:val="24"/>
          <w:szCs w:val="24"/>
        </w:rPr>
        <w:t>Journal of Biological Chemistry,</w:t>
      </w:r>
      <w:r w:rsidRPr="00552D1B">
        <w:rPr>
          <w:rFonts w:ascii="Times New Roman" w:hAnsi="Times New Roman" w:cs="Times New Roman"/>
          <w:sz w:val="24"/>
          <w:szCs w:val="24"/>
        </w:rPr>
        <w:t xml:space="preserve"> 271(6), pp. 3033-3038.</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Johnston, S. R. and Leary, A. (2006) '</w:t>
      </w:r>
      <w:r w:rsidR="0074410B">
        <w:rPr>
          <w:rFonts w:ascii="Times New Roman" w:hAnsi="Times New Roman" w:cs="Times New Roman"/>
          <w:sz w:val="24"/>
          <w:szCs w:val="24"/>
        </w:rPr>
        <w:t>Lapatinib</w:t>
      </w:r>
      <w:r w:rsidRPr="00552D1B">
        <w:rPr>
          <w:rFonts w:ascii="Times New Roman" w:hAnsi="Times New Roman" w:cs="Times New Roman"/>
          <w:sz w:val="24"/>
          <w:szCs w:val="24"/>
        </w:rPr>
        <w:t xml:space="preserve">atinib: a novel EGFR/HER2 tyrosine kinase inhibitor for cancer', </w:t>
      </w:r>
      <w:r w:rsidRPr="00552D1B">
        <w:rPr>
          <w:rFonts w:ascii="Times New Roman" w:hAnsi="Times New Roman" w:cs="Times New Roman"/>
          <w:i/>
          <w:sz w:val="24"/>
          <w:szCs w:val="24"/>
        </w:rPr>
        <w:t>Drugs Today (Barc),</w:t>
      </w:r>
      <w:r w:rsidRPr="00552D1B">
        <w:rPr>
          <w:rFonts w:ascii="Times New Roman" w:hAnsi="Times New Roman" w:cs="Times New Roman"/>
          <w:sz w:val="24"/>
          <w:szCs w:val="24"/>
        </w:rPr>
        <w:t xml:space="preserve"> 42(7), pp. 441-453.</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Jones, F. E. (2008) 'HER4 intracellular domain (4ICD) activity in the developing mammary gland and breast cancer', </w:t>
      </w:r>
      <w:r w:rsidRPr="00552D1B">
        <w:rPr>
          <w:rFonts w:ascii="Times New Roman" w:hAnsi="Times New Roman" w:cs="Times New Roman"/>
          <w:i/>
          <w:sz w:val="24"/>
          <w:szCs w:val="24"/>
        </w:rPr>
        <w:t>Journal of mammary gland biology and neoplasia,</w:t>
      </w:r>
      <w:r w:rsidRPr="00552D1B">
        <w:rPr>
          <w:rFonts w:ascii="Times New Roman" w:hAnsi="Times New Roman" w:cs="Times New Roman"/>
          <w:sz w:val="24"/>
          <w:szCs w:val="24"/>
        </w:rPr>
        <w:t xml:space="preserve"> 13(2), pp. 247-258.</w:t>
      </w:r>
    </w:p>
    <w:p w:rsidR="006E0E48" w:rsidRPr="00552D1B" w:rsidRDefault="00552D1B" w:rsidP="00853F63">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Jorissen, R. N., Walker, F., Pouliot, N., Garrett, T. P. J., Ward, C. W. and Burgess, A. W. (2003) 'Epidermal growth factor receptor: mechanisms of activation and signalling', </w:t>
      </w:r>
    </w:p>
    <w:p w:rsidR="00B139BE" w:rsidRDefault="00B139BE" w:rsidP="00552D1B">
      <w:pPr>
        <w:pStyle w:val="EndNoteBibliography"/>
        <w:spacing w:after="0"/>
        <w:ind w:left="720" w:hanging="720"/>
        <w:jc w:val="both"/>
        <w:rPr>
          <w:rFonts w:ascii="Times New Roman" w:hAnsi="Times New Roman" w:cs="Times New Roman"/>
          <w:sz w:val="24"/>
          <w:szCs w:val="24"/>
        </w:rPr>
      </w:pPr>
      <w:r w:rsidRPr="00B139BE">
        <w:rPr>
          <w:rFonts w:ascii="Times New Roman" w:hAnsi="Times New Roman" w:cs="Times New Roman"/>
          <w:sz w:val="24"/>
          <w:szCs w:val="24"/>
        </w:rPr>
        <w:t xml:space="preserve">Kankia, I. H., Khalil, H. S., Langdon, S. P., Moult, P. R., Bown, J. L., &amp; Deeni, Y. Y. (2017). NRF2 regulates HER1 signaling pathway to modulate the sensitivity of ovarian cancer cells to </w:t>
      </w:r>
      <w:r w:rsidR="0074410B">
        <w:rPr>
          <w:rFonts w:ascii="Times New Roman" w:hAnsi="Times New Roman" w:cs="Times New Roman"/>
          <w:sz w:val="24"/>
          <w:szCs w:val="24"/>
        </w:rPr>
        <w:t>lapatinib</w:t>
      </w:r>
      <w:r w:rsidRPr="00B139BE">
        <w:rPr>
          <w:rFonts w:ascii="Times New Roman" w:hAnsi="Times New Roman" w:cs="Times New Roman"/>
          <w:sz w:val="24"/>
          <w:szCs w:val="24"/>
        </w:rPr>
        <w:t xml:space="preserve">atinib and </w:t>
      </w:r>
      <w:r w:rsidR="0074410B">
        <w:rPr>
          <w:rFonts w:ascii="Times New Roman" w:hAnsi="Times New Roman" w:cs="Times New Roman"/>
          <w:sz w:val="24"/>
          <w:szCs w:val="24"/>
        </w:rPr>
        <w:t>erlotinib</w:t>
      </w:r>
      <w:r w:rsidRPr="00B139BE">
        <w:rPr>
          <w:rFonts w:ascii="Times New Roman" w:hAnsi="Times New Roman" w:cs="Times New Roman"/>
          <w:sz w:val="24"/>
          <w:szCs w:val="24"/>
        </w:rPr>
        <w:t>otinib. Oxidative Medicine and Cellular Longevity, 2017(1), 1864578.</w:t>
      </w:r>
    </w:p>
    <w:p w:rsidR="001A3E38" w:rsidRPr="00552D1B" w:rsidRDefault="001A3E38" w:rsidP="00552D1B">
      <w:pPr>
        <w:pStyle w:val="EndNoteBibliography"/>
        <w:spacing w:after="0"/>
        <w:ind w:left="720" w:hanging="720"/>
        <w:jc w:val="both"/>
        <w:rPr>
          <w:rFonts w:ascii="Times New Roman" w:hAnsi="Times New Roman" w:cs="Times New Roman"/>
          <w:sz w:val="24"/>
          <w:szCs w:val="24"/>
        </w:rPr>
      </w:pPr>
      <w:r w:rsidRPr="001A3E38">
        <w:rPr>
          <w:rFonts w:ascii="Times New Roman" w:hAnsi="Times New Roman" w:cs="Times New Roman"/>
          <w:sz w:val="24"/>
          <w:szCs w:val="24"/>
        </w:rPr>
        <w:t>Kankia, I. H., Paramasivan, P., Elcombe, M., Langdon, S. P., &amp; Deeni, Y. Y. (2021). Nuclear factor erythroid 2-related factor 2 modulates HER4 receptor in ovarian cancer cells to influence their sensitivity to tyrosine kinase inhibitors. Exploration of targeted anti-tumor therapy, 2(2), 187.</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Kensler, T. W. and Wakabayashi, N. (2010) 'Nrf2: friend or foe for chemoprevention?', </w:t>
      </w:r>
      <w:r w:rsidRPr="00552D1B">
        <w:rPr>
          <w:rFonts w:ascii="Times New Roman" w:hAnsi="Times New Roman" w:cs="Times New Roman"/>
          <w:i/>
          <w:sz w:val="24"/>
          <w:szCs w:val="24"/>
        </w:rPr>
        <w:t>Carcinogenesis,</w:t>
      </w:r>
      <w:r w:rsidRPr="00552D1B">
        <w:rPr>
          <w:rFonts w:ascii="Times New Roman" w:hAnsi="Times New Roman" w:cs="Times New Roman"/>
          <w:sz w:val="24"/>
          <w:szCs w:val="24"/>
        </w:rPr>
        <w:t xml:space="preserve"> 31, pp. 90-99.</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Khalil, H. and Deeni, Y. (2015) 'NRF2 inhibition causes repression of ATM and ATR expression leading to aberrant DNA Damage Response', </w:t>
      </w:r>
      <w:r w:rsidRPr="00552D1B">
        <w:rPr>
          <w:rFonts w:ascii="Times New Roman" w:hAnsi="Times New Roman" w:cs="Times New Roman"/>
          <w:i/>
          <w:sz w:val="24"/>
          <w:szCs w:val="24"/>
        </w:rPr>
        <w:t>BioDiscovery,</w:t>
      </w:r>
      <w:r w:rsidRPr="00552D1B">
        <w:rPr>
          <w:rFonts w:ascii="Times New Roman" w:hAnsi="Times New Roman" w:cs="Times New Roman"/>
          <w:sz w:val="24"/>
          <w:szCs w:val="24"/>
        </w:rPr>
        <w:t xml:space="preserve"> 1.</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Khalil, H. S. (2012) 'Identification and characterization of novel autoregulatory mechanism controlling ataxia telangiectasia mutated gene expression, protein traffiking and function'.</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Khalil, H. S., Goltsov, A., Langdon, S. P., Harrison, D. J., Bown, J. and Deeni, Y. (2015) 'Quantitative analysis of NRF2 pathway reveals key elements of the regulatory circuits und</w:t>
      </w:r>
      <w:r w:rsidR="0074410B">
        <w:rPr>
          <w:rFonts w:ascii="Times New Roman" w:hAnsi="Times New Roman" w:cs="Times New Roman"/>
          <w:sz w:val="24"/>
          <w:szCs w:val="24"/>
        </w:rPr>
        <w:t>erlotinib</w:t>
      </w:r>
      <w:r w:rsidRPr="00552D1B">
        <w:rPr>
          <w:rFonts w:ascii="Times New Roman" w:hAnsi="Times New Roman" w:cs="Times New Roman"/>
          <w:sz w:val="24"/>
          <w:szCs w:val="24"/>
        </w:rPr>
        <w:t xml:space="preserve">ying antioxidant response and proliferation of ovarian cancer cells', </w:t>
      </w:r>
      <w:r w:rsidRPr="00552D1B">
        <w:rPr>
          <w:rFonts w:ascii="Times New Roman" w:hAnsi="Times New Roman" w:cs="Times New Roman"/>
          <w:i/>
          <w:sz w:val="24"/>
          <w:szCs w:val="24"/>
        </w:rPr>
        <w:t>Journal of Biotechnology,</w:t>
      </w:r>
      <w:r w:rsidRPr="00552D1B">
        <w:rPr>
          <w:rFonts w:ascii="Times New Roman" w:hAnsi="Times New Roman" w:cs="Times New Roman"/>
          <w:sz w:val="24"/>
          <w:szCs w:val="24"/>
        </w:rPr>
        <w:t xml:space="preserve"> 202, pp. 12-30.</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Khalil, H. S., Langdon, S. P., Goltsov, A., Soininen, T., Harrison, D. J., Bown, J. and Deeni, Y. Y. (2016a) 'A novel mechanism of action of HER2 targeted immunotherapy is explained by inhibition of NRF2 function in ovarian cancer cells', </w:t>
      </w:r>
      <w:r w:rsidRPr="00552D1B">
        <w:rPr>
          <w:rFonts w:ascii="Times New Roman" w:hAnsi="Times New Roman" w:cs="Times New Roman"/>
          <w:i/>
          <w:sz w:val="24"/>
          <w:szCs w:val="24"/>
        </w:rPr>
        <w:t>Oncotarget</w:t>
      </w:r>
      <w:r w:rsidRPr="00552D1B">
        <w:rPr>
          <w:rFonts w:ascii="Times New Roman" w:hAnsi="Times New Roman" w:cs="Times New Roman"/>
          <w:sz w:val="24"/>
          <w:szCs w:val="24"/>
        </w:rPr>
        <w:t>.</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Khalil, H. S., Langdon, S. P., Kankia, I. H., Bown, J. and Deeni, Y. Y. (2016b) 'NRF2 Regulates HER2 and HER3 Signaling Pathway to Modulate Sensitivity to Targeted Immunotherapies', </w:t>
      </w:r>
      <w:r w:rsidRPr="00552D1B">
        <w:rPr>
          <w:rFonts w:ascii="Times New Roman" w:hAnsi="Times New Roman" w:cs="Times New Roman"/>
          <w:i/>
          <w:sz w:val="24"/>
          <w:szCs w:val="24"/>
        </w:rPr>
        <w:t>Oxidative Medicine and Cellular Longevity</w:t>
      </w:r>
      <w:r w:rsidRPr="00552D1B">
        <w:rPr>
          <w:rFonts w:ascii="Times New Roman" w:hAnsi="Times New Roman" w:cs="Times New Roman"/>
          <w:sz w:val="24"/>
          <w:szCs w:val="24"/>
        </w:rPr>
        <w:t>, pp. 22.</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lastRenderedPageBreak/>
        <w:t xml:space="preserve">Kim, Y. S., Lee, H. L., Lee, K. B., Park, J. H., Chung, W. Y., Lee, K. S., Sheen, S. S., Park, K. J. and Hwang, S. C. (2011) 'Nuclear factor E2-related factor 2 dependent overexpression of sulfiredoxin and peroxiredoxin III in human lung cancer', </w:t>
      </w:r>
      <w:r w:rsidRPr="00552D1B">
        <w:rPr>
          <w:rFonts w:ascii="Times New Roman" w:hAnsi="Times New Roman" w:cs="Times New Roman"/>
          <w:i/>
          <w:sz w:val="24"/>
          <w:szCs w:val="24"/>
        </w:rPr>
        <w:t>The Korean journal of internal medicine,</w:t>
      </w:r>
      <w:r w:rsidRPr="00552D1B">
        <w:rPr>
          <w:rFonts w:ascii="Times New Roman" w:hAnsi="Times New Roman" w:cs="Times New Roman"/>
          <w:sz w:val="24"/>
          <w:szCs w:val="24"/>
        </w:rPr>
        <w:t xml:space="preserve"> 26(3), pp. 304-313.</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Kimball, K. J., Numnum, T. M., Kirby, T. O., Zamboni, W. C., Estes, J. M., Barnes, M. N., Matei, D. E., Koch, K. M. and Alvarez, R. D. (2008) 'A phase I study of </w:t>
      </w:r>
      <w:r w:rsidR="0074410B">
        <w:rPr>
          <w:rFonts w:ascii="Times New Roman" w:hAnsi="Times New Roman" w:cs="Times New Roman"/>
          <w:sz w:val="24"/>
          <w:szCs w:val="24"/>
        </w:rPr>
        <w:t>lapatinib</w:t>
      </w:r>
      <w:r w:rsidRPr="00552D1B">
        <w:rPr>
          <w:rFonts w:ascii="Times New Roman" w:hAnsi="Times New Roman" w:cs="Times New Roman"/>
          <w:sz w:val="24"/>
          <w:szCs w:val="24"/>
        </w:rPr>
        <w:t xml:space="preserve">atinib in combination with carboplatin in women with platinum sensitive recurrent ovarian carcinoma', </w:t>
      </w:r>
      <w:r w:rsidRPr="00552D1B">
        <w:rPr>
          <w:rFonts w:ascii="Times New Roman" w:hAnsi="Times New Roman" w:cs="Times New Roman"/>
          <w:i/>
          <w:sz w:val="24"/>
          <w:szCs w:val="24"/>
        </w:rPr>
        <w:t>Gynecologic oncology,</w:t>
      </w:r>
      <w:r w:rsidRPr="00552D1B">
        <w:rPr>
          <w:rFonts w:ascii="Times New Roman" w:hAnsi="Times New Roman" w:cs="Times New Roman"/>
          <w:sz w:val="24"/>
          <w:szCs w:val="24"/>
        </w:rPr>
        <w:t xml:space="preserve"> 111(1), pp. 95-101.</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Kitadai, Y., Yasui, W., Yokozaki, H., Kuniyasu, H., Haruma, K., Kajiyama, G. and Tahara, E. (1992) 'The level of a transcription factor Sp1 is correlated with the expression of EGF receptor in human gastric carcinomas', </w:t>
      </w:r>
      <w:r w:rsidRPr="00552D1B">
        <w:rPr>
          <w:rFonts w:ascii="Times New Roman" w:hAnsi="Times New Roman" w:cs="Times New Roman"/>
          <w:i/>
          <w:sz w:val="24"/>
          <w:szCs w:val="24"/>
        </w:rPr>
        <w:t>Biochemical and biophysical research communications,</w:t>
      </w:r>
      <w:r w:rsidRPr="00552D1B">
        <w:rPr>
          <w:rFonts w:ascii="Times New Roman" w:hAnsi="Times New Roman" w:cs="Times New Roman"/>
          <w:sz w:val="24"/>
          <w:szCs w:val="24"/>
        </w:rPr>
        <w:t xml:space="preserve"> 189(3), pp. 1342-1348.</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Kobayashi, A., Ito, E., Toki, T., Kogame, K., Takahashi, S., Igarashi, K., Hayashi, N. and Yamamoto, M. (1999) 'Molecular cloning and functional characterization of a new Cap’n’collar family transcription factor Nrf3', </w:t>
      </w:r>
      <w:r w:rsidRPr="00552D1B">
        <w:rPr>
          <w:rFonts w:ascii="Times New Roman" w:hAnsi="Times New Roman" w:cs="Times New Roman"/>
          <w:i/>
          <w:sz w:val="24"/>
          <w:szCs w:val="24"/>
        </w:rPr>
        <w:t>Journal of Biological Chemistry,</w:t>
      </w:r>
      <w:r w:rsidRPr="00552D1B">
        <w:rPr>
          <w:rFonts w:ascii="Times New Roman" w:hAnsi="Times New Roman" w:cs="Times New Roman"/>
          <w:sz w:val="24"/>
          <w:szCs w:val="24"/>
        </w:rPr>
        <w:t xml:space="preserve"> 274(10), pp. 6443-6452.</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Kobayashi, M. and Yamamoto, M. (2005) 'Molecular mechanisms activating the Nrf2-Keap1 pathway of antioxidant gene regulation', </w:t>
      </w:r>
      <w:r w:rsidRPr="00552D1B">
        <w:rPr>
          <w:rFonts w:ascii="Times New Roman" w:hAnsi="Times New Roman" w:cs="Times New Roman"/>
          <w:i/>
          <w:sz w:val="24"/>
          <w:szCs w:val="24"/>
        </w:rPr>
        <w:t>Antioxidants &amp; redox signaling,</w:t>
      </w:r>
      <w:r w:rsidRPr="00552D1B">
        <w:rPr>
          <w:rFonts w:ascii="Times New Roman" w:hAnsi="Times New Roman" w:cs="Times New Roman"/>
          <w:sz w:val="24"/>
          <w:szCs w:val="24"/>
        </w:rPr>
        <w:t xml:space="preserve"> 7(3-4), pp. 385-394.</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Kobayashi, M. and Yamamoto, M. (2006) 'Nrf2–Keap1 regulation of cellular defense mechanisms against electrophiles and reactive oxygen species', </w:t>
      </w:r>
      <w:r w:rsidRPr="00552D1B">
        <w:rPr>
          <w:rFonts w:ascii="Times New Roman" w:hAnsi="Times New Roman" w:cs="Times New Roman"/>
          <w:i/>
          <w:sz w:val="24"/>
          <w:szCs w:val="24"/>
        </w:rPr>
        <w:t>Advances in Enzyme Regulation,</w:t>
      </w:r>
      <w:r w:rsidRPr="00552D1B">
        <w:rPr>
          <w:rFonts w:ascii="Times New Roman" w:hAnsi="Times New Roman" w:cs="Times New Roman"/>
          <w:sz w:val="24"/>
          <w:szCs w:val="24"/>
        </w:rPr>
        <w:t xml:space="preserve"> 46(1), pp. 113-140.</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Koustas, E., Karamouzis, M. V., Mihailidou, C., Schizas, D. and Papavassiliou, A. G. (2017) 'Co-targeting of EGFR and autophagy signaling is an emerging treatment strategy in metastatic colorectal cancer', </w:t>
      </w:r>
      <w:r w:rsidRPr="00552D1B">
        <w:rPr>
          <w:rFonts w:ascii="Times New Roman" w:hAnsi="Times New Roman" w:cs="Times New Roman"/>
          <w:i/>
          <w:sz w:val="24"/>
          <w:szCs w:val="24"/>
        </w:rPr>
        <w:t>Cancer Letters,</w:t>
      </w:r>
      <w:r w:rsidRPr="00552D1B">
        <w:rPr>
          <w:rFonts w:ascii="Times New Roman" w:hAnsi="Times New Roman" w:cs="Times New Roman"/>
          <w:sz w:val="24"/>
          <w:szCs w:val="24"/>
        </w:rPr>
        <w:t xml:space="preserve"> 396, pp. 94-102.</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Kovac, S., Angelova, P. R., Holmström, K. M., Zhang, Y., Dinkova-Kostova, A. T. and Abramov, A. Y. (2015) 'Nrf2 regulates ROS production by mitochondria and NADPH oxidase', </w:t>
      </w:r>
      <w:r w:rsidRPr="00552D1B">
        <w:rPr>
          <w:rFonts w:ascii="Times New Roman" w:hAnsi="Times New Roman" w:cs="Times New Roman"/>
          <w:i/>
          <w:sz w:val="24"/>
          <w:szCs w:val="24"/>
        </w:rPr>
        <w:t>Biochimica et Biophysica Acta (BBA) - General Subjects,</w:t>
      </w:r>
      <w:r w:rsidRPr="00552D1B">
        <w:rPr>
          <w:rFonts w:ascii="Times New Roman" w:hAnsi="Times New Roman" w:cs="Times New Roman"/>
          <w:sz w:val="24"/>
          <w:szCs w:val="24"/>
        </w:rPr>
        <w:t xml:space="preserve"> 1850(4), pp. 794-801.</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Krähn, G., Leiter, U., Kaskel, P., Udart, M., Utikal, J., Bezold, G. and Peter, R. U. (2001) 'Coexpression patterns of EGFR, HER2, HER3 and HER4 in non-melanoma skin cancer', </w:t>
      </w:r>
      <w:r w:rsidRPr="00552D1B">
        <w:rPr>
          <w:rFonts w:ascii="Times New Roman" w:hAnsi="Times New Roman" w:cs="Times New Roman"/>
          <w:i/>
          <w:sz w:val="24"/>
          <w:szCs w:val="24"/>
        </w:rPr>
        <w:t>European Journal of Cancer,</w:t>
      </w:r>
      <w:r w:rsidRPr="00552D1B">
        <w:rPr>
          <w:rFonts w:ascii="Times New Roman" w:hAnsi="Times New Roman" w:cs="Times New Roman"/>
          <w:sz w:val="24"/>
          <w:szCs w:val="24"/>
        </w:rPr>
        <w:t xml:space="preserve"> 37(2), pp. 251-259.</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Kweon, M.-H., Adhami, V. M., Lee, J.-S. and Mukhtar, H. (2006) 'Constitutive overexpression of Nrf2-dependent heme oxygenase-1 in A549 cells contributes to resistance to apoptosis induced by epigallocatechin 3-gallate', </w:t>
      </w:r>
      <w:r w:rsidRPr="00552D1B">
        <w:rPr>
          <w:rFonts w:ascii="Times New Roman" w:hAnsi="Times New Roman" w:cs="Times New Roman"/>
          <w:i/>
          <w:sz w:val="24"/>
          <w:szCs w:val="24"/>
        </w:rPr>
        <w:t>Journal of Biological Chemistry,</w:t>
      </w:r>
      <w:r w:rsidRPr="00552D1B">
        <w:rPr>
          <w:rFonts w:ascii="Times New Roman" w:hAnsi="Times New Roman" w:cs="Times New Roman"/>
          <w:sz w:val="24"/>
          <w:szCs w:val="24"/>
        </w:rPr>
        <w:t xml:space="preserve"> 281(44), pp. 33761-33772.</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Labi, V. and </w:t>
      </w:r>
      <w:r w:rsidR="0074410B">
        <w:rPr>
          <w:rFonts w:ascii="Times New Roman" w:hAnsi="Times New Roman" w:cs="Times New Roman"/>
          <w:sz w:val="24"/>
          <w:szCs w:val="24"/>
        </w:rPr>
        <w:t>Erlotinib</w:t>
      </w:r>
      <w:r w:rsidRPr="00552D1B">
        <w:rPr>
          <w:rFonts w:ascii="Times New Roman" w:hAnsi="Times New Roman" w:cs="Times New Roman"/>
          <w:sz w:val="24"/>
          <w:szCs w:val="24"/>
        </w:rPr>
        <w:t xml:space="preserve">acher, M. (2015) 'How cell death shapes cancer', </w:t>
      </w:r>
      <w:r w:rsidRPr="00552D1B">
        <w:rPr>
          <w:rFonts w:ascii="Times New Roman" w:hAnsi="Times New Roman" w:cs="Times New Roman"/>
          <w:i/>
          <w:sz w:val="24"/>
          <w:szCs w:val="24"/>
        </w:rPr>
        <w:t>Cell death &amp; disease,</w:t>
      </w:r>
      <w:r w:rsidRPr="00552D1B">
        <w:rPr>
          <w:rFonts w:ascii="Times New Roman" w:hAnsi="Times New Roman" w:cs="Times New Roman"/>
          <w:sz w:val="24"/>
          <w:szCs w:val="24"/>
        </w:rPr>
        <w:t xml:space="preserve"> 6(3), pp. e1675.</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Langdon, S. and Cameron, D. (2013) 'Pertuzumab for the treatment of metastatic breast cancer', </w:t>
      </w:r>
      <w:r w:rsidRPr="00552D1B">
        <w:rPr>
          <w:rFonts w:ascii="Times New Roman" w:hAnsi="Times New Roman" w:cs="Times New Roman"/>
          <w:i/>
          <w:sz w:val="24"/>
          <w:szCs w:val="24"/>
        </w:rPr>
        <w:t>Expert Review of Anticancer Therapy,</w:t>
      </w:r>
      <w:r w:rsidRPr="00552D1B">
        <w:rPr>
          <w:rFonts w:ascii="Times New Roman" w:hAnsi="Times New Roman" w:cs="Times New Roman"/>
          <w:sz w:val="24"/>
          <w:szCs w:val="24"/>
        </w:rPr>
        <w:t xml:space="preserve"> 13(8), pp. 907-918.</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Langdon, S. P., Faratian, D., Nagumo, Y., Mullen, P. and Harrison, D. J. (2010) 'Pertuzumab for the treatment of ovarian cancer', </w:t>
      </w:r>
      <w:r w:rsidRPr="00552D1B">
        <w:rPr>
          <w:rFonts w:ascii="Times New Roman" w:hAnsi="Times New Roman" w:cs="Times New Roman"/>
          <w:i/>
          <w:sz w:val="24"/>
          <w:szCs w:val="24"/>
        </w:rPr>
        <w:t>Expert Opinion on Biological Therapy,</w:t>
      </w:r>
      <w:r w:rsidRPr="00552D1B">
        <w:rPr>
          <w:rFonts w:ascii="Times New Roman" w:hAnsi="Times New Roman" w:cs="Times New Roman"/>
          <w:sz w:val="24"/>
          <w:szCs w:val="24"/>
        </w:rPr>
        <w:t xml:space="preserve"> 10(7), pp. 1113-1120.</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Langdon, S. P., Lawrie, S. S., Hay, F. G., Hawkes, M. M., McDonald, A., Hayward, I. P., Schol, D. J., Hilgers, J., Leonard, R. C. F. and Smyth, J. F. (1988) 'Characterization and Properties of Nine Human Ovarian Adenocarcinoma Cell Lines', </w:t>
      </w:r>
      <w:r w:rsidRPr="00552D1B">
        <w:rPr>
          <w:rFonts w:ascii="Times New Roman" w:hAnsi="Times New Roman" w:cs="Times New Roman"/>
          <w:i/>
          <w:sz w:val="24"/>
          <w:szCs w:val="24"/>
        </w:rPr>
        <w:t>Cancer Research,</w:t>
      </w:r>
      <w:r w:rsidRPr="00552D1B">
        <w:rPr>
          <w:rFonts w:ascii="Times New Roman" w:hAnsi="Times New Roman" w:cs="Times New Roman"/>
          <w:sz w:val="24"/>
          <w:szCs w:val="24"/>
        </w:rPr>
        <w:t xml:space="preserve"> 48(21), pp. 6166.</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Laughner, E., Taghavi, P., Chiles, K., Mahon, P. C. and Semenza, G. L. (2001) 'HER2 (neu) signaling increases the rate of hypoxia-inducible factor 1α (HIF-1α) synthesis: novel mechanism for HIF-1-mediated vascular endothelial growth factor expression', </w:t>
      </w:r>
      <w:r w:rsidRPr="00552D1B">
        <w:rPr>
          <w:rFonts w:ascii="Times New Roman" w:hAnsi="Times New Roman" w:cs="Times New Roman"/>
          <w:i/>
          <w:sz w:val="24"/>
          <w:szCs w:val="24"/>
        </w:rPr>
        <w:t>Molecular and cellular biology,</w:t>
      </w:r>
      <w:r w:rsidRPr="00552D1B">
        <w:rPr>
          <w:rFonts w:ascii="Times New Roman" w:hAnsi="Times New Roman" w:cs="Times New Roman"/>
          <w:sz w:val="24"/>
          <w:szCs w:val="24"/>
        </w:rPr>
        <w:t xml:space="preserve"> 21(12), pp. 3995-4004.</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lastRenderedPageBreak/>
        <w:t xml:space="preserve">Ledermann, J. A. and Raja, F. A. (2010) 'Targeted trials in ovarian cancer', </w:t>
      </w:r>
      <w:r w:rsidRPr="00552D1B">
        <w:rPr>
          <w:rFonts w:ascii="Times New Roman" w:hAnsi="Times New Roman" w:cs="Times New Roman"/>
          <w:i/>
          <w:sz w:val="24"/>
          <w:szCs w:val="24"/>
        </w:rPr>
        <w:t>Gynecologic oncology,</w:t>
      </w:r>
      <w:r w:rsidRPr="00552D1B">
        <w:rPr>
          <w:rFonts w:ascii="Times New Roman" w:hAnsi="Times New Roman" w:cs="Times New Roman"/>
          <w:sz w:val="24"/>
          <w:szCs w:val="24"/>
        </w:rPr>
        <w:t xml:space="preserve"> 119(1), pp. 151-156.</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Lee, J.-S. and Surh, Y.-J. (2005) 'Nrf2 as a novel molecular target for chemoprevention', </w:t>
      </w:r>
      <w:r w:rsidRPr="00552D1B">
        <w:rPr>
          <w:rFonts w:ascii="Times New Roman" w:hAnsi="Times New Roman" w:cs="Times New Roman"/>
          <w:i/>
          <w:sz w:val="24"/>
          <w:szCs w:val="24"/>
        </w:rPr>
        <w:t>Cancer letters,</w:t>
      </w:r>
      <w:r w:rsidRPr="00552D1B">
        <w:rPr>
          <w:rFonts w:ascii="Times New Roman" w:hAnsi="Times New Roman" w:cs="Times New Roman"/>
          <w:sz w:val="24"/>
          <w:szCs w:val="24"/>
        </w:rPr>
        <w:t xml:space="preserve"> 224(2), pp. 171-184.</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Li, W., Huang, Y., Yang, B., Chi, X. H., Liu, L. H., Zhang, F., Yan, J. W. and Lu, X. C. (2010) 'Cloning of ID4 gene expression regulation promoter and subcloning of recombinant ID4 promoter luciferase reporter', </w:t>
      </w:r>
      <w:r w:rsidRPr="00552D1B">
        <w:rPr>
          <w:rFonts w:ascii="Times New Roman" w:hAnsi="Times New Roman" w:cs="Times New Roman"/>
          <w:i/>
          <w:sz w:val="24"/>
          <w:szCs w:val="24"/>
        </w:rPr>
        <w:t>Zhongguo shi yan xue ye xue za zhi,</w:t>
      </w:r>
      <w:r w:rsidRPr="00552D1B">
        <w:rPr>
          <w:rFonts w:ascii="Times New Roman" w:hAnsi="Times New Roman" w:cs="Times New Roman"/>
          <w:sz w:val="24"/>
          <w:szCs w:val="24"/>
        </w:rPr>
        <w:t xml:space="preserve"> 18(2), pp. 421-426.</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Li, W., Yu, S., Liu, T., Kim, J.-H., Blank, V., Li, H. and Kong, A. N. T. (2008a) 'Heterodimerization with small Maf proteins enhances nuclear retention of Nrf2 via masking the NESzip motif', </w:t>
      </w:r>
      <w:r w:rsidRPr="00552D1B">
        <w:rPr>
          <w:rFonts w:ascii="Times New Roman" w:hAnsi="Times New Roman" w:cs="Times New Roman"/>
          <w:i/>
          <w:sz w:val="24"/>
          <w:szCs w:val="24"/>
        </w:rPr>
        <w:t>Biochimica et Biophysica Acta (BBA) - Molecular Cell Research,</w:t>
      </w:r>
      <w:r w:rsidRPr="00552D1B">
        <w:rPr>
          <w:rFonts w:ascii="Times New Roman" w:hAnsi="Times New Roman" w:cs="Times New Roman"/>
          <w:sz w:val="24"/>
          <w:szCs w:val="24"/>
        </w:rPr>
        <w:t xml:space="preserve"> 1783(10), pp. 1847-1856.</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Li, X., Lewis, M. T., Huang, J., Gutierrez, C., Osborne, C. K., Wu, M.-F., Hilsenbeck, S. G., Pavlick, A., Zhang, X. and Chamness, G. C. (2008b) 'Intrinsic resistance of tumorigenic breast cancer cells to chemotherapy', </w:t>
      </w:r>
      <w:r w:rsidRPr="00552D1B">
        <w:rPr>
          <w:rFonts w:ascii="Times New Roman" w:hAnsi="Times New Roman" w:cs="Times New Roman"/>
          <w:i/>
          <w:sz w:val="24"/>
          <w:szCs w:val="24"/>
        </w:rPr>
        <w:t>Journal of the National Cancer Institute,</w:t>
      </w:r>
      <w:r w:rsidRPr="00552D1B">
        <w:rPr>
          <w:rFonts w:ascii="Times New Roman" w:hAnsi="Times New Roman" w:cs="Times New Roman"/>
          <w:sz w:val="24"/>
          <w:szCs w:val="24"/>
        </w:rPr>
        <w:t xml:space="preserve"> 100(9), pp. 672-679.</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Liang, J. T., Huang, K. C., Cheng, Y. M., Hsu, H. C., Cheng, A. L., Hsu, C. H., Yeh, K. H., Wang, S. M. and Chang, K. J. (2002) 'P53 overexpression predicts poor chemosensitivity to high‐dose 5‐fluorouracil plus leucovorin chemotherapy for stage IV colorectal cancers after palliative bowel resection', </w:t>
      </w:r>
      <w:r w:rsidRPr="00552D1B">
        <w:rPr>
          <w:rFonts w:ascii="Times New Roman" w:hAnsi="Times New Roman" w:cs="Times New Roman"/>
          <w:i/>
          <w:sz w:val="24"/>
          <w:szCs w:val="24"/>
        </w:rPr>
        <w:t>International journal of cancer,</w:t>
      </w:r>
      <w:r w:rsidRPr="00552D1B">
        <w:rPr>
          <w:rFonts w:ascii="Times New Roman" w:hAnsi="Times New Roman" w:cs="Times New Roman"/>
          <w:sz w:val="24"/>
          <w:szCs w:val="24"/>
        </w:rPr>
        <w:t xml:space="preserve"> 97(4), pp. 451-457.</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Lin, W.-L., Kuo, W.-H., Chen, F.-L., Lee, M.-Y., Ruan, A., Tyan, Y.-S., Hsu, J.-D., Chiang, H. and Han, C.-P. (2011) 'Identification of the coexisting HER2 gene amplification and novel mutations in the HER2 protein-overexpressed mucinous epithelial ovarian cancer', </w:t>
      </w:r>
      <w:r w:rsidRPr="00552D1B">
        <w:rPr>
          <w:rFonts w:ascii="Times New Roman" w:hAnsi="Times New Roman" w:cs="Times New Roman"/>
          <w:i/>
          <w:sz w:val="24"/>
          <w:szCs w:val="24"/>
        </w:rPr>
        <w:t>Annals of surgical oncology,</w:t>
      </w:r>
      <w:r w:rsidRPr="00552D1B">
        <w:rPr>
          <w:rFonts w:ascii="Times New Roman" w:hAnsi="Times New Roman" w:cs="Times New Roman"/>
          <w:sz w:val="24"/>
          <w:szCs w:val="24"/>
        </w:rPr>
        <w:t xml:space="preserve"> 18(8), pp. 2388-2394.</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Linggi, B. and Carpenter, G. (2006) 'ErbB receptors: new insights on mechanisms and biology', </w:t>
      </w:r>
      <w:r w:rsidRPr="00552D1B">
        <w:rPr>
          <w:rFonts w:ascii="Times New Roman" w:hAnsi="Times New Roman" w:cs="Times New Roman"/>
          <w:i/>
          <w:sz w:val="24"/>
          <w:szCs w:val="24"/>
        </w:rPr>
        <w:t>Trends in Cell Biology,</w:t>
      </w:r>
      <w:r w:rsidRPr="00552D1B">
        <w:rPr>
          <w:rFonts w:ascii="Times New Roman" w:hAnsi="Times New Roman" w:cs="Times New Roman"/>
          <w:sz w:val="24"/>
          <w:szCs w:val="24"/>
        </w:rPr>
        <w:t xml:space="preserve"> 16(12), pp. 649-656.</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Liou, G.-Y. and Storz, P. (2010) 'Reactive oxygen species in cancer', </w:t>
      </w:r>
      <w:r w:rsidRPr="00552D1B">
        <w:rPr>
          <w:rFonts w:ascii="Times New Roman" w:hAnsi="Times New Roman" w:cs="Times New Roman"/>
          <w:i/>
          <w:sz w:val="24"/>
          <w:szCs w:val="24"/>
        </w:rPr>
        <w:t>Free radical research,</w:t>
      </w:r>
      <w:r w:rsidRPr="00552D1B">
        <w:rPr>
          <w:rFonts w:ascii="Times New Roman" w:hAnsi="Times New Roman" w:cs="Times New Roman"/>
          <w:sz w:val="24"/>
          <w:szCs w:val="24"/>
        </w:rPr>
        <w:t xml:space="preserve"> 44(5), pp. 10.3109/10715761003667554.</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Lister, A., Nedjadi, T., Kitteringham, N. R., Campbell, F., Costello, E., Lloyd, B., Copple, I. M., Williams, S., Owen, A. and Neoptolemos, J. P. (2011) 'Nrf2 is overexpressed in pancreatic cancer: implications for cell proliferation and therapy', </w:t>
      </w:r>
      <w:r w:rsidRPr="00552D1B">
        <w:rPr>
          <w:rFonts w:ascii="Times New Roman" w:hAnsi="Times New Roman" w:cs="Times New Roman"/>
          <w:i/>
          <w:sz w:val="24"/>
          <w:szCs w:val="24"/>
        </w:rPr>
        <w:t>Molecular cancer,</w:t>
      </w:r>
      <w:r w:rsidRPr="00552D1B">
        <w:rPr>
          <w:rFonts w:ascii="Times New Roman" w:hAnsi="Times New Roman" w:cs="Times New Roman"/>
          <w:sz w:val="24"/>
          <w:szCs w:val="24"/>
        </w:rPr>
        <w:t xml:space="preserve"> 10(1), pp. 37.</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Liu, Y., Chen, F., Wang, S., Guo, X., Shi, P., Wang, W. and Xu, B. (2013) 'Low-dose triptolide in combination with idarubicin induces apoptosis in AML leukemic stem-like KG1a cell line by modulation of the intrinsic and extrinsic factors', </w:t>
      </w:r>
      <w:r w:rsidRPr="00552D1B">
        <w:rPr>
          <w:rFonts w:ascii="Times New Roman" w:hAnsi="Times New Roman" w:cs="Times New Roman"/>
          <w:i/>
          <w:sz w:val="24"/>
          <w:szCs w:val="24"/>
        </w:rPr>
        <w:t>Cell death &amp; disease,</w:t>
      </w:r>
      <w:r w:rsidRPr="00552D1B">
        <w:rPr>
          <w:rFonts w:ascii="Times New Roman" w:hAnsi="Times New Roman" w:cs="Times New Roman"/>
          <w:sz w:val="24"/>
          <w:szCs w:val="24"/>
        </w:rPr>
        <w:t xml:space="preserve"> 4(12), pp. e948.</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Loman, N. J., Constantinidou, C., Chan, J. Z. M., Halachev, M., Sergeant, M., Penn, C. W., Robinson, E. R. and Pallen, M. J. (2012) 'High-throughput bacterial genome sequencing: an embarrassment of choice, a world of opportunity', </w:t>
      </w:r>
      <w:r w:rsidRPr="00552D1B">
        <w:rPr>
          <w:rFonts w:ascii="Times New Roman" w:hAnsi="Times New Roman" w:cs="Times New Roman"/>
          <w:i/>
          <w:sz w:val="24"/>
          <w:szCs w:val="24"/>
        </w:rPr>
        <w:t>Nature Reviews Microbiology,</w:t>
      </w:r>
      <w:r w:rsidRPr="00552D1B">
        <w:rPr>
          <w:rFonts w:ascii="Times New Roman" w:hAnsi="Times New Roman" w:cs="Times New Roman"/>
          <w:sz w:val="24"/>
          <w:szCs w:val="24"/>
        </w:rPr>
        <w:t xml:space="preserve"> 10(9), pp. 599-606.</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Maly, J. J. and Macrae, E. R. (2014) 'Pertuzumab in Combination with Trastuzumab and Chemotherapy in the Treatment of HER2-Positive Metastatic Breast Cancer: Safety, Efficacy, and Progression Free Survival', </w:t>
      </w:r>
      <w:r w:rsidRPr="00552D1B">
        <w:rPr>
          <w:rFonts w:ascii="Times New Roman" w:hAnsi="Times New Roman" w:cs="Times New Roman"/>
          <w:i/>
          <w:sz w:val="24"/>
          <w:szCs w:val="24"/>
        </w:rPr>
        <w:t>Breast Cancer : Basic and Clinical Research,</w:t>
      </w:r>
      <w:r w:rsidRPr="00552D1B">
        <w:rPr>
          <w:rFonts w:ascii="Times New Roman" w:hAnsi="Times New Roman" w:cs="Times New Roman"/>
          <w:sz w:val="24"/>
          <w:szCs w:val="24"/>
        </w:rPr>
        <w:t xml:space="preserve"> 8, pp. 81-88.</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Manandhar, S., Choi, B.-h., Jung, K.-A., Ryoo, I.-g., Song, M., Kang, S. J., Choi, H.-G., Kim, J.-A., Park, P.-H. and Kwak, M.-K. (2012) 'NRF2 inhibition represses ErbB2 signaling in ovarian carcinoma cells: Implications for tumor growth retardation and docetaxel sensitivity', </w:t>
      </w:r>
      <w:r w:rsidRPr="00552D1B">
        <w:rPr>
          <w:rFonts w:ascii="Times New Roman" w:hAnsi="Times New Roman" w:cs="Times New Roman"/>
          <w:i/>
          <w:sz w:val="24"/>
          <w:szCs w:val="24"/>
        </w:rPr>
        <w:t>Free Radical Biology and Medicine,</w:t>
      </w:r>
      <w:r w:rsidRPr="00552D1B">
        <w:rPr>
          <w:rFonts w:ascii="Times New Roman" w:hAnsi="Times New Roman" w:cs="Times New Roman"/>
          <w:sz w:val="24"/>
          <w:szCs w:val="24"/>
        </w:rPr>
        <w:t xml:space="preserve"> 52(9), pp. 1773-1785.</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Manley, P. W., Cowan-Jacob, S. W., Buchdunger, E., Fabbro, D., Fendrich, G., Furet, P., Meyer, T. and Zimmermann, J. (2002) 'Imatinib: a selective tyrosine kinase inhibitor', </w:t>
      </w:r>
      <w:r w:rsidRPr="00552D1B">
        <w:rPr>
          <w:rFonts w:ascii="Times New Roman" w:hAnsi="Times New Roman" w:cs="Times New Roman"/>
          <w:i/>
          <w:sz w:val="24"/>
          <w:szCs w:val="24"/>
        </w:rPr>
        <w:t>European Journal of Cancer,</w:t>
      </w:r>
      <w:r w:rsidRPr="00552D1B">
        <w:rPr>
          <w:rFonts w:ascii="Times New Roman" w:hAnsi="Times New Roman" w:cs="Times New Roman"/>
          <w:sz w:val="24"/>
          <w:szCs w:val="24"/>
        </w:rPr>
        <w:t xml:space="preserve"> 38, Supplement 5(0), pp. S19-S27.</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lastRenderedPageBreak/>
        <w:t xml:space="preserve">Mansoori, B., Shotorbani, S. S. and Baradaran, B. (2014) 'RNA interference and its role in cancer therapy', </w:t>
      </w:r>
      <w:r w:rsidRPr="00552D1B">
        <w:rPr>
          <w:rFonts w:ascii="Times New Roman" w:hAnsi="Times New Roman" w:cs="Times New Roman"/>
          <w:i/>
          <w:sz w:val="24"/>
          <w:szCs w:val="24"/>
        </w:rPr>
        <w:t>Advanced pharmaceutical bulletin,</w:t>
      </w:r>
      <w:r w:rsidRPr="00552D1B">
        <w:rPr>
          <w:rFonts w:ascii="Times New Roman" w:hAnsi="Times New Roman" w:cs="Times New Roman"/>
          <w:sz w:val="24"/>
          <w:szCs w:val="24"/>
        </w:rPr>
        <w:t xml:space="preserve"> 4(4), pp. 313.</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Marmor, M. D., Skaria, K. B. and Yarden, Y. (2004) 'Signal transduction and oncogenesis by ErbB/HER receptors', </w:t>
      </w:r>
      <w:r w:rsidRPr="00552D1B">
        <w:rPr>
          <w:rFonts w:ascii="Times New Roman" w:hAnsi="Times New Roman" w:cs="Times New Roman"/>
          <w:i/>
          <w:sz w:val="24"/>
          <w:szCs w:val="24"/>
        </w:rPr>
        <w:t>International Journal of Radiation Oncology* Biology* Physics,</w:t>
      </w:r>
      <w:r w:rsidRPr="00552D1B">
        <w:rPr>
          <w:rFonts w:ascii="Times New Roman" w:hAnsi="Times New Roman" w:cs="Times New Roman"/>
          <w:sz w:val="24"/>
          <w:szCs w:val="24"/>
        </w:rPr>
        <w:t xml:space="preserve"> 58(3), pp. 903-913.</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Mass, R. D. (2004) 'The HER receptor family: a rich target for therapeutic development', </w:t>
      </w:r>
      <w:r w:rsidRPr="00552D1B">
        <w:rPr>
          <w:rFonts w:ascii="Times New Roman" w:hAnsi="Times New Roman" w:cs="Times New Roman"/>
          <w:i/>
          <w:sz w:val="24"/>
          <w:szCs w:val="24"/>
        </w:rPr>
        <w:t>International Journal of Radiation Oncology*Biology*Physics,</w:t>
      </w:r>
      <w:r w:rsidRPr="00552D1B">
        <w:rPr>
          <w:rFonts w:ascii="Times New Roman" w:hAnsi="Times New Roman" w:cs="Times New Roman"/>
          <w:sz w:val="24"/>
          <w:szCs w:val="24"/>
        </w:rPr>
        <w:t xml:space="preserve"> 58(3), pp. 932-940.</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McAlpine, J. N., Wiegand, K. C., Vang, R., Ronnett, B. M., Adamiak, A., Köbel, M., Kalloger, S. E., Swenerton, K. D., Huntsman, D. G. and Gilks, C. B. (2009) 'HER2 overexpression and amplification is present in a subset of ovarian mucinous carcinomas and can be targeted with trastuzumab therapy', </w:t>
      </w:r>
      <w:r w:rsidRPr="00552D1B">
        <w:rPr>
          <w:rFonts w:ascii="Times New Roman" w:hAnsi="Times New Roman" w:cs="Times New Roman"/>
          <w:i/>
          <w:sz w:val="24"/>
          <w:szCs w:val="24"/>
        </w:rPr>
        <w:t>BMC cancer,</w:t>
      </w:r>
      <w:r w:rsidRPr="00552D1B">
        <w:rPr>
          <w:rFonts w:ascii="Times New Roman" w:hAnsi="Times New Roman" w:cs="Times New Roman"/>
          <w:sz w:val="24"/>
          <w:szCs w:val="24"/>
        </w:rPr>
        <w:t xml:space="preserve"> 9(1), pp. 433.</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McCubrey, J. A., Abrams, S. L., Fitzgerald, T. L., Cocco, L., Martelli, A. M., Montalto, G., Cervello, M., Scalisi, A., Candido, S., Libra, M. and Steelman, L. S. (2015) 'Roles of signaling pathways in drug resistance, cancer initiating cells and cancer progression and metastasis', </w:t>
      </w:r>
      <w:r w:rsidRPr="00552D1B">
        <w:rPr>
          <w:rFonts w:ascii="Times New Roman" w:hAnsi="Times New Roman" w:cs="Times New Roman"/>
          <w:i/>
          <w:sz w:val="24"/>
          <w:szCs w:val="24"/>
        </w:rPr>
        <w:t>Advances in Biological Regulation,</w:t>
      </w:r>
      <w:r w:rsidRPr="00552D1B">
        <w:rPr>
          <w:rFonts w:ascii="Times New Roman" w:hAnsi="Times New Roman" w:cs="Times New Roman"/>
          <w:sz w:val="24"/>
          <w:szCs w:val="24"/>
        </w:rPr>
        <w:t xml:space="preserve"> 57, pp. 75-101.</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McMahon, M., Campbell, K. H., MacLeod, A. K., McLaughlin, L. A., Henderson, C. J. and Wolf, C. R. (2014) 'HDAC Inhibitors Increase NRF2-Signaling in Tumour Cells and Blunt the Efficacy of Co-Adminstered Cytotoxic Agents', </w:t>
      </w:r>
      <w:r w:rsidRPr="00552D1B">
        <w:rPr>
          <w:rFonts w:ascii="Times New Roman" w:hAnsi="Times New Roman" w:cs="Times New Roman"/>
          <w:i/>
          <w:sz w:val="24"/>
          <w:szCs w:val="24"/>
        </w:rPr>
        <w:t>PLoS ONE,</w:t>
      </w:r>
      <w:r w:rsidRPr="00552D1B">
        <w:rPr>
          <w:rFonts w:ascii="Times New Roman" w:hAnsi="Times New Roman" w:cs="Times New Roman"/>
          <w:sz w:val="24"/>
          <w:szCs w:val="24"/>
        </w:rPr>
        <w:t xml:space="preserve"> 9(11), pp. e114055.</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Meden, H. and Kuhn, W. (1997) 'Overexpression of the oncogene c-erbB-2 (HER2/neu) in ovarian cancer: a new prognostic factor', </w:t>
      </w:r>
      <w:r w:rsidRPr="00552D1B">
        <w:rPr>
          <w:rFonts w:ascii="Times New Roman" w:hAnsi="Times New Roman" w:cs="Times New Roman"/>
          <w:i/>
          <w:sz w:val="24"/>
          <w:szCs w:val="24"/>
        </w:rPr>
        <w:t>European Journal of Obstetrics &amp; Gynecology and reproductive biology,</w:t>
      </w:r>
      <w:r w:rsidRPr="00552D1B">
        <w:rPr>
          <w:rFonts w:ascii="Times New Roman" w:hAnsi="Times New Roman" w:cs="Times New Roman"/>
          <w:sz w:val="24"/>
          <w:szCs w:val="24"/>
        </w:rPr>
        <w:t xml:space="preserve"> 71(2), pp. 173-179.</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Moi, P., Chan, K., Asunis, I., Cao, A. and Kan, Y. W. (1994) 'Isolation of NF-E2-related factor 2 (Nrf2), a NF-E2-like basic leucine zipper transcriptional activator that binds to the tandem NF-E2/AP1 repeat of the beta-globin locus control region', </w:t>
      </w:r>
      <w:r w:rsidRPr="00552D1B">
        <w:rPr>
          <w:rFonts w:ascii="Times New Roman" w:hAnsi="Times New Roman" w:cs="Times New Roman"/>
          <w:i/>
          <w:sz w:val="24"/>
          <w:szCs w:val="24"/>
        </w:rPr>
        <w:t>Proceedings of the National Academy of Sciences of the United States of America,</w:t>
      </w:r>
      <w:r w:rsidRPr="00552D1B">
        <w:rPr>
          <w:rFonts w:ascii="Times New Roman" w:hAnsi="Times New Roman" w:cs="Times New Roman"/>
          <w:sz w:val="24"/>
          <w:szCs w:val="24"/>
        </w:rPr>
        <w:t xml:space="preserve"> 91(21), pp. 9926-9930.</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Murphy, M. and Stordal, B. (2011) '</w:t>
      </w:r>
      <w:r w:rsidR="0074410B">
        <w:rPr>
          <w:rFonts w:ascii="Times New Roman" w:hAnsi="Times New Roman" w:cs="Times New Roman"/>
          <w:sz w:val="24"/>
          <w:szCs w:val="24"/>
        </w:rPr>
        <w:t>Erlotinib</w:t>
      </w:r>
      <w:r w:rsidRPr="00552D1B">
        <w:rPr>
          <w:rFonts w:ascii="Times New Roman" w:hAnsi="Times New Roman" w:cs="Times New Roman"/>
          <w:sz w:val="24"/>
          <w:szCs w:val="24"/>
        </w:rPr>
        <w:t>otinib or gefitinib for the treatment of re</w:t>
      </w:r>
      <w:r w:rsidR="0074410B">
        <w:rPr>
          <w:rFonts w:ascii="Times New Roman" w:hAnsi="Times New Roman" w:cs="Times New Roman"/>
          <w:sz w:val="24"/>
          <w:szCs w:val="24"/>
        </w:rPr>
        <w:t>lapatinib</w:t>
      </w:r>
      <w:r w:rsidRPr="00552D1B">
        <w:rPr>
          <w:rFonts w:ascii="Times New Roman" w:hAnsi="Times New Roman" w:cs="Times New Roman"/>
          <w:sz w:val="24"/>
          <w:szCs w:val="24"/>
        </w:rPr>
        <w:t xml:space="preserve">sed platinum pretreated non-small cell lung cancer and ovarian cancer: A systematic review', </w:t>
      </w:r>
      <w:r w:rsidRPr="00552D1B">
        <w:rPr>
          <w:rFonts w:ascii="Times New Roman" w:hAnsi="Times New Roman" w:cs="Times New Roman"/>
          <w:i/>
          <w:sz w:val="24"/>
          <w:szCs w:val="24"/>
        </w:rPr>
        <w:t>Drug Resistance Updates,</w:t>
      </w:r>
      <w:r w:rsidRPr="00552D1B">
        <w:rPr>
          <w:rFonts w:ascii="Times New Roman" w:hAnsi="Times New Roman" w:cs="Times New Roman"/>
          <w:sz w:val="24"/>
          <w:szCs w:val="24"/>
        </w:rPr>
        <w:t xml:space="preserve"> 14(3), pp. 177-190.</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Namani, A., Li, Y., Wang, X. J. and Tang, X. (2014) 'Modulation of NRF2 signaling pathway by nuclear receptors: Implications for cancer', </w:t>
      </w:r>
      <w:r w:rsidRPr="00552D1B">
        <w:rPr>
          <w:rFonts w:ascii="Times New Roman" w:hAnsi="Times New Roman" w:cs="Times New Roman"/>
          <w:i/>
          <w:sz w:val="24"/>
          <w:szCs w:val="24"/>
        </w:rPr>
        <w:t>Biochimica et Biophysica Acta (BBA) - Molecular Cell Research,</w:t>
      </w:r>
      <w:r w:rsidRPr="00552D1B">
        <w:rPr>
          <w:rFonts w:ascii="Times New Roman" w:hAnsi="Times New Roman" w:cs="Times New Roman"/>
          <w:sz w:val="24"/>
          <w:szCs w:val="24"/>
        </w:rPr>
        <w:t xml:space="preserve"> 1843(9), pp. 1875-1885.</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Normanno, N., Bianco, C., De Luca, A., Maiello, M. R. and Salomon, D. S. (2003) 'Target-based agents against ErbB receptors and their ligands: a novel approach to cancer treatment', </w:t>
      </w:r>
      <w:r w:rsidRPr="00552D1B">
        <w:rPr>
          <w:rFonts w:ascii="Times New Roman" w:hAnsi="Times New Roman" w:cs="Times New Roman"/>
          <w:i/>
          <w:sz w:val="24"/>
          <w:szCs w:val="24"/>
        </w:rPr>
        <w:t>Endocrine-related cancer,</w:t>
      </w:r>
      <w:r w:rsidRPr="00552D1B">
        <w:rPr>
          <w:rFonts w:ascii="Times New Roman" w:hAnsi="Times New Roman" w:cs="Times New Roman"/>
          <w:sz w:val="24"/>
          <w:szCs w:val="24"/>
        </w:rPr>
        <w:t xml:space="preserve"> 10(1), pp. 1-21.</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Normanno, N., De Luca, A., Bianco, C., Strizzi, L., Mancino, M., Maiello, M. R., Carotenuto, A., De Feo, G., Caponigro, F. and Salomon, D. S. (2006) 'Epidermal growth factor receptor (EGFR) signaling in cancer', </w:t>
      </w:r>
      <w:r w:rsidRPr="00552D1B">
        <w:rPr>
          <w:rFonts w:ascii="Times New Roman" w:hAnsi="Times New Roman" w:cs="Times New Roman"/>
          <w:i/>
          <w:sz w:val="24"/>
          <w:szCs w:val="24"/>
        </w:rPr>
        <w:t>Gene,</w:t>
      </w:r>
      <w:r w:rsidRPr="00552D1B">
        <w:rPr>
          <w:rFonts w:ascii="Times New Roman" w:hAnsi="Times New Roman" w:cs="Times New Roman"/>
          <w:sz w:val="24"/>
          <w:szCs w:val="24"/>
        </w:rPr>
        <w:t xml:space="preserve"> 366(1), pp. 2-16.</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Nwabo Kamdje, A. H., Seke Etet, P. F., Vecchio, L., Muller, J. M., Krampera, M. and Lukong, K. E. (2014) 'Signaling pathways in breast cancer: Therapeutic targeting of the microenvironment', </w:t>
      </w:r>
      <w:r w:rsidRPr="00552D1B">
        <w:rPr>
          <w:rFonts w:ascii="Times New Roman" w:hAnsi="Times New Roman" w:cs="Times New Roman"/>
          <w:i/>
          <w:sz w:val="24"/>
          <w:szCs w:val="24"/>
        </w:rPr>
        <w:t>Cellular Signalling,</w:t>
      </w:r>
      <w:r w:rsidRPr="00552D1B">
        <w:rPr>
          <w:rFonts w:ascii="Times New Roman" w:hAnsi="Times New Roman" w:cs="Times New Roman"/>
          <w:sz w:val="24"/>
          <w:szCs w:val="24"/>
        </w:rPr>
        <w:t xml:space="preserve"> 26(12), pp. 2843-2856.</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O'Mealey, G. B., Berry, W. L. and Plafker, S. M. (2017) 'Sulforaphane is a Nrf2-independent inhibitor of mitochondrial fission', </w:t>
      </w:r>
      <w:r w:rsidRPr="00552D1B">
        <w:rPr>
          <w:rFonts w:ascii="Times New Roman" w:hAnsi="Times New Roman" w:cs="Times New Roman"/>
          <w:i/>
          <w:sz w:val="24"/>
          <w:szCs w:val="24"/>
        </w:rPr>
        <w:t>Redox Biology,</w:t>
      </w:r>
      <w:r w:rsidRPr="00552D1B">
        <w:rPr>
          <w:rFonts w:ascii="Times New Roman" w:hAnsi="Times New Roman" w:cs="Times New Roman"/>
          <w:sz w:val="24"/>
          <w:szCs w:val="24"/>
        </w:rPr>
        <w:t xml:space="preserve"> 11, pp. 103-110.</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O'Sullivan, C. C. and Connolly, R. M. (2014) 'Pertuzumab and its accelerated approval: evolving treatment paradigms and new challenges in the management of HER2-positive breast cancer', </w:t>
      </w:r>
      <w:r w:rsidRPr="00552D1B">
        <w:rPr>
          <w:rFonts w:ascii="Times New Roman" w:hAnsi="Times New Roman" w:cs="Times New Roman"/>
          <w:i/>
          <w:sz w:val="24"/>
          <w:szCs w:val="24"/>
        </w:rPr>
        <w:t>Oncology,</w:t>
      </w:r>
      <w:r w:rsidRPr="00552D1B">
        <w:rPr>
          <w:rFonts w:ascii="Times New Roman" w:hAnsi="Times New Roman" w:cs="Times New Roman"/>
          <w:sz w:val="24"/>
          <w:szCs w:val="24"/>
        </w:rPr>
        <w:t xml:space="preserve"> 28(3), pp. 186-186.</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Oberaigner, W., Minicozzi, P., Bielska-Lasota, M., Allemani, C., De Angelis, R., Mangone, L., Sant, M. and Eurocare Working, G. (2012) 'Survival for ovarian cancer in Europe: the across-country variation did not shrink in the past decade', </w:t>
      </w:r>
      <w:r w:rsidRPr="00552D1B">
        <w:rPr>
          <w:rFonts w:ascii="Times New Roman" w:hAnsi="Times New Roman" w:cs="Times New Roman"/>
          <w:i/>
          <w:sz w:val="24"/>
          <w:szCs w:val="24"/>
        </w:rPr>
        <w:t>Acta oncologica,</w:t>
      </w:r>
      <w:r w:rsidRPr="00552D1B">
        <w:rPr>
          <w:rFonts w:ascii="Times New Roman" w:hAnsi="Times New Roman" w:cs="Times New Roman"/>
          <w:sz w:val="24"/>
          <w:szCs w:val="24"/>
        </w:rPr>
        <w:t xml:space="preserve"> 51(4), pp. 441-453.</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Ohta, T. (2008) 'Loss of Keap1 function activates Nrf2 and provides advantages for lung cancer cell growth', </w:t>
      </w:r>
      <w:r w:rsidRPr="00552D1B">
        <w:rPr>
          <w:rFonts w:ascii="Times New Roman" w:hAnsi="Times New Roman" w:cs="Times New Roman"/>
          <w:i/>
          <w:sz w:val="24"/>
          <w:szCs w:val="24"/>
        </w:rPr>
        <w:t>Cancer Res.,</w:t>
      </w:r>
      <w:r w:rsidRPr="00552D1B">
        <w:rPr>
          <w:rFonts w:ascii="Times New Roman" w:hAnsi="Times New Roman" w:cs="Times New Roman"/>
          <w:sz w:val="24"/>
          <w:szCs w:val="24"/>
        </w:rPr>
        <w:t xml:space="preserve"> 68, pp. 1303-1309.</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lastRenderedPageBreak/>
        <w:t xml:space="preserve">Ohta, T., Iijima, K., Miyamoto, M., Nakahara, I., Tanaka, H., Ohtsuji, M., Suzuki, T., Kobayashi, A., Yokota, J. and Sakiyama, T. (2008) 'Loss of Keap1 function activates Nrf2 and provides advantages for lung cancer cell growth', </w:t>
      </w:r>
      <w:r w:rsidRPr="00552D1B">
        <w:rPr>
          <w:rFonts w:ascii="Times New Roman" w:hAnsi="Times New Roman" w:cs="Times New Roman"/>
          <w:i/>
          <w:sz w:val="24"/>
          <w:szCs w:val="24"/>
        </w:rPr>
        <w:t>Cancer research,</w:t>
      </w:r>
      <w:r w:rsidRPr="00552D1B">
        <w:rPr>
          <w:rFonts w:ascii="Times New Roman" w:hAnsi="Times New Roman" w:cs="Times New Roman"/>
          <w:sz w:val="24"/>
          <w:szCs w:val="24"/>
        </w:rPr>
        <w:t xml:space="preserve"> 68(5), pp. 1303-1309.</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Okazaki, S., Nakatani, F., Masuko, K., Tsuchihashi, K., Ueda, S., Masuko, T., Saya, H. and Nagano, O. (2016) 'Development of an ErbB4 monoclonal antibody that blocks neuregulin-1-induced ErbB4 activation in cancer cells', </w:t>
      </w:r>
      <w:r w:rsidRPr="00552D1B">
        <w:rPr>
          <w:rFonts w:ascii="Times New Roman" w:hAnsi="Times New Roman" w:cs="Times New Roman"/>
          <w:i/>
          <w:sz w:val="24"/>
          <w:szCs w:val="24"/>
        </w:rPr>
        <w:t>Biochemical and Biophysical Research Communications,</w:t>
      </w:r>
      <w:r w:rsidRPr="00552D1B">
        <w:rPr>
          <w:rFonts w:ascii="Times New Roman" w:hAnsi="Times New Roman" w:cs="Times New Roman"/>
          <w:sz w:val="24"/>
          <w:szCs w:val="24"/>
        </w:rPr>
        <w:t xml:space="preserve"> 470(1), pp. 239-244.</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Olayanju, A., Copple, I. M., Bryan, H. K., Edge, G. T., Sison, R. L., Wong, M. W., Lai, Z.-Q., Lin, Z.-X., Dunn, K., Sanderson, C. M., Alghanem, A. F., Cross, M. J., Ellis, E. C., Ingelman-Sundberg, M., Malik, H. Z., Kitteringham, N. R., Goldring, C. E. and Park, B. K. (2015) 'Brusatol provokes a rapid and transient inhibition of Nrf2 signaling and sensitizes mammalian cells to chemical toxicity—implications for therapeutic targeting of Nrf2', </w:t>
      </w:r>
      <w:r w:rsidRPr="00552D1B">
        <w:rPr>
          <w:rFonts w:ascii="Times New Roman" w:hAnsi="Times New Roman" w:cs="Times New Roman"/>
          <w:i/>
          <w:sz w:val="24"/>
          <w:szCs w:val="24"/>
        </w:rPr>
        <w:t>Free Radical Biology and Medicine,</w:t>
      </w:r>
      <w:r w:rsidRPr="00552D1B">
        <w:rPr>
          <w:rFonts w:ascii="Times New Roman" w:hAnsi="Times New Roman" w:cs="Times New Roman"/>
          <w:sz w:val="24"/>
          <w:szCs w:val="24"/>
        </w:rPr>
        <w:t xml:space="preserve"> 78, pp. 202-212.</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Omar, N., Yan, B. and Salto-Tellez, M. (2015) 'HER2: An emerging biomarker in non-breast and non-gastric cancers', </w:t>
      </w:r>
      <w:r w:rsidRPr="00552D1B">
        <w:rPr>
          <w:rFonts w:ascii="Times New Roman" w:hAnsi="Times New Roman" w:cs="Times New Roman"/>
          <w:i/>
          <w:sz w:val="24"/>
          <w:szCs w:val="24"/>
        </w:rPr>
        <w:t>Pathogenesis,</w:t>
      </w:r>
      <w:r w:rsidRPr="00552D1B">
        <w:rPr>
          <w:rFonts w:ascii="Times New Roman" w:hAnsi="Times New Roman" w:cs="Times New Roman"/>
          <w:sz w:val="24"/>
          <w:szCs w:val="24"/>
        </w:rPr>
        <w:t xml:space="preserve"> 2(3), pp. 1-9.</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Oyake, T., Itoh, K., Motohashi, H., Hayashi, N., Hoshino, H., Nishizawa, M., Yamamoto, M. and Igarashi, K. (1996) 'Bach proteins belong to a novel family of BTB-basic leucine zipper transcription factors that interact with MafK and regulate transcription through the NF-E2 site', </w:t>
      </w:r>
      <w:r w:rsidRPr="00552D1B">
        <w:rPr>
          <w:rFonts w:ascii="Times New Roman" w:hAnsi="Times New Roman" w:cs="Times New Roman"/>
          <w:i/>
          <w:sz w:val="24"/>
          <w:szCs w:val="24"/>
        </w:rPr>
        <w:t>Molecular and cellular biology,</w:t>
      </w:r>
      <w:r w:rsidRPr="00552D1B">
        <w:rPr>
          <w:rFonts w:ascii="Times New Roman" w:hAnsi="Times New Roman" w:cs="Times New Roman"/>
          <w:sz w:val="24"/>
          <w:szCs w:val="24"/>
        </w:rPr>
        <w:t xml:space="preserve"> 16(11), pp. 6083-6095.</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Padmanabhan, B., Tong, K. I., Ohta, T., Nakamura, Y., Scharlock, M., Ohtsuji, M., Kang, M.-I., Kobayashi, A., Yokoyama, S. and Yamamoto, M. (2006) 'Structural Basis for Defects of Keap1 Activity Provoked by Its Point Mutations in Lung Cancer', </w:t>
      </w:r>
      <w:r w:rsidRPr="00552D1B">
        <w:rPr>
          <w:rFonts w:ascii="Times New Roman" w:hAnsi="Times New Roman" w:cs="Times New Roman"/>
          <w:i/>
          <w:sz w:val="24"/>
          <w:szCs w:val="24"/>
        </w:rPr>
        <w:t>Molecular Cell,</w:t>
      </w:r>
      <w:r w:rsidRPr="00552D1B">
        <w:rPr>
          <w:rFonts w:ascii="Times New Roman" w:hAnsi="Times New Roman" w:cs="Times New Roman"/>
          <w:sz w:val="24"/>
          <w:szCs w:val="24"/>
        </w:rPr>
        <w:t xml:space="preserve"> 21(5), pp. 689-700.</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Paez, J. G., Jänne, P. A., Lee, J. C., Tracy, S., Greulich, H., Gabriel, S., Herman, P., Kaye, F. J., Lindeman, N. and Boggon, T. J. (2004) 'EGFR mutations in lung cancer: correlation with clinical response to gefitinib therapy', </w:t>
      </w:r>
      <w:r w:rsidRPr="00552D1B">
        <w:rPr>
          <w:rFonts w:ascii="Times New Roman" w:hAnsi="Times New Roman" w:cs="Times New Roman"/>
          <w:i/>
          <w:sz w:val="24"/>
          <w:szCs w:val="24"/>
        </w:rPr>
        <w:t>Science,</w:t>
      </w:r>
      <w:r w:rsidRPr="00552D1B">
        <w:rPr>
          <w:rFonts w:ascii="Times New Roman" w:hAnsi="Times New Roman" w:cs="Times New Roman"/>
          <w:sz w:val="24"/>
          <w:szCs w:val="24"/>
        </w:rPr>
        <w:t xml:space="preserve"> 304(5676), pp. 1497-1500.</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Pandey, P., Singh, A. K., Singh, M., Tewari, M., Shukla, H. S. and Gambhir, I. S. (2017) 'The see-saw of Keap1-Nrf2 pathway in Cancer', </w:t>
      </w:r>
      <w:r w:rsidRPr="00552D1B">
        <w:rPr>
          <w:rFonts w:ascii="Times New Roman" w:hAnsi="Times New Roman" w:cs="Times New Roman"/>
          <w:i/>
          <w:sz w:val="24"/>
          <w:szCs w:val="24"/>
        </w:rPr>
        <w:t>Critical Reviews in Oncology/Hematology</w:t>
      </w:r>
      <w:r w:rsidRPr="00552D1B">
        <w:rPr>
          <w:rFonts w:ascii="Times New Roman" w:hAnsi="Times New Roman" w:cs="Times New Roman"/>
          <w:sz w:val="24"/>
          <w:szCs w:val="24"/>
        </w:rPr>
        <w:t>.</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Papadavid, E., Antoniou, C., Nikolaou, V., Siakantaris, M., Vassilakopoulos, T. P., Stratigos, A., Stavrianeas, N. and Katsambas, A. (2008) 'Safety and efficacy of low-dose bexarotene and PUVA in the treatment of patients with mycosis fungoides', </w:t>
      </w:r>
      <w:r w:rsidRPr="00552D1B">
        <w:rPr>
          <w:rFonts w:ascii="Times New Roman" w:hAnsi="Times New Roman" w:cs="Times New Roman"/>
          <w:i/>
          <w:sz w:val="24"/>
          <w:szCs w:val="24"/>
        </w:rPr>
        <w:t>American journal of clinical dermatology,</w:t>
      </w:r>
      <w:r w:rsidRPr="00552D1B">
        <w:rPr>
          <w:rFonts w:ascii="Times New Roman" w:hAnsi="Times New Roman" w:cs="Times New Roman"/>
          <w:sz w:val="24"/>
          <w:szCs w:val="24"/>
        </w:rPr>
        <w:t xml:space="preserve"> 9(3), pp. 169.</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Park, E. J., Lim, J. H., Nam, S. I., Park, J. W. and Kwon, T. K. (2010) 'Rottlerin induces heme oxygenase-1 (HO-1) up-regulation through reactive oxygen species (ROS) dependent and PKC δ-independent pathway in human colon cancer HT29 cells', </w:t>
      </w:r>
      <w:r w:rsidRPr="00552D1B">
        <w:rPr>
          <w:rFonts w:ascii="Times New Roman" w:hAnsi="Times New Roman" w:cs="Times New Roman"/>
          <w:i/>
          <w:sz w:val="24"/>
          <w:szCs w:val="24"/>
        </w:rPr>
        <w:t>Biochimie,</w:t>
      </w:r>
      <w:r w:rsidRPr="00552D1B">
        <w:rPr>
          <w:rFonts w:ascii="Times New Roman" w:hAnsi="Times New Roman" w:cs="Times New Roman"/>
          <w:sz w:val="24"/>
          <w:szCs w:val="24"/>
        </w:rPr>
        <w:t xml:space="preserve"> 92(1), pp. 110-115.</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Pautier, P., Ribrag, V., Duvillard, P., Rey, A., Elghissassi, I., Sillet-Bach, I., Kerbrat, P., Mayer, F., Lesoin, A. and Brun, B. (2007) 'Results of a prospective dose-intensive regimen in 27 patients with small cell carcinoma of the ovary of the hypercalcemic type', </w:t>
      </w:r>
      <w:r w:rsidRPr="00552D1B">
        <w:rPr>
          <w:rFonts w:ascii="Times New Roman" w:hAnsi="Times New Roman" w:cs="Times New Roman"/>
          <w:i/>
          <w:sz w:val="24"/>
          <w:szCs w:val="24"/>
        </w:rPr>
        <w:t>Annals of oncology,</w:t>
      </w:r>
      <w:r w:rsidRPr="00552D1B">
        <w:rPr>
          <w:rFonts w:ascii="Times New Roman" w:hAnsi="Times New Roman" w:cs="Times New Roman"/>
          <w:sz w:val="24"/>
          <w:szCs w:val="24"/>
        </w:rPr>
        <w:t xml:space="preserve"> 18(12), pp. 1985-1989.</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Pearson, K. J., Lewis, K. N., Price, N. L., Chang, J. W., Perez, E., Cascajo, M. V., Tamashiro, K. L., Poosala, S., Csiszar, A., Ungvari, Z., Kensler, T. W., Yamamoto, M., Egan, J. M., Longo, D. L., Ingram, D. K., Navas, P. and de Cabo, R. (2008) 'Nrf2 mediates cancer protection but not prolongevity induced by caloric restriction', </w:t>
      </w:r>
      <w:r w:rsidRPr="00552D1B">
        <w:rPr>
          <w:rFonts w:ascii="Times New Roman" w:hAnsi="Times New Roman" w:cs="Times New Roman"/>
          <w:i/>
          <w:sz w:val="24"/>
          <w:szCs w:val="24"/>
        </w:rPr>
        <w:t>Proceedings of the National Academy of Sciences of the United States of America,</w:t>
      </w:r>
      <w:r w:rsidRPr="00552D1B">
        <w:rPr>
          <w:rFonts w:ascii="Times New Roman" w:hAnsi="Times New Roman" w:cs="Times New Roman"/>
          <w:sz w:val="24"/>
          <w:szCs w:val="24"/>
        </w:rPr>
        <w:t xml:space="preserve"> 105(7), pp. 2325-2330.</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Pecot, C. V., Calin, G. A., Coleman, R. L., Lopez-Berestein, G. and Sood, A. K. (2011) 'RNA interference in the clinic: challenges and future directions', </w:t>
      </w:r>
      <w:r w:rsidRPr="00552D1B">
        <w:rPr>
          <w:rFonts w:ascii="Times New Roman" w:hAnsi="Times New Roman" w:cs="Times New Roman"/>
          <w:i/>
          <w:sz w:val="24"/>
          <w:szCs w:val="24"/>
        </w:rPr>
        <w:t>Nature reviews. Cancer,</w:t>
      </w:r>
      <w:r w:rsidRPr="00552D1B">
        <w:rPr>
          <w:rFonts w:ascii="Times New Roman" w:hAnsi="Times New Roman" w:cs="Times New Roman"/>
          <w:sz w:val="24"/>
          <w:szCs w:val="24"/>
        </w:rPr>
        <w:t xml:space="preserve"> 11(1), pp. 59.</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Perego, P., Giarola, M., Righetti, S. C., Supino, R., Caserini, C., Delia, D., Pierotti, M. A., Miyashita, T., Reed, J. C. and Zunino, F. (1996) 'Association between cisplatin </w:t>
      </w:r>
      <w:r w:rsidRPr="00552D1B">
        <w:rPr>
          <w:rFonts w:ascii="Times New Roman" w:hAnsi="Times New Roman" w:cs="Times New Roman"/>
          <w:sz w:val="24"/>
          <w:szCs w:val="24"/>
        </w:rPr>
        <w:lastRenderedPageBreak/>
        <w:t xml:space="preserve">resistance and mutation of p53 gene and reduced bax expression in ovarian carcinoma cell systems', </w:t>
      </w:r>
      <w:r w:rsidRPr="00552D1B">
        <w:rPr>
          <w:rFonts w:ascii="Times New Roman" w:hAnsi="Times New Roman" w:cs="Times New Roman"/>
          <w:i/>
          <w:sz w:val="24"/>
          <w:szCs w:val="24"/>
        </w:rPr>
        <w:t>Cancer research,</w:t>
      </w:r>
      <w:r w:rsidRPr="00552D1B">
        <w:rPr>
          <w:rFonts w:ascii="Times New Roman" w:hAnsi="Times New Roman" w:cs="Times New Roman"/>
          <w:sz w:val="24"/>
          <w:szCs w:val="24"/>
        </w:rPr>
        <w:t xml:space="preserve"> 56(3), pp. 556-562.</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Permuth-Wey, J. and Sellers, T. A. (2009) 'Epidemiology of ovarian cancer', </w:t>
      </w:r>
      <w:r w:rsidRPr="00552D1B">
        <w:rPr>
          <w:rFonts w:ascii="Times New Roman" w:hAnsi="Times New Roman" w:cs="Times New Roman"/>
          <w:i/>
          <w:sz w:val="24"/>
          <w:szCs w:val="24"/>
        </w:rPr>
        <w:t>Cancer Epidemiology: Modifiable Factors</w:t>
      </w:r>
      <w:r w:rsidRPr="00552D1B">
        <w:rPr>
          <w:rFonts w:ascii="Times New Roman" w:hAnsi="Times New Roman" w:cs="Times New Roman"/>
          <w:sz w:val="24"/>
          <w:szCs w:val="24"/>
        </w:rPr>
        <w:t>, pp. 413-437.</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Persengiev, S. P., Zhu, X. and Green, M. R. (2004) 'Nonspecific, concentration-dependent stimulation and repression of mammalian gene expression by small interfering RNAs (siRNAs)', </w:t>
      </w:r>
      <w:r w:rsidRPr="00552D1B">
        <w:rPr>
          <w:rFonts w:ascii="Times New Roman" w:hAnsi="Times New Roman" w:cs="Times New Roman"/>
          <w:i/>
          <w:sz w:val="24"/>
          <w:szCs w:val="24"/>
        </w:rPr>
        <w:t>Rna,</w:t>
      </w:r>
      <w:r w:rsidRPr="00552D1B">
        <w:rPr>
          <w:rFonts w:ascii="Times New Roman" w:hAnsi="Times New Roman" w:cs="Times New Roman"/>
          <w:sz w:val="24"/>
          <w:szCs w:val="24"/>
        </w:rPr>
        <w:t xml:space="preserve"> 10(1), pp. 12-18.</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Phelps, S. L. B., Schorge, J. O., Peyton, M. J., Shigematsu, H., Xiang, L.-L., Miller, D. S. and Lea, J. S. (2008) 'Implications of EGFR inhibition in ovarian cancer cell proliferation', </w:t>
      </w:r>
      <w:r w:rsidRPr="00552D1B">
        <w:rPr>
          <w:rFonts w:ascii="Times New Roman" w:hAnsi="Times New Roman" w:cs="Times New Roman"/>
          <w:i/>
          <w:sz w:val="24"/>
          <w:szCs w:val="24"/>
        </w:rPr>
        <w:t>Gynecologic oncology,</w:t>
      </w:r>
      <w:r w:rsidRPr="00552D1B">
        <w:rPr>
          <w:rFonts w:ascii="Times New Roman" w:hAnsi="Times New Roman" w:cs="Times New Roman"/>
          <w:sz w:val="24"/>
          <w:szCs w:val="24"/>
        </w:rPr>
        <w:t xml:space="preserve"> 109(3), pp. 411-417.</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Pirker, R., Pereira, J. R., Szczesna, A., Von Pawel, J., Krzakowski, M., Ramlau, R., Vynnychenko, I., Park, K., Yu, C.-T. and Ganul, V. (2009) 'Cetuximab plus chemotherapy in patients with advanced non-small-cell lung cancer (FLEX): an open-label randomised phase III trial', </w:t>
      </w:r>
      <w:r w:rsidRPr="00552D1B">
        <w:rPr>
          <w:rFonts w:ascii="Times New Roman" w:hAnsi="Times New Roman" w:cs="Times New Roman"/>
          <w:i/>
          <w:sz w:val="24"/>
          <w:szCs w:val="24"/>
        </w:rPr>
        <w:t>The Lancet,</w:t>
      </w:r>
      <w:r w:rsidRPr="00552D1B">
        <w:rPr>
          <w:rFonts w:ascii="Times New Roman" w:hAnsi="Times New Roman" w:cs="Times New Roman"/>
          <w:sz w:val="24"/>
          <w:szCs w:val="24"/>
        </w:rPr>
        <w:t xml:space="preserve"> 373(9674), pp. 1525-1531.</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Poillet-Perez, L., Despouy, G., Delage-Mourroux, R. and Boyer-Guittaut, M. (2015) 'Interplay between ROS and autophagy in cancer cells, from tumor initiation to cancer therapy', </w:t>
      </w:r>
      <w:r w:rsidRPr="00552D1B">
        <w:rPr>
          <w:rFonts w:ascii="Times New Roman" w:hAnsi="Times New Roman" w:cs="Times New Roman"/>
          <w:i/>
          <w:sz w:val="24"/>
          <w:szCs w:val="24"/>
        </w:rPr>
        <w:t>Redox Biology,</w:t>
      </w:r>
      <w:r w:rsidRPr="00552D1B">
        <w:rPr>
          <w:rFonts w:ascii="Times New Roman" w:hAnsi="Times New Roman" w:cs="Times New Roman"/>
          <w:sz w:val="24"/>
          <w:szCs w:val="24"/>
        </w:rPr>
        <w:t xml:space="preserve"> 4, pp. 184-192.</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Polli, J. W., Olson, K. L., Chism, J. P., John-Williams, L. S., Yeager, R. L., Woodard, S. M., Otto, V., Castellino, S. and Demby, V. E. (2009) 'An unexpected synergist role of P-glycoprotein and breast cancer resistance protein on the central nervous system penetration of the tyrosine kinase inhibitor </w:t>
      </w:r>
      <w:r w:rsidR="0074410B">
        <w:rPr>
          <w:rFonts w:ascii="Times New Roman" w:hAnsi="Times New Roman" w:cs="Times New Roman"/>
          <w:sz w:val="24"/>
          <w:szCs w:val="24"/>
        </w:rPr>
        <w:t>lapatinib</w:t>
      </w:r>
      <w:r w:rsidRPr="00552D1B">
        <w:rPr>
          <w:rFonts w:ascii="Times New Roman" w:hAnsi="Times New Roman" w:cs="Times New Roman"/>
          <w:sz w:val="24"/>
          <w:szCs w:val="24"/>
        </w:rPr>
        <w:t xml:space="preserve">atinib (N-{3-chloro-4-[(3-fluorobenzyl) oxy] phenyl}-6-[5-({[2-(methylsulfonyl) ethyl] amino} methyl)-2-furyl]-4-quinazolinamine; GW572016)', </w:t>
      </w:r>
      <w:r w:rsidRPr="00552D1B">
        <w:rPr>
          <w:rFonts w:ascii="Times New Roman" w:hAnsi="Times New Roman" w:cs="Times New Roman"/>
          <w:i/>
          <w:sz w:val="24"/>
          <w:szCs w:val="24"/>
        </w:rPr>
        <w:t>Drug Metabolism and Disposition,</w:t>
      </w:r>
      <w:r w:rsidRPr="00552D1B">
        <w:rPr>
          <w:rFonts w:ascii="Times New Roman" w:hAnsi="Times New Roman" w:cs="Times New Roman"/>
          <w:sz w:val="24"/>
          <w:szCs w:val="24"/>
        </w:rPr>
        <w:t xml:space="preserve"> 37(2), pp. 439-442.</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Powell, J. L., McAfee, R. D., McCoy, R. C. and Shiro, B. S. (1998) 'Uterine and ovarian conservation in advanced small cell carcinoma of the ovary', </w:t>
      </w:r>
      <w:r w:rsidRPr="00552D1B">
        <w:rPr>
          <w:rFonts w:ascii="Times New Roman" w:hAnsi="Times New Roman" w:cs="Times New Roman"/>
          <w:i/>
          <w:sz w:val="24"/>
          <w:szCs w:val="24"/>
        </w:rPr>
        <w:t>Obstetrics &amp; Gynecology,</w:t>
      </w:r>
      <w:r w:rsidRPr="00552D1B">
        <w:rPr>
          <w:rFonts w:ascii="Times New Roman" w:hAnsi="Times New Roman" w:cs="Times New Roman"/>
          <w:sz w:val="24"/>
          <w:szCs w:val="24"/>
        </w:rPr>
        <w:t xml:space="preserve"> 91(5), pp. 846-848.</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Prahallad, A., Sun, C., Huang, S., Di Nicolantonio, F., Salazar, R., Zecchin, D., Beijersbergen, R. L., Bardelli, A. and Bernards, R. (2012) 'Unresponsiveness of colon cancer to BRAF (V600E) inhibition through feedback activation of EGFR', </w:t>
      </w:r>
      <w:r w:rsidRPr="00552D1B">
        <w:rPr>
          <w:rFonts w:ascii="Times New Roman" w:hAnsi="Times New Roman" w:cs="Times New Roman"/>
          <w:i/>
          <w:sz w:val="24"/>
          <w:szCs w:val="24"/>
        </w:rPr>
        <w:t>Nature,</w:t>
      </w:r>
      <w:r w:rsidRPr="00552D1B">
        <w:rPr>
          <w:rFonts w:ascii="Times New Roman" w:hAnsi="Times New Roman" w:cs="Times New Roman"/>
          <w:sz w:val="24"/>
          <w:szCs w:val="24"/>
        </w:rPr>
        <w:t xml:space="preserve"> 483(7388), pp. 100-103.</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Prasad, S., Gupta, S. C. and Tyagi, A. K. (2017) 'Reactive oxygen species (ROS) and cancer: Role of antioxidative nutraceuticals', </w:t>
      </w:r>
      <w:r w:rsidRPr="00552D1B">
        <w:rPr>
          <w:rFonts w:ascii="Times New Roman" w:hAnsi="Times New Roman" w:cs="Times New Roman"/>
          <w:i/>
          <w:sz w:val="24"/>
          <w:szCs w:val="24"/>
        </w:rPr>
        <w:t>Cancer Letters,</w:t>
      </w:r>
      <w:r w:rsidRPr="00552D1B">
        <w:rPr>
          <w:rFonts w:ascii="Times New Roman" w:hAnsi="Times New Roman" w:cs="Times New Roman"/>
          <w:sz w:val="24"/>
          <w:szCs w:val="24"/>
        </w:rPr>
        <w:t xml:space="preserve"> 387, pp. 95-105.</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Praslicka, B. J., Kerins, M. J. and Ooi, A. (2016) 'The complex role of NRF2 in cancer: A genomic view', </w:t>
      </w:r>
      <w:r w:rsidRPr="00552D1B">
        <w:rPr>
          <w:rFonts w:ascii="Times New Roman" w:hAnsi="Times New Roman" w:cs="Times New Roman"/>
          <w:i/>
          <w:sz w:val="24"/>
          <w:szCs w:val="24"/>
        </w:rPr>
        <w:t>Current Opinion in Toxicology,</w:t>
      </w:r>
      <w:r w:rsidRPr="00552D1B">
        <w:rPr>
          <w:rFonts w:ascii="Times New Roman" w:hAnsi="Times New Roman" w:cs="Times New Roman"/>
          <w:sz w:val="24"/>
          <w:szCs w:val="24"/>
        </w:rPr>
        <w:t xml:space="preserve"> 1, pp. 37-45.</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Prenzel, N., Fischer, O. M., Streit, S., Hart, S. and Ullrich, A. (2001) 'The epidermal growth factor receptor family as a central element for cellular signal transduction and diversification', </w:t>
      </w:r>
      <w:r w:rsidRPr="00552D1B">
        <w:rPr>
          <w:rFonts w:ascii="Times New Roman" w:hAnsi="Times New Roman" w:cs="Times New Roman"/>
          <w:i/>
          <w:sz w:val="24"/>
          <w:szCs w:val="24"/>
        </w:rPr>
        <w:t>Endocrine-related cancer,</w:t>
      </w:r>
      <w:r w:rsidRPr="00552D1B">
        <w:rPr>
          <w:rFonts w:ascii="Times New Roman" w:hAnsi="Times New Roman" w:cs="Times New Roman"/>
          <w:sz w:val="24"/>
          <w:szCs w:val="24"/>
        </w:rPr>
        <w:t xml:space="preserve"> 8(1), pp. 11-31.</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Præstegaard, C., Kjaer, S. K., Nielsen, T. S. S., Jensen, S. M., Webb, P. M., Nagle, C. M., Høgdall, E., Risch, H. A., Rossing, M. A., Doherty, J. A., Wicklund, K. G., Goodman, M. T., Modugno, F., Moysich, K., Ness, R. B., Edwards, R. P., Goode, E. L., Winham, S. J., Fridley, B. L., Cramer, D. W., Terry, K. L., Schildkraut, J. M., Berchuck, A., Bandera, E. V., Paddock, L., Kiemeney, L. A., Massuger, L. F., Wentzensen, N., Pharoah, P., Song, H., Whittemore, A. S., McGuire, V., Sieh, W., Rothstein, J., Anton-Culver, H., Ziogas, A., Menon, U., Gayther, S. A., Ramus, S. J., Gentry-Maharaj, A., Wu, A. H., Pearce, C. L., Pike, M. C., Lee, A. W., Chang-Claude, J. and Jensen, A. (2016) 'The association between socioeconomic status and tumour stage at diagnosis of ovarian cancer: A pooled analysis of 18 case-control studies', </w:t>
      </w:r>
      <w:r w:rsidRPr="00552D1B">
        <w:rPr>
          <w:rFonts w:ascii="Times New Roman" w:hAnsi="Times New Roman" w:cs="Times New Roman"/>
          <w:i/>
          <w:sz w:val="24"/>
          <w:szCs w:val="24"/>
        </w:rPr>
        <w:t>Cancer Epidemiology,</w:t>
      </w:r>
      <w:r w:rsidRPr="00552D1B">
        <w:rPr>
          <w:rFonts w:ascii="Times New Roman" w:hAnsi="Times New Roman" w:cs="Times New Roman"/>
          <w:sz w:val="24"/>
          <w:szCs w:val="24"/>
        </w:rPr>
        <w:t xml:space="preserve"> 41, pp. 71-79.</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Psyrri, A., Kassar, M., Yu, Z., Bamias, A., Weinberger, P. M., Markakis, S., Kowalski, D., Camp, R. L., Rimm, D. L. and Dimopoulos, M. A. (2005) 'Effect of epidermal growth </w:t>
      </w:r>
      <w:r w:rsidRPr="00552D1B">
        <w:rPr>
          <w:rFonts w:ascii="Times New Roman" w:hAnsi="Times New Roman" w:cs="Times New Roman"/>
          <w:sz w:val="24"/>
          <w:szCs w:val="24"/>
        </w:rPr>
        <w:lastRenderedPageBreak/>
        <w:t xml:space="preserve">factor receptor expression level on survival in patients with epithelial ovarian cancer', </w:t>
      </w:r>
      <w:r w:rsidRPr="00552D1B">
        <w:rPr>
          <w:rFonts w:ascii="Times New Roman" w:hAnsi="Times New Roman" w:cs="Times New Roman"/>
          <w:i/>
          <w:sz w:val="24"/>
          <w:szCs w:val="24"/>
        </w:rPr>
        <w:t>Clinical Cancer Research,</w:t>
      </w:r>
      <w:r w:rsidRPr="00552D1B">
        <w:rPr>
          <w:rFonts w:ascii="Times New Roman" w:hAnsi="Times New Roman" w:cs="Times New Roman"/>
          <w:sz w:val="24"/>
          <w:szCs w:val="24"/>
        </w:rPr>
        <w:t xml:space="preserve"> 11(24), pp. 8637-8643.</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Qi, L. S., Guo, Y. Y., Zhang, P., Cao, X. R. and Luan, Y. X. (2016) 'Preventive and Therapeutic Effects of the Retinoid X Receptor Agonist Bexarotene on Tumors', </w:t>
      </w:r>
      <w:r w:rsidRPr="00552D1B">
        <w:rPr>
          <w:rFonts w:ascii="Times New Roman" w:hAnsi="Times New Roman" w:cs="Times New Roman"/>
          <w:i/>
          <w:sz w:val="24"/>
          <w:szCs w:val="24"/>
        </w:rPr>
        <w:t>Current Drug Metabolism,</w:t>
      </w:r>
      <w:r w:rsidRPr="00552D1B">
        <w:rPr>
          <w:rFonts w:ascii="Times New Roman" w:hAnsi="Times New Roman" w:cs="Times New Roman"/>
          <w:sz w:val="24"/>
          <w:szCs w:val="24"/>
        </w:rPr>
        <w:t xml:space="preserve"> 17(2), pp. 118-128.</w:t>
      </w:r>
    </w:p>
    <w:p w:rsidR="00552D1B" w:rsidRPr="00552D1B" w:rsidRDefault="00552D1B" w:rsidP="003B4663">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Qiu, C., Tarrant, M. K., Choi, S. H., Sathyamurthy, A., Bose, R., Banjade, S., Pal, A., Bornmann, W. G., Lemmon, M. A., Cole, P. A. and Leahy, D. J. (2008) 'Mechanism of </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Reczek, C. R. and Chandel, N. S. (2017) 'The Two Faces of Reactive Oxygen Species in Cancer'.</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Reese, D. M. and Slamon, D. J. (1997) 'HER‐2/neu Signal Transduction in Human Breast and Ovarian Cancer', </w:t>
      </w:r>
      <w:r w:rsidRPr="00552D1B">
        <w:rPr>
          <w:rFonts w:ascii="Times New Roman" w:hAnsi="Times New Roman" w:cs="Times New Roman"/>
          <w:i/>
          <w:sz w:val="24"/>
          <w:szCs w:val="24"/>
        </w:rPr>
        <w:t>Stem cells,</w:t>
      </w:r>
      <w:r w:rsidRPr="00552D1B">
        <w:rPr>
          <w:rFonts w:ascii="Times New Roman" w:hAnsi="Times New Roman" w:cs="Times New Roman"/>
          <w:sz w:val="24"/>
          <w:szCs w:val="24"/>
        </w:rPr>
        <w:t xml:space="preserve"> 15(1), pp. 1-8.</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Ritter, C. A. and Arteaga, C. L. 'The epidermal growth factor receptor–tyrosine kinase: A promising therapeutic target in solid tumors'. 2003: Elsevier, 3-11.</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Ritter, C. A., Perez-Torres, M., Rinehart, C., Guix, M., Dugger, T., Engelman, J. A. and Arteaga, C. L. (2007) 'Human breast cancer cells selected for resistance to trastuzumab in vivo overexpress epidermal growth factor receptor and ErbB ligands and remain dependent on the ErbB receptor network', </w:t>
      </w:r>
      <w:r w:rsidRPr="00552D1B">
        <w:rPr>
          <w:rFonts w:ascii="Times New Roman" w:hAnsi="Times New Roman" w:cs="Times New Roman"/>
          <w:i/>
          <w:sz w:val="24"/>
          <w:szCs w:val="24"/>
        </w:rPr>
        <w:t>Clinical Cancer Research,</w:t>
      </w:r>
      <w:r w:rsidRPr="00552D1B">
        <w:rPr>
          <w:rFonts w:ascii="Times New Roman" w:hAnsi="Times New Roman" w:cs="Times New Roman"/>
          <w:sz w:val="24"/>
          <w:szCs w:val="24"/>
        </w:rPr>
        <w:t xml:space="preserve"> 13(16), pp. 4909-4919.</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Roskoski Jr, R. (2014) 'The ErbB/HER family of protein-tyrosine kinases and cancer', </w:t>
      </w:r>
      <w:r w:rsidRPr="00552D1B">
        <w:rPr>
          <w:rFonts w:ascii="Times New Roman" w:hAnsi="Times New Roman" w:cs="Times New Roman"/>
          <w:i/>
          <w:sz w:val="24"/>
          <w:szCs w:val="24"/>
        </w:rPr>
        <w:t>Pharmacological Research,</w:t>
      </w:r>
      <w:r w:rsidRPr="00552D1B">
        <w:rPr>
          <w:rFonts w:ascii="Times New Roman" w:hAnsi="Times New Roman" w:cs="Times New Roman"/>
          <w:sz w:val="24"/>
          <w:szCs w:val="24"/>
        </w:rPr>
        <w:t xml:space="preserve"> 79, pp. 34-74.</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Roy, R. V., Pratheeshkumar, P., Son, Y.-O., Wang, L., Hitron, J. A., Divya, S. P., Zhang, Z. and Shi, X. (2016) 'Different roles of ROS and Nrf2 in Cr(VI)-induced inflammatory responses in normal and Cr(VI)-transformed cells', </w:t>
      </w:r>
      <w:r w:rsidRPr="00552D1B">
        <w:rPr>
          <w:rFonts w:ascii="Times New Roman" w:hAnsi="Times New Roman" w:cs="Times New Roman"/>
          <w:i/>
          <w:sz w:val="24"/>
          <w:szCs w:val="24"/>
        </w:rPr>
        <w:t>Toxicology and Applied Pharmacology,</w:t>
      </w:r>
      <w:r w:rsidRPr="00552D1B">
        <w:rPr>
          <w:rFonts w:ascii="Times New Roman" w:hAnsi="Times New Roman" w:cs="Times New Roman"/>
          <w:sz w:val="24"/>
          <w:szCs w:val="24"/>
        </w:rPr>
        <w:t xml:space="preserve"> 307, pp. 81-90.</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Rubin, I. and Yarden, Y. (2001) 'The basic biology of HER2', </w:t>
      </w:r>
      <w:r w:rsidRPr="00552D1B">
        <w:rPr>
          <w:rFonts w:ascii="Times New Roman" w:hAnsi="Times New Roman" w:cs="Times New Roman"/>
          <w:i/>
          <w:sz w:val="24"/>
          <w:szCs w:val="24"/>
        </w:rPr>
        <w:t>Annals of Oncology,</w:t>
      </w:r>
      <w:r w:rsidRPr="00552D1B">
        <w:rPr>
          <w:rFonts w:ascii="Times New Roman" w:hAnsi="Times New Roman" w:cs="Times New Roman"/>
          <w:sz w:val="24"/>
          <w:szCs w:val="24"/>
        </w:rPr>
        <w:t xml:space="preserve"> 12(suppl 1), pp. S3-S8.</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Rusch, V., Klimstra, D., Venkatraman, E., Pisters, P. W., Langenfeld, J. and Dmitrovsky, E. (1997) 'Overexpression of the epidermal growth factor receptor and its ligand transforming growth factor alpha is frequent in resectable non-small cell lung cancer but does not predict tumor progression', </w:t>
      </w:r>
      <w:r w:rsidRPr="00552D1B">
        <w:rPr>
          <w:rFonts w:ascii="Times New Roman" w:hAnsi="Times New Roman" w:cs="Times New Roman"/>
          <w:i/>
          <w:sz w:val="24"/>
          <w:szCs w:val="24"/>
        </w:rPr>
        <w:t>Clinical Cancer Research,</w:t>
      </w:r>
      <w:r w:rsidRPr="00552D1B">
        <w:rPr>
          <w:rFonts w:ascii="Times New Roman" w:hAnsi="Times New Roman" w:cs="Times New Roman"/>
          <w:sz w:val="24"/>
          <w:szCs w:val="24"/>
        </w:rPr>
        <w:t xml:space="preserve"> 3(4), pp. 515-522.</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Rushworth, S. A., Ogborne, R. M., Charalambos, C. A. and O’Connell, M. A. (2006) 'Role of protein kinase C δ in curcumin-induced antioxidant response element-mediated gene expression in human monocytes', </w:t>
      </w:r>
      <w:r w:rsidRPr="00552D1B">
        <w:rPr>
          <w:rFonts w:ascii="Times New Roman" w:hAnsi="Times New Roman" w:cs="Times New Roman"/>
          <w:i/>
          <w:sz w:val="24"/>
          <w:szCs w:val="24"/>
        </w:rPr>
        <w:t>Biochemical and biophysical research communications,</w:t>
      </w:r>
      <w:r w:rsidRPr="00552D1B">
        <w:rPr>
          <w:rFonts w:ascii="Times New Roman" w:hAnsi="Times New Roman" w:cs="Times New Roman"/>
          <w:sz w:val="24"/>
          <w:szCs w:val="24"/>
        </w:rPr>
        <w:t xml:space="preserve"> 341(4), pp. 1007-1016.</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Ryan, Q., Ibrahim, A., Cohen, M. H., Johnson, J., Ko, C.-w., Sridhara, R., Justice, R. and Pazdur, R. (2008) 'FDA drug approval summary: </w:t>
      </w:r>
      <w:r w:rsidR="0074410B">
        <w:rPr>
          <w:rFonts w:ascii="Times New Roman" w:hAnsi="Times New Roman" w:cs="Times New Roman"/>
          <w:sz w:val="24"/>
          <w:szCs w:val="24"/>
        </w:rPr>
        <w:t>lapatinib</w:t>
      </w:r>
      <w:r w:rsidRPr="00552D1B">
        <w:rPr>
          <w:rFonts w:ascii="Times New Roman" w:hAnsi="Times New Roman" w:cs="Times New Roman"/>
          <w:sz w:val="24"/>
          <w:szCs w:val="24"/>
        </w:rPr>
        <w:t xml:space="preserve">atinib in combination with capecitabine for previously treated metastatic breast cancer that overexpresses HER-2', </w:t>
      </w:r>
      <w:r w:rsidRPr="00552D1B">
        <w:rPr>
          <w:rFonts w:ascii="Times New Roman" w:hAnsi="Times New Roman" w:cs="Times New Roman"/>
          <w:i/>
          <w:sz w:val="24"/>
          <w:szCs w:val="24"/>
        </w:rPr>
        <w:t>The oncologist,</w:t>
      </w:r>
      <w:r w:rsidRPr="00552D1B">
        <w:rPr>
          <w:rFonts w:ascii="Times New Roman" w:hAnsi="Times New Roman" w:cs="Times New Roman"/>
          <w:sz w:val="24"/>
          <w:szCs w:val="24"/>
        </w:rPr>
        <w:t xml:space="preserve"> 13(10), pp. 1114-1119.</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Saito-Hakoda, A., Uruno, A., Yokoyama, A., Shimizu, K., Parvin, R., Kudo, M., Saito-Ito, T., Sato, I., Kogure, N., Suzuki, D., Shimada, H., Yoshikawa, T., Fujiwara, I., Kagechika, H., Iwasaki, Y., Kure, S., Ito, S. and Sugawara, A. (2015) 'Effects of RXR Agonists on Cell Proliferation/Apoptosis and ACTH Secretion/Pomc Expression', </w:t>
      </w:r>
      <w:r w:rsidRPr="00552D1B">
        <w:rPr>
          <w:rFonts w:ascii="Times New Roman" w:hAnsi="Times New Roman" w:cs="Times New Roman"/>
          <w:i/>
          <w:sz w:val="24"/>
          <w:szCs w:val="24"/>
        </w:rPr>
        <w:t>Plos One,</w:t>
      </w:r>
      <w:r w:rsidRPr="00552D1B">
        <w:rPr>
          <w:rFonts w:ascii="Times New Roman" w:hAnsi="Times New Roman" w:cs="Times New Roman"/>
          <w:sz w:val="24"/>
          <w:szCs w:val="24"/>
        </w:rPr>
        <w:t xml:space="preserve"> 10(12).</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Saltz, L. B., Clarke, S., Díaz-Rubio, E., Scheithauer, W., Figer, A., Wong, R., Koski, S., Lichinitser, M., Yang, T.-S. and Rivera, F. (2008) 'Bevacizumab in combination with oxaliplatin-based chemotherapy as first-line therapy in metastatic colorectal cancer: a randomized phase III study', </w:t>
      </w:r>
      <w:r w:rsidRPr="00552D1B">
        <w:rPr>
          <w:rFonts w:ascii="Times New Roman" w:hAnsi="Times New Roman" w:cs="Times New Roman"/>
          <w:i/>
          <w:sz w:val="24"/>
          <w:szCs w:val="24"/>
        </w:rPr>
        <w:t>Journal of clinical oncology,</w:t>
      </w:r>
      <w:r w:rsidRPr="00552D1B">
        <w:rPr>
          <w:rFonts w:ascii="Times New Roman" w:hAnsi="Times New Roman" w:cs="Times New Roman"/>
          <w:sz w:val="24"/>
          <w:szCs w:val="24"/>
        </w:rPr>
        <w:t xml:space="preserve"> 26(12), pp. 2013-2019.</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Sandelin, A., Wasserman, W. W. and Lenhard, B. (2004) 'ConSite: web-based prediction of regulatory elements using cross-species comparison', </w:t>
      </w:r>
      <w:r w:rsidRPr="00552D1B">
        <w:rPr>
          <w:rFonts w:ascii="Times New Roman" w:hAnsi="Times New Roman" w:cs="Times New Roman"/>
          <w:i/>
          <w:sz w:val="24"/>
          <w:szCs w:val="24"/>
        </w:rPr>
        <w:t>Nucleic acids research,</w:t>
      </w:r>
      <w:r w:rsidRPr="00552D1B">
        <w:rPr>
          <w:rFonts w:ascii="Times New Roman" w:hAnsi="Times New Roman" w:cs="Times New Roman"/>
          <w:sz w:val="24"/>
          <w:szCs w:val="24"/>
        </w:rPr>
        <w:t xml:space="preserve"> 32(suppl 2), pp. W249-W252.</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Scheuer, W., Friess, T., Burtscher, H., Bossenmaier, B., Endl, J. and Hasmann, M. (2009) 'Strongly enhanced antitumor activity of trastuzumab and pertuzumab combination </w:t>
      </w:r>
      <w:r w:rsidRPr="00552D1B">
        <w:rPr>
          <w:rFonts w:ascii="Times New Roman" w:hAnsi="Times New Roman" w:cs="Times New Roman"/>
          <w:sz w:val="24"/>
          <w:szCs w:val="24"/>
        </w:rPr>
        <w:lastRenderedPageBreak/>
        <w:t xml:space="preserve">treatment on HER2-positive human xenograft tumor models', </w:t>
      </w:r>
      <w:r w:rsidRPr="00552D1B">
        <w:rPr>
          <w:rFonts w:ascii="Times New Roman" w:hAnsi="Times New Roman" w:cs="Times New Roman"/>
          <w:i/>
          <w:sz w:val="24"/>
          <w:szCs w:val="24"/>
        </w:rPr>
        <w:t>Cancer research,</w:t>
      </w:r>
      <w:r w:rsidRPr="00552D1B">
        <w:rPr>
          <w:rFonts w:ascii="Times New Roman" w:hAnsi="Times New Roman" w:cs="Times New Roman"/>
          <w:sz w:val="24"/>
          <w:szCs w:val="24"/>
        </w:rPr>
        <w:t xml:space="preserve"> 69(24), pp. 9330-9336.</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Schlegel, J., Stumm, G., Brändle, K., Merdes, A., Mechtersheimer, G., Hynes, N. E. and Kiessling, M. (1994) 'Amplification and differential expression of members of theerbB-gene family in human glioblastoma', </w:t>
      </w:r>
      <w:r w:rsidRPr="00552D1B">
        <w:rPr>
          <w:rFonts w:ascii="Times New Roman" w:hAnsi="Times New Roman" w:cs="Times New Roman"/>
          <w:i/>
          <w:sz w:val="24"/>
          <w:szCs w:val="24"/>
        </w:rPr>
        <w:t>Journal of neuro-oncology,</w:t>
      </w:r>
      <w:r w:rsidRPr="00552D1B">
        <w:rPr>
          <w:rFonts w:ascii="Times New Roman" w:hAnsi="Times New Roman" w:cs="Times New Roman"/>
          <w:sz w:val="24"/>
          <w:szCs w:val="24"/>
        </w:rPr>
        <w:t xml:space="preserve"> 22(3), pp. 201-207.</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Schlessinger, J. (2000) 'Cell Signaling by Receptor Tyrosine Kinases', </w:t>
      </w:r>
      <w:r w:rsidRPr="00552D1B">
        <w:rPr>
          <w:rFonts w:ascii="Times New Roman" w:hAnsi="Times New Roman" w:cs="Times New Roman"/>
          <w:i/>
          <w:sz w:val="24"/>
          <w:szCs w:val="24"/>
        </w:rPr>
        <w:t>Cell,</w:t>
      </w:r>
      <w:r w:rsidRPr="00552D1B">
        <w:rPr>
          <w:rFonts w:ascii="Times New Roman" w:hAnsi="Times New Roman" w:cs="Times New Roman"/>
          <w:sz w:val="24"/>
          <w:szCs w:val="24"/>
        </w:rPr>
        <w:t xml:space="preserve"> 103(2), pp. 211-225.</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Schneider, M. R. a. W., E (2009) 'The epidermal growth factor receptor ligands at a glance', </w:t>
      </w:r>
      <w:r w:rsidRPr="00552D1B">
        <w:rPr>
          <w:rFonts w:ascii="Times New Roman" w:hAnsi="Times New Roman" w:cs="Times New Roman"/>
          <w:i/>
          <w:sz w:val="24"/>
          <w:szCs w:val="24"/>
        </w:rPr>
        <w:t>Journal of Cellular Physiology,</w:t>
      </w:r>
      <w:r w:rsidRPr="00552D1B">
        <w:rPr>
          <w:rFonts w:ascii="Times New Roman" w:hAnsi="Times New Roman" w:cs="Times New Roman"/>
          <w:sz w:val="24"/>
          <w:szCs w:val="24"/>
        </w:rPr>
        <w:t xml:space="preserve"> 218(3), pp. 460-466.</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Schraml, P., Schwerdtfeger, G., Burkhalter, F., Raggi, A., Schmidt, D., Ruffalo, T., King, W., Wilber, K., Mihatsch, M. J. and Moch, H. (2003) 'Combined array comparative genomic hybridization and tissue microarray analysis suggest PAK1 at 11q13. 5-q14 as a critical oncogene target in ovarian carcinoma', </w:t>
      </w:r>
      <w:r w:rsidRPr="00552D1B">
        <w:rPr>
          <w:rFonts w:ascii="Times New Roman" w:hAnsi="Times New Roman" w:cs="Times New Roman"/>
          <w:i/>
          <w:sz w:val="24"/>
          <w:szCs w:val="24"/>
        </w:rPr>
        <w:t>The American journal of pathology,</w:t>
      </w:r>
      <w:r w:rsidRPr="00552D1B">
        <w:rPr>
          <w:rFonts w:ascii="Times New Roman" w:hAnsi="Times New Roman" w:cs="Times New Roman"/>
          <w:sz w:val="24"/>
          <w:szCs w:val="24"/>
        </w:rPr>
        <w:t xml:space="preserve"> 163(3), pp. 985-992.</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Scully, R. E. (1979) 'Tumors of the ovary and maldeveloped gonads', </w:t>
      </w:r>
      <w:r w:rsidRPr="00552D1B">
        <w:rPr>
          <w:rFonts w:ascii="Times New Roman" w:hAnsi="Times New Roman" w:cs="Times New Roman"/>
          <w:i/>
          <w:sz w:val="24"/>
          <w:szCs w:val="24"/>
        </w:rPr>
        <w:t>Atlas of tumor pathology,</w:t>
      </w:r>
      <w:r w:rsidRPr="00552D1B">
        <w:rPr>
          <w:rFonts w:ascii="Times New Roman" w:hAnsi="Times New Roman" w:cs="Times New Roman"/>
          <w:sz w:val="24"/>
          <w:szCs w:val="24"/>
        </w:rPr>
        <w:t xml:space="preserve"> 16, pp. 316-317.</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Seidman, J. D., Cho, K. R., Ronnett, B. M. and Kurman, R. J. (2011) 'Surface epithelial tumors of the ovary',  </w:t>
      </w:r>
      <w:r w:rsidRPr="00552D1B">
        <w:rPr>
          <w:rFonts w:ascii="Times New Roman" w:hAnsi="Times New Roman" w:cs="Times New Roman"/>
          <w:i/>
          <w:sz w:val="24"/>
          <w:szCs w:val="24"/>
        </w:rPr>
        <w:t>Blaustein’s pathology of the female genital tract</w:t>
      </w:r>
      <w:r w:rsidRPr="00552D1B">
        <w:rPr>
          <w:rFonts w:ascii="Times New Roman" w:hAnsi="Times New Roman" w:cs="Times New Roman"/>
          <w:sz w:val="24"/>
          <w:szCs w:val="24"/>
        </w:rPr>
        <w:t>: Springer, pp. 679-784.</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Sequist, L. V., Martins, R. G., Spigel, D., Grunberg, S. M., Spira, A., Jänne, P. A., Joshi, V. A., McCollum, D., Evans, T. L. and Muzikansky, A. (2008) 'First-line gefitinib in patients with advanced non–small-cell lung cancer harboring somatic EGFR mutations', </w:t>
      </w:r>
      <w:r w:rsidRPr="00552D1B">
        <w:rPr>
          <w:rFonts w:ascii="Times New Roman" w:hAnsi="Times New Roman" w:cs="Times New Roman"/>
          <w:i/>
          <w:sz w:val="24"/>
          <w:szCs w:val="24"/>
        </w:rPr>
        <w:t>Journal of Clinical Oncology,</w:t>
      </w:r>
      <w:r w:rsidRPr="00552D1B">
        <w:rPr>
          <w:rFonts w:ascii="Times New Roman" w:hAnsi="Times New Roman" w:cs="Times New Roman"/>
          <w:sz w:val="24"/>
          <w:szCs w:val="24"/>
        </w:rPr>
        <w:t xml:space="preserve"> 26(15), pp. 2442-2449.</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Sergina, N. V., Rausch, M., Wang, D., Blair, J., Hann, B., Shokat, K. M. and Moasser, M. M. (2007) 'Escape from HER-family tyrosine kinase inhibitor therapy by the kinase-inactive HER3', </w:t>
      </w:r>
      <w:r w:rsidRPr="00552D1B">
        <w:rPr>
          <w:rFonts w:ascii="Times New Roman" w:hAnsi="Times New Roman" w:cs="Times New Roman"/>
          <w:i/>
          <w:sz w:val="24"/>
          <w:szCs w:val="24"/>
        </w:rPr>
        <w:t>Nature,</w:t>
      </w:r>
      <w:r w:rsidRPr="00552D1B">
        <w:rPr>
          <w:rFonts w:ascii="Times New Roman" w:hAnsi="Times New Roman" w:cs="Times New Roman"/>
          <w:sz w:val="24"/>
          <w:szCs w:val="24"/>
        </w:rPr>
        <w:t xml:space="preserve"> 445(7126), pp. 437-441.</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Serrano-Olvera, A., Dueñas-González, A., Gallardo-Rincón, D., Candelaria, M. and De la Garza-Salazar, J. (2006) 'Prognostic, predictive and therapeutic implications of HER2 in invasive epithelial ovarian cancer', </w:t>
      </w:r>
      <w:r w:rsidRPr="00552D1B">
        <w:rPr>
          <w:rFonts w:ascii="Times New Roman" w:hAnsi="Times New Roman" w:cs="Times New Roman"/>
          <w:i/>
          <w:sz w:val="24"/>
          <w:szCs w:val="24"/>
        </w:rPr>
        <w:t>Cancer treatment reviews,</w:t>
      </w:r>
      <w:r w:rsidRPr="00552D1B">
        <w:rPr>
          <w:rFonts w:ascii="Times New Roman" w:hAnsi="Times New Roman" w:cs="Times New Roman"/>
          <w:sz w:val="24"/>
          <w:szCs w:val="24"/>
        </w:rPr>
        <w:t xml:space="preserve"> 32(3), pp. 180-190.</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Shattuck, D. L., Miller, J. K., Carraway, K. L. and Sweeney, C. (2008) 'Met receptor contributes to trastuzumab resistance of Her2-overexpressing breast cancer cells', </w:t>
      </w:r>
      <w:r w:rsidRPr="00552D1B">
        <w:rPr>
          <w:rFonts w:ascii="Times New Roman" w:hAnsi="Times New Roman" w:cs="Times New Roman"/>
          <w:i/>
          <w:sz w:val="24"/>
          <w:szCs w:val="24"/>
        </w:rPr>
        <w:t>Cancer research,</w:t>
      </w:r>
      <w:r w:rsidRPr="00552D1B">
        <w:rPr>
          <w:rFonts w:ascii="Times New Roman" w:hAnsi="Times New Roman" w:cs="Times New Roman"/>
          <w:sz w:val="24"/>
          <w:szCs w:val="24"/>
        </w:rPr>
        <w:t xml:space="preserve"> 68(5), pp. 1471-1477.</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Shende, P., Patil, S. and Gaud, R. S. (2017) 'A combinatorial approach of inclusion complexation and dendrimer synthesization for effective targeting EGFR-TK', </w:t>
      </w:r>
      <w:r w:rsidRPr="00552D1B">
        <w:rPr>
          <w:rFonts w:ascii="Times New Roman" w:hAnsi="Times New Roman" w:cs="Times New Roman"/>
          <w:i/>
          <w:sz w:val="24"/>
          <w:szCs w:val="24"/>
        </w:rPr>
        <w:t>Materials Science and Engineering: C,</w:t>
      </w:r>
      <w:r w:rsidRPr="00552D1B">
        <w:rPr>
          <w:rFonts w:ascii="Times New Roman" w:hAnsi="Times New Roman" w:cs="Times New Roman"/>
          <w:sz w:val="24"/>
          <w:szCs w:val="24"/>
        </w:rPr>
        <w:t xml:space="preserve"> 76, pp. 959-965.</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Shibata, T. (2008) 'Genetic alteration of Keap1 confers constitutive Nrf2 activation and resistance to chemotherapy in gallbladder cancer', </w:t>
      </w:r>
      <w:r w:rsidRPr="00552D1B">
        <w:rPr>
          <w:rFonts w:ascii="Times New Roman" w:hAnsi="Times New Roman" w:cs="Times New Roman"/>
          <w:i/>
          <w:sz w:val="24"/>
          <w:szCs w:val="24"/>
        </w:rPr>
        <w:t>Gastroenterology,</w:t>
      </w:r>
      <w:r w:rsidRPr="00552D1B">
        <w:rPr>
          <w:rFonts w:ascii="Times New Roman" w:hAnsi="Times New Roman" w:cs="Times New Roman"/>
          <w:sz w:val="24"/>
          <w:szCs w:val="24"/>
        </w:rPr>
        <w:t xml:space="preserve"> 135, pp. 1358-1368.</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Sims, A. H., Zweemer, A. J., Nagumo, Y., Faratian, D., Muir, M., Dodds, M., Um, I., Kay, C., Hasmann, M. and Harrison, D. J. (2012a) 'Defining the molecular response to trastuzumab, pertuzumab and combination therapy in ovarian cancer', </w:t>
      </w:r>
      <w:r w:rsidRPr="00552D1B">
        <w:rPr>
          <w:rFonts w:ascii="Times New Roman" w:hAnsi="Times New Roman" w:cs="Times New Roman"/>
          <w:i/>
          <w:sz w:val="24"/>
          <w:szCs w:val="24"/>
        </w:rPr>
        <w:t>British journal of cancer,</w:t>
      </w:r>
      <w:r w:rsidRPr="00552D1B">
        <w:rPr>
          <w:rFonts w:ascii="Times New Roman" w:hAnsi="Times New Roman" w:cs="Times New Roman"/>
          <w:sz w:val="24"/>
          <w:szCs w:val="24"/>
        </w:rPr>
        <w:t xml:space="preserve"> 106(11), pp. 1779-1789.</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Sims, A. H., Zweemer, A. J., Nagumo, Y., Faratian, D., Muir, M., Dodds, M., Um, I., Kay, C., Hasmann, M., Harrison, D. J. and Langdon, S. P. (2012b) 'Defining the molecular response to trastuzumab, pertuzumab and combination therapy in ovarian cancer', </w:t>
      </w:r>
      <w:r w:rsidRPr="00552D1B">
        <w:rPr>
          <w:rFonts w:ascii="Times New Roman" w:hAnsi="Times New Roman" w:cs="Times New Roman"/>
          <w:i/>
          <w:sz w:val="24"/>
          <w:szCs w:val="24"/>
        </w:rPr>
        <w:t>Br J Cancer,</w:t>
      </w:r>
      <w:r w:rsidRPr="00552D1B">
        <w:rPr>
          <w:rFonts w:ascii="Times New Roman" w:hAnsi="Times New Roman" w:cs="Times New Roman"/>
          <w:sz w:val="24"/>
          <w:szCs w:val="24"/>
        </w:rPr>
        <w:t xml:space="preserve"> 106(11), pp. 1779-1789.</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Singh, A. (2006) 'Dysfunctional KEAP1–NRF2 interaction in non-small-cell lung cancer', </w:t>
      </w:r>
      <w:r w:rsidRPr="00552D1B">
        <w:rPr>
          <w:rFonts w:ascii="Times New Roman" w:hAnsi="Times New Roman" w:cs="Times New Roman"/>
          <w:i/>
          <w:sz w:val="24"/>
          <w:szCs w:val="24"/>
        </w:rPr>
        <w:t>PLoS Med.,</w:t>
      </w:r>
      <w:r w:rsidRPr="00552D1B">
        <w:rPr>
          <w:rFonts w:ascii="Times New Roman" w:hAnsi="Times New Roman" w:cs="Times New Roman"/>
          <w:sz w:val="24"/>
          <w:szCs w:val="24"/>
        </w:rPr>
        <w:t xml:space="preserve"> 3, pp. e420.</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Singh, A., Bodas, M., Wakabayashi, N., Bunz, F. and Biswal, S. (2010) 'Gain of Nrf2 function in non-small-cell lung cancer cells confers radioresistance', </w:t>
      </w:r>
      <w:r w:rsidRPr="00552D1B">
        <w:rPr>
          <w:rFonts w:ascii="Times New Roman" w:hAnsi="Times New Roman" w:cs="Times New Roman"/>
          <w:i/>
          <w:sz w:val="24"/>
          <w:szCs w:val="24"/>
        </w:rPr>
        <w:t>Antioxidants &amp; redox signaling,</w:t>
      </w:r>
      <w:r w:rsidRPr="00552D1B">
        <w:rPr>
          <w:rFonts w:ascii="Times New Roman" w:hAnsi="Times New Roman" w:cs="Times New Roman"/>
          <w:sz w:val="24"/>
          <w:szCs w:val="24"/>
        </w:rPr>
        <w:t xml:space="preserve"> 13(11), pp. 1627-1637.</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Singh, A., Happel, C., Manna, S. K., Acquaah-Mensah, G., Carrerero, J., Kumar, S., Nasipuri, P., Krausz, K. W., Wakabayashi, N. and Dewi, R. (2013) 'Transcription factor NRF2 </w:t>
      </w:r>
      <w:r w:rsidRPr="00552D1B">
        <w:rPr>
          <w:rFonts w:ascii="Times New Roman" w:hAnsi="Times New Roman" w:cs="Times New Roman"/>
          <w:sz w:val="24"/>
          <w:szCs w:val="24"/>
        </w:rPr>
        <w:lastRenderedPageBreak/>
        <w:t xml:space="preserve">regulates miR-1 and miR-206 to drive tumorigenesis', </w:t>
      </w:r>
      <w:r w:rsidRPr="00552D1B">
        <w:rPr>
          <w:rFonts w:ascii="Times New Roman" w:hAnsi="Times New Roman" w:cs="Times New Roman"/>
          <w:i/>
          <w:sz w:val="24"/>
          <w:szCs w:val="24"/>
        </w:rPr>
        <w:t>The Journal of clinical investigation,</w:t>
      </w:r>
      <w:r w:rsidRPr="00552D1B">
        <w:rPr>
          <w:rFonts w:ascii="Times New Roman" w:hAnsi="Times New Roman" w:cs="Times New Roman"/>
          <w:sz w:val="24"/>
          <w:szCs w:val="24"/>
        </w:rPr>
        <w:t xml:space="preserve"> 123(7), pp. 2921-2934.</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Sirota, R., Gibson, D. and Kohen, R. (2015) 'The role of the catecholic and the electrophilic moieties of caffeic acid in Nrf2/Keap1 pathway activation in ovarian carcinoma cell lines', </w:t>
      </w:r>
      <w:r w:rsidRPr="00552D1B">
        <w:rPr>
          <w:rFonts w:ascii="Times New Roman" w:hAnsi="Times New Roman" w:cs="Times New Roman"/>
          <w:i/>
          <w:sz w:val="24"/>
          <w:szCs w:val="24"/>
        </w:rPr>
        <w:t>Redox Biology,</w:t>
      </w:r>
      <w:r w:rsidRPr="00552D1B">
        <w:rPr>
          <w:rFonts w:ascii="Times New Roman" w:hAnsi="Times New Roman" w:cs="Times New Roman"/>
          <w:sz w:val="24"/>
          <w:szCs w:val="24"/>
        </w:rPr>
        <w:t xml:space="preserve"> 4, pp. 48-59.</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Slamon, D. J., Leyland-Jones, B., Shak, S., Fuchs, H., Paton, V., Bajamonde, A., Fleming, T., Eiermann, W., Wolter, J. and Pegram, M. (2001) 'Use of chemotherapy plus a monoclonal antibody against HER2 for metastatic breast cancer that overexpresses HER2', </w:t>
      </w:r>
      <w:r w:rsidRPr="00552D1B">
        <w:rPr>
          <w:rFonts w:ascii="Times New Roman" w:hAnsi="Times New Roman" w:cs="Times New Roman"/>
          <w:i/>
          <w:sz w:val="24"/>
          <w:szCs w:val="24"/>
        </w:rPr>
        <w:t>New England Journal of Medicine,</w:t>
      </w:r>
      <w:r w:rsidRPr="00552D1B">
        <w:rPr>
          <w:rFonts w:ascii="Times New Roman" w:hAnsi="Times New Roman" w:cs="Times New Roman"/>
          <w:sz w:val="24"/>
          <w:szCs w:val="24"/>
        </w:rPr>
        <w:t xml:space="preserve"> 344(11), pp. 783-792.</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Solis, L. M., Behrens, C., Dong, W., Suraokar, M., Ozburn, N. C., Moran, C. A., Corvalan, A. H., Biswal, S., Swisher, S. G., Bekele, B. N., Minna, J. D., Stewart, D. J. and Wistuba, I. I. (2010) 'Nrf2 and Keap1 Abnormalities in Non-Small Cell Lung Carcinoma and Association with Clinicopathologic Features', </w:t>
      </w:r>
      <w:r w:rsidRPr="00552D1B">
        <w:rPr>
          <w:rFonts w:ascii="Times New Roman" w:hAnsi="Times New Roman" w:cs="Times New Roman"/>
          <w:i/>
          <w:sz w:val="24"/>
          <w:szCs w:val="24"/>
        </w:rPr>
        <w:t>Clinical cancer research : an official journal of the American Association for Cancer Research,</w:t>
      </w:r>
      <w:r w:rsidRPr="00552D1B">
        <w:rPr>
          <w:rFonts w:ascii="Times New Roman" w:hAnsi="Times New Roman" w:cs="Times New Roman"/>
          <w:sz w:val="24"/>
          <w:szCs w:val="24"/>
        </w:rPr>
        <w:t xml:space="preserve"> 16(14), pp. 3743-3753.</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Springer, M. L., Chen, A. S., Kraft, P. E., Bednarski, M. and Blau, H. M. (1998) 'VEGF gene delivery to muscle: potential role for vasculogenesis in adults', </w:t>
      </w:r>
      <w:r w:rsidRPr="00552D1B">
        <w:rPr>
          <w:rFonts w:ascii="Times New Roman" w:hAnsi="Times New Roman" w:cs="Times New Roman"/>
          <w:i/>
          <w:sz w:val="24"/>
          <w:szCs w:val="24"/>
        </w:rPr>
        <w:t>Molecular cell,</w:t>
      </w:r>
      <w:r w:rsidRPr="00552D1B">
        <w:rPr>
          <w:rFonts w:ascii="Times New Roman" w:hAnsi="Times New Roman" w:cs="Times New Roman"/>
          <w:sz w:val="24"/>
          <w:szCs w:val="24"/>
        </w:rPr>
        <w:t xml:space="preserve"> 2(5), pp. 549-558.</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Srinivasan, R., Benton, E., McCormick, F., Thomas, H. and Gullick, W. J. (1999) 'Expression of the c-erbB-3/HER-3 and c-erbB-4/HER-4 growth factor receptors and their ligands, neuregulin-1 α, neuregulin-1 β, and betacellulin, in normal endometrium and endometrial cancer', </w:t>
      </w:r>
      <w:r w:rsidRPr="00552D1B">
        <w:rPr>
          <w:rFonts w:ascii="Times New Roman" w:hAnsi="Times New Roman" w:cs="Times New Roman"/>
          <w:i/>
          <w:sz w:val="24"/>
          <w:szCs w:val="24"/>
        </w:rPr>
        <w:t>Clinical cancer research,</w:t>
      </w:r>
      <w:r w:rsidRPr="00552D1B">
        <w:rPr>
          <w:rFonts w:ascii="Times New Roman" w:hAnsi="Times New Roman" w:cs="Times New Roman"/>
          <w:sz w:val="24"/>
          <w:szCs w:val="24"/>
        </w:rPr>
        <w:t xml:space="preserve"> 5(10), pp. 2877-2883.</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equiperdum', </w:t>
      </w:r>
      <w:r w:rsidRPr="00552D1B">
        <w:rPr>
          <w:rFonts w:ascii="Times New Roman" w:hAnsi="Times New Roman" w:cs="Times New Roman"/>
          <w:i/>
          <w:sz w:val="24"/>
          <w:szCs w:val="24"/>
        </w:rPr>
        <w:t>International Journal for Parasitology: Drugs and Drug Resistance,</w:t>
      </w:r>
      <w:r w:rsidRPr="00552D1B">
        <w:rPr>
          <w:rFonts w:ascii="Times New Roman" w:hAnsi="Times New Roman" w:cs="Times New Roman"/>
          <w:sz w:val="24"/>
          <w:szCs w:val="24"/>
        </w:rPr>
        <w:t xml:space="preserve"> 7(2), pp. 200-205.</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Takakura, M., Kyo, S., Kanaya, T., Hirano, H., Takeda, J., Yutsudo, M. and Inoue, M. (1999) 'Cloning of human telomerase catalytic subunit (hTERT) gene promoter and identification of proximal core promoter sequences essential for transcriptional activation in immortalized and cancer cells', </w:t>
      </w:r>
      <w:r w:rsidRPr="00552D1B">
        <w:rPr>
          <w:rFonts w:ascii="Times New Roman" w:hAnsi="Times New Roman" w:cs="Times New Roman"/>
          <w:i/>
          <w:sz w:val="24"/>
          <w:szCs w:val="24"/>
        </w:rPr>
        <w:t>Cancer research,</w:t>
      </w:r>
      <w:r w:rsidRPr="00552D1B">
        <w:rPr>
          <w:rFonts w:ascii="Times New Roman" w:hAnsi="Times New Roman" w:cs="Times New Roman"/>
          <w:sz w:val="24"/>
          <w:szCs w:val="24"/>
        </w:rPr>
        <w:t xml:space="preserve"> 59(3), pp. 551-557.</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Tal, M., King, C. R., Kraus, M. H., Ullrich, A., Schlessinger, J. and Givol, D. (1987) 'Human HER2 (neu) promoter: evidence for multiple mechanisms for transcriptional initiation', </w:t>
      </w:r>
      <w:r w:rsidRPr="00552D1B">
        <w:rPr>
          <w:rFonts w:ascii="Times New Roman" w:hAnsi="Times New Roman" w:cs="Times New Roman"/>
          <w:i/>
          <w:sz w:val="24"/>
          <w:szCs w:val="24"/>
        </w:rPr>
        <w:t>Molecular and cellular biology,</w:t>
      </w:r>
      <w:r w:rsidRPr="00552D1B">
        <w:rPr>
          <w:rFonts w:ascii="Times New Roman" w:hAnsi="Times New Roman" w:cs="Times New Roman"/>
          <w:sz w:val="24"/>
          <w:szCs w:val="24"/>
        </w:rPr>
        <w:t xml:space="preserve"> 7(7), pp. 2597-2601.</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Talalay, P., Fahey, J. W., Healy, Z. R., Wehage, S. L., Benedict, A. L., Min, C. and Dinkova-Kostova, A. T. (2007) 'Sulforaphane mobilizes cellular defenses that protect skin against damage by UV radiation', </w:t>
      </w:r>
      <w:r w:rsidRPr="00552D1B">
        <w:rPr>
          <w:rFonts w:ascii="Times New Roman" w:hAnsi="Times New Roman" w:cs="Times New Roman"/>
          <w:i/>
          <w:sz w:val="24"/>
          <w:szCs w:val="24"/>
        </w:rPr>
        <w:t>Proceedings of the National Academy of Sciences,</w:t>
      </w:r>
      <w:r w:rsidRPr="00552D1B">
        <w:rPr>
          <w:rFonts w:ascii="Times New Roman" w:hAnsi="Times New Roman" w:cs="Times New Roman"/>
          <w:sz w:val="24"/>
          <w:szCs w:val="24"/>
        </w:rPr>
        <w:t xml:space="preserve"> 104(44), pp. 17500-17505.</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Talerman, A. and Vang, R. (2011a) 'Germ cell tumors of the ovary',  </w:t>
      </w:r>
      <w:r w:rsidRPr="00552D1B">
        <w:rPr>
          <w:rFonts w:ascii="Times New Roman" w:hAnsi="Times New Roman" w:cs="Times New Roman"/>
          <w:i/>
          <w:sz w:val="24"/>
          <w:szCs w:val="24"/>
        </w:rPr>
        <w:t>Blaustein’s pathology of the female genital tract</w:t>
      </w:r>
      <w:r w:rsidRPr="00552D1B">
        <w:rPr>
          <w:rFonts w:ascii="Times New Roman" w:hAnsi="Times New Roman" w:cs="Times New Roman"/>
          <w:sz w:val="24"/>
          <w:szCs w:val="24"/>
        </w:rPr>
        <w:t>: Springer, pp. 847-907.</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Talerman, A. and Vang, R. (2011b) 'Nonspecific Tumors of the Ovary, Including Mesenchymal Tumors',  </w:t>
      </w:r>
      <w:r w:rsidRPr="00552D1B">
        <w:rPr>
          <w:rFonts w:ascii="Times New Roman" w:hAnsi="Times New Roman" w:cs="Times New Roman"/>
          <w:i/>
          <w:sz w:val="24"/>
          <w:szCs w:val="24"/>
        </w:rPr>
        <w:t>Blaustein’s Pathology of the Female Genital Tract</w:t>
      </w:r>
      <w:r w:rsidRPr="00552D1B">
        <w:rPr>
          <w:rFonts w:ascii="Times New Roman" w:hAnsi="Times New Roman" w:cs="Times New Roman"/>
          <w:sz w:val="24"/>
          <w:szCs w:val="24"/>
        </w:rPr>
        <w:t>: Springer, pp. 909-928.</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Talpur, R., Thompson, A., Gangar, P. and Duvic, M. (2014) 'Pralatrexate alone or in combination with bexarotene: long-term tolerability in re</w:t>
      </w:r>
      <w:r w:rsidR="0074410B">
        <w:rPr>
          <w:rFonts w:ascii="Times New Roman" w:hAnsi="Times New Roman" w:cs="Times New Roman"/>
          <w:sz w:val="24"/>
          <w:szCs w:val="24"/>
        </w:rPr>
        <w:t>lapatinib</w:t>
      </w:r>
      <w:r w:rsidRPr="00552D1B">
        <w:rPr>
          <w:rFonts w:ascii="Times New Roman" w:hAnsi="Times New Roman" w:cs="Times New Roman"/>
          <w:sz w:val="24"/>
          <w:szCs w:val="24"/>
        </w:rPr>
        <w:t xml:space="preserve">sed/refractory mycosis fungoides', </w:t>
      </w:r>
      <w:r w:rsidRPr="00552D1B">
        <w:rPr>
          <w:rFonts w:ascii="Times New Roman" w:hAnsi="Times New Roman" w:cs="Times New Roman"/>
          <w:i/>
          <w:sz w:val="24"/>
          <w:szCs w:val="24"/>
        </w:rPr>
        <w:t>Clinical Lymphoma Myeloma and Leukemia,</w:t>
      </w:r>
      <w:r w:rsidRPr="00552D1B">
        <w:rPr>
          <w:rFonts w:ascii="Times New Roman" w:hAnsi="Times New Roman" w:cs="Times New Roman"/>
          <w:sz w:val="24"/>
          <w:szCs w:val="24"/>
        </w:rPr>
        <w:t xml:space="preserve"> 14(4), pp. 297-304.</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Tan, K. P., Kosuge, K., Yang, M. and Ito, S. (2008) 'NRF2 as a determinant of cellular resistance in retinoic acid cytotoxicity', </w:t>
      </w:r>
      <w:r w:rsidRPr="00552D1B">
        <w:rPr>
          <w:rFonts w:ascii="Times New Roman" w:hAnsi="Times New Roman" w:cs="Times New Roman"/>
          <w:i/>
          <w:sz w:val="24"/>
          <w:szCs w:val="24"/>
        </w:rPr>
        <w:t>Free Radical Biology and Medicine,</w:t>
      </w:r>
      <w:r w:rsidRPr="00552D1B">
        <w:rPr>
          <w:rFonts w:ascii="Times New Roman" w:hAnsi="Times New Roman" w:cs="Times New Roman"/>
          <w:sz w:val="24"/>
          <w:szCs w:val="24"/>
        </w:rPr>
        <w:t xml:space="preserve"> 45(12), pp. 1663-1673.</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Tang, X., Wang, H., Fan, L., Wu, X., Xin, A., Ren, H. and Wang, X. J. (2011) 'Luteolin inhibits Nrf2 leading to negative regulation of the Nrf2/ARE pathway and sensitization of human lung carcinoma A549 cells to therapeutic drugs', </w:t>
      </w:r>
      <w:r w:rsidRPr="00552D1B">
        <w:rPr>
          <w:rFonts w:ascii="Times New Roman" w:hAnsi="Times New Roman" w:cs="Times New Roman"/>
          <w:i/>
          <w:sz w:val="24"/>
          <w:szCs w:val="24"/>
        </w:rPr>
        <w:t>Free Radical Biology and Medicine,</w:t>
      </w:r>
      <w:r w:rsidRPr="00552D1B">
        <w:rPr>
          <w:rFonts w:ascii="Times New Roman" w:hAnsi="Times New Roman" w:cs="Times New Roman"/>
          <w:sz w:val="24"/>
          <w:szCs w:val="24"/>
        </w:rPr>
        <w:t xml:space="preserve"> 50(11), pp. 1599-1609.</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Tang, X.-H., Osei-Sarfo, K., Urvalek, A. M., Zhang, T., Scognamiglio, T. and Gudas, L. J. (2014) 'Combination of bexarotene and the retinoid CD1530 reduces murine oral-cavity </w:t>
      </w:r>
      <w:r w:rsidRPr="00552D1B">
        <w:rPr>
          <w:rFonts w:ascii="Times New Roman" w:hAnsi="Times New Roman" w:cs="Times New Roman"/>
          <w:sz w:val="24"/>
          <w:szCs w:val="24"/>
        </w:rPr>
        <w:lastRenderedPageBreak/>
        <w:t xml:space="preserve">carcinogenesis induced by the carcinogen 4-nitroquinoline 1-oxide', </w:t>
      </w:r>
      <w:r w:rsidRPr="00552D1B">
        <w:rPr>
          <w:rFonts w:ascii="Times New Roman" w:hAnsi="Times New Roman" w:cs="Times New Roman"/>
          <w:i/>
          <w:sz w:val="24"/>
          <w:szCs w:val="24"/>
        </w:rPr>
        <w:t>Proceedings of the National Academy of Sciences,</w:t>
      </w:r>
      <w:r w:rsidRPr="00552D1B">
        <w:rPr>
          <w:rFonts w:ascii="Times New Roman" w:hAnsi="Times New Roman" w:cs="Times New Roman"/>
          <w:sz w:val="24"/>
          <w:szCs w:val="24"/>
        </w:rPr>
        <w:t xml:space="preserve"> 111(24), pp. 8907-8912.</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Tanner, B., Hasenclever, D., Stern, K., Schormann, W., Bezler, M., Hermes, M., Brulport, M., Bauer, A., Schiffer, I. B. and Gebhard, S. (2006) 'ErbB-3 predicts survival in ovarian cancer', </w:t>
      </w:r>
      <w:r w:rsidRPr="00552D1B">
        <w:rPr>
          <w:rFonts w:ascii="Times New Roman" w:hAnsi="Times New Roman" w:cs="Times New Roman"/>
          <w:i/>
          <w:sz w:val="24"/>
          <w:szCs w:val="24"/>
        </w:rPr>
        <w:t>Journal of clinical oncology,</w:t>
      </w:r>
      <w:r w:rsidRPr="00552D1B">
        <w:rPr>
          <w:rFonts w:ascii="Times New Roman" w:hAnsi="Times New Roman" w:cs="Times New Roman"/>
          <w:sz w:val="24"/>
          <w:szCs w:val="24"/>
        </w:rPr>
        <w:t xml:space="preserve"> 24(26), pp. 4317-4323.</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Tapia, C., Glatz, K., Novotny, H., Lugli, A., Horcic, M., Seemayer, C. A., Tornillo, L., Terracciano, L., Spichtin, H. and Mirlacher, M. (2007) 'Close association between HER-2 amplification and overexpression in human tumors of non-breast origin', </w:t>
      </w:r>
      <w:r w:rsidRPr="00552D1B">
        <w:rPr>
          <w:rFonts w:ascii="Times New Roman" w:hAnsi="Times New Roman" w:cs="Times New Roman"/>
          <w:i/>
          <w:sz w:val="24"/>
          <w:szCs w:val="24"/>
        </w:rPr>
        <w:t>Modern pathology,</w:t>
      </w:r>
      <w:r w:rsidRPr="00552D1B">
        <w:rPr>
          <w:rFonts w:ascii="Times New Roman" w:hAnsi="Times New Roman" w:cs="Times New Roman"/>
          <w:sz w:val="24"/>
          <w:szCs w:val="24"/>
        </w:rPr>
        <w:t xml:space="preserve"> 20(2), pp. 192.</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Tarumoto, T., Nagai, T., Ohmine, K., Miyoshi, T., Nakamura, M., Kondo, T., Mitsugi, K., Nakano, S., Muroi, K., Komatsu, N. and Ozawa, K. (2004) 'Ascorbic acid restores sensitivity to imatinib via suppression of Nrf2-dependent gene expression in the imatinib-resistant cell line', </w:t>
      </w:r>
      <w:r w:rsidRPr="00552D1B">
        <w:rPr>
          <w:rFonts w:ascii="Times New Roman" w:hAnsi="Times New Roman" w:cs="Times New Roman"/>
          <w:i/>
          <w:sz w:val="24"/>
          <w:szCs w:val="24"/>
        </w:rPr>
        <w:t>Experimental Hematology,</w:t>
      </w:r>
      <w:r w:rsidRPr="00552D1B">
        <w:rPr>
          <w:rFonts w:ascii="Times New Roman" w:hAnsi="Times New Roman" w:cs="Times New Roman"/>
          <w:sz w:val="24"/>
          <w:szCs w:val="24"/>
        </w:rPr>
        <w:t xml:space="preserve"> 32(4), pp. 375-381.</w:t>
      </w:r>
    </w:p>
    <w:p w:rsid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Tebay, L. E., Robertson, H., Durant, S. T., Vitale, S. R., Penning, T. M., Dinkova-Kostova, A. T. and Hayes, J. D. (2015) 'Mechanisms of activation of the transcription factor Nrf2 by redox stressors, nutrient cues, and energy status and the pathways through which it attenuates degenerative disease', </w:t>
      </w:r>
      <w:r w:rsidRPr="00552D1B">
        <w:rPr>
          <w:rFonts w:ascii="Times New Roman" w:hAnsi="Times New Roman" w:cs="Times New Roman"/>
          <w:i/>
          <w:sz w:val="24"/>
          <w:szCs w:val="24"/>
        </w:rPr>
        <w:t>Free Radical Biology and Medicine,</w:t>
      </w:r>
      <w:r w:rsidRPr="00552D1B">
        <w:rPr>
          <w:rFonts w:ascii="Times New Roman" w:hAnsi="Times New Roman" w:cs="Times New Roman"/>
          <w:sz w:val="24"/>
          <w:szCs w:val="24"/>
        </w:rPr>
        <w:t xml:space="preserve"> 88, Part B, pp. 108-146.</w:t>
      </w:r>
    </w:p>
    <w:p w:rsidR="00C80715" w:rsidRPr="00552D1B" w:rsidRDefault="00C80715" w:rsidP="00552D1B">
      <w:pPr>
        <w:pStyle w:val="EndNoteBibliography"/>
        <w:spacing w:after="0"/>
        <w:ind w:left="720" w:hanging="720"/>
        <w:jc w:val="both"/>
        <w:rPr>
          <w:rFonts w:ascii="Times New Roman" w:hAnsi="Times New Roman" w:cs="Times New Roman"/>
          <w:sz w:val="24"/>
          <w:szCs w:val="24"/>
        </w:rPr>
      </w:pPr>
      <w:r w:rsidRPr="00C80715">
        <w:rPr>
          <w:rFonts w:ascii="Times New Roman" w:hAnsi="Times New Roman" w:cs="Times New Roman"/>
          <w:sz w:val="24"/>
          <w:szCs w:val="24"/>
        </w:rPr>
        <w:t>Tesfaye, A. (2021). Revealing the therapeutic uses of garlic (Allium sativum) and its potential for drug discovery. The Scientific World Journal, 2021(1), 8817288.</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Tew, W. P. (2016) 'Ovarian cancer in the older woman', </w:t>
      </w:r>
      <w:r w:rsidRPr="00552D1B">
        <w:rPr>
          <w:rFonts w:ascii="Times New Roman" w:hAnsi="Times New Roman" w:cs="Times New Roman"/>
          <w:i/>
          <w:sz w:val="24"/>
          <w:szCs w:val="24"/>
        </w:rPr>
        <w:t>Journal of geriatric oncology,</w:t>
      </w:r>
      <w:r w:rsidRPr="00552D1B">
        <w:rPr>
          <w:rFonts w:ascii="Times New Roman" w:hAnsi="Times New Roman" w:cs="Times New Roman"/>
          <w:sz w:val="24"/>
          <w:szCs w:val="24"/>
        </w:rPr>
        <w:t xml:space="preserve"> 7(5), pp. 354-361.</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Tew, W. P., Muss, H. B., Kimmick, G. G., Von Gruenigen, V. E. and Lichtman, S. M. (2014) 'Breast and ovarian cancer in the older woman', </w:t>
      </w:r>
      <w:r w:rsidRPr="00552D1B">
        <w:rPr>
          <w:rFonts w:ascii="Times New Roman" w:hAnsi="Times New Roman" w:cs="Times New Roman"/>
          <w:i/>
          <w:sz w:val="24"/>
          <w:szCs w:val="24"/>
        </w:rPr>
        <w:t>Journal of Clinical Oncology,</w:t>
      </w:r>
      <w:r w:rsidRPr="00552D1B">
        <w:rPr>
          <w:rFonts w:ascii="Times New Roman" w:hAnsi="Times New Roman" w:cs="Times New Roman"/>
          <w:sz w:val="24"/>
          <w:szCs w:val="24"/>
        </w:rPr>
        <w:t xml:space="preserve"> 32(24), pp. 2553-2561.</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Thimmu</w:t>
      </w:r>
      <w:r w:rsidR="0074410B">
        <w:rPr>
          <w:rFonts w:ascii="Times New Roman" w:hAnsi="Times New Roman" w:cs="Times New Roman"/>
          <w:sz w:val="24"/>
          <w:szCs w:val="24"/>
        </w:rPr>
        <w:t>lapatinib</w:t>
      </w:r>
      <w:r w:rsidRPr="00552D1B">
        <w:rPr>
          <w:rFonts w:ascii="Times New Roman" w:hAnsi="Times New Roman" w:cs="Times New Roman"/>
          <w:sz w:val="24"/>
          <w:szCs w:val="24"/>
        </w:rPr>
        <w:t xml:space="preserve">pa, R. K., Mai, K. H., Srisuma, S., Kensler, T. W., Yamamoto, M. and Biswal, S. (2002) 'Identification of Nrf2-regulated genes induced by the chemopreventive agent sulforaphane by oligonucleotide microarray', </w:t>
      </w:r>
      <w:r w:rsidRPr="00552D1B">
        <w:rPr>
          <w:rFonts w:ascii="Times New Roman" w:hAnsi="Times New Roman" w:cs="Times New Roman"/>
          <w:i/>
          <w:sz w:val="24"/>
          <w:szCs w:val="24"/>
        </w:rPr>
        <w:t>Cancer research,</w:t>
      </w:r>
      <w:r w:rsidRPr="00552D1B">
        <w:rPr>
          <w:rFonts w:ascii="Times New Roman" w:hAnsi="Times New Roman" w:cs="Times New Roman"/>
          <w:sz w:val="24"/>
          <w:szCs w:val="24"/>
        </w:rPr>
        <w:t xml:space="preserve"> 62(18), pp. 5196-5203.</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Tiscornia, G., Singer, O., Ikawa, M. and Verma, I. M. (2003) 'A general method for gene knockdown in mice by using lentiviral vectors expressing small interfering RNA', </w:t>
      </w:r>
      <w:r w:rsidRPr="00552D1B">
        <w:rPr>
          <w:rFonts w:ascii="Times New Roman" w:hAnsi="Times New Roman" w:cs="Times New Roman"/>
          <w:i/>
          <w:sz w:val="24"/>
          <w:szCs w:val="24"/>
        </w:rPr>
        <w:t>Proceedings of the National Academy of Sciences,</w:t>
      </w:r>
      <w:r w:rsidRPr="00552D1B">
        <w:rPr>
          <w:rFonts w:ascii="Times New Roman" w:hAnsi="Times New Roman" w:cs="Times New Roman"/>
          <w:sz w:val="24"/>
          <w:szCs w:val="24"/>
        </w:rPr>
        <w:t xml:space="preserve"> 100(4), pp. 1844-1848.</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Tong, L., Chuang, C.-C., Wu, S. and Zuo, L. (2015) 'Reactive oxygen species in redox cancer therapy', </w:t>
      </w:r>
      <w:r w:rsidRPr="00552D1B">
        <w:rPr>
          <w:rFonts w:ascii="Times New Roman" w:hAnsi="Times New Roman" w:cs="Times New Roman"/>
          <w:i/>
          <w:sz w:val="24"/>
          <w:szCs w:val="24"/>
        </w:rPr>
        <w:t>Cancer Letters,</w:t>
      </w:r>
      <w:r w:rsidRPr="00552D1B">
        <w:rPr>
          <w:rFonts w:ascii="Times New Roman" w:hAnsi="Times New Roman" w:cs="Times New Roman"/>
          <w:sz w:val="24"/>
          <w:szCs w:val="24"/>
        </w:rPr>
        <w:t xml:space="preserve"> 367(1), pp. 18-25.</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Torre, L. A., Bray, F., Siegel, R. L., F</w:t>
      </w:r>
      <w:r w:rsidR="0074410B">
        <w:rPr>
          <w:rFonts w:ascii="Times New Roman" w:hAnsi="Times New Roman" w:cs="Times New Roman"/>
          <w:sz w:val="24"/>
          <w:szCs w:val="24"/>
        </w:rPr>
        <w:t>erlotinib</w:t>
      </w:r>
      <w:r w:rsidRPr="00552D1B">
        <w:rPr>
          <w:rFonts w:ascii="Times New Roman" w:hAnsi="Times New Roman" w:cs="Times New Roman"/>
          <w:sz w:val="24"/>
          <w:szCs w:val="24"/>
        </w:rPr>
        <w:t xml:space="preserve">ay, J., Lortet‐Tieulent, J. and Jemal, A. (2015) 'Global cancer statistics, 2012', </w:t>
      </w:r>
      <w:r w:rsidRPr="00552D1B">
        <w:rPr>
          <w:rFonts w:ascii="Times New Roman" w:hAnsi="Times New Roman" w:cs="Times New Roman"/>
          <w:i/>
          <w:sz w:val="24"/>
          <w:szCs w:val="24"/>
        </w:rPr>
        <w:t>CA: a cancer journal for clinicians,</w:t>
      </w:r>
      <w:r w:rsidRPr="00552D1B">
        <w:rPr>
          <w:rFonts w:ascii="Times New Roman" w:hAnsi="Times New Roman" w:cs="Times New Roman"/>
          <w:sz w:val="24"/>
          <w:szCs w:val="24"/>
        </w:rPr>
        <w:t xml:space="preserve"> 65(2), pp. 87-108.</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Trachootham, D., Alexandre, J. and Huang, P. (2009) 'Targeting cancer cells by ROS-mediated mechanisms: a radical therapeutic approach?', </w:t>
      </w:r>
      <w:r w:rsidRPr="00552D1B">
        <w:rPr>
          <w:rFonts w:ascii="Times New Roman" w:hAnsi="Times New Roman" w:cs="Times New Roman"/>
          <w:i/>
          <w:sz w:val="24"/>
          <w:szCs w:val="24"/>
        </w:rPr>
        <w:t>Nature Rev. Drug Discov.,</w:t>
      </w:r>
      <w:r w:rsidRPr="00552D1B">
        <w:rPr>
          <w:rFonts w:ascii="Times New Roman" w:hAnsi="Times New Roman" w:cs="Times New Roman"/>
          <w:sz w:val="24"/>
          <w:szCs w:val="24"/>
        </w:rPr>
        <w:t xml:space="preserve"> 8, pp. 579-591.</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Tsuchida, K., Tsujita, T., Hayashi, M., Ojima, A., Keleku-Lukwete, N., Katsuoka, F., Otsuki, A., Kikuchi, H., Oshima, Y., Suzuki, M. and Yamamoto, M. (2017) 'Halofuginone enhances the chemo-sensitivity of cancer cells by suppressing NRF2 accumulation', </w:t>
      </w:r>
      <w:r w:rsidRPr="00552D1B">
        <w:rPr>
          <w:rFonts w:ascii="Times New Roman" w:hAnsi="Times New Roman" w:cs="Times New Roman"/>
          <w:i/>
          <w:sz w:val="24"/>
          <w:szCs w:val="24"/>
        </w:rPr>
        <w:t>Free Radical Biology and Medicine,</w:t>
      </w:r>
      <w:r w:rsidRPr="00552D1B">
        <w:rPr>
          <w:rFonts w:ascii="Times New Roman" w:hAnsi="Times New Roman" w:cs="Times New Roman"/>
          <w:sz w:val="24"/>
          <w:szCs w:val="24"/>
        </w:rPr>
        <w:t xml:space="preserve"> 103, pp. 236-247.</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Tu, S.-H., Ho, C.-T., Liu, M.-F., Huang, C.-S., Chang, H.-W., Chang, C.-H., Wu, C.-H. and Ho, Y.-S. (2013) 'Luteolin sensitises drug-resistant human breast cancer cells to tamoxifen via the inhibition of cyclin E2 expression', </w:t>
      </w:r>
      <w:r w:rsidRPr="00552D1B">
        <w:rPr>
          <w:rFonts w:ascii="Times New Roman" w:hAnsi="Times New Roman" w:cs="Times New Roman"/>
          <w:i/>
          <w:sz w:val="24"/>
          <w:szCs w:val="24"/>
        </w:rPr>
        <w:t>Food Chemistry,</w:t>
      </w:r>
      <w:r w:rsidRPr="00552D1B">
        <w:rPr>
          <w:rFonts w:ascii="Times New Roman" w:hAnsi="Times New Roman" w:cs="Times New Roman"/>
          <w:sz w:val="24"/>
          <w:szCs w:val="24"/>
        </w:rPr>
        <w:t xml:space="preserve"> 141(2), pp. 1553-1561.</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Turke, A. B., Zejnullahu, K., Wu, Y.-L., Song, Y., Dias-Santagata, D., Lifshits, E., Toschi, L., Rogers, A., Mok, T. and Sequist, L. (2010) 'Preexistence and clonal selection of MET amplification in EGFR mutant NSCLC', </w:t>
      </w:r>
      <w:r w:rsidRPr="00552D1B">
        <w:rPr>
          <w:rFonts w:ascii="Times New Roman" w:hAnsi="Times New Roman" w:cs="Times New Roman"/>
          <w:i/>
          <w:sz w:val="24"/>
          <w:szCs w:val="24"/>
        </w:rPr>
        <w:t>Cancer cell,</w:t>
      </w:r>
      <w:r w:rsidRPr="00552D1B">
        <w:rPr>
          <w:rFonts w:ascii="Times New Roman" w:hAnsi="Times New Roman" w:cs="Times New Roman"/>
          <w:sz w:val="24"/>
          <w:szCs w:val="24"/>
        </w:rPr>
        <w:t xml:space="preserve"> 17(1), pp. 77-88.</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Turley, A. E., Zagorski, J. W. and Rockwell, C. E. (2015) 'The Nrf2 activator tBHQ inhibits T cell activation of primary human CD4 T cells', </w:t>
      </w:r>
      <w:r w:rsidRPr="00552D1B">
        <w:rPr>
          <w:rFonts w:ascii="Times New Roman" w:hAnsi="Times New Roman" w:cs="Times New Roman"/>
          <w:i/>
          <w:sz w:val="24"/>
          <w:szCs w:val="24"/>
        </w:rPr>
        <w:t>Cytokine,</w:t>
      </w:r>
      <w:r w:rsidRPr="00552D1B">
        <w:rPr>
          <w:rFonts w:ascii="Times New Roman" w:hAnsi="Times New Roman" w:cs="Times New Roman"/>
          <w:sz w:val="24"/>
          <w:szCs w:val="24"/>
        </w:rPr>
        <w:t xml:space="preserve"> 71(2), pp. 289-295.</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lastRenderedPageBreak/>
        <w:t xml:space="preserve">Van Cutsem, E., Köhne, C.-H., Hitre, E., Zaluski, J., Chang Chien, C.-R., Makhson, A., D'Haens, G., Pintér, T., Lim, R. and Bodoky, G. (2009) 'Cetuximab and chemotherapy as initial treatment for metastatic colorectal cancer', </w:t>
      </w:r>
      <w:r w:rsidRPr="00552D1B">
        <w:rPr>
          <w:rFonts w:ascii="Times New Roman" w:hAnsi="Times New Roman" w:cs="Times New Roman"/>
          <w:i/>
          <w:sz w:val="24"/>
          <w:szCs w:val="24"/>
        </w:rPr>
        <w:t>New England Journal of Medicine,</w:t>
      </w:r>
      <w:r w:rsidRPr="00552D1B">
        <w:rPr>
          <w:rFonts w:ascii="Times New Roman" w:hAnsi="Times New Roman" w:cs="Times New Roman"/>
          <w:sz w:val="24"/>
          <w:szCs w:val="24"/>
        </w:rPr>
        <w:t xml:space="preserve"> 360(14), pp. 1408-1417.</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Vanneman, M. and Dranoff, G. (2012) 'Combining immunotherapy and targeted therapies in cancer treatment', </w:t>
      </w:r>
      <w:r w:rsidRPr="00552D1B">
        <w:rPr>
          <w:rFonts w:ascii="Times New Roman" w:hAnsi="Times New Roman" w:cs="Times New Roman"/>
          <w:i/>
          <w:sz w:val="24"/>
          <w:szCs w:val="24"/>
        </w:rPr>
        <w:t>Nature Reviews Cancer,</w:t>
      </w:r>
      <w:r w:rsidRPr="00552D1B">
        <w:rPr>
          <w:rFonts w:ascii="Times New Roman" w:hAnsi="Times New Roman" w:cs="Times New Roman"/>
          <w:sz w:val="24"/>
          <w:szCs w:val="24"/>
        </w:rPr>
        <w:t xml:space="preserve"> 12(4), pp. 237-251.</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Varbanov, H. P., Kuttler, F., Banfi, D., Turcatti, G. and Dyson, P. J. (2017) 'Repositioning approved drugs for the treatment of problematic cancers using a screening approach', </w:t>
      </w:r>
      <w:r w:rsidRPr="00552D1B">
        <w:rPr>
          <w:rFonts w:ascii="Times New Roman" w:hAnsi="Times New Roman" w:cs="Times New Roman"/>
          <w:i/>
          <w:sz w:val="24"/>
          <w:szCs w:val="24"/>
        </w:rPr>
        <w:t>PloS one,</w:t>
      </w:r>
      <w:r w:rsidRPr="00552D1B">
        <w:rPr>
          <w:rFonts w:ascii="Times New Roman" w:hAnsi="Times New Roman" w:cs="Times New Roman"/>
          <w:sz w:val="24"/>
          <w:szCs w:val="24"/>
        </w:rPr>
        <w:t xml:space="preserve"> 12(2), pp. e0171052.</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Verri, E., Guglielmini, P., Puntoni, M., Perdelli, L., Papadia, A., Lorenzi, P., Rubagotti, A., Ragni, N. and Boccardo, F. (2005) 'HER2/neu oncoprotein overexpression in epithelial ovarian cancer: evaluation of its prevalence and prognostic significance', </w:t>
      </w:r>
      <w:r w:rsidRPr="00552D1B">
        <w:rPr>
          <w:rFonts w:ascii="Times New Roman" w:hAnsi="Times New Roman" w:cs="Times New Roman"/>
          <w:i/>
          <w:sz w:val="24"/>
          <w:szCs w:val="24"/>
        </w:rPr>
        <w:t>Oncology,</w:t>
      </w:r>
      <w:r w:rsidRPr="00552D1B">
        <w:rPr>
          <w:rFonts w:ascii="Times New Roman" w:hAnsi="Times New Roman" w:cs="Times New Roman"/>
          <w:sz w:val="24"/>
          <w:szCs w:val="24"/>
        </w:rPr>
        <w:t xml:space="preserve"> 68(2-3), pp. 154-161.</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Voelkerding, K. V., Dames, S. A. and Durtschi, J. D. (2009) 'Next-generation sequencing: from basic research to diagnostics', </w:t>
      </w:r>
      <w:r w:rsidRPr="00552D1B">
        <w:rPr>
          <w:rFonts w:ascii="Times New Roman" w:hAnsi="Times New Roman" w:cs="Times New Roman"/>
          <w:i/>
          <w:sz w:val="24"/>
          <w:szCs w:val="24"/>
        </w:rPr>
        <w:t>Clinical chemistry,</w:t>
      </w:r>
      <w:r w:rsidRPr="00552D1B">
        <w:rPr>
          <w:rFonts w:ascii="Times New Roman" w:hAnsi="Times New Roman" w:cs="Times New Roman"/>
          <w:sz w:val="24"/>
          <w:szCs w:val="24"/>
        </w:rPr>
        <w:t xml:space="preserve"> 55(4), pp. 641-658.</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VäkEvä, L., RankI, A. and Hahtola, S. (2012) 'Ten-year experience of bexarotene therapy for cutaneous T-cell lymphoma in Finland', </w:t>
      </w:r>
      <w:r w:rsidRPr="00552D1B">
        <w:rPr>
          <w:rFonts w:ascii="Times New Roman" w:hAnsi="Times New Roman" w:cs="Times New Roman"/>
          <w:i/>
          <w:sz w:val="24"/>
          <w:szCs w:val="24"/>
        </w:rPr>
        <w:t>Acta dermato-venereologica,</w:t>
      </w:r>
      <w:r w:rsidRPr="00552D1B">
        <w:rPr>
          <w:rFonts w:ascii="Times New Roman" w:hAnsi="Times New Roman" w:cs="Times New Roman"/>
          <w:sz w:val="24"/>
          <w:szCs w:val="24"/>
        </w:rPr>
        <w:t xml:space="preserve"> 92(3), pp. 258-263.</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Wang, H., Liu, K., Geng, M., Gao, P., Wu, X., Hai, Y., Li, Y., Li, Y., Luo, L. and Hayes, J. D. (2013) 'RXRα inhibits the NRF2-ARE signaling pathway through a direct interaction with the Neh7 domain of NRF2', </w:t>
      </w:r>
      <w:r w:rsidRPr="00552D1B">
        <w:rPr>
          <w:rFonts w:ascii="Times New Roman" w:hAnsi="Times New Roman" w:cs="Times New Roman"/>
          <w:i/>
          <w:sz w:val="24"/>
          <w:szCs w:val="24"/>
        </w:rPr>
        <w:t>Cancer research,</w:t>
      </w:r>
      <w:r w:rsidRPr="00552D1B">
        <w:rPr>
          <w:rFonts w:ascii="Times New Roman" w:hAnsi="Times New Roman" w:cs="Times New Roman"/>
          <w:sz w:val="24"/>
          <w:szCs w:val="24"/>
        </w:rPr>
        <w:t xml:space="preserve"> 73(10), pp. 3097-3108.</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Wang, L., Yuan, H., Li, Y. and Han, Y. (2014) 'The role of HER3 in gastric cancer', </w:t>
      </w:r>
      <w:r w:rsidRPr="00552D1B">
        <w:rPr>
          <w:rFonts w:ascii="Times New Roman" w:hAnsi="Times New Roman" w:cs="Times New Roman"/>
          <w:i/>
          <w:sz w:val="24"/>
          <w:szCs w:val="24"/>
        </w:rPr>
        <w:t>Biomedicine &amp; Pharmacotherapy,</w:t>
      </w:r>
      <w:r w:rsidRPr="00552D1B">
        <w:rPr>
          <w:rFonts w:ascii="Times New Roman" w:hAnsi="Times New Roman" w:cs="Times New Roman"/>
          <w:sz w:val="24"/>
          <w:szCs w:val="24"/>
        </w:rPr>
        <w:t xml:space="preserve"> 68(6), pp. 809-812.</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Wang, W. and Jaiswal, A. K. (2006) 'Nuclear factor Nrf2 and antioxidant response element regulate NRH:quinone oxidoreductase 2 (NQO2) gene expression and antioxidant induction', </w:t>
      </w:r>
      <w:r w:rsidRPr="00552D1B">
        <w:rPr>
          <w:rFonts w:ascii="Times New Roman" w:hAnsi="Times New Roman" w:cs="Times New Roman"/>
          <w:i/>
          <w:sz w:val="24"/>
          <w:szCs w:val="24"/>
        </w:rPr>
        <w:t>Free Radical Biology and Medicine,</w:t>
      </w:r>
      <w:r w:rsidRPr="00552D1B">
        <w:rPr>
          <w:rFonts w:ascii="Times New Roman" w:hAnsi="Times New Roman" w:cs="Times New Roman"/>
          <w:sz w:val="24"/>
          <w:szCs w:val="24"/>
        </w:rPr>
        <w:t xml:space="preserve"> 40(7), pp. 1119-1130.</w:t>
      </w:r>
    </w:p>
    <w:p w:rsid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Wang, X.-J., Sun, Z., Villeneuve, N. F., Zhang, S., Zhao, F., Li, Y., Chen, W., Yi, X., Zheng, W. and Wondrak, G. T. (2008) 'Nrf2 enhances resistance of cancer cells to chemotherapeutic drugs, the dark side of Nrf2', </w:t>
      </w:r>
      <w:r w:rsidRPr="00552D1B">
        <w:rPr>
          <w:rFonts w:ascii="Times New Roman" w:hAnsi="Times New Roman" w:cs="Times New Roman"/>
          <w:i/>
          <w:sz w:val="24"/>
          <w:szCs w:val="24"/>
        </w:rPr>
        <w:t>Carcinogenesis,</w:t>
      </w:r>
      <w:r w:rsidRPr="00552D1B">
        <w:rPr>
          <w:rFonts w:ascii="Times New Roman" w:hAnsi="Times New Roman" w:cs="Times New Roman"/>
          <w:sz w:val="24"/>
          <w:szCs w:val="24"/>
        </w:rPr>
        <w:t xml:space="preserve"> 29(6), pp. 1235-1243.</w:t>
      </w:r>
    </w:p>
    <w:p w:rsidR="00057822" w:rsidRPr="00552D1B" w:rsidRDefault="00057822" w:rsidP="00552D1B">
      <w:pPr>
        <w:pStyle w:val="EndNoteBibliography"/>
        <w:spacing w:after="0"/>
        <w:ind w:left="720" w:hanging="720"/>
        <w:jc w:val="both"/>
        <w:rPr>
          <w:rFonts w:ascii="Times New Roman" w:hAnsi="Times New Roman" w:cs="Times New Roman"/>
          <w:sz w:val="24"/>
          <w:szCs w:val="24"/>
        </w:rPr>
      </w:pPr>
      <w:r w:rsidRPr="00057822">
        <w:rPr>
          <w:rFonts w:ascii="Times New Roman" w:hAnsi="Times New Roman" w:cs="Times New Roman"/>
          <w:sz w:val="24"/>
          <w:szCs w:val="24"/>
        </w:rPr>
        <w:t>Wang, X. J., Hayes, J. D., &amp; Wolf, C. R. (2006). Generation of a stable antioxidant response element–driven reporter gene cell line and its use to show redox-dependent activation of Nrf2 by cancer chemotherapeutic agents. Cancer research, 66(22), 10983-10994.</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Wang, X. J. (2008) 'Nrf2 enhances resistance of cancer cells to chemotherapeutic drugs, the dark side of Nrf2', </w:t>
      </w:r>
      <w:r w:rsidRPr="00552D1B">
        <w:rPr>
          <w:rFonts w:ascii="Times New Roman" w:hAnsi="Times New Roman" w:cs="Times New Roman"/>
          <w:i/>
          <w:sz w:val="24"/>
          <w:szCs w:val="24"/>
        </w:rPr>
        <w:t>Carcinogenesis,</w:t>
      </w:r>
      <w:r w:rsidRPr="00552D1B">
        <w:rPr>
          <w:rFonts w:ascii="Times New Roman" w:hAnsi="Times New Roman" w:cs="Times New Roman"/>
          <w:sz w:val="24"/>
          <w:szCs w:val="24"/>
        </w:rPr>
        <w:t xml:space="preserve"> 29, pp. 1235-1243.</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Wang, X. J., Hayes, J. D., Henderson, C. J. and Wolf, C. R. (2007) 'Identification of retinoic acid as an inhibitor of transcription factor Nrf2 through activation of retinoic acid receptor alpha', </w:t>
      </w:r>
      <w:r w:rsidRPr="00552D1B">
        <w:rPr>
          <w:rFonts w:ascii="Times New Roman" w:hAnsi="Times New Roman" w:cs="Times New Roman"/>
          <w:i/>
          <w:sz w:val="24"/>
          <w:szCs w:val="24"/>
        </w:rPr>
        <w:t>Proceedings of the National Academy of Sciences of the United States of America,</w:t>
      </w:r>
      <w:r w:rsidRPr="00552D1B">
        <w:rPr>
          <w:rFonts w:ascii="Times New Roman" w:hAnsi="Times New Roman" w:cs="Times New Roman"/>
          <w:sz w:val="24"/>
          <w:szCs w:val="24"/>
        </w:rPr>
        <w:t xml:space="preserve"> 104(49), pp. 19589-19594.</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Workman, P. and Collins, I. (2014) 'Chapter 1 - Modern Cancer Drug Discovery: Integrating Targets, Technologies, and Treatments for Personalized Medicine', in Neidle, S. (ed.) </w:t>
      </w:r>
      <w:r w:rsidRPr="00552D1B">
        <w:rPr>
          <w:rFonts w:ascii="Times New Roman" w:hAnsi="Times New Roman" w:cs="Times New Roman"/>
          <w:i/>
          <w:sz w:val="24"/>
          <w:szCs w:val="24"/>
        </w:rPr>
        <w:t>Cancer Drug Design and Discovery (Second Edition)</w:t>
      </w:r>
      <w:r w:rsidRPr="00552D1B">
        <w:rPr>
          <w:rFonts w:ascii="Times New Roman" w:hAnsi="Times New Roman" w:cs="Times New Roman"/>
          <w:sz w:val="24"/>
          <w:szCs w:val="24"/>
        </w:rPr>
        <w:t>. San Diego: Academic Press, pp. 3-53.</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Wu, J., Wang, H. and Tang, X. (2014) 'Rexinoid inhibits Nrf2-mediated transcription through retinoid X receptor alpha', </w:t>
      </w:r>
      <w:r w:rsidRPr="00552D1B">
        <w:rPr>
          <w:rFonts w:ascii="Times New Roman" w:hAnsi="Times New Roman" w:cs="Times New Roman"/>
          <w:i/>
          <w:sz w:val="24"/>
          <w:szCs w:val="24"/>
        </w:rPr>
        <w:t>Biochemical and Biophysical Research Communications,</w:t>
      </w:r>
      <w:r w:rsidRPr="00552D1B">
        <w:rPr>
          <w:rFonts w:ascii="Times New Roman" w:hAnsi="Times New Roman" w:cs="Times New Roman"/>
          <w:sz w:val="24"/>
          <w:szCs w:val="24"/>
        </w:rPr>
        <w:t xml:space="preserve"> 452(3), pp. 554-559.</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Wu, Q., Yao, B., Li, N., Ma, L., Deng, Y., Yang, Y., Zeng, C., Yang, Z. and Liu, B. (2017) 'Nrf2 mediates redox adaptation in NOX4-overexpressed non-small cell lung cancer cells', </w:t>
      </w:r>
      <w:r w:rsidRPr="00552D1B">
        <w:rPr>
          <w:rFonts w:ascii="Times New Roman" w:hAnsi="Times New Roman" w:cs="Times New Roman"/>
          <w:i/>
          <w:sz w:val="24"/>
          <w:szCs w:val="24"/>
        </w:rPr>
        <w:t>Experimental Cell Research,</w:t>
      </w:r>
      <w:r w:rsidRPr="00552D1B">
        <w:rPr>
          <w:rFonts w:ascii="Times New Roman" w:hAnsi="Times New Roman" w:cs="Times New Roman"/>
          <w:sz w:val="24"/>
          <w:szCs w:val="24"/>
        </w:rPr>
        <w:t xml:space="preserve"> 352(2), pp. 245-254.</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Xia, H., Mao, Q., Paulson, H. L. and Davidson, B. L. (2002) 'siRNA-mediated gene silencing in vitro and in vivo', </w:t>
      </w:r>
      <w:r w:rsidRPr="00552D1B">
        <w:rPr>
          <w:rFonts w:ascii="Times New Roman" w:hAnsi="Times New Roman" w:cs="Times New Roman"/>
          <w:i/>
          <w:sz w:val="24"/>
          <w:szCs w:val="24"/>
        </w:rPr>
        <w:t>Nature biotechnology,</w:t>
      </w:r>
      <w:r w:rsidRPr="00552D1B">
        <w:rPr>
          <w:rFonts w:ascii="Times New Roman" w:hAnsi="Times New Roman" w:cs="Times New Roman"/>
          <w:sz w:val="24"/>
          <w:szCs w:val="24"/>
        </w:rPr>
        <w:t xml:space="preserve"> 20(10), pp. 1006-1010.</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Xiang, M., Namani, A., Wu, S. and Wang, X. (2014) 'Nrf2: bane or blessing in cancer?', </w:t>
      </w:r>
      <w:r w:rsidRPr="00552D1B">
        <w:rPr>
          <w:rFonts w:ascii="Times New Roman" w:hAnsi="Times New Roman" w:cs="Times New Roman"/>
          <w:i/>
          <w:sz w:val="24"/>
          <w:szCs w:val="24"/>
        </w:rPr>
        <w:t>Journal of cancer research and clinical oncology,</w:t>
      </w:r>
      <w:r w:rsidRPr="00552D1B">
        <w:rPr>
          <w:rFonts w:ascii="Times New Roman" w:hAnsi="Times New Roman" w:cs="Times New Roman"/>
          <w:sz w:val="24"/>
          <w:szCs w:val="24"/>
        </w:rPr>
        <w:t xml:space="preserve"> 140(8), pp. 1251-1259.</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lastRenderedPageBreak/>
        <w:t xml:space="preserve">Xiong, H. Q., Rosenberg, A., LoBuglio, A., Schmidt, W., Wolff, R. A., Deutsch, J., Needle, M. and Abbruzzese, J. L. (2004) 'Cetuximab, a Monoclonal Antibody Targeting the Epidermal Growth Factor Receptor, in Combination With Gemcitabine for Advanced Pancreatic Cancer: A Multicenter Phase II Trial', </w:t>
      </w:r>
      <w:r w:rsidRPr="00552D1B">
        <w:rPr>
          <w:rFonts w:ascii="Times New Roman" w:hAnsi="Times New Roman" w:cs="Times New Roman"/>
          <w:i/>
          <w:sz w:val="24"/>
          <w:szCs w:val="24"/>
        </w:rPr>
        <w:t>Journal of Clinical Oncology,</w:t>
      </w:r>
      <w:r w:rsidRPr="00552D1B">
        <w:rPr>
          <w:rFonts w:ascii="Times New Roman" w:hAnsi="Times New Roman" w:cs="Times New Roman"/>
          <w:sz w:val="24"/>
          <w:szCs w:val="24"/>
        </w:rPr>
        <w:t xml:space="preserve"> 22(13), pp. 2610-2616.</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Xu, F., Yu, Y., Le, X.-F., Boyer, C., Mills, G. B. and Bast, R. C. (1999) 'The outcome of heregulin-induced activation of ovarian cancer cells depends on the relative levels of HER-2 and HER-3 expression', </w:t>
      </w:r>
      <w:r w:rsidRPr="00552D1B">
        <w:rPr>
          <w:rFonts w:ascii="Times New Roman" w:hAnsi="Times New Roman" w:cs="Times New Roman"/>
          <w:i/>
          <w:sz w:val="24"/>
          <w:szCs w:val="24"/>
        </w:rPr>
        <w:t>Clinical cancer research,</w:t>
      </w:r>
      <w:r w:rsidRPr="00552D1B">
        <w:rPr>
          <w:rFonts w:ascii="Times New Roman" w:hAnsi="Times New Roman" w:cs="Times New Roman"/>
          <w:sz w:val="24"/>
          <w:szCs w:val="24"/>
        </w:rPr>
        <w:t xml:space="preserve"> 5(11), pp. 3653-3660.</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Xu, Y., Duan, C., Kuang, Z., Hao, Y., Jeffries, J. L. and Lau, G. W. (2013) 'Pseudomonas aeruginosa pyocyanin activates NRF2-ARE-mediated transcriptional response via the ROS-EGFR-PI3K-AKT/MEK-ERK MAP kinase signaling in pulmonary epithelial cells', </w:t>
      </w:r>
      <w:r w:rsidRPr="00552D1B">
        <w:rPr>
          <w:rFonts w:ascii="Times New Roman" w:hAnsi="Times New Roman" w:cs="Times New Roman"/>
          <w:i/>
          <w:sz w:val="24"/>
          <w:szCs w:val="24"/>
        </w:rPr>
        <w:t>PLoS One,</w:t>
      </w:r>
      <w:r w:rsidRPr="00552D1B">
        <w:rPr>
          <w:rFonts w:ascii="Times New Roman" w:hAnsi="Times New Roman" w:cs="Times New Roman"/>
          <w:sz w:val="24"/>
          <w:szCs w:val="24"/>
        </w:rPr>
        <w:t xml:space="preserve"> 8(8), pp. e72528.</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Yap, T. A., Carden, C. P. and Kaye, S. B. (2009) 'Beyond chemotherapy: targeted therapies in ovarian cancer', </w:t>
      </w:r>
      <w:r w:rsidRPr="00552D1B">
        <w:rPr>
          <w:rFonts w:ascii="Times New Roman" w:hAnsi="Times New Roman" w:cs="Times New Roman"/>
          <w:i/>
          <w:sz w:val="24"/>
          <w:szCs w:val="24"/>
        </w:rPr>
        <w:t>Nature Reviews Cancer,</w:t>
      </w:r>
      <w:r w:rsidRPr="00552D1B">
        <w:rPr>
          <w:rFonts w:ascii="Times New Roman" w:hAnsi="Times New Roman" w:cs="Times New Roman"/>
          <w:sz w:val="24"/>
          <w:szCs w:val="24"/>
        </w:rPr>
        <w:t xml:space="preserve"> 9(3), pp. 167-181.</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Yarden, Y. (2001) 'The EGFR family and its ligands in human cancer: signalling mechanisms and therapeutic opportunities', </w:t>
      </w:r>
      <w:r w:rsidRPr="00552D1B">
        <w:rPr>
          <w:rFonts w:ascii="Times New Roman" w:hAnsi="Times New Roman" w:cs="Times New Roman"/>
          <w:i/>
          <w:sz w:val="24"/>
          <w:szCs w:val="24"/>
        </w:rPr>
        <w:t>European Journal of Cancer,</w:t>
      </w:r>
      <w:r w:rsidRPr="00552D1B">
        <w:rPr>
          <w:rFonts w:ascii="Times New Roman" w:hAnsi="Times New Roman" w:cs="Times New Roman"/>
          <w:sz w:val="24"/>
          <w:szCs w:val="24"/>
        </w:rPr>
        <w:t xml:space="preserve"> 37, Supplement 4, pp. 3-8.</w:t>
      </w:r>
    </w:p>
    <w:p w:rsidR="00552D1B" w:rsidRPr="00552D1B" w:rsidRDefault="00552D1B" w:rsidP="003B4663">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Yarden, Y. and Sliwkowski, M. X. (2001) 'Untangling the ErbB signalling network', </w:t>
      </w:r>
      <w:r w:rsidRPr="00552D1B">
        <w:rPr>
          <w:rFonts w:ascii="Times New Roman" w:hAnsi="Times New Roman" w:cs="Times New Roman"/>
          <w:i/>
          <w:sz w:val="24"/>
          <w:szCs w:val="24"/>
        </w:rPr>
        <w:t>Nature reviews Molecular cell biology,</w:t>
      </w:r>
      <w:r w:rsidR="003B4663">
        <w:rPr>
          <w:rFonts w:ascii="Times New Roman" w:hAnsi="Times New Roman" w:cs="Times New Roman"/>
          <w:sz w:val="24"/>
          <w:szCs w:val="24"/>
        </w:rPr>
        <w:t xml:space="preserve"> 2(2), pp. 127-137.</w:t>
      </w:r>
      <w:r w:rsidRPr="00552D1B">
        <w:rPr>
          <w:rFonts w:ascii="Times New Roman" w:hAnsi="Times New Roman" w:cs="Times New Roman"/>
          <w:sz w:val="24"/>
          <w:szCs w:val="24"/>
        </w:rPr>
        <w:t xml:space="preserve"> </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Yu, X. and Kensler, T. (2005) 'Nrf2 as a target for cancer chemoprevention', </w:t>
      </w:r>
      <w:r w:rsidRPr="00552D1B">
        <w:rPr>
          <w:rFonts w:ascii="Times New Roman" w:hAnsi="Times New Roman" w:cs="Times New Roman"/>
          <w:i/>
          <w:sz w:val="24"/>
          <w:szCs w:val="24"/>
        </w:rPr>
        <w:t>Mutation Research/Fundamental and Molecular Mechanisms of Mutagenesis,</w:t>
      </w:r>
      <w:r w:rsidRPr="00552D1B">
        <w:rPr>
          <w:rFonts w:ascii="Times New Roman" w:hAnsi="Times New Roman" w:cs="Times New Roman"/>
          <w:sz w:val="24"/>
          <w:szCs w:val="24"/>
        </w:rPr>
        <w:t xml:space="preserve"> 591(1), pp. 93-102.</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Zaczek, A., Bielawski, K. P. and Brandt, B. (2005) 'The diverse signaling network of EGFR, HER2, HER3 and HER4 tyrosine kinase receptors and the consequences for therapeutic approaches', </w:t>
      </w:r>
      <w:r w:rsidRPr="00552D1B">
        <w:rPr>
          <w:rFonts w:ascii="Times New Roman" w:hAnsi="Times New Roman" w:cs="Times New Roman"/>
          <w:i/>
          <w:sz w:val="24"/>
          <w:szCs w:val="24"/>
        </w:rPr>
        <w:t>Histology and histopathology</w:t>
      </w:r>
      <w:r w:rsidRPr="00552D1B">
        <w:rPr>
          <w:rFonts w:ascii="Times New Roman" w:hAnsi="Times New Roman" w:cs="Times New Roman"/>
          <w:sz w:val="24"/>
          <w:szCs w:val="24"/>
        </w:rPr>
        <w:t>.</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Zhang, J., Wang, X., Vikash, V., Ye, Q., Wu, D., Liu, Y. and Dong, W. (2016a) 'ROS and ROS-mediated cellular signaling', </w:t>
      </w:r>
      <w:r w:rsidRPr="00552D1B">
        <w:rPr>
          <w:rFonts w:ascii="Times New Roman" w:hAnsi="Times New Roman" w:cs="Times New Roman"/>
          <w:i/>
          <w:sz w:val="24"/>
          <w:szCs w:val="24"/>
        </w:rPr>
        <w:t>Oxidative medicine and cellular longevity,</w:t>
      </w:r>
      <w:r w:rsidRPr="00552D1B">
        <w:rPr>
          <w:rFonts w:ascii="Times New Roman" w:hAnsi="Times New Roman" w:cs="Times New Roman"/>
          <w:sz w:val="24"/>
          <w:szCs w:val="24"/>
        </w:rPr>
        <w:t xml:space="preserve"> 2016.</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Zhang, L., Li, J., Zong, L., Chen, X., Chen, K., Jiang, Z., Nan, L., Li, X., Li, W. and Shan, T. (2016b) 'Reactive oxygen species and targeted therapy for pancreatic cancer', </w:t>
      </w:r>
      <w:r w:rsidRPr="00552D1B">
        <w:rPr>
          <w:rFonts w:ascii="Times New Roman" w:hAnsi="Times New Roman" w:cs="Times New Roman"/>
          <w:i/>
          <w:sz w:val="24"/>
          <w:szCs w:val="24"/>
        </w:rPr>
        <w:t>Oxidative medicine and cellular longevity,</w:t>
      </w:r>
      <w:r w:rsidRPr="00552D1B">
        <w:rPr>
          <w:rFonts w:ascii="Times New Roman" w:hAnsi="Times New Roman" w:cs="Times New Roman"/>
          <w:sz w:val="24"/>
          <w:szCs w:val="24"/>
        </w:rPr>
        <w:t xml:space="preserve"> 2016.</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Zhang, X. L., Yang, Y. S., Xu, D. P., Qu, J. H., Guo, M. Z., Gong, Y. and Huang, J. (2009) 'Comparative study on overexpression of HER2/neu and HER3 in gastric cancer', </w:t>
      </w:r>
      <w:r w:rsidRPr="00552D1B">
        <w:rPr>
          <w:rFonts w:ascii="Times New Roman" w:hAnsi="Times New Roman" w:cs="Times New Roman"/>
          <w:i/>
          <w:sz w:val="24"/>
          <w:szCs w:val="24"/>
        </w:rPr>
        <w:t>World journal of surgery,</w:t>
      </w:r>
      <w:r w:rsidRPr="00552D1B">
        <w:rPr>
          <w:rFonts w:ascii="Times New Roman" w:hAnsi="Times New Roman" w:cs="Times New Roman"/>
          <w:sz w:val="24"/>
          <w:szCs w:val="24"/>
        </w:rPr>
        <w:t xml:space="preserve"> 33(10), pp. 2112-2118.</w:t>
      </w:r>
    </w:p>
    <w:p w:rsidR="00552D1B" w:rsidRPr="00552D1B" w:rsidRDefault="00552D1B" w:rsidP="00552D1B">
      <w:pPr>
        <w:pStyle w:val="EndNoteBibliography"/>
        <w:spacing w:after="0"/>
        <w:ind w:left="720" w:hanging="720"/>
        <w:jc w:val="both"/>
        <w:rPr>
          <w:rFonts w:ascii="Times New Roman" w:hAnsi="Times New Roman" w:cs="Times New Roman"/>
          <w:sz w:val="24"/>
          <w:szCs w:val="24"/>
        </w:rPr>
      </w:pPr>
      <w:r w:rsidRPr="00552D1B">
        <w:rPr>
          <w:rFonts w:ascii="Times New Roman" w:hAnsi="Times New Roman" w:cs="Times New Roman"/>
          <w:sz w:val="24"/>
          <w:szCs w:val="24"/>
        </w:rPr>
        <w:t xml:space="preserve">Zhou, J., Chen, J., Mokotoff, M. and Ball, E. D. (2004) 'Targeting gastrin-releasing peptide receptors for cancer treatment', </w:t>
      </w:r>
      <w:r w:rsidRPr="00552D1B">
        <w:rPr>
          <w:rFonts w:ascii="Times New Roman" w:hAnsi="Times New Roman" w:cs="Times New Roman"/>
          <w:i/>
          <w:sz w:val="24"/>
          <w:szCs w:val="24"/>
        </w:rPr>
        <w:t>Anti-cancer drugs,</w:t>
      </w:r>
      <w:r w:rsidRPr="00552D1B">
        <w:rPr>
          <w:rFonts w:ascii="Times New Roman" w:hAnsi="Times New Roman" w:cs="Times New Roman"/>
          <w:sz w:val="24"/>
          <w:szCs w:val="24"/>
        </w:rPr>
        <w:t xml:space="preserve"> 15(10), pp. 921-927.</w:t>
      </w:r>
    </w:p>
    <w:p w:rsidR="00C54A4E" w:rsidRPr="00B045AB" w:rsidRDefault="00552D1B" w:rsidP="00552D1B">
      <w:pPr>
        <w:spacing w:line="240" w:lineRule="auto"/>
        <w:jc w:val="both"/>
        <w:rPr>
          <w:rFonts w:ascii="Times New Roman" w:hAnsi="Times New Roman"/>
          <w:sz w:val="24"/>
          <w:szCs w:val="24"/>
        </w:rPr>
      </w:pPr>
      <w:r w:rsidRPr="00552D1B">
        <w:rPr>
          <w:rFonts w:ascii="Times New Roman" w:hAnsi="Times New Roman"/>
          <w:sz w:val="24"/>
          <w:szCs w:val="24"/>
        </w:rPr>
        <w:fldChar w:fldCharType="end"/>
      </w:r>
      <w:r w:rsidRPr="00552D1B">
        <w:rPr>
          <w:rFonts w:ascii="Times New Roman" w:hAnsi="Times New Roman"/>
          <w:sz w:val="24"/>
          <w:szCs w:val="24"/>
        </w:rPr>
        <w:fldChar w:fldCharType="end"/>
      </w:r>
    </w:p>
    <w:p w:rsidR="002E50CD" w:rsidRDefault="002E50CD"/>
    <w:sectPr w:rsidR="002E50CD" w:rsidSect="005C4527">
      <w:pgSz w:w="11906" w:h="16838"/>
      <w:pgMar w:top="851"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684A" w:rsidRDefault="002B684A" w:rsidP="00F01C47">
      <w:pPr>
        <w:spacing w:after="0" w:line="240" w:lineRule="auto"/>
      </w:pPr>
      <w:r>
        <w:separator/>
      </w:r>
    </w:p>
  </w:endnote>
  <w:endnote w:type="continuationSeparator" w:id="0">
    <w:p w:rsidR="002B684A" w:rsidRDefault="002B684A" w:rsidP="00F01C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684A" w:rsidRDefault="002B684A" w:rsidP="00F01C47">
      <w:pPr>
        <w:spacing w:after="0" w:line="240" w:lineRule="auto"/>
      </w:pPr>
      <w:r>
        <w:separator/>
      </w:r>
    </w:p>
  </w:footnote>
  <w:footnote w:type="continuationSeparator" w:id="0">
    <w:p w:rsidR="002B684A" w:rsidRDefault="002B684A" w:rsidP="00F01C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C675B2"/>
    <w:multiLevelType w:val="hybridMultilevel"/>
    <w:tmpl w:val="0E80B56A"/>
    <w:lvl w:ilvl="0" w:tplc="DC10091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A4E"/>
    <w:rsid w:val="000026F2"/>
    <w:rsid w:val="00004B33"/>
    <w:rsid w:val="00057822"/>
    <w:rsid w:val="000B2D5B"/>
    <w:rsid w:val="000C5263"/>
    <w:rsid w:val="001460BB"/>
    <w:rsid w:val="00150422"/>
    <w:rsid w:val="001779C6"/>
    <w:rsid w:val="001860D5"/>
    <w:rsid w:val="001A3E38"/>
    <w:rsid w:val="001D15AA"/>
    <w:rsid w:val="001D170D"/>
    <w:rsid w:val="002045D0"/>
    <w:rsid w:val="00243429"/>
    <w:rsid w:val="0025690E"/>
    <w:rsid w:val="00257E13"/>
    <w:rsid w:val="0029067B"/>
    <w:rsid w:val="002B684A"/>
    <w:rsid w:val="002C21F1"/>
    <w:rsid w:val="002D7638"/>
    <w:rsid w:val="002E50CD"/>
    <w:rsid w:val="002E5C21"/>
    <w:rsid w:val="00303ADC"/>
    <w:rsid w:val="00306B9A"/>
    <w:rsid w:val="00346DE9"/>
    <w:rsid w:val="00355C64"/>
    <w:rsid w:val="003B4663"/>
    <w:rsid w:val="003E7EB0"/>
    <w:rsid w:val="00401F5C"/>
    <w:rsid w:val="00405D2C"/>
    <w:rsid w:val="00441A8C"/>
    <w:rsid w:val="00467EEF"/>
    <w:rsid w:val="004A66B9"/>
    <w:rsid w:val="00526E18"/>
    <w:rsid w:val="00541688"/>
    <w:rsid w:val="00552D1B"/>
    <w:rsid w:val="00563162"/>
    <w:rsid w:val="005755AA"/>
    <w:rsid w:val="005A7D6D"/>
    <w:rsid w:val="005C4527"/>
    <w:rsid w:val="005C6360"/>
    <w:rsid w:val="005D0B36"/>
    <w:rsid w:val="005E00C8"/>
    <w:rsid w:val="00602D79"/>
    <w:rsid w:val="00622570"/>
    <w:rsid w:val="00641D9A"/>
    <w:rsid w:val="006478B5"/>
    <w:rsid w:val="00656FE1"/>
    <w:rsid w:val="006753BC"/>
    <w:rsid w:val="006B3E49"/>
    <w:rsid w:val="006B7039"/>
    <w:rsid w:val="006C0B32"/>
    <w:rsid w:val="006E0A72"/>
    <w:rsid w:val="006E0E48"/>
    <w:rsid w:val="006E42C9"/>
    <w:rsid w:val="00700CF3"/>
    <w:rsid w:val="00736A2E"/>
    <w:rsid w:val="0074410B"/>
    <w:rsid w:val="00761225"/>
    <w:rsid w:val="00786AA6"/>
    <w:rsid w:val="007E3F61"/>
    <w:rsid w:val="007F20C1"/>
    <w:rsid w:val="007F3F6F"/>
    <w:rsid w:val="008027CB"/>
    <w:rsid w:val="0080705E"/>
    <w:rsid w:val="00807995"/>
    <w:rsid w:val="00815F1E"/>
    <w:rsid w:val="0085085B"/>
    <w:rsid w:val="00853F63"/>
    <w:rsid w:val="0087677C"/>
    <w:rsid w:val="00885731"/>
    <w:rsid w:val="00895868"/>
    <w:rsid w:val="008B058A"/>
    <w:rsid w:val="008B1DE8"/>
    <w:rsid w:val="008F0D61"/>
    <w:rsid w:val="008F2232"/>
    <w:rsid w:val="0094404A"/>
    <w:rsid w:val="0094669C"/>
    <w:rsid w:val="00964FA7"/>
    <w:rsid w:val="00993BB2"/>
    <w:rsid w:val="009B454D"/>
    <w:rsid w:val="00A01744"/>
    <w:rsid w:val="00A43926"/>
    <w:rsid w:val="00A925B5"/>
    <w:rsid w:val="00A968DE"/>
    <w:rsid w:val="00AC453F"/>
    <w:rsid w:val="00AD0380"/>
    <w:rsid w:val="00AF7E14"/>
    <w:rsid w:val="00B00819"/>
    <w:rsid w:val="00B1247E"/>
    <w:rsid w:val="00B139BE"/>
    <w:rsid w:val="00B23454"/>
    <w:rsid w:val="00B3328A"/>
    <w:rsid w:val="00B3447C"/>
    <w:rsid w:val="00B41EC7"/>
    <w:rsid w:val="00BB5CDF"/>
    <w:rsid w:val="00BC2307"/>
    <w:rsid w:val="00BD4196"/>
    <w:rsid w:val="00BD7558"/>
    <w:rsid w:val="00BF2326"/>
    <w:rsid w:val="00BF7E40"/>
    <w:rsid w:val="00C0083F"/>
    <w:rsid w:val="00C20648"/>
    <w:rsid w:val="00C42C57"/>
    <w:rsid w:val="00C54A4E"/>
    <w:rsid w:val="00C80715"/>
    <w:rsid w:val="00CA5EEA"/>
    <w:rsid w:val="00CC4E90"/>
    <w:rsid w:val="00CC580B"/>
    <w:rsid w:val="00D106F1"/>
    <w:rsid w:val="00D1347B"/>
    <w:rsid w:val="00D755E5"/>
    <w:rsid w:val="00DF4BA6"/>
    <w:rsid w:val="00DF6F76"/>
    <w:rsid w:val="00E2594D"/>
    <w:rsid w:val="00E462EE"/>
    <w:rsid w:val="00E54152"/>
    <w:rsid w:val="00E74FE9"/>
    <w:rsid w:val="00E96506"/>
    <w:rsid w:val="00EB0E5C"/>
    <w:rsid w:val="00EB4CB1"/>
    <w:rsid w:val="00EE415D"/>
    <w:rsid w:val="00EF3BBC"/>
    <w:rsid w:val="00EF4E00"/>
    <w:rsid w:val="00EF59F8"/>
    <w:rsid w:val="00F01C47"/>
    <w:rsid w:val="00F16AF5"/>
    <w:rsid w:val="00F370A6"/>
    <w:rsid w:val="00F830FA"/>
    <w:rsid w:val="00F83546"/>
    <w:rsid w:val="00F948BA"/>
    <w:rsid w:val="00FD3F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E4EAD"/>
  <w15:chartTrackingRefBased/>
  <w15:docId w15:val="{5DD7BECD-6C1C-4A80-A19E-3F8B3EBA6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C54A4E"/>
    <w:pPr>
      <w:suppressAutoHyphens/>
      <w:autoSpaceDN w:val="0"/>
      <w:spacing w:line="254" w:lineRule="auto"/>
      <w:textAlignment w:val="baseline"/>
    </w:pPr>
    <w:rPr>
      <w:rFonts w:ascii="Calibri" w:eastAsia="Calibri" w:hAnsi="Calibri" w:cs="Times New Roman"/>
      <w:lang w:val="en-GB"/>
    </w:rPr>
  </w:style>
  <w:style w:type="paragraph" w:styleId="Heading1">
    <w:name w:val="heading 1"/>
    <w:basedOn w:val="Normal"/>
    <w:next w:val="Normal"/>
    <w:link w:val="Heading1Char"/>
    <w:qFormat/>
    <w:rsid w:val="00C54A4E"/>
    <w:pPr>
      <w:widowControl w:val="0"/>
      <w:suppressAutoHyphens w:val="0"/>
      <w:autoSpaceDN/>
      <w:spacing w:before="100" w:beforeAutospacing="1" w:after="100" w:afterAutospacing="1" w:line="240" w:lineRule="auto"/>
      <w:textAlignment w:val="auto"/>
      <w:outlineLvl w:val="0"/>
    </w:pPr>
    <w:rPr>
      <w:rFonts w:ascii="SimSun" w:eastAsia="SimSun" w:hAnsi="SimSun" w:hint="eastAsia"/>
      <w:b/>
      <w:kern w:val="44"/>
      <w:sz w:val="48"/>
      <w:szCs w:val="48"/>
      <w:lang w:val="en-US" w:eastAsia="zh-CN"/>
    </w:rPr>
  </w:style>
  <w:style w:type="paragraph" w:styleId="Heading3">
    <w:name w:val="heading 3"/>
    <w:basedOn w:val="Normal"/>
    <w:next w:val="Normal"/>
    <w:link w:val="Heading3Char"/>
    <w:uiPriority w:val="9"/>
    <w:semiHidden/>
    <w:unhideWhenUsed/>
    <w:qFormat/>
    <w:rsid w:val="008F0D6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54A4E"/>
    <w:rPr>
      <w:rFonts w:ascii="SimSun" w:eastAsia="SimSun" w:hAnsi="SimSun" w:cs="Times New Roman"/>
      <w:b/>
      <w:kern w:val="44"/>
      <w:sz w:val="48"/>
      <w:szCs w:val="48"/>
      <w:lang w:eastAsia="zh-CN"/>
    </w:rPr>
  </w:style>
  <w:style w:type="character" w:styleId="Hyperlink">
    <w:name w:val="Hyperlink"/>
    <w:basedOn w:val="DefaultParagraphFont"/>
    <w:rsid w:val="00C54A4E"/>
    <w:rPr>
      <w:color w:val="0000FF"/>
      <w:u w:val="single"/>
    </w:rPr>
  </w:style>
  <w:style w:type="paragraph" w:styleId="NoSpacing">
    <w:name w:val="No Spacing"/>
    <w:rsid w:val="00C54A4E"/>
    <w:pPr>
      <w:suppressAutoHyphens/>
      <w:autoSpaceDN w:val="0"/>
      <w:spacing w:after="0" w:line="240" w:lineRule="auto"/>
      <w:textAlignment w:val="baseline"/>
    </w:pPr>
    <w:rPr>
      <w:rFonts w:ascii="Calibri" w:eastAsia="Calibri" w:hAnsi="Calibri" w:cs="Times New Roman"/>
      <w:lang w:val="en-GB"/>
    </w:rPr>
  </w:style>
  <w:style w:type="character" w:styleId="Strong">
    <w:name w:val="Strong"/>
    <w:uiPriority w:val="22"/>
    <w:qFormat/>
    <w:rsid w:val="00C54A4E"/>
    <w:rPr>
      <w:b w:val="0"/>
      <w:color w:val="CC0000"/>
    </w:rPr>
  </w:style>
  <w:style w:type="paragraph" w:styleId="NormalWeb">
    <w:name w:val="Normal (Web)"/>
    <w:basedOn w:val="Normal"/>
    <w:rsid w:val="00C54A4E"/>
    <w:pPr>
      <w:widowControl w:val="0"/>
      <w:suppressAutoHyphens w:val="0"/>
      <w:autoSpaceDN/>
      <w:spacing w:before="100" w:beforeAutospacing="1" w:after="100" w:afterAutospacing="1" w:line="240" w:lineRule="auto"/>
      <w:textAlignment w:val="auto"/>
    </w:pPr>
    <w:rPr>
      <w:rFonts w:eastAsia="SimSun"/>
      <w:sz w:val="24"/>
      <w:szCs w:val="24"/>
      <w:lang w:val="en-US" w:eastAsia="zh-CN"/>
    </w:rPr>
  </w:style>
  <w:style w:type="paragraph" w:styleId="Header">
    <w:name w:val="header"/>
    <w:basedOn w:val="Normal"/>
    <w:link w:val="HeaderChar"/>
    <w:uiPriority w:val="99"/>
    <w:unhideWhenUsed/>
    <w:rsid w:val="00F01C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1C47"/>
    <w:rPr>
      <w:rFonts w:ascii="Calibri" w:eastAsia="Calibri" w:hAnsi="Calibri" w:cs="Times New Roman"/>
      <w:lang w:val="en-GB"/>
    </w:rPr>
  </w:style>
  <w:style w:type="paragraph" w:styleId="Footer">
    <w:name w:val="footer"/>
    <w:basedOn w:val="Normal"/>
    <w:link w:val="FooterChar"/>
    <w:uiPriority w:val="99"/>
    <w:unhideWhenUsed/>
    <w:rsid w:val="00F01C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1C47"/>
    <w:rPr>
      <w:rFonts w:ascii="Calibri" w:eastAsia="Calibri" w:hAnsi="Calibri" w:cs="Times New Roman"/>
      <w:lang w:val="en-GB"/>
    </w:rPr>
  </w:style>
  <w:style w:type="character" w:customStyle="1" w:styleId="Heading3Char">
    <w:name w:val="Heading 3 Char"/>
    <w:basedOn w:val="DefaultParagraphFont"/>
    <w:link w:val="Heading3"/>
    <w:uiPriority w:val="9"/>
    <w:semiHidden/>
    <w:rsid w:val="008F0D61"/>
    <w:rPr>
      <w:rFonts w:asciiTheme="majorHAnsi" w:eastAsiaTheme="majorEastAsia" w:hAnsiTheme="majorHAnsi" w:cstheme="majorBidi"/>
      <w:color w:val="1F4D78" w:themeColor="accent1" w:themeShade="7F"/>
      <w:sz w:val="24"/>
      <w:szCs w:val="24"/>
      <w:lang w:val="en-GB"/>
    </w:rPr>
  </w:style>
  <w:style w:type="paragraph" w:customStyle="1" w:styleId="Caption1">
    <w:name w:val="Caption1"/>
    <w:basedOn w:val="Normal"/>
    <w:link w:val="captionChar"/>
    <w:qFormat/>
    <w:rsid w:val="008F0D61"/>
    <w:pPr>
      <w:suppressAutoHyphens w:val="0"/>
      <w:autoSpaceDN/>
      <w:spacing w:after="200" w:line="240" w:lineRule="auto"/>
      <w:jc w:val="both"/>
      <w:textAlignment w:val="auto"/>
    </w:pPr>
    <w:rPr>
      <w:rFonts w:ascii="Arial" w:eastAsiaTheme="minorHAnsi" w:hAnsi="Arial" w:cstheme="minorBidi"/>
      <w:iCs/>
      <w:sz w:val="18"/>
      <w:szCs w:val="18"/>
    </w:rPr>
  </w:style>
  <w:style w:type="character" w:customStyle="1" w:styleId="captionChar">
    <w:name w:val="caption Char"/>
    <w:basedOn w:val="DefaultParagraphFont"/>
    <w:link w:val="Caption1"/>
    <w:rsid w:val="008F0D61"/>
    <w:rPr>
      <w:rFonts w:ascii="Arial" w:hAnsi="Arial"/>
      <w:iCs/>
      <w:sz w:val="18"/>
      <w:szCs w:val="18"/>
      <w:lang w:val="en-GB"/>
    </w:rPr>
  </w:style>
  <w:style w:type="paragraph" w:styleId="Caption">
    <w:name w:val="caption"/>
    <w:basedOn w:val="Normal"/>
    <w:next w:val="Normal"/>
    <w:uiPriority w:val="35"/>
    <w:semiHidden/>
    <w:unhideWhenUsed/>
    <w:qFormat/>
    <w:rsid w:val="008F0D61"/>
    <w:pPr>
      <w:spacing w:after="200" w:line="240" w:lineRule="auto"/>
    </w:pPr>
    <w:rPr>
      <w:i/>
      <w:iCs/>
      <w:color w:val="44546A" w:themeColor="text2"/>
      <w:sz w:val="18"/>
      <w:szCs w:val="18"/>
    </w:rPr>
  </w:style>
  <w:style w:type="paragraph" w:styleId="ListParagraph">
    <w:name w:val="List Paragraph"/>
    <w:basedOn w:val="Normal"/>
    <w:uiPriority w:val="34"/>
    <w:qFormat/>
    <w:rsid w:val="00E74FE9"/>
    <w:pPr>
      <w:ind w:left="720"/>
      <w:contextualSpacing/>
    </w:pPr>
  </w:style>
  <w:style w:type="paragraph" w:customStyle="1" w:styleId="EndNoteBibliography">
    <w:name w:val="EndNote Bibliography"/>
    <w:basedOn w:val="Normal"/>
    <w:link w:val="EndNoteBibliographyChar"/>
    <w:rsid w:val="00552D1B"/>
    <w:pPr>
      <w:suppressAutoHyphens w:val="0"/>
      <w:autoSpaceDN/>
      <w:spacing w:after="200" w:line="240" w:lineRule="auto"/>
      <w:textAlignment w:val="auto"/>
    </w:pPr>
    <w:rPr>
      <w:rFonts w:eastAsiaTheme="minorHAnsi" w:cs="Calibri"/>
      <w:noProof/>
      <w:lang w:val="en-US"/>
    </w:rPr>
  </w:style>
  <w:style w:type="character" w:customStyle="1" w:styleId="EndNoteBibliographyChar">
    <w:name w:val="EndNote Bibliography Char"/>
    <w:basedOn w:val="DefaultParagraphFont"/>
    <w:link w:val="EndNoteBibliography"/>
    <w:rsid w:val="00552D1B"/>
    <w:rPr>
      <w:rFonts w:ascii="Calibri" w:hAnsi="Calibri" w:cs="Calibri"/>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1975240">
      <w:bodyDiv w:val="1"/>
      <w:marLeft w:val="0"/>
      <w:marRight w:val="0"/>
      <w:marTop w:val="0"/>
      <w:marBottom w:val="0"/>
      <w:divBdr>
        <w:top w:val="none" w:sz="0" w:space="0" w:color="auto"/>
        <w:left w:val="none" w:sz="0" w:space="0" w:color="auto"/>
        <w:bottom w:val="none" w:sz="0" w:space="0" w:color="auto"/>
        <w:right w:val="none" w:sz="0" w:space="0" w:color="auto"/>
      </w:divBdr>
      <w:divsChild>
        <w:div w:id="1090739424">
          <w:marLeft w:val="0"/>
          <w:marRight w:val="0"/>
          <w:marTop w:val="0"/>
          <w:marBottom w:val="0"/>
          <w:divBdr>
            <w:top w:val="none" w:sz="0" w:space="0" w:color="auto"/>
            <w:left w:val="none" w:sz="0" w:space="0" w:color="auto"/>
            <w:bottom w:val="none" w:sz="0" w:space="0" w:color="auto"/>
            <w:right w:val="none" w:sz="0" w:space="0" w:color="auto"/>
          </w:divBdr>
        </w:div>
        <w:div w:id="455755825">
          <w:marLeft w:val="0"/>
          <w:marRight w:val="0"/>
          <w:marTop w:val="0"/>
          <w:marBottom w:val="0"/>
          <w:divBdr>
            <w:top w:val="none" w:sz="0" w:space="0" w:color="auto"/>
            <w:left w:val="none" w:sz="0" w:space="0" w:color="auto"/>
            <w:bottom w:val="none" w:sz="0" w:space="0" w:color="auto"/>
            <w:right w:val="none" w:sz="0" w:space="0" w:color="auto"/>
          </w:divBdr>
        </w:div>
        <w:div w:id="669675899">
          <w:marLeft w:val="0"/>
          <w:marRight w:val="0"/>
          <w:marTop w:val="0"/>
          <w:marBottom w:val="0"/>
          <w:divBdr>
            <w:top w:val="none" w:sz="0" w:space="0" w:color="auto"/>
            <w:left w:val="none" w:sz="0" w:space="0" w:color="auto"/>
            <w:bottom w:val="none" w:sz="0" w:space="0" w:color="auto"/>
            <w:right w:val="none" w:sz="0" w:space="0" w:color="auto"/>
          </w:divBdr>
        </w:div>
        <w:div w:id="346491425">
          <w:marLeft w:val="0"/>
          <w:marRight w:val="0"/>
          <w:marTop w:val="0"/>
          <w:marBottom w:val="0"/>
          <w:divBdr>
            <w:top w:val="none" w:sz="0" w:space="0" w:color="auto"/>
            <w:left w:val="none" w:sz="0" w:space="0" w:color="auto"/>
            <w:bottom w:val="none" w:sz="0" w:space="0" w:color="auto"/>
            <w:right w:val="none" w:sz="0" w:space="0" w:color="auto"/>
          </w:divBdr>
        </w:div>
        <w:div w:id="744424132">
          <w:marLeft w:val="0"/>
          <w:marRight w:val="0"/>
          <w:marTop w:val="0"/>
          <w:marBottom w:val="0"/>
          <w:divBdr>
            <w:top w:val="none" w:sz="0" w:space="0" w:color="auto"/>
            <w:left w:val="none" w:sz="0" w:space="0" w:color="auto"/>
            <w:bottom w:val="none" w:sz="0" w:space="0" w:color="auto"/>
            <w:right w:val="none" w:sz="0" w:space="0" w:color="auto"/>
          </w:divBdr>
        </w:div>
        <w:div w:id="534928597">
          <w:marLeft w:val="0"/>
          <w:marRight w:val="0"/>
          <w:marTop w:val="0"/>
          <w:marBottom w:val="0"/>
          <w:divBdr>
            <w:top w:val="none" w:sz="0" w:space="0" w:color="auto"/>
            <w:left w:val="none" w:sz="0" w:space="0" w:color="auto"/>
            <w:bottom w:val="none" w:sz="0" w:space="0" w:color="auto"/>
            <w:right w:val="none" w:sz="0" w:space="0" w:color="auto"/>
          </w:divBdr>
        </w:div>
        <w:div w:id="1973250893">
          <w:marLeft w:val="0"/>
          <w:marRight w:val="0"/>
          <w:marTop w:val="0"/>
          <w:marBottom w:val="0"/>
          <w:divBdr>
            <w:top w:val="none" w:sz="0" w:space="0" w:color="auto"/>
            <w:left w:val="none" w:sz="0" w:space="0" w:color="auto"/>
            <w:bottom w:val="none" w:sz="0" w:space="0" w:color="auto"/>
            <w:right w:val="none" w:sz="0" w:space="0" w:color="auto"/>
          </w:divBdr>
        </w:div>
        <w:div w:id="20976785">
          <w:marLeft w:val="0"/>
          <w:marRight w:val="0"/>
          <w:marTop w:val="0"/>
          <w:marBottom w:val="0"/>
          <w:divBdr>
            <w:top w:val="none" w:sz="0" w:space="0" w:color="auto"/>
            <w:left w:val="none" w:sz="0" w:space="0" w:color="auto"/>
            <w:bottom w:val="none" w:sz="0" w:space="0" w:color="auto"/>
            <w:right w:val="none" w:sz="0" w:space="0" w:color="auto"/>
          </w:divBdr>
        </w:div>
        <w:div w:id="324092573">
          <w:marLeft w:val="0"/>
          <w:marRight w:val="0"/>
          <w:marTop w:val="0"/>
          <w:marBottom w:val="0"/>
          <w:divBdr>
            <w:top w:val="none" w:sz="0" w:space="0" w:color="auto"/>
            <w:left w:val="none" w:sz="0" w:space="0" w:color="auto"/>
            <w:bottom w:val="none" w:sz="0" w:space="0" w:color="auto"/>
            <w:right w:val="none" w:sz="0" w:space="0" w:color="auto"/>
          </w:divBdr>
        </w:div>
      </w:divsChild>
    </w:div>
    <w:div w:id="456029553">
      <w:bodyDiv w:val="1"/>
      <w:marLeft w:val="0"/>
      <w:marRight w:val="0"/>
      <w:marTop w:val="0"/>
      <w:marBottom w:val="0"/>
      <w:divBdr>
        <w:top w:val="none" w:sz="0" w:space="0" w:color="auto"/>
        <w:left w:val="none" w:sz="0" w:space="0" w:color="auto"/>
        <w:bottom w:val="none" w:sz="0" w:space="0" w:color="auto"/>
        <w:right w:val="none" w:sz="0" w:space="0" w:color="auto"/>
      </w:divBdr>
      <w:divsChild>
        <w:div w:id="376047926">
          <w:marLeft w:val="0"/>
          <w:marRight w:val="0"/>
          <w:marTop w:val="0"/>
          <w:marBottom w:val="0"/>
          <w:divBdr>
            <w:top w:val="none" w:sz="0" w:space="0" w:color="auto"/>
            <w:left w:val="none" w:sz="0" w:space="0" w:color="auto"/>
            <w:bottom w:val="none" w:sz="0" w:space="0" w:color="auto"/>
            <w:right w:val="none" w:sz="0" w:space="0" w:color="auto"/>
          </w:divBdr>
        </w:div>
        <w:div w:id="2006936927">
          <w:marLeft w:val="0"/>
          <w:marRight w:val="0"/>
          <w:marTop w:val="0"/>
          <w:marBottom w:val="0"/>
          <w:divBdr>
            <w:top w:val="none" w:sz="0" w:space="0" w:color="auto"/>
            <w:left w:val="none" w:sz="0" w:space="0" w:color="auto"/>
            <w:bottom w:val="none" w:sz="0" w:space="0" w:color="auto"/>
            <w:right w:val="none" w:sz="0" w:space="0" w:color="auto"/>
          </w:divBdr>
        </w:div>
        <w:div w:id="5056399">
          <w:marLeft w:val="0"/>
          <w:marRight w:val="0"/>
          <w:marTop w:val="0"/>
          <w:marBottom w:val="0"/>
          <w:divBdr>
            <w:top w:val="none" w:sz="0" w:space="0" w:color="auto"/>
            <w:left w:val="none" w:sz="0" w:space="0" w:color="auto"/>
            <w:bottom w:val="none" w:sz="0" w:space="0" w:color="auto"/>
            <w:right w:val="none" w:sz="0" w:space="0" w:color="auto"/>
          </w:divBdr>
        </w:div>
        <w:div w:id="1010066606">
          <w:marLeft w:val="0"/>
          <w:marRight w:val="0"/>
          <w:marTop w:val="0"/>
          <w:marBottom w:val="0"/>
          <w:divBdr>
            <w:top w:val="none" w:sz="0" w:space="0" w:color="auto"/>
            <w:left w:val="none" w:sz="0" w:space="0" w:color="auto"/>
            <w:bottom w:val="none" w:sz="0" w:space="0" w:color="auto"/>
            <w:right w:val="none" w:sz="0" w:space="0" w:color="auto"/>
          </w:divBdr>
        </w:div>
        <w:div w:id="469827752">
          <w:marLeft w:val="0"/>
          <w:marRight w:val="0"/>
          <w:marTop w:val="0"/>
          <w:marBottom w:val="0"/>
          <w:divBdr>
            <w:top w:val="none" w:sz="0" w:space="0" w:color="auto"/>
            <w:left w:val="none" w:sz="0" w:space="0" w:color="auto"/>
            <w:bottom w:val="none" w:sz="0" w:space="0" w:color="auto"/>
            <w:right w:val="none" w:sz="0" w:space="0" w:color="auto"/>
          </w:divBdr>
        </w:div>
        <w:div w:id="606351364">
          <w:marLeft w:val="0"/>
          <w:marRight w:val="0"/>
          <w:marTop w:val="0"/>
          <w:marBottom w:val="0"/>
          <w:divBdr>
            <w:top w:val="none" w:sz="0" w:space="0" w:color="auto"/>
            <w:left w:val="none" w:sz="0" w:space="0" w:color="auto"/>
            <w:bottom w:val="none" w:sz="0" w:space="0" w:color="auto"/>
            <w:right w:val="none" w:sz="0" w:space="0" w:color="auto"/>
          </w:divBdr>
        </w:div>
        <w:div w:id="365376101">
          <w:marLeft w:val="0"/>
          <w:marRight w:val="0"/>
          <w:marTop w:val="0"/>
          <w:marBottom w:val="0"/>
          <w:divBdr>
            <w:top w:val="none" w:sz="0" w:space="0" w:color="auto"/>
            <w:left w:val="none" w:sz="0" w:space="0" w:color="auto"/>
            <w:bottom w:val="none" w:sz="0" w:space="0" w:color="auto"/>
            <w:right w:val="none" w:sz="0" w:space="0" w:color="auto"/>
          </w:divBdr>
        </w:div>
        <w:div w:id="1374185233">
          <w:marLeft w:val="0"/>
          <w:marRight w:val="0"/>
          <w:marTop w:val="0"/>
          <w:marBottom w:val="0"/>
          <w:divBdr>
            <w:top w:val="none" w:sz="0" w:space="0" w:color="auto"/>
            <w:left w:val="none" w:sz="0" w:space="0" w:color="auto"/>
            <w:bottom w:val="none" w:sz="0" w:space="0" w:color="auto"/>
            <w:right w:val="none" w:sz="0" w:space="0" w:color="auto"/>
          </w:divBdr>
        </w:div>
        <w:div w:id="570505299">
          <w:marLeft w:val="0"/>
          <w:marRight w:val="0"/>
          <w:marTop w:val="0"/>
          <w:marBottom w:val="0"/>
          <w:divBdr>
            <w:top w:val="none" w:sz="0" w:space="0" w:color="auto"/>
            <w:left w:val="none" w:sz="0" w:space="0" w:color="auto"/>
            <w:bottom w:val="none" w:sz="0" w:space="0" w:color="auto"/>
            <w:right w:val="none" w:sz="0" w:space="0" w:color="auto"/>
          </w:divBdr>
        </w:div>
        <w:div w:id="1916624078">
          <w:marLeft w:val="0"/>
          <w:marRight w:val="0"/>
          <w:marTop w:val="0"/>
          <w:marBottom w:val="0"/>
          <w:divBdr>
            <w:top w:val="none" w:sz="0" w:space="0" w:color="auto"/>
            <w:left w:val="none" w:sz="0" w:space="0" w:color="auto"/>
            <w:bottom w:val="none" w:sz="0" w:space="0" w:color="auto"/>
            <w:right w:val="none" w:sz="0" w:space="0" w:color="auto"/>
          </w:divBdr>
        </w:div>
        <w:div w:id="1748310485">
          <w:marLeft w:val="0"/>
          <w:marRight w:val="0"/>
          <w:marTop w:val="0"/>
          <w:marBottom w:val="0"/>
          <w:divBdr>
            <w:top w:val="none" w:sz="0" w:space="0" w:color="auto"/>
            <w:left w:val="none" w:sz="0" w:space="0" w:color="auto"/>
            <w:bottom w:val="none" w:sz="0" w:space="0" w:color="auto"/>
            <w:right w:val="none" w:sz="0" w:space="0" w:color="auto"/>
          </w:divBdr>
        </w:div>
      </w:divsChild>
    </w:div>
    <w:div w:id="530723320">
      <w:bodyDiv w:val="1"/>
      <w:marLeft w:val="0"/>
      <w:marRight w:val="0"/>
      <w:marTop w:val="0"/>
      <w:marBottom w:val="0"/>
      <w:divBdr>
        <w:top w:val="none" w:sz="0" w:space="0" w:color="auto"/>
        <w:left w:val="none" w:sz="0" w:space="0" w:color="auto"/>
        <w:bottom w:val="none" w:sz="0" w:space="0" w:color="auto"/>
        <w:right w:val="none" w:sz="0" w:space="0" w:color="auto"/>
      </w:divBdr>
      <w:divsChild>
        <w:div w:id="1969581053">
          <w:marLeft w:val="0"/>
          <w:marRight w:val="0"/>
          <w:marTop w:val="0"/>
          <w:marBottom w:val="0"/>
          <w:divBdr>
            <w:top w:val="none" w:sz="0" w:space="0" w:color="auto"/>
            <w:left w:val="none" w:sz="0" w:space="0" w:color="auto"/>
            <w:bottom w:val="none" w:sz="0" w:space="0" w:color="auto"/>
            <w:right w:val="none" w:sz="0" w:space="0" w:color="auto"/>
          </w:divBdr>
        </w:div>
        <w:div w:id="1894924748">
          <w:marLeft w:val="0"/>
          <w:marRight w:val="0"/>
          <w:marTop w:val="0"/>
          <w:marBottom w:val="0"/>
          <w:divBdr>
            <w:top w:val="none" w:sz="0" w:space="0" w:color="auto"/>
            <w:left w:val="none" w:sz="0" w:space="0" w:color="auto"/>
            <w:bottom w:val="none" w:sz="0" w:space="0" w:color="auto"/>
            <w:right w:val="none" w:sz="0" w:space="0" w:color="auto"/>
          </w:divBdr>
        </w:div>
        <w:div w:id="1319924311">
          <w:marLeft w:val="0"/>
          <w:marRight w:val="0"/>
          <w:marTop w:val="0"/>
          <w:marBottom w:val="0"/>
          <w:divBdr>
            <w:top w:val="none" w:sz="0" w:space="0" w:color="auto"/>
            <w:left w:val="none" w:sz="0" w:space="0" w:color="auto"/>
            <w:bottom w:val="none" w:sz="0" w:space="0" w:color="auto"/>
            <w:right w:val="none" w:sz="0" w:space="0" w:color="auto"/>
          </w:divBdr>
        </w:div>
      </w:divsChild>
    </w:div>
    <w:div w:id="1188055918">
      <w:bodyDiv w:val="1"/>
      <w:marLeft w:val="0"/>
      <w:marRight w:val="0"/>
      <w:marTop w:val="0"/>
      <w:marBottom w:val="0"/>
      <w:divBdr>
        <w:top w:val="none" w:sz="0" w:space="0" w:color="auto"/>
        <w:left w:val="none" w:sz="0" w:space="0" w:color="auto"/>
        <w:bottom w:val="none" w:sz="0" w:space="0" w:color="auto"/>
        <w:right w:val="none" w:sz="0" w:space="0" w:color="auto"/>
      </w:divBdr>
      <w:divsChild>
        <w:div w:id="1213033467">
          <w:marLeft w:val="0"/>
          <w:marRight w:val="0"/>
          <w:marTop w:val="0"/>
          <w:marBottom w:val="0"/>
          <w:divBdr>
            <w:top w:val="none" w:sz="0" w:space="0" w:color="auto"/>
            <w:left w:val="none" w:sz="0" w:space="0" w:color="auto"/>
            <w:bottom w:val="none" w:sz="0" w:space="0" w:color="auto"/>
            <w:right w:val="none" w:sz="0" w:space="0" w:color="auto"/>
          </w:divBdr>
        </w:div>
        <w:div w:id="750155130">
          <w:marLeft w:val="0"/>
          <w:marRight w:val="0"/>
          <w:marTop w:val="0"/>
          <w:marBottom w:val="0"/>
          <w:divBdr>
            <w:top w:val="none" w:sz="0" w:space="0" w:color="auto"/>
            <w:left w:val="none" w:sz="0" w:space="0" w:color="auto"/>
            <w:bottom w:val="none" w:sz="0" w:space="0" w:color="auto"/>
            <w:right w:val="none" w:sz="0" w:space="0" w:color="auto"/>
          </w:divBdr>
        </w:div>
        <w:div w:id="1762723589">
          <w:marLeft w:val="0"/>
          <w:marRight w:val="0"/>
          <w:marTop w:val="0"/>
          <w:marBottom w:val="0"/>
          <w:divBdr>
            <w:top w:val="none" w:sz="0" w:space="0" w:color="auto"/>
            <w:left w:val="none" w:sz="0" w:space="0" w:color="auto"/>
            <w:bottom w:val="none" w:sz="0" w:space="0" w:color="auto"/>
            <w:right w:val="none" w:sz="0" w:space="0" w:color="auto"/>
          </w:divBdr>
        </w:div>
        <w:div w:id="1674839803">
          <w:marLeft w:val="0"/>
          <w:marRight w:val="0"/>
          <w:marTop w:val="0"/>
          <w:marBottom w:val="0"/>
          <w:divBdr>
            <w:top w:val="none" w:sz="0" w:space="0" w:color="auto"/>
            <w:left w:val="none" w:sz="0" w:space="0" w:color="auto"/>
            <w:bottom w:val="none" w:sz="0" w:space="0" w:color="auto"/>
            <w:right w:val="none" w:sz="0" w:space="0" w:color="auto"/>
          </w:divBdr>
        </w:div>
        <w:div w:id="1426657755">
          <w:marLeft w:val="0"/>
          <w:marRight w:val="0"/>
          <w:marTop w:val="0"/>
          <w:marBottom w:val="0"/>
          <w:divBdr>
            <w:top w:val="none" w:sz="0" w:space="0" w:color="auto"/>
            <w:left w:val="none" w:sz="0" w:space="0" w:color="auto"/>
            <w:bottom w:val="none" w:sz="0" w:space="0" w:color="auto"/>
            <w:right w:val="none" w:sz="0" w:space="0" w:color="auto"/>
          </w:divBdr>
        </w:div>
        <w:div w:id="2140604051">
          <w:marLeft w:val="0"/>
          <w:marRight w:val="0"/>
          <w:marTop w:val="0"/>
          <w:marBottom w:val="0"/>
          <w:divBdr>
            <w:top w:val="none" w:sz="0" w:space="0" w:color="auto"/>
            <w:left w:val="none" w:sz="0" w:space="0" w:color="auto"/>
            <w:bottom w:val="none" w:sz="0" w:space="0" w:color="auto"/>
            <w:right w:val="none" w:sz="0" w:space="0" w:color="auto"/>
          </w:divBdr>
        </w:div>
        <w:div w:id="904415634">
          <w:marLeft w:val="0"/>
          <w:marRight w:val="0"/>
          <w:marTop w:val="0"/>
          <w:marBottom w:val="0"/>
          <w:divBdr>
            <w:top w:val="none" w:sz="0" w:space="0" w:color="auto"/>
            <w:left w:val="none" w:sz="0" w:space="0" w:color="auto"/>
            <w:bottom w:val="none" w:sz="0" w:space="0" w:color="auto"/>
            <w:right w:val="none" w:sz="0" w:space="0" w:color="auto"/>
          </w:divBdr>
        </w:div>
        <w:div w:id="2083137312">
          <w:marLeft w:val="0"/>
          <w:marRight w:val="0"/>
          <w:marTop w:val="0"/>
          <w:marBottom w:val="0"/>
          <w:divBdr>
            <w:top w:val="none" w:sz="0" w:space="0" w:color="auto"/>
            <w:left w:val="none" w:sz="0" w:space="0" w:color="auto"/>
            <w:bottom w:val="none" w:sz="0" w:space="0" w:color="auto"/>
            <w:right w:val="none" w:sz="0" w:space="0" w:color="auto"/>
          </w:divBdr>
        </w:div>
        <w:div w:id="114254629">
          <w:marLeft w:val="0"/>
          <w:marRight w:val="0"/>
          <w:marTop w:val="0"/>
          <w:marBottom w:val="0"/>
          <w:divBdr>
            <w:top w:val="none" w:sz="0" w:space="0" w:color="auto"/>
            <w:left w:val="none" w:sz="0" w:space="0" w:color="auto"/>
            <w:bottom w:val="none" w:sz="0" w:space="0" w:color="auto"/>
            <w:right w:val="none" w:sz="0" w:space="0" w:color="auto"/>
          </w:divBdr>
        </w:div>
        <w:div w:id="425152445">
          <w:marLeft w:val="0"/>
          <w:marRight w:val="0"/>
          <w:marTop w:val="0"/>
          <w:marBottom w:val="0"/>
          <w:divBdr>
            <w:top w:val="none" w:sz="0" w:space="0" w:color="auto"/>
            <w:left w:val="none" w:sz="0" w:space="0" w:color="auto"/>
            <w:bottom w:val="none" w:sz="0" w:space="0" w:color="auto"/>
            <w:right w:val="none" w:sz="0" w:space="0" w:color="auto"/>
          </w:divBdr>
        </w:div>
        <w:div w:id="936408882">
          <w:marLeft w:val="0"/>
          <w:marRight w:val="0"/>
          <w:marTop w:val="0"/>
          <w:marBottom w:val="0"/>
          <w:divBdr>
            <w:top w:val="none" w:sz="0" w:space="0" w:color="auto"/>
            <w:left w:val="none" w:sz="0" w:space="0" w:color="auto"/>
            <w:bottom w:val="none" w:sz="0" w:space="0" w:color="auto"/>
            <w:right w:val="none" w:sz="0" w:space="0" w:color="auto"/>
          </w:divBdr>
        </w:div>
      </w:divsChild>
    </w:div>
    <w:div w:id="1453591303">
      <w:bodyDiv w:val="1"/>
      <w:marLeft w:val="0"/>
      <w:marRight w:val="0"/>
      <w:marTop w:val="0"/>
      <w:marBottom w:val="0"/>
      <w:divBdr>
        <w:top w:val="none" w:sz="0" w:space="0" w:color="auto"/>
        <w:left w:val="none" w:sz="0" w:space="0" w:color="auto"/>
        <w:bottom w:val="none" w:sz="0" w:space="0" w:color="auto"/>
        <w:right w:val="none" w:sz="0" w:space="0" w:color="auto"/>
      </w:divBdr>
      <w:divsChild>
        <w:div w:id="1823083370">
          <w:marLeft w:val="0"/>
          <w:marRight w:val="0"/>
          <w:marTop w:val="0"/>
          <w:marBottom w:val="0"/>
          <w:divBdr>
            <w:top w:val="none" w:sz="0" w:space="0" w:color="auto"/>
            <w:left w:val="none" w:sz="0" w:space="0" w:color="auto"/>
            <w:bottom w:val="none" w:sz="0" w:space="0" w:color="auto"/>
            <w:right w:val="none" w:sz="0" w:space="0" w:color="auto"/>
          </w:divBdr>
        </w:div>
        <w:div w:id="1703436030">
          <w:marLeft w:val="0"/>
          <w:marRight w:val="0"/>
          <w:marTop w:val="0"/>
          <w:marBottom w:val="0"/>
          <w:divBdr>
            <w:top w:val="none" w:sz="0" w:space="0" w:color="auto"/>
            <w:left w:val="none" w:sz="0" w:space="0" w:color="auto"/>
            <w:bottom w:val="none" w:sz="0" w:space="0" w:color="auto"/>
            <w:right w:val="none" w:sz="0" w:space="0" w:color="auto"/>
          </w:divBdr>
        </w:div>
        <w:div w:id="1606694519">
          <w:marLeft w:val="0"/>
          <w:marRight w:val="0"/>
          <w:marTop w:val="0"/>
          <w:marBottom w:val="0"/>
          <w:divBdr>
            <w:top w:val="none" w:sz="0" w:space="0" w:color="auto"/>
            <w:left w:val="none" w:sz="0" w:space="0" w:color="auto"/>
            <w:bottom w:val="none" w:sz="0" w:space="0" w:color="auto"/>
            <w:right w:val="none" w:sz="0" w:space="0" w:color="auto"/>
          </w:divBdr>
        </w:div>
        <w:div w:id="261644010">
          <w:marLeft w:val="0"/>
          <w:marRight w:val="0"/>
          <w:marTop w:val="0"/>
          <w:marBottom w:val="0"/>
          <w:divBdr>
            <w:top w:val="none" w:sz="0" w:space="0" w:color="auto"/>
            <w:left w:val="none" w:sz="0" w:space="0" w:color="auto"/>
            <w:bottom w:val="none" w:sz="0" w:space="0" w:color="auto"/>
            <w:right w:val="none" w:sz="0" w:space="0" w:color="auto"/>
          </w:divBdr>
        </w:div>
        <w:div w:id="1373118627">
          <w:marLeft w:val="0"/>
          <w:marRight w:val="0"/>
          <w:marTop w:val="0"/>
          <w:marBottom w:val="0"/>
          <w:divBdr>
            <w:top w:val="none" w:sz="0" w:space="0" w:color="auto"/>
            <w:left w:val="none" w:sz="0" w:space="0" w:color="auto"/>
            <w:bottom w:val="none" w:sz="0" w:space="0" w:color="auto"/>
            <w:right w:val="none" w:sz="0" w:space="0" w:color="auto"/>
          </w:divBdr>
        </w:div>
        <w:div w:id="307395817">
          <w:marLeft w:val="0"/>
          <w:marRight w:val="0"/>
          <w:marTop w:val="0"/>
          <w:marBottom w:val="0"/>
          <w:divBdr>
            <w:top w:val="none" w:sz="0" w:space="0" w:color="auto"/>
            <w:left w:val="none" w:sz="0" w:space="0" w:color="auto"/>
            <w:bottom w:val="none" w:sz="0" w:space="0" w:color="auto"/>
            <w:right w:val="none" w:sz="0" w:space="0" w:color="auto"/>
          </w:divBdr>
        </w:div>
        <w:div w:id="857697205">
          <w:marLeft w:val="0"/>
          <w:marRight w:val="0"/>
          <w:marTop w:val="0"/>
          <w:marBottom w:val="0"/>
          <w:divBdr>
            <w:top w:val="none" w:sz="0" w:space="0" w:color="auto"/>
            <w:left w:val="none" w:sz="0" w:space="0" w:color="auto"/>
            <w:bottom w:val="none" w:sz="0" w:space="0" w:color="auto"/>
            <w:right w:val="none" w:sz="0" w:space="0" w:color="auto"/>
          </w:divBdr>
        </w:div>
        <w:div w:id="840777960">
          <w:marLeft w:val="0"/>
          <w:marRight w:val="0"/>
          <w:marTop w:val="0"/>
          <w:marBottom w:val="0"/>
          <w:divBdr>
            <w:top w:val="none" w:sz="0" w:space="0" w:color="auto"/>
            <w:left w:val="none" w:sz="0" w:space="0" w:color="auto"/>
            <w:bottom w:val="none" w:sz="0" w:space="0" w:color="auto"/>
            <w:right w:val="none" w:sz="0" w:space="0" w:color="auto"/>
          </w:divBdr>
        </w:div>
        <w:div w:id="706177397">
          <w:marLeft w:val="0"/>
          <w:marRight w:val="0"/>
          <w:marTop w:val="0"/>
          <w:marBottom w:val="0"/>
          <w:divBdr>
            <w:top w:val="none" w:sz="0" w:space="0" w:color="auto"/>
            <w:left w:val="none" w:sz="0" w:space="0" w:color="auto"/>
            <w:bottom w:val="none" w:sz="0" w:space="0" w:color="auto"/>
            <w:right w:val="none" w:sz="0" w:space="0" w:color="auto"/>
          </w:divBdr>
        </w:div>
        <w:div w:id="1651403757">
          <w:marLeft w:val="0"/>
          <w:marRight w:val="0"/>
          <w:marTop w:val="0"/>
          <w:marBottom w:val="0"/>
          <w:divBdr>
            <w:top w:val="none" w:sz="0" w:space="0" w:color="auto"/>
            <w:left w:val="none" w:sz="0" w:space="0" w:color="auto"/>
            <w:bottom w:val="none" w:sz="0" w:space="0" w:color="auto"/>
            <w:right w:val="none" w:sz="0" w:space="0" w:color="auto"/>
          </w:divBdr>
        </w:div>
        <w:div w:id="190463823">
          <w:marLeft w:val="0"/>
          <w:marRight w:val="0"/>
          <w:marTop w:val="0"/>
          <w:marBottom w:val="0"/>
          <w:divBdr>
            <w:top w:val="none" w:sz="0" w:space="0" w:color="auto"/>
            <w:left w:val="none" w:sz="0" w:space="0" w:color="auto"/>
            <w:bottom w:val="none" w:sz="0" w:space="0" w:color="auto"/>
            <w:right w:val="none" w:sz="0" w:space="0" w:color="auto"/>
          </w:divBdr>
        </w:div>
      </w:divsChild>
    </w:div>
    <w:div w:id="1480684596">
      <w:bodyDiv w:val="1"/>
      <w:marLeft w:val="0"/>
      <w:marRight w:val="0"/>
      <w:marTop w:val="0"/>
      <w:marBottom w:val="0"/>
      <w:divBdr>
        <w:top w:val="none" w:sz="0" w:space="0" w:color="auto"/>
        <w:left w:val="none" w:sz="0" w:space="0" w:color="auto"/>
        <w:bottom w:val="none" w:sz="0" w:space="0" w:color="auto"/>
        <w:right w:val="none" w:sz="0" w:space="0" w:color="auto"/>
      </w:divBdr>
      <w:divsChild>
        <w:div w:id="1522889903">
          <w:marLeft w:val="0"/>
          <w:marRight w:val="0"/>
          <w:marTop w:val="0"/>
          <w:marBottom w:val="0"/>
          <w:divBdr>
            <w:top w:val="none" w:sz="0" w:space="0" w:color="auto"/>
            <w:left w:val="none" w:sz="0" w:space="0" w:color="auto"/>
            <w:bottom w:val="none" w:sz="0" w:space="0" w:color="auto"/>
            <w:right w:val="none" w:sz="0" w:space="0" w:color="auto"/>
          </w:divBdr>
        </w:div>
        <w:div w:id="294484727">
          <w:marLeft w:val="0"/>
          <w:marRight w:val="0"/>
          <w:marTop w:val="0"/>
          <w:marBottom w:val="0"/>
          <w:divBdr>
            <w:top w:val="none" w:sz="0" w:space="0" w:color="auto"/>
            <w:left w:val="none" w:sz="0" w:space="0" w:color="auto"/>
            <w:bottom w:val="none" w:sz="0" w:space="0" w:color="auto"/>
            <w:right w:val="none" w:sz="0" w:space="0" w:color="auto"/>
          </w:divBdr>
        </w:div>
        <w:div w:id="221597916">
          <w:marLeft w:val="0"/>
          <w:marRight w:val="0"/>
          <w:marTop w:val="0"/>
          <w:marBottom w:val="0"/>
          <w:divBdr>
            <w:top w:val="none" w:sz="0" w:space="0" w:color="auto"/>
            <w:left w:val="none" w:sz="0" w:space="0" w:color="auto"/>
            <w:bottom w:val="none" w:sz="0" w:space="0" w:color="auto"/>
            <w:right w:val="none" w:sz="0" w:space="0" w:color="auto"/>
          </w:divBdr>
        </w:div>
        <w:div w:id="361974771">
          <w:marLeft w:val="0"/>
          <w:marRight w:val="0"/>
          <w:marTop w:val="0"/>
          <w:marBottom w:val="0"/>
          <w:divBdr>
            <w:top w:val="none" w:sz="0" w:space="0" w:color="auto"/>
            <w:left w:val="none" w:sz="0" w:space="0" w:color="auto"/>
            <w:bottom w:val="none" w:sz="0" w:space="0" w:color="auto"/>
            <w:right w:val="none" w:sz="0" w:space="0" w:color="auto"/>
          </w:divBdr>
        </w:div>
      </w:divsChild>
    </w:div>
    <w:div w:id="1653169586">
      <w:bodyDiv w:val="1"/>
      <w:marLeft w:val="0"/>
      <w:marRight w:val="0"/>
      <w:marTop w:val="0"/>
      <w:marBottom w:val="0"/>
      <w:divBdr>
        <w:top w:val="none" w:sz="0" w:space="0" w:color="auto"/>
        <w:left w:val="none" w:sz="0" w:space="0" w:color="auto"/>
        <w:bottom w:val="none" w:sz="0" w:space="0" w:color="auto"/>
        <w:right w:val="none" w:sz="0" w:space="0" w:color="auto"/>
      </w:divBdr>
      <w:divsChild>
        <w:div w:id="702369390">
          <w:marLeft w:val="0"/>
          <w:marRight w:val="0"/>
          <w:marTop w:val="0"/>
          <w:marBottom w:val="0"/>
          <w:divBdr>
            <w:top w:val="none" w:sz="0" w:space="0" w:color="auto"/>
            <w:left w:val="none" w:sz="0" w:space="0" w:color="auto"/>
            <w:bottom w:val="none" w:sz="0" w:space="0" w:color="auto"/>
            <w:right w:val="none" w:sz="0" w:space="0" w:color="auto"/>
          </w:divBdr>
        </w:div>
        <w:div w:id="1875578834">
          <w:marLeft w:val="0"/>
          <w:marRight w:val="0"/>
          <w:marTop w:val="0"/>
          <w:marBottom w:val="0"/>
          <w:divBdr>
            <w:top w:val="none" w:sz="0" w:space="0" w:color="auto"/>
            <w:left w:val="none" w:sz="0" w:space="0" w:color="auto"/>
            <w:bottom w:val="none" w:sz="0" w:space="0" w:color="auto"/>
            <w:right w:val="none" w:sz="0" w:space="0" w:color="auto"/>
          </w:divBdr>
        </w:div>
        <w:div w:id="2108115105">
          <w:marLeft w:val="0"/>
          <w:marRight w:val="0"/>
          <w:marTop w:val="0"/>
          <w:marBottom w:val="0"/>
          <w:divBdr>
            <w:top w:val="none" w:sz="0" w:space="0" w:color="auto"/>
            <w:left w:val="none" w:sz="0" w:space="0" w:color="auto"/>
            <w:bottom w:val="none" w:sz="0" w:space="0" w:color="auto"/>
            <w:right w:val="none" w:sz="0" w:space="0" w:color="auto"/>
          </w:divBdr>
        </w:div>
        <w:div w:id="1953779293">
          <w:marLeft w:val="0"/>
          <w:marRight w:val="0"/>
          <w:marTop w:val="0"/>
          <w:marBottom w:val="0"/>
          <w:divBdr>
            <w:top w:val="none" w:sz="0" w:space="0" w:color="auto"/>
            <w:left w:val="none" w:sz="0" w:space="0" w:color="auto"/>
            <w:bottom w:val="none" w:sz="0" w:space="0" w:color="auto"/>
            <w:right w:val="none" w:sz="0" w:space="0" w:color="auto"/>
          </w:divBdr>
        </w:div>
        <w:div w:id="1959754522">
          <w:marLeft w:val="0"/>
          <w:marRight w:val="0"/>
          <w:marTop w:val="0"/>
          <w:marBottom w:val="0"/>
          <w:divBdr>
            <w:top w:val="none" w:sz="0" w:space="0" w:color="auto"/>
            <w:left w:val="none" w:sz="0" w:space="0" w:color="auto"/>
            <w:bottom w:val="none" w:sz="0" w:space="0" w:color="auto"/>
            <w:right w:val="none" w:sz="0" w:space="0" w:color="auto"/>
          </w:divBdr>
        </w:div>
        <w:div w:id="881132507">
          <w:marLeft w:val="0"/>
          <w:marRight w:val="0"/>
          <w:marTop w:val="0"/>
          <w:marBottom w:val="0"/>
          <w:divBdr>
            <w:top w:val="none" w:sz="0" w:space="0" w:color="auto"/>
            <w:left w:val="none" w:sz="0" w:space="0" w:color="auto"/>
            <w:bottom w:val="none" w:sz="0" w:space="0" w:color="auto"/>
            <w:right w:val="none" w:sz="0" w:space="0" w:color="auto"/>
          </w:divBdr>
        </w:div>
        <w:div w:id="1867862052">
          <w:marLeft w:val="0"/>
          <w:marRight w:val="0"/>
          <w:marTop w:val="0"/>
          <w:marBottom w:val="0"/>
          <w:divBdr>
            <w:top w:val="none" w:sz="0" w:space="0" w:color="auto"/>
            <w:left w:val="none" w:sz="0" w:space="0" w:color="auto"/>
            <w:bottom w:val="none" w:sz="0" w:space="0" w:color="auto"/>
            <w:right w:val="none" w:sz="0" w:space="0" w:color="auto"/>
          </w:divBdr>
        </w:div>
        <w:div w:id="402728596">
          <w:marLeft w:val="0"/>
          <w:marRight w:val="0"/>
          <w:marTop w:val="0"/>
          <w:marBottom w:val="0"/>
          <w:divBdr>
            <w:top w:val="none" w:sz="0" w:space="0" w:color="auto"/>
            <w:left w:val="none" w:sz="0" w:space="0" w:color="auto"/>
            <w:bottom w:val="none" w:sz="0" w:space="0" w:color="auto"/>
            <w:right w:val="none" w:sz="0" w:space="0" w:color="auto"/>
          </w:divBdr>
        </w:div>
        <w:div w:id="527110852">
          <w:marLeft w:val="0"/>
          <w:marRight w:val="0"/>
          <w:marTop w:val="0"/>
          <w:marBottom w:val="0"/>
          <w:divBdr>
            <w:top w:val="none" w:sz="0" w:space="0" w:color="auto"/>
            <w:left w:val="none" w:sz="0" w:space="0" w:color="auto"/>
            <w:bottom w:val="none" w:sz="0" w:space="0" w:color="auto"/>
            <w:right w:val="none" w:sz="0" w:space="0" w:color="auto"/>
          </w:divBdr>
        </w:div>
        <w:div w:id="70470972">
          <w:marLeft w:val="0"/>
          <w:marRight w:val="0"/>
          <w:marTop w:val="0"/>
          <w:marBottom w:val="0"/>
          <w:divBdr>
            <w:top w:val="none" w:sz="0" w:space="0" w:color="auto"/>
            <w:left w:val="none" w:sz="0" w:space="0" w:color="auto"/>
            <w:bottom w:val="none" w:sz="0" w:space="0" w:color="auto"/>
            <w:right w:val="none" w:sz="0" w:space="0" w:color="auto"/>
          </w:divBdr>
        </w:div>
        <w:div w:id="539130384">
          <w:marLeft w:val="0"/>
          <w:marRight w:val="0"/>
          <w:marTop w:val="0"/>
          <w:marBottom w:val="0"/>
          <w:divBdr>
            <w:top w:val="none" w:sz="0" w:space="0" w:color="auto"/>
            <w:left w:val="none" w:sz="0" w:space="0" w:color="auto"/>
            <w:bottom w:val="none" w:sz="0" w:space="0" w:color="auto"/>
            <w:right w:val="none" w:sz="0" w:space="0" w:color="auto"/>
          </w:divBdr>
        </w:div>
      </w:divsChild>
    </w:div>
    <w:div w:id="2126386084">
      <w:bodyDiv w:val="1"/>
      <w:marLeft w:val="0"/>
      <w:marRight w:val="0"/>
      <w:marTop w:val="0"/>
      <w:marBottom w:val="0"/>
      <w:divBdr>
        <w:top w:val="none" w:sz="0" w:space="0" w:color="auto"/>
        <w:left w:val="none" w:sz="0" w:space="0" w:color="auto"/>
        <w:bottom w:val="none" w:sz="0" w:space="0" w:color="auto"/>
        <w:right w:val="none" w:sz="0" w:space="0" w:color="auto"/>
      </w:divBdr>
      <w:divsChild>
        <w:div w:id="1724061386">
          <w:marLeft w:val="0"/>
          <w:marRight w:val="0"/>
          <w:marTop w:val="0"/>
          <w:marBottom w:val="0"/>
          <w:divBdr>
            <w:top w:val="none" w:sz="0" w:space="0" w:color="auto"/>
            <w:left w:val="none" w:sz="0" w:space="0" w:color="auto"/>
            <w:bottom w:val="none" w:sz="0" w:space="0" w:color="auto"/>
            <w:right w:val="none" w:sz="0" w:space="0" w:color="auto"/>
          </w:divBdr>
        </w:div>
        <w:div w:id="1461799449">
          <w:marLeft w:val="0"/>
          <w:marRight w:val="0"/>
          <w:marTop w:val="0"/>
          <w:marBottom w:val="0"/>
          <w:divBdr>
            <w:top w:val="none" w:sz="0" w:space="0" w:color="auto"/>
            <w:left w:val="none" w:sz="0" w:space="0" w:color="auto"/>
            <w:bottom w:val="none" w:sz="0" w:space="0" w:color="auto"/>
            <w:right w:val="none" w:sz="0" w:space="0" w:color="auto"/>
          </w:divBdr>
        </w:div>
        <w:div w:id="1132216030">
          <w:marLeft w:val="0"/>
          <w:marRight w:val="0"/>
          <w:marTop w:val="0"/>
          <w:marBottom w:val="0"/>
          <w:divBdr>
            <w:top w:val="none" w:sz="0" w:space="0" w:color="auto"/>
            <w:left w:val="none" w:sz="0" w:space="0" w:color="auto"/>
            <w:bottom w:val="none" w:sz="0" w:space="0" w:color="auto"/>
            <w:right w:val="none" w:sz="0" w:space="0" w:color="auto"/>
          </w:divBdr>
        </w:div>
        <w:div w:id="1725834088">
          <w:marLeft w:val="0"/>
          <w:marRight w:val="0"/>
          <w:marTop w:val="0"/>
          <w:marBottom w:val="0"/>
          <w:divBdr>
            <w:top w:val="none" w:sz="0" w:space="0" w:color="auto"/>
            <w:left w:val="none" w:sz="0" w:space="0" w:color="auto"/>
            <w:bottom w:val="none" w:sz="0" w:space="0" w:color="auto"/>
            <w:right w:val="none" w:sz="0" w:space="0" w:color="auto"/>
          </w:divBdr>
        </w:div>
        <w:div w:id="1821728154">
          <w:marLeft w:val="0"/>
          <w:marRight w:val="0"/>
          <w:marTop w:val="0"/>
          <w:marBottom w:val="0"/>
          <w:divBdr>
            <w:top w:val="none" w:sz="0" w:space="0" w:color="auto"/>
            <w:left w:val="none" w:sz="0" w:space="0" w:color="auto"/>
            <w:bottom w:val="none" w:sz="0" w:space="0" w:color="auto"/>
            <w:right w:val="none" w:sz="0" w:space="0" w:color="auto"/>
          </w:divBdr>
        </w:div>
        <w:div w:id="48500048">
          <w:marLeft w:val="0"/>
          <w:marRight w:val="0"/>
          <w:marTop w:val="0"/>
          <w:marBottom w:val="0"/>
          <w:divBdr>
            <w:top w:val="none" w:sz="0" w:space="0" w:color="auto"/>
            <w:left w:val="none" w:sz="0" w:space="0" w:color="auto"/>
            <w:bottom w:val="none" w:sz="0" w:space="0" w:color="auto"/>
            <w:right w:val="none" w:sz="0" w:space="0" w:color="auto"/>
          </w:divBdr>
        </w:div>
        <w:div w:id="1172574755">
          <w:marLeft w:val="0"/>
          <w:marRight w:val="0"/>
          <w:marTop w:val="0"/>
          <w:marBottom w:val="0"/>
          <w:divBdr>
            <w:top w:val="none" w:sz="0" w:space="0" w:color="auto"/>
            <w:left w:val="none" w:sz="0" w:space="0" w:color="auto"/>
            <w:bottom w:val="none" w:sz="0" w:space="0" w:color="auto"/>
            <w:right w:val="none" w:sz="0" w:space="0" w:color="auto"/>
          </w:divBdr>
        </w:div>
      </w:divsChild>
    </w:div>
    <w:div w:id="2143689732">
      <w:bodyDiv w:val="1"/>
      <w:marLeft w:val="0"/>
      <w:marRight w:val="0"/>
      <w:marTop w:val="0"/>
      <w:marBottom w:val="0"/>
      <w:divBdr>
        <w:top w:val="none" w:sz="0" w:space="0" w:color="auto"/>
        <w:left w:val="none" w:sz="0" w:space="0" w:color="auto"/>
        <w:bottom w:val="none" w:sz="0" w:space="0" w:color="auto"/>
        <w:right w:val="none" w:sz="0" w:space="0" w:color="auto"/>
      </w:divBdr>
      <w:divsChild>
        <w:div w:id="600839965">
          <w:marLeft w:val="0"/>
          <w:marRight w:val="0"/>
          <w:marTop w:val="0"/>
          <w:marBottom w:val="0"/>
          <w:divBdr>
            <w:top w:val="none" w:sz="0" w:space="0" w:color="auto"/>
            <w:left w:val="none" w:sz="0" w:space="0" w:color="auto"/>
            <w:bottom w:val="none" w:sz="0" w:space="0" w:color="auto"/>
            <w:right w:val="none" w:sz="0" w:space="0" w:color="auto"/>
          </w:divBdr>
        </w:div>
        <w:div w:id="860777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E0021C-0F00-49D2-9316-C48513B3D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25</Pages>
  <Words>13050</Words>
  <Characters>74385</Characters>
  <Application>Microsoft Office Word</Application>
  <DocSecurity>0</DocSecurity>
  <Lines>619</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BCH</dc:creator>
  <cp:keywords/>
  <dc:description/>
  <cp:lastModifiedBy>SDI PC New 16</cp:lastModifiedBy>
  <cp:revision>7</cp:revision>
  <dcterms:created xsi:type="dcterms:W3CDTF">2025-08-27T13:17:00Z</dcterms:created>
  <dcterms:modified xsi:type="dcterms:W3CDTF">2025-08-29T11:55:00Z</dcterms:modified>
</cp:coreProperties>
</file>