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DE05D" w14:textId="477684A9" w:rsidR="007E2C4B" w:rsidRPr="00CF06EE" w:rsidRDefault="006C0E2C" w:rsidP="006C0E2C">
      <w:pPr>
        <w:jc w:val="center"/>
        <w:rPr>
          <w:rFonts w:ascii="Arial" w:hAnsi="Arial" w:cs="Arial"/>
        </w:rPr>
      </w:pPr>
      <w:r w:rsidRPr="00CF06EE">
        <w:rPr>
          <w:rFonts w:ascii="Arial" w:hAnsi="Arial" w:cs="Arial"/>
          <w:b/>
          <w:bCs/>
        </w:rPr>
        <w:t>Postbiotics as Emerging Functional Biotics: Antimicrobial Potential, Production Strategies, and Mechanistic Insights</w:t>
      </w:r>
    </w:p>
    <w:p w14:paraId="78BF6798" w14:textId="77777777" w:rsidR="006A3041" w:rsidRPr="00CF06EE" w:rsidRDefault="006A3041" w:rsidP="006A3041">
      <w:pPr>
        <w:rPr>
          <w:rFonts w:ascii="Arial" w:hAnsi="Arial" w:cs="Arial"/>
          <w:sz w:val="20"/>
          <w:szCs w:val="20"/>
          <w:lang w:val="en-IN"/>
        </w:rPr>
      </w:pPr>
    </w:p>
    <w:p w14:paraId="1EF974AB" w14:textId="77777777" w:rsidR="008E2905" w:rsidRPr="00CF06EE" w:rsidRDefault="008E2905" w:rsidP="006A3041">
      <w:pPr>
        <w:rPr>
          <w:rFonts w:ascii="Arial" w:hAnsi="Arial" w:cs="Arial"/>
          <w:sz w:val="20"/>
          <w:szCs w:val="20"/>
          <w:lang w:val="en-IN"/>
        </w:rPr>
      </w:pPr>
    </w:p>
    <w:p w14:paraId="31DEEEE0" w14:textId="77777777" w:rsidR="008E2905" w:rsidRPr="00CF06EE" w:rsidRDefault="008E2905" w:rsidP="006A3041">
      <w:pPr>
        <w:rPr>
          <w:rFonts w:ascii="Arial" w:hAnsi="Arial" w:cs="Arial"/>
          <w:sz w:val="20"/>
          <w:szCs w:val="20"/>
          <w:lang w:val="en-IN"/>
        </w:rPr>
      </w:pPr>
    </w:p>
    <w:p w14:paraId="2BE6AB6F" w14:textId="77777777" w:rsidR="008E2905" w:rsidRPr="00CF06EE" w:rsidRDefault="008E2905" w:rsidP="006A3041">
      <w:pPr>
        <w:rPr>
          <w:rFonts w:ascii="Arial" w:hAnsi="Arial" w:cs="Arial"/>
          <w:sz w:val="20"/>
          <w:szCs w:val="20"/>
          <w:lang w:val="en-IN"/>
        </w:rPr>
      </w:pPr>
    </w:p>
    <w:p w14:paraId="70108E53" w14:textId="0F17E151" w:rsidR="006541E4" w:rsidRPr="00CF06EE" w:rsidRDefault="00CE4C98" w:rsidP="006A3041">
      <w:pPr>
        <w:pStyle w:val="Heading2"/>
        <w:spacing w:before="0" w:after="0" w:line="276" w:lineRule="auto"/>
        <w:jc w:val="both"/>
        <w:rPr>
          <w:rFonts w:ascii="Arial" w:hAnsi="Arial" w:cs="Arial"/>
          <w:b/>
          <w:bCs/>
          <w:color w:val="auto"/>
          <w:sz w:val="22"/>
          <w:szCs w:val="22"/>
          <w:lang w:val="en-IN"/>
        </w:rPr>
      </w:pPr>
      <w:r w:rsidRPr="00CF06EE">
        <w:rPr>
          <w:rFonts w:ascii="Arial" w:hAnsi="Arial" w:cs="Arial"/>
          <w:b/>
          <w:bCs/>
          <w:color w:val="auto"/>
          <w:sz w:val="22"/>
          <w:szCs w:val="22"/>
          <w:lang w:val="en-IN"/>
        </w:rPr>
        <w:t>ABSTRACT</w:t>
      </w:r>
    </w:p>
    <w:p w14:paraId="2D30B399" w14:textId="77777777" w:rsidR="006C0E2C" w:rsidRPr="006C0E2C" w:rsidRDefault="006C0E2C" w:rsidP="006C0E2C">
      <w:pPr>
        <w:spacing w:line="240" w:lineRule="auto"/>
        <w:jc w:val="both"/>
        <w:rPr>
          <w:rFonts w:ascii="Arial" w:eastAsiaTheme="majorEastAsia" w:hAnsi="Arial" w:cs="Arial"/>
          <w:sz w:val="20"/>
          <w:szCs w:val="20"/>
          <w:lang w:val="en-IN"/>
        </w:rPr>
      </w:pPr>
      <w:r w:rsidRPr="006C0E2C">
        <w:rPr>
          <w:rFonts w:ascii="Arial" w:eastAsiaTheme="majorEastAsia" w:hAnsi="Arial" w:cs="Arial"/>
          <w:b/>
          <w:bCs/>
          <w:sz w:val="20"/>
          <w:szCs w:val="20"/>
          <w:lang w:val="en-IN"/>
        </w:rPr>
        <w:t>Background:</w:t>
      </w:r>
      <w:r w:rsidRPr="006C0E2C">
        <w:rPr>
          <w:rFonts w:ascii="Arial" w:eastAsiaTheme="majorEastAsia" w:hAnsi="Arial" w:cs="Arial"/>
          <w:b/>
          <w:bCs/>
          <w:sz w:val="20"/>
          <w:szCs w:val="20"/>
          <w:lang w:val="en-IN"/>
        </w:rPr>
        <w:br/>
      </w:r>
      <w:r w:rsidRPr="006C0E2C">
        <w:rPr>
          <w:rFonts w:ascii="Arial" w:eastAsiaTheme="majorEastAsia" w:hAnsi="Arial" w:cs="Arial"/>
          <w:sz w:val="20"/>
          <w:szCs w:val="20"/>
          <w:lang w:val="en-IN"/>
        </w:rPr>
        <w:t>Postbiotics have recently emerged as a promising category of functional biotics derived from microbial fermentation. Unlike probiotics, postbiotics consist of non-viable microbial cells, metabolites, and structural components that exert biological effects without requiring microbial viability. Their improved stability, safety profile, and defined biochemical composition have generated increasing interest for applications in biotechnology, food science, and therapeutic development.</w:t>
      </w:r>
    </w:p>
    <w:p w14:paraId="4066D16B" w14:textId="77777777" w:rsidR="006C0E2C" w:rsidRPr="006C0E2C" w:rsidRDefault="006C0E2C" w:rsidP="006C0E2C">
      <w:pPr>
        <w:spacing w:line="240" w:lineRule="auto"/>
        <w:jc w:val="both"/>
        <w:rPr>
          <w:rFonts w:ascii="Arial" w:eastAsiaTheme="majorEastAsia" w:hAnsi="Arial" w:cs="Arial"/>
          <w:sz w:val="20"/>
          <w:szCs w:val="20"/>
          <w:lang w:val="en-IN"/>
        </w:rPr>
      </w:pPr>
      <w:r w:rsidRPr="006C0E2C">
        <w:rPr>
          <w:rFonts w:ascii="Arial" w:eastAsiaTheme="majorEastAsia" w:hAnsi="Arial" w:cs="Arial"/>
          <w:b/>
          <w:bCs/>
          <w:sz w:val="20"/>
          <w:szCs w:val="20"/>
          <w:lang w:val="en-IN"/>
        </w:rPr>
        <w:t>Methods:</w:t>
      </w:r>
      <w:r w:rsidRPr="006C0E2C">
        <w:rPr>
          <w:rFonts w:ascii="Arial" w:eastAsiaTheme="majorEastAsia" w:hAnsi="Arial" w:cs="Arial"/>
          <w:b/>
          <w:bCs/>
          <w:sz w:val="20"/>
          <w:szCs w:val="20"/>
          <w:lang w:val="en-IN"/>
        </w:rPr>
        <w:br/>
      </w:r>
      <w:r w:rsidRPr="006C0E2C">
        <w:rPr>
          <w:rFonts w:ascii="Arial" w:eastAsiaTheme="majorEastAsia" w:hAnsi="Arial" w:cs="Arial"/>
          <w:sz w:val="20"/>
          <w:szCs w:val="20"/>
          <w:lang w:val="en-IN"/>
        </w:rPr>
        <w:t xml:space="preserve">This review systematically </w:t>
      </w:r>
      <w:proofErr w:type="spellStart"/>
      <w:r w:rsidRPr="006C0E2C">
        <w:rPr>
          <w:rFonts w:ascii="Arial" w:eastAsiaTheme="majorEastAsia" w:hAnsi="Arial" w:cs="Arial"/>
          <w:sz w:val="20"/>
          <w:szCs w:val="20"/>
          <w:lang w:val="en-IN"/>
        </w:rPr>
        <w:t>analyzed</w:t>
      </w:r>
      <w:proofErr w:type="spellEnd"/>
      <w:r w:rsidRPr="006C0E2C">
        <w:rPr>
          <w:rFonts w:ascii="Arial" w:eastAsiaTheme="majorEastAsia" w:hAnsi="Arial" w:cs="Arial"/>
          <w:sz w:val="20"/>
          <w:szCs w:val="20"/>
          <w:lang w:val="en-IN"/>
        </w:rPr>
        <w:t xml:space="preserve"> recent literature on postbiotics, focusing on their microbial sources, bioactive components, production strategies, characterization methods, antimicrobial mechanisms, and potential therapeutic applications. Relevant studies were evaluated to summarize current advances in fermentation technologies, downstream processing, and analytical approaches used for postbiotic identification and functional evaluation.</w:t>
      </w:r>
    </w:p>
    <w:p w14:paraId="437CD1BC" w14:textId="77777777" w:rsidR="006C0E2C" w:rsidRPr="006C0E2C" w:rsidRDefault="006C0E2C" w:rsidP="006C0E2C">
      <w:pPr>
        <w:spacing w:line="240" w:lineRule="auto"/>
        <w:jc w:val="both"/>
        <w:rPr>
          <w:rFonts w:ascii="Arial" w:eastAsiaTheme="majorEastAsia" w:hAnsi="Arial" w:cs="Arial"/>
          <w:sz w:val="20"/>
          <w:szCs w:val="20"/>
          <w:lang w:val="en-IN"/>
        </w:rPr>
      </w:pPr>
      <w:r w:rsidRPr="006C0E2C">
        <w:rPr>
          <w:rFonts w:ascii="Arial" w:eastAsiaTheme="majorEastAsia" w:hAnsi="Arial" w:cs="Arial"/>
          <w:b/>
          <w:bCs/>
          <w:sz w:val="20"/>
          <w:szCs w:val="20"/>
          <w:lang w:val="en-IN"/>
        </w:rPr>
        <w:t>Results:</w:t>
      </w:r>
      <w:r w:rsidRPr="006C0E2C">
        <w:rPr>
          <w:rFonts w:ascii="Arial" w:eastAsiaTheme="majorEastAsia" w:hAnsi="Arial" w:cs="Arial"/>
          <w:b/>
          <w:bCs/>
          <w:sz w:val="20"/>
          <w:szCs w:val="20"/>
          <w:lang w:val="en-IN"/>
        </w:rPr>
        <w:br/>
      </w:r>
      <w:r w:rsidRPr="006C0E2C">
        <w:rPr>
          <w:rFonts w:ascii="Arial" w:eastAsiaTheme="majorEastAsia" w:hAnsi="Arial" w:cs="Arial"/>
          <w:sz w:val="20"/>
          <w:szCs w:val="20"/>
          <w:lang w:val="en-IN"/>
        </w:rPr>
        <w:t>Evidence from recent studies indicates that postbiotics contain diverse bioactive compounds, including short-chain fatty acids, bacteriocins, exopolysaccharides, enzymes, peptides, and cell wall fragments. These components contribute to multiple biological effects, particularly antimicrobial activity against pathogenic microorganisms, modulation of host immune responses, improvement of intestinal barrier function, and regulation of metabolic pathways. Compared with live probiotics, postbiotics demonstrate greater physicochemical stability, longer shelf life, and reduced risk of infection, making them more suitable for incorporation into pharmaceutical formulations, functional foods, and cosmetic products.</w:t>
      </w:r>
    </w:p>
    <w:p w14:paraId="2686E74D" w14:textId="77777777" w:rsidR="006C0E2C" w:rsidRPr="006C0E2C" w:rsidRDefault="006C0E2C" w:rsidP="006C0E2C">
      <w:pPr>
        <w:spacing w:line="240" w:lineRule="auto"/>
        <w:jc w:val="both"/>
        <w:rPr>
          <w:rFonts w:ascii="Arial" w:eastAsiaTheme="majorEastAsia" w:hAnsi="Arial" w:cs="Arial"/>
          <w:sz w:val="20"/>
          <w:szCs w:val="20"/>
          <w:lang w:val="en-IN"/>
        </w:rPr>
      </w:pPr>
      <w:r w:rsidRPr="006C0E2C">
        <w:rPr>
          <w:rFonts w:ascii="Arial" w:eastAsiaTheme="majorEastAsia" w:hAnsi="Arial" w:cs="Arial"/>
          <w:b/>
          <w:bCs/>
          <w:sz w:val="20"/>
          <w:szCs w:val="20"/>
          <w:lang w:val="en-IN"/>
        </w:rPr>
        <w:t>Conclusion:</w:t>
      </w:r>
      <w:r w:rsidRPr="006C0E2C">
        <w:rPr>
          <w:rFonts w:ascii="Arial" w:eastAsiaTheme="majorEastAsia" w:hAnsi="Arial" w:cs="Arial"/>
          <w:b/>
          <w:bCs/>
          <w:sz w:val="20"/>
          <w:szCs w:val="20"/>
          <w:lang w:val="en-IN"/>
        </w:rPr>
        <w:br/>
      </w:r>
      <w:r w:rsidRPr="006C0E2C">
        <w:rPr>
          <w:rFonts w:ascii="Arial" w:eastAsiaTheme="majorEastAsia" w:hAnsi="Arial" w:cs="Arial"/>
          <w:sz w:val="20"/>
          <w:szCs w:val="20"/>
          <w:lang w:val="en-IN"/>
        </w:rPr>
        <w:t>Postbiotics represent a promising next-generation functional biotic with significant antimicrobial and therapeutic potential. Advances in microbial fermentation, molecular characterization, and precision bioprocessing are expected to facilitate the development of standardized postbiotic formulations for biomedical and industrial applications.</w:t>
      </w:r>
    </w:p>
    <w:p w14:paraId="4B8B90A7" w14:textId="77777777" w:rsidR="0093772E" w:rsidRPr="00CF06EE" w:rsidRDefault="006541E4" w:rsidP="006A3041">
      <w:pPr>
        <w:spacing w:line="240" w:lineRule="auto"/>
        <w:jc w:val="both"/>
        <w:rPr>
          <w:rFonts w:ascii="Arial" w:hAnsi="Arial" w:cs="Arial"/>
          <w:sz w:val="20"/>
          <w:szCs w:val="20"/>
        </w:rPr>
      </w:pPr>
      <w:r w:rsidRPr="00CF06EE">
        <w:rPr>
          <w:rFonts w:ascii="Arial" w:hAnsi="Arial" w:cs="Arial"/>
          <w:b/>
          <w:bCs/>
          <w:sz w:val="20"/>
          <w:szCs w:val="20"/>
        </w:rPr>
        <w:t>Keywords:</w:t>
      </w:r>
      <w:r w:rsidRPr="00CF06EE">
        <w:rPr>
          <w:rFonts w:ascii="Arial" w:hAnsi="Arial" w:cs="Arial"/>
          <w:sz w:val="20"/>
          <w:szCs w:val="20"/>
        </w:rPr>
        <w:br/>
      </w:r>
      <w:r w:rsidR="0093772E" w:rsidRPr="00CF06EE">
        <w:rPr>
          <w:rFonts w:ascii="Arial" w:hAnsi="Arial" w:cs="Arial"/>
          <w:sz w:val="20"/>
          <w:szCs w:val="20"/>
        </w:rPr>
        <w:t xml:space="preserve"> </w:t>
      </w:r>
      <w:r w:rsidR="0093772E" w:rsidRPr="00CF06EE">
        <w:rPr>
          <w:rFonts w:ascii="Arial" w:hAnsi="Arial" w:cs="Arial"/>
          <w:sz w:val="20"/>
          <w:szCs w:val="20"/>
        </w:rPr>
        <w:tab/>
      </w:r>
      <w:r w:rsidRPr="00CF06EE">
        <w:rPr>
          <w:rFonts w:ascii="Arial" w:hAnsi="Arial" w:cs="Arial"/>
          <w:sz w:val="20"/>
          <w:szCs w:val="20"/>
        </w:rPr>
        <w:t>Postbiotics; Functional biotics; Microbial metabolites; Fermentation biotechnology; Bioactive compounds; Therapeutic applications</w:t>
      </w:r>
      <w:r w:rsidR="0093772E" w:rsidRPr="00CF06EE">
        <w:rPr>
          <w:rFonts w:ascii="Arial" w:hAnsi="Arial" w:cs="Arial"/>
          <w:sz w:val="20"/>
          <w:szCs w:val="20"/>
        </w:rPr>
        <w:t xml:space="preserve">. </w:t>
      </w:r>
    </w:p>
    <w:p w14:paraId="4906352F" w14:textId="77777777" w:rsidR="006A3041" w:rsidRPr="00CF06EE" w:rsidRDefault="006A3041" w:rsidP="006A3041">
      <w:pPr>
        <w:spacing w:after="0" w:line="240" w:lineRule="auto"/>
        <w:jc w:val="both"/>
        <w:rPr>
          <w:rFonts w:ascii="Arial" w:hAnsi="Arial" w:cs="Arial"/>
          <w:sz w:val="20"/>
          <w:szCs w:val="20"/>
          <w:lang w:val="en-IN"/>
        </w:rPr>
      </w:pPr>
    </w:p>
    <w:p w14:paraId="132E6311" w14:textId="00010DCB" w:rsidR="00E01C7B" w:rsidRPr="00CF06EE" w:rsidRDefault="009B5155" w:rsidP="006A3041">
      <w:pPr>
        <w:pStyle w:val="Heading2"/>
        <w:spacing w:before="0" w:after="0" w:line="240" w:lineRule="auto"/>
        <w:jc w:val="both"/>
        <w:rPr>
          <w:rFonts w:ascii="Arial" w:eastAsiaTheme="minorEastAsia" w:hAnsi="Arial" w:cs="Arial"/>
          <w:b/>
          <w:bCs/>
          <w:color w:val="auto"/>
          <w:sz w:val="22"/>
          <w:szCs w:val="22"/>
        </w:rPr>
      </w:pPr>
      <w:r w:rsidRPr="00CF06EE">
        <w:rPr>
          <w:rFonts w:ascii="Arial" w:hAnsi="Arial" w:cs="Arial"/>
          <w:b/>
          <w:bCs/>
          <w:color w:val="auto"/>
          <w:sz w:val="22"/>
          <w:szCs w:val="22"/>
        </w:rPr>
        <w:t>1. INTRODUCTION</w:t>
      </w:r>
    </w:p>
    <w:p w14:paraId="137E9FE4" w14:textId="2EA9E0DD" w:rsidR="00A55792" w:rsidRPr="00CF06EE" w:rsidRDefault="00A55792"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Postbiotics—bioactive substances produced through probiotic metabolism—are emerging as a viable option for treating chronic conditions without relying on live microbes</w:t>
      </w:r>
      <w:r w:rsidR="007875D8" w:rsidRPr="00CF06EE">
        <w:rPr>
          <w:rFonts w:ascii="Arial" w:eastAsia="Times New Roman" w:hAnsi="Arial" w:cs="Arial"/>
          <w:sz w:val="20"/>
          <w:szCs w:val="20"/>
          <w:lang w:val="en-IN"/>
        </w:rPr>
        <w:t xml:space="preserve"> (</w:t>
      </w:r>
      <w:r w:rsidR="00ED29B8" w:rsidRPr="00CF06EE">
        <w:rPr>
          <w:rFonts w:ascii="Arial" w:eastAsia="Times New Roman" w:hAnsi="Arial" w:cs="Arial"/>
          <w:sz w:val="20"/>
          <w:szCs w:val="20"/>
        </w:rPr>
        <w:t>Moradi</w:t>
      </w:r>
      <w:r w:rsidR="00ED29B8" w:rsidRPr="00CF06EE">
        <w:rPr>
          <w:rFonts w:ascii="Arial" w:eastAsia="Times New Roman" w:hAnsi="Arial" w:cs="Arial"/>
          <w:sz w:val="20"/>
          <w:szCs w:val="20"/>
        </w:rPr>
        <w:t xml:space="preserve">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2020; </w:t>
      </w:r>
      <w:r w:rsidR="007875D8" w:rsidRPr="00CF06EE">
        <w:rPr>
          <w:rFonts w:ascii="Arial" w:eastAsia="Times New Roman" w:hAnsi="Arial" w:cs="Arial"/>
          <w:sz w:val="20"/>
          <w:szCs w:val="20"/>
        </w:rPr>
        <w:t xml:space="preserve">Asefa, Z </w:t>
      </w:r>
      <w:r w:rsidR="007875D8" w:rsidRPr="00CF06EE">
        <w:rPr>
          <w:rFonts w:ascii="Arial" w:eastAsia="Times New Roman" w:hAnsi="Arial" w:cs="Arial"/>
          <w:i/>
          <w:iCs/>
          <w:sz w:val="20"/>
          <w:szCs w:val="20"/>
        </w:rPr>
        <w:t>et al.,</w:t>
      </w:r>
      <w:r w:rsidR="007875D8" w:rsidRPr="00CF06EE">
        <w:rPr>
          <w:rFonts w:ascii="Arial" w:eastAsia="Times New Roman" w:hAnsi="Arial" w:cs="Arial"/>
          <w:sz w:val="20"/>
          <w:szCs w:val="20"/>
        </w:rPr>
        <w:t xml:space="preserve"> 2025</w:t>
      </w:r>
      <w:r w:rsidR="007875D8" w:rsidRPr="00CF06EE">
        <w:rPr>
          <w:rFonts w:ascii="Arial" w:eastAsia="Times New Roman" w:hAnsi="Arial" w:cs="Arial"/>
          <w:sz w:val="20"/>
          <w:szCs w:val="20"/>
          <w:lang w:val="en-IN"/>
        </w:rPr>
        <w:t>)</w:t>
      </w:r>
      <w:r w:rsidRPr="00CF06EE">
        <w:rPr>
          <w:rFonts w:ascii="Arial" w:eastAsia="Times New Roman" w:hAnsi="Arial" w:cs="Arial"/>
          <w:sz w:val="20"/>
          <w:szCs w:val="20"/>
          <w:lang w:val="en-IN"/>
        </w:rPr>
        <w:t xml:space="preserve">. They represent a key advancement in biotherapeutics, delivering both therapeutic and prophylactic benefits in contemporary medicine. The connection between diet and well-being </w:t>
      </w:r>
      <w:r w:rsidR="005F1EC1" w:rsidRPr="00CF06EE">
        <w:rPr>
          <w:rFonts w:ascii="Arial" w:eastAsia="Times New Roman" w:hAnsi="Arial" w:cs="Arial"/>
          <w:sz w:val="20"/>
          <w:szCs w:val="20"/>
          <w:lang w:val="en-IN"/>
        </w:rPr>
        <w:t>dates to</w:t>
      </w:r>
      <w:r w:rsidRPr="00CF06EE">
        <w:rPr>
          <w:rFonts w:ascii="Arial" w:eastAsia="Times New Roman" w:hAnsi="Arial" w:cs="Arial"/>
          <w:sz w:val="20"/>
          <w:szCs w:val="20"/>
          <w:lang w:val="en-IN"/>
        </w:rPr>
        <w:t xml:space="preserve"> Hippocrates around 400 B.C., who wisely stated, “Let food be thy medicine and medicine be thy food</w:t>
      </w:r>
      <w:r w:rsidR="00C83A0C" w:rsidRPr="00CF06EE">
        <w:rPr>
          <w:rFonts w:ascii="Arial" w:eastAsia="Times New Roman" w:hAnsi="Arial" w:cs="Arial"/>
          <w:sz w:val="20"/>
          <w:szCs w:val="20"/>
          <w:lang w:val="en-IN"/>
        </w:rPr>
        <w:t xml:space="preserve">” (Calvanese, C. M </w:t>
      </w:r>
      <w:r w:rsidR="00C83A0C" w:rsidRPr="00CF06EE">
        <w:rPr>
          <w:rFonts w:ascii="Arial" w:eastAsia="Times New Roman" w:hAnsi="Arial" w:cs="Arial"/>
          <w:i/>
          <w:iCs/>
          <w:sz w:val="20"/>
          <w:szCs w:val="20"/>
          <w:lang w:val="en-IN"/>
        </w:rPr>
        <w:t>et al.,</w:t>
      </w:r>
      <w:r w:rsidR="00C83A0C" w:rsidRPr="00CF06EE">
        <w:rPr>
          <w:rFonts w:ascii="Arial" w:eastAsia="Times New Roman" w:hAnsi="Arial" w:cs="Arial"/>
          <w:sz w:val="20"/>
          <w:szCs w:val="20"/>
          <w:lang w:val="en-IN"/>
        </w:rPr>
        <w:t xml:space="preserve"> 2025). </w:t>
      </w:r>
      <w:r w:rsidRPr="00CF06EE">
        <w:rPr>
          <w:rFonts w:ascii="Arial" w:eastAsia="Times New Roman" w:hAnsi="Arial" w:cs="Arial"/>
          <w:sz w:val="20"/>
          <w:szCs w:val="20"/>
          <w:lang w:val="en-IN"/>
        </w:rPr>
        <w:t>Today, we are witnessing a renewed appreciation for nutrition's vital role in disease prevention and treatment</w:t>
      </w:r>
      <w:r w:rsidR="006D257D" w:rsidRPr="00CF06EE">
        <w:rPr>
          <w:rFonts w:ascii="Arial" w:eastAsia="Times New Roman" w:hAnsi="Arial" w:cs="Arial"/>
          <w:sz w:val="20"/>
          <w:szCs w:val="20"/>
          <w:lang w:val="en-IN"/>
        </w:rPr>
        <w:t xml:space="preserve"> (</w:t>
      </w:r>
      <w:r w:rsidR="006D257D" w:rsidRPr="00CF06EE">
        <w:rPr>
          <w:rFonts w:ascii="Arial" w:eastAsia="Times New Roman" w:hAnsi="Arial" w:cs="Arial"/>
          <w:sz w:val="20"/>
          <w:szCs w:val="20"/>
        </w:rPr>
        <w:t>Hosseini</w:t>
      </w:r>
      <w:r w:rsidR="006D257D" w:rsidRPr="00CF06EE">
        <w:rPr>
          <w:rFonts w:ascii="Arial" w:eastAsia="Times New Roman" w:hAnsi="Arial" w:cs="Arial"/>
          <w:sz w:val="20"/>
          <w:szCs w:val="20"/>
        </w:rPr>
        <w:t xml:space="preserve"> </w:t>
      </w:r>
      <w:r w:rsidR="006D257D" w:rsidRPr="00CF06EE">
        <w:rPr>
          <w:rFonts w:ascii="Arial" w:eastAsia="Times New Roman" w:hAnsi="Arial" w:cs="Arial"/>
          <w:i/>
          <w:iCs/>
          <w:sz w:val="20"/>
          <w:szCs w:val="20"/>
        </w:rPr>
        <w:t>et al.,</w:t>
      </w:r>
      <w:r w:rsidR="006D257D" w:rsidRPr="00CF06EE">
        <w:rPr>
          <w:rFonts w:ascii="Arial" w:eastAsia="Times New Roman" w:hAnsi="Arial" w:cs="Arial"/>
          <w:sz w:val="20"/>
          <w:szCs w:val="20"/>
        </w:rPr>
        <w:t xml:space="preserve"> 2021</w:t>
      </w:r>
      <w:r w:rsidR="008E2905" w:rsidRPr="00CF06EE">
        <w:rPr>
          <w:rFonts w:ascii="Arial" w:eastAsia="Times New Roman" w:hAnsi="Arial" w:cs="Arial"/>
          <w:sz w:val="20"/>
          <w:szCs w:val="20"/>
        </w:rPr>
        <w:t xml:space="preserve">; </w:t>
      </w:r>
      <w:r w:rsidR="008E2905" w:rsidRPr="00CF06EE">
        <w:rPr>
          <w:rFonts w:ascii="Arial" w:eastAsia="Times New Roman" w:hAnsi="Arial" w:cs="Arial"/>
          <w:sz w:val="20"/>
          <w:szCs w:val="20"/>
        </w:rPr>
        <w:t>Moghadam</w:t>
      </w:r>
      <w:r w:rsidR="008E2905" w:rsidRPr="00CF06EE">
        <w:rPr>
          <w:rFonts w:ascii="Arial" w:eastAsia="Times New Roman" w:hAnsi="Arial" w:cs="Arial"/>
          <w:sz w:val="20"/>
          <w:szCs w:val="20"/>
        </w:rPr>
        <w:t xml:space="preserve"> </w:t>
      </w:r>
      <w:r w:rsidR="008E2905" w:rsidRPr="00CF06EE">
        <w:rPr>
          <w:rFonts w:ascii="Arial" w:eastAsia="Times New Roman" w:hAnsi="Arial" w:cs="Arial"/>
          <w:i/>
          <w:iCs/>
          <w:sz w:val="20"/>
          <w:szCs w:val="20"/>
        </w:rPr>
        <w:t>et al.,</w:t>
      </w:r>
      <w:r w:rsidR="008E2905" w:rsidRPr="00CF06EE">
        <w:rPr>
          <w:rFonts w:ascii="Arial" w:eastAsia="Times New Roman" w:hAnsi="Arial" w:cs="Arial"/>
          <w:sz w:val="20"/>
          <w:szCs w:val="20"/>
        </w:rPr>
        <w:t xml:space="preserve"> 2026</w:t>
      </w:r>
      <w:r w:rsidR="006D257D" w:rsidRPr="00CF06EE">
        <w:rPr>
          <w:rFonts w:ascii="Arial" w:eastAsia="Times New Roman" w:hAnsi="Arial" w:cs="Arial"/>
          <w:sz w:val="20"/>
          <w:szCs w:val="20"/>
          <w:lang w:val="en-IN"/>
        </w:rPr>
        <w:t>)</w:t>
      </w:r>
      <w:r w:rsidRPr="00CF06EE">
        <w:rPr>
          <w:rFonts w:ascii="Arial" w:eastAsia="Times New Roman" w:hAnsi="Arial" w:cs="Arial"/>
          <w:sz w:val="20"/>
          <w:szCs w:val="20"/>
          <w:lang w:val="en-IN"/>
        </w:rPr>
        <w:t>.</w:t>
      </w:r>
    </w:p>
    <w:p w14:paraId="1792765E" w14:textId="17FAE0EF" w:rsidR="00A55792" w:rsidRPr="00CF06EE" w:rsidRDefault="00A55792"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Consumers today increasingly </w:t>
      </w:r>
      <w:r w:rsidR="0093772E" w:rsidRPr="00CF06EE">
        <w:rPr>
          <w:rFonts w:ascii="Arial" w:eastAsia="Times New Roman" w:hAnsi="Arial" w:cs="Arial"/>
          <w:sz w:val="20"/>
          <w:szCs w:val="20"/>
          <w:lang w:val="en-IN"/>
        </w:rPr>
        <w:t>favour</w:t>
      </w:r>
      <w:r w:rsidRPr="00CF06EE">
        <w:rPr>
          <w:rFonts w:ascii="Arial" w:eastAsia="Times New Roman" w:hAnsi="Arial" w:cs="Arial"/>
          <w:sz w:val="20"/>
          <w:szCs w:val="20"/>
          <w:lang w:val="en-IN"/>
        </w:rPr>
        <w:t xml:space="preserve"> health-oriented foods, driven by heightened awareness of how diet influences well-being</w:t>
      </w:r>
      <w:r w:rsidR="00273BD9" w:rsidRPr="00CF06EE">
        <w:rPr>
          <w:rFonts w:ascii="Arial" w:eastAsia="Times New Roman" w:hAnsi="Arial" w:cs="Arial"/>
          <w:sz w:val="20"/>
          <w:szCs w:val="20"/>
          <w:lang w:val="en-IN"/>
        </w:rPr>
        <w:t xml:space="preserve"> </w:t>
      </w:r>
      <w:r w:rsidR="00273BD9" w:rsidRPr="00CF06EE">
        <w:rPr>
          <w:rFonts w:ascii="Arial" w:hAnsi="Arial" w:cs="Arial"/>
          <w:sz w:val="20"/>
          <w:szCs w:val="20"/>
          <w:lang w:val="en-IN"/>
        </w:rPr>
        <w:t>(</w:t>
      </w:r>
      <w:r w:rsidR="00273BD9" w:rsidRPr="00CF06EE">
        <w:rPr>
          <w:rFonts w:ascii="Arial" w:eastAsia="Times New Roman" w:hAnsi="Arial" w:cs="Arial"/>
          <w:sz w:val="20"/>
          <w:szCs w:val="20"/>
          <w:lang w:val="en-IN"/>
        </w:rPr>
        <w:t xml:space="preserve">Ge, S </w:t>
      </w:r>
      <w:r w:rsidR="00273BD9" w:rsidRPr="00CF06EE">
        <w:rPr>
          <w:rFonts w:ascii="Arial" w:eastAsia="Times New Roman" w:hAnsi="Arial" w:cs="Arial"/>
          <w:i/>
          <w:iCs/>
          <w:sz w:val="20"/>
          <w:szCs w:val="20"/>
          <w:lang w:val="en-IN"/>
        </w:rPr>
        <w:t>et al.,</w:t>
      </w:r>
      <w:r w:rsidR="00273BD9" w:rsidRPr="00CF06EE">
        <w:rPr>
          <w:rFonts w:ascii="Arial" w:eastAsia="Times New Roman" w:hAnsi="Arial" w:cs="Arial"/>
          <w:sz w:val="20"/>
          <w:szCs w:val="20"/>
          <w:lang w:val="en-IN"/>
        </w:rPr>
        <w:t xml:space="preserve"> 2024</w:t>
      </w:r>
      <w:r w:rsidR="00273BD9" w:rsidRPr="00CF06EE">
        <w:rPr>
          <w:rFonts w:ascii="Arial" w:hAnsi="Arial" w:cs="Arial"/>
          <w:sz w:val="20"/>
          <w:szCs w:val="20"/>
          <w:lang w:val="en-IN"/>
        </w:rPr>
        <w:t>).</w:t>
      </w:r>
      <w:r w:rsidRPr="00CF06EE">
        <w:rPr>
          <w:rFonts w:ascii="Arial" w:eastAsia="Times New Roman" w:hAnsi="Arial" w:cs="Arial"/>
          <w:sz w:val="20"/>
          <w:szCs w:val="20"/>
          <w:lang w:val="en-IN"/>
        </w:rPr>
        <w:t xml:space="preserve"> This shift has boosted the market for functional foods like probiotics, prebiotics, and </w:t>
      </w:r>
      <w:proofErr w:type="spellStart"/>
      <w:r w:rsidRPr="00CF06EE">
        <w:rPr>
          <w:rFonts w:ascii="Arial" w:eastAsia="Times New Roman" w:hAnsi="Arial" w:cs="Arial"/>
          <w:sz w:val="20"/>
          <w:szCs w:val="20"/>
          <w:lang w:val="en-IN"/>
        </w:rPr>
        <w:t>synbiotics</w:t>
      </w:r>
      <w:proofErr w:type="spellEnd"/>
      <w:r w:rsidRPr="00CF06EE">
        <w:rPr>
          <w:rFonts w:ascii="Arial" w:eastAsia="Times New Roman" w:hAnsi="Arial" w:cs="Arial"/>
          <w:sz w:val="20"/>
          <w:szCs w:val="20"/>
          <w:lang w:val="en-IN"/>
        </w:rPr>
        <w:t>—terms that lack a single standardized definition</w:t>
      </w:r>
      <w:r w:rsidR="008E2905" w:rsidRPr="00CF06EE">
        <w:rPr>
          <w:rFonts w:ascii="Arial" w:eastAsia="Times New Roman" w:hAnsi="Arial" w:cs="Arial"/>
          <w:sz w:val="20"/>
          <w:szCs w:val="20"/>
          <w:lang w:val="en-IN"/>
        </w:rPr>
        <w:t xml:space="preserve"> (</w:t>
      </w:r>
      <w:r w:rsidR="008E2905" w:rsidRPr="00CF06EE">
        <w:rPr>
          <w:rFonts w:ascii="Arial" w:eastAsia="Times New Roman" w:hAnsi="Arial" w:cs="Arial"/>
          <w:sz w:val="20"/>
          <w:szCs w:val="20"/>
        </w:rPr>
        <w:t xml:space="preserve">Moghadam </w:t>
      </w:r>
      <w:r w:rsidR="008E2905" w:rsidRPr="00CF06EE">
        <w:rPr>
          <w:rFonts w:ascii="Arial" w:eastAsia="Times New Roman" w:hAnsi="Arial" w:cs="Arial"/>
          <w:i/>
          <w:iCs/>
          <w:sz w:val="20"/>
          <w:szCs w:val="20"/>
        </w:rPr>
        <w:t>et al.,</w:t>
      </w:r>
      <w:r w:rsidR="008E2905" w:rsidRPr="00CF06EE">
        <w:rPr>
          <w:rFonts w:ascii="Arial" w:eastAsia="Times New Roman" w:hAnsi="Arial" w:cs="Arial"/>
          <w:sz w:val="20"/>
          <w:szCs w:val="20"/>
        </w:rPr>
        <w:t xml:space="preserve"> 2026</w:t>
      </w:r>
      <w:r w:rsidR="008E2905" w:rsidRPr="00CF06EE">
        <w:rPr>
          <w:rFonts w:ascii="Arial" w:eastAsia="Times New Roman" w:hAnsi="Arial" w:cs="Arial"/>
          <w:sz w:val="20"/>
          <w:szCs w:val="20"/>
          <w:lang w:val="en-IN"/>
        </w:rPr>
        <w:t>)</w:t>
      </w:r>
      <w:r w:rsidRPr="00CF06EE">
        <w:rPr>
          <w:rFonts w:ascii="Arial" w:eastAsia="Times New Roman" w:hAnsi="Arial" w:cs="Arial"/>
          <w:sz w:val="20"/>
          <w:szCs w:val="20"/>
          <w:lang w:val="en-IN"/>
        </w:rPr>
        <w:t>. Probiotics deliver live microbes that support intestinal health, while prebiotics serve as substrates fermented by gut bacteria to yield comparable advantages</w:t>
      </w:r>
      <w:r w:rsidR="00C82557" w:rsidRPr="00CF06EE">
        <w:rPr>
          <w:rFonts w:ascii="Arial" w:eastAsia="Times New Roman" w:hAnsi="Arial" w:cs="Arial"/>
          <w:sz w:val="20"/>
          <w:szCs w:val="20"/>
          <w:lang w:val="en-IN"/>
        </w:rPr>
        <w:t xml:space="preserve"> (</w:t>
      </w:r>
      <w:proofErr w:type="spellStart"/>
      <w:r w:rsidR="00C82557" w:rsidRPr="00CF06EE">
        <w:rPr>
          <w:rFonts w:ascii="Arial" w:eastAsia="Times New Roman" w:hAnsi="Arial" w:cs="Arial"/>
          <w:sz w:val="20"/>
          <w:szCs w:val="20"/>
          <w:lang w:eastAsia="en-IN"/>
        </w:rPr>
        <w:t>Condurso</w:t>
      </w:r>
      <w:proofErr w:type="spellEnd"/>
      <w:r w:rsidR="00C82557" w:rsidRPr="00CF06EE">
        <w:rPr>
          <w:rFonts w:ascii="Arial" w:eastAsia="Times New Roman" w:hAnsi="Arial" w:cs="Arial"/>
          <w:sz w:val="20"/>
          <w:szCs w:val="20"/>
          <w:lang w:eastAsia="en-IN"/>
        </w:rPr>
        <w:t xml:space="preserve">, C </w:t>
      </w:r>
      <w:r w:rsidR="00C82557" w:rsidRPr="00CF06EE">
        <w:rPr>
          <w:rFonts w:ascii="Arial" w:eastAsia="Times New Roman" w:hAnsi="Arial" w:cs="Arial"/>
          <w:i/>
          <w:iCs/>
          <w:sz w:val="20"/>
          <w:szCs w:val="20"/>
          <w:lang w:eastAsia="en-IN"/>
        </w:rPr>
        <w:t>et al.,</w:t>
      </w:r>
      <w:r w:rsidR="00C82557" w:rsidRPr="00CF06EE">
        <w:rPr>
          <w:rFonts w:ascii="Arial" w:eastAsia="Times New Roman" w:hAnsi="Arial" w:cs="Arial"/>
          <w:sz w:val="20"/>
          <w:szCs w:val="20"/>
          <w:lang w:eastAsia="en-IN"/>
        </w:rPr>
        <w:t xml:space="preserve"> 2025</w:t>
      </w:r>
      <w:r w:rsidR="00021E0B" w:rsidRPr="00CF06EE">
        <w:rPr>
          <w:rFonts w:ascii="Arial" w:eastAsia="Times New Roman" w:hAnsi="Arial" w:cs="Arial"/>
          <w:sz w:val="20"/>
          <w:szCs w:val="20"/>
          <w:lang w:eastAsia="en-IN"/>
        </w:rPr>
        <w:t xml:space="preserve">; </w:t>
      </w:r>
      <w:proofErr w:type="spellStart"/>
      <w:r w:rsidR="00021E0B" w:rsidRPr="00CF06EE">
        <w:rPr>
          <w:rFonts w:ascii="Arial" w:eastAsia="Times New Roman" w:hAnsi="Arial" w:cs="Arial"/>
          <w:sz w:val="20"/>
          <w:szCs w:val="20"/>
          <w:lang w:val="en-IN"/>
        </w:rPr>
        <w:t>Chikindas</w:t>
      </w:r>
      <w:proofErr w:type="spellEnd"/>
      <w:r w:rsidR="00021E0B" w:rsidRPr="00CF06EE">
        <w:rPr>
          <w:rFonts w:ascii="Arial" w:eastAsia="Times New Roman" w:hAnsi="Arial" w:cs="Arial"/>
          <w:sz w:val="20"/>
          <w:szCs w:val="20"/>
          <w:lang w:val="en-IN"/>
        </w:rPr>
        <w:t xml:space="preserve">, M. L </w:t>
      </w:r>
      <w:r w:rsidR="00021E0B" w:rsidRPr="00CF06EE">
        <w:rPr>
          <w:rFonts w:ascii="Arial" w:eastAsia="Times New Roman" w:hAnsi="Arial" w:cs="Arial"/>
          <w:i/>
          <w:iCs/>
          <w:sz w:val="20"/>
          <w:szCs w:val="20"/>
          <w:lang w:val="en-IN"/>
        </w:rPr>
        <w:t>et al.,</w:t>
      </w:r>
      <w:r w:rsidR="00021E0B" w:rsidRPr="00CF06EE">
        <w:rPr>
          <w:rFonts w:ascii="Arial" w:eastAsia="Times New Roman" w:hAnsi="Arial" w:cs="Arial"/>
          <w:sz w:val="20"/>
          <w:szCs w:val="20"/>
          <w:lang w:val="en-IN"/>
        </w:rPr>
        <w:t xml:space="preserve"> 2025b</w:t>
      </w:r>
      <w:r w:rsidR="00C82557" w:rsidRPr="00CF06EE">
        <w:rPr>
          <w:rFonts w:ascii="Arial" w:eastAsia="Times New Roman" w:hAnsi="Arial" w:cs="Arial"/>
          <w:sz w:val="20"/>
          <w:szCs w:val="20"/>
          <w:lang w:eastAsia="en-IN"/>
        </w:rPr>
        <w:t>)</w:t>
      </w:r>
      <w:r w:rsidRPr="00CF06EE">
        <w:rPr>
          <w:rFonts w:ascii="Arial" w:eastAsia="Times New Roman" w:hAnsi="Arial" w:cs="Arial"/>
          <w:sz w:val="20"/>
          <w:szCs w:val="20"/>
          <w:lang w:val="en-IN"/>
        </w:rPr>
        <w:t xml:space="preserve">. </w:t>
      </w:r>
      <w:proofErr w:type="spellStart"/>
      <w:r w:rsidRPr="00CF06EE">
        <w:rPr>
          <w:rFonts w:ascii="Arial" w:eastAsia="Times New Roman" w:hAnsi="Arial" w:cs="Arial"/>
          <w:sz w:val="20"/>
          <w:szCs w:val="20"/>
          <w:lang w:val="en-IN"/>
        </w:rPr>
        <w:t>Synbiotics</w:t>
      </w:r>
      <w:proofErr w:type="spellEnd"/>
      <w:r w:rsidRPr="00CF06EE">
        <w:rPr>
          <w:rFonts w:ascii="Arial" w:eastAsia="Times New Roman" w:hAnsi="Arial" w:cs="Arial"/>
          <w:sz w:val="20"/>
          <w:szCs w:val="20"/>
          <w:lang w:val="en-IN"/>
        </w:rPr>
        <w:t xml:space="preserve"> pair probiotics with prebiotics to boost the viability and function of helpful microbes in the digestive system, thereby enhancing overall health.</w:t>
      </w:r>
    </w:p>
    <w:p w14:paraId="68D3A7D9" w14:textId="6817FA14" w:rsidR="00A55792" w:rsidRPr="00CF06EE" w:rsidRDefault="00A55792" w:rsidP="006A3041">
      <w:pPr>
        <w:spacing w:after="0" w:line="240" w:lineRule="auto"/>
        <w:ind w:firstLine="720"/>
        <w:jc w:val="both"/>
        <w:rPr>
          <w:rFonts w:ascii="Arial" w:eastAsia="Times New Roman" w:hAnsi="Arial" w:cs="Arial"/>
          <w:sz w:val="20"/>
          <w:szCs w:val="20"/>
          <w:lang w:val="en-IN"/>
        </w:rPr>
      </w:pPr>
      <w:proofErr w:type="spellStart"/>
      <w:r w:rsidRPr="00CF06EE">
        <w:rPr>
          <w:rFonts w:ascii="Arial" w:eastAsia="Times New Roman" w:hAnsi="Arial" w:cs="Arial"/>
          <w:sz w:val="20"/>
          <w:szCs w:val="20"/>
          <w:lang w:val="en-IN"/>
        </w:rPr>
        <w:t>Paraprobiotics</w:t>
      </w:r>
      <w:proofErr w:type="spellEnd"/>
      <w:r w:rsidRPr="00CF06EE">
        <w:rPr>
          <w:rFonts w:ascii="Arial" w:eastAsia="Times New Roman" w:hAnsi="Arial" w:cs="Arial"/>
          <w:sz w:val="20"/>
          <w:szCs w:val="20"/>
          <w:lang w:val="en-IN"/>
        </w:rPr>
        <w:t xml:space="preserve"> involve inactivated bacterial cells that retain probiotic-like benefits despite lacking viability. </w:t>
      </w:r>
      <w:proofErr w:type="spellStart"/>
      <w:r w:rsidRPr="00CF06EE">
        <w:rPr>
          <w:rFonts w:ascii="Arial" w:eastAsia="Times New Roman" w:hAnsi="Arial" w:cs="Arial"/>
          <w:sz w:val="20"/>
          <w:szCs w:val="20"/>
          <w:lang w:val="en-IN"/>
        </w:rPr>
        <w:t>Metabiotics</w:t>
      </w:r>
      <w:proofErr w:type="spellEnd"/>
      <w:r w:rsidRPr="00CF06EE">
        <w:rPr>
          <w:rFonts w:ascii="Arial" w:eastAsia="Times New Roman" w:hAnsi="Arial" w:cs="Arial"/>
          <w:sz w:val="20"/>
          <w:szCs w:val="20"/>
          <w:lang w:val="en-IN"/>
        </w:rPr>
        <w:t>, though less defined, typically denote valuable metabolites from probiotic fermentation</w:t>
      </w:r>
      <w:r w:rsidR="00006602" w:rsidRPr="00CF06EE">
        <w:rPr>
          <w:rFonts w:ascii="Arial" w:eastAsia="Times New Roman" w:hAnsi="Arial" w:cs="Arial"/>
          <w:sz w:val="20"/>
          <w:szCs w:val="20"/>
          <w:lang w:val="en-IN"/>
        </w:rPr>
        <w:t xml:space="preserve"> (Chang </w:t>
      </w:r>
      <w:r w:rsidR="00006602" w:rsidRPr="00CF06EE">
        <w:rPr>
          <w:rFonts w:ascii="Arial" w:eastAsia="Times New Roman" w:hAnsi="Arial" w:cs="Arial"/>
          <w:i/>
          <w:iCs/>
          <w:sz w:val="20"/>
          <w:szCs w:val="20"/>
          <w:lang w:val="en-IN"/>
        </w:rPr>
        <w:t>et al.,</w:t>
      </w:r>
      <w:r w:rsidR="00006602" w:rsidRPr="00CF06EE">
        <w:rPr>
          <w:rFonts w:ascii="Arial" w:eastAsia="Times New Roman" w:hAnsi="Arial" w:cs="Arial"/>
          <w:sz w:val="20"/>
          <w:szCs w:val="20"/>
          <w:lang w:val="en-IN"/>
        </w:rPr>
        <w:t xml:space="preserve"> 2021)</w:t>
      </w:r>
      <w:r w:rsidRPr="00CF06EE">
        <w:rPr>
          <w:rFonts w:ascii="Arial" w:eastAsia="Times New Roman" w:hAnsi="Arial" w:cs="Arial"/>
          <w:sz w:val="20"/>
          <w:szCs w:val="20"/>
          <w:lang w:val="en-IN"/>
        </w:rPr>
        <w:t xml:space="preserve">. </w:t>
      </w:r>
      <w:r w:rsidRPr="00CF06EE">
        <w:rPr>
          <w:rFonts w:ascii="Arial" w:eastAsia="Times New Roman" w:hAnsi="Arial" w:cs="Arial"/>
          <w:sz w:val="20"/>
          <w:szCs w:val="20"/>
          <w:lang w:val="en-IN"/>
        </w:rPr>
        <w:lastRenderedPageBreak/>
        <w:t>A rising focus is on postbiotics, which arise from non-viable microbial cells or their extracts and show promise in food and pharmaceutical applications</w:t>
      </w:r>
      <w:r w:rsidR="00CD7EC3" w:rsidRPr="00CF06EE">
        <w:rPr>
          <w:rFonts w:ascii="Arial" w:eastAsia="Times New Roman" w:hAnsi="Arial" w:cs="Arial"/>
          <w:sz w:val="20"/>
          <w:szCs w:val="20"/>
          <w:lang w:val="en-IN"/>
        </w:rPr>
        <w:t xml:space="preserve"> </w:t>
      </w:r>
      <w:r w:rsidR="00CD7EC3" w:rsidRPr="00CF06EE">
        <w:rPr>
          <w:rFonts w:ascii="Arial" w:eastAsia="Times New Roman" w:hAnsi="Arial" w:cs="Arial"/>
          <w:sz w:val="20"/>
          <w:szCs w:val="20"/>
        </w:rPr>
        <w:t>(Cuevas-González et al., 2020</w:t>
      </w:r>
      <w:r w:rsidR="00EA48BD" w:rsidRPr="00CF06EE">
        <w:rPr>
          <w:rFonts w:ascii="Arial" w:eastAsia="Times New Roman" w:hAnsi="Arial" w:cs="Arial"/>
          <w:sz w:val="20"/>
          <w:szCs w:val="20"/>
        </w:rPr>
        <w:t xml:space="preserve">; </w:t>
      </w:r>
      <w:r w:rsidR="00EA48BD" w:rsidRPr="00CF06EE">
        <w:rPr>
          <w:rFonts w:ascii="Arial" w:eastAsia="Times New Roman" w:hAnsi="Arial" w:cs="Arial"/>
          <w:sz w:val="20"/>
          <w:szCs w:val="20"/>
        </w:rPr>
        <w:t xml:space="preserve">Hosseini </w:t>
      </w:r>
      <w:r w:rsidR="00EA48BD" w:rsidRPr="00CF06EE">
        <w:rPr>
          <w:rFonts w:ascii="Arial" w:eastAsia="Times New Roman" w:hAnsi="Arial" w:cs="Arial"/>
          <w:i/>
          <w:iCs/>
          <w:sz w:val="20"/>
          <w:szCs w:val="20"/>
        </w:rPr>
        <w:t>et al.,</w:t>
      </w:r>
      <w:r w:rsidR="00EA48BD" w:rsidRPr="00CF06EE">
        <w:rPr>
          <w:rFonts w:ascii="Arial" w:eastAsia="Times New Roman" w:hAnsi="Arial" w:cs="Arial"/>
          <w:sz w:val="20"/>
          <w:szCs w:val="20"/>
        </w:rPr>
        <w:t xml:space="preserve"> 2021; Aggarwal</w:t>
      </w:r>
      <w:r w:rsidR="00EA48BD" w:rsidRPr="00CF06EE">
        <w:rPr>
          <w:rFonts w:ascii="Arial" w:eastAsia="Times New Roman" w:hAnsi="Arial" w:cs="Arial"/>
          <w:sz w:val="20"/>
          <w:szCs w:val="20"/>
        </w:rPr>
        <w:t xml:space="preserve"> </w:t>
      </w:r>
      <w:r w:rsidR="00EA48BD" w:rsidRPr="00CF06EE">
        <w:rPr>
          <w:rFonts w:ascii="Arial" w:eastAsia="Times New Roman" w:hAnsi="Arial" w:cs="Arial"/>
          <w:i/>
          <w:iCs/>
          <w:sz w:val="20"/>
          <w:szCs w:val="20"/>
        </w:rPr>
        <w:t>et al.,</w:t>
      </w:r>
      <w:r w:rsidR="00EA48BD" w:rsidRPr="00CF06EE">
        <w:rPr>
          <w:rFonts w:ascii="Arial" w:eastAsia="Times New Roman" w:hAnsi="Arial" w:cs="Arial"/>
          <w:sz w:val="20"/>
          <w:szCs w:val="20"/>
        </w:rPr>
        <w:t xml:space="preserve"> 2022</w:t>
      </w:r>
      <w:r w:rsidR="00CD7EC3" w:rsidRPr="00CF06EE">
        <w:rPr>
          <w:rFonts w:ascii="Arial" w:eastAsia="Times New Roman" w:hAnsi="Arial" w:cs="Arial"/>
          <w:sz w:val="20"/>
          <w:szCs w:val="20"/>
        </w:rPr>
        <w:t>)</w:t>
      </w:r>
      <w:r w:rsidRPr="00CF06EE">
        <w:rPr>
          <w:rFonts w:ascii="Arial" w:eastAsia="Times New Roman" w:hAnsi="Arial" w:cs="Arial"/>
          <w:sz w:val="20"/>
          <w:szCs w:val="20"/>
          <w:lang w:val="en-IN"/>
        </w:rPr>
        <w:t>.</w:t>
      </w:r>
    </w:p>
    <w:p w14:paraId="1ADB1669" w14:textId="09E024A5" w:rsidR="00A55792" w:rsidRPr="00CF06EE" w:rsidRDefault="00A55792"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Unlike probiotics, postbiotics eliminate the need for live cells in end products, despite stemming from microbial origins</w:t>
      </w:r>
      <w:r w:rsidR="004A12DD" w:rsidRPr="00CF06EE">
        <w:rPr>
          <w:rFonts w:ascii="Arial" w:eastAsia="Times New Roman" w:hAnsi="Arial" w:cs="Arial"/>
          <w:sz w:val="20"/>
          <w:szCs w:val="20"/>
          <w:lang w:val="en-IN"/>
        </w:rPr>
        <w:t xml:space="preserve"> (</w:t>
      </w:r>
      <w:r w:rsidR="004A12DD" w:rsidRPr="00CF06EE">
        <w:rPr>
          <w:rFonts w:ascii="Arial" w:eastAsia="Times New Roman" w:hAnsi="Arial" w:cs="Arial"/>
          <w:sz w:val="20"/>
          <w:szCs w:val="20"/>
          <w:lang w:val="en-IN" w:eastAsia="en-IN"/>
        </w:rPr>
        <w:t xml:space="preserve">Molina, D </w:t>
      </w:r>
      <w:r w:rsidR="004A12DD" w:rsidRPr="00CF06EE">
        <w:rPr>
          <w:rFonts w:ascii="Arial" w:eastAsia="Times New Roman" w:hAnsi="Arial" w:cs="Arial"/>
          <w:i/>
          <w:iCs/>
          <w:sz w:val="20"/>
          <w:szCs w:val="20"/>
          <w:lang w:val="en-IN" w:eastAsia="en-IN"/>
        </w:rPr>
        <w:t>et al.,</w:t>
      </w:r>
      <w:r w:rsidR="004A12DD" w:rsidRPr="00CF06EE">
        <w:rPr>
          <w:rFonts w:ascii="Arial" w:eastAsia="Times New Roman" w:hAnsi="Arial" w:cs="Arial"/>
          <w:sz w:val="20"/>
          <w:szCs w:val="20"/>
          <w:lang w:val="en-IN" w:eastAsia="en-IN"/>
        </w:rPr>
        <w:t xml:space="preserve"> 2025</w:t>
      </w:r>
      <w:r w:rsidR="004A12DD" w:rsidRPr="00CF06EE">
        <w:rPr>
          <w:rFonts w:ascii="Arial" w:eastAsia="Times New Roman" w:hAnsi="Arial" w:cs="Arial"/>
          <w:sz w:val="20"/>
          <w:szCs w:val="20"/>
          <w:lang w:val="en-IN"/>
        </w:rPr>
        <w:t>)</w:t>
      </w:r>
      <w:r w:rsidRPr="00CF06EE">
        <w:rPr>
          <w:rFonts w:ascii="Arial" w:eastAsia="Times New Roman" w:hAnsi="Arial" w:cs="Arial"/>
          <w:sz w:val="20"/>
          <w:szCs w:val="20"/>
          <w:lang w:val="en-IN"/>
        </w:rPr>
        <w:t>. They include diverse bioactive agents—such as short-chain fatty acids, exopolysaccharides, enzymes, peptides, teichoic acids, and cell-wall components—that trigger physiological, immune, neurohormonal, and metabolic responses</w:t>
      </w:r>
      <w:r w:rsidR="00021E0B" w:rsidRPr="00CF06EE">
        <w:rPr>
          <w:rFonts w:ascii="Arial" w:eastAsia="Times New Roman" w:hAnsi="Arial" w:cs="Arial"/>
          <w:sz w:val="20"/>
          <w:szCs w:val="20"/>
          <w:lang w:val="en-IN"/>
        </w:rPr>
        <w:t xml:space="preserve"> (</w:t>
      </w:r>
      <w:r w:rsidR="00CD7EC3" w:rsidRPr="00CF06EE">
        <w:rPr>
          <w:rFonts w:ascii="Arial" w:eastAsia="Times New Roman" w:hAnsi="Arial" w:cs="Arial"/>
          <w:sz w:val="20"/>
          <w:szCs w:val="20"/>
        </w:rPr>
        <w:t>Cuevas-González et al., 2020</w:t>
      </w:r>
      <w:r w:rsidR="00CD7EC3" w:rsidRPr="00CF06EE">
        <w:rPr>
          <w:rFonts w:ascii="Arial" w:eastAsia="Times New Roman" w:hAnsi="Arial" w:cs="Arial"/>
          <w:sz w:val="20"/>
          <w:szCs w:val="20"/>
        </w:rPr>
        <w:t xml:space="preserve">; </w:t>
      </w:r>
      <w:proofErr w:type="spellStart"/>
      <w:r w:rsidR="00021E0B" w:rsidRPr="00CF06EE">
        <w:rPr>
          <w:rFonts w:ascii="Arial" w:eastAsia="Times New Roman" w:hAnsi="Arial" w:cs="Arial"/>
          <w:sz w:val="20"/>
          <w:szCs w:val="20"/>
          <w:lang w:val="en-IN"/>
        </w:rPr>
        <w:t>Chikindas</w:t>
      </w:r>
      <w:proofErr w:type="spellEnd"/>
      <w:r w:rsidR="00021E0B" w:rsidRPr="00CF06EE">
        <w:rPr>
          <w:rFonts w:ascii="Arial" w:eastAsia="Times New Roman" w:hAnsi="Arial" w:cs="Arial"/>
          <w:sz w:val="20"/>
          <w:szCs w:val="20"/>
          <w:lang w:val="en-IN"/>
        </w:rPr>
        <w:t xml:space="preserve">, M. L </w:t>
      </w:r>
      <w:r w:rsidR="00021E0B" w:rsidRPr="00CF06EE">
        <w:rPr>
          <w:rFonts w:ascii="Arial" w:eastAsia="Times New Roman" w:hAnsi="Arial" w:cs="Arial"/>
          <w:i/>
          <w:iCs/>
          <w:sz w:val="20"/>
          <w:szCs w:val="20"/>
          <w:lang w:val="en-IN"/>
        </w:rPr>
        <w:t>et al.,</w:t>
      </w:r>
      <w:r w:rsidR="00021E0B" w:rsidRPr="00CF06EE">
        <w:rPr>
          <w:rFonts w:ascii="Arial" w:eastAsia="Times New Roman" w:hAnsi="Arial" w:cs="Arial"/>
          <w:sz w:val="20"/>
          <w:szCs w:val="20"/>
          <w:lang w:val="en-IN"/>
        </w:rPr>
        <w:t xml:space="preserve"> 2025b)</w:t>
      </w:r>
      <w:r w:rsidRPr="00CF06EE">
        <w:rPr>
          <w:rFonts w:ascii="Arial" w:eastAsia="Times New Roman" w:hAnsi="Arial" w:cs="Arial"/>
          <w:sz w:val="20"/>
          <w:szCs w:val="20"/>
          <w:lang w:val="en-IN"/>
        </w:rPr>
        <w:t>. These exhibit antimicrobial, antioxidant, and immune-regulating effects, positioning them as stable, secure substitutes for live probiotics</w:t>
      </w:r>
      <w:r w:rsidR="00F8214F" w:rsidRPr="00CF06EE">
        <w:rPr>
          <w:rFonts w:ascii="Arial" w:eastAsia="Times New Roman" w:hAnsi="Arial" w:cs="Arial"/>
          <w:sz w:val="20"/>
          <w:szCs w:val="20"/>
          <w:lang w:val="en-IN"/>
        </w:rPr>
        <w:t xml:space="preserve"> (</w:t>
      </w:r>
      <w:r w:rsidR="00D126B8" w:rsidRPr="00CF06EE">
        <w:rPr>
          <w:rFonts w:ascii="Arial" w:eastAsia="Times New Roman" w:hAnsi="Arial" w:cs="Arial"/>
          <w:sz w:val="20"/>
          <w:szCs w:val="20"/>
        </w:rPr>
        <w:t>Wegh et al., 2019</w:t>
      </w:r>
      <w:r w:rsidR="00D126B8" w:rsidRPr="00CF06EE">
        <w:rPr>
          <w:rFonts w:ascii="Arial" w:eastAsia="Times New Roman" w:hAnsi="Arial" w:cs="Arial"/>
          <w:sz w:val="20"/>
          <w:szCs w:val="20"/>
        </w:rPr>
        <w:t xml:space="preserve">; </w:t>
      </w:r>
      <w:r w:rsidR="00A57F79" w:rsidRPr="00CF06EE">
        <w:rPr>
          <w:rFonts w:ascii="Arial" w:eastAsia="Times New Roman" w:hAnsi="Arial" w:cs="Arial"/>
          <w:sz w:val="20"/>
          <w:szCs w:val="20"/>
        </w:rPr>
        <w:t xml:space="preserve">Kumar </w:t>
      </w:r>
      <w:r w:rsidR="00A57F79" w:rsidRPr="00CF06EE">
        <w:rPr>
          <w:rFonts w:ascii="Arial" w:eastAsia="Times New Roman" w:hAnsi="Arial" w:cs="Arial"/>
          <w:i/>
          <w:iCs/>
          <w:sz w:val="20"/>
          <w:szCs w:val="20"/>
        </w:rPr>
        <w:t>et al.,</w:t>
      </w:r>
      <w:r w:rsidR="00A57F79" w:rsidRPr="00CF06EE">
        <w:rPr>
          <w:rFonts w:ascii="Arial" w:eastAsia="Times New Roman" w:hAnsi="Arial" w:cs="Arial"/>
          <w:sz w:val="20"/>
          <w:szCs w:val="20"/>
        </w:rPr>
        <w:t xml:space="preserve"> 202</w:t>
      </w:r>
      <w:r w:rsidR="00A57F79" w:rsidRPr="00CF06EE">
        <w:rPr>
          <w:rFonts w:ascii="Arial" w:eastAsia="Times New Roman" w:hAnsi="Arial" w:cs="Arial"/>
          <w:sz w:val="20"/>
          <w:szCs w:val="20"/>
        </w:rPr>
        <w:t xml:space="preserve">4; </w:t>
      </w:r>
      <w:r w:rsidR="00F8214F" w:rsidRPr="00CF06EE">
        <w:rPr>
          <w:rFonts w:ascii="Arial" w:eastAsia="Times New Roman" w:hAnsi="Arial" w:cs="Arial"/>
          <w:sz w:val="20"/>
          <w:szCs w:val="20"/>
          <w:lang w:val="en-IN"/>
        </w:rPr>
        <w:t xml:space="preserve">Meena, K. K </w:t>
      </w:r>
      <w:r w:rsidR="00F8214F" w:rsidRPr="00CF06EE">
        <w:rPr>
          <w:rFonts w:ascii="Arial" w:eastAsia="Times New Roman" w:hAnsi="Arial" w:cs="Arial"/>
          <w:i/>
          <w:iCs/>
          <w:sz w:val="20"/>
          <w:szCs w:val="20"/>
          <w:lang w:val="en-IN"/>
        </w:rPr>
        <w:t>et al</w:t>
      </w:r>
      <w:r w:rsidR="00F8214F" w:rsidRPr="00CF06EE">
        <w:rPr>
          <w:rFonts w:ascii="Arial" w:eastAsia="Times New Roman" w:hAnsi="Arial" w:cs="Arial"/>
          <w:sz w:val="20"/>
          <w:szCs w:val="20"/>
          <w:lang w:val="en-IN"/>
        </w:rPr>
        <w:t xml:space="preserve"> 2025)</w:t>
      </w:r>
      <w:r w:rsidRPr="00CF06EE">
        <w:rPr>
          <w:rFonts w:ascii="Arial" w:eastAsia="Times New Roman" w:hAnsi="Arial" w:cs="Arial"/>
          <w:sz w:val="20"/>
          <w:szCs w:val="20"/>
          <w:lang w:val="en-IN"/>
        </w:rPr>
        <w:t>.</w:t>
      </w:r>
      <w:r w:rsidR="00D126B8" w:rsidRPr="00CF06EE">
        <w:rPr>
          <w:rFonts w:ascii="Arial" w:eastAsia="Times New Roman" w:hAnsi="Arial" w:cs="Arial"/>
          <w:sz w:val="20"/>
          <w:szCs w:val="20"/>
          <w:lang w:val="en-IN"/>
        </w:rPr>
        <w:t xml:space="preserve"> </w:t>
      </w:r>
    </w:p>
    <w:p w14:paraId="61F7872B" w14:textId="6C4992BF" w:rsidR="00A55792" w:rsidRPr="00CF06EE" w:rsidRDefault="00A55792"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Postbiotics comprise non-living microbial cells, fragments, or fermentation-derived metabolites, presenting a strong alternative to conventional probiotics and prebiotics</w:t>
      </w:r>
      <w:r w:rsidR="00EF3A93" w:rsidRPr="00CF06EE">
        <w:rPr>
          <w:rFonts w:ascii="Arial" w:eastAsia="Times New Roman" w:hAnsi="Arial" w:cs="Arial"/>
          <w:sz w:val="20"/>
          <w:szCs w:val="20"/>
          <w:lang w:val="en-IN"/>
        </w:rPr>
        <w:t xml:space="preserve"> (Tong </w:t>
      </w:r>
      <w:r w:rsidR="00E824FC" w:rsidRPr="00CF06EE">
        <w:rPr>
          <w:rFonts w:ascii="Arial" w:eastAsia="Times New Roman" w:hAnsi="Arial" w:cs="Arial"/>
          <w:sz w:val="20"/>
          <w:szCs w:val="20"/>
          <w:lang w:val="en-IN"/>
        </w:rPr>
        <w:t xml:space="preserve">Y </w:t>
      </w:r>
      <w:r w:rsidR="00EF3A93" w:rsidRPr="00CF06EE">
        <w:rPr>
          <w:rFonts w:ascii="Arial" w:eastAsia="Times New Roman" w:hAnsi="Arial" w:cs="Arial"/>
          <w:i/>
          <w:iCs/>
          <w:sz w:val="20"/>
          <w:szCs w:val="20"/>
          <w:lang w:val="en-IN"/>
        </w:rPr>
        <w:t>et al.,</w:t>
      </w:r>
      <w:r w:rsidR="00EF3A93" w:rsidRPr="00CF06EE">
        <w:rPr>
          <w:rFonts w:ascii="Arial" w:eastAsia="Times New Roman" w:hAnsi="Arial" w:cs="Arial"/>
          <w:sz w:val="20"/>
          <w:szCs w:val="20"/>
          <w:lang w:val="en-IN"/>
        </w:rPr>
        <w:t xml:space="preserve"> 2025)</w:t>
      </w:r>
      <w:r w:rsidRPr="00CF06EE">
        <w:rPr>
          <w:rFonts w:ascii="Arial" w:eastAsia="Times New Roman" w:hAnsi="Arial" w:cs="Arial"/>
          <w:sz w:val="20"/>
          <w:szCs w:val="20"/>
          <w:lang w:val="en-IN"/>
        </w:rPr>
        <w:t>. While probiotics garner much attention, postbiotics receive less scrutiny for their clinical value and formulation benefits, including excellent shelf life (stable at ≤25°C for ≥12 months) and safety in vulnerable groups, supported by in vitro studies and Phase I trials</w:t>
      </w:r>
      <w:r w:rsidR="0054777D" w:rsidRPr="00CF06EE">
        <w:rPr>
          <w:rFonts w:ascii="Arial" w:eastAsia="Times New Roman" w:hAnsi="Arial" w:cs="Arial"/>
          <w:sz w:val="20"/>
          <w:szCs w:val="20"/>
          <w:lang w:val="en-IN"/>
        </w:rPr>
        <w:t xml:space="preserve"> (</w:t>
      </w:r>
      <w:r w:rsidR="00A57F79" w:rsidRPr="00CF06EE">
        <w:rPr>
          <w:rFonts w:ascii="Arial" w:eastAsia="Times New Roman" w:hAnsi="Arial" w:cs="Arial"/>
          <w:sz w:val="20"/>
          <w:szCs w:val="20"/>
        </w:rPr>
        <w:t xml:space="preserve">Kumar </w:t>
      </w:r>
      <w:r w:rsidR="00A57F79" w:rsidRPr="00CF06EE">
        <w:rPr>
          <w:rFonts w:ascii="Arial" w:eastAsia="Times New Roman" w:hAnsi="Arial" w:cs="Arial"/>
          <w:i/>
          <w:iCs/>
          <w:sz w:val="20"/>
          <w:szCs w:val="20"/>
        </w:rPr>
        <w:t>et al.,</w:t>
      </w:r>
      <w:r w:rsidR="00A57F79" w:rsidRPr="00CF06EE">
        <w:rPr>
          <w:rFonts w:ascii="Arial" w:eastAsia="Times New Roman" w:hAnsi="Arial" w:cs="Arial"/>
          <w:sz w:val="20"/>
          <w:szCs w:val="20"/>
        </w:rPr>
        <w:t xml:space="preserve"> 2024</w:t>
      </w:r>
      <w:r w:rsidR="00A57F79" w:rsidRPr="00CF06EE">
        <w:rPr>
          <w:rFonts w:ascii="Arial" w:eastAsia="Times New Roman" w:hAnsi="Arial" w:cs="Arial"/>
          <w:sz w:val="20"/>
          <w:szCs w:val="20"/>
        </w:rPr>
        <w:t xml:space="preserve">; </w:t>
      </w:r>
      <w:r w:rsidR="0054777D" w:rsidRPr="00CF06EE">
        <w:rPr>
          <w:rFonts w:ascii="Arial" w:eastAsia="Times New Roman" w:hAnsi="Arial" w:cs="Arial"/>
          <w:sz w:val="20"/>
          <w:szCs w:val="20"/>
        </w:rPr>
        <w:t>Mafe, A. N et al., 2025</w:t>
      </w:r>
      <w:r w:rsidR="0054777D" w:rsidRPr="00CF06EE">
        <w:rPr>
          <w:rFonts w:ascii="Arial" w:eastAsia="Times New Roman" w:hAnsi="Arial" w:cs="Arial"/>
          <w:sz w:val="20"/>
          <w:szCs w:val="20"/>
          <w:lang w:val="en-IN"/>
        </w:rPr>
        <w:t>)</w:t>
      </w:r>
      <w:r w:rsidRPr="00CF06EE">
        <w:rPr>
          <w:rFonts w:ascii="Arial" w:eastAsia="Times New Roman" w:hAnsi="Arial" w:cs="Arial"/>
          <w:sz w:val="20"/>
          <w:szCs w:val="20"/>
          <w:lang w:val="en-IN"/>
        </w:rPr>
        <w:t>.</w:t>
      </w:r>
    </w:p>
    <w:p w14:paraId="6C9684AA" w14:textId="6E5124B0" w:rsidR="006C0E2C" w:rsidRPr="00CF06EE" w:rsidRDefault="006C0E2C" w:rsidP="006A3041">
      <w:pPr>
        <w:spacing w:after="0" w:line="240" w:lineRule="auto"/>
        <w:jc w:val="both"/>
        <w:rPr>
          <w:rFonts w:ascii="Arial" w:eastAsia="Times New Roman" w:hAnsi="Arial" w:cs="Arial"/>
          <w:b/>
          <w:bCs/>
          <w:sz w:val="22"/>
          <w:szCs w:val="22"/>
        </w:rPr>
      </w:pPr>
      <w:r w:rsidRPr="00CF06EE">
        <w:rPr>
          <w:rFonts w:ascii="Arial" w:eastAsia="Times New Roman" w:hAnsi="Arial" w:cs="Arial"/>
        </w:rPr>
        <w:t>This</w:t>
      </w:r>
      <w:r w:rsidRPr="00CF06EE">
        <w:rPr>
          <w:rFonts w:ascii="Arial" w:eastAsia="Times New Roman" w:hAnsi="Arial" w:cs="Arial"/>
        </w:rPr>
        <w:t xml:space="preserve"> review focuses on the emerging role of postbiotics as next-generation functional biotics, with particular emphasis on their antimicrobial potential. It highlights their sources, bioactive components, production strategies, characterization methods, mechanisms of antimicrobial action, and potential therapeutic and industrial applications</w:t>
      </w:r>
      <w:r w:rsidRPr="00CF06EE">
        <w:rPr>
          <w:rFonts w:ascii="Arial" w:eastAsia="Times New Roman" w:hAnsi="Arial" w:cs="Arial"/>
          <w:b/>
          <w:bCs/>
          <w:sz w:val="22"/>
          <w:szCs w:val="22"/>
        </w:rPr>
        <w:t>.</w:t>
      </w:r>
    </w:p>
    <w:p w14:paraId="0908C778" w14:textId="77777777" w:rsidR="006C0E2C" w:rsidRPr="00CF06EE" w:rsidRDefault="006C0E2C" w:rsidP="006A3041">
      <w:pPr>
        <w:spacing w:after="0" w:line="240" w:lineRule="auto"/>
        <w:jc w:val="both"/>
        <w:rPr>
          <w:rFonts w:ascii="Arial" w:eastAsia="Times New Roman" w:hAnsi="Arial" w:cs="Arial"/>
          <w:b/>
          <w:bCs/>
          <w:sz w:val="22"/>
          <w:szCs w:val="22"/>
        </w:rPr>
      </w:pPr>
    </w:p>
    <w:p w14:paraId="2B107C4B" w14:textId="3C296588" w:rsidR="007150F8" w:rsidRPr="00CF06EE" w:rsidRDefault="006541E4" w:rsidP="007150F8">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rPr>
        <w:t>2.</w:t>
      </w:r>
      <w:r w:rsidR="009B5155" w:rsidRPr="00CF06EE">
        <w:rPr>
          <w:rFonts w:ascii="Arial" w:eastAsia="Times New Roman" w:hAnsi="Arial" w:cs="Arial"/>
          <w:b/>
          <w:bCs/>
          <w:sz w:val="22"/>
          <w:szCs w:val="22"/>
        </w:rPr>
        <w:t xml:space="preserve"> </w:t>
      </w:r>
      <w:r w:rsidR="00F22CA2" w:rsidRPr="00CF06EE">
        <w:rPr>
          <w:rFonts w:ascii="Arial" w:eastAsia="Times New Roman" w:hAnsi="Arial" w:cs="Arial"/>
          <w:b/>
          <w:bCs/>
          <w:sz w:val="22"/>
          <w:szCs w:val="22"/>
          <w:lang w:val="en-IN"/>
        </w:rPr>
        <w:t>LITERATURE SEARCH STRATEGY AND SELECTION CRITERIA</w:t>
      </w:r>
    </w:p>
    <w:p w14:paraId="327D2496" w14:textId="77777777" w:rsidR="007150F8" w:rsidRPr="007150F8" w:rsidRDefault="007150F8" w:rsidP="007150F8">
      <w:pPr>
        <w:spacing w:after="0" w:line="240" w:lineRule="auto"/>
        <w:jc w:val="both"/>
        <w:rPr>
          <w:rFonts w:ascii="Arial" w:eastAsia="Times New Roman" w:hAnsi="Arial" w:cs="Arial"/>
          <w:sz w:val="22"/>
          <w:szCs w:val="22"/>
          <w:lang w:val="en-IN"/>
        </w:rPr>
      </w:pPr>
      <w:r w:rsidRPr="007150F8">
        <w:rPr>
          <w:rFonts w:ascii="Arial" w:eastAsia="Times New Roman" w:hAnsi="Arial" w:cs="Arial"/>
          <w:sz w:val="22"/>
          <w:szCs w:val="22"/>
          <w:lang w:val="en-IN"/>
        </w:rPr>
        <w:t xml:space="preserve">A structured literature search was performed using databases such as PubMed, Scopus, Web of Science, and Google Scholar to identify studies related to postbiotics. Keywords including </w:t>
      </w:r>
      <w:r w:rsidRPr="007150F8">
        <w:rPr>
          <w:rFonts w:ascii="Arial" w:eastAsia="Times New Roman" w:hAnsi="Arial" w:cs="Arial"/>
          <w:i/>
          <w:iCs/>
          <w:sz w:val="22"/>
          <w:szCs w:val="22"/>
          <w:lang w:val="en-IN"/>
        </w:rPr>
        <w:t>“postbiotics,” “functional biotics,” “microbial metabolites,”</w:t>
      </w:r>
      <w:r w:rsidRPr="007150F8">
        <w:rPr>
          <w:rFonts w:ascii="Arial" w:eastAsia="Times New Roman" w:hAnsi="Arial" w:cs="Arial"/>
          <w:sz w:val="22"/>
          <w:szCs w:val="22"/>
          <w:lang w:val="en-IN"/>
        </w:rPr>
        <w:t xml:space="preserve"> and </w:t>
      </w:r>
      <w:r w:rsidRPr="007150F8">
        <w:rPr>
          <w:rFonts w:ascii="Arial" w:eastAsia="Times New Roman" w:hAnsi="Arial" w:cs="Arial"/>
          <w:i/>
          <w:iCs/>
          <w:sz w:val="22"/>
          <w:szCs w:val="22"/>
          <w:lang w:val="en-IN"/>
        </w:rPr>
        <w:t>“antimicrobial postbiotics”</w:t>
      </w:r>
      <w:r w:rsidRPr="007150F8">
        <w:rPr>
          <w:rFonts w:ascii="Arial" w:eastAsia="Times New Roman" w:hAnsi="Arial" w:cs="Arial"/>
          <w:sz w:val="22"/>
          <w:szCs w:val="22"/>
          <w:lang w:val="en-IN"/>
        </w:rPr>
        <w:t xml:space="preserve"> were used. Articles published between 2015 and 2026 were considered. Relevant peer-reviewed research articles and reviews focusing on postbiotic production, characterization, mechanisms, and applications were included, while duplicate records and unrelated studies were excluded. Selected papers were screened through title, abstract, and full-text evaluation to summarize current scientific evidence on postbiotics.</w:t>
      </w:r>
    </w:p>
    <w:p w14:paraId="62233036" w14:textId="05F15215" w:rsidR="007150F8" w:rsidRPr="00CF06EE" w:rsidRDefault="007150F8" w:rsidP="006A3041">
      <w:pPr>
        <w:spacing w:after="0" w:line="240" w:lineRule="auto"/>
        <w:jc w:val="both"/>
        <w:rPr>
          <w:rFonts w:ascii="Arial" w:eastAsia="Times New Roman" w:hAnsi="Arial" w:cs="Arial"/>
          <w:b/>
          <w:bCs/>
          <w:sz w:val="22"/>
          <w:szCs w:val="22"/>
          <w:lang w:val="en-IN"/>
        </w:rPr>
      </w:pPr>
    </w:p>
    <w:p w14:paraId="494DD128" w14:textId="415B3C0F" w:rsidR="32240877" w:rsidRPr="00CF06EE" w:rsidRDefault="007150F8" w:rsidP="006A3041">
      <w:pPr>
        <w:spacing w:after="0" w:line="240" w:lineRule="auto"/>
        <w:jc w:val="both"/>
        <w:rPr>
          <w:rFonts w:ascii="Arial" w:eastAsia="Times New Roman" w:hAnsi="Arial" w:cs="Arial"/>
          <w:b/>
          <w:bCs/>
          <w:sz w:val="22"/>
          <w:szCs w:val="22"/>
        </w:rPr>
      </w:pPr>
      <w:r w:rsidRPr="00CF06EE">
        <w:rPr>
          <w:rFonts w:ascii="Arial" w:eastAsia="Times New Roman" w:hAnsi="Arial" w:cs="Arial"/>
          <w:b/>
          <w:bCs/>
          <w:sz w:val="22"/>
          <w:szCs w:val="22"/>
        </w:rPr>
        <w:t xml:space="preserve">3. </w:t>
      </w:r>
      <w:r w:rsidR="009B5155" w:rsidRPr="00CF06EE">
        <w:rPr>
          <w:rFonts w:ascii="Arial" w:eastAsia="Times New Roman" w:hAnsi="Arial" w:cs="Arial"/>
          <w:b/>
          <w:bCs/>
          <w:sz w:val="22"/>
          <w:szCs w:val="22"/>
        </w:rPr>
        <w:t>PREBIOTICS, PROBIOTICS AND POSTBIOTICS</w:t>
      </w:r>
    </w:p>
    <w:p w14:paraId="10A36B35" w14:textId="0CBEA793" w:rsidR="00AB4D7B" w:rsidRPr="00CF06EE" w:rsidRDefault="00A55792" w:rsidP="006A3041">
      <w:pPr>
        <w:spacing w:after="0" w:line="240" w:lineRule="auto"/>
        <w:ind w:firstLine="720"/>
        <w:jc w:val="both"/>
        <w:rPr>
          <w:rFonts w:ascii="Arial" w:eastAsia="Times New Roman" w:hAnsi="Arial" w:cs="Arial"/>
          <w:sz w:val="20"/>
          <w:szCs w:val="20"/>
        </w:rPr>
      </w:pPr>
      <w:r w:rsidRPr="00CF06EE">
        <w:rPr>
          <w:rFonts w:ascii="Arial" w:eastAsia="Times New Roman" w:hAnsi="Arial" w:cs="Arial"/>
          <w:sz w:val="20"/>
          <w:szCs w:val="20"/>
        </w:rPr>
        <w:t>Postbiotics, prebiotics, and probiotics each offer unique benefits in functional foods and therapeutics</w:t>
      </w:r>
      <w:r w:rsidR="006D257D" w:rsidRPr="00CF06EE">
        <w:rPr>
          <w:rFonts w:ascii="Arial" w:eastAsia="Times New Roman" w:hAnsi="Arial" w:cs="Arial"/>
          <w:sz w:val="20"/>
          <w:szCs w:val="20"/>
        </w:rPr>
        <w:t xml:space="preserve"> </w:t>
      </w:r>
      <w:r w:rsidR="006D257D" w:rsidRPr="00CF06EE">
        <w:rPr>
          <w:rFonts w:ascii="Arial" w:eastAsia="Times New Roman" w:hAnsi="Arial" w:cs="Arial"/>
          <w:sz w:val="20"/>
          <w:szCs w:val="20"/>
          <w:lang w:val="en-IN"/>
        </w:rPr>
        <w:t>(</w:t>
      </w:r>
      <w:r w:rsidR="006D257D" w:rsidRPr="00CF06EE">
        <w:rPr>
          <w:rFonts w:ascii="Arial" w:eastAsia="Times New Roman" w:hAnsi="Arial" w:cs="Arial"/>
          <w:sz w:val="20"/>
          <w:szCs w:val="20"/>
        </w:rPr>
        <w:t xml:space="preserve">Hosseini </w:t>
      </w:r>
      <w:r w:rsidR="006D257D" w:rsidRPr="00CF06EE">
        <w:rPr>
          <w:rFonts w:ascii="Arial" w:eastAsia="Times New Roman" w:hAnsi="Arial" w:cs="Arial"/>
          <w:i/>
          <w:iCs/>
          <w:sz w:val="20"/>
          <w:szCs w:val="20"/>
        </w:rPr>
        <w:t>et al.,</w:t>
      </w:r>
      <w:r w:rsidR="006D257D" w:rsidRPr="00CF06EE">
        <w:rPr>
          <w:rFonts w:ascii="Arial" w:eastAsia="Times New Roman" w:hAnsi="Arial" w:cs="Arial"/>
          <w:sz w:val="20"/>
          <w:szCs w:val="20"/>
        </w:rPr>
        <w:t xml:space="preserve"> 2021</w:t>
      </w:r>
      <w:r w:rsidR="008E2905" w:rsidRPr="00CF06EE">
        <w:rPr>
          <w:rFonts w:ascii="Arial" w:eastAsia="Times New Roman" w:hAnsi="Arial" w:cs="Arial"/>
          <w:sz w:val="20"/>
          <w:szCs w:val="20"/>
        </w:rPr>
        <w:t xml:space="preserve">; </w:t>
      </w:r>
      <w:r w:rsidR="008E2905" w:rsidRPr="00CF06EE">
        <w:rPr>
          <w:rFonts w:ascii="Arial" w:eastAsia="Times New Roman" w:hAnsi="Arial" w:cs="Arial"/>
          <w:sz w:val="20"/>
          <w:szCs w:val="20"/>
        </w:rPr>
        <w:t xml:space="preserve">Moghadam </w:t>
      </w:r>
      <w:r w:rsidR="008E2905" w:rsidRPr="00CF06EE">
        <w:rPr>
          <w:rFonts w:ascii="Arial" w:eastAsia="Times New Roman" w:hAnsi="Arial" w:cs="Arial"/>
          <w:i/>
          <w:iCs/>
          <w:sz w:val="20"/>
          <w:szCs w:val="20"/>
        </w:rPr>
        <w:t>et al.,</w:t>
      </w:r>
      <w:r w:rsidR="008E2905" w:rsidRPr="00CF06EE">
        <w:rPr>
          <w:rFonts w:ascii="Arial" w:eastAsia="Times New Roman" w:hAnsi="Arial" w:cs="Arial"/>
          <w:sz w:val="20"/>
          <w:szCs w:val="20"/>
        </w:rPr>
        <w:t xml:space="preserve"> 2026</w:t>
      </w:r>
      <w:r w:rsidR="006D257D" w:rsidRPr="00CF06EE">
        <w:rPr>
          <w:rFonts w:ascii="Arial" w:eastAsia="Times New Roman" w:hAnsi="Arial" w:cs="Arial"/>
          <w:sz w:val="20"/>
          <w:szCs w:val="20"/>
          <w:lang w:val="en-IN"/>
        </w:rPr>
        <w:t>)</w:t>
      </w:r>
      <w:r w:rsidRPr="00CF06EE">
        <w:rPr>
          <w:rFonts w:ascii="Arial" w:eastAsia="Times New Roman" w:hAnsi="Arial" w:cs="Arial"/>
          <w:sz w:val="20"/>
          <w:szCs w:val="20"/>
        </w:rPr>
        <w:t>, but they differ markedly in composition, stability, and application</w:t>
      </w:r>
      <w:r w:rsidR="0084133B" w:rsidRPr="00CF06EE">
        <w:rPr>
          <w:rFonts w:ascii="Arial" w:eastAsia="Times New Roman" w:hAnsi="Arial" w:cs="Arial"/>
          <w:sz w:val="20"/>
          <w:szCs w:val="20"/>
        </w:rPr>
        <w:t xml:space="preserve"> </w:t>
      </w:r>
      <w:r w:rsidR="0084133B" w:rsidRPr="00CF06EE">
        <w:rPr>
          <w:rFonts w:ascii="Arial" w:eastAsia="Times New Roman" w:hAnsi="Arial" w:cs="Arial"/>
          <w:sz w:val="20"/>
          <w:szCs w:val="20"/>
          <w:lang w:val="en-IN"/>
        </w:rPr>
        <w:t>(</w:t>
      </w:r>
      <w:r w:rsidR="0084133B" w:rsidRPr="00CF06EE">
        <w:rPr>
          <w:rFonts w:ascii="Arial" w:eastAsia="Times New Roman" w:hAnsi="Arial" w:cs="Arial"/>
          <w:sz w:val="20"/>
          <w:szCs w:val="20"/>
        </w:rPr>
        <w:t>Mafe</w:t>
      </w:r>
      <w:proofErr w:type="gramStart"/>
      <w:r w:rsidR="0084133B" w:rsidRPr="00CF06EE">
        <w:rPr>
          <w:rFonts w:ascii="Arial" w:eastAsia="Times New Roman" w:hAnsi="Arial" w:cs="Arial"/>
          <w:sz w:val="20"/>
          <w:szCs w:val="20"/>
        </w:rPr>
        <w:t>, A.</w:t>
      </w:r>
      <w:proofErr w:type="gramEnd"/>
      <w:r w:rsidR="0084133B" w:rsidRPr="00CF06EE">
        <w:rPr>
          <w:rFonts w:ascii="Arial" w:eastAsia="Times New Roman" w:hAnsi="Arial" w:cs="Arial"/>
          <w:sz w:val="20"/>
          <w:szCs w:val="20"/>
        </w:rPr>
        <w:t xml:space="preserve"> N </w:t>
      </w:r>
      <w:r w:rsidR="0084133B" w:rsidRPr="00CF06EE">
        <w:rPr>
          <w:rFonts w:ascii="Arial" w:eastAsia="Times New Roman" w:hAnsi="Arial" w:cs="Arial"/>
          <w:i/>
          <w:iCs/>
          <w:sz w:val="20"/>
          <w:szCs w:val="20"/>
        </w:rPr>
        <w:t>et al.,</w:t>
      </w:r>
      <w:r w:rsidR="0084133B" w:rsidRPr="00CF06EE">
        <w:rPr>
          <w:rFonts w:ascii="Arial" w:eastAsia="Times New Roman" w:hAnsi="Arial" w:cs="Arial"/>
          <w:sz w:val="20"/>
          <w:szCs w:val="20"/>
        </w:rPr>
        <w:t xml:space="preserve"> 2025</w:t>
      </w:r>
      <w:r w:rsidR="00D126B8" w:rsidRPr="00CF06EE">
        <w:rPr>
          <w:rFonts w:ascii="Arial" w:eastAsia="Times New Roman" w:hAnsi="Arial" w:cs="Arial"/>
          <w:sz w:val="20"/>
          <w:szCs w:val="20"/>
        </w:rPr>
        <w:t xml:space="preserve">; </w:t>
      </w:r>
      <w:r w:rsidR="00D126B8" w:rsidRPr="00CF06EE">
        <w:rPr>
          <w:rFonts w:ascii="Arial" w:eastAsia="Times New Roman" w:hAnsi="Arial" w:cs="Arial"/>
          <w:sz w:val="20"/>
          <w:szCs w:val="20"/>
          <w:lang w:val="en-IN"/>
        </w:rPr>
        <w:t>Da Silva Vale</w:t>
      </w:r>
      <w:r w:rsidR="00D126B8" w:rsidRPr="00CF06EE">
        <w:rPr>
          <w:rFonts w:ascii="Arial" w:eastAsia="Times New Roman" w:hAnsi="Arial" w:cs="Arial"/>
          <w:sz w:val="20"/>
          <w:szCs w:val="20"/>
          <w:lang w:val="en-IN"/>
        </w:rPr>
        <w:t xml:space="preserve"> </w:t>
      </w:r>
      <w:r w:rsidR="00D126B8" w:rsidRPr="00CF06EE">
        <w:rPr>
          <w:rFonts w:ascii="Arial" w:eastAsia="Times New Roman" w:hAnsi="Arial" w:cs="Arial"/>
          <w:i/>
          <w:iCs/>
          <w:sz w:val="20"/>
          <w:szCs w:val="20"/>
          <w:lang w:val="en-IN"/>
        </w:rPr>
        <w:t>et al.,</w:t>
      </w:r>
      <w:r w:rsidR="00D126B8" w:rsidRPr="00CF06EE">
        <w:rPr>
          <w:rFonts w:ascii="Arial" w:eastAsia="Times New Roman" w:hAnsi="Arial" w:cs="Arial"/>
          <w:sz w:val="20"/>
          <w:szCs w:val="20"/>
          <w:lang w:val="en-IN"/>
        </w:rPr>
        <w:t xml:space="preserve"> 2023</w:t>
      </w:r>
      <w:r w:rsidR="0084133B" w:rsidRPr="00CF06EE">
        <w:rPr>
          <w:rFonts w:ascii="Arial" w:eastAsia="Times New Roman" w:hAnsi="Arial" w:cs="Arial"/>
          <w:sz w:val="20"/>
          <w:szCs w:val="20"/>
        </w:rPr>
        <w:t>)</w:t>
      </w:r>
      <w:r w:rsidR="00596F82" w:rsidRPr="00CF06EE">
        <w:rPr>
          <w:rFonts w:ascii="Arial" w:eastAsia="Times New Roman" w:hAnsi="Arial" w:cs="Arial"/>
          <w:sz w:val="20"/>
          <w:szCs w:val="20"/>
        </w:rPr>
        <w:t xml:space="preserve">. </w:t>
      </w:r>
      <w:r w:rsidR="00AB4D7B" w:rsidRPr="00CF06EE">
        <w:rPr>
          <w:rFonts w:ascii="Arial" w:eastAsia="Times New Roman" w:hAnsi="Arial" w:cs="Arial"/>
          <w:sz w:val="20"/>
          <w:szCs w:val="20"/>
        </w:rPr>
        <w:t xml:space="preserve">Table 1 below compares probiotics (live microbes), </w:t>
      </w:r>
      <w:r w:rsidR="005F1EC1" w:rsidRPr="00CF06EE">
        <w:rPr>
          <w:rFonts w:ascii="Arial" w:eastAsia="Times New Roman" w:hAnsi="Arial" w:cs="Arial"/>
          <w:sz w:val="20"/>
          <w:szCs w:val="20"/>
        </w:rPr>
        <w:t xml:space="preserve">prebiotics (non-digestible substrates) and </w:t>
      </w:r>
      <w:r w:rsidR="00AB4D7B" w:rsidRPr="00CF06EE">
        <w:rPr>
          <w:rFonts w:ascii="Arial" w:eastAsia="Times New Roman" w:hAnsi="Arial" w:cs="Arial"/>
          <w:sz w:val="20"/>
          <w:szCs w:val="20"/>
        </w:rPr>
        <w:t>postbiotics (non-viable metabolites</w:t>
      </w:r>
      <w:r w:rsidR="005F1EC1" w:rsidRPr="00CF06EE">
        <w:rPr>
          <w:rFonts w:ascii="Arial" w:eastAsia="Times New Roman" w:hAnsi="Arial" w:cs="Arial"/>
          <w:sz w:val="20"/>
          <w:szCs w:val="20"/>
        </w:rPr>
        <w:t xml:space="preserve">), </w:t>
      </w:r>
      <w:r w:rsidR="00AB4D7B" w:rsidRPr="00CF06EE">
        <w:rPr>
          <w:rFonts w:ascii="Arial" w:eastAsia="Times New Roman" w:hAnsi="Arial" w:cs="Arial"/>
          <w:sz w:val="20"/>
          <w:szCs w:val="20"/>
        </w:rPr>
        <w:t>highlighting their definitions, mechanisms, advantages, and limitations to underscore postbiotics' edge in safety and shelf life for managing chronic conditions like metabolic syndrome</w:t>
      </w:r>
      <w:r w:rsidR="00ED5421" w:rsidRPr="00CF06EE">
        <w:rPr>
          <w:rFonts w:ascii="Arial" w:eastAsia="Times New Roman" w:hAnsi="Arial" w:cs="Arial"/>
          <w:sz w:val="20"/>
          <w:szCs w:val="20"/>
        </w:rPr>
        <w:t xml:space="preserve"> </w:t>
      </w:r>
      <w:r w:rsidR="00ED5421" w:rsidRPr="00CF06EE">
        <w:rPr>
          <w:rFonts w:ascii="Arial" w:eastAsia="Times New Roman" w:hAnsi="Arial" w:cs="Arial"/>
          <w:sz w:val="20"/>
          <w:szCs w:val="20"/>
          <w:lang w:val="en-IN"/>
        </w:rPr>
        <w:t>(</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 xml:space="preserve">2025; </w:t>
      </w:r>
      <w:r w:rsidR="00ED5421" w:rsidRPr="00CF06EE">
        <w:rPr>
          <w:rFonts w:ascii="Arial" w:eastAsia="Times New Roman" w:hAnsi="Arial" w:cs="Arial"/>
          <w:sz w:val="20"/>
          <w:szCs w:val="20"/>
          <w:lang w:val="en-IN"/>
        </w:rPr>
        <w:t xml:space="preserve">Calvanese, C. M </w:t>
      </w:r>
      <w:r w:rsidR="00ED5421" w:rsidRPr="00CF06EE">
        <w:rPr>
          <w:rFonts w:ascii="Arial" w:eastAsia="Times New Roman" w:hAnsi="Arial" w:cs="Arial"/>
          <w:i/>
          <w:iCs/>
          <w:sz w:val="20"/>
          <w:szCs w:val="20"/>
          <w:lang w:val="en-IN"/>
        </w:rPr>
        <w:t>et al.,</w:t>
      </w:r>
      <w:r w:rsidR="00ED5421" w:rsidRPr="00CF06EE">
        <w:rPr>
          <w:rFonts w:ascii="Arial" w:eastAsia="Times New Roman" w:hAnsi="Arial" w:cs="Arial"/>
          <w:sz w:val="20"/>
          <w:szCs w:val="20"/>
          <w:lang w:val="en-IN"/>
        </w:rPr>
        <w:t xml:space="preserve"> 2025)</w:t>
      </w:r>
      <w:r w:rsidR="00AB4D7B" w:rsidRPr="00CF06EE">
        <w:rPr>
          <w:rFonts w:ascii="Arial" w:eastAsia="Times New Roman" w:hAnsi="Arial" w:cs="Arial"/>
          <w:sz w:val="20"/>
          <w:szCs w:val="20"/>
        </w:rPr>
        <w:t xml:space="preserve">. </w:t>
      </w:r>
    </w:p>
    <w:p w14:paraId="6E1A2810" w14:textId="77777777" w:rsidR="00AB4D7B" w:rsidRPr="00CF06EE" w:rsidRDefault="00AB4D7B" w:rsidP="006A3041">
      <w:pPr>
        <w:spacing w:after="0" w:line="240" w:lineRule="auto"/>
        <w:ind w:firstLine="720"/>
        <w:jc w:val="both"/>
        <w:rPr>
          <w:rFonts w:ascii="Arial" w:eastAsia="Times New Roman" w:hAnsi="Arial" w:cs="Arial"/>
          <w:b/>
          <w:bCs/>
          <w:sz w:val="20"/>
          <w:szCs w:val="20"/>
          <w:lang w:val="en-IN"/>
        </w:rPr>
      </w:pPr>
    </w:p>
    <w:p w14:paraId="5E950211" w14:textId="35CBFF9E" w:rsidR="00D71853" w:rsidRPr="00CF06EE" w:rsidRDefault="00A55792" w:rsidP="006A3041">
      <w:pPr>
        <w:spacing w:after="0" w:line="240" w:lineRule="auto"/>
        <w:ind w:firstLine="720"/>
        <w:jc w:val="center"/>
        <w:rPr>
          <w:rFonts w:ascii="Arial" w:eastAsia="Times New Roman" w:hAnsi="Arial" w:cs="Arial"/>
          <w:b/>
          <w:bCs/>
          <w:sz w:val="20"/>
          <w:szCs w:val="20"/>
          <w:lang w:val="en-IN"/>
        </w:rPr>
      </w:pPr>
      <w:r w:rsidRPr="00CF06EE">
        <w:rPr>
          <w:rFonts w:ascii="Arial" w:eastAsia="Times New Roman" w:hAnsi="Arial" w:cs="Arial"/>
          <w:b/>
          <w:bCs/>
          <w:sz w:val="20"/>
          <w:szCs w:val="20"/>
          <w:lang w:val="en-IN"/>
        </w:rPr>
        <w:t xml:space="preserve">Table 1: </w:t>
      </w:r>
      <w:r w:rsidR="00D71853" w:rsidRPr="00CF06EE">
        <w:rPr>
          <w:rFonts w:ascii="Arial" w:eastAsia="Times New Roman" w:hAnsi="Arial" w:cs="Arial"/>
          <w:b/>
          <w:bCs/>
          <w:sz w:val="20"/>
          <w:szCs w:val="20"/>
          <w:lang w:val="en-IN"/>
        </w:rPr>
        <w:t>Comparative Overview of Probiotics, Prebiotics and Postbiotics</w:t>
      </w:r>
    </w:p>
    <w:p w14:paraId="5BF2ECA1" w14:textId="157D2689" w:rsidR="00A55792" w:rsidRPr="00CF06EE" w:rsidRDefault="00A55792" w:rsidP="006A3041">
      <w:pPr>
        <w:spacing w:after="0" w:line="240" w:lineRule="auto"/>
        <w:jc w:val="both"/>
        <w:rPr>
          <w:rFonts w:ascii="Arial" w:eastAsia="Times New Roman" w:hAnsi="Arial" w:cs="Arial"/>
          <w:b/>
          <w:bCs/>
          <w:sz w:val="20"/>
          <w:szCs w:val="20"/>
          <w:lang w:val="en-IN"/>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656"/>
        <w:gridCol w:w="2448"/>
        <w:gridCol w:w="2351"/>
        <w:gridCol w:w="2758"/>
      </w:tblGrid>
      <w:tr w:rsidR="009B5155" w:rsidRPr="00CF06EE" w14:paraId="3E9EF178" w14:textId="77777777" w:rsidTr="006A3041">
        <w:trPr>
          <w:trHeight w:val="300"/>
          <w:jc w:val="center"/>
        </w:trPr>
        <w:tc>
          <w:tcPr>
            <w:tcW w:w="1656" w:type="dxa"/>
            <w:tcBorders>
              <w:top w:val="single" w:sz="4" w:space="0" w:color="auto"/>
              <w:bottom w:val="single" w:sz="4" w:space="0" w:color="auto"/>
            </w:tcBorders>
            <w:vAlign w:val="center"/>
          </w:tcPr>
          <w:p w14:paraId="16D53B5C" w14:textId="4C69166E" w:rsidR="00D71853" w:rsidRPr="00CF06EE" w:rsidRDefault="00D71853" w:rsidP="006A3041">
            <w:pPr>
              <w:jc w:val="both"/>
              <w:rPr>
                <w:rFonts w:ascii="Arial" w:hAnsi="Arial" w:cs="Arial"/>
                <w:b/>
                <w:bCs/>
                <w:sz w:val="20"/>
                <w:szCs w:val="20"/>
              </w:rPr>
            </w:pPr>
            <w:r w:rsidRPr="00CF06EE">
              <w:rPr>
                <w:rFonts w:ascii="Arial" w:eastAsia="Times New Roman" w:hAnsi="Arial" w:cs="Arial"/>
                <w:b/>
                <w:bCs/>
                <w:sz w:val="20"/>
                <w:szCs w:val="20"/>
                <w:lang w:val="en-IN"/>
              </w:rPr>
              <w:t>Feature</w:t>
            </w:r>
          </w:p>
        </w:tc>
        <w:tc>
          <w:tcPr>
            <w:tcW w:w="2450" w:type="dxa"/>
            <w:tcBorders>
              <w:top w:val="single" w:sz="4" w:space="0" w:color="auto"/>
              <w:bottom w:val="single" w:sz="4" w:space="0" w:color="auto"/>
            </w:tcBorders>
            <w:vAlign w:val="center"/>
          </w:tcPr>
          <w:p w14:paraId="0D52E35C" w14:textId="768E5392" w:rsidR="00D71853" w:rsidRPr="00CF06EE" w:rsidRDefault="00D71853" w:rsidP="006A3041">
            <w:pPr>
              <w:jc w:val="both"/>
              <w:rPr>
                <w:rFonts w:ascii="Arial" w:hAnsi="Arial" w:cs="Arial"/>
                <w:b/>
                <w:bCs/>
                <w:sz w:val="20"/>
                <w:szCs w:val="20"/>
              </w:rPr>
            </w:pPr>
            <w:r w:rsidRPr="00CF06EE">
              <w:rPr>
                <w:rFonts w:ascii="Arial" w:eastAsia="Times New Roman" w:hAnsi="Arial" w:cs="Arial"/>
                <w:b/>
                <w:bCs/>
                <w:sz w:val="20"/>
                <w:szCs w:val="20"/>
                <w:lang w:val="en-IN"/>
              </w:rPr>
              <w:t>Probiotics</w:t>
            </w:r>
          </w:p>
        </w:tc>
        <w:tc>
          <w:tcPr>
            <w:tcW w:w="2346" w:type="dxa"/>
            <w:tcBorders>
              <w:top w:val="single" w:sz="4" w:space="0" w:color="auto"/>
              <w:bottom w:val="single" w:sz="4" w:space="0" w:color="auto"/>
            </w:tcBorders>
            <w:vAlign w:val="center"/>
          </w:tcPr>
          <w:p w14:paraId="3FE8F6F8" w14:textId="4D291188" w:rsidR="00D71853" w:rsidRPr="00CF06EE" w:rsidRDefault="00D71853" w:rsidP="006A3041">
            <w:pPr>
              <w:jc w:val="both"/>
              <w:rPr>
                <w:rFonts w:ascii="Arial" w:hAnsi="Arial" w:cs="Arial"/>
                <w:b/>
                <w:bCs/>
                <w:sz w:val="20"/>
                <w:szCs w:val="20"/>
              </w:rPr>
            </w:pPr>
            <w:r w:rsidRPr="00CF06EE">
              <w:rPr>
                <w:rFonts w:ascii="Arial" w:eastAsia="Times New Roman" w:hAnsi="Arial" w:cs="Arial"/>
                <w:b/>
                <w:bCs/>
                <w:sz w:val="20"/>
                <w:szCs w:val="20"/>
                <w:lang w:val="en-IN"/>
              </w:rPr>
              <w:t>Prebiotics</w:t>
            </w:r>
          </w:p>
        </w:tc>
        <w:tc>
          <w:tcPr>
            <w:tcW w:w="2761" w:type="dxa"/>
            <w:tcBorders>
              <w:top w:val="single" w:sz="4" w:space="0" w:color="auto"/>
              <w:bottom w:val="single" w:sz="4" w:space="0" w:color="auto"/>
            </w:tcBorders>
            <w:vAlign w:val="center"/>
          </w:tcPr>
          <w:p w14:paraId="67576AEC" w14:textId="3B92743C" w:rsidR="00D71853" w:rsidRPr="00CF06EE" w:rsidRDefault="00D71853" w:rsidP="006A3041">
            <w:pPr>
              <w:jc w:val="both"/>
              <w:rPr>
                <w:rFonts w:ascii="Arial" w:hAnsi="Arial" w:cs="Arial"/>
                <w:b/>
                <w:bCs/>
                <w:sz w:val="20"/>
                <w:szCs w:val="20"/>
              </w:rPr>
            </w:pPr>
            <w:r w:rsidRPr="00CF06EE">
              <w:rPr>
                <w:rFonts w:ascii="Arial" w:eastAsia="Times New Roman" w:hAnsi="Arial" w:cs="Arial"/>
                <w:b/>
                <w:bCs/>
                <w:sz w:val="20"/>
                <w:szCs w:val="20"/>
                <w:lang w:val="en-IN"/>
              </w:rPr>
              <w:t>Postbiotics</w:t>
            </w:r>
          </w:p>
        </w:tc>
      </w:tr>
      <w:tr w:rsidR="009B5155" w:rsidRPr="00CF06EE" w14:paraId="6C100B42" w14:textId="77777777" w:rsidTr="006A3041">
        <w:trPr>
          <w:trHeight w:val="300"/>
          <w:jc w:val="center"/>
        </w:trPr>
        <w:tc>
          <w:tcPr>
            <w:tcW w:w="1656" w:type="dxa"/>
            <w:tcBorders>
              <w:top w:val="single" w:sz="4" w:space="0" w:color="auto"/>
            </w:tcBorders>
            <w:vAlign w:val="center"/>
          </w:tcPr>
          <w:p w14:paraId="6A108767" w14:textId="7C81F5DD"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Concept</w:t>
            </w:r>
          </w:p>
        </w:tc>
        <w:tc>
          <w:tcPr>
            <w:tcW w:w="2450" w:type="dxa"/>
            <w:tcBorders>
              <w:top w:val="single" w:sz="4" w:space="0" w:color="auto"/>
            </w:tcBorders>
            <w:vAlign w:val="center"/>
          </w:tcPr>
          <w:p w14:paraId="1727759A" w14:textId="20C217D9"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Living microorganisms that support host health when consumed in adequate amounts</w:t>
            </w:r>
          </w:p>
        </w:tc>
        <w:tc>
          <w:tcPr>
            <w:tcW w:w="2346" w:type="dxa"/>
            <w:tcBorders>
              <w:top w:val="single" w:sz="4" w:space="0" w:color="auto"/>
            </w:tcBorders>
            <w:vAlign w:val="center"/>
          </w:tcPr>
          <w:p w14:paraId="5FD76019" w14:textId="51199D59"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Non-digestible substrates that selectively stimulate beneficial microbiota</w:t>
            </w:r>
          </w:p>
        </w:tc>
        <w:tc>
          <w:tcPr>
            <w:tcW w:w="2761" w:type="dxa"/>
            <w:tcBorders>
              <w:top w:val="single" w:sz="4" w:space="0" w:color="auto"/>
            </w:tcBorders>
            <w:vAlign w:val="center"/>
          </w:tcPr>
          <w:p w14:paraId="648E800A" w14:textId="5EB63E0A"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Bioactive microbial metabolites or non-viable cellular components produced during fermentation</w:t>
            </w:r>
          </w:p>
        </w:tc>
      </w:tr>
      <w:tr w:rsidR="009B5155" w:rsidRPr="00CF06EE" w14:paraId="32BE4807" w14:textId="77777777" w:rsidTr="006A3041">
        <w:trPr>
          <w:trHeight w:val="300"/>
          <w:jc w:val="center"/>
        </w:trPr>
        <w:tc>
          <w:tcPr>
            <w:tcW w:w="1656" w:type="dxa"/>
            <w:vAlign w:val="center"/>
          </w:tcPr>
          <w:p w14:paraId="52B99139" w14:textId="77777777" w:rsidR="00596F82" w:rsidRPr="00CF06EE" w:rsidRDefault="00D71853" w:rsidP="006A3041">
            <w:pPr>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Biological </w:t>
            </w:r>
          </w:p>
          <w:p w14:paraId="392D05C9" w14:textId="609517A9"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Nature</w:t>
            </w:r>
          </w:p>
        </w:tc>
        <w:tc>
          <w:tcPr>
            <w:tcW w:w="2450" w:type="dxa"/>
            <w:vAlign w:val="center"/>
          </w:tcPr>
          <w:p w14:paraId="0F43BB7A" w14:textId="3ED1CF50"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Viable bacteria or yeasts</w:t>
            </w:r>
          </w:p>
        </w:tc>
        <w:tc>
          <w:tcPr>
            <w:tcW w:w="2346" w:type="dxa"/>
            <w:vAlign w:val="center"/>
          </w:tcPr>
          <w:p w14:paraId="347BE76D" w14:textId="120B16A4"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Dietary </w:t>
            </w:r>
            <w:proofErr w:type="spellStart"/>
            <w:r w:rsidRPr="00CF06EE">
              <w:rPr>
                <w:rFonts w:ascii="Arial" w:eastAsia="Times New Roman" w:hAnsi="Arial" w:cs="Arial"/>
                <w:sz w:val="20"/>
                <w:szCs w:val="20"/>
                <w:lang w:val="en-IN"/>
              </w:rPr>
              <w:t>fibers</w:t>
            </w:r>
            <w:proofErr w:type="spellEnd"/>
            <w:r w:rsidRPr="00CF06EE">
              <w:rPr>
                <w:rFonts w:ascii="Arial" w:eastAsia="Times New Roman" w:hAnsi="Arial" w:cs="Arial"/>
                <w:sz w:val="20"/>
                <w:szCs w:val="20"/>
                <w:lang w:val="en-IN"/>
              </w:rPr>
              <w:t xml:space="preserve"> and functional carbohydrates</w:t>
            </w:r>
          </w:p>
        </w:tc>
        <w:tc>
          <w:tcPr>
            <w:tcW w:w="2761" w:type="dxa"/>
            <w:vAlign w:val="center"/>
          </w:tcPr>
          <w:p w14:paraId="106A0B9B" w14:textId="4E705E9B"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Organic acids, SCFAs, peptides, enzymes, EPS, teichoic acids, vitamins</w:t>
            </w:r>
          </w:p>
        </w:tc>
      </w:tr>
      <w:tr w:rsidR="009B5155" w:rsidRPr="00CF06EE" w14:paraId="70A98A64" w14:textId="77777777" w:rsidTr="006A3041">
        <w:trPr>
          <w:trHeight w:val="300"/>
          <w:jc w:val="center"/>
        </w:trPr>
        <w:tc>
          <w:tcPr>
            <w:tcW w:w="1656" w:type="dxa"/>
            <w:vAlign w:val="center"/>
          </w:tcPr>
          <w:p w14:paraId="2DC21876" w14:textId="47EA2FA8"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Viability Requirement</w:t>
            </w:r>
          </w:p>
        </w:tc>
        <w:tc>
          <w:tcPr>
            <w:tcW w:w="2450" w:type="dxa"/>
            <w:vAlign w:val="center"/>
          </w:tcPr>
          <w:p w14:paraId="0A3137A5" w14:textId="7E332794"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Essential</w:t>
            </w:r>
          </w:p>
        </w:tc>
        <w:tc>
          <w:tcPr>
            <w:tcW w:w="2346" w:type="dxa"/>
            <w:vAlign w:val="center"/>
          </w:tcPr>
          <w:p w14:paraId="1D306114" w14:textId="0B825A05"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Not applicable</w:t>
            </w:r>
          </w:p>
        </w:tc>
        <w:tc>
          <w:tcPr>
            <w:tcW w:w="2761" w:type="dxa"/>
            <w:vAlign w:val="center"/>
          </w:tcPr>
          <w:p w14:paraId="6408EF37" w14:textId="22C43208"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Not required</w:t>
            </w:r>
          </w:p>
        </w:tc>
      </w:tr>
      <w:tr w:rsidR="009B5155" w:rsidRPr="00CF06EE" w14:paraId="1E71C341" w14:textId="77777777" w:rsidTr="006A3041">
        <w:trPr>
          <w:trHeight w:val="300"/>
          <w:jc w:val="center"/>
        </w:trPr>
        <w:tc>
          <w:tcPr>
            <w:tcW w:w="1656" w:type="dxa"/>
            <w:vAlign w:val="center"/>
          </w:tcPr>
          <w:p w14:paraId="44DA72DD" w14:textId="77777777" w:rsidR="00596F82" w:rsidRPr="00CF06EE" w:rsidRDefault="00D71853" w:rsidP="006A3041">
            <w:pPr>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Primary </w:t>
            </w:r>
          </w:p>
          <w:p w14:paraId="0AAD29D3" w14:textId="340527F3"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Functional Components</w:t>
            </w:r>
          </w:p>
        </w:tc>
        <w:tc>
          <w:tcPr>
            <w:tcW w:w="2450" w:type="dxa"/>
            <w:vAlign w:val="center"/>
          </w:tcPr>
          <w:p w14:paraId="302A28E5" w14:textId="7615852C"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Whole microbial cells (</w:t>
            </w:r>
            <w:r w:rsidRPr="00CF06EE">
              <w:rPr>
                <w:rFonts w:ascii="Arial" w:eastAsia="Times New Roman" w:hAnsi="Arial" w:cs="Arial"/>
                <w:i/>
                <w:iCs/>
                <w:sz w:val="20"/>
                <w:szCs w:val="20"/>
                <w:lang w:val="en-IN"/>
              </w:rPr>
              <w:t>Lactobacillus</w:t>
            </w:r>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Bifidobacterium</w:t>
            </w:r>
            <w:r w:rsidRPr="00CF06EE">
              <w:rPr>
                <w:rFonts w:ascii="Arial" w:eastAsia="Times New Roman" w:hAnsi="Arial" w:cs="Arial"/>
                <w:sz w:val="20"/>
                <w:szCs w:val="20"/>
                <w:lang w:val="en-IN"/>
              </w:rPr>
              <w:t>, yeast)</w:t>
            </w:r>
          </w:p>
        </w:tc>
        <w:tc>
          <w:tcPr>
            <w:tcW w:w="2346" w:type="dxa"/>
            <w:vAlign w:val="center"/>
          </w:tcPr>
          <w:p w14:paraId="5C6F973B" w14:textId="32A2D089"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Inulin, FOS, GOS, resistant starch, oligosaccharides</w:t>
            </w:r>
          </w:p>
        </w:tc>
        <w:tc>
          <w:tcPr>
            <w:tcW w:w="2761" w:type="dxa"/>
            <w:vAlign w:val="center"/>
          </w:tcPr>
          <w:p w14:paraId="40099B8F" w14:textId="2B26F2CF"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Butyrate, acetate, bacteriocins, </w:t>
            </w:r>
            <w:proofErr w:type="spellStart"/>
            <w:r w:rsidRPr="00CF06EE">
              <w:rPr>
                <w:rFonts w:ascii="Arial" w:eastAsia="Times New Roman" w:hAnsi="Arial" w:cs="Arial"/>
                <w:sz w:val="20"/>
                <w:szCs w:val="20"/>
                <w:lang w:val="en-IN"/>
              </w:rPr>
              <w:t>phenylactic</w:t>
            </w:r>
            <w:proofErr w:type="spellEnd"/>
            <w:r w:rsidRPr="00CF06EE">
              <w:rPr>
                <w:rFonts w:ascii="Arial" w:eastAsia="Times New Roman" w:hAnsi="Arial" w:cs="Arial"/>
                <w:sz w:val="20"/>
                <w:szCs w:val="20"/>
                <w:lang w:val="en-IN"/>
              </w:rPr>
              <w:t xml:space="preserve"> acid, cell wall fragments</w:t>
            </w:r>
          </w:p>
        </w:tc>
      </w:tr>
      <w:tr w:rsidR="009B5155" w:rsidRPr="00CF06EE" w14:paraId="514B323B" w14:textId="77777777" w:rsidTr="006A3041">
        <w:trPr>
          <w:trHeight w:val="300"/>
          <w:jc w:val="center"/>
        </w:trPr>
        <w:tc>
          <w:tcPr>
            <w:tcW w:w="1656" w:type="dxa"/>
            <w:vAlign w:val="center"/>
          </w:tcPr>
          <w:p w14:paraId="1039BF89" w14:textId="103DBD47"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Mode of Action</w:t>
            </w:r>
          </w:p>
        </w:tc>
        <w:tc>
          <w:tcPr>
            <w:tcW w:w="2450" w:type="dxa"/>
            <w:vAlign w:val="center"/>
          </w:tcPr>
          <w:p w14:paraId="12759256" w14:textId="2B930A9C"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Colonization, competitive exclusion, metabolic activity</w:t>
            </w:r>
          </w:p>
        </w:tc>
        <w:tc>
          <w:tcPr>
            <w:tcW w:w="2346" w:type="dxa"/>
            <w:vAlign w:val="center"/>
          </w:tcPr>
          <w:p w14:paraId="437B9D1F" w14:textId="430AD6E4"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Selective fermentation promoting beneficial bacteria growth</w:t>
            </w:r>
          </w:p>
        </w:tc>
        <w:tc>
          <w:tcPr>
            <w:tcW w:w="2761" w:type="dxa"/>
            <w:vAlign w:val="center"/>
          </w:tcPr>
          <w:p w14:paraId="78478AB8" w14:textId="11E2C8F7"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Direct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via metabolites; immune and metabolic pathway modulation</w:t>
            </w:r>
          </w:p>
        </w:tc>
      </w:tr>
      <w:tr w:rsidR="009B5155" w:rsidRPr="00CF06EE" w14:paraId="0FC6A83A" w14:textId="77777777" w:rsidTr="006A3041">
        <w:trPr>
          <w:trHeight w:val="300"/>
          <w:jc w:val="center"/>
        </w:trPr>
        <w:tc>
          <w:tcPr>
            <w:tcW w:w="1656" w:type="dxa"/>
            <w:vAlign w:val="center"/>
          </w:tcPr>
          <w:p w14:paraId="30819FF7" w14:textId="77777777" w:rsidR="00596F82" w:rsidRPr="00CF06EE" w:rsidRDefault="00D71853" w:rsidP="006A3041">
            <w:pPr>
              <w:jc w:val="both"/>
              <w:rPr>
                <w:rFonts w:ascii="Arial" w:eastAsia="Times New Roman" w:hAnsi="Arial" w:cs="Arial"/>
                <w:sz w:val="20"/>
                <w:szCs w:val="20"/>
                <w:lang w:val="en-IN"/>
              </w:rPr>
            </w:pPr>
            <w:r w:rsidRPr="00CF06EE">
              <w:rPr>
                <w:rFonts w:ascii="Arial" w:eastAsia="Times New Roman" w:hAnsi="Arial" w:cs="Arial"/>
                <w:sz w:val="20"/>
                <w:szCs w:val="20"/>
                <w:lang w:val="en-IN"/>
              </w:rPr>
              <w:lastRenderedPageBreak/>
              <w:t xml:space="preserve">Interaction with </w:t>
            </w:r>
          </w:p>
          <w:p w14:paraId="36801589" w14:textId="0B755D1C"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Gut Microbiota</w:t>
            </w:r>
          </w:p>
        </w:tc>
        <w:tc>
          <w:tcPr>
            <w:tcW w:w="2450" w:type="dxa"/>
            <w:vAlign w:val="center"/>
          </w:tcPr>
          <w:p w14:paraId="6AC70B26" w14:textId="0E4762F4"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Direct microbial interaction and temporary colonization</w:t>
            </w:r>
          </w:p>
        </w:tc>
        <w:tc>
          <w:tcPr>
            <w:tcW w:w="2346" w:type="dxa"/>
            <w:vAlign w:val="center"/>
          </w:tcPr>
          <w:p w14:paraId="71039D99" w14:textId="63ABF1F8"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Acts as nutrient source for microbiota</w:t>
            </w:r>
          </w:p>
        </w:tc>
        <w:tc>
          <w:tcPr>
            <w:tcW w:w="2761" w:type="dxa"/>
            <w:vAlign w:val="center"/>
          </w:tcPr>
          <w:p w14:paraId="32C1ECE5" w14:textId="566EB44C"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Alters microbial environment without colonization</w:t>
            </w:r>
          </w:p>
        </w:tc>
      </w:tr>
      <w:tr w:rsidR="009B5155" w:rsidRPr="00CF06EE" w14:paraId="44A876F4" w14:textId="77777777" w:rsidTr="006A3041">
        <w:trPr>
          <w:trHeight w:val="300"/>
          <w:jc w:val="center"/>
        </w:trPr>
        <w:tc>
          <w:tcPr>
            <w:tcW w:w="1656" w:type="dxa"/>
            <w:vAlign w:val="center"/>
          </w:tcPr>
          <w:p w14:paraId="478828A4" w14:textId="77777777" w:rsidR="00596F82" w:rsidRPr="00CF06EE" w:rsidRDefault="00D71853" w:rsidP="006A3041">
            <w:pPr>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Stability </w:t>
            </w:r>
          </w:p>
          <w:p w14:paraId="0C16A9C6" w14:textId="77777777" w:rsidR="00596F82" w:rsidRPr="00CF06EE" w:rsidRDefault="00D71853" w:rsidP="006A3041">
            <w:pPr>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During </w:t>
            </w:r>
          </w:p>
          <w:p w14:paraId="13FCFBFF" w14:textId="4D8BED2D"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Processing</w:t>
            </w:r>
          </w:p>
        </w:tc>
        <w:tc>
          <w:tcPr>
            <w:tcW w:w="2450" w:type="dxa"/>
            <w:vAlign w:val="center"/>
          </w:tcPr>
          <w:p w14:paraId="6B5C24A6" w14:textId="72C907EB"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Sensitive to heat, oxygen, and gastric acidity</w:t>
            </w:r>
          </w:p>
        </w:tc>
        <w:tc>
          <w:tcPr>
            <w:tcW w:w="2346" w:type="dxa"/>
            <w:vAlign w:val="center"/>
          </w:tcPr>
          <w:p w14:paraId="48F6EB4A" w14:textId="2541A80D"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Highly stable chemical compounds</w:t>
            </w:r>
          </w:p>
        </w:tc>
        <w:tc>
          <w:tcPr>
            <w:tcW w:w="2761" w:type="dxa"/>
            <w:vAlign w:val="center"/>
          </w:tcPr>
          <w:p w14:paraId="43AD60CE" w14:textId="62D8C0EE"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Highly stable; resistant to temperature and pH variations</w:t>
            </w:r>
          </w:p>
        </w:tc>
      </w:tr>
      <w:tr w:rsidR="009B5155" w:rsidRPr="00CF06EE" w14:paraId="33BF82FE" w14:textId="77777777" w:rsidTr="006A3041">
        <w:trPr>
          <w:trHeight w:val="300"/>
          <w:jc w:val="center"/>
        </w:trPr>
        <w:tc>
          <w:tcPr>
            <w:tcW w:w="1656" w:type="dxa"/>
            <w:vAlign w:val="center"/>
          </w:tcPr>
          <w:p w14:paraId="3B810933" w14:textId="306E4BDE"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Shelf Life</w:t>
            </w:r>
          </w:p>
        </w:tc>
        <w:tc>
          <w:tcPr>
            <w:tcW w:w="2450" w:type="dxa"/>
            <w:vAlign w:val="center"/>
          </w:tcPr>
          <w:p w14:paraId="604AC084" w14:textId="12616296"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Limited; requires controlled storage</w:t>
            </w:r>
          </w:p>
        </w:tc>
        <w:tc>
          <w:tcPr>
            <w:tcW w:w="2346" w:type="dxa"/>
            <w:vAlign w:val="center"/>
          </w:tcPr>
          <w:p w14:paraId="2EC883BC" w14:textId="3D0FCD4A"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Long shelf life</w:t>
            </w:r>
          </w:p>
        </w:tc>
        <w:tc>
          <w:tcPr>
            <w:tcW w:w="2761" w:type="dxa"/>
            <w:vAlign w:val="center"/>
          </w:tcPr>
          <w:p w14:paraId="5D729FD5" w14:textId="22435D96"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Extended shelf life due to non-viable nature</w:t>
            </w:r>
          </w:p>
        </w:tc>
      </w:tr>
      <w:tr w:rsidR="009B5155" w:rsidRPr="00CF06EE" w14:paraId="3E78D29E" w14:textId="77777777" w:rsidTr="006A3041">
        <w:trPr>
          <w:trHeight w:val="300"/>
          <w:jc w:val="center"/>
        </w:trPr>
        <w:tc>
          <w:tcPr>
            <w:tcW w:w="1656" w:type="dxa"/>
            <w:vAlign w:val="center"/>
          </w:tcPr>
          <w:p w14:paraId="40D8A86B" w14:textId="0D6A04D5"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Safety Considerations</w:t>
            </w:r>
          </w:p>
        </w:tc>
        <w:tc>
          <w:tcPr>
            <w:tcW w:w="2450" w:type="dxa"/>
            <w:vAlign w:val="center"/>
          </w:tcPr>
          <w:p w14:paraId="52C1EC95" w14:textId="374821D7"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Generally safe but rare infection risk in vulnerable individuals</w:t>
            </w:r>
          </w:p>
        </w:tc>
        <w:tc>
          <w:tcPr>
            <w:tcW w:w="2346" w:type="dxa"/>
            <w:vAlign w:val="center"/>
          </w:tcPr>
          <w:p w14:paraId="749DF68E" w14:textId="6547135D"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Very safe as dietary components</w:t>
            </w:r>
          </w:p>
        </w:tc>
        <w:tc>
          <w:tcPr>
            <w:tcW w:w="2761" w:type="dxa"/>
            <w:vAlign w:val="center"/>
          </w:tcPr>
          <w:p w14:paraId="6B088B09" w14:textId="72BEC3F4"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High safety margin; no risk of microbial translocation</w:t>
            </w:r>
          </w:p>
        </w:tc>
      </w:tr>
      <w:tr w:rsidR="009B5155" w:rsidRPr="00CF06EE" w14:paraId="4F53F979" w14:textId="77777777" w:rsidTr="006A3041">
        <w:trPr>
          <w:trHeight w:val="300"/>
          <w:jc w:val="center"/>
        </w:trPr>
        <w:tc>
          <w:tcPr>
            <w:tcW w:w="1656" w:type="dxa"/>
            <w:vAlign w:val="center"/>
          </w:tcPr>
          <w:p w14:paraId="1D8EEF54" w14:textId="1B705A6F"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Technological Advantages</w:t>
            </w:r>
          </w:p>
        </w:tc>
        <w:tc>
          <w:tcPr>
            <w:tcW w:w="2450" w:type="dxa"/>
            <w:vAlign w:val="center"/>
          </w:tcPr>
          <w:p w14:paraId="0F8023D0" w14:textId="404A124A"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Functional microbiome modulation</w:t>
            </w:r>
          </w:p>
        </w:tc>
        <w:tc>
          <w:tcPr>
            <w:tcW w:w="2346" w:type="dxa"/>
            <w:vAlign w:val="center"/>
          </w:tcPr>
          <w:p w14:paraId="41EAA22D" w14:textId="74AC8309"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Easy incorporation into food matrices</w:t>
            </w:r>
          </w:p>
        </w:tc>
        <w:tc>
          <w:tcPr>
            <w:tcW w:w="2761" w:type="dxa"/>
            <w:vAlign w:val="center"/>
          </w:tcPr>
          <w:p w14:paraId="615C7A5A" w14:textId="192BEE87"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Easier formulation, precise dosing, reproducible composition</w:t>
            </w:r>
          </w:p>
        </w:tc>
      </w:tr>
      <w:tr w:rsidR="009B5155" w:rsidRPr="00CF06EE" w14:paraId="3205E0BE" w14:textId="77777777" w:rsidTr="006A3041">
        <w:trPr>
          <w:trHeight w:val="300"/>
          <w:jc w:val="center"/>
        </w:trPr>
        <w:tc>
          <w:tcPr>
            <w:tcW w:w="1656" w:type="dxa"/>
            <w:vAlign w:val="center"/>
          </w:tcPr>
          <w:p w14:paraId="1D82BAA5" w14:textId="5C7BBCE9"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Immuno</w:t>
            </w:r>
            <w:r w:rsidR="00596F82" w:rsidRPr="00CF06EE">
              <w:rPr>
                <w:rFonts w:ascii="Arial" w:eastAsia="Times New Roman" w:hAnsi="Arial" w:cs="Arial"/>
                <w:sz w:val="20"/>
                <w:szCs w:val="20"/>
                <w:lang w:val="en-IN"/>
              </w:rPr>
              <w:t>-</w:t>
            </w:r>
            <w:r w:rsidRPr="00CF06EE">
              <w:rPr>
                <w:rFonts w:ascii="Arial" w:eastAsia="Times New Roman" w:hAnsi="Arial" w:cs="Arial"/>
                <w:sz w:val="20"/>
                <w:szCs w:val="20"/>
                <w:lang w:val="en-IN"/>
              </w:rPr>
              <w:t>modulatory Role</w:t>
            </w:r>
          </w:p>
        </w:tc>
        <w:tc>
          <w:tcPr>
            <w:tcW w:w="2450" w:type="dxa"/>
            <w:vAlign w:val="center"/>
          </w:tcPr>
          <w:p w14:paraId="3B3F1CA4" w14:textId="1E00CF98"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Strain-specific immune modulation</w:t>
            </w:r>
          </w:p>
        </w:tc>
        <w:tc>
          <w:tcPr>
            <w:tcW w:w="2346" w:type="dxa"/>
            <w:vAlign w:val="center"/>
          </w:tcPr>
          <w:p w14:paraId="7F3A8B1A" w14:textId="2028BA96"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Indirect immune support via microbiota</w:t>
            </w:r>
          </w:p>
        </w:tc>
        <w:tc>
          <w:tcPr>
            <w:tcW w:w="2761" w:type="dxa"/>
            <w:vAlign w:val="center"/>
          </w:tcPr>
          <w:p w14:paraId="03F76840" w14:textId="558AC117"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Direct cytokine regulation and anti-inflammatory </w:t>
            </w:r>
            <w:proofErr w:type="spellStart"/>
            <w:r w:rsidRPr="00CF06EE">
              <w:rPr>
                <w:rFonts w:ascii="Arial" w:eastAsia="Times New Roman" w:hAnsi="Arial" w:cs="Arial"/>
                <w:sz w:val="20"/>
                <w:szCs w:val="20"/>
                <w:lang w:val="en-IN"/>
              </w:rPr>
              <w:t>signaling</w:t>
            </w:r>
            <w:proofErr w:type="spellEnd"/>
          </w:p>
        </w:tc>
      </w:tr>
      <w:tr w:rsidR="009B5155" w:rsidRPr="00CF06EE" w14:paraId="4C5F60E4" w14:textId="77777777" w:rsidTr="006A3041">
        <w:trPr>
          <w:trHeight w:val="300"/>
          <w:jc w:val="center"/>
        </w:trPr>
        <w:tc>
          <w:tcPr>
            <w:tcW w:w="1656" w:type="dxa"/>
            <w:vAlign w:val="center"/>
          </w:tcPr>
          <w:p w14:paraId="1B71DBD6" w14:textId="471E7CD3"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Anti-Inflammatory Potential</w:t>
            </w:r>
          </w:p>
        </w:tc>
        <w:tc>
          <w:tcPr>
            <w:tcW w:w="2450" w:type="dxa"/>
            <w:vAlign w:val="center"/>
          </w:tcPr>
          <w:p w14:paraId="7A0B5676" w14:textId="77A792F3"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Moderate to strong (strain dependent)</w:t>
            </w:r>
          </w:p>
        </w:tc>
        <w:tc>
          <w:tcPr>
            <w:tcW w:w="2346" w:type="dxa"/>
            <w:vAlign w:val="center"/>
          </w:tcPr>
          <w:p w14:paraId="2000F623" w14:textId="72BD6E7C"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Indirect via fermentation products</w:t>
            </w:r>
          </w:p>
        </w:tc>
        <w:tc>
          <w:tcPr>
            <w:tcW w:w="2761" w:type="dxa"/>
            <w:vAlign w:val="center"/>
          </w:tcPr>
          <w:p w14:paraId="5FEF6D90" w14:textId="68446EC6"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Strong through SCFAs and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pathways (NF-</w:t>
            </w:r>
            <w:proofErr w:type="spellStart"/>
            <w:r w:rsidRPr="00CF06EE">
              <w:rPr>
                <w:rFonts w:ascii="Arial" w:eastAsia="Times New Roman" w:hAnsi="Arial" w:cs="Arial"/>
                <w:sz w:val="20"/>
                <w:szCs w:val="20"/>
                <w:lang w:val="en-IN"/>
              </w:rPr>
              <w:t>κB</w:t>
            </w:r>
            <w:proofErr w:type="spellEnd"/>
            <w:r w:rsidRPr="00CF06EE">
              <w:rPr>
                <w:rFonts w:ascii="Arial" w:eastAsia="Times New Roman" w:hAnsi="Arial" w:cs="Arial"/>
                <w:sz w:val="20"/>
                <w:szCs w:val="20"/>
                <w:lang w:val="en-IN"/>
              </w:rPr>
              <w:t>, GPCRs)</w:t>
            </w:r>
          </w:p>
        </w:tc>
      </w:tr>
      <w:tr w:rsidR="009B5155" w:rsidRPr="00CF06EE" w14:paraId="07030E76" w14:textId="77777777" w:rsidTr="006A3041">
        <w:trPr>
          <w:trHeight w:val="300"/>
          <w:jc w:val="center"/>
        </w:trPr>
        <w:tc>
          <w:tcPr>
            <w:tcW w:w="1656" w:type="dxa"/>
            <w:vAlign w:val="center"/>
          </w:tcPr>
          <w:p w14:paraId="7C4FD57C" w14:textId="245A9925"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Examples</w:t>
            </w:r>
          </w:p>
        </w:tc>
        <w:tc>
          <w:tcPr>
            <w:tcW w:w="2450" w:type="dxa"/>
            <w:vAlign w:val="center"/>
          </w:tcPr>
          <w:p w14:paraId="1DBDE41E" w14:textId="42B1D38B" w:rsidR="00D71853" w:rsidRPr="00CF06EE" w:rsidRDefault="00D71853" w:rsidP="006A3041">
            <w:pPr>
              <w:jc w:val="both"/>
              <w:rPr>
                <w:rFonts w:ascii="Arial" w:hAnsi="Arial" w:cs="Arial"/>
                <w:sz w:val="20"/>
                <w:szCs w:val="20"/>
              </w:rPr>
            </w:pPr>
            <w:r w:rsidRPr="00CF06EE">
              <w:rPr>
                <w:rFonts w:ascii="Arial" w:eastAsia="Times New Roman" w:hAnsi="Arial" w:cs="Arial"/>
                <w:i/>
                <w:iCs/>
                <w:sz w:val="20"/>
                <w:szCs w:val="20"/>
                <w:lang w:val="en-IN"/>
              </w:rPr>
              <w:t xml:space="preserve">L. </w:t>
            </w:r>
            <w:proofErr w:type="spellStart"/>
            <w:r w:rsidRPr="00CF06EE">
              <w:rPr>
                <w:rFonts w:ascii="Arial" w:eastAsia="Times New Roman" w:hAnsi="Arial" w:cs="Arial"/>
                <w:i/>
                <w:iCs/>
                <w:sz w:val="20"/>
                <w:szCs w:val="20"/>
                <w:lang w:val="en-IN"/>
              </w:rPr>
              <w:t>rhamnosus</w:t>
            </w:r>
            <w:proofErr w:type="spellEnd"/>
            <w:r w:rsidRPr="00CF06EE">
              <w:rPr>
                <w:rFonts w:ascii="Arial" w:eastAsia="Times New Roman" w:hAnsi="Arial" w:cs="Arial"/>
                <w:i/>
                <w:iCs/>
                <w:sz w:val="20"/>
                <w:szCs w:val="20"/>
                <w:lang w:val="en-IN"/>
              </w:rPr>
              <w:t xml:space="preserve"> GG</w:t>
            </w:r>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B. longum</w:t>
            </w:r>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 xml:space="preserve">S. </w:t>
            </w:r>
            <w:proofErr w:type="spellStart"/>
            <w:r w:rsidRPr="00CF06EE">
              <w:rPr>
                <w:rFonts w:ascii="Arial" w:eastAsia="Times New Roman" w:hAnsi="Arial" w:cs="Arial"/>
                <w:i/>
                <w:iCs/>
                <w:sz w:val="20"/>
                <w:szCs w:val="20"/>
                <w:lang w:val="en-IN"/>
              </w:rPr>
              <w:t>boulardii</w:t>
            </w:r>
            <w:proofErr w:type="spellEnd"/>
          </w:p>
        </w:tc>
        <w:tc>
          <w:tcPr>
            <w:tcW w:w="2346" w:type="dxa"/>
            <w:vAlign w:val="center"/>
          </w:tcPr>
          <w:p w14:paraId="18E5264C" w14:textId="3B0D50B1"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Inulin, </w:t>
            </w:r>
            <w:proofErr w:type="spellStart"/>
            <w:r w:rsidRPr="00CF06EE">
              <w:rPr>
                <w:rFonts w:ascii="Arial" w:eastAsia="Times New Roman" w:hAnsi="Arial" w:cs="Arial"/>
                <w:sz w:val="20"/>
                <w:szCs w:val="20"/>
                <w:lang w:val="en-IN"/>
              </w:rPr>
              <w:t>fructooligosaccharides</w:t>
            </w:r>
            <w:proofErr w:type="spellEnd"/>
            <w:r w:rsidRPr="00CF06EE">
              <w:rPr>
                <w:rFonts w:ascii="Arial" w:eastAsia="Times New Roman" w:hAnsi="Arial" w:cs="Arial"/>
                <w:sz w:val="20"/>
                <w:szCs w:val="20"/>
                <w:lang w:val="en-IN"/>
              </w:rPr>
              <w:t xml:space="preserve">, </w:t>
            </w:r>
            <w:proofErr w:type="spellStart"/>
            <w:r w:rsidRPr="00CF06EE">
              <w:rPr>
                <w:rFonts w:ascii="Arial" w:eastAsia="Times New Roman" w:hAnsi="Arial" w:cs="Arial"/>
                <w:sz w:val="20"/>
                <w:szCs w:val="20"/>
                <w:lang w:val="en-IN"/>
              </w:rPr>
              <w:t>galactooligosaccharides</w:t>
            </w:r>
            <w:proofErr w:type="spellEnd"/>
          </w:p>
        </w:tc>
        <w:tc>
          <w:tcPr>
            <w:tcW w:w="2761" w:type="dxa"/>
            <w:vAlign w:val="center"/>
          </w:tcPr>
          <w:p w14:paraId="29FAEB75" w14:textId="08DD5DF0"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Butyrate-rich extracts, heat-treated </w:t>
            </w:r>
            <w:r w:rsidRPr="00CF06EE">
              <w:rPr>
                <w:rFonts w:ascii="Arial" w:eastAsia="Times New Roman" w:hAnsi="Arial" w:cs="Arial"/>
                <w:i/>
                <w:iCs/>
                <w:sz w:val="20"/>
                <w:szCs w:val="20"/>
                <w:lang w:val="en-IN"/>
              </w:rPr>
              <w:t>L. plantarum</w:t>
            </w:r>
            <w:r w:rsidRPr="00CF06EE">
              <w:rPr>
                <w:rFonts w:ascii="Arial" w:eastAsia="Times New Roman" w:hAnsi="Arial" w:cs="Arial"/>
                <w:sz w:val="20"/>
                <w:szCs w:val="20"/>
                <w:lang w:val="en-IN"/>
              </w:rPr>
              <w:t>, EPS</w:t>
            </w:r>
          </w:p>
        </w:tc>
      </w:tr>
      <w:tr w:rsidR="009B5155" w:rsidRPr="00CF06EE" w14:paraId="7D6ED882" w14:textId="77777777" w:rsidTr="006A3041">
        <w:trPr>
          <w:trHeight w:val="300"/>
          <w:jc w:val="center"/>
        </w:trPr>
        <w:tc>
          <w:tcPr>
            <w:tcW w:w="1656" w:type="dxa"/>
            <w:vAlign w:val="center"/>
          </w:tcPr>
          <w:p w14:paraId="7DBED1DA" w14:textId="2F69662D"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Common Applications</w:t>
            </w:r>
          </w:p>
        </w:tc>
        <w:tc>
          <w:tcPr>
            <w:tcW w:w="2450" w:type="dxa"/>
            <w:vAlign w:val="center"/>
          </w:tcPr>
          <w:p w14:paraId="1C858644" w14:textId="7981A9B5"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IBS, </w:t>
            </w:r>
            <w:proofErr w:type="spellStart"/>
            <w:r w:rsidRPr="00CF06EE">
              <w:rPr>
                <w:rFonts w:ascii="Arial" w:eastAsia="Times New Roman" w:hAnsi="Arial" w:cs="Arial"/>
                <w:sz w:val="20"/>
                <w:szCs w:val="20"/>
                <w:lang w:val="en-IN"/>
              </w:rPr>
              <w:t>diarrhea</w:t>
            </w:r>
            <w:proofErr w:type="spellEnd"/>
            <w:r w:rsidRPr="00CF06EE">
              <w:rPr>
                <w:rFonts w:ascii="Arial" w:eastAsia="Times New Roman" w:hAnsi="Arial" w:cs="Arial"/>
                <w:sz w:val="20"/>
                <w:szCs w:val="20"/>
                <w:lang w:val="en-IN"/>
              </w:rPr>
              <w:t>, immune health</w:t>
            </w:r>
          </w:p>
        </w:tc>
        <w:tc>
          <w:tcPr>
            <w:tcW w:w="2346" w:type="dxa"/>
            <w:vAlign w:val="center"/>
          </w:tcPr>
          <w:p w14:paraId="497CB219" w14:textId="7E586B07"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Gut microbiome nourishment, metabolic health</w:t>
            </w:r>
          </w:p>
        </w:tc>
        <w:tc>
          <w:tcPr>
            <w:tcW w:w="2761" w:type="dxa"/>
            <w:vAlign w:val="center"/>
          </w:tcPr>
          <w:p w14:paraId="4FC9494A" w14:textId="210EE980"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Gut barrier protection, inflammation control, metabolic regulation</w:t>
            </w:r>
          </w:p>
        </w:tc>
      </w:tr>
      <w:tr w:rsidR="009B5155" w:rsidRPr="00CF06EE" w14:paraId="7BF77ED3" w14:textId="77777777" w:rsidTr="006A3041">
        <w:trPr>
          <w:trHeight w:val="300"/>
          <w:jc w:val="center"/>
        </w:trPr>
        <w:tc>
          <w:tcPr>
            <w:tcW w:w="1656" w:type="dxa"/>
            <w:vAlign w:val="center"/>
          </w:tcPr>
          <w:p w14:paraId="38B77CE1" w14:textId="54209403"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Regulatory Status</w:t>
            </w:r>
          </w:p>
        </w:tc>
        <w:tc>
          <w:tcPr>
            <w:tcW w:w="2450" w:type="dxa"/>
            <w:vAlign w:val="center"/>
          </w:tcPr>
          <w:p w14:paraId="723E8B97" w14:textId="00DB1FFE"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Well established globally</w:t>
            </w:r>
          </w:p>
        </w:tc>
        <w:tc>
          <w:tcPr>
            <w:tcW w:w="2346" w:type="dxa"/>
            <w:vAlign w:val="center"/>
          </w:tcPr>
          <w:p w14:paraId="647E2779" w14:textId="71671223"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 xml:space="preserve">Classified as dietary </w:t>
            </w:r>
            <w:proofErr w:type="spellStart"/>
            <w:r w:rsidRPr="00CF06EE">
              <w:rPr>
                <w:rFonts w:ascii="Arial" w:eastAsia="Times New Roman" w:hAnsi="Arial" w:cs="Arial"/>
                <w:sz w:val="20"/>
                <w:szCs w:val="20"/>
                <w:lang w:val="en-IN"/>
              </w:rPr>
              <w:t>fibers</w:t>
            </w:r>
            <w:proofErr w:type="spellEnd"/>
            <w:r w:rsidRPr="00CF06EE">
              <w:rPr>
                <w:rFonts w:ascii="Arial" w:eastAsia="Times New Roman" w:hAnsi="Arial" w:cs="Arial"/>
                <w:sz w:val="20"/>
                <w:szCs w:val="20"/>
                <w:lang w:val="en-IN"/>
              </w:rPr>
              <w:t xml:space="preserve"> or functional ingredients</w:t>
            </w:r>
          </w:p>
        </w:tc>
        <w:tc>
          <w:tcPr>
            <w:tcW w:w="2761" w:type="dxa"/>
            <w:vAlign w:val="center"/>
          </w:tcPr>
          <w:p w14:paraId="56BD4477" w14:textId="1A2FB1C5"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Emerging regulatory frameworks</w:t>
            </w:r>
          </w:p>
        </w:tc>
      </w:tr>
      <w:tr w:rsidR="009B5155" w:rsidRPr="00CF06EE" w14:paraId="7CD78903" w14:textId="77777777" w:rsidTr="006A3041">
        <w:trPr>
          <w:trHeight w:val="300"/>
          <w:jc w:val="center"/>
        </w:trPr>
        <w:tc>
          <w:tcPr>
            <w:tcW w:w="1656" w:type="dxa"/>
            <w:tcBorders>
              <w:bottom w:val="single" w:sz="4" w:space="0" w:color="auto"/>
            </w:tcBorders>
            <w:vAlign w:val="center"/>
          </w:tcPr>
          <w:p w14:paraId="191C6BC0" w14:textId="32C3848B"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Limitations</w:t>
            </w:r>
          </w:p>
        </w:tc>
        <w:tc>
          <w:tcPr>
            <w:tcW w:w="2450" w:type="dxa"/>
            <w:tcBorders>
              <w:bottom w:val="single" w:sz="4" w:space="0" w:color="auto"/>
            </w:tcBorders>
            <w:vAlign w:val="center"/>
          </w:tcPr>
          <w:p w14:paraId="725E6DE1" w14:textId="11C0A842"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Loss of viability, storage challenges</w:t>
            </w:r>
          </w:p>
        </w:tc>
        <w:tc>
          <w:tcPr>
            <w:tcW w:w="2346" w:type="dxa"/>
            <w:tcBorders>
              <w:bottom w:val="single" w:sz="4" w:space="0" w:color="auto"/>
            </w:tcBorders>
            <w:vAlign w:val="center"/>
          </w:tcPr>
          <w:p w14:paraId="2BAA355E" w14:textId="2703A4B3"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Individual variability in fermentation response</w:t>
            </w:r>
          </w:p>
        </w:tc>
        <w:tc>
          <w:tcPr>
            <w:tcW w:w="2761" w:type="dxa"/>
            <w:tcBorders>
              <w:bottom w:val="single" w:sz="4" w:space="0" w:color="auto"/>
            </w:tcBorders>
            <w:vAlign w:val="center"/>
          </w:tcPr>
          <w:p w14:paraId="3BCE2EE4" w14:textId="51D22DC2" w:rsidR="00D71853" w:rsidRPr="00CF06EE" w:rsidRDefault="00D71853" w:rsidP="006A3041">
            <w:pPr>
              <w:jc w:val="both"/>
              <w:rPr>
                <w:rFonts w:ascii="Arial" w:hAnsi="Arial" w:cs="Arial"/>
                <w:sz w:val="20"/>
                <w:szCs w:val="20"/>
              </w:rPr>
            </w:pPr>
            <w:r w:rsidRPr="00CF06EE">
              <w:rPr>
                <w:rFonts w:ascii="Arial" w:eastAsia="Times New Roman" w:hAnsi="Arial" w:cs="Arial"/>
                <w:sz w:val="20"/>
                <w:szCs w:val="20"/>
                <w:lang w:val="en-IN"/>
              </w:rPr>
              <w:t>Mechanistic pathways still under investigation</w:t>
            </w:r>
          </w:p>
        </w:tc>
      </w:tr>
    </w:tbl>
    <w:p w14:paraId="45F2F009" w14:textId="77777777" w:rsidR="009B5155" w:rsidRPr="00CF06EE" w:rsidRDefault="009B5155" w:rsidP="006A3041">
      <w:pPr>
        <w:spacing w:after="0" w:line="240" w:lineRule="auto"/>
        <w:jc w:val="both"/>
        <w:rPr>
          <w:rFonts w:ascii="Arial" w:eastAsia="Times New Roman" w:hAnsi="Arial" w:cs="Arial"/>
          <w:b/>
          <w:bCs/>
          <w:sz w:val="20"/>
          <w:szCs w:val="20"/>
          <w:lang w:val="en-IN"/>
        </w:rPr>
      </w:pPr>
    </w:p>
    <w:p w14:paraId="38A3AE8A" w14:textId="1E6666D6" w:rsidR="005E2010" w:rsidRPr="00CF06EE" w:rsidRDefault="007150F8"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4</w:t>
      </w:r>
      <w:r w:rsidR="009B5155" w:rsidRPr="00CF06EE">
        <w:rPr>
          <w:rFonts w:ascii="Arial" w:eastAsia="Times New Roman" w:hAnsi="Arial" w:cs="Arial"/>
          <w:b/>
          <w:bCs/>
          <w:sz w:val="22"/>
          <w:szCs w:val="22"/>
          <w:lang w:val="en-IN"/>
        </w:rPr>
        <w:t>. SOURCES AND COMPONENTS OF POSTBIOTICS</w:t>
      </w:r>
    </w:p>
    <w:p w14:paraId="7A6BB5A7" w14:textId="7A58E433" w:rsidR="005E2010" w:rsidRPr="00CF06EE" w:rsidRDefault="005E2010"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Postbiotics are generated from a broad range of microbial sources during fermentation or as structural derivatives of microbial cells. These bioactive preparations include metabolites, cell wall fragments, enzymes, peptides, and complex macromolecules released by bacteria, yeasts, and filamentous fungi</w:t>
      </w:r>
      <w:r w:rsidR="00CF2369" w:rsidRPr="00CF06EE">
        <w:rPr>
          <w:rFonts w:ascii="Arial" w:eastAsia="Times New Roman" w:hAnsi="Arial" w:cs="Arial"/>
          <w:sz w:val="20"/>
          <w:szCs w:val="20"/>
          <w:lang w:val="en-IN"/>
        </w:rPr>
        <w:t xml:space="preserve"> </w:t>
      </w:r>
      <w:r w:rsidR="00A82640" w:rsidRPr="00CF06EE">
        <w:rPr>
          <w:rFonts w:ascii="Arial" w:eastAsia="Times New Roman" w:hAnsi="Arial" w:cs="Arial"/>
          <w:sz w:val="20"/>
          <w:szCs w:val="20"/>
          <w:lang w:val="en-IN"/>
        </w:rPr>
        <w:t>(</w:t>
      </w:r>
      <w:proofErr w:type="spellStart"/>
      <w:r w:rsidR="00A82640" w:rsidRPr="00CF06EE">
        <w:rPr>
          <w:rFonts w:ascii="Arial" w:eastAsia="Times New Roman" w:hAnsi="Arial" w:cs="Arial"/>
          <w:sz w:val="20"/>
          <w:szCs w:val="20"/>
        </w:rPr>
        <w:t>Hijová</w:t>
      </w:r>
      <w:proofErr w:type="spellEnd"/>
      <w:r w:rsidR="00A82640" w:rsidRPr="00CF06EE">
        <w:rPr>
          <w:rFonts w:ascii="Arial" w:eastAsia="Times New Roman" w:hAnsi="Arial" w:cs="Arial"/>
          <w:sz w:val="20"/>
          <w:szCs w:val="20"/>
        </w:rPr>
        <w:t>, 2024</w:t>
      </w:r>
      <w:r w:rsidR="00A82640" w:rsidRPr="00CF06EE">
        <w:rPr>
          <w:rFonts w:ascii="Arial" w:eastAsia="Times New Roman" w:hAnsi="Arial" w:cs="Arial"/>
          <w:sz w:val="20"/>
          <w:szCs w:val="20"/>
          <w:lang w:val="en-IN"/>
        </w:rPr>
        <w:t xml:space="preserve">; </w:t>
      </w:r>
      <w:r w:rsidR="00CF2369" w:rsidRPr="00CF06EE">
        <w:rPr>
          <w:rFonts w:ascii="Arial" w:eastAsia="Times New Roman" w:hAnsi="Arial" w:cs="Arial"/>
          <w:sz w:val="20"/>
          <w:szCs w:val="20"/>
          <w:lang w:eastAsia="en-IN"/>
        </w:rPr>
        <w:t xml:space="preserve">Xu, P </w:t>
      </w:r>
      <w:r w:rsidR="00CF2369" w:rsidRPr="00CF06EE">
        <w:rPr>
          <w:rFonts w:ascii="Arial" w:eastAsia="Times New Roman" w:hAnsi="Arial" w:cs="Arial"/>
          <w:i/>
          <w:iCs/>
          <w:sz w:val="20"/>
          <w:szCs w:val="20"/>
          <w:lang w:eastAsia="en-IN"/>
        </w:rPr>
        <w:t>et al.,</w:t>
      </w:r>
      <w:r w:rsidR="00CF2369" w:rsidRPr="00CF06EE">
        <w:rPr>
          <w:rFonts w:ascii="Arial" w:eastAsia="Times New Roman" w:hAnsi="Arial" w:cs="Arial"/>
          <w:sz w:val="20"/>
          <w:szCs w:val="20"/>
          <w:lang w:eastAsia="en-IN"/>
        </w:rPr>
        <w:t xml:space="preserve"> 2025</w:t>
      </w:r>
      <w:r w:rsidR="00CF2369" w:rsidRPr="00CF06EE">
        <w:rPr>
          <w:rFonts w:ascii="Arial" w:eastAsia="Times New Roman" w:hAnsi="Arial" w:cs="Arial"/>
          <w:sz w:val="20"/>
          <w:szCs w:val="20"/>
          <w:lang w:val="en-IN"/>
        </w:rPr>
        <w:t>)</w:t>
      </w:r>
      <w:r w:rsidRPr="00CF06EE">
        <w:rPr>
          <w:rFonts w:ascii="Arial" w:eastAsia="Times New Roman" w:hAnsi="Arial" w:cs="Arial"/>
          <w:sz w:val="20"/>
          <w:szCs w:val="20"/>
          <w:lang w:val="en-IN"/>
        </w:rPr>
        <w:t>. The biochemical composition of postbiotics depends strongly on microbial strain characteristics, fermentation substrates, and environmental conditions, resulting in diverse functional profiles. Unlike purified single compounds, postbiotics represent a composite matrix of microbial-derived molecules that collectively exert immunomodulatory, antimicrobial, metabolic, and antioxidant effects</w:t>
      </w:r>
      <w:r w:rsidR="00CF2369" w:rsidRPr="00CF06EE">
        <w:rPr>
          <w:rFonts w:ascii="Arial" w:eastAsia="Times New Roman" w:hAnsi="Arial" w:cs="Arial"/>
          <w:sz w:val="20"/>
          <w:szCs w:val="20"/>
          <w:lang w:val="en-IN"/>
        </w:rPr>
        <w:t xml:space="preserve"> (</w:t>
      </w:r>
      <w:r w:rsidR="00CF2369" w:rsidRPr="00CF06EE">
        <w:rPr>
          <w:rFonts w:ascii="Arial" w:eastAsia="Times New Roman" w:hAnsi="Arial" w:cs="Arial"/>
          <w:sz w:val="20"/>
          <w:szCs w:val="20"/>
          <w:lang w:val="en-IN" w:eastAsia="en-IN"/>
        </w:rPr>
        <w:t xml:space="preserve">Akman, P. K </w:t>
      </w:r>
      <w:r w:rsidR="00CF2369" w:rsidRPr="00CF06EE">
        <w:rPr>
          <w:rFonts w:ascii="Arial" w:eastAsia="Times New Roman" w:hAnsi="Arial" w:cs="Arial"/>
          <w:i/>
          <w:iCs/>
          <w:sz w:val="20"/>
          <w:szCs w:val="20"/>
          <w:lang w:val="en-IN" w:eastAsia="en-IN"/>
        </w:rPr>
        <w:t>et al.,</w:t>
      </w:r>
      <w:r w:rsidR="00CF2369" w:rsidRPr="00CF06EE">
        <w:rPr>
          <w:rFonts w:ascii="Arial" w:eastAsia="Times New Roman" w:hAnsi="Arial" w:cs="Arial"/>
          <w:sz w:val="20"/>
          <w:szCs w:val="20"/>
          <w:lang w:val="en-IN" w:eastAsia="en-IN"/>
        </w:rPr>
        <w:t xml:space="preserve"> 2023</w:t>
      </w:r>
      <w:r w:rsidR="00CF2369" w:rsidRPr="00CF06EE">
        <w:rPr>
          <w:rFonts w:ascii="Arial" w:eastAsia="Times New Roman" w:hAnsi="Arial" w:cs="Arial"/>
          <w:sz w:val="20"/>
          <w:szCs w:val="20"/>
          <w:lang w:val="en-IN" w:eastAsia="en-IN"/>
        </w:rPr>
        <w:t xml:space="preserve">; </w:t>
      </w:r>
      <w:proofErr w:type="spellStart"/>
      <w:r w:rsidR="00CF2369" w:rsidRPr="00CF06EE">
        <w:rPr>
          <w:rFonts w:ascii="Arial" w:eastAsia="Times New Roman" w:hAnsi="Arial" w:cs="Arial"/>
          <w:sz w:val="20"/>
          <w:szCs w:val="20"/>
        </w:rPr>
        <w:t>Amobonye</w:t>
      </w:r>
      <w:proofErr w:type="spellEnd"/>
      <w:r w:rsidR="00CF2369" w:rsidRPr="00CF06EE">
        <w:rPr>
          <w:rFonts w:ascii="Arial" w:eastAsia="Times New Roman" w:hAnsi="Arial" w:cs="Arial"/>
          <w:sz w:val="20"/>
          <w:szCs w:val="20"/>
        </w:rPr>
        <w:t xml:space="preserve">, A </w:t>
      </w:r>
      <w:r w:rsidR="00CF2369" w:rsidRPr="00CF06EE">
        <w:rPr>
          <w:rFonts w:ascii="Arial" w:eastAsia="Times New Roman" w:hAnsi="Arial" w:cs="Arial"/>
          <w:i/>
          <w:iCs/>
          <w:sz w:val="20"/>
          <w:szCs w:val="20"/>
        </w:rPr>
        <w:t xml:space="preserve">et al., </w:t>
      </w:r>
      <w:r w:rsidR="00CF2369" w:rsidRPr="00CF06EE">
        <w:rPr>
          <w:rFonts w:ascii="Arial" w:eastAsia="Times New Roman" w:hAnsi="Arial" w:cs="Arial"/>
          <w:sz w:val="20"/>
          <w:szCs w:val="20"/>
        </w:rPr>
        <w:t>2025</w:t>
      </w:r>
      <w:r w:rsidR="00CF2369" w:rsidRPr="00CF06EE">
        <w:rPr>
          <w:rFonts w:ascii="Arial" w:eastAsia="Times New Roman" w:hAnsi="Arial" w:cs="Arial"/>
          <w:sz w:val="20"/>
          <w:szCs w:val="20"/>
          <w:lang w:val="en-IN"/>
        </w:rPr>
        <w:t>)</w:t>
      </w:r>
      <w:r w:rsidRPr="00CF06EE">
        <w:rPr>
          <w:rFonts w:ascii="Arial" w:eastAsia="Times New Roman" w:hAnsi="Arial" w:cs="Arial"/>
          <w:sz w:val="20"/>
          <w:szCs w:val="20"/>
          <w:lang w:val="en-IN"/>
        </w:rPr>
        <w:t>.</w:t>
      </w:r>
    </w:p>
    <w:p w14:paraId="1124B97D" w14:textId="694F79CB" w:rsidR="005E2010" w:rsidRPr="00CF06EE" w:rsidRDefault="005E2010" w:rsidP="006A3041">
      <w:pPr>
        <w:spacing w:after="0" w:line="240"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Microorganisms belonging to lactic acid bacteria, </w:t>
      </w:r>
      <w:r w:rsidRPr="00CF06EE">
        <w:rPr>
          <w:rFonts w:ascii="Arial" w:eastAsia="Times New Roman" w:hAnsi="Arial" w:cs="Arial"/>
          <w:i/>
          <w:iCs/>
          <w:sz w:val="20"/>
          <w:szCs w:val="20"/>
          <w:lang w:val="en-IN"/>
        </w:rPr>
        <w:t>Bacillus species, Enterococcus, Streptococcus, and Bifidobacterium</w:t>
      </w:r>
      <w:r w:rsidRPr="00CF06EE">
        <w:rPr>
          <w:rFonts w:ascii="Arial" w:eastAsia="Times New Roman" w:hAnsi="Arial" w:cs="Arial"/>
          <w:sz w:val="20"/>
          <w:szCs w:val="20"/>
          <w:lang w:val="en-IN"/>
        </w:rPr>
        <w:t xml:space="preserve"> genera are among the most extensively studied producers of postbiotic metabolites</w:t>
      </w:r>
      <w:r w:rsidR="00995A62" w:rsidRPr="00CF06EE">
        <w:rPr>
          <w:rFonts w:ascii="Arial" w:eastAsia="Times New Roman" w:hAnsi="Arial" w:cs="Arial"/>
          <w:sz w:val="20"/>
          <w:szCs w:val="20"/>
          <w:lang w:val="en-IN"/>
        </w:rPr>
        <w:t xml:space="preserve"> (</w:t>
      </w:r>
      <w:proofErr w:type="spellStart"/>
      <w:r w:rsidR="00995A62" w:rsidRPr="00CF06EE">
        <w:rPr>
          <w:rFonts w:ascii="Arial" w:eastAsia="Times New Roman" w:hAnsi="Arial" w:cs="Arial"/>
          <w:sz w:val="20"/>
          <w:szCs w:val="20"/>
          <w:lang w:eastAsia="en-IN"/>
        </w:rPr>
        <w:t>Yousefvand</w:t>
      </w:r>
      <w:proofErr w:type="spellEnd"/>
      <w:r w:rsidR="00995A62" w:rsidRPr="00CF06EE">
        <w:rPr>
          <w:rFonts w:ascii="Arial" w:eastAsia="Times New Roman" w:hAnsi="Arial" w:cs="Arial"/>
          <w:sz w:val="20"/>
          <w:szCs w:val="20"/>
          <w:lang w:eastAsia="en-IN"/>
        </w:rPr>
        <w:t xml:space="preserve">, A </w:t>
      </w:r>
      <w:r w:rsidR="00995A62" w:rsidRPr="00CF06EE">
        <w:rPr>
          <w:rFonts w:ascii="Arial" w:eastAsia="Times New Roman" w:hAnsi="Arial" w:cs="Arial"/>
          <w:i/>
          <w:iCs/>
          <w:sz w:val="20"/>
          <w:szCs w:val="20"/>
          <w:lang w:eastAsia="en-IN"/>
        </w:rPr>
        <w:t>et al.,</w:t>
      </w:r>
      <w:r w:rsidR="00995A62" w:rsidRPr="00CF06EE">
        <w:rPr>
          <w:rFonts w:ascii="Arial" w:eastAsia="Times New Roman" w:hAnsi="Arial" w:cs="Arial"/>
          <w:sz w:val="20"/>
          <w:szCs w:val="20"/>
          <w:lang w:eastAsia="en-IN"/>
        </w:rPr>
        <w:t xml:space="preserve"> 2024</w:t>
      </w:r>
      <w:r w:rsidR="00581AD3" w:rsidRPr="00CF06EE">
        <w:rPr>
          <w:rFonts w:ascii="Arial" w:eastAsia="Times New Roman" w:hAnsi="Arial" w:cs="Arial"/>
          <w:sz w:val="20"/>
          <w:szCs w:val="20"/>
          <w:lang w:eastAsia="en-IN"/>
        </w:rPr>
        <w:t xml:space="preserve">; </w:t>
      </w:r>
      <w:r w:rsidR="00581AD3" w:rsidRPr="00CF06EE">
        <w:rPr>
          <w:rFonts w:ascii="Arial" w:eastAsia="Times New Roman" w:hAnsi="Arial" w:cs="Arial"/>
          <w:sz w:val="20"/>
          <w:szCs w:val="20"/>
          <w:lang w:val="en-IN" w:eastAsia="en-IN"/>
        </w:rPr>
        <w:t xml:space="preserve">Akman, P. K </w:t>
      </w:r>
      <w:r w:rsidR="00581AD3" w:rsidRPr="00CF06EE">
        <w:rPr>
          <w:rFonts w:ascii="Arial" w:eastAsia="Times New Roman" w:hAnsi="Arial" w:cs="Arial"/>
          <w:i/>
          <w:iCs/>
          <w:sz w:val="20"/>
          <w:szCs w:val="20"/>
          <w:lang w:val="en-IN" w:eastAsia="en-IN"/>
        </w:rPr>
        <w:t>et al.,</w:t>
      </w:r>
      <w:r w:rsidR="00581AD3" w:rsidRPr="00CF06EE">
        <w:rPr>
          <w:rFonts w:ascii="Arial" w:eastAsia="Times New Roman" w:hAnsi="Arial" w:cs="Arial"/>
          <w:sz w:val="20"/>
          <w:szCs w:val="20"/>
          <w:lang w:val="en-IN" w:eastAsia="en-IN"/>
        </w:rPr>
        <w:t xml:space="preserve"> 2023</w:t>
      </w:r>
      <w:r w:rsidR="00995A62" w:rsidRPr="00CF06EE">
        <w:rPr>
          <w:rFonts w:ascii="Arial" w:eastAsia="Times New Roman" w:hAnsi="Arial" w:cs="Arial"/>
          <w:sz w:val="20"/>
          <w:szCs w:val="20"/>
          <w:lang w:val="en-IN"/>
        </w:rPr>
        <w:t>)</w:t>
      </w:r>
      <w:r w:rsidRPr="00CF06EE">
        <w:rPr>
          <w:rFonts w:ascii="Arial" w:eastAsia="Times New Roman" w:hAnsi="Arial" w:cs="Arial"/>
          <w:sz w:val="20"/>
          <w:szCs w:val="20"/>
          <w:lang w:val="en-IN"/>
        </w:rPr>
        <w:t xml:space="preserve">. For example, </w:t>
      </w:r>
      <w:r w:rsidRPr="00CF06EE">
        <w:rPr>
          <w:rFonts w:ascii="Arial" w:eastAsia="Times New Roman" w:hAnsi="Arial" w:cs="Arial"/>
          <w:i/>
          <w:iCs/>
          <w:sz w:val="20"/>
          <w:szCs w:val="20"/>
          <w:lang w:val="en-IN"/>
        </w:rPr>
        <w:t xml:space="preserve">Bacillus </w:t>
      </w:r>
      <w:proofErr w:type="spellStart"/>
      <w:r w:rsidRPr="00CF06EE">
        <w:rPr>
          <w:rFonts w:ascii="Arial" w:eastAsia="Times New Roman" w:hAnsi="Arial" w:cs="Arial"/>
          <w:i/>
          <w:iCs/>
          <w:sz w:val="20"/>
          <w:szCs w:val="20"/>
          <w:lang w:val="en-IN"/>
        </w:rPr>
        <w:t>amyloliquefaciens</w:t>
      </w:r>
      <w:proofErr w:type="spellEnd"/>
      <w:r w:rsidRPr="00CF06EE">
        <w:rPr>
          <w:rFonts w:ascii="Arial" w:eastAsia="Times New Roman" w:hAnsi="Arial" w:cs="Arial"/>
          <w:sz w:val="20"/>
          <w:szCs w:val="20"/>
          <w:lang w:val="en-IN"/>
        </w:rPr>
        <w:t xml:space="preserve"> and </w:t>
      </w:r>
      <w:proofErr w:type="spellStart"/>
      <w:r w:rsidRPr="00CF06EE">
        <w:rPr>
          <w:rFonts w:ascii="Arial" w:eastAsia="Times New Roman" w:hAnsi="Arial" w:cs="Arial"/>
          <w:i/>
          <w:iCs/>
          <w:sz w:val="20"/>
          <w:szCs w:val="20"/>
          <w:lang w:val="en-IN"/>
        </w:rPr>
        <w:t>Lactiplantibacillus</w:t>
      </w:r>
      <w:proofErr w:type="spellEnd"/>
      <w:r w:rsidRPr="00CF06EE">
        <w:rPr>
          <w:rFonts w:ascii="Arial" w:eastAsia="Times New Roman" w:hAnsi="Arial" w:cs="Arial"/>
          <w:i/>
          <w:iCs/>
          <w:sz w:val="20"/>
          <w:szCs w:val="20"/>
          <w:lang w:val="en-IN"/>
        </w:rPr>
        <w:t xml:space="preserve"> plantarum</w:t>
      </w:r>
      <w:r w:rsidRPr="00CF06EE">
        <w:rPr>
          <w:rFonts w:ascii="Arial" w:eastAsia="Times New Roman" w:hAnsi="Arial" w:cs="Arial"/>
          <w:sz w:val="20"/>
          <w:szCs w:val="20"/>
          <w:lang w:val="en-IN"/>
        </w:rPr>
        <w:t xml:space="preserve"> </w:t>
      </w:r>
      <w:r w:rsidR="00C82557" w:rsidRPr="00CF06EE">
        <w:rPr>
          <w:rFonts w:ascii="Arial" w:eastAsia="Times New Roman" w:hAnsi="Arial" w:cs="Arial"/>
          <w:sz w:val="20"/>
          <w:szCs w:val="20"/>
          <w:lang w:val="en-IN"/>
        </w:rPr>
        <w:t>(</w:t>
      </w:r>
      <w:proofErr w:type="spellStart"/>
      <w:r w:rsidR="00C82557" w:rsidRPr="00CF06EE">
        <w:rPr>
          <w:rFonts w:ascii="Arial" w:eastAsia="Times New Roman" w:hAnsi="Arial" w:cs="Arial"/>
          <w:sz w:val="20"/>
          <w:szCs w:val="20"/>
          <w:lang w:eastAsia="en-IN"/>
        </w:rPr>
        <w:t>Condurso</w:t>
      </w:r>
      <w:proofErr w:type="spellEnd"/>
      <w:r w:rsidR="00C82557" w:rsidRPr="00CF06EE">
        <w:rPr>
          <w:rFonts w:ascii="Arial" w:eastAsia="Times New Roman" w:hAnsi="Arial" w:cs="Arial"/>
          <w:sz w:val="20"/>
          <w:szCs w:val="20"/>
          <w:lang w:eastAsia="en-IN"/>
        </w:rPr>
        <w:t xml:space="preserve">, C </w:t>
      </w:r>
      <w:r w:rsidR="00C82557" w:rsidRPr="00CF06EE">
        <w:rPr>
          <w:rFonts w:ascii="Arial" w:eastAsia="Times New Roman" w:hAnsi="Arial" w:cs="Arial"/>
          <w:i/>
          <w:iCs/>
          <w:sz w:val="20"/>
          <w:szCs w:val="20"/>
          <w:lang w:eastAsia="en-IN"/>
        </w:rPr>
        <w:t xml:space="preserve">et al., </w:t>
      </w:r>
      <w:r w:rsidR="00C82557" w:rsidRPr="00CF06EE">
        <w:rPr>
          <w:rFonts w:ascii="Arial" w:eastAsia="Times New Roman" w:hAnsi="Arial" w:cs="Arial"/>
          <w:sz w:val="20"/>
          <w:szCs w:val="20"/>
          <w:lang w:eastAsia="en-IN"/>
        </w:rPr>
        <w:t>2025)</w:t>
      </w:r>
      <w:r w:rsidR="00C82557" w:rsidRPr="00CF06EE">
        <w:rPr>
          <w:rFonts w:ascii="Arial" w:eastAsia="Times New Roman" w:hAnsi="Arial" w:cs="Arial"/>
          <w:sz w:val="20"/>
          <w:szCs w:val="20"/>
          <w:lang w:val="en-IN"/>
        </w:rPr>
        <w:t xml:space="preserve"> </w:t>
      </w:r>
      <w:r w:rsidRPr="00CF06EE">
        <w:rPr>
          <w:rFonts w:ascii="Arial" w:eastAsia="Times New Roman" w:hAnsi="Arial" w:cs="Arial"/>
          <w:sz w:val="20"/>
          <w:szCs w:val="20"/>
          <w:lang w:val="en-IN"/>
        </w:rPr>
        <w:t xml:space="preserve">generate organic acids such as </w:t>
      </w:r>
      <w:proofErr w:type="spellStart"/>
      <w:r w:rsidRPr="00CF06EE">
        <w:rPr>
          <w:rFonts w:ascii="Arial" w:eastAsia="Times New Roman" w:hAnsi="Arial" w:cs="Arial"/>
          <w:sz w:val="20"/>
          <w:szCs w:val="20"/>
          <w:lang w:val="en-IN"/>
        </w:rPr>
        <w:t>phenylactic</w:t>
      </w:r>
      <w:proofErr w:type="spellEnd"/>
      <w:r w:rsidRPr="00CF06EE">
        <w:rPr>
          <w:rFonts w:ascii="Arial" w:eastAsia="Times New Roman" w:hAnsi="Arial" w:cs="Arial"/>
          <w:sz w:val="20"/>
          <w:szCs w:val="20"/>
          <w:lang w:val="en-IN"/>
        </w:rPr>
        <w:t xml:space="preserve"> acid, acetic acid, and butyric acid, while </w:t>
      </w:r>
      <w:proofErr w:type="spellStart"/>
      <w:r w:rsidRPr="00CF06EE">
        <w:rPr>
          <w:rFonts w:ascii="Arial" w:eastAsia="Times New Roman" w:hAnsi="Arial" w:cs="Arial"/>
          <w:i/>
          <w:iCs/>
          <w:sz w:val="20"/>
          <w:szCs w:val="20"/>
          <w:lang w:val="en-IN"/>
        </w:rPr>
        <w:t>Lacticaseibacillus</w:t>
      </w:r>
      <w:proofErr w:type="spellEnd"/>
      <w:r w:rsidRPr="00CF06EE">
        <w:rPr>
          <w:rFonts w:ascii="Arial" w:eastAsia="Times New Roman" w:hAnsi="Arial" w:cs="Arial"/>
          <w:i/>
          <w:iCs/>
          <w:sz w:val="20"/>
          <w:szCs w:val="20"/>
          <w:lang w:val="en-IN"/>
        </w:rPr>
        <w:t xml:space="preserve"> </w:t>
      </w:r>
      <w:proofErr w:type="spellStart"/>
      <w:r w:rsidRPr="00CF06EE">
        <w:rPr>
          <w:rFonts w:ascii="Arial" w:eastAsia="Times New Roman" w:hAnsi="Arial" w:cs="Arial"/>
          <w:i/>
          <w:iCs/>
          <w:sz w:val="20"/>
          <w:szCs w:val="20"/>
          <w:lang w:val="en-IN"/>
        </w:rPr>
        <w:t>helveticus</w:t>
      </w:r>
      <w:proofErr w:type="spellEnd"/>
      <w:r w:rsidRPr="00CF06EE">
        <w:rPr>
          <w:rFonts w:ascii="Arial" w:eastAsia="Times New Roman" w:hAnsi="Arial" w:cs="Arial"/>
          <w:sz w:val="20"/>
          <w:szCs w:val="20"/>
          <w:lang w:val="en-IN"/>
        </w:rPr>
        <w:t xml:space="preserve"> produces a wide spectrum of amino acids and peptides with functional roles in host metabolism</w:t>
      </w:r>
      <w:r w:rsidR="008641AD" w:rsidRPr="00CF06EE">
        <w:rPr>
          <w:rFonts w:ascii="Arial" w:eastAsia="Times New Roman" w:hAnsi="Arial" w:cs="Arial"/>
          <w:sz w:val="20"/>
          <w:szCs w:val="20"/>
          <w:lang w:val="en-IN"/>
        </w:rPr>
        <w:t xml:space="preserve"> listed in table 2</w:t>
      </w:r>
      <w:r w:rsidR="00196DAA" w:rsidRPr="00CF06EE">
        <w:rPr>
          <w:rFonts w:ascii="Arial" w:eastAsia="Times New Roman" w:hAnsi="Arial" w:cs="Arial"/>
          <w:sz w:val="20"/>
          <w:szCs w:val="20"/>
          <w:lang w:val="en-IN"/>
        </w:rPr>
        <w:t xml:space="preserve"> (</w:t>
      </w:r>
      <w:r w:rsidR="00006602" w:rsidRPr="00CF06EE">
        <w:rPr>
          <w:rFonts w:ascii="Arial" w:eastAsia="Times New Roman" w:hAnsi="Arial" w:cs="Arial"/>
          <w:sz w:val="20"/>
          <w:szCs w:val="20"/>
          <w:lang w:val="en-IN"/>
        </w:rPr>
        <w:t xml:space="preserve">Chang </w:t>
      </w:r>
      <w:r w:rsidR="00006602" w:rsidRPr="00CF06EE">
        <w:rPr>
          <w:rFonts w:ascii="Arial" w:eastAsia="Times New Roman" w:hAnsi="Arial" w:cs="Arial"/>
          <w:i/>
          <w:iCs/>
          <w:sz w:val="20"/>
          <w:szCs w:val="20"/>
          <w:lang w:val="en-IN"/>
        </w:rPr>
        <w:t>et al.,</w:t>
      </w:r>
      <w:r w:rsidR="00006602" w:rsidRPr="00CF06EE">
        <w:rPr>
          <w:rFonts w:ascii="Arial" w:eastAsia="Times New Roman" w:hAnsi="Arial" w:cs="Arial"/>
          <w:sz w:val="20"/>
          <w:szCs w:val="20"/>
          <w:lang w:val="en-IN"/>
        </w:rPr>
        <w:t xml:space="preserve"> 2021</w:t>
      </w:r>
      <w:r w:rsidR="00006602" w:rsidRPr="00CF06EE">
        <w:rPr>
          <w:rFonts w:ascii="Arial" w:eastAsia="Times New Roman" w:hAnsi="Arial" w:cs="Arial"/>
          <w:sz w:val="20"/>
          <w:szCs w:val="20"/>
          <w:lang w:val="en-IN"/>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Pr="00CF06EE">
        <w:rPr>
          <w:rFonts w:ascii="Arial" w:eastAsia="Times New Roman" w:hAnsi="Arial" w:cs="Arial"/>
          <w:sz w:val="20"/>
          <w:szCs w:val="20"/>
          <w:lang w:val="en-IN"/>
        </w:rPr>
        <w:t xml:space="preserve">. Similarly, </w:t>
      </w:r>
      <w:proofErr w:type="spellStart"/>
      <w:r w:rsidRPr="00CF06EE">
        <w:rPr>
          <w:rFonts w:ascii="Arial" w:eastAsia="Times New Roman" w:hAnsi="Arial" w:cs="Arial"/>
          <w:i/>
          <w:iCs/>
          <w:sz w:val="20"/>
          <w:szCs w:val="20"/>
          <w:lang w:val="en-IN"/>
        </w:rPr>
        <w:t>Leuconostoc</w:t>
      </w:r>
      <w:proofErr w:type="spellEnd"/>
      <w:r w:rsidRPr="00CF06EE">
        <w:rPr>
          <w:rFonts w:ascii="Arial" w:eastAsia="Times New Roman" w:hAnsi="Arial" w:cs="Arial"/>
          <w:i/>
          <w:iCs/>
          <w:sz w:val="20"/>
          <w:szCs w:val="20"/>
          <w:lang w:val="en-IN"/>
        </w:rPr>
        <w:t xml:space="preserve"> </w:t>
      </w:r>
      <w:proofErr w:type="spellStart"/>
      <w:r w:rsidRPr="00CF06EE">
        <w:rPr>
          <w:rFonts w:ascii="Arial" w:eastAsia="Times New Roman" w:hAnsi="Arial" w:cs="Arial"/>
          <w:i/>
          <w:iCs/>
          <w:sz w:val="20"/>
          <w:szCs w:val="20"/>
          <w:lang w:val="en-IN"/>
        </w:rPr>
        <w:t>mesenteroides</w:t>
      </w:r>
      <w:proofErr w:type="spellEnd"/>
      <w:r w:rsidRPr="00CF06EE">
        <w:rPr>
          <w:rFonts w:ascii="Arial" w:eastAsia="Times New Roman" w:hAnsi="Arial" w:cs="Arial"/>
          <w:sz w:val="20"/>
          <w:szCs w:val="20"/>
          <w:lang w:val="en-IN"/>
        </w:rPr>
        <w:t xml:space="preserve"> synthesizes dextran and oligosaccharides, whereas </w:t>
      </w:r>
      <w:r w:rsidRPr="00CF06EE">
        <w:rPr>
          <w:rFonts w:ascii="Arial" w:eastAsia="Times New Roman" w:hAnsi="Arial" w:cs="Arial"/>
          <w:i/>
          <w:iCs/>
          <w:sz w:val="20"/>
          <w:szCs w:val="20"/>
          <w:lang w:val="en-IN"/>
        </w:rPr>
        <w:t>Streptococcus salivarius</w:t>
      </w:r>
      <w:r w:rsidRPr="00CF06EE">
        <w:rPr>
          <w:rFonts w:ascii="Arial" w:eastAsia="Times New Roman" w:hAnsi="Arial" w:cs="Arial"/>
          <w:sz w:val="20"/>
          <w:szCs w:val="20"/>
          <w:lang w:val="en-IN"/>
        </w:rPr>
        <w:t xml:space="preserve"> produces antimicrobial bacteriocins such as </w:t>
      </w:r>
      <w:proofErr w:type="spellStart"/>
      <w:r w:rsidRPr="00CF06EE">
        <w:rPr>
          <w:rFonts w:ascii="Arial" w:eastAsia="Times New Roman" w:hAnsi="Arial" w:cs="Arial"/>
          <w:sz w:val="20"/>
          <w:szCs w:val="20"/>
          <w:lang w:val="en-IN"/>
        </w:rPr>
        <w:t>salivaricins</w:t>
      </w:r>
      <w:proofErr w:type="spellEnd"/>
      <w:r w:rsidRPr="00CF06EE">
        <w:rPr>
          <w:rFonts w:ascii="Arial" w:eastAsia="Times New Roman" w:hAnsi="Arial" w:cs="Arial"/>
          <w:sz w:val="20"/>
          <w:szCs w:val="20"/>
          <w:lang w:val="en-IN"/>
        </w:rPr>
        <w:t xml:space="preserve">. Yeast-derived postbiotics from </w:t>
      </w:r>
      <w:r w:rsidRPr="00CF06EE">
        <w:rPr>
          <w:rFonts w:ascii="Arial" w:eastAsia="Times New Roman" w:hAnsi="Arial" w:cs="Arial"/>
          <w:i/>
          <w:iCs/>
          <w:sz w:val="20"/>
          <w:szCs w:val="20"/>
          <w:lang w:val="en-IN"/>
        </w:rPr>
        <w:t xml:space="preserve">Saccharomyces </w:t>
      </w:r>
      <w:proofErr w:type="spellStart"/>
      <w:r w:rsidRPr="00CF06EE">
        <w:rPr>
          <w:rFonts w:ascii="Arial" w:eastAsia="Times New Roman" w:hAnsi="Arial" w:cs="Arial"/>
          <w:i/>
          <w:iCs/>
          <w:sz w:val="20"/>
          <w:szCs w:val="20"/>
          <w:lang w:val="en-IN"/>
        </w:rPr>
        <w:t>boulardii</w:t>
      </w:r>
      <w:proofErr w:type="spellEnd"/>
      <w:r w:rsidRPr="00CF06EE">
        <w:rPr>
          <w:rFonts w:ascii="Arial" w:eastAsia="Times New Roman" w:hAnsi="Arial" w:cs="Arial"/>
          <w:sz w:val="20"/>
          <w:szCs w:val="20"/>
          <w:lang w:val="en-IN"/>
        </w:rPr>
        <w:t xml:space="preserve"> include aromatic metabolites, acetylated amino acids, and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molecules, while fungal species such as </w:t>
      </w:r>
      <w:r w:rsidRPr="00CF06EE">
        <w:rPr>
          <w:rFonts w:ascii="Arial" w:eastAsia="Times New Roman" w:hAnsi="Arial" w:cs="Arial"/>
          <w:i/>
          <w:iCs/>
          <w:sz w:val="20"/>
          <w:szCs w:val="20"/>
          <w:lang w:val="en-IN"/>
        </w:rPr>
        <w:t>Cordyceps militaris</w:t>
      </w:r>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 xml:space="preserve">Penicillium </w:t>
      </w:r>
      <w:proofErr w:type="spellStart"/>
      <w:r w:rsidRPr="00CF06EE">
        <w:rPr>
          <w:rFonts w:ascii="Arial" w:eastAsia="Times New Roman" w:hAnsi="Arial" w:cs="Arial"/>
          <w:i/>
          <w:iCs/>
          <w:sz w:val="20"/>
          <w:szCs w:val="20"/>
          <w:lang w:val="en-IN"/>
        </w:rPr>
        <w:t>flavigenum</w:t>
      </w:r>
      <w:proofErr w:type="spellEnd"/>
      <w:r w:rsidRPr="00CF06EE">
        <w:rPr>
          <w:rFonts w:ascii="Arial" w:eastAsia="Times New Roman" w:hAnsi="Arial" w:cs="Arial"/>
          <w:sz w:val="20"/>
          <w:szCs w:val="20"/>
          <w:lang w:val="en-IN"/>
        </w:rPr>
        <w:t xml:space="preserve">, and </w:t>
      </w:r>
      <w:r w:rsidRPr="00CF06EE">
        <w:rPr>
          <w:rFonts w:ascii="Arial" w:eastAsia="Times New Roman" w:hAnsi="Arial" w:cs="Arial"/>
          <w:i/>
          <w:iCs/>
          <w:sz w:val="20"/>
          <w:szCs w:val="20"/>
          <w:lang w:val="en-IN"/>
        </w:rPr>
        <w:t xml:space="preserve">Phellinus </w:t>
      </w:r>
      <w:proofErr w:type="spellStart"/>
      <w:r w:rsidRPr="00CF06EE">
        <w:rPr>
          <w:rFonts w:ascii="Arial" w:eastAsia="Times New Roman" w:hAnsi="Arial" w:cs="Arial"/>
          <w:i/>
          <w:iCs/>
          <w:sz w:val="20"/>
          <w:szCs w:val="20"/>
          <w:lang w:val="en-IN"/>
        </w:rPr>
        <w:t>linteus</w:t>
      </w:r>
      <w:proofErr w:type="spellEnd"/>
      <w:r w:rsidRPr="00CF06EE">
        <w:rPr>
          <w:rFonts w:ascii="Arial" w:eastAsia="Times New Roman" w:hAnsi="Arial" w:cs="Arial"/>
          <w:sz w:val="20"/>
          <w:szCs w:val="20"/>
          <w:lang w:val="en-IN"/>
        </w:rPr>
        <w:t xml:space="preserve"> contribute polysaccharides and secondary metabolites with potential therapeutic value</w:t>
      </w:r>
      <w:r w:rsidR="00ED5421" w:rsidRPr="00CF06EE">
        <w:rPr>
          <w:rFonts w:ascii="Arial" w:eastAsia="Times New Roman" w:hAnsi="Arial" w:cs="Arial"/>
          <w:sz w:val="20"/>
          <w:szCs w:val="20"/>
          <w:lang w:val="en-IN"/>
        </w:rPr>
        <w:t xml:space="preserve"> (</w:t>
      </w:r>
      <w:r w:rsidR="00ED29B8" w:rsidRPr="00CF06EE">
        <w:rPr>
          <w:rFonts w:ascii="Arial" w:eastAsia="Times New Roman" w:hAnsi="Arial" w:cs="Arial"/>
          <w:sz w:val="20"/>
          <w:szCs w:val="20"/>
        </w:rPr>
        <w:t xml:space="preserve">Moradi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2020</w:t>
      </w:r>
      <w:r w:rsidR="00ED29B8" w:rsidRPr="00CF06EE">
        <w:rPr>
          <w:rFonts w:ascii="Arial" w:eastAsia="Times New Roman" w:hAnsi="Arial" w:cs="Arial"/>
          <w:sz w:val="20"/>
          <w:szCs w:val="20"/>
        </w:rPr>
        <w:t xml:space="preserve">; </w:t>
      </w:r>
      <w:r w:rsidR="00ED5421" w:rsidRPr="00CF06EE">
        <w:rPr>
          <w:rFonts w:ascii="Arial" w:eastAsia="Times New Roman" w:hAnsi="Arial" w:cs="Arial"/>
          <w:sz w:val="20"/>
          <w:szCs w:val="20"/>
          <w:lang w:val="en-IN"/>
        </w:rPr>
        <w:t xml:space="preserve">Calvanese, C. M </w:t>
      </w:r>
      <w:r w:rsidR="00ED5421" w:rsidRPr="00CF06EE">
        <w:rPr>
          <w:rFonts w:ascii="Arial" w:eastAsia="Times New Roman" w:hAnsi="Arial" w:cs="Arial"/>
          <w:i/>
          <w:iCs/>
          <w:sz w:val="20"/>
          <w:szCs w:val="20"/>
          <w:lang w:val="en-IN"/>
        </w:rPr>
        <w:t>et al.,</w:t>
      </w:r>
      <w:r w:rsidR="00ED5421" w:rsidRPr="00CF06EE">
        <w:rPr>
          <w:rFonts w:ascii="Arial" w:eastAsia="Times New Roman" w:hAnsi="Arial" w:cs="Arial"/>
          <w:sz w:val="20"/>
          <w:szCs w:val="20"/>
          <w:lang w:val="en-IN"/>
        </w:rPr>
        <w:t xml:space="preserve"> 2025)</w:t>
      </w:r>
      <w:r w:rsidRPr="00CF06EE">
        <w:rPr>
          <w:rFonts w:ascii="Arial" w:eastAsia="Times New Roman" w:hAnsi="Arial" w:cs="Arial"/>
          <w:sz w:val="20"/>
          <w:szCs w:val="20"/>
          <w:lang w:val="en-IN"/>
        </w:rPr>
        <w:t>.</w:t>
      </w:r>
    </w:p>
    <w:p w14:paraId="78A37C27" w14:textId="77777777" w:rsidR="008641AD" w:rsidRPr="00CF06EE" w:rsidRDefault="008641AD" w:rsidP="006A3041">
      <w:pPr>
        <w:spacing w:after="0" w:line="240" w:lineRule="auto"/>
        <w:jc w:val="both"/>
        <w:rPr>
          <w:rFonts w:ascii="Arial" w:eastAsia="Times New Roman" w:hAnsi="Arial" w:cs="Arial"/>
          <w:sz w:val="20"/>
          <w:szCs w:val="20"/>
          <w:lang w:val="en-IN"/>
        </w:rPr>
      </w:pPr>
    </w:p>
    <w:p w14:paraId="4995BCDD" w14:textId="478DEE47" w:rsidR="00917004" w:rsidRPr="00CF06EE" w:rsidRDefault="009B5155" w:rsidP="006A3041">
      <w:pPr>
        <w:spacing w:after="0" w:line="240" w:lineRule="auto"/>
        <w:jc w:val="center"/>
        <w:rPr>
          <w:rFonts w:ascii="Arial" w:eastAsia="Times New Roman" w:hAnsi="Arial" w:cs="Arial"/>
          <w:b/>
          <w:bCs/>
          <w:sz w:val="20"/>
          <w:szCs w:val="20"/>
          <w:lang w:val="en-IN"/>
        </w:rPr>
      </w:pPr>
      <w:r w:rsidRPr="00CF06EE">
        <w:rPr>
          <w:rFonts w:ascii="Arial" w:eastAsia="Times New Roman" w:hAnsi="Arial" w:cs="Arial"/>
          <w:b/>
          <w:bCs/>
          <w:sz w:val="20"/>
          <w:szCs w:val="20"/>
          <w:lang w:val="en-IN"/>
        </w:rPr>
        <w:t xml:space="preserve">Table 2. </w:t>
      </w:r>
      <w:r w:rsidR="00917004" w:rsidRPr="00CF06EE">
        <w:rPr>
          <w:rFonts w:ascii="Arial" w:eastAsia="Times New Roman" w:hAnsi="Arial" w:cs="Arial"/>
          <w:b/>
          <w:bCs/>
          <w:sz w:val="20"/>
          <w:szCs w:val="20"/>
          <w:lang w:val="en-IN"/>
        </w:rPr>
        <w:t>Sources of Postbiotics and Major Bioactive Components</w:t>
      </w:r>
    </w:p>
    <w:p w14:paraId="6A8C6DE5" w14:textId="77777777" w:rsidR="00917004" w:rsidRPr="00CF06EE" w:rsidRDefault="00917004" w:rsidP="006A3041">
      <w:pPr>
        <w:spacing w:after="0" w:line="240" w:lineRule="auto"/>
        <w:jc w:val="both"/>
        <w:rPr>
          <w:rFonts w:ascii="Arial" w:eastAsia="Times New Roman" w:hAnsi="Arial" w:cs="Arial"/>
          <w:b/>
          <w:bCs/>
          <w:sz w:val="20"/>
          <w:szCs w:val="20"/>
          <w:lang w:val="en-IN"/>
        </w:rPr>
      </w:pPr>
    </w:p>
    <w:tbl>
      <w:tblPr>
        <w:tblStyle w:val="TableGrid"/>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2043"/>
        <w:gridCol w:w="2196"/>
        <w:gridCol w:w="1673"/>
        <w:gridCol w:w="1654"/>
        <w:gridCol w:w="1646"/>
      </w:tblGrid>
      <w:tr w:rsidR="009B5155" w:rsidRPr="00CF06EE" w14:paraId="1015A72B" w14:textId="77777777" w:rsidTr="00CD780E">
        <w:tc>
          <w:tcPr>
            <w:tcW w:w="1672" w:type="dxa"/>
            <w:tcBorders>
              <w:top w:val="single" w:sz="4" w:space="0" w:color="auto"/>
              <w:bottom w:val="single" w:sz="4" w:space="0" w:color="auto"/>
            </w:tcBorders>
            <w:vAlign w:val="center"/>
          </w:tcPr>
          <w:p w14:paraId="1089FEA8" w14:textId="6830A5BF"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b/>
                <w:bCs/>
                <w:sz w:val="20"/>
                <w:szCs w:val="20"/>
                <w:lang w:val="en-IN"/>
              </w:rPr>
              <w:t>Source Type / Fermentation System</w:t>
            </w:r>
          </w:p>
        </w:tc>
        <w:tc>
          <w:tcPr>
            <w:tcW w:w="2043" w:type="dxa"/>
            <w:tcBorders>
              <w:top w:val="single" w:sz="4" w:space="0" w:color="auto"/>
              <w:bottom w:val="single" w:sz="4" w:space="0" w:color="auto"/>
            </w:tcBorders>
            <w:vAlign w:val="center"/>
          </w:tcPr>
          <w:p w14:paraId="18FB29F5" w14:textId="2D53771D"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b/>
                <w:bCs/>
                <w:sz w:val="20"/>
                <w:szCs w:val="20"/>
                <w:lang w:val="en-IN"/>
              </w:rPr>
              <w:t>Dominant Microorganisms</w:t>
            </w:r>
          </w:p>
        </w:tc>
        <w:tc>
          <w:tcPr>
            <w:tcW w:w="2196" w:type="dxa"/>
            <w:tcBorders>
              <w:top w:val="single" w:sz="4" w:space="0" w:color="auto"/>
              <w:bottom w:val="single" w:sz="4" w:space="0" w:color="auto"/>
            </w:tcBorders>
            <w:vAlign w:val="center"/>
          </w:tcPr>
          <w:p w14:paraId="768554F2" w14:textId="760D6E7F"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b/>
                <w:bCs/>
                <w:sz w:val="20"/>
                <w:szCs w:val="20"/>
                <w:lang w:val="en-IN"/>
              </w:rPr>
              <w:t>Major Postbiotic Components</w:t>
            </w:r>
          </w:p>
        </w:tc>
        <w:tc>
          <w:tcPr>
            <w:tcW w:w="1673" w:type="dxa"/>
            <w:tcBorders>
              <w:top w:val="single" w:sz="4" w:space="0" w:color="auto"/>
              <w:bottom w:val="single" w:sz="4" w:space="0" w:color="auto"/>
            </w:tcBorders>
            <w:vAlign w:val="center"/>
          </w:tcPr>
          <w:p w14:paraId="7418C9E9" w14:textId="7C54EB9B"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b/>
                <w:bCs/>
                <w:sz w:val="20"/>
                <w:szCs w:val="20"/>
                <w:lang w:val="en-IN"/>
              </w:rPr>
              <w:t>Health-Related Effects</w:t>
            </w:r>
          </w:p>
        </w:tc>
        <w:tc>
          <w:tcPr>
            <w:tcW w:w="1654" w:type="dxa"/>
            <w:tcBorders>
              <w:top w:val="single" w:sz="4" w:space="0" w:color="auto"/>
              <w:bottom w:val="single" w:sz="4" w:space="0" w:color="auto"/>
            </w:tcBorders>
            <w:vAlign w:val="center"/>
          </w:tcPr>
          <w:p w14:paraId="7606F58A" w14:textId="60DF81AF"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b/>
                <w:bCs/>
                <w:sz w:val="20"/>
                <w:szCs w:val="20"/>
                <w:lang w:val="en-IN"/>
              </w:rPr>
              <w:t>Example Products / Matrices</w:t>
            </w:r>
          </w:p>
        </w:tc>
        <w:tc>
          <w:tcPr>
            <w:tcW w:w="1646" w:type="dxa"/>
            <w:tcBorders>
              <w:top w:val="single" w:sz="4" w:space="0" w:color="auto"/>
              <w:bottom w:val="single" w:sz="4" w:space="0" w:color="auto"/>
            </w:tcBorders>
            <w:vAlign w:val="center"/>
          </w:tcPr>
          <w:p w14:paraId="04069FC1" w14:textId="797EF176"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b/>
                <w:bCs/>
                <w:sz w:val="20"/>
                <w:szCs w:val="20"/>
                <w:lang w:val="en-IN"/>
              </w:rPr>
              <w:t>Reference</w:t>
            </w:r>
          </w:p>
        </w:tc>
      </w:tr>
      <w:tr w:rsidR="009B5155" w:rsidRPr="00CF06EE" w14:paraId="62D06C5E" w14:textId="77777777" w:rsidTr="00CD780E">
        <w:tc>
          <w:tcPr>
            <w:tcW w:w="1672" w:type="dxa"/>
            <w:tcBorders>
              <w:top w:val="single" w:sz="4" w:space="0" w:color="auto"/>
            </w:tcBorders>
            <w:vAlign w:val="center"/>
          </w:tcPr>
          <w:p w14:paraId="547D8C02" w14:textId="1602225F"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lastRenderedPageBreak/>
              <w:t>Kimchi (Fermented vegetables)</w:t>
            </w:r>
          </w:p>
        </w:tc>
        <w:tc>
          <w:tcPr>
            <w:tcW w:w="2043" w:type="dxa"/>
            <w:tcBorders>
              <w:top w:val="single" w:sz="4" w:space="0" w:color="auto"/>
            </w:tcBorders>
            <w:vAlign w:val="center"/>
          </w:tcPr>
          <w:p w14:paraId="6F7117FE" w14:textId="6AED5C91" w:rsidR="00917004" w:rsidRPr="00CF06EE" w:rsidRDefault="00917004" w:rsidP="0054777D">
            <w:pPr>
              <w:spacing w:line="276" w:lineRule="auto"/>
              <w:jc w:val="both"/>
              <w:rPr>
                <w:rFonts w:ascii="Arial" w:eastAsia="Times New Roman" w:hAnsi="Arial" w:cs="Arial"/>
                <w:b/>
                <w:bCs/>
                <w:sz w:val="20"/>
                <w:szCs w:val="20"/>
                <w:lang w:val="en-IN"/>
              </w:rPr>
            </w:pPr>
            <w:proofErr w:type="spellStart"/>
            <w:r w:rsidRPr="00CF06EE">
              <w:rPr>
                <w:rFonts w:ascii="Arial" w:eastAsia="Times New Roman" w:hAnsi="Arial" w:cs="Arial"/>
                <w:i/>
                <w:iCs/>
                <w:sz w:val="20"/>
                <w:szCs w:val="20"/>
                <w:lang w:val="en-IN"/>
              </w:rPr>
              <w:t>Lactiplantibacillus</w:t>
            </w:r>
            <w:proofErr w:type="spellEnd"/>
            <w:r w:rsidRPr="00CF06EE">
              <w:rPr>
                <w:rFonts w:ascii="Arial" w:eastAsia="Times New Roman" w:hAnsi="Arial" w:cs="Arial"/>
                <w:i/>
                <w:iCs/>
                <w:sz w:val="20"/>
                <w:szCs w:val="20"/>
                <w:lang w:val="en-IN"/>
              </w:rPr>
              <w:t xml:space="preserve"> plantarum</w:t>
            </w:r>
            <w:r w:rsidRPr="00CF06EE">
              <w:rPr>
                <w:rFonts w:ascii="Arial" w:eastAsia="Times New Roman" w:hAnsi="Arial" w:cs="Arial"/>
                <w:sz w:val="20"/>
                <w:szCs w:val="20"/>
                <w:lang w:val="en-IN"/>
              </w:rPr>
              <w:t xml:space="preserve">, </w:t>
            </w:r>
            <w:proofErr w:type="spellStart"/>
            <w:r w:rsidRPr="00CF06EE">
              <w:rPr>
                <w:rFonts w:ascii="Arial" w:eastAsia="Times New Roman" w:hAnsi="Arial" w:cs="Arial"/>
                <w:i/>
                <w:iCs/>
                <w:sz w:val="20"/>
                <w:szCs w:val="20"/>
                <w:lang w:val="en-IN"/>
              </w:rPr>
              <w:t>Leuconostoc</w:t>
            </w:r>
            <w:proofErr w:type="spellEnd"/>
            <w:r w:rsidRPr="00CF06EE">
              <w:rPr>
                <w:rFonts w:ascii="Arial" w:eastAsia="Times New Roman" w:hAnsi="Arial" w:cs="Arial"/>
                <w:i/>
                <w:iCs/>
                <w:sz w:val="20"/>
                <w:szCs w:val="20"/>
                <w:lang w:val="en-IN"/>
              </w:rPr>
              <w:t xml:space="preserve"> </w:t>
            </w:r>
            <w:proofErr w:type="spellStart"/>
            <w:r w:rsidRPr="00CF06EE">
              <w:rPr>
                <w:rFonts w:ascii="Arial" w:eastAsia="Times New Roman" w:hAnsi="Arial" w:cs="Arial"/>
                <w:i/>
                <w:iCs/>
                <w:sz w:val="20"/>
                <w:szCs w:val="20"/>
                <w:lang w:val="en-IN"/>
              </w:rPr>
              <w:t>mesenteroides</w:t>
            </w:r>
            <w:proofErr w:type="spellEnd"/>
            <w:r w:rsidRPr="00CF06EE">
              <w:rPr>
                <w:rFonts w:ascii="Arial" w:eastAsia="Times New Roman" w:hAnsi="Arial" w:cs="Arial"/>
                <w:sz w:val="20"/>
                <w:szCs w:val="20"/>
                <w:lang w:val="en-IN"/>
              </w:rPr>
              <w:t xml:space="preserve">, </w:t>
            </w:r>
            <w:proofErr w:type="spellStart"/>
            <w:r w:rsidRPr="00CF06EE">
              <w:rPr>
                <w:rFonts w:ascii="Arial" w:eastAsia="Times New Roman" w:hAnsi="Arial" w:cs="Arial"/>
                <w:i/>
                <w:iCs/>
                <w:sz w:val="20"/>
                <w:szCs w:val="20"/>
                <w:lang w:val="en-IN"/>
              </w:rPr>
              <w:t>Pediococcus</w:t>
            </w:r>
            <w:proofErr w:type="spellEnd"/>
            <w:r w:rsidRPr="00CF06EE">
              <w:rPr>
                <w:rFonts w:ascii="Arial" w:eastAsia="Times New Roman" w:hAnsi="Arial" w:cs="Arial"/>
                <w:sz w:val="20"/>
                <w:szCs w:val="20"/>
                <w:lang w:val="en-IN"/>
              </w:rPr>
              <w:t xml:space="preserve"> spp.</w:t>
            </w:r>
          </w:p>
        </w:tc>
        <w:tc>
          <w:tcPr>
            <w:tcW w:w="2196" w:type="dxa"/>
            <w:tcBorders>
              <w:top w:val="single" w:sz="4" w:space="0" w:color="auto"/>
            </w:tcBorders>
            <w:vAlign w:val="center"/>
          </w:tcPr>
          <w:p w14:paraId="60B2615C" w14:textId="2F052083"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SCFAs, bacteriocins, exopolysaccharides (EPS)</w:t>
            </w:r>
          </w:p>
        </w:tc>
        <w:tc>
          <w:tcPr>
            <w:tcW w:w="1673" w:type="dxa"/>
            <w:tcBorders>
              <w:top w:val="single" w:sz="4" w:space="0" w:color="auto"/>
            </w:tcBorders>
            <w:vAlign w:val="center"/>
          </w:tcPr>
          <w:p w14:paraId="364DEA74" w14:textId="72BD028D"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Antimicrobial, antioxidant, immune modulation</w:t>
            </w:r>
          </w:p>
        </w:tc>
        <w:tc>
          <w:tcPr>
            <w:tcW w:w="1654" w:type="dxa"/>
            <w:tcBorders>
              <w:top w:val="single" w:sz="4" w:space="0" w:color="auto"/>
            </w:tcBorders>
            <w:vAlign w:val="center"/>
          </w:tcPr>
          <w:p w14:paraId="66282A6C" w14:textId="5817C791"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Traditional fermented kimchi</w:t>
            </w:r>
          </w:p>
        </w:tc>
        <w:tc>
          <w:tcPr>
            <w:tcW w:w="1646" w:type="dxa"/>
            <w:tcBorders>
              <w:top w:val="single" w:sz="4" w:space="0" w:color="auto"/>
            </w:tcBorders>
            <w:vAlign w:val="center"/>
          </w:tcPr>
          <w:p w14:paraId="2DF0599C" w14:textId="04C8C141" w:rsidR="00917004" w:rsidRPr="00CF06EE" w:rsidRDefault="0054777D"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rPr>
              <w:t xml:space="preserve">Mafe, A. N et al., 2025; </w:t>
            </w:r>
            <w:r w:rsidR="00F8214F" w:rsidRPr="00CF06EE">
              <w:rPr>
                <w:rFonts w:ascii="Arial" w:eastAsia="Times New Roman" w:hAnsi="Arial" w:cs="Arial"/>
                <w:sz w:val="20"/>
                <w:szCs w:val="20"/>
                <w:lang w:eastAsia="en-IN"/>
              </w:rPr>
              <w:t xml:space="preserve">Pawar, S. V </w:t>
            </w:r>
            <w:r w:rsidR="00F8214F" w:rsidRPr="00CF06EE">
              <w:rPr>
                <w:rFonts w:ascii="Arial" w:eastAsia="Times New Roman" w:hAnsi="Arial" w:cs="Arial"/>
                <w:i/>
                <w:iCs/>
                <w:sz w:val="20"/>
                <w:szCs w:val="20"/>
                <w:lang w:eastAsia="en-IN"/>
              </w:rPr>
              <w:t>et al.,</w:t>
            </w:r>
            <w:r w:rsidR="00F8214F" w:rsidRPr="00CF06EE">
              <w:rPr>
                <w:rFonts w:ascii="Arial" w:eastAsia="Times New Roman" w:hAnsi="Arial" w:cs="Arial"/>
                <w:sz w:val="20"/>
                <w:szCs w:val="20"/>
                <w:lang w:eastAsia="en-IN"/>
              </w:rPr>
              <w:t xml:space="preserve"> 2026</w:t>
            </w:r>
            <w:r w:rsidR="00ED5421" w:rsidRPr="00CF06EE">
              <w:rPr>
                <w:rFonts w:ascii="Arial" w:eastAsia="Times New Roman" w:hAnsi="Arial" w:cs="Arial"/>
                <w:sz w:val="20"/>
                <w:szCs w:val="20"/>
                <w:lang w:eastAsia="en-IN"/>
              </w:rPr>
              <w:t xml:space="preserve">; </w:t>
            </w:r>
            <w:r w:rsidR="00ED5421" w:rsidRPr="00CF06EE">
              <w:rPr>
                <w:rFonts w:ascii="Arial" w:eastAsia="Times New Roman" w:hAnsi="Arial" w:cs="Arial"/>
                <w:sz w:val="20"/>
                <w:szCs w:val="20"/>
                <w:lang w:val="en-IN"/>
              </w:rPr>
              <w:t xml:space="preserve">Calvanese, C. M </w:t>
            </w:r>
            <w:r w:rsidR="00ED5421" w:rsidRPr="00CF06EE">
              <w:rPr>
                <w:rFonts w:ascii="Arial" w:eastAsia="Times New Roman" w:hAnsi="Arial" w:cs="Arial"/>
                <w:i/>
                <w:iCs/>
                <w:sz w:val="20"/>
                <w:szCs w:val="20"/>
                <w:lang w:val="en-IN"/>
              </w:rPr>
              <w:t>et al.,</w:t>
            </w:r>
            <w:r w:rsidR="00ED5421" w:rsidRPr="00CF06EE">
              <w:rPr>
                <w:rFonts w:ascii="Arial" w:eastAsia="Times New Roman" w:hAnsi="Arial" w:cs="Arial"/>
                <w:sz w:val="20"/>
                <w:szCs w:val="20"/>
                <w:lang w:val="en-IN"/>
              </w:rPr>
              <w:t xml:space="preserve"> 2025</w:t>
            </w:r>
          </w:p>
        </w:tc>
      </w:tr>
      <w:tr w:rsidR="009B5155" w:rsidRPr="00CF06EE" w14:paraId="38F1D769" w14:textId="77777777" w:rsidTr="00CD780E">
        <w:tc>
          <w:tcPr>
            <w:tcW w:w="1672" w:type="dxa"/>
            <w:vAlign w:val="center"/>
          </w:tcPr>
          <w:p w14:paraId="4275C495" w14:textId="4E04712C"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Tempeh (Fermented soybeans)</w:t>
            </w:r>
          </w:p>
        </w:tc>
        <w:tc>
          <w:tcPr>
            <w:tcW w:w="2043" w:type="dxa"/>
            <w:vAlign w:val="center"/>
          </w:tcPr>
          <w:p w14:paraId="3B035262" w14:textId="1B767AC8"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i/>
                <w:iCs/>
                <w:sz w:val="20"/>
                <w:szCs w:val="20"/>
                <w:lang w:val="en-IN"/>
              </w:rPr>
              <w:t>Rhizopus</w:t>
            </w:r>
            <w:r w:rsidRPr="00CF06EE">
              <w:rPr>
                <w:rFonts w:ascii="Arial" w:eastAsia="Times New Roman" w:hAnsi="Arial" w:cs="Arial"/>
                <w:sz w:val="20"/>
                <w:szCs w:val="20"/>
                <w:lang w:val="en-IN"/>
              </w:rPr>
              <w:t xml:space="preserve"> spp., LAB</w:t>
            </w:r>
          </w:p>
        </w:tc>
        <w:tc>
          <w:tcPr>
            <w:tcW w:w="2196" w:type="dxa"/>
            <w:vAlign w:val="center"/>
          </w:tcPr>
          <w:p w14:paraId="097C53AB" w14:textId="2B50FD4F"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Organic acids, enzymes, polyamines</w:t>
            </w:r>
          </w:p>
        </w:tc>
        <w:tc>
          <w:tcPr>
            <w:tcW w:w="1673" w:type="dxa"/>
            <w:vAlign w:val="center"/>
          </w:tcPr>
          <w:p w14:paraId="01A28757" w14:textId="5D129172"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Gut health support, digestive benefits</w:t>
            </w:r>
          </w:p>
        </w:tc>
        <w:tc>
          <w:tcPr>
            <w:tcW w:w="1654" w:type="dxa"/>
            <w:vAlign w:val="center"/>
          </w:tcPr>
          <w:p w14:paraId="532EBB45" w14:textId="2C62A2C6"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Indonesian tempeh</w:t>
            </w:r>
          </w:p>
        </w:tc>
        <w:tc>
          <w:tcPr>
            <w:tcW w:w="1646" w:type="dxa"/>
            <w:vAlign w:val="center"/>
          </w:tcPr>
          <w:p w14:paraId="42D3156B" w14:textId="4E5288F8" w:rsidR="00917004" w:rsidRPr="00CF06EE" w:rsidRDefault="0054777D"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rPr>
              <w:t xml:space="preserve">Mafe, A. N et al., 2025; </w:t>
            </w:r>
            <w:r w:rsidR="00F8214F" w:rsidRPr="00CF06EE">
              <w:rPr>
                <w:rFonts w:ascii="Arial" w:eastAsia="Times New Roman" w:hAnsi="Arial" w:cs="Arial"/>
                <w:sz w:val="20"/>
                <w:szCs w:val="20"/>
                <w:lang w:eastAsia="en-IN"/>
              </w:rPr>
              <w:t xml:space="preserve">Pawar, S. V </w:t>
            </w:r>
            <w:r w:rsidR="00F8214F" w:rsidRPr="00CF06EE">
              <w:rPr>
                <w:rFonts w:ascii="Arial" w:eastAsia="Times New Roman" w:hAnsi="Arial" w:cs="Arial"/>
                <w:i/>
                <w:iCs/>
                <w:sz w:val="20"/>
                <w:szCs w:val="20"/>
                <w:lang w:eastAsia="en-IN"/>
              </w:rPr>
              <w:t>et al.,</w:t>
            </w:r>
            <w:r w:rsidR="00F8214F" w:rsidRPr="00CF06EE">
              <w:rPr>
                <w:rFonts w:ascii="Arial" w:eastAsia="Times New Roman" w:hAnsi="Arial" w:cs="Arial"/>
                <w:sz w:val="20"/>
                <w:szCs w:val="20"/>
                <w:lang w:eastAsia="en-IN"/>
              </w:rPr>
              <w:t xml:space="preserve"> 2026</w:t>
            </w:r>
            <w:r w:rsidR="007875D8" w:rsidRPr="00CF06EE">
              <w:rPr>
                <w:rFonts w:ascii="Arial" w:eastAsia="Times New Roman" w:hAnsi="Arial" w:cs="Arial"/>
                <w:sz w:val="20"/>
                <w:szCs w:val="20"/>
                <w:lang w:eastAsia="en-IN"/>
              </w:rPr>
              <w:t xml:space="preserve">; </w:t>
            </w:r>
            <w:r w:rsidR="007875D8" w:rsidRPr="00CF06EE">
              <w:rPr>
                <w:rFonts w:ascii="Arial" w:eastAsia="Times New Roman" w:hAnsi="Arial" w:cs="Arial"/>
                <w:sz w:val="20"/>
                <w:szCs w:val="20"/>
              </w:rPr>
              <w:t xml:space="preserve">Asefa, Z </w:t>
            </w:r>
            <w:r w:rsidR="007875D8" w:rsidRPr="00CF06EE">
              <w:rPr>
                <w:rFonts w:ascii="Arial" w:eastAsia="Times New Roman" w:hAnsi="Arial" w:cs="Arial"/>
                <w:i/>
                <w:iCs/>
                <w:sz w:val="20"/>
                <w:szCs w:val="20"/>
              </w:rPr>
              <w:t>et al.,</w:t>
            </w:r>
            <w:r w:rsidR="007875D8" w:rsidRPr="00CF06EE">
              <w:rPr>
                <w:rFonts w:ascii="Arial" w:eastAsia="Times New Roman" w:hAnsi="Arial" w:cs="Arial"/>
                <w:sz w:val="20"/>
                <w:szCs w:val="20"/>
              </w:rPr>
              <w:t xml:space="preserve"> 2025</w:t>
            </w:r>
            <w:r w:rsidR="007875D8" w:rsidRPr="00CF06EE">
              <w:rPr>
                <w:rFonts w:ascii="Arial" w:eastAsia="Times New Roman" w:hAnsi="Arial" w:cs="Arial"/>
                <w:sz w:val="20"/>
                <w:szCs w:val="20"/>
                <w:lang w:val="en-IN"/>
              </w:rPr>
              <w:t>.</w:t>
            </w:r>
          </w:p>
        </w:tc>
      </w:tr>
      <w:tr w:rsidR="009B5155" w:rsidRPr="00CF06EE" w14:paraId="22536318" w14:textId="77777777" w:rsidTr="00CD780E">
        <w:tc>
          <w:tcPr>
            <w:tcW w:w="1672" w:type="dxa"/>
            <w:vAlign w:val="center"/>
          </w:tcPr>
          <w:p w14:paraId="3574C58D" w14:textId="500A3565"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Yogurt (Fermented dairy)</w:t>
            </w:r>
          </w:p>
        </w:tc>
        <w:tc>
          <w:tcPr>
            <w:tcW w:w="2043" w:type="dxa"/>
            <w:vAlign w:val="center"/>
          </w:tcPr>
          <w:p w14:paraId="5BCB8804" w14:textId="32AF5283"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i/>
                <w:iCs/>
                <w:sz w:val="20"/>
                <w:szCs w:val="20"/>
                <w:lang w:val="en-IN"/>
              </w:rPr>
              <w:t>Lactobacillus bulgaricus</w:t>
            </w:r>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Streptococcus thermophilus</w:t>
            </w:r>
          </w:p>
        </w:tc>
        <w:tc>
          <w:tcPr>
            <w:tcW w:w="2196" w:type="dxa"/>
            <w:vAlign w:val="center"/>
          </w:tcPr>
          <w:p w14:paraId="2A2DDA78" w14:textId="0AFD37DF"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Lactic acid, bioactive peptides, EPS</w:t>
            </w:r>
          </w:p>
        </w:tc>
        <w:tc>
          <w:tcPr>
            <w:tcW w:w="1673" w:type="dxa"/>
            <w:vAlign w:val="center"/>
          </w:tcPr>
          <w:p w14:paraId="3C22FF57" w14:textId="2F55160B"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Microbiota modulation, immune support</w:t>
            </w:r>
          </w:p>
        </w:tc>
        <w:tc>
          <w:tcPr>
            <w:tcW w:w="1654" w:type="dxa"/>
            <w:vAlign w:val="center"/>
          </w:tcPr>
          <w:p w14:paraId="25AA8CF7" w14:textId="6E3B6807"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Commercial yogurt</w:t>
            </w:r>
          </w:p>
        </w:tc>
        <w:tc>
          <w:tcPr>
            <w:tcW w:w="1646" w:type="dxa"/>
            <w:vAlign w:val="center"/>
          </w:tcPr>
          <w:p w14:paraId="1AEEA9D6" w14:textId="33977425" w:rsidR="00917004" w:rsidRPr="00CF06EE" w:rsidRDefault="0054777D" w:rsidP="0054777D">
            <w:pPr>
              <w:spacing w:line="276" w:lineRule="auto"/>
              <w:jc w:val="both"/>
              <w:rPr>
                <w:rFonts w:ascii="Arial" w:eastAsia="Times New Roman" w:hAnsi="Arial" w:cs="Arial"/>
                <w:b/>
                <w:bCs/>
                <w:sz w:val="20"/>
                <w:szCs w:val="20"/>
                <w:lang w:val="sv-SE"/>
              </w:rPr>
            </w:pPr>
            <w:r w:rsidRPr="00CF06EE">
              <w:rPr>
                <w:rFonts w:ascii="Arial" w:eastAsia="Times New Roman" w:hAnsi="Arial" w:cs="Arial"/>
                <w:sz w:val="20"/>
                <w:szCs w:val="20"/>
                <w:lang w:val="sv-SE"/>
              </w:rPr>
              <w:t xml:space="preserve">Mafe, A. N et al., 2025; </w:t>
            </w:r>
            <w:proofErr w:type="spellStart"/>
            <w:r w:rsidR="00995A62" w:rsidRPr="00CF06EE">
              <w:rPr>
                <w:rFonts w:ascii="Arial" w:eastAsia="Times New Roman" w:hAnsi="Arial" w:cs="Arial"/>
                <w:sz w:val="20"/>
                <w:szCs w:val="20"/>
                <w:lang w:eastAsia="en-IN"/>
              </w:rPr>
              <w:t>Yousefvand</w:t>
            </w:r>
            <w:proofErr w:type="spellEnd"/>
            <w:r w:rsidR="00995A62" w:rsidRPr="00CF06EE">
              <w:rPr>
                <w:rFonts w:ascii="Arial" w:eastAsia="Times New Roman" w:hAnsi="Arial" w:cs="Arial"/>
                <w:sz w:val="20"/>
                <w:szCs w:val="20"/>
                <w:lang w:eastAsia="en-IN"/>
              </w:rPr>
              <w:t xml:space="preserve">, A </w:t>
            </w:r>
            <w:r w:rsidR="00995A62" w:rsidRPr="00CF06EE">
              <w:rPr>
                <w:rFonts w:ascii="Arial" w:eastAsia="Times New Roman" w:hAnsi="Arial" w:cs="Arial"/>
                <w:i/>
                <w:iCs/>
                <w:sz w:val="20"/>
                <w:szCs w:val="20"/>
                <w:lang w:eastAsia="en-IN"/>
              </w:rPr>
              <w:t>et al.,</w:t>
            </w:r>
            <w:r w:rsidR="00995A62" w:rsidRPr="00CF06EE">
              <w:rPr>
                <w:rFonts w:ascii="Arial" w:eastAsia="Times New Roman" w:hAnsi="Arial" w:cs="Arial"/>
                <w:sz w:val="20"/>
                <w:szCs w:val="20"/>
                <w:lang w:eastAsia="en-IN"/>
              </w:rPr>
              <w:t xml:space="preserve"> 2024; </w:t>
            </w:r>
            <w:r w:rsidR="00F8214F" w:rsidRPr="00CF06EE">
              <w:rPr>
                <w:rFonts w:ascii="Arial" w:eastAsia="Times New Roman" w:hAnsi="Arial" w:cs="Arial"/>
                <w:sz w:val="20"/>
                <w:szCs w:val="20"/>
                <w:lang w:val="sv-SE" w:eastAsia="en-IN"/>
              </w:rPr>
              <w:t xml:space="preserve">Pawar, S. V </w:t>
            </w:r>
            <w:r w:rsidR="00F8214F" w:rsidRPr="00CF06EE">
              <w:rPr>
                <w:rFonts w:ascii="Arial" w:eastAsia="Times New Roman" w:hAnsi="Arial" w:cs="Arial"/>
                <w:i/>
                <w:iCs/>
                <w:sz w:val="20"/>
                <w:szCs w:val="20"/>
                <w:lang w:val="sv-SE" w:eastAsia="en-IN"/>
              </w:rPr>
              <w:t>et al.,</w:t>
            </w:r>
            <w:r w:rsidR="00F8214F" w:rsidRPr="00CF06EE">
              <w:rPr>
                <w:rFonts w:ascii="Arial" w:eastAsia="Times New Roman" w:hAnsi="Arial" w:cs="Arial"/>
                <w:sz w:val="20"/>
                <w:szCs w:val="20"/>
                <w:lang w:val="sv-SE" w:eastAsia="en-IN"/>
              </w:rPr>
              <w:t xml:space="preserve"> 2026</w:t>
            </w:r>
            <w:r w:rsidR="00D14640" w:rsidRPr="00CF06EE">
              <w:rPr>
                <w:rFonts w:ascii="Arial" w:eastAsia="Times New Roman" w:hAnsi="Arial" w:cs="Arial"/>
                <w:sz w:val="20"/>
                <w:szCs w:val="20"/>
                <w:lang w:val="sv-SE" w:eastAsia="en-IN"/>
              </w:rPr>
              <w:t xml:space="preserve">; </w:t>
            </w:r>
            <w:r w:rsidR="00D14640" w:rsidRPr="00CF06EE">
              <w:rPr>
                <w:rFonts w:ascii="Arial" w:eastAsia="Times New Roman" w:hAnsi="Arial" w:cs="Arial"/>
                <w:sz w:val="20"/>
                <w:szCs w:val="20"/>
                <w:lang w:val="sv-SE"/>
              </w:rPr>
              <w:t xml:space="preserve">Meena, K. K </w:t>
            </w:r>
            <w:r w:rsidR="00D14640" w:rsidRPr="00CF06EE">
              <w:rPr>
                <w:rFonts w:ascii="Arial" w:eastAsia="Times New Roman" w:hAnsi="Arial" w:cs="Arial"/>
                <w:i/>
                <w:iCs/>
                <w:sz w:val="20"/>
                <w:szCs w:val="20"/>
                <w:lang w:val="sv-SE"/>
              </w:rPr>
              <w:t>et al</w:t>
            </w:r>
            <w:r w:rsidR="00D14640" w:rsidRPr="00CF06EE">
              <w:rPr>
                <w:rFonts w:ascii="Arial" w:eastAsia="Times New Roman" w:hAnsi="Arial" w:cs="Arial"/>
                <w:sz w:val="20"/>
                <w:szCs w:val="20"/>
                <w:lang w:val="sv-SE"/>
              </w:rPr>
              <w:t xml:space="preserve"> 2025.</w:t>
            </w:r>
          </w:p>
        </w:tc>
      </w:tr>
      <w:tr w:rsidR="009B5155" w:rsidRPr="00CF06EE" w14:paraId="6DDAF4B8" w14:textId="77777777" w:rsidTr="00CD780E">
        <w:tc>
          <w:tcPr>
            <w:tcW w:w="1672" w:type="dxa"/>
            <w:vAlign w:val="center"/>
          </w:tcPr>
          <w:p w14:paraId="12702D78" w14:textId="0510F9CB"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Sauerkraut / Pickles</w:t>
            </w:r>
          </w:p>
        </w:tc>
        <w:tc>
          <w:tcPr>
            <w:tcW w:w="2043" w:type="dxa"/>
            <w:vAlign w:val="center"/>
          </w:tcPr>
          <w:p w14:paraId="748D20DE" w14:textId="774B95B8"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i/>
                <w:iCs/>
                <w:sz w:val="20"/>
                <w:szCs w:val="20"/>
                <w:lang w:val="en-IN"/>
              </w:rPr>
              <w:t>Lactobacillus</w:t>
            </w:r>
            <w:r w:rsidRPr="00CF06EE">
              <w:rPr>
                <w:rFonts w:ascii="Arial" w:eastAsia="Times New Roman" w:hAnsi="Arial" w:cs="Arial"/>
                <w:sz w:val="20"/>
                <w:szCs w:val="20"/>
                <w:lang w:val="en-IN"/>
              </w:rPr>
              <w:t xml:space="preserve"> spp., </w:t>
            </w:r>
            <w:proofErr w:type="spellStart"/>
            <w:r w:rsidRPr="00CF06EE">
              <w:rPr>
                <w:rFonts w:ascii="Arial" w:eastAsia="Times New Roman" w:hAnsi="Arial" w:cs="Arial"/>
                <w:i/>
                <w:iCs/>
                <w:sz w:val="20"/>
                <w:szCs w:val="20"/>
                <w:lang w:val="en-IN"/>
              </w:rPr>
              <w:t>Leuconostoc</w:t>
            </w:r>
            <w:proofErr w:type="spellEnd"/>
            <w:r w:rsidRPr="00CF06EE">
              <w:rPr>
                <w:rFonts w:ascii="Arial" w:eastAsia="Times New Roman" w:hAnsi="Arial" w:cs="Arial"/>
                <w:sz w:val="20"/>
                <w:szCs w:val="20"/>
                <w:lang w:val="en-IN"/>
              </w:rPr>
              <w:t xml:space="preserve"> spp.</w:t>
            </w:r>
          </w:p>
        </w:tc>
        <w:tc>
          <w:tcPr>
            <w:tcW w:w="2196" w:type="dxa"/>
            <w:vAlign w:val="center"/>
          </w:tcPr>
          <w:p w14:paraId="6532E167" w14:textId="29BB9DCB"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Organic acids, bacteriocins</w:t>
            </w:r>
          </w:p>
        </w:tc>
        <w:tc>
          <w:tcPr>
            <w:tcW w:w="1673" w:type="dxa"/>
            <w:vAlign w:val="center"/>
          </w:tcPr>
          <w:p w14:paraId="6BFE16E4" w14:textId="1DA14898"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Antioxidant and antimicrobial activity</w:t>
            </w:r>
          </w:p>
        </w:tc>
        <w:tc>
          <w:tcPr>
            <w:tcW w:w="1654" w:type="dxa"/>
            <w:vAlign w:val="center"/>
          </w:tcPr>
          <w:p w14:paraId="0DC106F1" w14:textId="4F6AAC82"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Fermented cabbage products</w:t>
            </w:r>
          </w:p>
        </w:tc>
        <w:tc>
          <w:tcPr>
            <w:tcW w:w="1646" w:type="dxa"/>
            <w:vAlign w:val="center"/>
          </w:tcPr>
          <w:p w14:paraId="4134046C" w14:textId="4F038E9A" w:rsidR="00917004" w:rsidRPr="00CF06EE" w:rsidRDefault="0054777D"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rPr>
              <w:t xml:space="preserve">Mafe, A. N et al., 2025; </w:t>
            </w:r>
            <w:r w:rsidR="00F8214F" w:rsidRPr="00CF06EE">
              <w:rPr>
                <w:rFonts w:ascii="Arial" w:eastAsia="Times New Roman" w:hAnsi="Arial" w:cs="Arial"/>
                <w:sz w:val="20"/>
                <w:szCs w:val="20"/>
                <w:lang w:eastAsia="en-IN"/>
              </w:rPr>
              <w:t xml:space="preserve">Pawar, S. V </w:t>
            </w:r>
            <w:r w:rsidR="00F8214F" w:rsidRPr="00CF06EE">
              <w:rPr>
                <w:rFonts w:ascii="Arial" w:eastAsia="Times New Roman" w:hAnsi="Arial" w:cs="Arial"/>
                <w:i/>
                <w:iCs/>
                <w:sz w:val="20"/>
                <w:szCs w:val="20"/>
                <w:lang w:eastAsia="en-IN"/>
              </w:rPr>
              <w:t>et al.,</w:t>
            </w:r>
            <w:r w:rsidR="00F8214F" w:rsidRPr="00CF06EE">
              <w:rPr>
                <w:rFonts w:ascii="Arial" w:eastAsia="Times New Roman" w:hAnsi="Arial" w:cs="Arial"/>
                <w:sz w:val="20"/>
                <w:szCs w:val="20"/>
                <w:lang w:eastAsia="en-IN"/>
              </w:rPr>
              <w:t xml:space="preserve"> 2026</w:t>
            </w:r>
            <w:r w:rsidR="007875D8" w:rsidRPr="00CF06EE">
              <w:rPr>
                <w:rFonts w:ascii="Arial" w:eastAsia="Times New Roman" w:hAnsi="Arial" w:cs="Arial"/>
                <w:sz w:val="20"/>
                <w:szCs w:val="20"/>
                <w:lang w:eastAsia="en-IN"/>
              </w:rPr>
              <w:t xml:space="preserve">; </w:t>
            </w:r>
            <w:r w:rsidR="007875D8" w:rsidRPr="00CF06EE">
              <w:rPr>
                <w:rFonts w:ascii="Arial" w:eastAsia="Times New Roman" w:hAnsi="Arial" w:cs="Arial"/>
                <w:sz w:val="20"/>
                <w:szCs w:val="20"/>
              </w:rPr>
              <w:t xml:space="preserve">Asefa, Z </w:t>
            </w:r>
            <w:r w:rsidR="007875D8" w:rsidRPr="00CF06EE">
              <w:rPr>
                <w:rFonts w:ascii="Arial" w:eastAsia="Times New Roman" w:hAnsi="Arial" w:cs="Arial"/>
                <w:i/>
                <w:iCs/>
                <w:sz w:val="20"/>
                <w:szCs w:val="20"/>
              </w:rPr>
              <w:t>et al.,</w:t>
            </w:r>
            <w:r w:rsidR="007875D8" w:rsidRPr="00CF06EE">
              <w:rPr>
                <w:rFonts w:ascii="Arial" w:eastAsia="Times New Roman" w:hAnsi="Arial" w:cs="Arial"/>
                <w:sz w:val="20"/>
                <w:szCs w:val="20"/>
              </w:rPr>
              <w:t xml:space="preserve"> 2025</w:t>
            </w:r>
            <w:r w:rsidR="007875D8" w:rsidRPr="00CF06EE">
              <w:rPr>
                <w:rFonts w:ascii="Arial" w:eastAsia="Times New Roman" w:hAnsi="Arial" w:cs="Arial"/>
                <w:sz w:val="20"/>
                <w:szCs w:val="20"/>
                <w:lang w:val="en-IN"/>
              </w:rPr>
              <w:t>.</w:t>
            </w:r>
          </w:p>
        </w:tc>
      </w:tr>
      <w:tr w:rsidR="009B5155" w:rsidRPr="00CF06EE" w14:paraId="4812779F" w14:textId="77777777" w:rsidTr="00CD780E">
        <w:tc>
          <w:tcPr>
            <w:tcW w:w="1672" w:type="dxa"/>
            <w:vAlign w:val="center"/>
          </w:tcPr>
          <w:p w14:paraId="57F6BC7F" w14:textId="3581E44F"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LAB-Enriched Fermented Dairy</w:t>
            </w:r>
          </w:p>
        </w:tc>
        <w:tc>
          <w:tcPr>
            <w:tcW w:w="2043" w:type="dxa"/>
            <w:vAlign w:val="center"/>
          </w:tcPr>
          <w:p w14:paraId="2FAA3D56" w14:textId="532083A3"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i/>
                <w:iCs/>
                <w:sz w:val="20"/>
                <w:szCs w:val="20"/>
                <w:lang w:val="en-IN"/>
              </w:rPr>
              <w:t>Lactobacillus casei</w:t>
            </w:r>
            <w:r w:rsidRPr="00CF06EE">
              <w:rPr>
                <w:rFonts w:ascii="Arial" w:eastAsia="Times New Roman" w:hAnsi="Arial" w:cs="Arial"/>
                <w:sz w:val="20"/>
                <w:szCs w:val="20"/>
                <w:lang w:val="en-IN"/>
              </w:rPr>
              <w:t xml:space="preserve"> and related LAB</w:t>
            </w:r>
          </w:p>
        </w:tc>
        <w:tc>
          <w:tcPr>
            <w:tcW w:w="2196" w:type="dxa"/>
            <w:vAlign w:val="center"/>
          </w:tcPr>
          <w:p w14:paraId="30FFE6FB" w14:textId="2166F55C"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SCFAs, antimicrobial peptides</w:t>
            </w:r>
          </w:p>
        </w:tc>
        <w:tc>
          <w:tcPr>
            <w:tcW w:w="1673" w:type="dxa"/>
            <w:vAlign w:val="center"/>
          </w:tcPr>
          <w:p w14:paraId="644D03BF" w14:textId="05DF888B"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Gut health improvement</w:t>
            </w:r>
          </w:p>
        </w:tc>
        <w:tc>
          <w:tcPr>
            <w:tcW w:w="1654" w:type="dxa"/>
            <w:vAlign w:val="center"/>
          </w:tcPr>
          <w:p w14:paraId="7995AB0C" w14:textId="6B85DFDC" w:rsidR="00917004" w:rsidRPr="00CF06EE" w:rsidRDefault="00917004"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val="en-IN"/>
              </w:rPr>
              <w:t>Fermented milk products</w:t>
            </w:r>
          </w:p>
        </w:tc>
        <w:tc>
          <w:tcPr>
            <w:tcW w:w="1646" w:type="dxa"/>
            <w:vAlign w:val="center"/>
          </w:tcPr>
          <w:p w14:paraId="7DCFE471" w14:textId="4B9CF9E3" w:rsidR="00917004" w:rsidRPr="00CF06EE" w:rsidRDefault="00F8214F" w:rsidP="0054777D">
            <w:pPr>
              <w:spacing w:line="276" w:lineRule="auto"/>
              <w:jc w:val="both"/>
              <w:rPr>
                <w:rFonts w:ascii="Arial" w:eastAsia="Times New Roman" w:hAnsi="Arial" w:cs="Arial"/>
                <w:b/>
                <w:bCs/>
                <w:sz w:val="20"/>
                <w:szCs w:val="20"/>
                <w:lang w:val="en-IN"/>
              </w:rPr>
            </w:pPr>
            <w:r w:rsidRPr="00CF06EE">
              <w:rPr>
                <w:rFonts w:ascii="Arial" w:eastAsia="Times New Roman" w:hAnsi="Arial" w:cs="Arial"/>
                <w:sz w:val="20"/>
                <w:szCs w:val="20"/>
                <w:lang w:eastAsia="en-IN"/>
              </w:rPr>
              <w:t xml:space="preserve">Pawar, S. V </w:t>
            </w:r>
            <w:r w:rsidRPr="00CF06EE">
              <w:rPr>
                <w:rFonts w:ascii="Arial" w:eastAsia="Times New Roman" w:hAnsi="Arial" w:cs="Arial"/>
                <w:i/>
                <w:iCs/>
                <w:sz w:val="20"/>
                <w:szCs w:val="20"/>
                <w:lang w:eastAsia="en-IN"/>
              </w:rPr>
              <w:t>et al.,</w:t>
            </w:r>
            <w:r w:rsidRPr="00CF06EE">
              <w:rPr>
                <w:rFonts w:ascii="Arial" w:eastAsia="Times New Roman" w:hAnsi="Arial" w:cs="Arial"/>
                <w:sz w:val="20"/>
                <w:szCs w:val="20"/>
                <w:lang w:eastAsia="en-IN"/>
              </w:rPr>
              <w:t xml:space="preserve"> 2026</w:t>
            </w:r>
          </w:p>
        </w:tc>
      </w:tr>
      <w:tr w:rsidR="009B5155" w:rsidRPr="00CF06EE" w14:paraId="75064879" w14:textId="77777777" w:rsidTr="00CD780E">
        <w:tc>
          <w:tcPr>
            <w:tcW w:w="1672" w:type="dxa"/>
            <w:vAlign w:val="center"/>
          </w:tcPr>
          <w:p w14:paraId="6B47B2A3" w14:textId="0D1731E3"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Tempeh Co-fermentation</w:t>
            </w:r>
          </w:p>
        </w:tc>
        <w:tc>
          <w:tcPr>
            <w:tcW w:w="2043" w:type="dxa"/>
            <w:vAlign w:val="center"/>
          </w:tcPr>
          <w:p w14:paraId="389D0A57" w14:textId="4DE1828B" w:rsidR="00917004" w:rsidRPr="00CF06EE" w:rsidRDefault="00917004" w:rsidP="0054777D">
            <w:pPr>
              <w:spacing w:line="276" w:lineRule="auto"/>
              <w:jc w:val="both"/>
              <w:rPr>
                <w:rFonts w:ascii="Arial" w:eastAsia="Times New Roman" w:hAnsi="Arial" w:cs="Arial"/>
                <w:i/>
                <w:iCs/>
                <w:sz w:val="20"/>
                <w:szCs w:val="20"/>
                <w:lang w:val="en-IN"/>
              </w:rPr>
            </w:pPr>
            <w:r w:rsidRPr="00CF06EE">
              <w:rPr>
                <w:rFonts w:ascii="Arial" w:eastAsia="Times New Roman" w:hAnsi="Arial" w:cs="Arial"/>
                <w:i/>
                <w:iCs/>
                <w:sz w:val="20"/>
                <w:szCs w:val="20"/>
                <w:lang w:val="en-IN"/>
              </w:rPr>
              <w:t>Rhizopus</w:t>
            </w:r>
            <w:r w:rsidRPr="00CF06EE">
              <w:rPr>
                <w:rFonts w:ascii="Arial" w:eastAsia="Times New Roman" w:hAnsi="Arial" w:cs="Arial"/>
                <w:sz w:val="20"/>
                <w:szCs w:val="20"/>
                <w:lang w:val="en-IN"/>
              </w:rPr>
              <w:t xml:space="preserve"> spp. + LAB</w:t>
            </w:r>
          </w:p>
        </w:tc>
        <w:tc>
          <w:tcPr>
            <w:tcW w:w="2196" w:type="dxa"/>
            <w:vAlign w:val="center"/>
          </w:tcPr>
          <w:p w14:paraId="7BA26E37" w14:textId="5F59E75C"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Peptidoglycans, polyamines</w:t>
            </w:r>
          </w:p>
        </w:tc>
        <w:tc>
          <w:tcPr>
            <w:tcW w:w="1673" w:type="dxa"/>
            <w:vAlign w:val="center"/>
          </w:tcPr>
          <w:p w14:paraId="216B202E" w14:textId="170D9E99"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Anti-inflammatory effects</w:t>
            </w:r>
          </w:p>
        </w:tc>
        <w:tc>
          <w:tcPr>
            <w:tcW w:w="1654" w:type="dxa"/>
            <w:vAlign w:val="center"/>
          </w:tcPr>
          <w:p w14:paraId="25BE4347" w14:textId="008A15D3"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Soy-based fermented foods</w:t>
            </w:r>
          </w:p>
        </w:tc>
        <w:tc>
          <w:tcPr>
            <w:tcW w:w="1646" w:type="dxa"/>
            <w:vAlign w:val="center"/>
          </w:tcPr>
          <w:p w14:paraId="0F27C7F9" w14:textId="1B131FD9" w:rsidR="00917004" w:rsidRPr="00CF06EE" w:rsidRDefault="00F8214F" w:rsidP="0054777D">
            <w:pPr>
              <w:spacing w:line="276" w:lineRule="auto"/>
              <w:jc w:val="both"/>
              <w:rPr>
                <w:rFonts w:ascii="Arial" w:eastAsia="Times New Roman" w:hAnsi="Arial" w:cs="Arial"/>
                <w:sz w:val="20"/>
                <w:szCs w:val="20"/>
                <w:lang w:val="sv-SE"/>
              </w:rPr>
            </w:pPr>
            <w:r w:rsidRPr="00CF06EE">
              <w:rPr>
                <w:rFonts w:ascii="Arial" w:eastAsia="Times New Roman" w:hAnsi="Arial" w:cs="Arial"/>
                <w:sz w:val="20"/>
                <w:szCs w:val="20"/>
                <w:lang w:val="sv-SE" w:eastAsia="en-IN"/>
              </w:rPr>
              <w:t xml:space="preserve">Pawar, S. V </w:t>
            </w:r>
            <w:r w:rsidRPr="00CF06EE">
              <w:rPr>
                <w:rFonts w:ascii="Arial" w:eastAsia="Times New Roman" w:hAnsi="Arial" w:cs="Arial"/>
                <w:i/>
                <w:iCs/>
                <w:sz w:val="20"/>
                <w:szCs w:val="20"/>
                <w:lang w:val="sv-SE" w:eastAsia="en-IN"/>
              </w:rPr>
              <w:t>et al.,</w:t>
            </w:r>
            <w:r w:rsidRPr="00CF06EE">
              <w:rPr>
                <w:rFonts w:ascii="Arial" w:eastAsia="Times New Roman" w:hAnsi="Arial" w:cs="Arial"/>
                <w:sz w:val="20"/>
                <w:szCs w:val="20"/>
                <w:lang w:val="sv-SE" w:eastAsia="en-IN"/>
              </w:rPr>
              <w:t xml:space="preserve"> 2026</w:t>
            </w:r>
            <w:r w:rsidR="00D14640" w:rsidRPr="00CF06EE">
              <w:rPr>
                <w:rFonts w:ascii="Arial" w:eastAsia="Times New Roman" w:hAnsi="Arial" w:cs="Arial"/>
                <w:sz w:val="20"/>
                <w:szCs w:val="20"/>
                <w:lang w:val="sv-SE" w:eastAsia="en-IN"/>
              </w:rPr>
              <w:t xml:space="preserve">; </w:t>
            </w:r>
            <w:r w:rsidR="00D14640" w:rsidRPr="00CF06EE">
              <w:rPr>
                <w:rFonts w:ascii="Arial" w:eastAsia="Times New Roman" w:hAnsi="Arial" w:cs="Arial"/>
                <w:sz w:val="20"/>
                <w:szCs w:val="20"/>
                <w:lang w:val="sv-SE"/>
              </w:rPr>
              <w:t xml:space="preserve">Meena, K. K </w:t>
            </w:r>
            <w:r w:rsidR="00D14640" w:rsidRPr="00CF06EE">
              <w:rPr>
                <w:rFonts w:ascii="Arial" w:eastAsia="Times New Roman" w:hAnsi="Arial" w:cs="Arial"/>
                <w:i/>
                <w:iCs/>
                <w:sz w:val="20"/>
                <w:szCs w:val="20"/>
                <w:lang w:val="sv-SE"/>
              </w:rPr>
              <w:t>et al</w:t>
            </w:r>
            <w:r w:rsidR="00D14640" w:rsidRPr="00CF06EE">
              <w:rPr>
                <w:rFonts w:ascii="Arial" w:eastAsia="Times New Roman" w:hAnsi="Arial" w:cs="Arial"/>
                <w:sz w:val="20"/>
                <w:szCs w:val="20"/>
                <w:lang w:val="sv-SE"/>
              </w:rPr>
              <w:t xml:space="preserve"> 2025.</w:t>
            </w:r>
          </w:p>
        </w:tc>
      </w:tr>
      <w:tr w:rsidR="009B5155" w:rsidRPr="00CF06EE" w14:paraId="1C620F7B" w14:textId="77777777" w:rsidTr="00CD780E">
        <w:tc>
          <w:tcPr>
            <w:tcW w:w="1672" w:type="dxa"/>
            <w:vAlign w:val="center"/>
          </w:tcPr>
          <w:p w14:paraId="68035923" w14:textId="78F89B13"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Industrial Co-culture Fermentation</w:t>
            </w:r>
          </w:p>
        </w:tc>
        <w:tc>
          <w:tcPr>
            <w:tcW w:w="2043" w:type="dxa"/>
            <w:vAlign w:val="center"/>
          </w:tcPr>
          <w:p w14:paraId="637F956A" w14:textId="74622D59" w:rsidR="00917004" w:rsidRPr="00CF06EE" w:rsidRDefault="00917004" w:rsidP="0054777D">
            <w:pPr>
              <w:spacing w:line="276" w:lineRule="auto"/>
              <w:jc w:val="both"/>
              <w:rPr>
                <w:rFonts w:ascii="Arial" w:eastAsia="Times New Roman" w:hAnsi="Arial" w:cs="Arial"/>
                <w:i/>
                <w:iCs/>
                <w:sz w:val="20"/>
                <w:szCs w:val="20"/>
                <w:lang w:val="en-IN"/>
              </w:rPr>
            </w:pPr>
            <w:r w:rsidRPr="00CF06EE">
              <w:rPr>
                <w:rFonts w:ascii="Arial" w:eastAsia="Times New Roman" w:hAnsi="Arial" w:cs="Arial"/>
                <w:i/>
                <w:iCs/>
                <w:sz w:val="20"/>
                <w:szCs w:val="20"/>
                <w:lang w:val="en-IN"/>
              </w:rPr>
              <w:t>Bifidobacterium</w:t>
            </w:r>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Propionibacterium</w:t>
            </w:r>
            <w:r w:rsidRPr="00CF06EE">
              <w:rPr>
                <w:rFonts w:ascii="Arial" w:eastAsia="Times New Roman" w:hAnsi="Arial" w:cs="Arial"/>
                <w:sz w:val="20"/>
                <w:szCs w:val="20"/>
                <w:lang w:val="en-IN"/>
              </w:rPr>
              <w:t xml:space="preserve"> spp.</w:t>
            </w:r>
          </w:p>
        </w:tc>
        <w:tc>
          <w:tcPr>
            <w:tcW w:w="2196" w:type="dxa"/>
            <w:vAlign w:val="center"/>
          </w:tcPr>
          <w:p w14:paraId="3093ED75" w14:textId="75729C80"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Propionic acid, peptides, vitamins (B12)</w:t>
            </w:r>
          </w:p>
        </w:tc>
        <w:tc>
          <w:tcPr>
            <w:tcW w:w="1673" w:type="dxa"/>
            <w:vAlign w:val="center"/>
          </w:tcPr>
          <w:p w14:paraId="36097533" w14:textId="48EACD5D"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Metabolic regulation, anti-cancer potential</w:t>
            </w:r>
          </w:p>
        </w:tc>
        <w:tc>
          <w:tcPr>
            <w:tcW w:w="1654" w:type="dxa"/>
            <w:vAlign w:val="center"/>
          </w:tcPr>
          <w:p w14:paraId="23E1FB3F" w14:textId="72D55428"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Probiotic dairy beverages</w:t>
            </w:r>
          </w:p>
        </w:tc>
        <w:tc>
          <w:tcPr>
            <w:tcW w:w="1646" w:type="dxa"/>
            <w:vAlign w:val="center"/>
          </w:tcPr>
          <w:p w14:paraId="05E69A25" w14:textId="5CA727F5" w:rsidR="00917004" w:rsidRPr="00CF06EE" w:rsidRDefault="0054777D"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rPr>
              <w:t xml:space="preserve">Mafe, A. N et al., 2025;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r w:rsidR="00ED5421" w:rsidRPr="00CF06EE">
              <w:rPr>
                <w:rFonts w:ascii="Arial" w:eastAsia="Times New Roman" w:hAnsi="Arial" w:cs="Arial"/>
                <w:sz w:val="20"/>
                <w:szCs w:val="20"/>
                <w:lang w:val="en-IN"/>
              </w:rPr>
              <w:t xml:space="preserve">; Calvanese, C. M </w:t>
            </w:r>
            <w:r w:rsidR="00ED5421" w:rsidRPr="00CF06EE">
              <w:rPr>
                <w:rFonts w:ascii="Arial" w:eastAsia="Times New Roman" w:hAnsi="Arial" w:cs="Arial"/>
                <w:i/>
                <w:iCs/>
                <w:sz w:val="20"/>
                <w:szCs w:val="20"/>
                <w:lang w:val="en-IN"/>
              </w:rPr>
              <w:t>et al.,</w:t>
            </w:r>
            <w:r w:rsidR="00ED5421" w:rsidRPr="00CF06EE">
              <w:rPr>
                <w:rFonts w:ascii="Arial" w:eastAsia="Times New Roman" w:hAnsi="Arial" w:cs="Arial"/>
                <w:sz w:val="20"/>
                <w:szCs w:val="20"/>
                <w:lang w:val="en-IN"/>
              </w:rPr>
              <w:t xml:space="preserve"> 2025</w:t>
            </w:r>
            <w:r w:rsidR="007875D8" w:rsidRPr="00CF06EE">
              <w:rPr>
                <w:rFonts w:ascii="Arial" w:eastAsia="Times New Roman" w:hAnsi="Arial" w:cs="Arial"/>
                <w:sz w:val="20"/>
                <w:szCs w:val="20"/>
                <w:lang w:val="en-IN"/>
              </w:rPr>
              <w:t xml:space="preserve">; </w:t>
            </w:r>
          </w:p>
          <w:p w14:paraId="2F7071EF" w14:textId="188194E9" w:rsidR="007875D8" w:rsidRPr="00CF06EE" w:rsidRDefault="007875D8"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rPr>
              <w:t xml:space="preserve">Asefa, Z </w:t>
            </w:r>
            <w:r w:rsidRPr="00CF06EE">
              <w:rPr>
                <w:rFonts w:ascii="Arial" w:eastAsia="Times New Roman" w:hAnsi="Arial" w:cs="Arial"/>
                <w:i/>
                <w:iCs/>
                <w:sz w:val="20"/>
                <w:szCs w:val="20"/>
              </w:rPr>
              <w:t>et al.,</w:t>
            </w:r>
            <w:r w:rsidRPr="00CF06EE">
              <w:rPr>
                <w:rFonts w:ascii="Arial" w:eastAsia="Times New Roman" w:hAnsi="Arial" w:cs="Arial"/>
                <w:sz w:val="20"/>
                <w:szCs w:val="20"/>
              </w:rPr>
              <w:t xml:space="preserve"> 2025</w:t>
            </w:r>
            <w:r w:rsidRPr="00CF06EE">
              <w:rPr>
                <w:rFonts w:ascii="Arial" w:eastAsia="Times New Roman" w:hAnsi="Arial" w:cs="Arial"/>
                <w:sz w:val="20"/>
                <w:szCs w:val="20"/>
                <w:lang w:val="en-IN"/>
              </w:rPr>
              <w:t>.</w:t>
            </w:r>
          </w:p>
        </w:tc>
      </w:tr>
      <w:tr w:rsidR="009B5155" w:rsidRPr="00CF06EE" w14:paraId="3708FD0C" w14:textId="77777777" w:rsidTr="00CD780E">
        <w:tc>
          <w:tcPr>
            <w:tcW w:w="1672" w:type="dxa"/>
            <w:vAlign w:val="center"/>
          </w:tcPr>
          <w:p w14:paraId="2C199538" w14:textId="6EE07C9D"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Bacillus Fermentation Systems</w:t>
            </w:r>
          </w:p>
        </w:tc>
        <w:tc>
          <w:tcPr>
            <w:tcW w:w="2043" w:type="dxa"/>
            <w:vAlign w:val="center"/>
          </w:tcPr>
          <w:p w14:paraId="6C7E476E" w14:textId="35198946" w:rsidR="00917004" w:rsidRPr="00CF06EE" w:rsidRDefault="00917004" w:rsidP="0054777D">
            <w:pPr>
              <w:spacing w:line="276" w:lineRule="auto"/>
              <w:jc w:val="both"/>
              <w:rPr>
                <w:rFonts w:ascii="Arial" w:eastAsia="Times New Roman" w:hAnsi="Arial" w:cs="Arial"/>
                <w:i/>
                <w:iCs/>
                <w:sz w:val="20"/>
                <w:szCs w:val="20"/>
                <w:lang w:val="en-IN"/>
              </w:rPr>
            </w:pPr>
            <w:r w:rsidRPr="00CF06EE">
              <w:rPr>
                <w:rFonts w:ascii="Arial" w:eastAsia="Times New Roman" w:hAnsi="Arial" w:cs="Arial"/>
                <w:i/>
                <w:iCs/>
                <w:sz w:val="20"/>
                <w:szCs w:val="20"/>
                <w:lang w:val="en-IN"/>
              </w:rPr>
              <w:t>Bacillus subtilis</w:t>
            </w:r>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 xml:space="preserve">B. </w:t>
            </w:r>
            <w:proofErr w:type="spellStart"/>
            <w:r w:rsidRPr="00CF06EE">
              <w:rPr>
                <w:rFonts w:ascii="Arial" w:eastAsia="Times New Roman" w:hAnsi="Arial" w:cs="Arial"/>
                <w:i/>
                <w:iCs/>
                <w:sz w:val="20"/>
                <w:szCs w:val="20"/>
                <w:lang w:val="en-IN"/>
              </w:rPr>
              <w:t>amyloliquefaciens</w:t>
            </w:r>
            <w:proofErr w:type="spellEnd"/>
          </w:p>
        </w:tc>
        <w:tc>
          <w:tcPr>
            <w:tcW w:w="2196" w:type="dxa"/>
            <w:vAlign w:val="center"/>
          </w:tcPr>
          <w:p w14:paraId="438728BE" w14:textId="2FB40E2F"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Phenolic acids, organic acids, enzymes</w:t>
            </w:r>
          </w:p>
        </w:tc>
        <w:tc>
          <w:tcPr>
            <w:tcW w:w="1673" w:type="dxa"/>
            <w:vAlign w:val="center"/>
          </w:tcPr>
          <w:p w14:paraId="3332DC83" w14:textId="2990ED0E"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Antimicrobial and metabolic benefits</w:t>
            </w:r>
          </w:p>
        </w:tc>
        <w:tc>
          <w:tcPr>
            <w:tcW w:w="1654" w:type="dxa"/>
            <w:vAlign w:val="center"/>
          </w:tcPr>
          <w:p w14:paraId="41425F1D" w14:textId="37E2EC9B"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Functional beverages</w:t>
            </w:r>
          </w:p>
        </w:tc>
        <w:tc>
          <w:tcPr>
            <w:tcW w:w="1646" w:type="dxa"/>
            <w:vAlign w:val="center"/>
          </w:tcPr>
          <w:p w14:paraId="2A47A6FD" w14:textId="004A02AB" w:rsidR="00917004" w:rsidRPr="00CF06EE" w:rsidRDefault="007875D8"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rPr>
              <w:t xml:space="preserve">Asefa, Z </w:t>
            </w:r>
            <w:r w:rsidRPr="00CF06EE">
              <w:rPr>
                <w:rFonts w:ascii="Arial" w:eastAsia="Times New Roman" w:hAnsi="Arial" w:cs="Arial"/>
                <w:i/>
                <w:iCs/>
                <w:sz w:val="20"/>
                <w:szCs w:val="20"/>
              </w:rPr>
              <w:t>et al.,</w:t>
            </w:r>
            <w:r w:rsidRPr="00CF06EE">
              <w:rPr>
                <w:rFonts w:ascii="Arial" w:eastAsia="Times New Roman" w:hAnsi="Arial" w:cs="Arial"/>
                <w:sz w:val="20"/>
                <w:szCs w:val="20"/>
              </w:rPr>
              <w:t xml:space="preserve"> 2025</w:t>
            </w:r>
            <w:r w:rsidRPr="00CF06EE">
              <w:rPr>
                <w:rFonts w:ascii="Arial" w:eastAsia="Times New Roman" w:hAnsi="Arial" w:cs="Arial"/>
                <w:sz w:val="20"/>
                <w:szCs w:val="20"/>
                <w:lang w:val="en-IN"/>
              </w:rPr>
              <w:t>.</w:t>
            </w:r>
          </w:p>
        </w:tc>
      </w:tr>
      <w:tr w:rsidR="009B5155" w:rsidRPr="00CF06EE" w14:paraId="3917FA15" w14:textId="77777777" w:rsidTr="00CD780E">
        <w:tc>
          <w:tcPr>
            <w:tcW w:w="1672" w:type="dxa"/>
            <w:vAlign w:val="center"/>
          </w:tcPr>
          <w:p w14:paraId="21B1C9BA" w14:textId="67E1C6FA"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Yeast-Based Fermentation</w:t>
            </w:r>
          </w:p>
        </w:tc>
        <w:tc>
          <w:tcPr>
            <w:tcW w:w="2043" w:type="dxa"/>
            <w:vAlign w:val="center"/>
          </w:tcPr>
          <w:p w14:paraId="3C949FD7" w14:textId="5B9B4C5F" w:rsidR="00917004" w:rsidRPr="00CF06EE" w:rsidRDefault="00917004" w:rsidP="0054777D">
            <w:pPr>
              <w:spacing w:line="276" w:lineRule="auto"/>
              <w:jc w:val="both"/>
              <w:rPr>
                <w:rFonts w:ascii="Arial" w:eastAsia="Times New Roman" w:hAnsi="Arial" w:cs="Arial"/>
                <w:i/>
                <w:iCs/>
                <w:sz w:val="20"/>
                <w:szCs w:val="20"/>
                <w:lang w:val="en-IN"/>
              </w:rPr>
            </w:pPr>
            <w:r w:rsidRPr="00CF06EE">
              <w:rPr>
                <w:rFonts w:ascii="Arial" w:eastAsia="Times New Roman" w:hAnsi="Arial" w:cs="Arial"/>
                <w:i/>
                <w:iCs/>
                <w:sz w:val="20"/>
                <w:szCs w:val="20"/>
                <w:lang w:val="en-IN"/>
              </w:rPr>
              <w:t xml:space="preserve">Saccharomyces </w:t>
            </w:r>
            <w:proofErr w:type="spellStart"/>
            <w:r w:rsidRPr="00CF06EE">
              <w:rPr>
                <w:rFonts w:ascii="Arial" w:eastAsia="Times New Roman" w:hAnsi="Arial" w:cs="Arial"/>
                <w:i/>
                <w:iCs/>
                <w:sz w:val="20"/>
                <w:szCs w:val="20"/>
                <w:lang w:val="en-IN"/>
              </w:rPr>
              <w:t>boulardii</w:t>
            </w:r>
            <w:proofErr w:type="spellEnd"/>
          </w:p>
        </w:tc>
        <w:tc>
          <w:tcPr>
            <w:tcW w:w="2196" w:type="dxa"/>
            <w:vAlign w:val="center"/>
          </w:tcPr>
          <w:p w14:paraId="2CC4C895" w14:textId="6FCDB366"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Amino acid derivatives, aromatic metabolites</w:t>
            </w:r>
          </w:p>
        </w:tc>
        <w:tc>
          <w:tcPr>
            <w:tcW w:w="1673" w:type="dxa"/>
            <w:vAlign w:val="center"/>
          </w:tcPr>
          <w:p w14:paraId="144FCEED" w14:textId="4168368F"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Gut health, antioxidant activity</w:t>
            </w:r>
          </w:p>
        </w:tc>
        <w:tc>
          <w:tcPr>
            <w:tcW w:w="1654" w:type="dxa"/>
            <w:vAlign w:val="center"/>
          </w:tcPr>
          <w:p w14:paraId="54C228EC" w14:textId="5601D202"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Fermented supplements</w:t>
            </w:r>
          </w:p>
        </w:tc>
        <w:tc>
          <w:tcPr>
            <w:tcW w:w="1646" w:type="dxa"/>
            <w:vAlign w:val="center"/>
          </w:tcPr>
          <w:p w14:paraId="37A8C2DF" w14:textId="56799B66" w:rsidR="00917004" w:rsidRPr="00CF06EE" w:rsidRDefault="00196DAA" w:rsidP="0054777D">
            <w:pPr>
              <w:spacing w:line="276" w:lineRule="auto"/>
              <w:jc w:val="both"/>
              <w:rPr>
                <w:rFonts w:ascii="Arial" w:eastAsia="Times New Roman" w:hAnsi="Arial" w:cs="Arial"/>
                <w:sz w:val="20"/>
                <w:szCs w:val="20"/>
                <w:lang w:val="en-IN"/>
              </w:rPr>
            </w:pP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2025</w:t>
            </w:r>
          </w:p>
        </w:tc>
      </w:tr>
      <w:tr w:rsidR="009B5155" w:rsidRPr="00CF06EE" w14:paraId="248882E3" w14:textId="77777777" w:rsidTr="00CD780E">
        <w:tc>
          <w:tcPr>
            <w:tcW w:w="1672" w:type="dxa"/>
            <w:vAlign w:val="center"/>
          </w:tcPr>
          <w:p w14:paraId="74726CA7" w14:textId="2411F3D1"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Fungal Fermentation</w:t>
            </w:r>
          </w:p>
        </w:tc>
        <w:tc>
          <w:tcPr>
            <w:tcW w:w="2043" w:type="dxa"/>
            <w:vAlign w:val="center"/>
          </w:tcPr>
          <w:p w14:paraId="64BF409F" w14:textId="5FC358FD" w:rsidR="00917004" w:rsidRPr="00CF06EE" w:rsidRDefault="00917004" w:rsidP="0054777D">
            <w:pPr>
              <w:spacing w:line="276" w:lineRule="auto"/>
              <w:jc w:val="both"/>
              <w:rPr>
                <w:rFonts w:ascii="Arial" w:eastAsia="Times New Roman" w:hAnsi="Arial" w:cs="Arial"/>
                <w:i/>
                <w:iCs/>
                <w:sz w:val="20"/>
                <w:szCs w:val="20"/>
                <w:lang w:val="en-IN"/>
              </w:rPr>
            </w:pPr>
            <w:r w:rsidRPr="00CF06EE">
              <w:rPr>
                <w:rFonts w:ascii="Arial" w:eastAsia="Times New Roman" w:hAnsi="Arial" w:cs="Arial"/>
                <w:i/>
                <w:iCs/>
                <w:sz w:val="20"/>
                <w:szCs w:val="20"/>
                <w:lang w:val="en-IN"/>
              </w:rPr>
              <w:t>Cordyceps militaris</w:t>
            </w:r>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 xml:space="preserve">Phellinus </w:t>
            </w:r>
            <w:proofErr w:type="spellStart"/>
            <w:r w:rsidRPr="00CF06EE">
              <w:rPr>
                <w:rFonts w:ascii="Arial" w:eastAsia="Times New Roman" w:hAnsi="Arial" w:cs="Arial"/>
                <w:i/>
                <w:iCs/>
                <w:sz w:val="20"/>
                <w:szCs w:val="20"/>
                <w:lang w:val="en-IN"/>
              </w:rPr>
              <w:t>linteus</w:t>
            </w:r>
            <w:proofErr w:type="spellEnd"/>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 xml:space="preserve">Penicillium </w:t>
            </w:r>
            <w:proofErr w:type="spellStart"/>
            <w:r w:rsidRPr="00CF06EE">
              <w:rPr>
                <w:rFonts w:ascii="Arial" w:eastAsia="Times New Roman" w:hAnsi="Arial" w:cs="Arial"/>
                <w:i/>
                <w:iCs/>
                <w:sz w:val="20"/>
                <w:szCs w:val="20"/>
                <w:lang w:val="en-IN"/>
              </w:rPr>
              <w:t>flavigenum</w:t>
            </w:r>
            <w:proofErr w:type="spellEnd"/>
          </w:p>
        </w:tc>
        <w:tc>
          <w:tcPr>
            <w:tcW w:w="2196" w:type="dxa"/>
            <w:vAlign w:val="center"/>
          </w:tcPr>
          <w:p w14:paraId="181EFAA4" w14:textId="6439C75C"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β-glucans, </w:t>
            </w:r>
            <w:proofErr w:type="spellStart"/>
            <w:r w:rsidRPr="00CF06EE">
              <w:rPr>
                <w:rFonts w:ascii="Arial" w:eastAsia="Times New Roman" w:hAnsi="Arial" w:cs="Arial"/>
                <w:sz w:val="20"/>
                <w:szCs w:val="20"/>
                <w:lang w:val="en-IN"/>
              </w:rPr>
              <w:t>uronic</w:t>
            </w:r>
            <w:proofErr w:type="spellEnd"/>
            <w:r w:rsidRPr="00CF06EE">
              <w:rPr>
                <w:rFonts w:ascii="Arial" w:eastAsia="Times New Roman" w:hAnsi="Arial" w:cs="Arial"/>
                <w:sz w:val="20"/>
                <w:szCs w:val="20"/>
                <w:lang w:val="en-IN"/>
              </w:rPr>
              <w:t xml:space="preserve"> acids, secondary metabolites</w:t>
            </w:r>
          </w:p>
        </w:tc>
        <w:tc>
          <w:tcPr>
            <w:tcW w:w="1673" w:type="dxa"/>
            <w:vAlign w:val="center"/>
          </w:tcPr>
          <w:p w14:paraId="7782281D" w14:textId="17A21261"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Immune regulation, antioxidant effects</w:t>
            </w:r>
          </w:p>
        </w:tc>
        <w:tc>
          <w:tcPr>
            <w:tcW w:w="1654" w:type="dxa"/>
            <w:vAlign w:val="center"/>
          </w:tcPr>
          <w:p w14:paraId="5749C5C3" w14:textId="3FA7D3AD"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Medicinal fungi preparations</w:t>
            </w:r>
          </w:p>
        </w:tc>
        <w:tc>
          <w:tcPr>
            <w:tcW w:w="1646" w:type="dxa"/>
            <w:vAlign w:val="center"/>
          </w:tcPr>
          <w:p w14:paraId="4434B2F7" w14:textId="124B8587" w:rsidR="00917004" w:rsidRPr="00CF06EE" w:rsidRDefault="00196DAA" w:rsidP="0054777D">
            <w:pPr>
              <w:spacing w:line="276" w:lineRule="auto"/>
              <w:jc w:val="both"/>
              <w:rPr>
                <w:rFonts w:ascii="Arial" w:eastAsia="Times New Roman" w:hAnsi="Arial" w:cs="Arial"/>
                <w:sz w:val="20"/>
                <w:szCs w:val="20"/>
                <w:lang w:val="en-IN"/>
              </w:rPr>
            </w:pP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2025</w:t>
            </w:r>
          </w:p>
        </w:tc>
      </w:tr>
      <w:tr w:rsidR="009B5155" w:rsidRPr="00CF06EE" w14:paraId="3DA6BE11" w14:textId="77777777" w:rsidTr="00CD780E">
        <w:tc>
          <w:tcPr>
            <w:tcW w:w="1672" w:type="dxa"/>
            <w:tcBorders>
              <w:bottom w:val="single" w:sz="4" w:space="0" w:color="auto"/>
            </w:tcBorders>
            <w:vAlign w:val="center"/>
          </w:tcPr>
          <w:p w14:paraId="2D3718A9" w14:textId="40D65816"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lastRenderedPageBreak/>
              <w:t>Industrial Functional Drinks</w:t>
            </w:r>
          </w:p>
        </w:tc>
        <w:tc>
          <w:tcPr>
            <w:tcW w:w="2043" w:type="dxa"/>
            <w:tcBorders>
              <w:bottom w:val="single" w:sz="4" w:space="0" w:color="auto"/>
            </w:tcBorders>
            <w:vAlign w:val="center"/>
          </w:tcPr>
          <w:p w14:paraId="35B9E2C3" w14:textId="79FE0986" w:rsidR="00917004" w:rsidRPr="00CF06EE" w:rsidRDefault="00917004" w:rsidP="0054777D">
            <w:pPr>
              <w:spacing w:line="276" w:lineRule="auto"/>
              <w:jc w:val="both"/>
              <w:rPr>
                <w:rFonts w:ascii="Arial" w:eastAsia="Times New Roman" w:hAnsi="Arial" w:cs="Arial"/>
                <w:i/>
                <w:iCs/>
                <w:sz w:val="20"/>
                <w:szCs w:val="20"/>
                <w:lang w:val="en-IN"/>
              </w:rPr>
            </w:pPr>
            <w:r w:rsidRPr="00CF06EE">
              <w:rPr>
                <w:rFonts w:ascii="Arial" w:eastAsia="Times New Roman" w:hAnsi="Arial" w:cs="Arial"/>
                <w:sz w:val="20"/>
                <w:szCs w:val="20"/>
                <w:lang w:val="en-IN"/>
              </w:rPr>
              <w:t>Mixed probiotic cultures</w:t>
            </w:r>
          </w:p>
        </w:tc>
        <w:tc>
          <w:tcPr>
            <w:tcW w:w="2196" w:type="dxa"/>
            <w:tcBorders>
              <w:bottom w:val="single" w:sz="4" w:space="0" w:color="auto"/>
            </w:tcBorders>
            <w:vAlign w:val="center"/>
          </w:tcPr>
          <w:p w14:paraId="373D24BD" w14:textId="21C0491A"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Exopolysaccharides, organic acids</w:t>
            </w:r>
          </w:p>
        </w:tc>
        <w:tc>
          <w:tcPr>
            <w:tcW w:w="1673" w:type="dxa"/>
            <w:tcBorders>
              <w:bottom w:val="single" w:sz="4" w:space="0" w:color="auto"/>
            </w:tcBorders>
            <w:vAlign w:val="center"/>
          </w:tcPr>
          <w:p w14:paraId="3FB72E97" w14:textId="68C121D1"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Immune support and metabolic balance</w:t>
            </w:r>
          </w:p>
        </w:tc>
        <w:tc>
          <w:tcPr>
            <w:tcW w:w="1654" w:type="dxa"/>
            <w:tcBorders>
              <w:bottom w:val="single" w:sz="4" w:space="0" w:color="auto"/>
            </w:tcBorders>
            <w:vAlign w:val="center"/>
          </w:tcPr>
          <w:p w14:paraId="71833F14" w14:textId="543B31AE" w:rsidR="00917004" w:rsidRPr="00CF06EE" w:rsidRDefault="00917004"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Functional beverages</w:t>
            </w:r>
          </w:p>
        </w:tc>
        <w:tc>
          <w:tcPr>
            <w:tcW w:w="1646" w:type="dxa"/>
            <w:tcBorders>
              <w:bottom w:val="single" w:sz="4" w:space="0" w:color="auto"/>
            </w:tcBorders>
            <w:vAlign w:val="center"/>
          </w:tcPr>
          <w:p w14:paraId="5317D581" w14:textId="3FAD7C73" w:rsidR="00917004" w:rsidRPr="00CF06EE" w:rsidRDefault="00D14640" w:rsidP="0054777D">
            <w:pPr>
              <w:spacing w:line="276"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Meena, K. K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w:t>
            </w:r>
            <w:r w:rsidR="00196DAA" w:rsidRPr="00CF06EE">
              <w:rPr>
                <w:rFonts w:ascii="Arial" w:eastAsia="Times New Roman" w:hAnsi="Arial" w:cs="Arial"/>
                <w:sz w:val="20"/>
                <w:szCs w:val="20"/>
                <w:lang w:val="en-IN"/>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p>
        </w:tc>
      </w:tr>
    </w:tbl>
    <w:p w14:paraId="25136426" w14:textId="77777777" w:rsidR="00917004" w:rsidRPr="00CF06EE" w:rsidRDefault="00917004" w:rsidP="006A3041">
      <w:pPr>
        <w:spacing w:after="0" w:line="240" w:lineRule="auto"/>
        <w:jc w:val="both"/>
        <w:rPr>
          <w:rFonts w:ascii="Arial" w:eastAsia="Times New Roman" w:hAnsi="Arial" w:cs="Arial"/>
          <w:b/>
          <w:bCs/>
          <w:sz w:val="20"/>
          <w:szCs w:val="20"/>
          <w:lang w:val="en-IN"/>
        </w:rPr>
      </w:pPr>
    </w:p>
    <w:p w14:paraId="32DECC18" w14:textId="43DC9CC0" w:rsidR="008641AD" w:rsidRPr="00CF06EE" w:rsidRDefault="008641AD" w:rsidP="00A57F79">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Traditional fermented foods and industrial bioprocessing platforms further expand the diversity of postbiotic sources. Controlled fermentation allows the production of defined bioactive compounds, including short-chain fatty acids (SCFAs), vitamins, enzymes, and antimicrobial peptides illustrated in figure 1. The wide biochemical diversity observed across microbial producers underscores the evolving definition of postbiotics, which now extends beyond conventional lactic acid bacteria to include complex microbial ecosystems.</w:t>
      </w:r>
    </w:p>
    <w:p w14:paraId="28488C29" w14:textId="77777777" w:rsidR="008641AD" w:rsidRPr="00CF06EE" w:rsidRDefault="008641AD" w:rsidP="006A3041">
      <w:pPr>
        <w:spacing w:after="0" w:line="240" w:lineRule="auto"/>
        <w:jc w:val="both"/>
        <w:rPr>
          <w:rFonts w:ascii="Arial" w:eastAsia="Times New Roman" w:hAnsi="Arial" w:cs="Arial"/>
          <w:sz w:val="20"/>
          <w:szCs w:val="20"/>
          <w:lang w:val="en-IN"/>
        </w:rPr>
      </w:pPr>
    </w:p>
    <w:p w14:paraId="234D6C0F" w14:textId="5EB1018E" w:rsidR="00204EEF" w:rsidRPr="00CF06EE" w:rsidRDefault="00204EEF" w:rsidP="006A3041">
      <w:pPr>
        <w:spacing w:after="0" w:line="240" w:lineRule="auto"/>
        <w:jc w:val="center"/>
        <w:rPr>
          <w:rFonts w:ascii="Arial" w:eastAsia="Times New Roman" w:hAnsi="Arial" w:cs="Arial"/>
          <w:b/>
          <w:bCs/>
          <w:sz w:val="20"/>
          <w:szCs w:val="20"/>
          <w:lang w:val="en-IN"/>
        </w:rPr>
      </w:pPr>
      <w:r w:rsidRPr="00CF06EE">
        <w:rPr>
          <w:rFonts w:ascii="Arial" w:eastAsia="Times New Roman" w:hAnsi="Arial" w:cs="Arial"/>
          <w:b/>
          <w:bCs/>
          <w:noProof/>
          <w:sz w:val="20"/>
          <w:szCs w:val="20"/>
          <w:lang w:val="en-IN"/>
        </w:rPr>
        <w:drawing>
          <wp:inline distT="0" distB="0" distL="0" distR="0" wp14:anchorId="5D5865FC" wp14:editId="48E85ADE">
            <wp:extent cx="4441196" cy="3664528"/>
            <wp:effectExtent l="0" t="0" r="0" b="0"/>
            <wp:docPr id="714920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rotWithShape="1">
                    <a:blip r:embed="rId8">
                      <a:extLst>
                        <a:ext uri="{28A0092B-C50C-407E-A947-70E740481C1C}">
                          <a14:useLocalDpi xmlns:a14="http://schemas.microsoft.com/office/drawing/2010/main" val="0"/>
                        </a:ext>
                      </a:extLst>
                    </a:blip>
                    <a:srcRect l="1712" t="24256" r="21280" b="12202"/>
                    <a:stretch>
                      <a:fillRect/>
                    </a:stretch>
                  </pic:blipFill>
                  <pic:spPr bwMode="auto">
                    <a:xfrm>
                      <a:off x="0" y="0"/>
                      <a:ext cx="4462503" cy="3682109"/>
                    </a:xfrm>
                    <a:prstGeom prst="rect">
                      <a:avLst/>
                    </a:prstGeom>
                    <a:noFill/>
                    <a:ln>
                      <a:noFill/>
                    </a:ln>
                    <a:extLst>
                      <a:ext uri="{53640926-AAD7-44D8-BBD7-CCE9431645EC}">
                        <a14:shadowObscured xmlns:a14="http://schemas.microsoft.com/office/drawing/2010/main"/>
                      </a:ext>
                    </a:extLst>
                  </pic:spPr>
                </pic:pic>
              </a:graphicData>
            </a:graphic>
          </wp:inline>
        </w:drawing>
      </w:r>
    </w:p>
    <w:p w14:paraId="62959277" w14:textId="6DBE6156" w:rsidR="008641AD" w:rsidRPr="00CF06EE" w:rsidRDefault="008641AD" w:rsidP="006A3041">
      <w:pPr>
        <w:spacing w:after="0" w:line="240" w:lineRule="auto"/>
        <w:jc w:val="center"/>
        <w:rPr>
          <w:rFonts w:ascii="Arial" w:eastAsia="Times New Roman" w:hAnsi="Arial" w:cs="Arial"/>
          <w:b/>
          <w:bCs/>
          <w:sz w:val="20"/>
          <w:szCs w:val="20"/>
          <w:lang w:val="en-IN"/>
        </w:rPr>
      </w:pPr>
      <w:r w:rsidRPr="00CF06EE">
        <w:rPr>
          <w:rFonts w:ascii="Arial" w:eastAsia="Times New Roman" w:hAnsi="Arial" w:cs="Arial"/>
          <w:b/>
          <w:bCs/>
          <w:sz w:val="20"/>
          <w:szCs w:val="20"/>
          <w:lang w:val="en-IN"/>
        </w:rPr>
        <w:t>Figure 1. Sources and components of Postbiotics</w:t>
      </w:r>
    </w:p>
    <w:p w14:paraId="16340F84" w14:textId="77777777" w:rsidR="00DD35FB" w:rsidRPr="00CF06EE" w:rsidRDefault="00DD35FB" w:rsidP="006A3041">
      <w:pPr>
        <w:spacing w:after="0" w:line="240" w:lineRule="auto"/>
        <w:jc w:val="both"/>
        <w:rPr>
          <w:rFonts w:ascii="Arial" w:eastAsia="Times New Roman" w:hAnsi="Arial" w:cs="Arial"/>
          <w:b/>
          <w:bCs/>
          <w:sz w:val="20"/>
          <w:szCs w:val="20"/>
          <w:lang w:val="en-IN"/>
        </w:rPr>
      </w:pPr>
    </w:p>
    <w:p w14:paraId="0DE29DEB" w14:textId="40F9AF26" w:rsidR="005E2010"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4</w:t>
      </w:r>
      <w:r w:rsidR="005E2010" w:rsidRPr="00CF06EE">
        <w:rPr>
          <w:rFonts w:ascii="Arial" w:eastAsia="Times New Roman" w:hAnsi="Arial" w:cs="Arial"/>
          <w:b/>
          <w:bCs/>
          <w:sz w:val="22"/>
          <w:szCs w:val="22"/>
          <w:lang w:val="en-IN"/>
        </w:rPr>
        <w:t>.1 Short-Chain Fatty Acids and Organic Acids</w:t>
      </w:r>
    </w:p>
    <w:p w14:paraId="49D0FE1D" w14:textId="0E62B378" w:rsidR="005E2010" w:rsidRPr="00CF06EE" w:rsidRDefault="005E2010"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Short-chain fatty acids such as acetate, propionate, and butyrate represent major postbiotic metabolites formed during carbohydrate fermentation</w:t>
      </w:r>
      <w:r w:rsidR="00196DAA" w:rsidRPr="00CF06EE">
        <w:rPr>
          <w:rFonts w:ascii="Arial" w:eastAsia="Times New Roman" w:hAnsi="Arial" w:cs="Arial"/>
          <w:sz w:val="20"/>
          <w:szCs w:val="20"/>
          <w:lang w:val="en-IN"/>
        </w:rPr>
        <w:t xml:space="preserve"> (</w:t>
      </w:r>
      <w:r w:rsidR="00D126B8" w:rsidRPr="00CF06EE">
        <w:rPr>
          <w:rFonts w:ascii="Arial" w:eastAsia="Times New Roman" w:hAnsi="Arial" w:cs="Arial"/>
          <w:sz w:val="20"/>
          <w:szCs w:val="20"/>
        </w:rPr>
        <w:t>Wegh et al., 2019</w:t>
      </w:r>
      <w:r w:rsidR="00D126B8" w:rsidRPr="00CF06EE">
        <w:rPr>
          <w:rFonts w:ascii="Arial" w:eastAsia="Times New Roman" w:hAnsi="Arial" w:cs="Arial"/>
          <w:sz w:val="20"/>
          <w:szCs w:val="20"/>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008E2905" w:rsidRPr="00CF06EE">
        <w:rPr>
          <w:rFonts w:ascii="Arial" w:eastAsia="Times New Roman" w:hAnsi="Arial" w:cs="Arial"/>
          <w:sz w:val="20"/>
          <w:szCs w:val="20"/>
        </w:rPr>
        <w:t xml:space="preserve">; </w:t>
      </w:r>
      <w:r w:rsidR="008E2905" w:rsidRPr="00CF06EE">
        <w:rPr>
          <w:rFonts w:ascii="Arial" w:eastAsia="Times New Roman" w:hAnsi="Arial" w:cs="Arial"/>
          <w:sz w:val="20"/>
          <w:szCs w:val="20"/>
        </w:rPr>
        <w:t xml:space="preserve">Moghadam </w:t>
      </w:r>
      <w:r w:rsidR="008E2905" w:rsidRPr="00CF06EE">
        <w:rPr>
          <w:rFonts w:ascii="Arial" w:eastAsia="Times New Roman" w:hAnsi="Arial" w:cs="Arial"/>
          <w:i/>
          <w:iCs/>
          <w:sz w:val="20"/>
          <w:szCs w:val="20"/>
        </w:rPr>
        <w:t>et al.,</w:t>
      </w:r>
      <w:r w:rsidR="008E2905" w:rsidRPr="00CF06EE">
        <w:rPr>
          <w:rFonts w:ascii="Arial" w:eastAsia="Times New Roman" w:hAnsi="Arial" w:cs="Arial"/>
          <w:sz w:val="20"/>
          <w:szCs w:val="20"/>
        </w:rPr>
        <w:t xml:space="preserve"> 2026</w:t>
      </w:r>
      <w:r w:rsidR="00196DAA" w:rsidRPr="00CF06EE">
        <w:rPr>
          <w:rFonts w:ascii="Arial" w:eastAsia="Times New Roman" w:hAnsi="Arial" w:cs="Arial"/>
          <w:sz w:val="20"/>
          <w:szCs w:val="20"/>
        </w:rPr>
        <w:t>)</w:t>
      </w:r>
      <w:r w:rsidRPr="00CF06EE">
        <w:rPr>
          <w:rFonts w:ascii="Arial" w:eastAsia="Times New Roman" w:hAnsi="Arial" w:cs="Arial"/>
          <w:sz w:val="20"/>
          <w:szCs w:val="20"/>
          <w:lang w:val="en-IN"/>
        </w:rPr>
        <w:t xml:space="preserve">. These organic acids regulate intestinal pH, inhibit pathogenic bacteria, and influence host immune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pathways. Additional metabolites such as </w:t>
      </w:r>
      <w:proofErr w:type="spellStart"/>
      <w:r w:rsidRPr="00CF06EE">
        <w:rPr>
          <w:rFonts w:ascii="Arial" w:eastAsia="Times New Roman" w:hAnsi="Arial" w:cs="Arial"/>
          <w:sz w:val="20"/>
          <w:szCs w:val="20"/>
          <w:lang w:val="en-IN"/>
        </w:rPr>
        <w:t>phenylactic</w:t>
      </w:r>
      <w:proofErr w:type="spellEnd"/>
      <w:r w:rsidRPr="00CF06EE">
        <w:rPr>
          <w:rFonts w:ascii="Arial" w:eastAsia="Times New Roman" w:hAnsi="Arial" w:cs="Arial"/>
          <w:sz w:val="20"/>
          <w:szCs w:val="20"/>
          <w:lang w:val="en-IN"/>
        </w:rPr>
        <w:t xml:space="preserve"> acid, ferulic acid, and hydroxyphenyl derivatives produced by </w:t>
      </w:r>
      <w:r w:rsidRPr="00CF06EE">
        <w:rPr>
          <w:rFonts w:ascii="Arial" w:eastAsia="Times New Roman" w:hAnsi="Arial" w:cs="Arial"/>
          <w:i/>
          <w:iCs/>
          <w:sz w:val="20"/>
          <w:szCs w:val="20"/>
          <w:lang w:val="en-IN"/>
        </w:rPr>
        <w:t>Bacillus</w:t>
      </w:r>
      <w:r w:rsidRPr="00CF06EE">
        <w:rPr>
          <w:rFonts w:ascii="Arial" w:eastAsia="Times New Roman" w:hAnsi="Arial" w:cs="Arial"/>
          <w:sz w:val="20"/>
          <w:szCs w:val="20"/>
          <w:lang w:val="en-IN"/>
        </w:rPr>
        <w:t xml:space="preserve"> and </w:t>
      </w:r>
      <w:proofErr w:type="spellStart"/>
      <w:r w:rsidRPr="00CF06EE">
        <w:rPr>
          <w:rFonts w:ascii="Arial" w:eastAsia="Times New Roman" w:hAnsi="Arial" w:cs="Arial"/>
          <w:i/>
          <w:iCs/>
          <w:sz w:val="20"/>
          <w:szCs w:val="20"/>
          <w:lang w:val="en-IN"/>
        </w:rPr>
        <w:t>Lactiplantibacillus</w:t>
      </w:r>
      <w:proofErr w:type="spellEnd"/>
      <w:r w:rsidRPr="00CF06EE">
        <w:rPr>
          <w:rFonts w:ascii="Arial" w:eastAsia="Times New Roman" w:hAnsi="Arial" w:cs="Arial"/>
          <w:sz w:val="20"/>
          <w:szCs w:val="20"/>
          <w:lang w:val="en-IN"/>
        </w:rPr>
        <w:t xml:space="preserve"> strains contribute antioxidant and antimicrobial functions</w:t>
      </w:r>
      <w:r w:rsidR="007875D8" w:rsidRPr="00CF06EE">
        <w:rPr>
          <w:rFonts w:ascii="Arial" w:eastAsia="Times New Roman" w:hAnsi="Arial" w:cs="Arial"/>
          <w:sz w:val="20"/>
          <w:szCs w:val="20"/>
          <w:lang w:val="en-IN"/>
        </w:rPr>
        <w:t xml:space="preserve"> (</w:t>
      </w:r>
      <w:r w:rsidR="007875D8" w:rsidRPr="00CF06EE">
        <w:rPr>
          <w:rFonts w:ascii="Arial" w:eastAsia="Times New Roman" w:hAnsi="Arial" w:cs="Arial"/>
          <w:sz w:val="20"/>
          <w:szCs w:val="20"/>
        </w:rPr>
        <w:t xml:space="preserve">Asefa, Z </w:t>
      </w:r>
      <w:r w:rsidR="007875D8" w:rsidRPr="00CF06EE">
        <w:rPr>
          <w:rFonts w:ascii="Arial" w:eastAsia="Times New Roman" w:hAnsi="Arial" w:cs="Arial"/>
          <w:i/>
          <w:iCs/>
          <w:sz w:val="20"/>
          <w:szCs w:val="20"/>
        </w:rPr>
        <w:t>et al.,</w:t>
      </w:r>
      <w:r w:rsidR="007875D8" w:rsidRPr="00CF06EE">
        <w:rPr>
          <w:rFonts w:ascii="Arial" w:eastAsia="Times New Roman" w:hAnsi="Arial" w:cs="Arial"/>
          <w:sz w:val="20"/>
          <w:szCs w:val="20"/>
        </w:rPr>
        <w:t xml:space="preserve"> 2025</w:t>
      </w:r>
      <w:r w:rsidR="007875D8" w:rsidRPr="00CF06EE">
        <w:rPr>
          <w:rFonts w:ascii="Arial" w:eastAsia="Times New Roman" w:hAnsi="Arial" w:cs="Arial"/>
          <w:sz w:val="20"/>
          <w:szCs w:val="20"/>
          <w:lang w:val="en-IN"/>
        </w:rPr>
        <w:t>)</w:t>
      </w:r>
      <w:r w:rsidRPr="00CF06EE">
        <w:rPr>
          <w:rFonts w:ascii="Arial" w:eastAsia="Times New Roman" w:hAnsi="Arial" w:cs="Arial"/>
          <w:sz w:val="20"/>
          <w:szCs w:val="20"/>
          <w:lang w:val="en-IN"/>
        </w:rPr>
        <w:t>. Through modulation of epithelial integrity and inflammatory responses, SCFAs play a central role in maintaining gut homeostasis and metabolic balance</w:t>
      </w:r>
      <w:r w:rsidR="009B48DF" w:rsidRPr="00CF06EE">
        <w:rPr>
          <w:rFonts w:ascii="Arial" w:eastAsia="Times New Roman" w:hAnsi="Arial" w:cs="Arial"/>
          <w:sz w:val="20"/>
          <w:szCs w:val="20"/>
          <w:lang w:val="en-IN"/>
        </w:rPr>
        <w:t xml:space="preserve"> (Calvanese, C. M </w:t>
      </w:r>
      <w:r w:rsidR="009B48DF" w:rsidRPr="00CF06EE">
        <w:rPr>
          <w:rFonts w:ascii="Arial" w:eastAsia="Times New Roman" w:hAnsi="Arial" w:cs="Arial"/>
          <w:i/>
          <w:iCs/>
          <w:sz w:val="20"/>
          <w:szCs w:val="20"/>
          <w:lang w:val="en-IN"/>
        </w:rPr>
        <w:t>et al.,</w:t>
      </w:r>
      <w:r w:rsidR="009B48DF" w:rsidRPr="00CF06EE">
        <w:rPr>
          <w:rFonts w:ascii="Arial" w:eastAsia="Times New Roman" w:hAnsi="Arial" w:cs="Arial"/>
          <w:sz w:val="20"/>
          <w:szCs w:val="20"/>
          <w:lang w:val="en-IN"/>
        </w:rPr>
        <w:t xml:space="preserve"> 2025)</w:t>
      </w:r>
      <w:r w:rsidRPr="00CF06EE">
        <w:rPr>
          <w:rFonts w:ascii="Arial" w:eastAsia="Times New Roman" w:hAnsi="Arial" w:cs="Arial"/>
          <w:sz w:val="20"/>
          <w:szCs w:val="20"/>
          <w:lang w:val="en-IN"/>
        </w:rPr>
        <w:t>.</w:t>
      </w:r>
    </w:p>
    <w:p w14:paraId="71B16BC9" w14:textId="4B15C1C8" w:rsidR="005E2010" w:rsidRPr="00CF06EE" w:rsidRDefault="005E2010" w:rsidP="006A3041">
      <w:pPr>
        <w:spacing w:after="0" w:line="240" w:lineRule="auto"/>
        <w:jc w:val="both"/>
        <w:rPr>
          <w:rFonts w:ascii="Arial" w:eastAsia="Times New Roman" w:hAnsi="Arial" w:cs="Arial"/>
          <w:b/>
          <w:bCs/>
          <w:sz w:val="22"/>
          <w:szCs w:val="22"/>
          <w:lang w:val="en-IN"/>
        </w:rPr>
      </w:pPr>
    </w:p>
    <w:p w14:paraId="3E80E246" w14:textId="1BA1FE8C" w:rsidR="005E2010"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4</w:t>
      </w:r>
      <w:r w:rsidR="005E2010" w:rsidRPr="00CF06EE">
        <w:rPr>
          <w:rFonts w:ascii="Arial" w:eastAsia="Times New Roman" w:hAnsi="Arial" w:cs="Arial"/>
          <w:b/>
          <w:bCs/>
          <w:sz w:val="22"/>
          <w:szCs w:val="22"/>
          <w:lang w:val="en-IN"/>
        </w:rPr>
        <w:t>.2 Polysaccharides, Exopolysaccharides and Cell Wall Structures</w:t>
      </w:r>
    </w:p>
    <w:p w14:paraId="717572C4" w14:textId="024BEBFE" w:rsidR="005E2010" w:rsidRPr="00CF06EE" w:rsidRDefault="005E2010"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Polysaccharides and exopolysaccharides are major structural components detected in postbiotic preparations. Dextran, oligosaccharides, β-glucans, and </w:t>
      </w:r>
      <w:proofErr w:type="spellStart"/>
      <w:r w:rsidRPr="00CF06EE">
        <w:rPr>
          <w:rFonts w:ascii="Arial" w:eastAsia="Times New Roman" w:hAnsi="Arial" w:cs="Arial"/>
          <w:sz w:val="20"/>
          <w:szCs w:val="20"/>
          <w:lang w:val="en-IN"/>
        </w:rPr>
        <w:t>uronic</w:t>
      </w:r>
      <w:proofErr w:type="spellEnd"/>
      <w:r w:rsidRPr="00CF06EE">
        <w:rPr>
          <w:rFonts w:ascii="Arial" w:eastAsia="Times New Roman" w:hAnsi="Arial" w:cs="Arial"/>
          <w:sz w:val="20"/>
          <w:szCs w:val="20"/>
          <w:lang w:val="en-IN"/>
        </w:rPr>
        <w:t xml:space="preserve"> acid–rich polymers derived from </w:t>
      </w:r>
      <w:proofErr w:type="spellStart"/>
      <w:r w:rsidRPr="00CF06EE">
        <w:rPr>
          <w:rFonts w:ascii="Arial" w:eastAsia="Times New Roman" w:hAnsi="Arial" w:cs="Arial"/>
          <w:i/>
          <w:iCs/>
          <w:sz w:val="20"/>
          <w:szCs w:val="20"/>
          <w:lang w:val="en-IN"/>
        </w:rPr>
        <w:t>Leuconostoc</w:t>
      </w:r>
      <w:proofErr w:type="spellEnd"/>
      <w:r w:rsidRPr="00CF06EE">
        <w:rPr>
          <w:rFonts w:ascii="Arial" w:eastAsia="Times New Roman" w:hAnsi="Arial" w:cs="Arial"/>
          <w:sz w:val="20"/>
          <w:szCs w:val="20"/>
          <w:lang w:val="en-IN"/>
        </w:rPr>
        <w:t xml:space="preserve">, </w:t>
      </w:r>
      <w:r w:rsidRPr="00CF06EE">
        <w:rPr>
          <w:rFonts w:ascii="Arial" w:eastAsia="Times New Roman" w:hAnsi="Arial" w:cs="Arial"/>
          <w:i/>
          <w:iCs/>
          <w:sz w:val="20"/>
          <w:szCs w:val="20"/>
          <w:lang w:val="en-IN"/>
        </w:rPr>
        <w:t>Bifidobacterium</w:t>
      </w:r>
      <w:r w:rsidRPr="00CF06EE">
        <w:rPr>
          <w:rFonts w:ascii="Arial" w:eastAsia="Times New Roman" w:hAnsi="Arial" w:cs="Arial"/>
          <w:sz w:val="20"/>
          <w:szCs w:val="20"/>
          <w:lang w:val="en-IN"/>
        </w:rPr>
        <w:t>, and fungal sources exhibit immunomodulatory and anti-inflammatory properties</w:t>
      </w:r>
      <w:r w:rsidR="00196DAA" w:rsidRPr="00CF06EE">
        <w:rPr>
          <w:rFonts w:ascii="Arial" w:eastAsia="Times New Roman" w:hAnsi="Arial" w:cs="Arial"/>
          <w:sz w:val="20"/>
          <w:szCs w:val="20"/>
          <w:lang w:val="en-IN"/>
        </w:rPr>
        <w:t xml:space="preserve"> (</w:t>
      </w:r>
      <w:r w:rsidR="00ED29B8" w:rsidRPr="00CF06EE">
        <w:rPr>
          <w:rFonts w:ascii="Arial" w:eastAsia="Times New Roman" w:hAnsi="Arial" w:cs="Arial"/>
          <w:sz w:val="20"/>
          <w:szCs w:val="20"/>
        </w:rPr>
        <w:t xml:space="preserve">Moradi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2020</w:t>
      </w:r>
      <w:r w:rsidR="00ED29B8" w:rsidRPr="00CF06EE">
        <w:rPr>
          <w:rFonts w:ascii="Arial" w:eastAsia="Times New Roman" w:hAnsi="Arial" w:cs="Arial"/>
          <w:sz w:val="20"/>
          <w:szCs w:val="20"/>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008E2905" w:rsidRPr="00CF06EE">
        <w:rPr>
          <w:rFonts w:ascii="Arial" w:eastAsia="Times New Roman" w:hAnsi="Arial" w:cs="Arial"/>
          <w:sz w:val="20"/>
          <w:szCs w:val="20"/>
        </w:rPr>
        <w:t xml:space="preserve">; </w:t>
      </w:r>
      <w:r w:rsidR="008E2905" w:rsidRPr="00CF06EE">
        <w:rPr>
          <w:rFonts w:ascii="Arial" w:eastAsia="Times New Roman" w:hAnsi="Arial" w:cs="Arial"/>
          <w:sz w:val="20"/>
          <w:szCs w:val="20"/>
        </w:rPr>
        <w:t xml:space="preserve">Moghadam </w:t>
      </w:r>
      <w:r w:rsidR="008E2905" w:rsidRPr="00CF06EE">
        <w:rPr>
          <w:rFonts w:ascii="Arial" w:eastAsia="Times New Roman" w:hAnsi="Arial" w:cs="Arial"/>
          <w:i/>
          <w:iCs/>
          <w:sz w:val="20"/>
          <w:szCs w:val="20"/>
        </w:rPr>
        <w:t>et al.,</w:t>
      </w:r>
      <w:r w:rsidR="008E2905" w:rsidRPr="00CF06EE">
        <w:rPr>
          <w:rFonts w:ascii="Arial" w:eastAsia="Times New Roman" w:hAnsi="Arial" w:cs="Arial"/>
          <w:sz w:val="20"/>
          <w:szCs w:val="20"/>
        </w:rPr>
        <w:t xml:space="preserve"> 2026</w:t>
      </w:r>
      <w:r w:rsidR="00196DAA" w:rsidRPr="00CF06EE">
        <w:rPr>
          <w:rFonts w:ascii="Arial" w:eastAsia="Times New Roman" w:hAnsi="Arial" w:cs="Arial"/>
          <w:sz w:val="20"/>
          <w:szCs w:val="20"/>
        </w:rPr>
        <w:t>)</w:t>
      </w:r>
      <w:r w:rsidRPr="00CF06EE">
        <w:rPr>
          <w:rFonts w:ascii="Arial" w:eastAsia="Times New Roman" w:hAnsi="Arial" w:cs="Arial"/>
          <w:sz w:val="20"/>
          <w:szCs w:val="20"/>
          <w:lang w:val="en-IN"/>
        </w:rPr>
        <w:t>. Peptidoglycan fragments composed of N-acetylglucosamine and N-acetylmuramic acid residues further contribute to immune activation and barrier function</w:t>
      </w:r>
      <w:r w:rsidR="00D126B8" w:rsidRPr="00CF06EE">
        <w:rPr>
          <w:rFonts w:ascii="Arial" w:eastAsia="Times New Roman" w:hAnsi="Arial" w:cs="Arial"/>
          <w:sz w:val="20"/>
          <w:szCs w:val="20"/>
          <w:lang w:val="en-IN"/>
        </w:rPr>
        <w:t xml:space="preserve"> (</w:t>
      </w:r>
      <w:r w:rsidR="00D126B8" w:rsidRPr="00CF06EE">
        <w:rPr>
          <w:rFonts w:ascii="Arial" w:eastAsia="Times New Roman" w:hAnsi="Arial" w:cs="Arial"/>
          <w:sz w:val="20"/>
          <w:szCs w:val="20"/>
        </w:rPr>
        <w:t>Wegh et al., 2019</w:t>
      </w:r>
      <w:r w:rsidR="00D126B8" w:rsidRPr="00CF06EE">
        <w:rPr>
          <w:rFonts w:ascii="Arial" w:eastAsia="Times New Roman" w:hAnsi="Arial" w:cs="Arial"/>
          <w:sz w:val="20"/>
          <w:szCs w:val="20"/>
          <w:lang w:val="en-IN"/>
        </w:rPr>
        <w:t>)</w:t>
      </w:r>
      <w:r w:rsidRPr="00CF06EE">
        <w:rPr>
          <w:rFonts w:ascii="Arial" w:eastAsia="Times New Roman" w:hAnsi="Arial" w:cs="Arial"/>
          <w:sz w:val="20"/>
          <w:szCs w:val="20"/>
          <w:lang w:val="en-IN"/>
        </w:rPr>
        <w:t>. These structural molecules highlight how non-viable microbial components can elicit significant biological responses</w:t>
      </w:r>
      <w:r w:rsidR="007875D8" w:rsidRPr="00CF06EE">
        <w:rPr>
          <w:rFonts w:ascii="Arial" w:eastAsia="Times New Roman" w:hAnsi="Arial" w:cs="Arial"/>
          <w:sz w:val="20"/>
          <w:szCs w:val="20"/>
          <w:lang w:val="en-IN"/>
        </w:rPr>
        <w:t xml:space="preserve"> (</w:t>
      </w:r>
      <w:r w:rsidR="007875D8" w:rsidRPr="00CF06EE">
        <w:rPr>
          <w:rFonts w:ascii="Arial" w:eastAsia="Times New Roman" w:hAnsi="Arial" w:cs="Arial"/>
          <w:sz w:val="20"/>
          <w:szCs w:val="20"/>
        </w:rPr>
        <w:t xml:space="preserve">Asefa, Z </w:t>
      </w:r>
      <w:r w:rsidR="007875D8" w:rsidRPr="00CF06EE">
        <w:rPr>
          <w:rFonts w:ascii="Arial" w:eastAsia="Times New Roman" w:hAnsi="Arial" w:cs="Arial"/>
          <w:i/>
          <w:iCs/>
          <w:sz w:val="20"/>
          <w:szCs w:val="20"/>
        </w:rPr>
        <w:t>et al.,</w:t>
      </w:r>
      <w:r w:rsidR="007875D8" w:rsidRPr="00CF06EE">
        <w:rPr>
          <w:rFonts w:ascii="Arial" w:eastAsia="Times New Roman" w:hAnsi="Arial" w:cs="Arial"/>
          <w:sz w:val="20"/>
          <w:szCs w:val="20"/>
        </w:rPr>
        <w:t xml:space="preserve"> 2025</w:t>
      </w:r>
      <w:r w:rsidR="007875D8" w:rsidRPr="00CF06EE">
        <w:rPr>
          <w:rFonts w:ascii="Arial" w:eastAsia="Times New Roman" w:hAnsi="Arial" w:cs="Arial"/>
          <w:sz w:val="20"/>
          <w:szCs w:val="20"/>
          <w:lang w:val="en-IN"/>
        </w:rPr>
        <w:t>)</w:t>
      </w:r>
      <w:r w:rsidRPr="00CF06EE">
        <w:rPr>
          <w:rFonts w:ascii="Arial" w:eastAsia="Times New Roman" w:hAnsi="Arial" w:cs="Arial"/>
          <w:sz w:val="20"/>
          <w:szCs w:val="20"/>
          <w:lang w:val="en-IN"/>
        </w:rPr>
        <w:t>.</w:t>
      </w:r>
    </w:p>
    <w:p w14:paraId="41C0B327" w14:textId="58D3A961" w:rsidR="005E2010" w:rsidRPr="00CF06EE" w:rsidRDefault="005E2010" w:rsidP="006A3041">
      <w:pPr>
        <w:spacing w:after="0" w:line="240" w:lineRule="auto"/>
        <w:jc w:val="both"/>
        <w:rPr>
          <w:rFonts w:ascii="Arial" w:eastAsia="Times New Roman" w:hAnsi="Arial" w:cs="Arial"/>
          <w:b/>
          <w:bCs/>
          <w:sz w:val="20"/>
          <w:szCs w:val="20"/>
          <w:lang w:val="en-IN"/>
        </w:rPr>
      </w:pPr>
    </w:p>
    <w:p w14:paraId="18A5B304" w14:textId="4713688C" w:rsidR="005E2010"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4</w:t>
      </w:r>
      <w:r w:rsidR="005E2010" w:rsidRPr="00CF06EE">
        <w:rPr>
          <w:rFonts w:ascii="Arial" w:eastAsia="Times New Roman" w:hAnsi="Arial" w:cs="Arial"/>
          <w:b/>
          <w:bCs/>
          <w:sz w:val="22"/>
          <w:szCs w:val="22"/>
          <w:lang w:val="en-IN"/>
        </w:rPr>
        <w:t>.3 Enzymes, Bioactive Peptides and Bacteriocins</w:t>
      </w:r>
    </w:p>
    <w:p w14:paraId="27D15DBF" w14:textId="64CF006E" w:rsidR="005E2010" w:rsidRPr="00CF06EE" w:rsidRDefault="005E2010"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lastRenderedPageBreak/>
        <w:t xml:space="preserve">Postbiotic formulations frequently contain enzyme systems and peptide-based molecules that enhance antioxidant </w:t>
      </w:r>
      <w:proofErr w:type="spellStart"/>
      <w:r w:rsidRPr="00CF06EE">
        <w:rPr>
          <w:rFonts w:ascii="Arial" w:eastAsia="Times New Roman" w:hAnsi="Arial" w:cs="Arial"/>
          <w:sz w:val="20"/>
          <w:szCs w:val="20"/>
          <w:lang w:val="en-IN"/>
        </w:rPr>
        <w:t>defense</w:t>
      </w:r>
      <w:proofErr w:type="spellEnd"/>
      <w:r w:rsidRPr="00CF06EE">
        <w:rPr>
          <w:rFonts w:ascii="Arial" w:eastAsia="Times New Roman" w:hAnsi="Arial" w:cs="Arial"/>
          <w:sz w:val="20"/>
          <w:szCs w:val="20"/>
          <w:lang w:val="en-IN"/>
        </w:rPr>
        <w:t xml:space="preserve"> and antimicrobial activity</w:t>
      </w:r>
      <w:r w:rsidR="00D126B8" w:rsidRPr="00CF06EE">
        <w:rPr>
          <w:rFonts w:ascii="Arial" w:eastAsia="Times New Roman" w:hAnsi="Arial" w:cs="Arial"/>
          <w:sz w:val="20"/>
          <w:szCs w:val="20"/>
          <w:lang w:val="en-IN"/>
        </w:rPr>
        <w:t xml:space="preserve"> (</w:t>
      </w:r>
      <w:r w:rsidR="00D126B8" w:rsidRPr="00CF06EE">
        <w:rPr>
          <w:rFonts w:ascii="Arial" w:eastAsia="Times New Roman" w:hAnsi="Arial" w:cs="Arial"/>
          <w:sz w:val="20"/>
          <w:szCs w:val="20"/>
        </w:rPr>
        <w:t>Wegh et al., 2019</w:t>
      </w:r>
      <w:r w:rsidR="00A57F79" w:rsidRPr="00CF06EE">
        <w:rPr>
          <w:rFonts w:ascii="Arial" w:eastAsia="Times New Roman" w:hAnsi="Arial" w:cs="Arial"/>
          <w:sz w:val="20"/>
          <w:szCs w:val="20"/>
        </w:rPr>
        <w:t xml:space="preserve">; </w:t>
      </w:r>
      <w:r w:rsidR="00A57F79" w:rsidRPr="00CF06EE">
        <w:rPr>
          <w:rFonts w:ascii="Arial" w:eastAsia="Times New Roman" w:hAnsi="Arial" w:cs="Arial"/>
          <w:sz w:val="20"/>
          <w:szCs w:val="20"/>
        </w:rPr>
        <w:t xml:space="preserve">Hosseini </w:t>
      </w:r>
      <w:r w:rsidR="00A57F79" w:rsidRPr="00CF06EE">
        <w:rPr>
          <w:rFonts w:ascii="Arial" w:eastAsia="Times New Roman" w:hAnsi="Arial" w:cs="Arial"/>
          <w:i/>
          <w:iCs/>
          <w:sz w:val="20"/>
          <w:szCs w:val="20"/>
        </w:rPr>
        <w:t>et al.,</w:t>
      </w:r>
      <w:r w:rsidR="00A57F79" w:rsidRPr="00CF06EE">
        <w:rPr>
          <w:rFonts w:ascii="Arial" w:eastAsia="Times New Roman" w:hAnsi="Arial" w:cs="Arial"/>
          <w:sz w:val="20"/>
          <w:szCs w:val="20"/>
        </w:rPr>
        <w:t xml:space="preserve"> 2021</w:t>
      </w:r>
      <w:r w:rsidR="00D126B8" w:rsidRPr="00CF06EE">
        <w:rPr>
          <w:rFonts w:ascii="Arial" w:eastAsia="Times New Roman" w:hAnsi="Arial" w:cs="Arial"/>
          <w:sz w:val="20"/>
          <w:szCs w:val="20"/>
          <w:lang w:val="en-IN"/>
        </w:rPr>
        <w:t>)</w:t>
      </w:r>
      <w:r w:rsidRPr="00CF06EE">
        <w:rPr>
          <w:rFonts w:ascii="Arial" w:eastAsia="Times New Roman" w:hAnsi="Arial" w:cs="Arial"/>
          <w:sz w:val="20"/>
          <w:szCs w:val="20"/>
          <w:lang w:val="en-IN"/>
        </w:rPr>
        <w:t>. Enzymes such as superoxide dismutase, catalase, and glutathione peroxidase support oxidative stress regulation, whereas peptides derived from lactic acid bacteria demonstrate roles in immune modulation and metabolic regulation</w:t>
      </w:r>
      <w:r w:rsidR="007875D8" w:rsidRPr="00CF06EE">
        <w:rPr>
          <w:rFonts w:ascii="Arial" w:eastAsia="Times New Roman" w:hAnsi="Arial" w:cs="Arial"/>
          <w:sz w:val="20"/>
          <w:szCs w:val="20"/>
          <w:lang w:val="en-IN"/>
        </w:rPr>
        <w:t xml:space="preserve"> (</w:t>
      </w:r>
      <w:r w:rsidR="00ED29B8" w:rsidRPr="00CF06EE">
        <w:rPr>
          <w:rFonts w:ascii="Arial" w:eastAsia="Times New Roman" w:hAnsi="Arial" w:cs="Arial"/>
          <w:sz w:val="20"/>
          <w:szCs w:val="20"/>
        </w:rPr>
        <w:t xml:space="preserve">Moradi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2020</w:t>
      </w:r>
      <w:r w:rsidR="00ED29B8" w:rsidRPr="00CF06EE">
        <w:rPr>
          <w:rFonts w:ascii="Arial" w:eastAsia="Times New Roman" w:hAnsi="Arial" w:cs="Arial"/>
          <w:sz w:val="20"/>
          <w:szCs w:val="20"/>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 xml:space="preserve">2025; </w:t>
      </w:r>
      <w:r w:rsidR="007875D8" w:rsidRPr="00CF06EE">
        <w:rPr>
          <w:rFonts w:ascii="Arial" w:eastAsia="Times New Roman" w:hAnsi="Arial" w:cs="Arial"/>
          <w:sz w:val="20"/>
          <w:szCs w:val="20"/>
        </w:rPr>
        <w:t xml:space="preserve">Asefa, Z </w:t>
      </w:r>
      <w:r w:rsidR="007875D8" w:rsidRPr="00CF06EE">
        <w:rPr>
          <w:rFonts w:ascii="Arial" w:eastAsia="Times New Roman" w:hAnsi="Arial" w:cs="Arial"/>
          <w:i/>
          <w:iCs/>
          <w:sz w:val="20"/>
          <w:szCs w:val="20"/>
        </w:rPr>
        <w:t>et al.,</w:t>
      </w:r>
      <w:r w:rsidR="007875D8" w:rsidRPr="00CF06EE">
        <w:rPr>
          <w:rFonts w:ascii="Arial" w:eastAsia="Times New Roman" w:hAnsi="Arial" w:cs="Arial"/>
          <w:sz w:val="20"/>
          <w:szCs w:val="20"/>
        </w:rPr>
        <w:t xml:space="preserve"> 2025</w:t>
      </w:r>
      <w:r w:rsidR="0054777D" w:rsidRPr="00CF06EE">
        <w:rPr>
          <w:rFonts w:ascii="Arial" w:eastAsia="Times New Roman" w:hAnsi="Arial" w:cs="Arial"/>
          <w:sz w:val="20"/>
          <w:szCs w:val="20"/>
        </w:rPr>
        <w:t>; Mafe, A. N et al., 2025;</w:t>
      </w:r>
      <w:r w:rsidR="007875D8" w:rsidRPr="00CF06EE">
        <w:rPr>
          <w:rFonts w:ascii="Arial" w:eastAsia="Times New Roman" w:hAnsi="Arial" w:cs="Arial"/>
          <w:sz w:val="20"/>
          <w:szCs w:val="20"/>
          <w:lang w:val="en-IN"/>
        </w:rPr>
        <w:t>)</w:t>
      </w:r>
      <w:r w:rsidRPr="00CF06EE">
        <w:rPr>
          <w:rFonts w:ascii="Arial" w:eastAsia="Times New Roman" w:hAnsi="Arial" w:cs="Arial"/>
          <w:sz w:val="20"/>
          <w:szCs w:val="20"/>
          <w:lang w:val="en-IN"/>
        </w:rPr>
        <w:t xml:space="preserve">. Antimicrobial peptides including </w:t>
      </w:r>
      <w:proofErr w:type="spellStart"/>
      <w:r w:rsidRPr="00CF06EE">
        <w:rPr>
          <w:rFonts w:ascii="Arial" w:eastAsia="Times New Roman" w:hAnsi="Arial" w:cs="Arial"/>
          <w:sz w:val="20"/>
          <w:szCs w:val="20"/>
          <w:lang w:val="en-IN"/>
        </w:rPr>
        <w:t>enterocins</w:t>
      </w:r>
      <w:proofErr w:type="spellEnd"/>
      <w:r w:rsidRPr="00CF06EE">
        <w:rPr>
          <w:rFonts w:ascii="Arial" w:eastAsia="Times New Roman" w:hAnsi="Arial" w:cs="Arial"/>
          <w:sz w:val="20"/>
          <w:szCs w:val="20"/>
          <w:lang w:val="en-IN"/>
        </w:rPr>
        <w:t xml:space="preserve"> and </w:t>
      </w:r>
      <w:proofErr w:type="spellStart"/>
      <w:r w:rsidRPr="00CF06EE">
        <w:rPr>
          <w:rFonts w:ascii="Arial" w:eastAsia="Times New Roman" w:hAnsi="Arial" w:cs="Arial"/>
          <w:sz w:val="20"/>
          <w:szCs w:val="20"/>
          <w:lang w:val="en-IN"/>
        </w:rPr>
        <w:t>salivaricins</w:t>
      </w:r>
      <w:proofErr w:type="spellEnd"/>
      <w:r w:rsidRPr="00CF06EE">
        <w:rPr>
          <w:rFonts w:ascii="Arial" w:eastAsia="Times New Roman" w:hAnsi="Arial" w:cs="Arial"/>
          <w:sz w:val="20"/>
          <w:szCs w:val="20"/>
          <w:lang w:val="en-IN"/>
        </w:rPr>
        <w:t xml:space="preserve"> exemplify bacteriocins capable of suppressing pathogenic microorganisms without disrupting beneficial microbiota</w:t>
      </w:r>
      <w:r w:rsidR="009B48DF" w:rsidRPr="00CF06EE">
        <w:rPr>
          <w:rFonts w:ascii="Arial" w:eastAsia="Times New Roman" w:hAnsi="Arial" w:cs="Arial"/>
          <w:sz w:val="20"/>
          <w:szCs w:val="20"/>
          <w:lang w:val="en-IN"/>
        </w:rPr>
        <w:t xml:space="preserve"> (Calvanese, C. M </w:t>
      </w:r>
      <w:r w:rsidR="009B48DF" w:rsidRPr="00CF06EE">
        <w:rPr>
          <w:rFonts w:ascii="Arial" w:eastAsia="Times New Roman" w:hAnsi="Arial" w:cs="Arial"/>
          <w:i/>
          <w:iCs/>
          <w:sz w:val="20"/>
          <w:szCs w:val="20"/>
          <w:lang w:val="en-IN"/>
        </w:rPr>
        <w:t>et al.,</w:t>
      </w:r>
      <w:r w:rsidR="009B48DF" w:rsidRPr="00CF06EE">
        <w:rPr>
          <w:rFonts w:ascii="Arial" w:eastAsia="Times New Roman" w:hAnsi="Arial" w:cs="Arial"/>
          <w:sz w:val="20"/>
          <w:szCs w:val="20"/>
          <w:lang w:val="en-IN"/>
        </w:rPr>
        <w:t xml:space="preserve"> 2025)</w:t>
      </w:r>
      <w:r w:rsidRPr="00CF06EE">
        <w:rPr>
          <w:rFonts w:ascii="Arial" w:eastAsia="Times New Roman" w:hAnsi="Arial" w:cs="Arial"/>
          <w:sz w:val="20"/>
          <w:szCs w:val="20"/>
          <w:lang w:val="en-IN"/>
        </w:rPr>
        <w:t>.</w:t>
      </w:r>
    </w:p>
    <w:p w14:paraId="26063231" w14:textId="1CB803CE" w:rsidR="005E2010" w:rsidRPr="00CF06EE" w:rsidRDefault="005E2010" w:rsidP="006A3041">
      <w:pPr>
        <w:spacing w:after="0" w:line="240" w:lineRule="auto"/>
        <w:jc w:val="both"/>
        <w:rPr>
          <w:rFonts w:ascii="Arial" w:eastAsia="Times New Roman" w:hAnsi="Arial" w:cs="Arial"/>
          <w:b/>
          <w:bCs/>
          <w:sz w:val="20"/>
          <w:szCs w:val="20"/>
          <w:lang w:val="en-IN"/>
        </w:rPr>
      </w:pPr>
    </w:p>
    <w:p w14:paraId="56C0586B" w14:textId="34DA5D1E" w:rsidR="005E2010" w:rsidRPr="00CF06EE" w:rsidRDefault="00F22CA2" w:rsidP="006A3041">
      <w:pPr>
        <w:spacing w:after="0" w:line="240" w:lineRule="auto"/>
        <w:jc w:val="both"/>
        <w:rPr>
          <w:rFonts w:ascii="Arial" w:eastAsia="Times New Roman" w:hAnsi="Arial" w:cs="Arial"/>
          <w:b/>
          <w:bCs/>
          <w:sz w:val="20"/>
          <w:szCs w:val="20"/>
          <w:lang w:val="en-IN"/>
        </w:rPr>
      </w:pPr>
      <w:r w:rsidRPr="00CF06EE">
        <w:rPr>
          <w:rFonts w:ascii="Arial" w:eastAsia="Times New Roman" w:hAnsi="Arial" w:cs="Arial"/>
          <w:b/>
          <w:bCs/>
          <w:sz w:val="22"/>
          <w:szCs w:val="22"/>
          <w:lang w:val="en-IN"/>
        </w:rPr>
        <w:t>4</w:t>
      </w:r>
      <w:r w:rsidR="005E2010" w:rsidRPr="00CF06EE">
        <w:rPr>
          <w:rFonts w:ascii="Arial" w:eastAsia="Times New Roman" w:hAnsi="Arial" w:cs="Arial"/>
          <w:b/>
          <w:bCs/>
          <w:sz w:val="22"/>
          <w:szCs w:val="22"/>
          <w:lang w:val="en-IN"/>
        </w:rPr>
        <w:t>.4 Teichoic Acids, Vitamins and Cellular Metabolites</w:t>
      </w:r>
    </w:p>
    <w:p w14:paraId="2C0CD9D0" w14:textId="68366657" w:rsidR="005E2010" w:rsidRPr="00CF06EE" w:rsidRDefault="005E2010"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Teichoic acids and lipoteichoic acids, characteristic of Gram-positive bacterial cell walls, are increasingly recognized as functional postbiotic components. These anionic polymers interact with host immune receptors and regulate inflammatory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pathways</w:t>
      </w:r>
      <w:r w:rsidR="00196DAA" w:rsidRPr="00CF06EE">
        <w:rPr>
          <w:rFonts w:ascii="Arial" w:eastAsia="Times New Roman" w:hAnsi="Arial" w:cs="Arial"/>
          <w:sz w:val="20"/>
          <w:szCs w:val="20"/>
          <w:lang w:val="en-IN"/>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Pr="00CF06EE">
        <w:rPr>
          <w:rFonts w:ascii="Arial" w:eastAsia="Times New Roman" w:hAnsi="Arial" w:cs="Arial"/>
          <w:sz w:val="20"/>
          <w:szCs w:val="20"/>
          <w:lang w:val="en-IN"/>
        </w:rPr>
        <w:t>. In addition, microbial fermentation produces vitamins such as riboflavin (B2), vitamin B12, folate, and vitamin K, contributing to nutritional and metabolic benefits. Aromatic metabolites, amino acid derivatives, and co-factor molecules produced by yeast and fungal sources further expand the biochemical diversity of postbiotics</w:t>
      </w:r>
      <w:r w:rsidR="007875D8" w:rsidRPr="00CF06EE">
        <w:rPr>
          <w:rFonts w:ascii="Arial" w:eastAsia="Times New Roman" w:hAnsi="Arial" w:cs="Arial"/>
          <w:sz w:val="20"/>
          <w:szCs w:val="20"/>
          <w:lang w:val="en-IN"/>
        </w:rPr>
        <w:t xml:space="preserve"> (</w:t>
      </w:r>
      <w:r w:rsidR="007875D8" w:rsidRPr="00CF06EE">
        <w:rPr>
          <w:rFonts w:ascii="Arial" w:eastAsia="Times New Roman" w:hAnsi="Arial" w:cs="Arial"/>
          <w:sz w:val="20"/>
          <w:szCs w:val="20"/>
        </w:rPr>
        <w:t xml:space="preserve">Asefa, Z </w:t>
      </w:r>
      <w:r w:rsidR="007875D8" w:rsidRPr="00CF06EE">
        <w:rPr>
          <w:rFonts w:ascii="Arial" w:eastAsia="Times New Roman" w:hAnsi="Arial" w:cs="Arial"/>
          <w:i/>
          <w:iCs/>
          <w:sz w:val="20"/>
          <w:szCs w:val="20"/>
        </w:rPr>
        <w:t>et al.,</w:t>
      </w:r>
      <w:r w:rsidR="007875D8" w:rsidRPr="00CF06EE">
        <w:rPr>
          <w:rFonts w:ascii="Arial" w:eastAsia="Times New Roman" w:hAnsi="Arial" w:cs="Arial"/>
          <w:sz w:val="20"/>
          <w:szCs w:val="20"/>
        </w:rPr>
        <w:t xml:space="preserve"> 2025</w:t>
      </w:r>
      <w:r w:rsidR="007875D8" w:rsidRPr="00CF06EE">
        <w:rPr>
          <w:rFonts w:ascii="Arial" w:eastAsia="Times New Roman" w:hAnsi="Arial" w:cs="Arial"/>
          <w:sz w:val="20"/>
          <w:szCs w:val="20"/>
          <w:lang w:val="en-IN"/>
        </w:rPr>
        <w:t>)</w:t>
      </w:r>
      <w:r w:rsidRPr="00CF06EE">
        <w:rPr>
          <w:rFonts w:ascii="Arial" w:eastAsia="Times New Roman" w:hAnsi="Arial" w:cs="Arial"/>
          <w:sz w:val="20"/>
          <w:szCs w:val="20"/>
          <w:lang w:val="en-IN"/>
        </w:rPr>
        <w:t>.</w:t>
      </w:r>
    </w:p>
    <w:p w14:paraId="040CCB58" w14:textId="5A76A9C3" w:rsidR="005E2010" w:rsidRPr="00CF06EE" w:rsidRDefault="005E2010" w:rsidP="006A3041">
      <w:pPr>
        <w:spacing w:after="0" w:line="240" w:lineRule="auto"/>
        <w:jc w:val="both"/>
        <w:rPr>
          <w:rFonts w:ascii="Arial" w:eastAsia="Times New Roman" w:hAnsi="Arial" w:cs="Arial"/>
          <w:b/>
          <w:bCs/>
          <w:sz w:val="20"/>
          <w:szCs w:val="20"/>
          <w:lang w:val="en-IN"/>
        </w:rPr>
      </w:pPr>
    </w:p>
    <w:p w14:paraId="79E1AD15" w14:textId="189D0FA2" w:rsidR="005E2010" w:rsidRPr="00CF06EE" w:rsidRDefault="00F22CA2" w:rsidP="006A3041">
      <w:pPr>
        <w:spacing w:after="0" w:line="240" w:lineRule="auto"/>
        <w:jc w:val="both"/>
        <w:rPr>
          <w:rFonts w:ascii="Arial" w:eastAsia="Times New Roman" w:hAnsi="Arial" w:cs="Arial"/>
          <w:b/>
          <w:bCs/>
          <w:sz w:val="20"/>
          <w:szCs w:val="20"/>
          <w:lang w:val="en-IN"/>
        </w:rPr>
      </w:pPr>
      <w:r w:rsidRPr="00CF06EE">
        <w:rPr>
          <w:rFonts w:ascii="Arial" w:eastAsia="Times New Roman" w:hAnsi="Arial" w:cs="Arial"/>
          <w:b/>
          <w:bCs/>
          <w:sz w:val="22"/>
          <w:szCs w:val="22"/>
          <w:lang w:val="en-IN"/>
        </w:rPr>
        <w:t>4</w:t>
      </w:r>
      <w:r w:rsidR="005E2010" w:rsidRPr="00CF06EE">
        <w:rPr>
          <w:rFonts w:ascii="Arial" w:eastAsia="Times New Roman" w:hAnsi="Arial" w:cs="Arial"/>
          <w:b/>
          <w:bCs/>
          <w:sz w:val="22"/>
          <w:szCs w:val="22"/>
          <w:lang w:val="en-IN"/>
        </w:rPr>
        <w:t>.5 Functional Diversity Driven by Microbial Sources</w:t>
      </w:r>
    </w:p>
    <w:p w14:paraId="61B9EEB8" w14:textId="7BBA9044" w:rsidR="005E2010" w:rsidRPr="00CF06EE" w:rsidRDefault="005E2010"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The functional properties of postbiotics are closely linked to the metabolic capabilities of their microbial producers. Bacterial strains primarily generate organic acids, peptides, and bacteriocins, whereas yeast and fungal sources contribute complex polysaccharides and secondary metabolites</w:t>
      </w:r>
      <w:r w:rsidR="00A82640" w:rsidRPr="00CF06EE">
        <w:rPr>
          <w:rFonts w:ascii="Arial" w:eastAsia="Times New Roman" w:hAnsi="Arial" w:cs="Arial"/>
          <w:sz w:val="20"/>
          <w:szCs w:val="20"/>
          <w:lang w:val="en-IN"/>
        </w:rPr>
        <w:t xml:space="preserve"> (</w:t>
      </w:r>
      <w:proofErr w:type="spellStart"/>
      <w:r w:rsidR="00A82640" w:rsidRPr="00CF06EE">
        <w:rPr>
          <w:rFonts w:ascii="Arial" w:eastAsia="Times New Roman" w:hAnsi="Arial" w:cs="Arial"/>
          <w:sz w:val="20"/>
          <w:szCs w:val="20"/>
        </w:rPr>
        <w:t>Amobonye</w:t>
      </w:r>
      <w:proofErr w:type="spellEnd"/>
      <w:r w:rsidR="00A82640" w:rsidRPr="00CF06EE">
        <w:rPr>
          <w:rFonts w:ascii="Arial" w:eastAsia="Times New Roman" w:hAnsi="Arial" w:cs="Arial"/>
          <w:sz w:val="20"/>
          <w:szCs w:val="20"/>
        </w:rPr>
        <w:t xml:space="preserve"> </w:t>
      </w:r>
      <w:r w:rsidR="00A82640" w:rsidRPr="00CF06EE">
        <w:rPr>
          <w:rFonts w:ascii="Arial" w:eastAsia="Times New Roman" w:hAnsi="Arial" w:cs="Arial"/>
          <w:i/>
          <w:iCs/>
          <w:sz w:val="20"/>
          <w:szCs w:val="20"/>
        </w:rPr>
        <w:t>et al.,</w:t>
      </w:r>
      <w:r w:rsidR="00A82640" w:rsidRPr="00CF06EE">
        <w:rPr>
          <w:rFonts w:ascii="Arial" w:eastAsia="Times New Roman" w:hAnsi="Arial" w:cs="Arial"/>
          <w:sz w:val="20"/>
          <w:szCs w:val="20"/>
        </w:rPr>
        <w:t xml:space="preserve"> 2025</w:t>
      </w:r>
      <w:r w:rsidR="00A82640" w:rsidRPr="00CF06EE">
        <w:rPr>
          <w:rFonts w:ascii="Arial" w:eastAsia="Times New Roman" w:hAnsi="Arial" w:cs="Arial"/>
          <w:sz w:val="20"/>
          <w:szCs w:val="20"/>
          <w:lang w:val="en-IN"/>
        </w:rPr>
        <w:t>)</w:t>
      </w:r>
      <w:r w:rsidRPr="00CF06EE">
        <w:rPr>
          <w:rFonts w:ascii="Arial" w:eastAsia="Times New Roman" w:hAnsi="Arial" w:cs="Arial"/>
          <w:sz w:val="20"/>
          <w:szCs w:val="20"/>
          <w:lang w:val="en-IN"/>
        </w:rPr>
        <w:t>. Variations in fermentation substrates, environmental conditions, and growth phase significantly influence metabolite composition and bioactivity. Understanding this microbial diversity is essential for designing targeted postbiotic formulations with specific therapeutic or industrial applications</w:t>
      </w:r>
      <w:r w:rsidR="00A82640" w:rsidRPr="00CF06EE">
        <w:rPr>
          <w:rFonts w:ascii="Arial" w:eastAsia="Times New Roman" w:hAnsi="Arial" w:cs="Arial"/>
          <w:sz w:val="20"/>
          <w:szCs w:val="20"/>
          <w:lang w:val="en-IN"/>
        </w:rPr>
        <w:t xml:space="preserve"> (</w:t>
      </w:r>
      <w:proofErr w:type="spellStart"/>
      <w:r w:rsidR="00A82640" w:rsidRPr="00CF06EE">
        <w:rPr>
          <w:rFonts w:ascii="Arial" w:eastAsia="Times New Roman" w:hAnsi="Arial" w:cs="Arial"/>
          <w:sz w:val="20"/>
          <w:szCs w:val="20"/>
        </w:rPr>
        <w:t>Hijová</w:t>
      </w:r>
      <w:proofErr w:type="spellEnd"/>
      <w:r w:rsidR="00A82640" w:rsidRPr="00CF06EE">
        <w:rPr>
          <w:rFonts w:ascii="Arial" w:eastAsia="Times New Roman" w:hAnsi="Arial" w:cs="Arial"/>
          <w:sz w:val="20"/>
          <w:szCs w:val="20"/>
        </w:rPr>
        <w:t>, 2024</w:t>
      </w:r>
      <w:r w:rsidR="00A82640" w:rsidRPr="00CF06EE">
        <w:rPr>
          <w:rFonts w:ascii="Arial" w:eastAsia="Times New Roman" w:hAnsi="Arial" w:cs="Arial"/>
          <w:sz w:val="20"/>
          <w:szCs w:val="20"/>
          <w:lang w:val="en-IN"/>
        </w:rPr>
        <w:t>)</w:t>
      </w:r>
      <w:r w:rsidRPr="00CF06EE">
        <w:rPr>
          <w:rFonts w:ascii="Arial" w:eastAsia="Times New Roman" w:hAnsi="Arial" w:cs="Arial"/>
          <w:sz w:val="20"/>
          <w:szCs w:val="20"/>
          <w:lang w:val="en-IN"/>
        </w:rPr>
        <w:t>.</w:t>
      </w:r>
    </w:p>
    <w:p w14:paraId="5F88DA39" w14:textId="77777777" w:rsidR="00A04814" w:rsidRPr="00CF06EE" w:rsidRDefault="00A04814" w:rsidP="006A3041">
      <w:pPr>
        <w:spacing w:after="0" w:line="240" w:lineRule="auto"/>
        <w:jc w:val="both"/>
        <w:rPr>
          <w:rFonts w:ascii="Arial" w:eastAsia="Times New Roman" w:hAnsi="Arial" w:cs="Arial"/>
          <w:b/>
          <w:bCs/>
          <w:sz w:val="20"/>
          <w:szCs w:val="20"/>
          <w:lang w:val="en-IN"/>
        </w:rPr>
      </w:pPr>
    </w:p>
    <w:p w14:paraId="64950701" w14:textId="1DD6BF2B" w:rsidR="007150F8" w:rsidRPr="00CF06EE" w:rsidRDefault="007150F8" w:rsidP="007150F8">
      <w:pPr>
        <w:spacing w:after="0" w:line="240" w:lineRule="auto"/>
        <w:jc w:val="both"/>
        <w:rPr>
          <w:rFonts w:ascii="Arial" w:hAnsi="Arial" w:cs="Arial"/>
          <w:b/>
          <w:bCs/>
          <w:sz w:val="22"/>
          <w:szCs w:val="22"/>
          <w:lang w:val="en-IN"/>
        </w:rPr>
      </w:pPr>
      <w:r w:rsidRPr="00CF06EE">
        <w:rPr>
          <w:rFonts w:ascii="Arial" w:hAnsi="Arial" w:cs="Arial"/>
          <w:b/>
          <w:bCs/>
          <w:sz w:val="22"/>
          <w:szCs w:val="22"/>
          <w:lang w:val="en-IN"/>
        </w:rPr>
        <w:t xml:space="preserve">5. </w:t>
      </w:r>
      <w:r w:rsidRPr="00CF06EE">
        <w:rPr>
          <w:rFonts w:ascii="Arial" w:hAnsi="Arial" w:cs="Arial"/>
          <w:b/>
          <w:bCs/>
          <w:sz w:val="22"/>
          <w:szCs w:val="22"/>
          <w:lang w:val="en-IN"/>
        </w:rPr>
        <w:t>PRODUCTION AND SEPARATION OF POSTBIOTICS</w:t>
      </w:r>
    </w:p>
    <w:p w14:paraId="443A9997" w14:textId="6F9763B3" w:rsidR="007150F8" w:rsidRPr="00CF06EE" w:rsidRDefault="00F22CA2" w:rsidP="007150F8">
      <w:pPr>
        <w:spacing w:after="0" w:line="240" w:lineRule="auto"/>
        <w:jc w:val="both"/>
        <w:rPr>
          <w:rFonts w:ascii="Arial" w:hAnsi="Arial" w:cs="Arial"/>
          <w:b/>
          <w:bCs/>
          <w:sz w:val="22"/>
          <w:szCs w:val="22"/>
          <w:lang w:val="en-IN"/>
        </w:rPr>
      </w:pPr>
      <w:r w:rsidRPr="00CF06EE">
        <w:rPr>
          <w:rFonts w:ascii="Arial" w:hAnsi="Arial" w:cs="Arial"/>
          <w:b/>
          <w:bCs/>
          <w:sz w:val="22"/>
          <w:szCs w:val="22"/>
          <w:lang w:val="en-IN"/>
        </w:rPr>
        <w:t>5</w:t>
      </w:r>
      <w:r w:rsidR="007150F8" w:rsidRPr="00CF06EE">
        <w:rPr>
          <w:rFonts w:ascii="Arial" w:hAnsi="Arial" w:cs="Arial"/>
          <w:b/>
          <w:bCs/>
          <w:sz w:val="22"/>
          <w:szCs w:val="22"/>
          <w:lang w:val="en-IN"/>
        </w:rPr>
        <w:t>.1 Inactivation and Postbiotic Generation</w:t>
      </w:r>
    </w:p>
    <w:p w14:paraId="172302BC" w14:textId="43F77261" w:rsidR="007150F8" w:rsidRPr="00CF06EE" w:rsidRDefault="007150F8" w:rsidP="007150F8">
      <w:pPr>
        <w:spacing w:after="0" w:line="240" w:lineRule="auto"/>
        <w:ind w:firstLine="720"/>
        <w:jc w:val="both"/>
        <w:rPr>
          <w:rFonts w:ascii="Arial" w:hAnsi="Arial" w:cs="Arial"/>
          <w:sz w:val="22"/>
          <w:szCs w:val="22"/>
        </w:rPr>
      </w:pPr>
      <w:r w:rsidRPr="00CF06EE">
        <w:rPr>
          <w:rFonts w:ascii="Arial" w:hAnsi="Arial" w:cs="Arial"/>
          <w:sz w:val="22"/>
          <w:szCs w:val="22"/>
        </w:rPr>
        <w:t>After fermentation, microbial cultures are transformed into postbiotic preparations through carefully controlled inactivation steps that remove microbial viability while maintaining functional metabolites</w:t>
      </w:r>
      <w:r w:rsidR="00D126B8" w:rsidRPr="00CF06EE">
        <w:rPr>
          <w:rFonts w:ascii="Arial" w:hAnsi="Arial" w:cs="Arial"/>
          <w:sz w:val="22"/>
          <w:szCs w:val="22"/>
        </w:rPr>
        <w:t xml:space="preserve"> (</w:t>
      </w:r>
      <w:r w:rsidR="00D126B8" w:rsidRPr="00CF06EE">
        <w:rPr>
          <w:rFonts w:ascii="Arial" w:eastAsia="Times New Roman" w:hAnsi="Arial" w:cs="Arial"/>
          <w:sz w:val="20"/>
          <w:szCs w:val="20"/>
          <w:lang w:val="en-IN"/>
        </w:rPr>
        <w:t xml:space="preserve">Da Silva Vale </w:t>
      </w:r>
      <w:r w:rsidR="00D126B8" w:rsidRPr="00CF06EE">
        <w:rPr>
          <w:rFonts w:ascii="Arial" w:eastAsia="Times New Roman" w:hAnsi="Arial" w:cs="Arial"/>
          <w:i/>
          <w:iCs/>
          <w:sz w:val="20"/>
          <w:szCs w:val="20"/>
          <w:lang w:val="en-IN"/>
        </w:rPr>
        <w:t>et al.,</w:t>
      </w:r>
      <w:r w:rsidR="00D126B8" w:rsidRPr="00CF06EE">
        <w:rPr>
          <w:rFonts w:ascii="Arial" w:eastAsia="Times New Roman" w:hAnsi="Arial" w:cs="Arial"/>
          <w:sz w:val="20"/>
          <w:szCs w:val="20"/>
          <w:lang w:val="en-IN"/>
        </w:rPr>
        <w:t xml:space="preserve"> 2023</w:t>
      </w:r>
      <w:r w:rsidR="00D126B8" w:rsidRPr="00CF06EE">
        <w:rPr>
          <w:rFonts w:ascii="Arial" w:hAnsi="Arial" w:cs="Arial"/>
          <w:sz w:val="22"/>
          <w:szCs w:val="22"/>
        </w:rPr>
        <w:t>)</w:t>
      </w:r>
      <w:r w:rsidRPr="00CF06EE">
        <w:rPr>
          <w:rFonts w:ascii="Arial" w:hAnsi="Arial" w:cs="Arial"/>
          <w:sz w:val="22"/>
          <w:szCs w:val="22"/>
        </w:rPr>
        <w:t>. Various physical and biochemical approaches, including heat exposure, ultraviolet irradiation, high-pressure processing, and enzymatic treatments, are commonly applied</w:t>
      </w:r>
      <w:r w:rsidR="00CD7EC3" w:rsidRPr="00CF06EE">
        <w:rPr>
          <w:rFonts w:ascii="Arial" w:hAnsi="Arial" w:cs="Arial"/>
          <w:sz w:val="22"/>
          <w:szCs w:val="22"/>
        </w:rPr>
        <w:t xml:space="preserve"> </w:t>
      </w:r>
      <w:r w:rsidR="00CD7EC3" w:rsidRPr="00CF06EE">
        <w:rPr>
          <w:rFonts w:ascii="Arial" w:hAnsi="Arial" w:cs="Arial"/>
          <w:sz w:val="22"/>
          <w:szCs w:val="22"/>
        </w:rPr>
        <w:t>(Cuevas-González et al., 2020)</w:t>
      </w:r>
      <w:r w:rsidRPr="00CF06EE">
        <w:rPr>
          <w:rFonts w:ascii="Arial" w:hAnsi="Arial" w:cs="Arial"/>
          <w:sz w:val="22"/>
          <w:szCs w:val="22"/>
        </w:rPr>
        <w:t>. These methods allow preservation of biologically active molecules such as organic acids, bioactive peptides, exopolysaccharides, and structural cell wall components like peptidoglycans and lipoteichoic acids (</w:t>
      </w:r>
      <w:r w:rsidRPr="00CF06EE">
        <w:rPr>
          <w:rFonts w:ascii="Arial" w:eastAsia="Times New Roman" w:hAnsi="Arial" w:cs="Arial"/>
          <w:sz w:val="20"/>
          <w:szCs w:val="20"/>
          <w:lang w:val="en-IN" w:eastAsia="en-IN"/>
        </w:rPr>
        <w:t xml:space="preserve">Akman, P. K </w:t>
      </w:r>
      <w:r w:rsidRPr="00CF06EE">
        <w:rPr>
          <w:rFonts w:ascii="Arial" w:eastAsia="Times New Roman" w:hAnsi="Arial" w:cs="Arial"/>
          <w:i/>
          <w:iCs/>
          <w:sz w:val="20"/>
          <w:szCs w:val="20"/>
          <w:lang w:val="en-IN" w:eastAsia="en-IN"/>
        </w:rPr>
        <w:t>et al.,</w:t>
      </w:r>
      <w:r w:rsidRPr="00CF06EE">
        <w:rPr>
          <w:rFonts w:ascii="Arial" w:eastAsia="Times New Roman" w:hAnsi="Arial" w:cs="Arial"/>
          <w:sz w:val="20"/>
          <w:szCs w:val="20"/>
          <w:lang w:val="en-IN" w:eastAsia="en-IN"/>
        </w:rPr>
        <w:t xml:space="preserve"> 2023</w:t>
      </w:r>
      <w:r w:rsidR="008E2905" w:rsidRPr="00CF06EE">
        <w:rPr>
          <w:rFonts w:ascii="Arial" w:eastAsia="Times New Roman" w:hAnsi="Arial" w:cs="Arial"/>
          <w:sz w:val="20"/>
          <w:szCs w:val="20"/>
          <w:lang w:val="en-IN" w:eastAsia="en-IN"/>
        </w:rPr>
        <w:t xml:space="preserve">; </w:t>
      </w:r>
      <w:r w:rsidR="008E2905" w:rsidRPr="00CF06EE">
        <w:rPr>
          <w:rFonts w:ascii="Arial" w:eastAsia="Times New Roman" w:hAnsi="Arial" w:cs="Arial"/>
          <w:sz w:val="20"/>
          <w:szCs w:val="20"/>
        </w:rPr>
        <w:t xml:space="preserve">Moghadam </w:t>
      </w:r>
      <w:r w:rsidR="008E2905" w:rsidRPr="00CF06EE">
        <w:rPr>
          <w:rFonts w:ascii="Arial" w:eastAsia="Times New Roman" w:hAnsi="Arial" w:cs="Arial"/>
          <w:i/>
          <w:iCs/>
          <w:sz w:val="20"/>
          <w:szCs w:val="20"/>
        </w:rPr>
        <w:t>et al.,</w:t>
      </w:r>
      <w:r w:rsidR="008E2905" w:rsidRPr="00CF06EE">
        <w:rPr>
          <w:rFonts w:ascii="Arial" w:eastAsia="Times New Roman" w:hAnsi="Arial" w:cs="Arial"/>
          <w:sz w:val="20"/>
          <w:szCs w:val="20"/>
        </w:rPr>
        <w:t xml:space="preserve"> 2026</w:t>
      </w:r>
      <w:r w:rsidRPr="00CF06EE">
        <w:rPr>
          <w:rFonts w:ascii="Arial" w:eastAsia="Times New Roman" w:hAnsi="Arial" w:cs="Arial"/>
          <w:sz w:val="20"/>
          <w:szCs w:val="20"/>
          <w:lang w:val="en-IN" w:eastAsia="en-IN"/>
        </w:rPr>
        <w:t>)</w:t>
      </w:r>
      <w:r w:rsidRPr="00CF06EE">
        <w:rPr>
          <w:rFonts w:ascii="Arial" w:hAnsi="Arial" w:cs="Arial"/>
          <w:sz w:val="22"/>
          <w:szCs w:val="22"/>
        </w:rPr>
        <w:t>. Selecting an appropriate inactivation strategy is essential, as overly harsh processing conditions may degrade sensitive compounds and reduce functional efficacy. Therefore, optimized protocols are required to achieve microbial safety while retaining the desired biological properties of the postbiotic preparation</w:t>
      </w:r>
      <w:r w:rsidR="00A82640" w:rsidRPr="00CF06EE">
        <w:rPr>
          <w:rFonts w:ascii="Arial" w:hAnsi="Arial" w:cs="Arial"/>
          <w:sz w:val="22"/>
          <w:szCs w:val="22"/>
        </w:rPr>
        <w:t xml:space="preserve"> (</w:t>
      </w:r>
      <w:r w:rsidR="00A82640" w:rsidRPr="00CF06EE">
        <w:rPr>
          <w:rFonts w:ascii="Arial" w:eastAsia="Times New Roman" w:hAnsi="Arial" w:cs="Arial"/>
          <w:sz w:val="20"/>
          <w:szCs w:val="20"/>
          <w:lang w:val="en-IN"/>
        </w:rPr>
        <w:t>(</w:t>
      </w:r>
      <w:proofErr w:type="spellStart"/>
      <w:r w:rsidR="00A82640" w:rsidRPr="00CF06EE">
        <w:rPr>
          <w:rFonts w:ascii="Arial" w:eastAsia="Times New Roman" w:hAnsi="Arial" w:cs="Arial"/>
          <w:sz w:val="20"/>
          <w:szCs w:val="20"/>
        </w:rPr>
        <w:t>Hijová</w:t>
      </w:r>
      <w:proofErr w:type="spellEnd"/>
      <w:r w:rsidR="00A82640" w:rsidRPr="00CF06EE">
        <w:rPr>
          <w:rFonts w:ascii="Arial" w:eastAsia="Times New Roman" w:hAnsi="Arial" w:cs="Arial"/>
          <w:sz w:val="20"/>
          <w:szCs w:val="20"/>
        </w:rPr>
        <w:t>, 2024</w:t>
      </w:r>
      <w:r w:rsidR="00A82640" w:rsidRPr="00CF06EE">
        <w:rPr>
          <w:rFonts w:ascii="Arial" w:hAnsi="Arial" w:cs="Arial"/>
          <w:sz w:val="22"/>
          <w:szCs w:val="22"/>
        </w:rPr>
        <w:t>)</w:t>
      </w:r>
      <w:r w:rsidRPr="00CF06EE">
        <w:rPr>
          <w:rFonts w:ascii="Arial" w:hAnsi="Arial" w:cs="Arial"/>
          <w:sz w:val="22"/>
          <w:szCs w:val="22"/>
        </w:rPr>
        <w:t>.</w:t>
      </w:r>
    </w:p>
    <w:p w14:paraId="352CA7B6" w14:textId="77777777" w:rsidR="007150F8" w:rsidRPr="00CF06EE" w:rsidRDefault="007150F8" w:rsidP="007150F8">
      <w:pPr>
        <w:spacing w:after="0" w:line="240" w:lineRule="auto"/>
        <w:jc w:val="both"/>
        <w:rPr>
          <w:rFonts w:ascii="Arial" w:hAnsi="Arial" w:cs="Arial"/>
          <w:b/>
          <w:bCs/>
          <w:sz w:val="22"/>
          <w:szCs w:val="22"/>
          <w:lang w:val="en-IN"/>
        </w:rPr>
      </w:pPr>
    </w:p>
    <w:p w14:paraId="0D2ABA8D" w14:textId="1DED6C8D" w:rsidR="007150F8" w:rsidRPr="00CF06EE" w:rsidRDefault="00F22CA2" w:rsidP="007150F8">
      <w:pPr>
        <w:spacing w:after="0" w:line="240" w:lineRule="auto"/>
        <w:jc w:val="both"/>
        <w:rPr>
          <w:rFonts w:ascii="Arial" w:hAnsi="Arial" w:cs="Arial"/>
          <w:b/>
          <w:bCs/>
          <w:sz w:val="22"/>
          <w:szCs w:val="22"/>
          <w:lang w:val="en-IN"/>
        </w:rPr>
      </w:pPr>
      <w:r w:rsidRPr="00CF06EE">
        <w:rPr>
          <w:rFonts w:ascii="Arial" w:hAnsi="Arial" w:cs="Arial"/>
          <w:b/>
          <w:bCs/>
          <w:sz w:val="22"/>
          <w:szCs w:val="22"/>
          <w:lang w:val="en-IN"/>
        </w:rPr>
        <w:t>5</w:t>
      </w:r>
      <w:r w:rsidR="007150F8" w:rsidRPr="00CF06EE">
        <w:rPr>
          <w:rFonts w:ascii="Arial" w:hAnsi="Arial" w:cs="Arial"/>
          <w:b/>
          <w:bCs/>
          <w:sz w:val="22"/>
          <w:szCs w:val="22"/>
          <w:lang w:val="en-IN"/>
        </w:rPr>
        <w:t>.2 Bacterial Strains and Growth Conditions</w:t>
      </w:r>
    </w:p>
    <w:p w14:paraId="3B436700" w14:textId="52EFB129" w:rsidR="007150F8" w:rsidRPr="00CF06EE" w:rsidRDefault="007150F8" w:rsidP="007150F8">
      <w:pPr>
        <w:spacing w:after="0" w:line="240" w:lineRule="auto"/>
        <w:jc w:val="both"/>
        <w:rPr>
          <w:rFonts w:ascii="Arial" w:hAnsi="Arial" w:cs="Arial"/>
          <w:sz w:val="22"/>
          <w:szCs w:val="22"/>
        </w:rPr>
      </w:pPr>
      <w:r w:rsidRPr="00CF06EE">
        <w:rPr>
          <w:rFonts w:ascii="Arial" w:hAnsi="Arial" w:cs="Arial"/>
          <w:sz w:val="22"/>
          <w:szCs w:val="22"/>
        </w:rPr>
        <w:t xml:space="preserve">Lactic acid bacteria frequently used for postbiotic production include </w:t>
      </w:r>
      <w:proofErr w:type="spellStart"/>
      <w:r w:rsidRPr="00CF06EE">
        <w:rPr>
          <w:rFonts w:ascii="Arial" w:hAnsi="Arial" w:cs="Arial"/>
          <w:i/>
          <w:iCs/>
          <w:sz w:val="22"/>
          <w:szCs w:val="22"/>
        </w:rPr>
        <w:t>Lactiplantibacillus</w:t>
      </w:r>
      <w:proofErr w:type="spellEnd"/>
      <w:r w:rsidRPr="00CF06EE">
        <w:rPr>
          <w:rFonts w:ascii="Arial" w:hAnsi="Arial" w:cs="Arial"/>
          <w:i/>
          <w:iCs/>
          <w:sz w:val="22"/>
          <w:szCs w:val="22"/>
        </w:rPr>
        <w:t xml:space="preserve"> plantarum</w:t>
      </w:r>
      <w:r w:rsidRPr="00CF06EE">
        <w:rPr>
          <w:rFonts w:ascii="Arial" w:hAnsi="Arial" w:cs="Arial"/>
          <w:sz w:val="22"/>
          <w:szCs w:val="22"/>
        </w:rPr>
        <w:t xml:space="preserve">, </w:t>
      </w:r>
      <w:r w:rsidRPr="00CF06EE">
        <w:rPr>
          <w:rFonts w:ascii="Arial" w:hAnsi="Arial" w:cs="Arial"/>
          <w:i/>
          <w:iCs/>
          <w:sz w:val="22"/>
          <w:szCs w:val="22"/>
        </w:rPr>
        <w:t>Lactococcus lactis</w:t>
      </w:r>
      <w:r w:rsidRPr="00CF06EE">
        <w:rPr>
          <w:rFonts w:ascii="Arial" w:hAnsi="Arial" w:cs="Arial"/>
          <w:sz w:val="22"/>
          <w:szCs w:val="22"/>
        </w:rPr>
        <w:t xml:space="preserve">, and </w:t>
      </w:r>
      <w:proofErr w:type="spellStart"/>
      <w:r w:rsidRPr="00CF06EE">
        <w:rPr>
          <w:rFonts w:ascii="Arial" w:hAnsi="Arial" w:cs="Arial"/>
          <w:i/>
          <w:iCs/>
          <w:sz w:val="22"/>
          <w:szCs w:val="22"/>
        </w:rPr>
        <w:t>Weissella</w:t>
      </w:r>
      <w:proofErr w:type="spellEnd"/>
      <w:r w:rsidRPr="00CF06EE">
        <w:rPr>
          <w:rFonts w:ascii="Arial" w:hAnsi="Arial" w:cs="Arial"/>
          <w:i/>
          <w:iCs/>
          <w:sz w:val="22"/>
          <w:szCs w:val="22"/>
        </w:rPr>
        <w:t xml:space="preserve"> </w:t>
      </w:r>
      <w:proofErr w:type="spellStart"/>
      <w:r w:rsidRPr="00CF06EE">
        <w:rPr>
          <w:rFonts w:ascii="Arial" w:hAnsi="Arial" w:cs="Arial"/>
          <w:i/>
          <w:iCs/>
          <w:sz w:val="22"/>
          <w:szCs w:val="22"/>
        </w:rPr>
        <w:t>cibaria</w:t>
      </w:r>
      <w:proofErr w:type="spellEnd"/>
      <w:r w:rsidRPr="00CF06EE">
        <w:rPr>
          <w:rFonts w:ascii="Arial" w:hAnsi="Arial" w:cs="Arial"/>
          <w:sz w:val="22"/>
          <w:szCs w:val="22"/>
        </w:rPr>
        <w:t xml:space="preserve"> (Akman et al., 2023). These strains were cultivated in de Man, </w:t>
      </w:r>
      <w:proofErr w:type="spellStart"/>
      <w:r w:rsidRPr="00CF06EE">
        <w:rPr>
          <w:rFonts w:ascii="Arial" w:hAnsi="Arial" w:cs="Arial"/>
          <w:sz w:val="22"/>
          <w:szCs w:val="22"/>
        </w:rPr>
        <w:t>Rogosa</w:t>
      </w:r>
      <w:proofErr w:type="spellEnd"/>
      <w:r w:rsidRPr="00CF06EE">
        <w:rPr>
          <w:rFonts w:ascii="Arial" w:hAnsi="Arial" w:cs="Arial"/>
          <w:sz w:val="22"/>
          <w:szCs w:val="22"/>
        </w:rPr>
        <w:t xml:space="preserve"> and Sharpe (MRS) medium at approximately 37 °C under controlled conditions to enhance metabolite synthesis (</w:t>
      </w:r>
      <w:proofErr w:type="spellStart"/>
      <w:r w:rsidRPr="00CF06EE">
        <w:rPr>
          <w:rFonts w:ascii="Arial" w:hAnsi="Arial" w:cs="Arial"/>
          <w:sz w:val="22"/>
          <w:szCs w:val="22"/>
        </w:rPr>
        <w:t>Condurso</w:t>
      </w:r>
      <w:proofErr w:type="spellEnd"/>
      <w:r w:rsidRPr="00CF06EE">
        <w:rPr>
          <w:rFonts w:ascii="Arial" w:hAnsi="Arial" w:cs="Arial"/>
          <w:sz w:val="22"/>
          <w:szCs w:val="22"/>
        </w:rPr>
        <w:t xml:space="preserve"> et al., 2025; </w:t>
      </w:r>
      <w:r w:rsidRPr="00CF06EE">
        <w:rPr>
          <w:rFonts w:ascii="Arial" w:eastAsia="Times New Roman" w:hAnsi="Arial" w:cs="Arial"/>
          <w:sz w:val="20"/>
          <w:szCs w:val="20"/>
          <w:lang w:val="en-IN"/>
        </w:rPr>
        <w:t xml:space="preserve">Misra, S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2023</w:t>
      </w:r>
      <w:r w:rsidRPr="00CF06EE">
        <w:rPr>
          <w:rFonts w:ascii="Arial" w:hAnsi="Arial" w:cs="Arial"/>
          <w:sz w:val="22"/>
          <w:szCs w:val="22"/>
        </w:rPr>
        <w:t xml:space="preserve">). Pathogenic indicator organisms such as </w:t>
      </w:r>
      <w:r w:rsidRPr="00CF06EE">
        <w:rPr>
          <w:rFonts w:ascii="Arial" w:hAnsi="Arial" w:cs="Arial"/>
          <w:i/>
          <w:iCs/>
          <w:sz w:val="22"/>
          <w:szCs w:val="22"/>
        </w:rPr>
        <w:t>Listeria monocytogenes</w:t>
      </w:r>
      <w:r w:rsidRPr="00CF06EE">
        <w:rPr>
          <w:rFonts w:ascii="Arial" w:hAnsi="Arial" w:cs="Arial"/>
          <w:sz w:val="22"/>
          <w:szCs w:val="22"/>
        </w:rPr>
        <w:t xml:space="preserve">, </w:t>
      </w:r>
      <w:r w:rsidRPr="00CF06EE">
        <w:rPr>
          <w:rFonts w:ascii="Arial" w:hAnsi="Arial" w:cs="Arial"/>
          <w:i/>
          <w:iCs/>
          <w:sz w:val="22"/>
          <w:szCs w:val="22"/>
        </w:rPr>
        <w:t>Staphylococcus aureus</w:t>
      </w:r>
      <w:r w:rsidRPr="00CF06EE">
        <w:rPr>
          <w:rFonts w:ascii="Arial" w:hAnsi="Arial" w:cs="Arial"/>
          <w:sz w:val="22"/>
          <w:szCs w:val="22"/>
        </w:rPr>
        <w:t xml:space="preserve">, </w:t>
      </w:r>
      <w:r w:rsidRPr="00CF06EE">
        <w:rPr>
          <w:rFonts w:ascii="Arial" w:hAnsi="Arial" w:cs="Arial"/>
          <w:i/>
          <w:iCs/>
          <w:sz w:val="22"/>
          <w:szCs w:val="22"/>
        </w:rPr>
        <w:t>Escherichia coli</w:t>
      </w:r>
      <w:r w:rsidRPr="00CF06EE">
        <w:rPr>
          <w:rFonts w:ascii="Arial" w:hAnsi="Arial" w:cs="Arial"/>
          <w:sz w:val="22"/>
          <w:szCs w:val="22"/>
        </w:rPr>
        <w:t xml:space="preserve">, and </w:t>
      </w:r>
      <w:r w:rsidRPr="00CF06EE">
        <w:rPr>
          <w:rFonts w:ascii="Arial" w:hAnsi="Arial" w:cs="Arial"/>
          <w:i/>
          <w:iCs/>
          <w:sz w:val="22"/>
          <w:szCs w:val="22"/>
        </w:rPr>
        <w:t>Salmonella typhimurium</w:t>
      </w:r>
      <w:r w:rsidRPr="00CF06EE">
        <w:rPr>
          <w:rFonts w:ascii="Arial" w:hAnsi="Arial" w:cs="Arial"/>
          <w:sz w:val="22"/>
          <w:szCs w:val="22"/>
        </w:rPr>
        <w:t xml:space="preserve"> were grown in Tryptic Soy Broth, while mold strains </w:t>
      </w:r>
      <w:r w:rsidRPr="00CF06EE">
        <w:rPr>
          <w:rFonts w:ascii="Arial" w:hAnsi="Arial" w:cs="Arial"/>
          <w:i/>
          <w:iCs/>
          <w:sz w:val="22"/>
          <w:szCs w:val="22"/>
        </w:rPr>
        <w:t xml:space="preserve">Aspergillus </w:t>
      </w:r>
      <w:proofErr w:type="spellStart"/>
      <w:r w:rsidRPr="00CF06EE">
        <w:rPr>
          <w:rFonts w:ascii="Arial" w:hAnsi="Arial" w:cs="Arial"/>
          <w:i/>
          <w:iCs/>
          <w:sz w:val="22"/>
          <w:szCs w:val="22"/>
        </w:rPr>
        <w:t>niger</w:t>
      </w:r>
      <w:proofErr w:type="spellEnd"/>
      <w:r w:rsidRPr="00CF06EE">
        <w:rPr>
          <w:rFonts w:ascii="Arial" w:hAnsi="Arial" w:cs="Arial"/>
          <w:sz w:val="22"/>
          <w:szCs w:val="22"/>
        </w:rPr>
        <w:t xml:space="preserve"> and </w:t>
      </w:r>
      <w:r w:rsidRPr="00CF06EE">
        <w:rPr>
          <w:rFonts w:ascii="Arial" w:hAnsi="Arial" w:cs="Arial"/>
          <w:i/>
          <w:iCs/>
          <w:sz w:val="22"/>
          <w:szCs w:val="22"/>
        </w:rPr>
        <w:t>Aspergillus flavus</w:t>
      </w:r>
      <w:r w:rsidRPr="00CF06EE">
        <w:rPr>
          <w:rFonts w:ascii="Arial" w:hAnsi="Arial" w:cs="Arial"/>
          <w:sz w:val="22"/>
          <w:szCs w:val="22"/>
        </w:rPr>
        <w:t xml:space="preserve"> were maintained on Potato Dextrose Agar (</w:t>
      </w:r>
      <w:r w:rsidR="00006602" w:rsidRPr="00CF06EE">
        <w:rPr>
          <w:rFonts w:ascii="Arial" w:eastAsia="Times New Roman" w:hAnsi="Arial" w:cs="Arial"/>
          <w:sz w:val="20"/>
          <w:szCs w:val="20"/>
          <w:lang w:val="en-IN"/>
        </w:rPr>
        <w:t xml:space="preserve">Chang </w:t>
      </w:r>
      <w:r w:rsidR="00006602" w:rsidRPr="00CF06EE">
        <w:rPr>
          <w:rFonts w:ascii="Arial" w:eastAsia="Times New Roman" w:hAnsi="Arial" w:cs="Arial"/>
          <w:i/>
          <w:iCs/>
          <w:sz w:val="20"/>
          <w:szCs w:val="20"/>
          <w:lang w:val="en-IN"/>
        </w:rPr>
        <w:t>et al.,</w:t>
      </w:r>
      <w:r w:rsidR="00006602" w:rsidRPr="00CF06EE">
        <w:rPr>
          <w:rFonts w:ascii="Arial" w:eastAsia="Times New Roman" w:hAnsi="Arial" w:cs="Arial"/>
          <w:sz w:val="20"/>
          <w:szCs w:val="20"/>
          <w:lang w:val="en-IN"/>
        </w:rPr>
        <w:t xml:space="preserve"> 2021</w:t>
      </w:r>
      <w:r w:rsidR="00006602" w:rsidRPr="00CF06EE">
        <w:rPr>
          <w:rFonts w:ascii="Arial" w:eastAsia="Times New Roman" w:hAnsi="Arial" w:cs="Arial"/>
          <w:sz w:val="20"/>
          <w:szCs w:val="20"/>
          <w:lang w:val="en-IN"/>
        </w:rPr>
        <w:t xml:space="preserve">; </w:t>
      </w:r>
      <w:proofErr w:type="spellStart"/>
      <w:r w:rsidRPr="00CF06EE">
        <w:rPr>
          <w:rFonts w:ascii="Arial" w:hAnsi="Arial" w:cs="Arial"/>
          <w:sz w:val="22"/>
          <w:szCs w:val="22"/>
        </w:rPr>
        <w:t>Khakpour</w:t>
      </w:r>
      <w:proofErr w:type="spellEnd"/>
      <w:r w:rsidRPr="00CF06EE">
        <w:rPr>
          <w:rFonts w:ascii="Arial" w:hAnsi="Arial" w:cs="Arial"/>
          <w:sz w:val="22"/>
          <w:szCs w:val="22"/>
        </w:rPr>
        <w:t xml:space="preserve"> M </w:t>
      </w:r>
      <w:r w:rsidRPr="00CF06EE">
        <w:rPr>
          <w:rFonts w:ascii="Arial" w:hAnsi="Arial" w:cs="Arial"/>
          <w:i/>
          <w:iCs/>
          <w:sz w:val="22"/>
          <w:szCs w:val="22"/>
        </w:rPr>
        <w:t>et al.,</w:t>
      </w:r>
      <w:r w:rsidRPr="00CF06EE">
        <w:rPr>
          <w:rFonts w:ascii="Arial" w:hAnsi="Arial" w:cs="Arial"/>
          <w:sz w:val="22"/>
          <w:szCs w:val="22"/>
        </w:rPr>
        <w:t xml:space="preserve"> 2024). Fermentation variables including incubation time, nutrient composition, and environmental conditions significantly influenced metabolite diversity and yield (Molina et al., 2025).</w:t>
      </w:r>
    </w:p>
    <w:p w14:paraId="23D3322F" w14:textId="77777777" w:rsidR="007150F8" w:rsidRPr="00CF06EE" w:rsidRDefault="007150F8" w:rsidP="007150F8">
      <w:pPr>
        <w:spacing w:after="0" w:line="240" w:lineRule="auto"/>
        <w:jc w:val="both"/>
        <w:rPr>
          <w:rFonts w:ascii="Arial" w:hAnsi="Arial" w:cs="Arial"/>
          <w:sz w:val="22"/>
          <w:szCs w:val="22"/>
          <w:lang w:val="en-IN"/>
        </w:rPr>
      </w:pPr>
    </w:p>
    <w:p w14:paraId="7838FDFA" w14:textId="18EC531D" w:rsidR="007150F8" w:rsidRPr="00CF06EE" w:rsidRDefault="00F22CA2" w:rsidP="007150F8">
      <w:pPr>
        <w:spacing w:after="0" w:line="240" w:lineRule="auto"/>
        <w:jc w:val="both"/>
        <w:rPr>
          <w:rFonts w:ascii="Arial" w:hAnsi="Arial" w:cs="Arial"/>
          <w:b/>
          <w:bCs/>
          <w:sz w:val="22"/>
          <w:szCs w:val="22"/>
          <w:lang w:val="en-IN"/>
        </w:rPr>
      </w:pPr>
      <w:r w:rsidRPr="00CF06EE">
        <w:rPr>
          <w:rFonts w:ascii="Arial" w:hAnsi="Arial" w:cs="Arial"/>
          <w:b/>
          <w:bCs/>
          <w:sz w:val="22"/>
          <w:szCs w:val="22"/>
          <w:lang w:val="en-IN"/>
        </w:rPr>
        <w:t>5.3</w:t>
      </w:r>
      <w:r w:rsidR="007150F8" w:rsidRPr="00CF06EE">
        <w:rPr>
          <w:rFonts w:ascii="Arial" w:hAnsi="Arial" w:cs="Arial"/>
          <w:b/>
          <w:bCs/>
          <w:sz w:val="22"/>
          <w:szCs w:val="22"/>
          <w:lang w:val="en-IN"/>
        </w:rPr>
        <w:t xml:space="preserve"> Extraction, Separation and Purification of Postbiotic Fractions</w:t>
      </w:r>
    </w:p>
    <w:p w14:paraId="3D7455E8" w14:textId="0BFFAEE4" w:rsidR="007150F8" w:rsidRPr="00CF06EE" w:rsidRDefault="007150F8" w:rsidP="007150F8">
      <w:pPr>
        <w:spacing w:after="0" w:line="240" w:lineRule="auto"/>
        <w:ind w:firstLine="720"/>
        <w:jc w:val="both"/>
        <w:rPr>
          <w:rFonts w:ascii="Arial" w:hAnsi="Arial" w:cs="Arial"/>
          <w:sz w:val="22"/>
          <w:szCs w:val="22"/>
        </w:rPr>
      </w:pPr>
      <w:r w:rsidRPr="00CF06EE">
        <w:rPr>
          <w:rFonts w:ascii="Arial" w:hAnsi="Arial" w:cs="Arial"/>
          <w:sz w:val="22"/>
          <w:szCs w:val="22"/>
        </w:rPr>
        <w:t xml:space="preserve">Recovery of postbiotic components from fermented cultures generally involves sequential downstream processing steps. Initially, microbial biomass is removed by centrifugation, followed by sterile membrane filtration through 0.22 µm filters to obtain clear cell-free supernatants enriched with soluble metabolites </w:t>
      </w:r>
      <w:r w:rsidRPr="00CF06EE">
        <w:rPr>
          <w:rFonts w:ascii="Arial" w:eastAsia="Times New Roman" w:hAnsi="Arial" w:cs="Arial"/>
          <w:sz w:val="20"/>
          <w:szCs w:val="20"/>
          <w:lang w:val="en-IN"/>
        </w:rPr>
        <w:t>(</w:t>
      </w:r>
      <w:r w:rsidR="00ED29B8" w:rsidRPr="00CF06EE">
        <w:rPr>
          <w:rFonts w:ascii="Arial" w:eastAsia="Times New Roman" w:hAnsi="Arial" w:cs="Arial"/>
          <w:sz w:val="20"/>
          <w:szCs w:val="20"/>
        </w:rPr>
        <w:t xml:space="preserve">Moradi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2020</w:t>
      </w:r>
      <w:r w:rsidR="00ED29B8" w:rsidRPr="00CF06EE">
        <w:rPr>
          <w:rFonts w:ascii="Arial" w:eastAsia="Times New Roman" w:hAnsi="Arial" w:cs="Arial"/>
          <w:sz w:val="20"/>
          <w:szCs w:val="20"/>
        </w:rPr>
        <w:t xml:space="preserve">; </w:t>
      </w:r>
      <w:r w:rsidRPr="00CF06EE">
        <w:rPr>
          <w:rFonts w:ascii="Arial" w:eastAsia="Times New Roman" w:hAnsi="Arial" w:cs="Arial"/>
          <w:sz w:val="20"/>
          <w:szCs w:val="20"/>
          <w:lang w:val="en-IN" w:eastAsia="en-IN"/>
        </w:rPr>
        <w:t>Molina</w:t>
      </w:r>
      <w:r w:rsidR="00ED29B8" w:rsidRPr="00CF06EE">
        <w:rPr>
          <w:rFonts w:ascii="Arial" w:eastAsia="Times New Roman" w:hAnsi="Arial" w:cs="Arial"/>
          <w:sz w:val="20"/>
          <w:szCs w:val="20"/>
          <w:lang w:val="en-IN" w:eastAsia="en-IN"/>
        </w:rPr>
        <w:t xml:space="preserve"> </w:t>
      </w:r>
      <w:r w:rsidRPr="00CF06EE">
        <w:rPr>
          <w:rFonts w:ascii="Arial" w:eastAsia="Times New Roman" w:hAnsi="Arial" w:cs="Arial"/>
          <w:i/>
          <w:iCs/>
          <w:sz w:val="20"/>
          <w:szCs w:val="20"/>
          <w:lang w:val="en-IN" w:eastAsia="en-IN"/>
        </w:rPr>
        <w:t>et al.,</w:t>
      </w:r>
      <w:r w:rsidRPr="00CF06EE">
        <w:rPr>
          <w:rFonts w:ascii="Arial" w:eastAsia="Times New Roman" w:hAnsi="Arial" w:cs="Arial"/>
          <w:sz w:val="20"/>
          <w:szCs w:val="20"/>
          <w:lang w:val="en-IN" w:eastAsia="en-IN"/>
        </w:rPr>
        <w:t xml:space="preserve"> 2025</w:t>
      </w:r>
      <w:r w:rsidRPr="00CF06EE">
        <w:rPr>
          <w:rFonts w:ascii="Arial" w:eastAsia="Times New Roman" w:hAnsi="Arial" w:cs="Arial"/>
          <w:sz w:val="20"/>
          <w:szCs w:val="20"/>
          <w:lang w:val="en-IN"/>
        </w:rPr>
        <w:t>)</w:t>
      </w:r>
      <w:r w:rsidRPr="00CF06EE">
        <w:rPr>
          <w:rFonts w:ascii="Arial" w:hAnsi="Arial" w:cs="Arial"/>
          <w:sz w:val="22"/>
          <w:szCs w:val="22"/>
        </w:rPr>
        <w:t xml:space="preserve">. Polysaccharide-rich fractions, particularly exopolysaccharides, may be recovered by ethanol precipitation and subsequent dialysis or purification procedures. Freeze-drying is often </w:t>
      </w:r>
      <w:r w:rsidRPr="00CF06EE">
        <w:rPr>
          <w:rFonts w:ascii="Arial" w:hAnsi="Arial" w:cs="Arial"/>
          <w:sz w:val="22"/>
          <w:szCs w:val="22"/>
        </w:rPr>
        <w:lastRenderedPageBreak/>
        <w:t>employed to improve product stability and facilitate handling during further characterization or formulation. These processes enable the isolation of metabolite-rich fractions suitable for functional and bioactivity studies.</w:t>
      </w:r>
    </w:p>
    <w:p w14:paraId="33108950" w14:textId="77777777" w:rsidR="007150F8" w:rsidRPr="00CF06EE" w:rsidRDefault="007150F8" w:rsidP="007150F8">
      <w:pPr>
        <w:spacing w:after="0" w:line="240" w:lineRule="auto"/>
        <w:jc w:val="both"/>
        <w:rPr>
          <w:rFonts w:ascii="Arial" w:hAnsi="Arial" w:cs="Arial"/>
          <w:sz w:val="22"/>
          <w:szCs w:val="22"/>
          <w:lang w:val="en-IN"/>
        </w:rPr>
      </w:pPr>
    </w:p>
    <w:p w14:paraId="1C708859" w14:textId="25BCEF52" w:rsidR="007150F8" w:rsidRPr="00CF06EE" w:rsidRDefault="00F22CA2" w:rsidP="007150F8">
      <w:pPr>
        <w:spacing w:after="0" w:line="240" w:lineRule="auto"/>
        <w:jc w:val="both"/>
        <w:rPr>
          <w:rFonts w:ascii="Arial" w:hAnsi="Arial" w:cs="Arial"/>
          <w:b/>
          <w:bCs/>
          <w:sz w:val="22"/>
          <w:szCs w:val="22"/>
          <w:lang w:val="en-IN"/>
        </w:rPr>
      </w:pPr>
      <w:r w:rsidRPr="00CF06EE">
        <w:rPr>
          <w:rFonts w:ascii="Arial" w:hAnsi="Arial" w:cs="Arial"/>
          <w:b/>
          <w:bCs/>
          <w:sz w:val="22"/>
          <w:szCs w:val="22"/>
          <w:lang w:val="en-IN"/>
        </w:rPr>
        <w:t>5.4</w:t>
      </w:r>
      <w:r w:rsidR="007150F8" w:rsidRPr="00CF06EE">
        <w:rPr>
          <w:rFonts w:ascii="Arial" w:hAnsi="Arial" w:cs="Arial"/>
          <w:b/>
          <w:bCs/>
          <w:sz w:val="22"/>
          <w:szCs w:val="22"/>
          <w:lang w:val="en-IN"/>
        </w:rPr>
        <w:t xml:space="preserve"> Separation and Purification Techniques</w:t>
      </w:r>
    </w:p>
    <w:p w14:paraId="242B8059" w14:textId="1320C292" w:rsidR="007150F8" w:rsidRPr="00CF06EE" w:rsidRDefault="007150F8" w:rsidP="007150F8">
      <w:pPr>
        <w:spacing w:after="0" w:line="240" w:lineRule="auto"/>
        <w:ind w:firstLine="720"/>
        <w:jc w:val="both"/>
        <w:rPr>
          <w:rFonts w:ascii="Arial" w:hAnsi="Arial" w:cs="Arial"/>
          <w:sz w:val="22"/>
          <w:szCs w:val="22"/>
          <w:lang w:val="en-IN"/>
        </w:rPr>
      </w:pPr>
      <w:r w:rsidRPr="00CF06EE">
        <w:rPr>
          <w:rFonts w:ascii="Arial" w:hAnsi="Arial" w:cs="Arial"/>
          <w:sz w:val="22"/>
          <w:szCs w:val="22"/>
        </w:rPr>
        <w:t>Following inactivation, additional purification steps are applied to concentrate and refine postbiotic constituents. Techniques such as ultrafiltration and microfiltration are commonly used to separate molecules based on molecular size, allowing enrichment of peptides, organic acids, or polysaccharides</w:t>
      </w:r>
      <w:r w:rsidR="00D126B8" w:rsidRPr="00CF06EE">
        <w:rPr>
          <w:rFonts w:ascii="Arial" w:hAnsi="Arial" w:cs="Arial"/>
          <w:sz w:val="22"/>
          <w:szCs w:val="22"/>
        </w:rPr>
        <w:t xml:space="preserve"> (</w:t>
      </w:r>
      <w:r w:rsidR="00D126B8" w:rsidRPr="00CF06EE">
        <w:rPr>
          <w:rFonts w:ascii="Arial" w:eastAsia="Times New Roman" w:hAnsi="Arial" w:cs="Arial"/>
          <w:sz w:val="20"/>
          <w:szCs w:val="20"/>
          <w:lang w:val="en-IN"/>
        </w:rPr>
        <w:t xml:space="preserve">Da Silva Vale </w:t>
      </w:r>
      <w:r w:rsidR="00D126B8" w:rsidRPr="00CF06EE">
        <w:rPr>
          <w:rFonts w:ascii="Arial" w:eastAsia="Times New Roman" w:hAnsi="Arial" w:cs="Arial"/>
          <w:i/>
          <w:iCs/>
          <w:sz w:val="20"/>
          <w:szCs w:val="20"/>
          <w:lang w:val="en-IN"/>
        </w:rPr>
        <w:t>et al.,</w:t>
      </w:r>
      <w:r w:rsidR="00D126B8" w:rsidRPr="00CF06EE">
        <w:rPr>
          <w:rFonts w:ascii="Arial" w:eastAsia="Times New Roman" w:hAnsi="Arial" w:cs="Arial"/>
          <w:sz w:val="20"/>
          <w:szCs w:val="20"/>
          <w:lang w:val="en-IN"/>
        </w:rPr>
        <w:t xml:space="preserve"> 2023</w:t>
      </w:r>
      <w:r w:rsidR="00D126B8" w:rsidRPr="00CF06EE">
        <w:rPr>
          <w:rFonts w:ascii="Arial" w:hAnsi="Arial" w:cs="Arial"/>
          <w:sz w:val="22"/>
          <w:szCs w:val="22"/>
        </w:rPr>
        <w:t>)</w:t>
      </w:r>
      <w:r w:rsidRPr="00CF06EE">
        <w:rPr>
          <w:rFonts w:ascii="Arial" w:hAnsi="Arial" w:cs="Arial"/>
          <w:sz w:val="22"/>
          <w:szCs w:val="22"/>
        </w:rPr>
        <w:t xml:space="preserve">. Advanced purification approaches, including ion-exchange chromatography, gel filtration, and high-performance liquid chromatography, can be utilized to obtain well-defined fractions for pharmaceutical or clinical applications </w:t>
      </w:r>
      <w:r w:rsidRPr="00CF06EE">
        <w:rPr>
          <w:rFonts w:ascii="Arial" w:eastAsia="Times New Roman" w:hAnsi="Arial" w:cs="Arial"/>
          <w:sz w:val="20"/>
          <w:szCs w:val="20"/>
          <w:lang w:val="en-IN"/>
        </w:rPr>
        <w:t>(</w:t>
      </w:r>
      <w:r w:rsidR="00D126B8" w:rsidRPr="00CF06EE">
        <w:rPr>
          <w:rFonts w:ascii="Arial" w:eastAsia="Times New Roman" w:hAnsi="Arial" w:cs="Arial"/>
          <w:sz w:val="20"/>
          <w:szCs w:val="20"/>
        </w:rPr>
        <w:t>Wegh et al., 2019</w:t>
      </w:r>
      <w:r w:rsidR="00D126B8" w:rsidRPr="00CF06EE">
        <w:rPr>
          <w:rFonts w:ascii="Arial" w:eastAsia="Times New Roman" w:hAnsi="Arial" w:cs="Arial"/>
          <w:sz w:val="20"/>
          <w:szCs w:val="20"/>
        </w:rPr>
        <w:t xml:space="preserve">; </w:t>
      </w: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2025)</w:t>
      </w:r>
      <w:r w:rsidRPr="00CF06EE">
        <w:rPr>
          <w:rFonts w:ascii="Arial" w:hAnsi="Arial" w:cs="Arial"/>
          <w:sz w:val="22"/>
          <w:szCs w:val="22"/>
        </w:rPr>
        <w:t xml:space="preserve">. Stabilization strategies such as spray-drying or lyophilization are frequently adopted to produce stable powder formulations with extended shelf life and improved processing characteristics </w:t>
      </w:r>
      <w:r w:rsidRPr="00CF06EE">
        <w:rPr>
          <w:rFonts w:ascii="Arial" w:eastAsia="Merriweather" w:hAnsi="Arial" w:cs="Arial"/>
          <w:sz w:val="20"/>
          <w:szCs w:val="20"/>
          <w:lang w:val="en-IN"/>
        </w:rPr>
        <w:t>(</w:t>
      </w:r>
      <w:r w:rsidRPr="00CF06EE">
        <w:rPr>
          <w:rFonts w:ascii="Arial" w:eastAsia="Times New Roman" w:hAnsi="Arial" w:cs="Arial"/>
          <w:sz w:val="20"/>
          <w:szCs w:val="20"/>
          <w:lang w:eastAsia="en-IN"/>
        </w:rPr>
        <w:t xml:space="preserve">Ramasamy, T </w:t>
      </w:r>
      <w:r w:rsidRPr="00CF06EE">
        <w:rPr>
          <w:rFonts w:ascii="Arial" w:eastAsia="Times New Roman" w:hAnsi="Arial" w:cs="Arial"/>
          <w:i/>
          <w:iCs/>
          <w:sz w:val="20"/>
          <w:szCs w:val="20"/>
          <w:lang w:eastAsia="en-IN"/>
        </w:rPr>
        <w:t>et al.,</w:t>
      </w:r>
      <w:r w:rsidRPr="00CF06EE">
        <w:rPr>
          <w:rFonts w:ascii="Arial" w:eastAsia="Times New Roman" w:hAnsi="Arial" w:cs="Arial"/>
          <w:sz w:val="20"/>
          <w:szCs w:val="20"/>
          <w:lang w:eastAsia="en-IN"/>
        </w:rPr>
        <w:t xml:space="preserve"> 2025</w:t>
      </w:r>
      <w:r w:rsidRPr="00CF06EE">
        <w:rPr>
          <w:rFonts w:ascii="Arial" w:eastAsia="Merriweather" w:hAnsi="Arial" w:cs="Arial"/>
          <w:sz w:val="20"/>
          <w:szCs w:val="20"/>
          <w:lang w:val="en-IN"/>
        </w:rPr>
        <w:t>)</w:t>
      </w:r>
      <w:r w:rsidRPr="00CF06EE">
        <w:rPr>
          <w:rFonts w:ascii="Arial" w:hAnsi="Arial" w:cs="Arial"/>
          <w:sz w:val="22"/>
          <w:szCs w:val="22"/>
        </w:rPr>
        <w:t>.</w:t>
      </w:r>
    </w:p>
    <w:p w14:paraId="33E78AC8" w14:textId="77777777" w:rsidR="007150F8" w:rsidRPr="00CF06EE" w:rsidRDefault="007150F8" w:rsidP="007150F8">
      <w:pPr>
        <w:spacing w:after="0" w:line="240" w:lineRule="auto"/>
        <w:jc w:val="both"/>
        <w:rPr>
          <w:rFonts w:ascii="Arial" w:hAnsi="Arial" w:cs="Arial"/>
          <w:sz w:val="20"/>
          <w:szCs w:val="20"/>
          <w:lang w:val="en-IN"/>
        </w:rPr>
      </w:pPr>
    </w:p>
    <w:p w14:paraId="54C3FA30" w14:textId="62522837" w:rsidR="007150F8" w:rsidRPr="00CF06EE" w:rsidRDefault="00F22CA2" w:rsidP="007150F8">
      <w:pPr>
        <w:spacing w:after="0" w:line="240" w:lineRule="auto"/>
        <w:jc w:val="both"/>
        <w:rPr>
          <w:rFonts w:ascii="Arial" w:hAnsi="Arial" w:cs="Arial"/>
          <w:b/>
          <w:bCs/>
          <w:sz w:val="22"/>
          <w:szCs w:val="22"/>
          <w:lang w:val="en-IN"/>
        </w:rPr>
      </w:pPr>
      <w:r w:rsidRPr="00CF06EE">
        <w:rPr>
          <w:rFonts w:ascii="Arial" w:hAnsi="Arial" w:cs="Arial"/>
          <w:b/>
          <w:bCs/>
          <w:sz w:val="22"/>
          <w:szCs w:val="22"/>
          <w:lang w:val="en-IN"/>
        </w:rPr>
        <w:t>5.5</w:t>
      </w:r>
      <w:r w:rsidR="007150F8" w:rsidRPr="00CF06EE">
        <w:rPr>
          <w:rFonts w:ascii="Arial" w:hAnsi="Arial" w:cs="Arial"/>
          <w:b/>
          <w:bCs/>
          <w:sz w:val="22"/>
          <w:szCs w:val="22"/>
          <w:lang w:val="en-IN"/>
        </w:rPr>
        <w:t xml:space="preserve"> Quality Control and Standardization</w:t>
      </w:r>
    </w:p>
    <w:p w14:paraId="7D61F3FA" w14:textId="77777777" w:rsidR="007150F8" w:rsidRPr="00CF06EE" w:rsidRDefault="007150F8" w:rsidP="007150F8">
      <w:pPr>
        <w:spacing w:after="0" w:line="240" w:lineRule="auto"/>
        <w:jc w:val="both"/>
        <w:rPr>
          <w:rFonts w:ascii="Arial" w:hAnsi="Arial" w:cs="Arial"/>
          <w:sz w:val="20"/>
          <w:szCs w:val="20"/>
          <w:lang w:val="en-IN"/>
        </w:rPr>
      </w:pPr>
      <w:r w:rsidRPr="00CF06EE">
        <w:rPr>
          <w:rFonts w:ascii="Arial" w:hAnsi="Arial" w:cs="Arial"/>
          <w:sz w:val="20"/>
          <w:szCs w:val="20"/>
          <w:lang w:val="en-IN"/>
        </w:rPr>
        <w:t>Standardized production requires comprehensive characterization of the final preparation, including metabolomic profiling, microbial safety verification, and batch-to-batch consistency analysis (</w:t>
      </w:r>
      <w:r w:rsidRPr="00CF06EE">
        <w:rPr>
          <w:rFonts w:ascii="Arial" w:eastAsia="Times New Roman" w:hAnsi="Arial" w:cs="Arial"/>
          <w:sz w:val="20"/>
          <w:szCs w:val="20"/>
          <w:lang w:val="en-IN"/>
        </w:rPr>
        <w:t xml:space="preserve">Misra, S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2023</w:t>
      </w:r>
      <w:r w:rsidRPr="00CF06EE">
        <w:rPr>
          <w:rFonts w:ascii="Arial" w:hAnsi="Arial" w:cs="Arial"/>
          <w:sz w:val="20"/>
          <w:szCs w:val="20"/>
          <w:lang w:val="en-IN"/>
        </w:rPr>
        <w:t xml:space="preserve">). Advanced analytical tools such as mass spectrometry, nuclear magnetic resonance spectroscopy, and proteomics platforms are increasingly integrated into postbiotic manufacturing pipelines to ensure reproducibility and regulatory compliance </w:t>
      </w:r>
      <w:r w:rsidRPr="00CF06EE">
        <w:rPr>
          <w:rFonts w:ascii="Arial" w:eastAsia="Times New Roman" w:hAnsi="Arial" w:cs="Arial"/>
          <w:sz w:val="20"/>
          <w:szCs w:val="20"/>
          <w:lang w:val="en-IN"/>
        </w:rPr>
        <w:t>(</w:t>
      </w:r>
      <w:r w:rsidRPr="00CF06EE">
        <w:rPr>
          <w:rFonts w:ascii="Arial" w:eastAsia="Times New Roman" w:hAnsi="Arial" w:cs="Arial"/>
          <w:sz w:val="20"/>
          <w:szCs w:val="20"/>
          <w:lang w:val="en-IN" w:eastAsia="en-IN"/>
        </w:rPr>
        <w:t xml:space="preserve">Molina, D </w:t>
      </w:r>
      <w:r w:rsidRPr="00CF06EE">
        <w:rPr>
          <w:rFonts w:ascii="Arial" w:eastAsia="Times New Roman" w:hAnsi="Arial" w:cs="Arial"/>
          <w:i/>
          <w:iCs/>
          <w:sz w:val="20"/>
          <w:szCs w:val="20"/>
          <w:lang w:val="en-IN" w:eastAsia="en-IN"/>
        </w:rPr>
        <w:t>et al.,</w:t>
      </w:r>
      <w:r w:rsidRPr="00CF06EE">
        <w:rPr>
          <w:rFonts w:ascii="Arial" w:eastAsia="Times New Roman" w:hAnsi="Arial" w:cs="Arial"/>
          <w:sz w:val="20"/>
          <w:szCs w:val="20"/>
          <w:lang w:val="en-IN" w:eastAsia="en-IN"/>
        </w:rPr>
        <w:t xml:space="preserve"> 2025; </w:t>
      </w:r>
      <w:proofErr w:type="spellStart"/>
      <w:r w:rsidRPr="00CF06EE">
        <w:rPr>
          <w:rFonts w:ascii="Arial" w:eastAsia="Times New Roman" w:hAnsi="Arial" w:cs="Arial"/>
          <w:sz w:val="20"/>
          <w:szCs w:val="20"/>
          <w:lang w:eastAsia="en-IN"/>
        </w:rPr>
        <w:t>Condurso</w:t>
      </w:r>
      <w:proofErr w:type="spellEnd"/>
      <w:r w:rsidRPr="00CF06EE">
        <w:rPr>
          <w:rFonts w:ascii="Arial" w:eastAsia="Times New Roman" w:hAnsi="Arial" w:cs="Arial"/>
          <w:sz w:val="20"/>
          <w:szCs w:val="20"/>
          <w:lang w:eastAsia="en-IN"/>
        </w:rPr>
        <w:t xml:space="preserve">, C </w:t>
      </w:r>
      <w:r w:rsidRPr="00CF06EE">
        <w:rPr>
          <w:rFonts w:ascii="Arial" w:eastAsia="Times New Roman" w:hAnsi="Arial" w:cs="Arial"/>
          <w:i/>
          <w:iCs/>
          <w:sz w:val="20"/>
          <w:szCs w:val="20"/>
          <w:lang w:eastAsia="en-IN"/>
        </w:rPr>
        <w:t>et al.,</w:t>
      </w:r>
      <w:r w:rsidRPr="00CF06EE">
        <w:rPr>
          <w:rFonts w:ascii="Arial" w:eastAsia="Times New Roman" w:hAnsi="Arial" w:cs="Arial"/>
          <w:sz w:val="20"/>
          <w:szCs w:val="20"/>
          <w:lang w:eastAsia="en-IN"/>
        </w:rPr>
        <w:t xml:space="preserve"> 2025</w:t>
      </w:r>
      <w:r w:rsidRPr="00CF06EE">
        <w:rPr>
          <w:rFonts w:ascii="Arial" w:eastAsia="Times New Roman" w:hAnsi="Arial" w:cs="Arial"/>
          <w:sz w:val="20"/>
          <w:szCs w:val="20"/>
          <w:lang w:val="en-IN"/>
        </w:rPr>
        <w:t>)</w:t>
      </w:r>
      <w:r w:rsidRPr="00CF06EE">
        <w:rPr>
          <w:rFonts w:ascii="Arial" w:hAnsi="Arial" w:cs="Arial"/>
          <w:sz w:val="20"/>
          <w:szCs w:val="20"/>
          <w:lang w:val="en-IN"/>
        </w:rPr>
        <w:t>.</w:t>
      </w:r>
    </w:p>
    <w:p w14:paraId="461243E8" w14:textId="77777777" w:rsidR="00F22CA2" w:rsidRPr="00CF06EE" w:rsidRDefault="00F22CA2" w:rsidP="007150F8">
      <w:pPr>
        <w:shd w:val="clear" w:color="auto" w:fill="FFFFFF"/>
        <w:spacing w:line="240" w:lineRule="auto"/>
        <w:jc w:val="both"/>
        <w:rPr>
          <w:rFonts w:ascii="Arial" w:eastAsia="Merriweather" w:hAnsi="Arial" w:cs="Arial"/>
          <w:b/>
          <w:bCs/>
          <w:sz w:val="22"/>
          <w:szCs w:val="22"/>
          <w:lang w:val="en-IN"/>
        </w:rPr>
      </w:pPr>
    </w:p>
    <w:p w14:paraId="28E2D1BD" w14:textId="283C23D0" w:rsidR="007150F8" w:rsidRPr="00CF06EE" w:rsidRDefault="00F22CA2" w:rsidP="007150F8">
      <w:pPr>
        <w:shd w:val="clear" w:color="auto" w:fill="FFFFFF"/>
        <w:spacing w:line="240" w:lineRule="auto"/>
        <w:jc w:val="both"/>
        <w:rPr>
          <w:rFonts w:ascii="Arial" w:eastAsia="Merriweather" w:hAnsi="Arial" w:cs="Arial"/>
          <w:b/>
          <w:bCs/>
          <w:sz w:val="22"/>
          <w:szCs w:val="22"/>
          <w:lang w:val="en-IN"/>
        </w:rPr>
      </w:pPr>
      <w:r w:rsidRPr="00CF06EE">
        <w:rPr>
          <w:rFonts w:ascii="Arial" w:eastAsia="Merriweather" w:hAnsi="Arial" w:cs="Arial"/>
          <w:b/>
          <w:bCs/>
          <w:sz w:val="22"/>
          <w:szCs w:val="22"/>
          <w:lang w:val="en-IN"/>
        </w:rPr>
        <w:t>6.</w:t>
      </w:r>
      <w:r w:rsidR="007150F8" w:rsidRPr="00CF06EE">
        <w:rPr>
          <w:rFonts w:ascii="Arial" w:eastAsia="Merriweather" w:hAnsi="Arial" w:cs="Arial"/>
          <w:b/>
          <w:bCs/>
          <w:sz w:val="22"/>
          <w:szCs w:val="22"/>
          <w:lang w:val="en-IN"/>
        </w:rPr>
        <w:t>CHARACTERIZATION OF POSTBIOTICS</w:t>
      </w:r>
    </w:p>
    <w:p w14:paraId="2094F6BC" w14:textId="36D106FA" w:rsidR="007150F8" w:rsidRPr="00CF06EE" w:rsidRDefault="007150F8" w:rsidP="007150F8">
      <w:pPr>
        <w:shd w:val="clear" w:color="auto" w:fill="FFFFFF"/>
        <w:spacing w:line="240" w:lineRule="auto"/>
        <w:jc w:val="both"/>
        <w:rPr>
          <w:rFonts w:ascii="Arial" w:eastAsia="Merriweather" w:hAnsi="Arial" w:cs="Arial"/>
          <w:sz w:val="20"/>
          <w:szCs w:val="20"/>
          <w:lang w:val="en-IN"/>
        </w:rPr>
      </w:pPr>
      <w:r w:rsidRPr="00CF06EE">
        <w:rPr>
          <w:rFonts w:ascii="Arial" w:eastAsia="Merriweather" w:hAnsi="Arial" w:cs="Arial"/>
          <w:sz w:val="20"/>
          <w:szCs w:val="20"/>
          <w:lang w:val="en-IN"/>
        </w:rPr>
        <w:t>Characterization of postbiotic preparations is essential to evaluate their physicochemical properties, biochemical composition, and structural features. These parameters provide insights into metabolite stability, functional activity, and overall quality of the postbiotic extract (</w:t>
      </w:r>
      <w:r w:rsidRPr="00CF06EE">
        <w:rPr>
          <w:rFonts w:ascii="Arial" w:eastAsia="Times New Roman" w:hAnsi="Arial" w:cs="Arial"/>
          <w:sz w:val="20"/>
          <w:szCs w:val="20"/>
          <w:lang w:eastAsia="en-IN"/>
        </w:rPr>
        <w:t xml:space="preserve">Ramasamy, T </w:t>
      </w:r>
      <w:r w:rsidRPr="00CF06EE">
        <w:rPr>
          <w:rFonts w:ascii="Arial" w:eastAsia="Times New Roman" w:hAnsi="Arial" w:cs="Arial"/>
          <w:i/>
          <w:iCs/>
          <w:sz w:val="20"/>
          <w:szCs w:val="20"/>
          <w:lang w:eastAsia="en-IN"/>
        </w:rPr>
        <w:t>et al.,</w:t>
      </w:r>
      <w:r w:rsidRPr="00CF06EE">
        <w:rPr>
          <w:rFonts w:ascii="Arial" w:eastAsia="Times New Roman" w:hAnsi="Arial" w:cs="Arial"/>
          <w:sz w:val="20"/>
          <w:szCs w:val="20"/>
          <w:lang w:eastAsia="en-IN"/>
        </w:rPr>
        <w:t xml:space="preserve"> 2025</w:t>
      </w:r>
      <w:r w:rsidRPr="00CF06EE">
        <w:rPr>
          <w:rFonts w:ascii="Arial" w:eastAsia="Merriweather" w:hAnsi="Arial" w:cs="Arial"/>
          <w:sz w:val="20"/>
          <w:szCs w:val="20"/>
          <w:lang w:val="en-IN"/>
        </w:rPr>
        <w:t>). The characterization workflow generally includes physicochemical analysis, compositional assessment, and molecular profiling (</w:t>
      </w:r>
      <w:r w:rsidRPr="00CF06EE">
        <w:rPr>
          <w:rFonts w:ascii="Arial" w:eastAsia="Times New Roman" w:hAnsi="Arial" w:cs="Arial"/>
          <w:sz w:val="20"/>
          <w:szCs w:val="20"/>
          <w:lang w:eastAsia="en-IN"/>
        </w:rPr>
        <w:t xml:space="preserve">Ramasamy, T </w:t>
      </w:r>
      <w:r w:rsidRPr="00CF06EE">
        <w:rPr>
          <w:rFonts w:ascii="Arial" w:eastAsia="Times New Roman" w:hAnsi="Arial" w:cs="Arial"/>
          <w:i/>
          <w:iCs/>
          <w:sz w:val="20"/>
          <w:szCs w:val="20"/>
          <w:lang w:eastAsia="en-IN"/>
        </w:rPr>
        <w:t>et al.,</w:t>
      </w:r>
      <w:r w:rsidRPr="00CF06EE">
        <w:rPr>
          <w:rFonts w:ascii="Arial" w:eastAsia="Times New Roman" w:hAnsi="Arial" w:cs="Arial"/>
          <w:sz w:val="20"/>
          <w:szCs w:val="20"/>
          <w:lang w:eastAsia="en-IN"/>
        </w:rPr>
        <w:t xml:space="preserve"> 2025</w:t>
      </w:r>
      <w:r w:rsidRPr="00CF06EE">
        <w:rPr>
          <w:rFonts w:ascii="Arial" w:eastAsia="Merriweather" w:hAnsi="Arial" w:cs="Arial"/>
          <w:sz w:val="20"/>
          <w:szCs w:val="20"/>
          <w:lang w:val="en-IN"/>
        </w:rPr>
        <w:t>).</w:t>
      </w:r>
      <w:r w:rsidR="00A57F79" w:rsidRPr="00CF06EE">
        <w:rPr>
          <w:rFonts w:ascii="Arial" w:eastAsia="Merriweather" w:hAnsi="Arial" w:cs="Arial"/>
          <w:sz w:val="20"/>
          <w:szCs w:val="20"/>
          <w:lang w:val="en-IN"/>
        </w:rPr>
        <w:t xml:space="preserve"> </w:t>
      </w:r>
      <w:r w:rsidR="00A57F79" w:rsidRPr="00CF06EE">
        <w:rPr>
          <w:rFonts w:ascii="Arial" w:eastAsia="Merriweather" w:hAnsi="Arial" w:cs="Arial"/>
          <w:sz w:val="20"/>
          <w:szCs w:val="20"/>
        </w:rPr>
        <w:t>Advanced analytical techniques such as nuclear magnetic resonance (NMR), gas chromatography–mass spectrometry (GC–MS), and liquid chromatography–mass spectrometry (LC–MS) are widely used in microbial metabolomics to identify and characterize postbiotic compounds (Kumar et al., 202</w:t>
      </w:r>
      <w:r w:rsidR="00A57F79" w:rsidRPr="00CF06EE">
        <w:rPr>
          <w:rFonts w:ascii="Arial" w:eastAsia="Merriweather" w:hAnsi="Arial" w:cs="Arial"/>
          <w:sz w:val="20"/>
          <w:szCs w:val="20"/>
        </w:rPr>
        <w:t>4</w:t>
      </w:r>
      <w:r w:rsidR="00A57F79" w:rsidRPr="00CF06EE">
        <w:rPr>
          <w:rFonts w:ascii="Arial" w:eastAsia="Merriweather" w:hAnsi="Arial" w:cs="Arial"/>
          <w:sz w:val="20"/>
          <w:szCs w:val="20"/>
        </w:rPr>
        <w:t>).</w:t>
      </w:r>
    </w:p>
    <w:p w14:paraId="0DCA512F" w14:textId="5E6CD189" w:rsidR="007150F8" w:rsidRPr="00CF06EE" w:rsidRDefault="00F22CA2" w:rsidP="007150F8">
      <w:pPr>
        <w:shd w:val="clear" w:color="auto" w:fill="FFFFFF"/>
        <w:spacing w:line="240" w:lineRule="auto"/>
        <w:jc w:val="both"/>
        <w:rPr>
          <w:rFonts w:ascii="Arial" w:eastAsia="Merriweather" w:hAnsi="Arial" w:cs="Arial"/>
          <w:b/>
          <w:bCs/>
          <w:sz w:val="22"/>
          <w:szCs w:val="22"/>
          <w:lang w:val="en-IN"/>
        </w:rPr>
      </w:pPr>
      <w:r w:rsidRPr="00CF06EE">
        <w:rPr>
          <w:rFonts w:ascii="Arial" w:eastAsia="Merriweather" w:hAnsi="Arial" w:cs="Arial"/>
          <w:b/>
          <w:bCs/>
          <w:sz w:val="22"/>
          <w:szCs w:val="22"/>
          <w:lang w:val="en-IN"/>
        </w:rPr>
        <w:t>6</w:t>
      </w:r>
      <w:r w:rsidR="007150F8" w:rsidRPr="00CF06EE">
        <w:rPr>
          <w:rFonts w:ascii="Arial" w:eastAsia="Merriweather" w:hAnsi="Arial" w:cs="Arial"/>
          <w:b/>
          <w:bCs/>
          <w:sz w:val="22"/>
          <w:szCs w:val="22"/>
          <w:lang w:val="en-IN"/>
        </w:rPr>
        <w:t>.1 Physicochemical Characterization</w:t>
      </w:r>
    </w:p>
    <w:p w14:paraId="2599251C" w14:textId="57D9D521" w:rsidR="007150F8" w:rsidRPr="00CF06EE" w:rsidRDefault="00F22CA2" w:rsidP="007150F8">
      <w:pPr>
        <w:shd w:val="clear" w:color="auto" w:fill="FFFFFF"/>
        <w:spacing w:line="240" w:lineRule="auto"/>
        <w:jc w:val="both"/>
        <w:rPr>
          <w:rFonts w:ascii="Arial" w:eastAsia="Merriweather" w:hAnsi="Arial" w:cs="Arial"/>
          <w:b/>
          <w:bCs/>
          <w:sz w:val="20"/>
          <w:szCs w:val="20"/>
          <w:lang w:val="en-IN"/>
        </w:rPr>
      </w:pPr>
      <w:r w:rsidRPr="00CF06EE">
        <w:rPr>
          <w:rFonts w:ascii="Arial" w:eastAsia="Merriweather" w:hAnsi="Arial" w:cs="Arial"/>
          <w:b/>
          <w:bCs/>
          <w:sz w:val="20"/>
          <w:szCs w:val="20"/>
          <w:lang w:val="en-IN"/>
        </w:rPr>
        <w:t>6</w:t>
      </w:r>
      <w:r w:rsidR="007150F8" w:rsidRPr="00CF06EE">
        <w:rPr>
          <w:rFonts w:ascii="Arial" w:eastAsia="Merriweather" w:hAnsi="Arial" w:cs="Arial"/>
          <w:b/>
          <w:bCs/>
          <w:sz w:val="20"/>
          <w:szCs w:val="20"/>
          <w:lang w:val="en-IN"/>
        </w:rPr>
        <w:t>.1.1 pH Measurement</w:t>
      </w:r>
    </w:p>
    <w:p w14:paraId="7F315D03" w14:textId="77777777" w:rsidR="007150F8" w:rsidRPr="00CF06EE" w:rsidRDefault="007150F8" w:rsidP="007150F8">
      <w:pPr>
        <w:shd w:val="clear" w:color="auto" w:fill="FFFFFF"/>
        <w:spacing w:line="240" w:lineRule="auto"/>
        <w:jc w:val="both"/>
        <w:rPr>
          <w:rFonts w:ascii="Arial" w:eastAsia="Merriweather" w:hAnsi="Arial" w:cs="Arial"/>
          <w:sz w:val="20"/>
          <w:szCs w:val="20"/>
          <w:lang w:val="en-IN"/>
        </w:rPr>
      </w:pPr>
      <w:r w:rsidRPr="00CF06EE">
        <w:rPr>
          <w:rFonts w:ascii="Arial" w:eastAsia="Merriweather" w:hAnsi="Arial" w:cs="Arial"/>
          <w:sz w:val="20"/>
          <w:szCs w:val="20"/>
          <w:lang w:val="en-IN"/>
        </w:rPr>
        <w:t xml:space="preserve">The pH of postbiotic extracts was determined using a calibrated benchtop digital pH meter equipped with a temperature probe and magnetic stirrer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lang w:eastAsia="en-IN"/>
        </w:rPr>
        <w:t>Condurso</w:t>
      </w:r>
      <w:proofErr w:type="spellEnd"/>
      <w:r w:rsidRPr="00CF06EE">
        <w:rPr>
          <w:rFonts w:ascii="Arial" w:eastAsia="Times New Roman" w:hAnsi="Arial" w:cs="Arial"/>
          <w:sz w:val="20"/>
          <w:szCs w:val="20"/>
          <w:lang w:eastAsia="en-IN"/>
        </w:rPr>
        <w:t xml:space="preserve">, C </w:t>
      </w:r>
      <w:r w:rsidRPr="00CF06EE">
        <w:rPr>
          <w:rFonts w:ascii="Arial" w:eastAsia="Times New Roman" w:hAnsi="Arial" w:cs="Arial"/>
          <w:i/>
          <w:iCs/>
          <w:sz w:val="20"/>
          <w:szCs w:val="20"/>
          <w:lang w:eastAsia="en-IN"/>
        </w:rPr>
        <w:t xml:space="preserve">et al., </w:t>
      </w:r>
      <w:r w:rsidRPr="00CF06EE">
        <w:rPr>
          <w:rFonts w:ascii="Arial" w:eastAsia="Times New Roman" w:hAnsi="Arial" w:cs="Arial"/>
          <w:sz w:val="20"/>
          <w:szCs w:val="20"/>
          <w:lang w:eastAsia="en-IN"/>
        </w:rPr>
        <w:t xml:space="preserve">2025; </w:t>
      </w:r>
      <w:r w:rsidRPr="00CF06EE">
        <w:rPr>
          <w:rFonts w:ascii="Arial" w:eastAsia="Times New Roman" w:hAnsi="Arial" w:cs="Arial"/>
          <w:sz w:val="20"/>
          <w:szCs w:val="20"/>
        </w:rPr>
        <w:t>Mafe, A. N et al., 2025)</w:t>
      </w:r>
      <w:r w:rsidRPr="00CF06EE">
        <w:rPr>
          <w:rFonts w:ascii="Arial" w:eastAsia="Merriweather" w:hAnsi="Arial" w:cs="Arial"/>
          <w:sz w:val="20"/>
          <w:szCs w:val="20"/>
          <w:lang w:val="en-IN"/>
        </w:rPr>
        <w:t xml:space="preserve">. Samples were allowed to equilibrate at room temperature prior to measurement, and the electrode was directly immersed into the extract to obtain stable readings </w:t>
      </w:r>
      <w:r w:rsidRPr="00CF06EE">
        <w:rPr>
          <w:rFonts w:ascii="Arial" w:hAnsi="Arial" w:cs="Arial"/>
          <w:sz w:val="20"/>
          <w:szCs w:val="20"/>
          <w:lang w:val="en-IN"/>
        </w:rPr>
        <w:t>(</w:t>
      </w:r>
      <w:r w:rsidRPr="00CF06EE">
        <w:rPr>
          <w:rFonts w:ascii="Arial" w:eastAsia="Times New Roman" w:hAnsi="Arial" w:cs="Arial"/>
          <w:sz w:val="20"/>
          <w:szCs w:val="20"/>
          <w:lang w:val="en-IN"/>
        </w:rPr>
        <w:t xml:space="preserve">Meena, K. K.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 </w:t>
      </w:r>
      <w:r w:rsidRPr="00CF06EE">
        <w:rPr>
          <w:rFonts w:ascii="Arial" w:eastAsia="Times New Roman" w:hAnsi="Arial" w:cs="Arial"/>
          <w:sz w:val="20"/>
          <w:szCs w:val="20"/>
          <w:lang w:eastAsia="en-IN"/>
        </w:rPr>
        <w:t>Br, A. 2025c)</w:t>
      </w:r>
      <w:r w:rsidRPr="00CF06EE">
        <w:rPr>
          <w:rFonts w:ascii="Arial" w:eastAsia="Merriweather" w:hAnsi="Arial" w:cs="Arial"/>
          <w:sz w:val="20"/>
          <w:szCs w:val="20"/>
          <w:lang w:val="en-IN"/>
        </w:rPr>
        <w:t>.</w:t>
      </w:r>
    </w:p>
    <w:p w14:paraId="23CA44FC" w14:textId="4EA3B4F1" w:rsidR="007150F8" w:rsidRPr="00CF06EE" w:rsidRDefault="00F22CA2" w:rsidP="007150F8">
      <w:pPr>
        <w:shd w:val="clear" w:color="auto" w:fill="FFFFFF"/>
        <w:spacing w:line="240" w:lineRule="auto"/>
        <w:jc w:val="both"/>
        <w:rPr>
          <w:rFonts w:ascii="Arial" w:eastAsia="Merriweather" w:hAnsi="Arial" w:cs="Arial"/>
          <w:b/>
          <w:bCs/>
          <w:sz w:val="20"/>
          <w:szCs w:val="20"/>
          <w:lang w:val="en-IN"/>
        </w:rPr>
      </w:pPr>
      <w:r w:rsidRPr="00CF06EE">
        <w:rPr>
          <w:rFonts w:ascii="Arial" w:eastAsia="Merriweather" w:hAnsi="Arial" w:cs="Arial"/>
          <w:b/>
          <w:bCs/>
          <w:sz w:val="20"/>
          <w:szCs w:val="20"/>
          <w:lang w:val="en-IN"/>
        </w:rPr>
        <w:t>6</w:t>
      </w:r>
      <w:r w:rsidR="007150F8" w:rsidRPr="00CF06EE">
        <w:rPr>
          <w:rFonts w:ascii="Arial" w:eastAsia="Merriweather" w:hAnsi="Arial" w:cs="Arial"/>
          <w:b/>
          <w:bCs/>
          <w:sz w:val="20"/>
          <w:szCs w:val="20"/>
          <w:lang w:val="en-IN"/>
        </w:rPr>
        <w:t>.1.2 Total Titratable Acidity (TTA)</w:t>
      </w:r>
    </w:p>
    <w:p w14:paraId="21C54BFE" w14:textId="77777777" w:rsidR="007150F8" w:rsidRPr="00CF06EE" w:rsidRDefault="007150F8" w:rsidP="007150F8">
      <w:pPr>
        <w:shd w:val="clear" w:color="auto" w:fill="FFFFFF"/>
        <w:spacing w:line="240" w:lineRule="auto"/>
        <w:jc w:val="both"/>
        <w:rPr>
          <w:rFonts w:ascii="Arial" w:eastAsia="Merriweather" w:hAnsi="Arial" w:cs="Arial"/>
          <w:sz w:val="20"/>
          <w:szCs w:val="20"/>
          <w:lang w:val="en-IN"/>
        </w:rPr>
      </w:pPr>
      <w:r w:rsidRPr="00CF06EE">
        <w:rPr>
          <w:rFonts w:ascii="Arial" w:eastAsia="Merriweather" w:hAnsi="Arial" w:cs="Arial"/>
          <w:sz w:val="20"/>
          <w:szCs w:val="20"/>
          <w:lang w:val="en-IN"/>
        </w:rPr>
        <w:t xml:space="preserve">Titratable acidity was assessed by titration with 0.1 N NaOH using phenolphthalein as an indicator. A 10 mL aliquot of the extract was diluted with carbonate-free distilled water and titrated until the endpoint (pH ≈ 8.3) was reached. Results were expressed as grams of citric acid equivalent per 100 mL of sample, reflecting the total organic acid content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lang w:eastAsia="en-IN"/>
        </w:rPr>
        <w:t>Condurso</w:t>
      </w:r>
      <w:proofErr w:type="spellEnd"/>
      <w:r w:rsidRPr="00CF06EE">
        <w:rPr>
          <w:rFonts w:ascii="Arial" w:eastAsia="Times New Roman" w:hAnsi="Arial" w:cs="Arial"/>
          <w:sz w:val="20"/>
          <w:szCs w:val="20"/>
          <w:lang w:eastAsia="en-IN"/>
        </w:rPr>
        <w:t xml:space="preserve">, C </w:t>
      </w:r>
      <w:r w:rsidRPr="00CF06EE">
        <w:rPr>
          <w:rFonts w:ascii="Arial" w:eastAsia="Times New Roman" w:hAnsi="Arial" w:cs="Arial"/>
          <w:i/>
          <w:iCs/>
          <w:sz w:val="20"/>
          <w:szCs w:val="20"/>
          <w:lang w:eastAsia="en-IN"/>
        </w:rPr>
        <w:t xml:space="preserve">et al., </w:t>
      </w:r>
      <w:r w:rsidRPr="00CF06EE">
        <w:rPr>
          <w:rFonts w:ascii="Arial" w:eastAsia="Times New Roman" w:hAnsi="Arial" w:cs="Arial"/>
          <w:sz w:val="20"/>
          <w:szCs w:val="20"/>
          <w:lang w:eastAsia="en-IN"/>
        </w:rPr>
        <w:t>2025)</w:t>
      </w:r>
      <w:r w:rsidRPr="00CF06EE">
        <w:rPr>
          <w:rFonts w:ascii="Arial" w:eastAsia="Merriweather" w:hAnsi="Arial" w:cs="Arial"/>
          <w:sz w:val="20"/>
          <w:szCs w:val="20"/>
          <w:lang w:val="en-IN"/>
        </w:rPr>
        <w:t>.</w:t>
      </w:r>
    </w:p>
    <w:p w14:paraId="29011DF3" w14:textId="2899CA61" w:rsidR="007150F8" w:rsidRPr="00CF06EE" w:rsidRDefault="00F22CA2" w:rsidP="007150F8">
      <w:pPr>
        <w:shd w:val="clear" w:color="auto" w:fill="FFFFFF"/>
        <w:spacing w:line="240" w:lineRule="auto"/>
        <w:jc w:val="both"/>
        <w:rPr>
          <w:rFonts w:ascii="Arial" w:eastAsia="Merriweather" w:hAnsi="Arial" w:cs="Arial"/>
          <w:b/>
          <w:bCs/>
          <w:sz w:val="20"/>
          <w:szCs w:val="20"/>
          <w:lang w:val="en-IN"/>
        </w:rPr>
      </w:pPr>
      <w:r w:rsidRPr="00CF06EE">
        <w:rPr>
          <w:rFonts w:ascii="Arial" w:eastAsia="Merriweather" w:hAnsi="Arial" w:cs="Arial"/>
          <w:b/>
          <w:bCs/>
          <w:sz w:val="20"/>
          <w:szCs w:val="20"/>
          <w:lang w:val="en-IN"/>
        </w:rPr>
        <w:t>6</w:t>
      </w:r>
      <w:r w:rsidR="007150F8" w:rsidRPr="00CF06EE">
        <w:rPr>
          <w:rFonts w:ascii="Arial" w:eastAsia="Merriweather" w:hAnsi="Arial" w:cs="Arial"/>
          <w:b/>
          <w:bCs/>
          <w:sz w:val="20"/>
          <w:szCs w:val="20"/>
          <w:lang w:val="en-IN"/>
        </w:rPr>
        <w:t>.1.3 Colour Analysis</w:t>
      </w:r>
    </w:p>
    <w:p w14:paraId="2AE6C27A" w14:textId="77777777" w:rsidR="007150F8" w:rsidRPr="00CF06EE" w:rsidRDefault="007150F8" w:rsidP="007150F8">
      <w:pPr>
        <w:shd w:val="clear" w:color="auto" w:fill="FFFFFF"/>
        <w:spacing w:line="240" w:lineRule="auto"/>
        <w:jc w:val="both"/>
        <w:rPr>
          <w:rFonts w:ascii="Arial" w:eastAsia="Merriweather" w:hAnsi="Arial" w:cs="Arial"/>
          <w:sz w:val="20"/>
          <w:szCs w:val="20"/>
          <w:lang w:val="en-IN"/>
        </w:rPr>
      </w:pPr>
      <w:r w:rsidRPr="00CF06EE">
        <w:rPr>
          <w:rFonts w:ascii="Arial" w:eastAsia="Merriweather" w:hAnsi="Arial" w:cs="Arial"/>
          <w:sz w:val="20"/>
          <w:szCs w:val="20"/>
          <w:lang w:val="en-IN"/>
        </w:rPr>
        <w:t xml:space="preserve">Colour characteristics of the postbiotic extracts were evaluated using an image-based visual </w:t>
      </w:r>
      <w:proofErr w:type="spellStart"/>
      <w:r w:rsidRPr="00CF06EE">
        <w:rPr>
          <w:rFonts w:ascii="Arial" w:eastAsia="Merriweather" w:hAnsi="Arial" w:cs="Arial"/>
          <w:sz w:val="20"/>
          <w:szCs w:val="20"/>
          <w:lang w:val="en-IN"/>
        </w:rPr>
        <w:t>analyzer</w:t>
      </w:r>
      <w:proofErr w:type="spellEnd"/>
      <w:r w:rsidRPr="00CF06EE">
        <w:rPr>
          <w:rFonts w:ascii="Arial" w:eastAsia="Merriweather" w:hAnsi="Arial" w:cs="Arial"/>
          <w:sz w:val="20"/>
          <w:szCs w:val="20"/>
          <w:lang w:val="en-IN"/>
        </w:rPr>
        <w:t xml:space="preserve"> equipped with controlled illumination and high-resolution imaging. Samples placed in Petri dishes were photographed against a white background to ensure uniformity. Image processing included background correction and colour threshold optimization to generate reliable RGB values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lang w:eastAsia="en-IN"/>
        </w:rPr>
        <w:t>Condurso</w:t>
      </w:r>
      <w:proofErr w:type="spellEnd"/>
      <w:r w:rsidRPr="00CF06EE">
        <w:rPr>
          <w:rFonts w:ascii="Arial" w:eastAsia="Times New Roman" w:hAnsi="Arial" w:cs="Arial"/>
          <w:sz w:val="20"/>
          <w:szCs w:val="20"/>
          <w:lang w:eastAsia="en-IN"/>
        </w:rPr>
        <w:t xml:space="preserve">, C </w:t>
      </w:r>
      <w:r w:rsidRPr="00CF06EE">
        <w:rPr>
          <w:rFonts w:ascii="Arial" w:eastAsia="Times New Roman" w:hAnsi="Arial" w:cs="Arial"/>
          <w:i/>
          <w:iCs/>
          <w:sz w:val="20"/>
          <w:szCs w:val="20"/>
          <w:lang w:eastAsia="en-IN"/>
        </w:rPr>
        <w:t xml:space="preserve">et al., </w:t>
      </w:r>
      <w:r w:rsidRPr="00CF06EE">
        <w:rPr>
          <w:rFonts w:ascii="Arial" w:eastAsia="Times New Roman" w:hAnsi="Arial" w:cs="Arial"/>
          <w:sz w:val="20"/>
          <w:szCs w:val="20"/>
          <w:lang w:eastAsia="en-IN"/>
        </w:rPr>
        <w:t>2025)</w:t>
      </w:r>
      <w:r w:rsidRPr="00CF06EE">
        <w:rPr>
          <w:rFonts w:ascii="Arial" w:eastAsia="Merriweather" w:hAnsi="Arial" w:cs="Arial"/>
          <w:sz w:val="20"/>
          <w:szCs w:val="20"/>
          <w:lang w:val="en-IN"/>
        </w:rPr>
        <w:t>.</w:t>
      </w:r>
    </w:p>
    <w:p w14:paraId="71BF9BEF" w14:textId="22D9017F" w:rsidR="007150F8" w:rsidRPr="00CF06EE" w:rsidRDefault="00F22CA2" w:rsidP="007150F8">
      <w:pPr>
        <w:shd w:val="clear" w:color="auto" w:fill="FFFFFF"/>
        <w:spacing w:line="240" w:lineRule="auto"/>
        <w:jc w:val="both"/>
        <w:rPr>
          <w:rFonts w:ascii="Arial" w:eastAsia="Merriweather" w:hAnsi="Arial" w:cs="Arial"/>
          <w:b/>
          <w:bCs/>
          <w:sz w:val="20"/>
          <w:szCs w:val="20"/>
          <w:lang w:val="en-IN"/>
        </w:rPr>
      </w:pPr>
      <w:r w:rsidRPr="00CF06EE">
        <w:rPr>
          <w:rFonts w:ascii="Arial" w:eastAsia="Merriweather" w:hAnsi="Arial" w:cs="Arial"/>
          <w:b/>
          <w:bCs/>
          <w:sz w:val="20"/>
          <w:szCs w:val="20"/>
          <w:lang w:val="en-IN"/>
        </w:rPr>
        <w:t>6</w:t>
      </w:r>
      <w:r w:rsidR="007150F8" w:rsidRPr="00CF06EE">
        <w:rPr>
          <w:rFonts w:ascii="Arial" w:eastAsia="Merriweather" w:hAnsi="Arial" w:cs="Arial"/>
          <w:b/>
          <w:bCs/>
          <w:sz w:val="20"/>
          <w:szCs w:val="20"/>
          <w:lang w:val="en-IN"/>
        </w:rPr>
        <w:t>.1.4 Moisture Content</w:t>
      </w:r>
    </w:p>
    <w:p w14:paraId="5ECE02F4" w14:textId="77777777" w:rsidR="007150F8" w:rsidRPr="00CF06EE" w:rsidRDefault="007150F8" w:rsidP="007150F8">
      <w:pPr>
        <w:shd w:val="clear" w:color="auto" w:fill="FFFFFF"/>
        <w:spacing w:line="240" w:lineRule="auto"/>
        <w:jc w:val="both"/>
        <w:rPr>
          <w:rFonts w:ascii="Arial" w:eastAsia="Merriweather" w:hAnsi="Arial" w:cs="Arial"/>
          <w:sz w:val="20"/>
          <w:szCs w:val="20"/>
          <w:lang w:val="en-IN"/>
        </w:rPr>
      </w:pPr>
      <w:r w:rsidRPr="00CF06EE">
        <w:rPr>
          <w:rFonts w:ascii="Arial" w:eastAsia="Merriweather" w:hAnsi="Arial" w:cs="Arial"/>
          <w:sz w:val="20"/>
          <w:szCs w:val="20"/>
          <w:lang w:val="en-IN"/>
        </w:rPr>
        <w:t>Moisture levels were determined according to AOAC guidelines. Approximately 10 g of sample was dried at 105 °C for 180 min, and moisture percentage was calculated based on the difference between initial and final weights. This parameter helps assess sample stability and shelf-life (</w:t>
      </w:r>
      <w:r w:rsidRPr="00CF06EE">
        <w:rPr>
          <w:rFonts w:ascii="Arial" w:eastAsia="Times New Roman" w:hAnsi="Arial" w:cs="Arial"/>
          <w:sz w:val="20"/>
          <w:szCs w:val="20"/>
          <w:lang w:val="en-IN"/>
        </w:rPr>
        <w:t xml:space="preserve">Meena, K. K.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 </w:t>
      </w:r>
      <w:r w:rsidRPr="00CF06EE">
        <w:rPr>
          <w:rFonts w:ascii="Arial" w:eastAsia="Times New Roman" w:hAnsi="Arial" w:cs="Arial"/>
          <w:sz w:val="20"/>
          <w:szCs w:val="20"/>
          <w:lang w:val="en-IN" w:eastAsia="en-IN"/>
        </w:rPr>
        <w:t xml:space="preserve">Akman, P. K </w:t>
      </w:r>
      <w:r w:rsidRPr="00CF06EE">
        <w:rPr>
          <w:rFonts w:ascii="Arial" w:eastAsia="Times New Roman" w:hAnsi="Arial" w:cs="Arial"/>
          <w:i/>
          <w:iCs/>
          <w:sz w:val="20"/>
          <w:szCs w:val="20"/>
          <w:lang w:val="en-IN" w:eastAsia="en-IN"/>
        </w:rPr>
        <w:t>et al.,</w:t>
      </w:r>
      <w:r w:rsidRPr="00CF06EE">
        <w:rPr>
          <w:rFonts w:ascii="Arial" w:eastAsia="Times New Roman" w:hAnsi="Arial" w:cs="Arial"/>
          <w:sz w:val="20"/>
          <w:szCs w:val="20"/>
          <w:lang w:val="en-IN" w:eastAsia="en-IN"/>
        </w:rPr>
        <w:t xml:space="preserve"> 2023</w:t>
      </w:r>
      <w:r w:rsidRPr="00CF06EE">
        <w:rPr>
          <w:rFonts w:ascii="Arial" w:eastAsia="Times New Roman" w:hAnsi="Arial" w:cs="Arial"/>
          <w:sz w:val="20"/>
          <w:szCs w:val="20"/>
          <w:lang w:val="en-IN"/>
        </w:rPr>
        <w:t>)</w:t>
      </w:r>
      <w:r w:rsidRPr="00CF06EE">
        <w:rPr>
          <w:rFonts w:ascii="Arial" w:eastAsia="Merriweather" w:hAnsi="Arial" w:cs="Arial"/>
          <w:sz w:val="20"/>
          <w:szCs w:val="20"/>
          <w:lang w:val="en-IN"/>
        </w:rPr>
        <w:t>.</w:t>
      </w:r>
    </w:p>
    <w:p w14:paraId="20543078" w14:textId="7DB14383" w:rsidR="007150F8" w:rsidRPr="00CF06EE" w:rsidRDefault="00F22CA2" w:rsidP="007150F8">
      <w:pPr>
        <w:shd w:val="clear" w:color="auto" w:fill="FFFFFF"/>
        <w:spacing w:line="240" w:lineRule="auto"/>
        <w:jc w:val="both"/>
        <w:rPr>
          <w:rFonts w:ascii="Arial" w:eastAsia="Merriweather" w:hAnsi="Arial" w:cs="Arial"/>
          <w:b/>
          <w:bCs/>
          <w:sz w:val="22"/>
          <w:szCs w:val="22"/>
          <w:lang w:val="en-IN"/>
        </w:rPr>
      </w:pPr>
      <w:r w:rsidRPr="00CF06EE">
        <w:rPr>
          <w:rFonts w:ascii="Arial" w:eastAsia="Merriweather" w:hAnsi="Arial" w:cs="Arial"/>
          <w:b/>
          <w:bCs/>
          <w:sz w:val="22"/>
          <w:szCs w:val="22"/>
          <w:lang w:val="en-IN"/>
        </w:rPr>
        <w:lastRenderedPageBreak/>
        <w:t>6</w:t>
      </w:r>
      <w:r w:rsidR="007150F8" w:rsidRPr="00CF06EE">
        <w:rPr>
          <w:rFonts w:ascii="Arial" w:eastAsia="Merriweather" w:hAnsi="Arial" w:cs="Arial"/>
          <w:b/>
          <w:bCs/>
          <w:sz w:val="22"/>
          <w:szCs w:val="22"/>
          <w:lang w:val="en-IN"/>
        </w:rPr>
        <w:t>.2 Biochemical Composition Analysis</w:t>
      </w:r>
    </w:p>
    <w:p w14:paraId="58D43FA9" w14:textId="59BE536C" w:rsidR="007150F8" w:rsidRPr="00CF06EE" w:rsidRDefault="00F22CA2" w:rsidP="007150F8">
      <w:pPr>
        <w:shd w:val="clear" w:color="auto" w:fill="FFFFFF"/>
        <w:spacing w:line="240" w:lineRule="auto"/>
        <w:jc w:val="both"/>
        <w:rPr>
          <w:rFonts w:ascii="Arial" w:eastAsia="Merriweather" w:hAnsi="Arial" w:cs="Arial"/>
          <w:b/>
          <w:bCs/>
          <w:sz w:val="20"/>
          <w:szCs w:val="20"/>
          <w:lang w:val="en-IN"/>
        </w:rPr>
      </w:pPr>
      <w:r w:rsidRPr="00CF06EE">
        <w:rPr>
          <w:rFonts w:ascii="Arial" w:eastAsia="Merriweather" w:hAnsi="Arial" w:cs="Arial"/>
          <w:b/>
          <w:bCs/>
          <w:sz w:val="20"/>
          <w:szCs w:val="20"/>
          <w:lang w:val="en-IN"/>
        </w:rPr>
        <w:t>6</w:t>
      </w:r>
      <w:r w:rsidR="007150F8" w:rsidRPr="00CF06EE">
        <w:rPr>
          <w:rFonts w:ascii="Arial" w:eastAsia="Merriweather" w:hAnsi="Arial" w:cs="Arial"/>
          <w:b/>
          <w:bCs/>
          <w:sz w:val="20"/>
          <w:szCs w:val="20"/>
          <w:lang w:val="en-IN"/>
        </w:rPr>
        <w:t>.2.1 Protein and Peptide Estimation</w:t>
      </w:r>
    </w:p>
    <w:p w14:paraId="619B2EF4" w14:textId="1DC2BC0D" w:rsidR="007150F8" w:rsidRPr="00CF06EE" w:rsidRDefault="007150F8" w:rsidP="007150F8">
      <w:pPr>
        <w:shd w:val="clear" w:color="auto" w:fill="FFFFFF"/>
        <w:spacing w:line="240" w:lineRule="auto"/>
        <w:jc w:val="both"/>
        <w:rPr>
          <w:rFonts w:ascii="Arial" w:eastAsia="Merriweather" w:hAnsi="Arial" w:cs="Arial"/>
          <w:sz w:val="20"/>
          <w:szCs w:val="20"/>
          <w:lang w:val="en-IN"/>
        </w:rPr>
      </w:pPr>
      <w:r w:rsidRPr="00CF06EE">
        <w:rPr>
          <w:rFonts w:ascii="Arial" w:eastAsia="Merriweather" w:hAnsi="Arial" w:cs="Arial"/>
          <w:sz w:val="20"/>
          <w:szCs w:val="20"/>
          <w:lang w:val="en-IN"/>
        </w:rPr>
        <w:t>Total protein and peptide content in postbiotic preparations were quantified using the Lowry method. This analysis provides an estimation of bioactive peptides and proteinaceous compounds that may contribute to antimicrobial and antioxidant properties</w:t>
      </w:r>
      <w:r w:rsidR="00A81A82" w:rsidRPr="00CF06EE">
        <w:rPr>
          <w:rFonts w:ascii="Arial" w:eastAsia="Merriweather" w:hAnsi="Arial" w:cs="Arial"/>
          <w:sz w:val="20"/>
          <w:szCs w:val="20"/>
          <w:lang w:val="en-IN"/>
        </w:rPr>
        <w:t xml:space="preserve"> </w:t>
      </w:r>
      <w:r w:rsidR="00A81A82" w:rsidRPr="00CF06EE">
        <w:rPr>
          <w:rFonts w:ascii="Arial" w:eastAsia="Merriweather" w:hAnsi="Arial" w:cs="Arial"/>
          <w:sz w:val="20"/>
          <w:szCs w:val="20"/>
        </w:rPr>
        <w:t>(Cuevas-González et al., 2020)</w:t>
      </w:r>
      <w:r w:rsidRPr="00CF06EE">
        <w:rPr>
          <w:rFonts w:ascii="Arial" w:eastAsia="Merriweather" w:hAnsi="Arial" w:cs="Arial"/>
          <w:sz w:val="20"/>
          <w:szCs w:val="20"/>
          <w:lang w:val="en-IN"/>
        </w:rPr>
        <w:t>.</w:t>
      </w:r>
    </w:p>
    <w:p w14:paraId="24C4B1B9" w14:textId="77777777" w:rsidR="007150F8" w:rsidRPr="00CF06EE" w:rsidRDefault="007150F8" w:rsidP="007150F8">
      <w:pPr>
        <w:spacing w:after="0" w:line="240" w:lineRule="auto"/>
        <w:jc w:val="both"/>
        <w:rPr>
          <w:rFonts w:ascii="Arial" w:hAnsi="Arial" w:cs="Arial"/>
          <w:sz w:val="20"/>
          <w:szCs w:val="20"/>
          <w:lang w:val="en-IN"/>
        </w:rPr>
      </w:pPr>
    </w:p>
    <w:p w14:paraId="49A32557" w14:textId="77777777" w:rsidR="00F22CA2" w:rsidRPr="00CF06EE" w:rsidRDefault="007150F8" w:rsidP="00F22CA2">
      <w:pPr>
        <w:spacing w:after="0" w:line="240" w:lineRule="auto"/>
        <w:jc w:val="both"/>
        <w:rPr>
          <w:rFonts w:ascii="Arial" w:hAnsi="Arial" w:cs="Arial"/>
          <w:b/>
          <w:bCs/>
          <w:sz w:val="22"/>
          <w:szCs w:val="22"/>
          <w:lang w:val="en-IN"/>
        </w:rPr>
      </w:pPr>
      <w:r w:rsidRPr="00CF06EE">
        <w:rPr>
          <w:rFonts w:ascii="Arial" w:hAnsi="Arial" w:cs="Arial"/>
          <w:sz w:val="20"/>
          <w:szCs w:val="20"/>
          <w:lang w:val="en-IN"/>
        </w:rPr>
        <w:t>.</w:t>
      </w:r>
      <w:r w:rsidR="00F22CA2" w:rsidRPr="00CF06EE">
        <w:rPr>
          <w:rFonts w:ascii="Arial" w:eastAsia="Times New Roman" w:hAnsi="Arial" w:cs="Arial"/>
          <w:b/>
          <w:bCs/>
          <w:sz w:val="22"/>
          <w:szCs w:val="22"/>
          <w:lang w:val="en-IN"/>
        </w:rPr>
        <w:t>7</w:t>
      </w:r>
      <w:r w:rsidR="008641AD" w:rsidRPr="00CF06EE">
        <w:rPr>
          <w:rFonts w:ascii="Arial" w:eastAsia="Times New Roman" w:hAnsi="Arial" w:cs="Arial"/>
          <w:b/>
          <w:bCs/>
          <w:sz w:val="22"/>
          <w:szCs w:val="22"/>
          <w:lang w:val="en-IN"/>
        </w:rPr>
        <w:t xml:space="preserve">. </w:t>
      </w:r>
      <w:r w:rsidR="00F22CA2" w:rsidRPr="00CF06EE">
        <w:rPr>
          <w:rFonts w:ascii="Arial" w:hAnsi="Arial" w:cs="Arial"/>
          <w:b/>
          <w:bCs/>
          <w:sz w:val="22"/>
          <w:szCs w:val="22"/>
          <w:lang w:val="en-IN"/>
        </w:rPr>
        <w:t xml:space="preserve">EVALUATION </w:t>
      </w:r>
    </w:p>
    <w:p w14:paraId="12DC6681" w14:textId="77777777" w:rsidR="00F22CA2" w:rsidRPr="00CF06EE" w:rsidRDefault="00F22CA2" w:rsidP="00F22CA2">
      <w:pPr>
        <w:spacing w:after="0" w:line="240" w:lineRule="auto"/>
        <w:jc w:val="both"/>
        <w:rPr>
          <w:rFonts w:ascii="Arial" w:hAnsi="Arial" w:cs="Arial"/>
          <w:b/>
          <w:bCs/>
          <w:sz w:val="22"/>
          <w:szCs w:val="22"/>
          <w:lang w:val="en-IN"/>
        </w:rPr>
      </w:pPr>
    </w:p>
    <w:p w14:paraId="2C552BEB" w14:textId="5E159DE1" w:rsidR="00F22CA2" w:rsidRPr="00CF06EE" w:rsidRDefault="00F22CA2" w:rsidP="00F22CA2">
      <w:pPr>
        <w:spacing w:after="0" w:line="240" w:lineRule="auto"/>
        <w:jc w:val="both"/>
        <w:rPr>
          <w:rFonts w:ascii="Arial" w:hAnsi="Arial" w:cs="Arial"/>
          <w:b/>
          <w:bCs/>
          <w:sz w:val="22"/>
          <w:szCs w:val="22"/>
          <w:lang w:val="en-IN"/>
        </w:rPr>
      </w:pPr>
      <w:r w:rsidRPr="00CF06EE">
        <w:rPr>
          <w:rFonts w:ascii="Arial" w:hAnsi="Arial" w:cs="Arial"/>
          <w:b/>
          <w:bCs/>
          <w:sz w:val="22"/>
          <w:szCs w:val="22"/>
          <w:lang w:val="en-IN"/>
        </w:rPr>
        <w:t xml:space="preserve">7.1 </w:t>
      </w:r>
      <w:r w:rsidRPr="00CF06EE">
        <w:rPr>
          <w:rFonts w:ascii="Arial" w:hAnsi="Arial" w:cs="Arial"/>
          <w:b/>
          <w:bCs/>
          <w:sz w:val="22"/>
          <w:szCs w:val="22"/>
          <w:lang w:val="en-IN"/>
        </w:rPr>
        <w:t>Determination of Minimum Inhibitory Concentration (MIC) and Minimum Bactericidal Concentration (MBC)</w:t>
      </w:r>
    </w:p>
    <w:p w14:paraId="5A82B408" w14:textId="77777777" w:rsidR="00F22CA2" w:rsidRPr="00CF06EE" w:rsidRDefault="00F22CA2" w:rsidP="00F22CA2">
      <w:pPr>
        <w:spacing w:after="0" w:line="240" w:lineRule="auto"/>
        <w:jc w:val="both"/>
        <w:rPr>
          <w:rFonts w:ascii="Arial" w:hAnsi="Arial" w:cs="Arial"/>
          <w:sz w:val="20"/>
          <w:szCs w:val="20"/>
          <w:lang w:val="en-IN"/>
        </w:rPr>
      </w:pPr>
      <w:r w:rsidRPr="00CF06EE">
        <w:rPr>
          <w:rFonts w:ascii="Arial" w:hAnsi="Arial" w:cs="Arial"/>
          <w:sz w:val="20"/>
          <w:szCs w:val="20"/>
          <w:lang w:val="en-IN"/>
        </w:rPr>
        <w:t xml:space="preserve">The antimicrobial activity of postbiotics derived from </w:t>
      </w:r>
      <w:proofErr w:type="spellStart"/>
      <w:r w:rsidRPr="00CF06EE">
        <w:rPr>
          <w:rFonts w:ascii="Arial" w:hAnsi="Arial" w:cs="Arial"/>
          <w:i/>
          <w:iCs/>
          <w:sz w:val="20"/>
          <w:szCs w:val="20"/>
          <w:lang w:val="en-IN"/>
        </w:rPr>
        <w:t>Lactiplantibacillus</w:t>
      </w:r>
      <w:proofErr w:type="spellEnd"/>
      <w:r w:rsidRPr="00CF06EE">
        <w:rPr>
          <w:rFonts w:ascii="Arial" w:hAnsi="Arial" w:cs="Arial"/>
          <w:i/>
          <w:iCs/>
          <w:sz w:val="20"/>
          <w:szCs w:val="20"/>
          <w:lang w:val="en-IN"/>
        </w:rPr>
        <w:t xml:space="preserve"> plantarum</w:t>
      </w:r>
      <w:r w:rsidRPr="00CF06EE">
        <w:rPr>
          <w:rFonts w:ascii="Arial" w:hAnsi="Arial" w:cs="Arial"/>
          <w:sz w:val="20"/>
          <w:szCs w:val="20"/>
          <w:lang w:val="en-IN"/>
        </w:rPr>
        <w:t xml:space="preserve"> was evaluated using a broth microdilution assay. The postbiotic extract was prepared in phosphate-buffered saline (PBS) and serially diluted to obtain concentrations ranging from 0.4 to 50 mg/</w:t>
      </w:r>
      <w:proofErr w:type="spellStart"/>
      <w:r w:rsidRPr="00CF06EE">
        <w:rPr>
          <w:rFonts w:ascii="Arial" w:hAnsi="Arial" w:cs="Arial"/>
          <w:sz w:val="20"/>
          <w:szCs w:val="20"/>
          <w:lang w:val="en-IN"/>
        </w:rPr>
        <w:t>mL.</w:t>
      </w:r>
      <w:proofErr w:type="spellEnd"/>
      <w:r w:rsidRPr="00CF06EE">
        <w:rPr>
          <w:rFonts w:ascii="Arial" w:hAnsi="Arial" w:cs="Arial"/>
          <w:sz w:val="20"/>
          <w:szCs w:val="20"/>
          <w:lang w:val="en-IN"/>
        </w:rPr>
        <w:t xml:space="preserve"> Exponentially growing bacterial cultures were adjusted to the required density and inoculated into sterile 96-well microplates containing the postbiotic dilutions. The plates were incubated at 37 °C overnight under appropriate conditions. The minimum inhibitory concentration (MIC) was defined as the lowest concentration of the postbiotic preparation that prevented visible microbial growth </w:t>
      </w:r>
      <w:r w:rsidRPr="00CF06EE">
        <w:rPr>
          <w:rFonts w:ascii="Arial" w:eastAsia="Times New Roman" w:hAnsi="Arial" w:cs="Arial"/>
          <w:sz w:val="20"/>
          <w:szCs w:val="20"/>
          <w:lang w:val="en-IN"/>
        </w:rPr>
        <w:t>(</w:t>
      </w:r>
      <w:r w:rsidRPr="00CF06EE">
        <w:rPr>
          <w:rFonts w:ascii="Arial" w:eastAsia="Times New Roman" w:hAnsi="Arial" w:cs="Arial"/>
          <w:sz w:val="20"/>
          <w:szCs w:val="20"/>
          <w:lang w:val="en-IN" w:eastAsia="en-IN"/>
        </w:rPr>
        <w:t xml:space="preserve">Molina, D </w:t>
      </w:r>
      <w:r w:rsidRPr="00CF06EE">
        <w:rPr>
          <w:rFonts w:ascii="Arial" w:eastAsia="Times New Roman" w:hAnsi="Arial" w:cs="Arial"/>
          <w:i/>
          <w:iCs/>
          <w:sz w:val="20"/>
          <w:szCs w:val="20"/>
          <w:lang w:val="en-IN" w:eastAsia="en-IN"/>
        </w:rPr>
        <w:t>et al.,</w:t>
      </w:r>
      <w:r w:rsidRPr="00CF06EE">
        <w:rPr>
          <w:rFonts w:ascii="Arial" w:eastAsia="Times New Roman" w:hAnsi="Arial" w:cs="Arial"/>
          <w:sz w:val="20"/>
          <w:szCs w:val="20"/>
          <w:lang w:val="en-IN" w:eastAsia="en-IN"/>
        </w:rPr>
        <w:t xml:space="preserve"> 2025; </w:t>
      </w:r>
      <w:proofErr w:type="spellStart"/>
      <w:r w:rsidRPr="00CF06EE">
        <w:rPr>
          <w:rFonts w:ascii="Arial" w:hAnsi="Arial" w:cs="Arial"/>
          <w:sz w:val="22"/>
          <w:szCs w:val="22"/>
        </w:rPr>
        <w:t>Khakpour</w:t>
      </w:r>
      <w:proofErr w:type="spellEnd"/>
      <w:r w:rsidRPr="00CF06EE">
        <w:rPr>
          <w:rFonts w:ascii="Arial" w:hAnsi="Arial" w:cs="Arial"/>
          <w:sz w:val="22"/>
          <w:szCs w:val="22"/>
        </w:rPr>
        <w:t xml:space="preserve"> M </w:t>
      </w:r>
      <w:r w:rsidRPr="00CF06EE">
        <w:rPr>
          <w:rFonts w:ascii="Arial" w:hAnsi="Arial" w:cs="Arial"/>
          <w:i/>
          <w:iCs/>
          <w:sz w:val="22"/>
          <w:szCs w:val="22"/>
        </w:rPr>
        <w:t>et al.,</w:t>
      </w:r>
      <w:r w:rsidRPr="00CF06EE">
        <w:rPr>
          <w:rFonts w:ascii="Arial" w:hAnsi="Arial" w:cs="Arial"/>
          <w:sz w:val="22"/>
          <w:szCs w:val="22"/>
        </w:rPr>
        <w:t xml:space="preserve"> 2024</w:t>
      </w:r>
      <w:r w:rsidRPr="00CF06EE">
        <w:rPr>
          <w:rFonts w:ascii="Arial" w:eastAsia="Times New Roman" w:hAnsi="Arial" w:cs="Arial"/>
          <w:sz w:val="20"/>
          <w:szCs w:val="20"/>
          <w:lang w:val="en-IN"/>
        </w:rPr>
        <w:t>)</w:t>
      </w:r>
      <w:r w:rsidRPr="00CF06EE">
        <w:rPr>
          <w:rFonts w:ascii="Arial" w:hAnsi="Arial" w:cs="Arial"/>
          <w:sz w:val="20"/>
          <w:szCs w:val="20"/>
          <w:lang w:val="en-IN"/>
        </w:rPr>
        <w:t>.</w:t>
      </w:r>
    </w:p>
    <w:p w14:paraId="634172B1" w14:textId="77777777" w:rsidR="00F22CA2" w:rsidRPr="00CF06EE" w:rsidRDefault="00F22CA2" w:rsidP="00F22CA2">
      <w:pPr>
        <w:spacing w:after="0" w:line="240" w:lineRule="auto"/>
        <w:jc w:val="both"/>
        <w:rPr>
          <w:rFonts w:ascii="Arial" w:hAnsi="Arial" w:cs="Arial"/>
          <w:sz w:val="20"/>
          <w:szCs w:val="20"/>
          <w:lang w:val="en-IN"/>
        </w:rPr>
      </w:pPr>
      <w:r w:rsidRPr="00CF06EE">
        <w:rPr>
          <w:rFonts w:ascii="Arial" w:hAnsi="Arial" w:cs="Arial"/>
          <w:sz w:val="20"/>
          <w:szCs w:val="20"/>
          <w:lang w:val="en-IN"/>
        </w:rPr>
        <w:t xml:space="preserve">To determine the minimum bactericidal concentration (MBC), aliquots (50 µL) from wells showing no visible growth were plated onto agar media and incubated at 37 °C for 24 h </w:t>
      </w:r>
      <w:r w:rsidRPr="00CF06EE">
        <w:rPr>
          <w:rFonts w:ascii="Arial" w:hAnsi="Arial" w:cs="Arial"/>
          <w:sz w:val="22"/>
          <w:szCs w:val="22"/>
        </w:rPr>
        <w:t>(</w:t>
      </w:r>
      <w:proofErr w:type="spellStart"/>
      <w:r w:rsidRPr="00CF06EE">
        <w:rPr>
          <w:rFonts w:ascii="Arial" w:hAnsi="Arial" w:cs="Arial"/>
          <w:sz w:val="22"/>
          <w:szCs w:val="22"/>
        </w:rPr>
        <w:t>Khakpour</w:t>
      </w:r>
      <w:proofErr w:type="spellEnd"/>
      <w:r w:rsidRPr="00CF06EE">
        <w:rPr>
          <w:rFonts w:ascii="Arial" w:hAnsi="Arial" w:cs="Arial"/>
          <w:sz w:val="22"/>
          <w:szCs w:val="22"/>
        </w:rPr>
        <w:t xml:space="preserve"> M </w:t>
      </w:r>
      <w:r w:rsidRPr="00CF06EE">
        <w:rPr>
          <w:rFonts w:ascii="Arial" w:hAnsi="Arial" w:cs="Arial"/>
          <w:i/>
          <w:iCs/>
          <w:sz w:val="22"/>
          <w:szCs w:val="22"/>
        </w:rPr>
        <w:t>et al.,</w:t>
      </w:r>
      <w:r w:rsidRPr="00CF06EE">
        <w:rPr>
          <w:rFonts w:ascii="Arial" w:hAnsi="Arial" w:cs="Arial"/>
          <w:sz w:val="22"/>
          <w:szCs w:val="22"/>
        </w:rPr>
        <w:t xml:space="preserve"> 2024)</w:t>
      </w:r>
      <w:r w:rsidRPr="00CF06EE">
        <w:rPr>
          <w:rFonts w:ascii="Arial" w:hAnsi="Arial" w:cs="Arial"/>
          <w:sz w:val="20"/>
          <w:szCs w:val="20"/>
          <w:lang w:val="en-IN"/>
        </w:rPr>
        <w:t xml:space="preserve">. The MBC was recorded as the lowest concentration at which no bacterial colonies were detected on the agar surface, indicating complete bactericidal activity </w:t>
      </w:r>
      <w:r w:rsidRPr="00CF06EE">
        <w:rPr>
          <w:rFonts w:ascii="Arial" w:eastAsia="Times New Roman" w:hAnsi="Arial" w:cs="Arial"/>
          <w:sz w:val="20"/>
          <w:szCs w:val="20"/>
          <w:lang w:val="en-IN"/>
        </w:rPr>
        <w:t xml:space="preserve">(Tong Y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w:t>
      </w:r>
      <w:r w:rsidRPr="00CF06EE">
        <w:rPr>
          <w:rFonts w:ascii="Arial" w:hAnsi="Arial" w:cs="Arial"/>
          <w:sz w:val="20"/>
          <w:szCs w:val="20"/>
          <w:lang w:val="en-IN"/>
        </w:rPr>
        <w:t>.</w:t>
      </w:r>
    </w:p>
    <w:p w14:paraId="60D9DDB2" w14:textId="77777777" w:rsidR="00F22CA2" w:rsidRPr="00CF06EE" w:rsidRDefault="00F22CA2" w:rsidP="00F22CA2">
      <w:pPr>
        <w:spacing w:after="0" w:line="240" w:lineRule="auto"/>
        <w:jc w:val="both"/>
        <w:rPr>
          <w:rFonts w:ascii="Arial" w:hAnsi="Arial" w:cs="Arial"/>
          <w:sz w:val="20"/>
          <w:szCs w:val="20"/>
          <w:lang w:val="en-IN"/>
        </w:rPr>
      </w:pPr>
    </w:p>
    <w:p w14:paraId="08D4133B" w14:textId="05BFC386"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 xml:space="preserve">7.2 </w:t>
      </w:r>
      <w:r w:rsidRPr="00CF06EE">
        <w:rPr>
          <w:rFonts w:ascii="Arial" w:hAnsi="Arial" w:cs="Arial"/>
          <w:b/>
          <w:bCs/>
          <w:sz w:val="20"/>
          <w:szCs w:val="20"/>
          <w:lang w:val="en-IN"/>
        </w:rPr>
        <w:t>Antibacterial Activity</w:t>
      </w:r>
    </w:p>
    <w:p w14:paraId="4AF26565" w14:textId="5ED6E0FF" w:rsidR="00F22CA2" w:rsidRPr="00CF06EE" w:rsidRDefault="00F22CA2" w:rsidP="00F22CA2">
      <w:pPr>
        <w:spacing w:after="0" w:line="240" w:lineRule="auto"/>
        <w:jc w:val="both"/>
        <w:rPr>
          <w:rFonts w:ascii="Arial" w:hAnsi="Arial" w:cs="Arial"/>
          <w:sz w:val="20"/>
          <w:szCs w:val="20"/>
          <w:lang w:val="en-IN"/>
        </w:rPr>
      </w:pPr>
      <w:r w:rsidRPr="00CF06EE">
        <w:rPr>
          <w:rFonts w:ascii="Arial" w:hAnsi="Arial" w:cs="Arial"/>
          <w:sz w:val="20"/>
          <w:szCs w:val="20"/>
          <w:lang w:val="en-IN"/>
        </w:rPr>
        <w:t xml:space="preserve">The antibacterial potential of postbiotics derived from </w:t>
      </w:r>
      <w:proofErr w:type="spellStart"/>
      <w:r w:rsidRPr="00CF06EE">
        <w:rPr>
          <w:rFonts w:ascii="Arial" w:hAnsi="Arial" w:cs="Arial"/>
          <w:i/>
          <w:iCs/>
          <w:sz w:val="20"/>
          <w:szCs w:val="20"/>
          <w:lang w:val="en-IN"/>
        </w:rPr>
        <w:t>Lactiplantibacillus</w:t>
      </w:r>
      <w:proofErr w:type="spellEnd"/>
      <w:r w:rsidRPr="00CF06EE">
        <w:rPr>
          <w:rFonts w:ascii="Arial" w:hAnsi="Arial" w:cs="Arial"/>
          <w:i/>
          <w:iCs/>
          <w:sz w:val="20"/>
          <w:szCs w:val="20"/>
          <w:lang w:val="en-IN"/>
        </w:rPr>
        <w:t xml:space="preserve"> plantarum</w:t>
      </w:r>
      <w:r w:rsidRPr="00CF06EE">
        <w:rPr>
          <w:rFonts w:ascii="Arial" w:hAnsi="Arial" w:cs="Arial"/>
          <w:sz w:val="20"/>
          <w:szCs w:val="20"/>
          <w:lang w:val="en-IN"/>
        </w:rPr>
        <w:t xml:space="preserve"> can be assessed using the agar well-diffusion technique </w:t>
      </w:r>
      <w:r w:rsidRPr="00CF06EE">
        <w:rPr>
          <w:rFonts w:ascii="Arial" w:hAnsi="Arial" w:cs="Arial"/>
          <w:sz w:val="22"/>
          <w:szCs w:val="22"/>
        </w:rPr>
        <w:t>(</w:t>
      </w:r>
      <w:r w:rsidR="00ED29B8" w:rsidRPr="00CF06EE">
        <w:rPr>
          <w:rFonts w:ascii="Arial" w:eastAsia="Times New Roman" w:hAnsi="Arial" w:cs="Arial"/>
          <w:sz w:val="20"/>
          <w:szCs w:val="20"/>
          <w:lang w:val="en-IN"/>
        </w:rPr>
        <w:t>(</w:t>
      </w:r>
      <w:r w:rsidR="00ED29B8" w:rsidRPr="00CF06EE">
        <w:rPr>
          <w:rFonts w:ascii="Arial" w:eastAsia="Times New Roman" w:hAnsi="Arial" w:cs="Arial"/>
          <w:sz w:val="20"/>
          <w:szCs w:val="20"/>
        </w:rPr>
        <w:t xml:space="preserve">Moradi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2020</w:t>
      </w:r>
      <w:r w:rsidR="00ED29B8" w:rsidRPr="00CF06EE">
        <w:rPr>
          <w:rFonts w:ascii="Arial" w:eastAsia="Times New Roman" w:hAnsi="Arial" w:cs="Arial"/>
          <w:sz w:val="20"/>
          <w:szCs w:val="20"/>
        </w:rPr>
        <w:t xml:space="preserve">; </w:t>
      </w:r>
      <w:proofErr w:type="spellStart"/>
      <w:r w:rsidRPr="00CF06EE">
        <w:rPr>
          <w:rFonts w:ascii="Arial" w:hAnsi="Arial" w:cs="Arial"/>
          <w:sz w:val="22"/>
          <w:szCs w:val="22"/>
        </w:rPr>
        <w:t>Khakpour</w:t>
      </w:r>
      <w:proofErr w:type="spellEnd"/>
      <w:r w:rsidRPr="00CF06EE">
        <w:rPr>
          <w:rFonts w:ascii="Arial" w:hAnsi="Arial" w:cs="Arial"/>
          <w:sz w:val="22"/>
          <w:szCs w:val="22"/>
        </w:rPr>
        <w:t xml:space="preserve"> M </w:t>
      </w:r>
      <w:r w:rsidRPr="00CF06EE">
        <w:rPr>
          <w:rFonts w:ascii="Arial" w:hAnsi="Arial" w:cs="Arial"/>
          <w:i/>
          <w:iCs/>
          <w:sz w:val="22"/>
          <w:szCs w:val="22"/>
        </w:rPr>
        <w:t>et al.,</w:t>
      </w:r>
      <w:r w:rsidRPr="00CF06EE">
        <w:rPr>
          <w:rFonts w:ascii="Arial" w:hAnsi="Arial" w:cs="Arial"/>
          <w:sz w:val="22"/>
          <w:szCs w:val="22"/>
        </w:rPr>
        <w:t xml:space="preserve"> 2024)</w:t>
      </w:r>
      <w:r w:rsidRPr="00CF06EE">
        <w:rPr>
          <w:rFonts w:ascii="Arial" w:hAnsi="Arial" w:cs="Arial"/>
          <w:sz w:val="20"/>
          <w:szCs w:val="20"/>
          <w:lang w:val="en-IN"/>
        </w:rPr>
        <w:t>. Pathogenic indicator strains are adjusted to approximately 6 log</w:t>
      </w:r>
      <w:r w:rsidRPr="00CF06EE">
        <w:rPr>
          <w:rFonts w:ascii="Cambria Math" w:hAnsi="Cambria Math" w:cs="Cambria Math"/>
          <w:sz w:val="20"/>
          <w:szCs w:val="20"/>
          <w:lang w:val="en-IN"/>
        </w:rPr>
        <w:t>₁₀</w:t>
      </w:r>
      <w:r w:rsidRPr="00CF06EE">
        <w:rPr>
          <w:rFonts w:ascii="Arial" w:hAnsi="Arial" w:cs="Arial"/>
          <w:sz w:val="20"/>
          <w:szCs w:val="20"/>
          <w:lang w:val="en-IN"/>
        </w:rPr>
        <w:t xml:space="preserve"> CFU/mL and uniformly spread on Mueller–Hinton agar plates to form a lawn culture. Sterile wells are created using a micropipette tip, and defined volumes of postbiotic preparations are introduced into each well. Sterile MRS medium serves as the negative control to eliminate media-related effects. Following incubation at 37 °C for 24 h, antimicrobial efficacy is determined by measuring the diameter of inhibition zones surrounding the wells. All experiments are performed in triplicate to ensure reproducibility and statistical reliability (</w:t>
      </w:r>
      <w:r w:rsidRPr="00CF06EE">
        <w:rPr>
          <w:rFonts w:ascii="Arial" w:eastAsia="Times New Roman" w:hAnsi="Arial" w:cs="Arial"/>
          <w:sz w:val="20"/>
          <w:szCs w:val="20"/>
          <w:lang w:val="en-IN" w:eastAsia="en-IN"/>
        </w:rPr>
        <w:t xml:space="preserve">Akman, P. K </w:t>
      </w:r>
      <w:r w:rsidRPr="00CF06EE">
        <w:rPr>
          <w:rFonts w:ascii="Arial" w:eastAsia="Times New Roman" w:hAnsi="Arial" w:cs="Arial"/>
          <w:i/>
          <w:iCs/>
          <w:sz w:val="20"/>
          <w:szCs w:val="20"/>
          <w:lang w:val="en-IN" w:eastAsia="en-IN"/>
        </w:rPr>
        <w:t>et al.,</w:t>
      </w:r>
      <w:r w:rsidRPr="00CF06EE">
        <w:rPr>
          <w:rFonts w:ascii="Arial" w:eastAsia="Times New Roman" w:hAnsi="Arial" w:cs="Arial"/>
          <w:sz w:val="20"/>
          <w:szCs w:val="20"/>
          <w:lang w:val="en-IN" w:eastAsia="en-IN"/>
        </w:rPr>
        <w:t xml:space="preserve"> 2023; </w:t>
      </w:r>
      <w:proofErr w:type="spellStart"/>
      <w:r w:rsidRPr="00CF06EE">
        <w:rPr>
          <w:rFonts w:ascii="Arial" w:eastAsia="Times New Roman" w:hAnsi="Arial" w:cs="Arial"/>
          <w:sz w:val="20"/>
          <w:szCs w:val="20"/>
          <w:lang w:val="en-IN"/>
        </w:rPr>
        <w:t>Chikindas</w:t>
      </w:r>
      <w:proofErr w:type="spellEnd"/>
      <w:r w:rsidRPr="00CF06EE">
        <w:rPr>
          <w:rFonts w:ascii="Arial" w:eastAsia="Times New Roman" w:hAnsi="Arial" w:cs="Arial"/>
          <w:sz w:val="20"/>
          <w:szCs w:val="20"/>
          <w:lang w:val="en-IN"/>
        </w:rPr>
        <w:t xml:space="preserve">, M. L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2025b</w:t>
      </w:r>
      <w:r w:rsidRPr="00CF06EE">
        <w:rPr>
          <w:rFonts w:ascii="Arial" w:eastAsia="Times New Roman" w:hAnsi="Arial" w:cs="Arial"/>
          <w:sz w:val="20"/>
          <w:szCs w:val="20"/>
          <w:lang w:val="en-IN" w:eastAsia="en-IN"/>
        </w:rPr>
        <w:t>)</w:t>
      </w:r>
      <w:r w:rsidRPr="00CF06EE">
        <w:rPr>
          <w:rFonts w:ascii="Arial" w:hAnsi="Arial" w:cs="Arial"/>
          <w:sz w:val="20"/>
          <w:szCs w:val="20"/>
          <w:lang w:val="en-IN"/>
        </w:rPr>
        <w:t>.</w:t>
      </w:r>
    </w:p>
    <w:p w14:paraId="5028BEEA" w14:textId="77777777" w:rsidR="00F22CA2" w:rsidRPr="00CF06EE" w:rsidRDefault="00F22CA2" w:rsidP="00F22CA2">
      <w:pPr>
        <w:spacing w:after="0" w:line="240" w:lineRule="auto"/>
        <w:jc w:val="both"/>
        <w:rPr>
          <w:rFonts w:ascii="Arial" w:hAnsi="Arial" w:cs="Arial"/>
          <w:sz w:val="20"/>
          <w:szCs w:val="20"/>
          <w:lang w:val="en-IN"/>
        </w:rPr>
      </w:pPr>
    </w:p>
    <w:p w14:paraId="4630EE13" w14:textId="16B05012"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 xml:space="preserve">7.3 </w:t>
      </w:r>
      <w:r w:rsidRPr="00CF06EE">
        <w:rPr>
          <w:rFonts w:ascii="Arial" w:hAnsi="Arial" w:cs="Arial"/>
          <w:b/>
          <w:bCs/>
          <w:sz w:val="20"/>
          <w:szCs w:val="20"/>
          <w:lang w:val="en-IN"/>
        </w:rPr>
        <w:t>Antifungal Activity</w:t>
      </w:r>
    </w:p>
    <w:p w14:paraId="5E2A2B4A" w14:textId="77777777" w:rsidR="00F22CA2" w:rsidRPr="00CF06EE" w:rsidRDefault="00F22CA2" w:rsidP="00F22CA2">
      <w:pPr>
        <w:spacing w:after="0" w:line="240" w:lineRule="auto"/>
        <w:jc w:val="both"/>
        <w:rPr>
          <w:rFonts w:ascii="Arial" w:hAnsi="Arial" w:cs="Arial"/>
          <w:sz w:val="20"/>
          <w:szCs w:val="20"/>
          <w:lang w:val="en-IN"/>
        </w:rPr>
      </w:pPr>
      <w:r w:rsidRPr="00CF06EE">
        <w:rPr>
          <w:rFonts w:ascii="Arial" w:hAnsi="Arial" w:cs="Arial"/>
          <w:sz w:val="20"/>
          <w:szCs w:val="20"/>
          <w:lang w:val="en-IN"/>
        </w:rPr>
        <w:t xml:space="preserve">Antifungal efficacy may be evaluated against </w:t>
      </w:r>
      <w:proofErr w:type="spellStart"/>
      <w:r w:rsidRPr="00CF06EE">
        <w:rPr>
          <w:rFonts w:ascii="Arial" w:hAnsi="Arial" w:cs="Arial"/>
          <w:sz w:val="20"/>
          <w:szCs w:val="20"/>
          <w:lang w:val="en-IN"/>
        </w:rPr>
        <w:t>molds</w:t>
      </w:r>
      <w:proofErr w:type="spellEnd"/>
      <w:r w:rsidRPr="00CF06EE">
        <w:rPr>
          <w:rFonts w:ascii="Arial" w:hAnsi="Arial" w:cs="Arial"/>
          <w:sz w:val="20"/>
          <w:szCs w:val="20"/>
          <w:lang w:val="en-IN"/>
        </w:rPr>
        <w:t xml:space="preserve"> such as </w:t>
      </w:r>
      <w:r w:rsidRPr="00CF06EE">
        <w:rPr>
          <w:rFonts w:ascii="Arial" w:hAnsi="Arial" w:cs="Arial"/>
          <w:i/>
          <w:iCs/>
          <w:sz w:val="20"/>
          <w:szCs w:val="20"/>
          <w:lang w:val="en-IN"/>
        </w:rPr>
        <w:t xml:space="preserve">Aspergillus </w:t>
      </w:r>
      <w:proofErr w:type="spellStart"/>
      <w:r w:rsidRPr="00CF06EE">
        <w:rPr>
          <w:rFonts w:ascii="Arial" w:hAnsi="Arial" w:cs="Arial"/>
          <w:i/>
          <w:iCs/>
          <w:sz w:val="20"/>
          <w:szCs w:val="20"/>
          <w:lang w:val="en-IN"/>
        </w:rPr>
        <w:t>niger</w:t>
      </w:r>
      <w:proofErr w:type="spellEnd"/>
      <w:r w:rsidRPr="00CF06EE">
        <w:rPr>
          <w:rFonts w:ascii="Arial" w:hAnsi="Arial" w:cs="Arial"/>
          <w:sz w:val="20"/>
          <w:szCs w:val="20"/>
          <w:lang w:val="en-IN"/>
        </w:rPr>
        <w:t xml:space="preserve"> and </w:t>
      </w:r>
      <w:r w:rsidRPr="00CF06EE">
        <w:rPr>
          <w:rFonts w:ascii="Arial" w:hAnsi="Arial" w:cs="Arial"/>
          <w:i/>
          <w:iCs/>
          <w:sz w:val="20"/>
          <w:szCs w:val="20"/>
          <w:lang w:val="en-IN"/>
        </w:rPr>
        <w:t>Aspergillus flavus</w:t>
      </w:r>
      <w:r w:rsidRPr="00CF06EE">
        <w:rPr>
          <w:rFonts w:ascii="Arial" w:hAnsi="Arial" w:cs="Arial"/>
          <w:sz w:val="20"/>
          <w:szCs w:val="20"/>
          <w:lang w:val="en-IN"/>
        </w:rPr>
        <w:t xml:space="preserve"> using a modified agar well-diffusion assay </w:t>
      </w:r>
      <w:r w:rsidRPr="00CF06EE">
        <w:rPr>
          <w:rFonts w:ascii="Arial" w:hAnsi="Arial" w:cs="Arial"/>
          <w:sz w:val="22"/>
          <w:szCs w:val="22"/>
        </w:rPr>
        <w:t>(</w:t>
      </w:r>
      <w:proofErr w:type="spellStart"/>
      <w:r w:rsidRPr="00CF06EE">
        <w:rPr>
          <w:rFonts w:ascii="Arial" w:hAnsi="Arial" w:cs="Arial"/>
          <w:sz w:val="22"/>
          <w:szCs w:val="22"/>
        </w:rPr>
        <w:t>Khakpour</w:t>
      </w:r>
      <w:proofErr w:type="spellEnd"/>
      <w:r w:rsidRPr="00CF06EE">
        <w:rPr>
          <w:rFonts w:ascii="Arial" w:hAnsi="Arial" w:cs="Arial"/>
          <w:sz w:val="22"/>
          <w:szCs w:val="22"/>
        </w:rPr>
        <w:t xml:space="preserve"> M </w:t>
      </w:r>
      <w:r w:rsidRPr="00CF06EE">
        <w:rPr>
          <w:rFonts w:ascii="Arial" w:hAnsi="Arial" w:cs="Arial"/>
          <w:i/>
          <w:iCs/>
          <w:sz w:val="22"/>
          <w:szCs w:val="22"/>
        </w:rPr>
        <w:t>et al.,</w:t>
      </w:r>
      <w:r w:rsidRPr="00CF06EE">
        <w:rPr>
          <w:rFonts w:ascii="Arial" w:hAnsi="Arial" w:cs="Arial"/>
          <w:sz w:val="22"/>
          <w:szCs w:val="22"/>
        </w:rPr>
        <w:t xml:space="preserve"> 2024)</w:t>
      </w:r>
      <w:r w:rsidRPr="00CF06EE">
        <w:rPr>
          <w:rFonts w:ascii="Arial" w:hAnsi="Arial" w:cs="Arial"/>
          <w:sz w:val="20"/>
          <w:szCs w:val="20"/>
          <w:lang w:val="en-IN"/>
        </w:rPr>
        <w:t>. Spore suspensions (~10⁶ spores/mL) are evenly distributed on potato dextrose agar (PDA) plates. Wells of approximately 6 mm diameter are filled with postbiotic preparations and incubated at 30 °C for 48 h. The presence and size of clear inhibition zones indicate antifungal activity, reflecting the ability of organic acids, bacteriocins, and secondary metabolites to suppress fungal growth.</w:t>
      </w:r>
    </w:p>
    <w:p w14:paraId="12CB8E4D" w14:textId="77777777" w:rsidR="00F22CA2" w:rsidRPr="00CF06EE" w:rsidRDefault="00F22CA2" w:rsidP="00F22CA2">
      <w:pPr>
        <w:spacing w:after="0" w:line="240" w:lineRule="auto"/>
        <w:jc w:val="both"/>
        <w:rPr>
          <w:rFonts w:ascii="Arial" w:hAnsi="Arial" w:cs="Arial"/>
          <w:b/>
          <w:bCs/>
          <w:sz w:val="20"/>
          <w:szCs w:val="20"/>
          <w:lang w:val="en-IN"/>
        </w:rPr>
      </w:pPr>
    </w:p>
    <w:p w14:paraId="261EE057" w14:textId="3216F997"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 xml:space="preserve">7.4 </w:t>
      </w:r>
      <w:r w:rsidRPr="00CF06EE">
        <w:rPr>
          <w:rFonts w:ascii="Arial" w:hAnsi="Arial" w:cs="Arial"/>
          <w:b/>
          <w:bCs/>
          <w:sz w:val="20"/>
          <w:szCs w:val="20"/>
          <w:lang w:val="en-IN"/>
        </w:rPr>
        <w:t>Antioxidant Activity</w:t>
      </w:r>
    </w:p>
    <w:p w14:paraId="09911E35" w14:textId="2631F4DB"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sz w:val="20"/>
          <w:szCs w:val="20"/>
          <w:lang w:val="en-IN"/>
        </w:rPr>
        <w:t xml:space="preserve">Postbiotics possess strong antioxidant potential owing to metabolites such as short-chain fatty acids, peptides, and antioxidant enzymes including catalase and glutathione peroxidase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2025)</w:t>
      </w:r>
      <w:r w:rsidRPr="00CF06EE">
        <w:rPr>
          <w:rFonts w:ascii="Arial" w:hAnsi="Arial" w:cs="Arial"/>
          <w:sz w:val="20"/>
          <w:szCs w:val="20"/>
          <w:lang w:val="en-IN"/>
        </w:rPr>
        <w:t xml:space="preserve">. These compounds scavenge reactive oxygen species and reduce oxidative stress, which is associated with chronic disorders such as diabetes, cardiovascular diseases, and neurodegeneration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lang w:val="en-IN"/>
        </w:rPr>
        <w:t>Chikindas</w:t>
      </w:r>
      <w:proofErr w:type="spellEnd"/>
      <w:r w:rsidRPr="00CF06EE">
        <w:rPr>
          <w:rFonts w:ascii="Arial" w:eastAsia="Times New Roman" w:hAnsi="Arial" w:cs="Arial"/>
          <w:sz w:val="20"/>
          <w:szCs w:val="20"/>
          <w:lang w:val="en-IN"/>
        </w:rPr>
        <w:t xml:space="preserve">, M. L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2025b)</w:t>
      </w:r>
      <w:r w:rsidRPr="00CF06EE">
        <w:rPr>
          <w:rFonts w:ascii="Arial" w:hAnsi="Arial" w:cs="Arial"/>
          <w:sz w:val="20"/>
          <w:szCs w:val="20"/>
          <w:lang w:val="en-IN"/>
        </w:rPr>
        <w:t xml:space="preserve">. Radical-scavenging assays such as DPPH and ABTS are commonly used to quantify antioxidant capacity </w:t>
      </w:r>
      <w:r w:rsidRPr="00CF06EE">
        <w:rPr>
          <w:rFonts w:ascii="Arial" w:eastAsia="Times New Roman" w:hAnsi="Arial" w:cs="Arial"/>
          <w:sz w:val="20"/>
          <w:szCs w:val="20"/>
          <w:lang w:val="en-IN"/>
        </w:rPr>
        <w:t>(</w:t>
      </w:r>
      <w:r w:rsidR="00006602" w:rsidRPr="00CF06EE">
        <w:rPr>
          <w:rFonts w:ascii="Arial" w:eastAsia="Times New Roman" w:hAnsi="Arial" w:cs="Arial"/>
          <w:sz w:val="20"/>
          <w:szCs w:val="20"/>
          <w:lang w:val="en-IN"/>
        </w:rPr>
        <w:t xml:space="preserve">Chang </w:t>
      </w:r>
      <w:r w:rsidR="00006602" w:rsidRPr="00CF06EE">
        <w:rPr>
          <w:rFonts w:ascii="Arial" w:eastAsia="Times New Roman" w:hAnsi="Arial" w:cs="Arial"/>
          <w:i/>
          <w:iCs/>
          <w:sz w:val="20"/>
          <w:szCs w:val="20"/>
          <w:lang w:val="en-IN"/>
        </w:rPr>
        <w:t>et al.,</w:t>
      </w:r>
      <w:r w:rsidR="00006602" w:rsidRPr="00CF06EE">
        <w:rPr>
          <w:rFonts w:ascii="Arial" w:eastAsia="Times New Roman" w:hAnsi="Arial" w:cs="Arial"/>
          <w:sz w:val="20"/>
          <w:szCs w:val="20"/>
          <w:lang w:val="en-IN"/>
        </w:rPr>
        <w:t xml:space="preserve"> 2021</w:t>
      </w:r>
      <w:r w:rsidR="00006602" w:rsidRPr="00CF06EE">
        <w:rPr>
          <w:rFonts w:ascii="Arial" w:eastAsia="Times New Roman" w:hAnsi="Arial" w:cs="Arial"/>
          <w:sz w:val="20"/>
          <w:szCs w:val="20"/>
          <w:lang w:val="en-IN"/>
        </w:rPr>
        <w:t xml:space="preserve">; </w:t>
      </w:r>
      <w:r w:rsidRPr="00CF06EE">
        <w:rPr>
          <w:rFonts w:ascii="Arial" w:eastAsia="Times New Roman" w:hAnsi="Arial" w:cs="Arial"/>
          <w:sz w:val="20"/>
          <w:szCs w:val="20"/>
          <w:lang w:val="en-IN" w:eastAsia="en-IN"/>
        </w:rPr>
        <w:t xml:space="preserve">Molina, D </w:t>
      </w:r>
      <w:r w:rsidRPr="00CF06EE">
        <w:rPr>
          <w:rFonts w:ascii="Arial" w:eastAsia="Times New Roman" w:hAnsi="Arial" w:cs="Arial"/>
          <w:i/>
          <w:iCs/>
          <w:sz w:val="20"/>
          <w:szCs w:val="20"/>
          <w:lang w:val="en-IN" w:eastAsia="en-IN"/>
        </w:rPr>
        <w:t>et al.,</w:t>
      </w:r>
      <w:r w:rsidRPr="00CF06EE">
        <w:rPr>
          <w:rFonts w:ascii="Arial" w:eastAsia="Times New Roman" w:hAnsi="Arial" w:cs="Arial"/>
          <w:sz w:val="20"/>
          <w:szCs w:val="20"/>
          <w:lang w:val="en-IN" w:eastAsia="en-IN"/>
        </w:rPr>
        <w:t xml:space="preserve"> 2025</w:t>
      </w:r>
      <w:r w:rsidRPr="00CF06EE">
        <w:rPr>
          <w:rFonts w:ascii="Arial" w:eastAsia="Times New Roman" w:hAnsi="Arial" w:cs="Arial"/>
          <w:sz w:val="20"/>
          <w:szCs w:val="20"/>
          <w:lang w:val="en-IN"/>
        </w:rPr>
        <w:t>)</w:t>
      </w:r>
      <w:r w:rsidRPr="00CF06EE">
        <w:rPr>
          <w:rFonts w:ascii="Arial" w:hAnsi="Arial" w:cs="Arial"/>
          <w:sz w:val="20"/>
          <w:szCs w:val="20"/>
          <w:lang w:val="en-IN"/>
        </w:rPr>
        <w:t xml:space="preserve">. Studies have demonstrated that heat-treated postbiotic preparations can exhibit high free-radical scavenging activity, supporting their application in nutraceuticals and cosmetic formulations aimed at oxidative stress reduction </w:t>
      </w:r>
      <w:r w:rsidRPr="00CF06EE">
        <w:rPr>
          <w:rFonts w:ascii="Arial" w:eastAsia="Times New Roman" w:hAnsi="Arial" w:cs="Arial"/>
          <w:sz w:val="20"/>
          <w:szCs w:val="20"/>
          <w:lang w:val="en-IN"/>
        </w:rPr>
        <w:t>(</w:t>
      </w:r>
      <w:r w:rsidR="00006602" w:rsidRPr="00CF06EE">
        <w:rPr>
          <w:rFonts w:ascii="Arial" w:eastAsia="Times New Roman" w:hAnsi="Arial" w:cs="Arial"/>
          <w:sz w:val="20"/>
          <w:szCs w:val="20"/>
          <w:lang w:val="en-IN"/>
        </w:rPr>
        <w:t xml:space="preserve">Chang </w:t>
      </w:r>
      <w:r w:rsidR="00006602" w:rsidRPr="00CF06EE">
        <w:rPr>
          <w:rFonts w:ascii="Arial" w:eastAsia="Times New Roman" w:hAnsi="Arial" w:cs="Arial"/>
          <w:i/>
          <w:iCs/>
          <w:sz w:val="20"/>
          <w:szCs w:val="20"/>
          <w:lang w:val="en-IN"/>
        </w:rPr>
        <w:t>et al.,</w:t>
      </w:r>
      <w:r w:rsidR="00006602" w:rsidRPr="00CF06EE">
        <w:rPr>
          <w:rFonts w:ascii="Arial" w:eastAsia="Times New Roman" w:hAnsi="Arial" w:cs="Arial"/>
          <w:sz w:val="20"/>
          <w:szCs w:val="20"/>
          <w:lang w:val="en-IN"/>
        </w:rPr>
        <w:t xml:space="preserve"> 2021</w:t>
      </w:r>
      <w:r w:rsidR="00006602" w:rsidRPr="00CF06EE">
        <w:rPr>
          <w:rFonts w:ascii="Arial" w:eastAsia="Times New Roman" w:hAnsi="Arial" w:cs="Arial"/>
          <w:sz w:val="20"/>
          <w:szCs w:val="20"/>
          <w:lang w:val="en-IN"/>
        </w:rPr>
        <w:t xml:space="preserve">; </w:t>
      </w:r>
      <w:proofErr w:type="spellStart"/>
      <w:r w:rsidRPr="00CF06EE">
        <w:rPr>
          <w:rFonts w:ascii="Arial" w:eastAsia="Times New Roman" w:hAnsi="Arial" w:cs="Arial"/>
          <w:sz w:val="20"/>
          <w:szCs w:val="20"/>
          <w:lang w:eastAsia="en-IN"/>
        </w:rPr>
        <w:t>Yousefvand</w:t>
      </w:r>
      <w:proofErr w:type="spellEnd"/>
      <w:r w:rsidRPr="00CF06EE">
        <w:rPr>
          <w:rFonts w:ascii="Arial" w:eastAsia="Times New Roman" w:hAnsi="Arial" w:cs="Arial"/>
          <w:sz w:val="20"/>
          <w:szCs w:val="20"/>
          <w:lang w:eastAsia="en-IN"/>
        </w:rPr>
        <w:t xml:space="preserve">, A </w:t>
      </w:r>
      <w:r w:rsidRPr="00CF06EE">
        <w:rPr>
          <w:rFonts w:ascii="Arial" w:eastAsia="Times New Roman" w:hAnsi="Arial" w:cs="Arial"/>
          <w:i/>
          <w:iCs/>
          <w:sz w:val="20"/>
          <w:szCs w:val="20"/>
          <w:lang w:eastAsia="en-IN"/>
        </w:rPr>
        <w:t>et al.,</w:t>
      </w:r>
      <w:r w:rsidRPr="00CF06EE">
        <w:rPr>
          <w:rFonts w:ascii="Arial" w:eastAsia="Times New Roman" w:hAnsi="Arial" w:cs="Arial"/>
          <w:sz w:val="20"/>
          <w:szCs w:val="20"/>
          <w:lang w:eastAsia="en-IN"/>
        </w:rPr>
        <w:t xml:space="preserve"> 2024</w:t>
      </w:r>
      <w:r w:rsidRPr="00CF06EE">
        <w:rPr>
          <w:rFonts w:ascii="Arial" w:eastAsia="Times New Roman" w:hAnsi="Arial" w:cs="Arial"/>
          <w:sz w:val="20"/>
          <w:szCs w:val="20"/>
        </w:rPr>
        <w:t>)</w:t>
      </w:r>
      <w:r w:rsidRPr="00CF06EE">
        <w:rPr>
          <w:rFonts w:ascii="Arial" w:hAnsi="Arial" w:cs="Arial"/>
          <w:b/>
          <w:bCs/>
          <w:sz w:val="20"/>
          <w:szCs w:val="20"/>
          <w:lang w:val="en-IN"/>
        </w:rPr>
        <w:t>.</w:t>
      </w:r>
    </w:p>
    <w:p w14:paraId="1F409E5D" w14:textId="77777777" w:rsidR="00F22CA2" w:rsidRPr="00CF06EE" w:rsidRDefault="00F22CA2" w:rsidP="00F22CA2">
      <w:pPr>
        <w:spacing w:after="0" w:line="240" w:lineRule="auto"/>
        <w:jc w:val="both"/>
        <w:rPr>
          <w:rFonts w:ascii="Arial" w:hAnsi="Arial" w:cs="Arial"/>
          <w:b/>
          <w:bCs/>
          <w:sz w:val="20"/>
          <w:szCs w:val="20"/>
          <w:lang w:val="en-IN"/>
        </w:rPr>
      </w:pPr>
    </w:p>
    <w:p w14:paraId="0D0817BA" w14:textId="0AB5E9FA"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 xml:space="preserve">7.5 </w:t>
      </w:r>
      <w:r w:rsidRPr="00CF06EE">
        <w:rPr>
          <w:rFonts w:ascii="Arial" w:hAnsi="Arial" w:cs="Arial"/>
          <w:b/>
          <w:bCs/>
          <w:sz w:val="20"/>
          <w:szCs w:val="20"/>
          <w:lang w:val="en-IN"/>
        </w:rPr>
        <w:t>Anticancer Activity</w:t>
      </w:r>
    </w:p>
    <w:p w14:paraId="0A82E80E" w14:textId="77777777" w:rsidR="00F22CA2" w:rsidRPr="00CF06EE" w:rsidRDefault="00F22CA2" w:rsidP="00F22CA2">
      <w:pPr>
        <w:spacing w:after="0" w:line="240" w:lineRule="auto"/>
        <w:jc w:val="both"/>
        <w:rPr>
          <w:rFonts w:ascii="Arial" w:hAnsi="Arial" w:cs="Arial"/>
          <w:sz w:val="20"/>
          <w:szCs w:val="20"/>
          <w:lang w:val="en-IN"/>
        </w:rPr>
      </w:pPr>
      <w:r w:rsidRPr="00CF06EE">
        <w:rPr>
          <w:rFonts w:ascii="Arial" w:hAnsi="Arial" w:cs="Arial"/>
          <w:sz w:val="20"/>
          <w:szCs w:val="20"/>
          <w:lang w:val="en-IN"/>
        </w:rPr>
        <w:t>The antiproliferative effects of postbiotics can be investigated using cancer cell culture models (</w:t>
      </w:r>
      <w:r w:rsidRPr="00CF06EE">
        <w:rPr>
          <w:rFonts w:ascii="Arial" w:eastAsia="Times New Roman" w:hAnsi="Arial" w:cs="Arial"/>
          <w:sz w:val="20"/>
          <w:szCs w:val="20"/>
          <w:lang w:eastAsia="en-IN"/>
        </w:rPr>
        <w:t xml:space="preserve">Xu, P </w:t>
      </w:r>
      <w:r w:rsidRPr="00CF06EE">
        <w:rPr>
          <w:rFonts w:ascii="Arial" w:eastAsia="Times New Roman" w:hAnsi="Arial" w:cs="Arial"/>
          <w:i/>
          <w:iCs/>
          <w:sz w:val="20"/>
          <w:szCs w:val="20"/>
          <w:lang w:eastAsia="en-IN"/>
        </w:rPr>
        <w:t>et al.,</w:t>
      </w:r>
      <w:r w:rsidRPr="00CF06EE">
        <w:rPr>
          <w:rFonts w:ascii="Arial" w:eastAsia="Times New Roman" w:hAnsi="Arial" w:cs="Arial"/>
          <w:sz w:val="20"/>
          <w:szCs w:val="20"/>
          <w:lang w:eastAsia="en-IN"/>
        </w:rPr>
        <w:t xml:space="preserve"> 2025</w:t>
      </w:r>
      <w:r w:rsidRPr="00CF06EE">
        <w:rPr>
          <w:rFonts w:ascii="Arial" w:hAnsi="Arial" w:cs="Arial"/>
          <w:sz w:val="20"/>
          <w:szCs w:val="20"/>
          <w:lang w:val="en-IN"/>
        </w:rPr>
        <w:t xml:space="preserve">). Cervical cancer cell lines such as HeLa, </w:t>
      </w:r>
      <w:proofErr w:type="spellStart"/>
      <w:r w:rsidRPr="00CF06EE">
        <w:rPr>
          <w:rFonts w:ascii="Arial" w:hAnsi="Arial" w:cs="Arial"/>
          <w:sz w:val="20"/>
          <w:szCs w:val="20"/>
          <w:lang w:val="en-IN"/>
        </w:rPr>
        <w:t>CaSki</w:t>
      </w:r>
      <w:proofErr w:type="spellEnd"/>
      <w:r w:rsidRPr="00CF06EE">
        <w:rPr>
          <w:rFonts w:ascii="Arial" w:hAnsi="Arial" w:cs="Arial"/>
          <w:sz w:val="20"/>
          <w:szCs w:val="20"/>
          <w:lang w:val="en-IN"/>
        </w:rPr>
        <w:t xml:space="preserve">, and C-33A are maintained in appropriate culture media supplemented with </w:t>
      </w:r>
      <w:proofErr w:type="spellStart"/>
      <w:r w:rsidRPr="00CF06EE">
        <w:rPr>
          <w:rFonts w:ascii="Arial" w:hAnsi="Arial" w:cs="Arial"/>
          <w:sz w:val="20"/>
          <w:szCs w:val="20"/>
          <w:lang w:val="en-IN"/>
        </w:rPr>
        <w:t>fetal</w:t>
      </w:r>
      <w:proofErr w:type="spellEnd"/>
      <w:r w:rsidRPr="00CF06EE">
        <w:rPr>
          <w:rFonts w:ascii="Arial" w:hAnsi="Arial" w:cs="Arial"/>
          <w:sz w:val="20"/>
          <w:szCs w:val="20"/>
          <w:lang w:val="en-IN"/>
        </w:rPr>
        <w:t xml:space="preserve"> bovine serum and antibiotics under controlled CO</w:t>
      </w:r>
      <w:r w:rsidRPr="00CF06EE">
        <w:rPr>
          <w:rFonts w:ascii="Cambria Math" w:hAnsi="Cambria Math" w:cs="Cambria Math"/>
          <w:sz w:val="20"/>
          <w:szCs w:val="20"/>
          <w:lang w:val="en-IN"/>
        </w:rPr>
        <w:t>₂</w:t>
      </w:r>
      <w:r w:rsidRPr="00CF06EE">
        <w:rPr>
          <w:rFonts w:ascii="Arial" w:hAnsi="Arial" w:cs="Arial"/>
          <w:sz w:val="20"/>
          <w:szCs w:val="20"/>
          <w:lang w:val="en-IN"/>
        </w:rPr>
        <w:t xml:space="preserve"> incubation. Cell viability is typically assessed using the MTT assay, where treated cells metabolize tetrazolium salts into formazan crystals measurable at 570 nm </w:t>
      </w:r>
      <w:r w:rsidRPr="00CF06EE">
        <w:rPr>
          <w:rFonts w:ascii="Arial" w:eastAsia="Times New Roman" w:hAnsi="Arial" w:cs="Arial"/>
          <w:sz w:val="20"/>
          <w:szCs w:val="20"/>
          <w:lang w:val="en-IN"/>
        </w:rPr>
        <w:t>(</w:t>
      </w:r>
      <w:r w:rsidRPr="00CF06EE">
        <w:rPr>
          <w:rFonts w:ascii="Arial" w:eastAsia="Times New Roman" w:hAnsi="Arial" w:cs="Arial"/>
          <w:sz w:val="20"/>
          <w:szCs w:val="20"/>
          <w:lang w:val="en-IN" w:eastAsia="en-IN"/>
        </w:rPr>
        <w:t xml:space="preserve">Molina, D </w:t>
      </w:r>
      <w:r w:rsidRPr="00CF06EE">
        <w:rPr>
          <w:rFonts w:ascii="Arial" w:eastAsia="Times New Roman" w:hAnsi="Arial" w:cs="Arial"/>
          <w:i/>
          <w:iCs/>
          <w:sz w:val="20"/>
          <w:szCs w:val="20"/>
          <w:lang w:val="en-IN" w:eastAsia="en-IN"/>
        </w:rPr>
        <w:t>et al.,</w:t>
      </w:r>
      <w:r w:rsidRPr="00CF06EE">
        <w:rPr>
          <w:rFonts w:ascii="Arial" w:eastAsia="Times New Roman" w:hAnsi="Arial" w:cs="Arial"/>
          <w:sz w:val="20"/>
          <w:szCs w:val="20"/>
          <w:lang w:val="en-IN" w:eastAsia="en-IN"/>
        </w:rPr>
        <w:t xml:space="preserve"> </w:t>
      </w:r>
      <w:r w:rsidRPr="00CF06EE">
        <w:rPr>
          <w:rFonts w:ascii="Arial" w:eastAsia="Times New Roman" w:hAnsi="Arial" w:cs="Arial"/>
          <w:sz w:val="20"/>
          <w:szCs w:val="20"/>
          <w:lang w:val="en-IN" w:eastAsia="en-IN"/>
        </w:rPr>
        <w:lastRenderedPageBreak/>
        <w:t>2025</w:t>
      </w:r>
      <w:r w:rsidRPr="00CF06EE">
        <w:rPr>
          <w:rFonts w:ascii="Arial" w:eastAsia="Times New Roman" w:hAnsi="Arial" w:cs="Arial"/>
          <w:sz w:val="20"/>
          <w:szCs w:val="20"/>
          <w:lang w:val="en-IN"/>
        </w:rPr>
        <w:t>)</w:t>
      </w:r>
      <w:r w:rsidRPr="00CF06EE">
        <w:rPr>
          <w:rFonts w:ascii="Arial" w:hAnsi="Arial" w:cs="Arial"/>
          <w:sz w:val="20"/>
          <w:szCs w:val="20"/>
          <w:lang w:val="en-IN"/>
        </w:rPr>
        <w:t xml:space="preserve">. Reduction in cell viability following exposure to postbiotic preparations indicates potential anticancer activity through mechanisms such as apoptosis induction and inhibition of cellular proliferation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lang w:val="en-IN"/>
        </w:rPr>
        <w:t>Chikindas</w:t>
      </w:r>
      <w:proofErr w:type="spellEnd"/>
      <w:r w:rsidRPr="00CF06EE">
        <w:rPr>
          <w:rFonts w:ascii="Arial" w:eastAsia="Times New Roman" w:hAnsi="Arial" w:cs="Arial"/>
          <w:sz w:val="20"/>
          <w:szCs w:val="20"/>
          <w:lang w:val="en-IN"/>
        </w:rPr>
        <w:t xml:space="preserve">, M. L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2025b)</w:t>
      </w:r>
      <w:r w:rsidRPr="00CF06EE">
        <w:rPr>
          <w:rFonts w:ascii="Arial" w:hAnsi="Arial" w:cs="Arial"/>
          <w:sz w:val="20"/>
          <w:szCs w:val="20"/>
          <w:lang w:val="en-IN"/>
        </w:rPr>
        <w:t>.</w:t>
      </w:r>
    </w:p>
    <w:p w14:paraId="5B0D1E60" w14:textId="77777777" w:rsidR="00F22CA2" w:rsidRPr="00CF06EE" w:rsidRDefault="00F22CA2" w:rsidP="00F22CA2">
      <w:pPr>
        <w:spacing w:after="0" w:line="240" w:lineRule="auto"/>
        <w:jc w:val="both"/>
        <w:rPr>
          <w:rFonts w:ascii="Arial" w:hAnsi="Arial" w:cs="Arial"/>
          <w:b/>
          <w:bCs/>
          <w:sz w:val="20"/>
          <w:szCs w:val="20"/>
          <w:lang w:val="en-IN"/>
        </w:rPr>
      </w:pPr>
    </w:p>
    <w:p w14:paraId="2153390B" w14:textId="3E3104E9"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 xml:space="preserve">7.6 </w:t>
      </w:r>
      <w:r w:rsidRPr="00CF06EE">
        <w:rPr>
          <w:rFonts w:ascii="Arial" w:hAnsi="Arial" w:cs="Arial"/>
          <w:b/>
          <w:bCs/>
          <w:sz w:val="20"/>
          <w:szCs w:val="20"/>
          <w:lang w:val="en-IN"/>
        </w:rPr>
        <w:t>Anti-Inflammatory Activity</w:t>
      </w:r>
    </w:p>
    <w:p w14:paraId="10C0319E" w14:textId="77777777"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sz w:val="20"/>
          <w:szCs w:val="20"/>
          <w:lang w:val="en-IN"/>
        </w:rPr>
        <w:t xml:space="preserve">Postbiotics exhibit immunomodulatory effects by regulating cytokine production and suppressing pro-inflammatory </w:t>
      </w:r>
      <w:proofErr w:type="spellStart"/>
      <w:r w:rsidRPr="00CF06EE">
        <w:rPr>
          <w:rFonts w:ascii="Arial" w:hAnsi="Arial" w:cs="Arial"/>
          <w:sz w:val="20"/>
          <w:szCs w:val="20"/>
          <w:lang w:val="en-IN"/>
        </w:rPr>
        <w:t>signaling</w:t>
      </w:r>
      <w:proofErr w:type="spellEnd"/>
      <w:r w:rsidRPr="00CF06EE">
        <w:rPr>
          <w:rFonts w:ascii="Arial" w:hAnsi="Arial" w:cs="Arial"/>
          <w:sz w:val="20"/>
          <w:szCs w:val="20"/>
          <w:lang w:val="en-IN"/>
        </w:rPr>
        <w:t xml:space="preserve"> pathways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2025)</w:t>
      </w:r>
      <w:r w:rsidRPr="00CF06EE">
        <w:rPr>
          <w:rFonts w:ascii="Arial" w:hAnsi="Arial" w:cs="Arial"/>
          <w:sz w:val="20"/>
          <w:szCs w:val="20"/>
          <w:lang w:val="en-IN"/>
        </w:rPr>
        <w:t xml:space="preserve">. Experimental studies report reductions in inflammatory markers alongside increased anti-inflammatory cytokines after treatment with postbiotic mixtures. These effects are attributed to microbial metabolites capable of modulating immune responses in intestinal and skin inflammation models, suggesting potential therapeutic roles in colitis and inflammatory skin disorders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lang w:val="en-IN"/>
        </w:rPr>
        <w:t>Chikindas</w:t>
      </w:r>
      <w:proofErr w:type="spellEnd"/>
      <w:r w:rsidRPr="00CF06EE">
        <w:rPr>
          <w:rFonts w:ascii="Arial" w:eastAsia="Times New Roman" w:hAnsi="Arial" w:cs="Arial"/>
          <w:sz w:val="20"/>
          <w:szCs w:val="20"/>
          <w:lang w:val="en-IN"/>
        </w:rPr>
        <w:t xml:space="preserve">, M. L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2025b)</w:t>
      </w:r>
      <w:r w:rsidRPr="00CF06EE">
        <w:rPr>
          <w:rFonts w:ascii="Arial" w:hAnsi="Arial" w:cs="Arial"/>
          <w:b/>
          <w:bCs/>
          <w:sz w:val="20"/>
          <w:szCs w:val="20"/>
          <w:lang w:val="en-IN"/>
        </w:rPr>
        <w:t>.</w:t>
      </w:r>
    </w:p>
    <w:p w14:paraId="383C2CFA" w14:textId="77777777" w:rsidR="00F22CA2" w:rsidRPr="00CF06EE" w:rsidRDefault="00F22CA2" w:rsidP="00F22CA2">
      <w:pPr>
        <w:spacing w:after="0" w:line="240" w:lineRule="auto"/>
        <w:jc w:val="both"/>
        <w:rPr>
          <w:rFonts w:ascii="Arial" w:hAnsi="Arial" w:cs="Arial"/>
          <w:b/>
          <w:bCs/>
          <w:sz w:val="20"/>
          <w:szCs w:val="20"/>
          <w:lang w:val="en-IN"/>
        </w:rPr>
      </w:pPr>
    </w:p>
    <w:p w14:paraId="77963D98" w14:textId="41E71E38"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 xml:space="preserve">7.7 </w:t>
      </w:r>
      <w:r w:rsidRPr="00CF06EE">
        <w:rPr>
          <w:rFonts w:ascii="Arial" w:hAnsi="Arial" w:cs="Arial"/>
          <w:b/>
          <w:bCs/>
          <w:sz w:val="20"/>
          <w:szCs w:val="20"/>
          <w:lang w:val="en-IN"/>
        </w:rPr>
        <w:t>Anti-Diabetic Potential</w:t>
      </w:r>
    </w:p>
    <w:p w14:paraId="59C5FB0F" w14:textId="77777777" w:rsidR="00F22CA2" w:rsidRPr="00CF06EE" w:rsidRDefault="00F22CA2" w:rsidP="00F22CA2">
      <w:pPr>
        <w:spacing w:after="0" w:line="240" w:lineRule="auto"/>
        <w:jc w:val="both"/>
        <w:rPr>
          <w:rFonts w:ascii="Arial" w:hAnsi="Arial" w:cs="Arial"/>
          <w:sz w:val="20"/>
          <w:szCs w:val="20"/>
          <w:lang w:val="en-IN"/>
        </w:rPr>
      </w:pPr>
      <w:r w:rsidRPr="00CF06EE">
        <w:rPr>
          <w:rFonts w:ascii="Arial" w:hAnsi="Arial" w:cs="Arial"/>
          <w:sz w:val="20"/>
          <w:szCs w:val="20"/>
          <w:lang w:val="en-IN"/>
        </w:rPr>
        <w:t xml:space="preserve">Bioactive components such as acetate, propionate, and butyrate influence glucose metabolism and gut–brain </w:t>
      </w:r>
      <w:proofErr w:type="spellStart"/>
      <w:r w:rsidRPr="00CF06EE">
        <w:rPr>
          <w:rFonts w:ascii="Arial" w:hAnsi="Arial" w:cs="Arial"/>
          <w:sz w:val="20"/>
          <w:szCs w:val="20"/>
          <w:lang w:val="en-IN"/>
        </w:rPr>
        <w:t>signaling</w:t>
      </w:r>
      <w:proofErr w:type="spellEnd"/>
      <w:r w:rsidRPr="00CF06EE">
        <w:rPr>
          <w:rFonts w:ascii="Arial" w:hAnsi="Arial" w:cs="Arial"/>
          <w:sz w:val="20"/>
          <w:szCs w:val="20"/>
          <w:lang w:val="en-IN"/>
        </w:rPr>
        <w:t xml:space="preserve"> pathways associated with diabetes management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lang w:val="en-IN"/>
        </w:rPr>
        <w:t>Chikindas</w:t>
      </w:r>
      <w:proofErr w:type="spellEnd"/>
      <w:r w:rsidRPr="00CF06EE">
        <w:rPr>
          <w:rFonts w:ascii="Arial" w:eastAsia="Times New Roman" w:hAnsi="Arial" w:cs="Arial"/>
          <w:sz w:val="20"/>
          <w:szCs w:val="20"/>
          <w:lang w:val="en-IN"/>
        </w:rPr>
        <w:t xml:space="preserve">, M. L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2025b)</w:t>
      </w:r>
      <w:r w:rsidRPr="00CF06EE">
        <w:rPr>
          <w:rFonts w:ascii="Arial" w:hAnsi="Arial" w:cs="Arial"/>
          <w:sz w:val="20"/>
          <w:szCs w:val="20"/>
          <w:lang w:val="en-IN"/>
        </w:rPr>
        <w:t xml:space="preserve">. Postbiotic formulations have been shown to enhance insulin secretion, regulate GLP-1 production, and improve metabolic indices in experimental models. Gamma-aminobutyric acid (GABA)-rich postbiotics further contribute to </w:t>
      </w:r>
      <w:proofErr w:type="spellStart"/>
      <w:r w:rsidRPr="00CF06EE">
        <w:rPr>
          <w:rFonts w:ascii="Arial" w:hAnsi="Arial" w:cs="Arial"/>
          <w:sz w:val="20"/>
          <w:szCs w:val="20"/>
          <w:lang w:val="en-IN"/>
        </w:rPr>
        <w:t>glycemic</w:t>
      </w:r>
      <w:proofErr w:type="spellEnd"/>
      <w:r w:rsidRPr="00CF06EE">
        <w:rPr>
          <w:rFonts w:ascii="Arial" w:hAnsi="Arial" w:cs="Arial"/>
          <w:sz w:val="20"/>
          <w:szCs w:val="20"/>
          <w:lang w:val="en-IN"/>
        </w:rPr>
        <w:t xml:space="preserve"> control, highlighting their potential as supportive strategies in managing type-2 diabetes and prediabetic conditions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2025)</w:t>
      </w:r>
      <w:r w:rsidRPr="00CF06EE">
        <w:rPr>
          <w:rFonts w:ascii="Arial" w:hAnsi="Arial" w:cs="Arial"/>
          <w:sz w:val="20"/>
          <w:szCs w:val="20"/>
          <w:lang w:val="en-IN"/>
        </w:rPr>
        <w:t>.</w:t>
      </w:r>
    </w:p>
    <w:p w14:paraId="1B3D5E9F" w14:textId="77777777" w:rsidR="00F22CA2" w:rsidRPr="00CF06EE" w:rsidRDefault="00F22CA2" w:rsidP="00F22CA2">
      <w:pPr>
        <w:spacing w:after="0" w:line="240" w:lineRule="auto"/>
        <w:jc w:val="both"/>
        <w:rPr>
          <w:rFonts w:ascii="Arial" w:hAnsi="Arial" w:cs="Arial"/>
          <w:b/>
          <w:bCs/>
          <w:sz w:val="20"/>
          <w:szCs w:val="20"/>
          <w:lang w:val="en-IN"/>
        </w:rPr>
      </w:pPr>
    </w:p>
    <w:p w14:paraId="1C63AA05" w14:textId="4547BEE2"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 xml:space="preserve">7.8 </w:t>
      </w:r>
      <w:r w:rsidRPr="00CF06EE">
        <w:rPr>
          <w:rFonts w:ascii="Arial" w:hAnsi="Arial" w:cs="Arial"/>
          <w:b/>
          <w:bCs/>
          <w:sz w:val="20"/>
          <w:szCs w:val="20"/>
          <w:lang w:val="en-IN"/>
        </w:rPr>
        <w:t>Antimicrobial and Antiproliferative Properties</w:t>
      </w:r>
    </w:p>
    <w:p w14:paraId="367E3465" w14:textId="77777777" w:rsidR="00F22CA2" w:rsidRPr="00CF06EE" w:rsidRDefault="00F22CA2" w:rsidP="00F22CA2">
      <w:pPr>
        <w:spacing w:after="0" w:line="240" w:lineRule="auto"/>
        <w:jc w:val="both"/>
        <w:rPr>
          <w:rFonts w:ascii="Arial" w:hAnsi="Arial" w:cs="Arial"/>
          <w:sz w:val="20"/>
          <w:szCs w:val="20"/>
          <w:lang w:val="en-IN"/>
        </w:rPr>
      </w:pPr>
      <w:r w:rsidRPr="00CF06EE">
        <w:rPr>
          <w:rFonts w:ascii="Arial" w:hAnsi="Arial" w:cs="Arial"/>
          <w:sz w:val="20"/>
          <w:szCs w:val="20"/>
          <w:lang w:val="en-IN"/>
        </w:rPr>
        <w:t xml:space="preserve">Postbiotics contain bacteriocins, organic acids, fatty acids, and hydrogen peroxide, which collectively inhibit bacterial and fungal pathogens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2025)</w:t>
      </w:r>
      <w:r w:rsidRPr="00CF06EE">
        <w:rPr>
          <w:rFonts w:ascii="Arial" w:hAnsi="Arial" w:cs="Arial"/>
          <w:sz w:val="20"/>
          <w:szCs w:val="20"/>
          <w:lang w:val="en-IN"/>
        </w:rPr>
        <w:t xml:space="preserve">. These antimicrobial properties vary depending on microbial strain and fermentation conditions </w:t>
      </w:r>
      <w:r w:rsidRPr="00CF06EE">
        <w:rPr>
          <w:rFonts w:ascii="Arial" w:eastAsia="Times New Roman" w:hAnsi="Arial" w:cs="Arial"/>
          <w:sz w:val="20"/>
          <w:szCs w:val="20"/>
          <w:lang w:val="en-IN"/>
        </w:rPr>
        <w:t>(</w:t>
      </w:r>
      <w:proofErr w:type="spellStart"/>
      <w:r w:rsidRPr="00CF06EE">
        <w:rPr>
          <w:rFonts w:ascii="Arial" w:eastAsia="Times New Roman" w:hAnsi="Arial" w:cs="Arial"/>
          <w:sz w:val="20"/>
          <w:szCs w:val="20"/>
          <w:lang w:val="en-IN"/>
        </w:rPr>
        <w:t>Chikindas</w:t>
      </w:r>
      <w:proofErr w:type="spellEnd"/>
      <w:r w:rsidRPr="00CF06EE">
        <w:rPr>
          <w:rFonts w:ascii="Arial" w:eastAsia="Times New Roman" w:hAnsi="Arial" w:cs="Arial"/>
          <w:sz w:val="20"/>
          <w:szCs w:val="20"/>
          <w:lang w:val="en-IN"/>
        </w:rPr>
        <w:t xml:space="preserve">, M. L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2025b)</w:t>
      </w:r>
      <w:r w:rsidRPr="00CF06EE">
        <w:rPr>
          <w:rFonts w:ascii="Arial" w:hAnsi="Arial" w:cs="Arial"/>
          <w:sz w:val="20"/>
          <w:szCs w:val="20"/>
          <w:lang w:val="en-IN"/>
        </w:rPr>
        <w:t xml:space="preserve">. Beyond antimicrobial activity, several postbiotic preparations exhibit antiproliferative effects against cancer cell lines by inducing apoptosis and inhibiting </w:t>
      </w:r>
      <w:proofErr w:type="spellStart"/>
      <w:r w:rsidRPr="00CF06EE">
        <w:rPr>
          <w:rFonts w:ascii="Arial" w:hAnsi="Arial" w:cs="Arial"/>
          <w:sz w:val="20"/>
          <w:szCs w:val="20"/>
          <w:lang w:val="en-IN"/>
        </w:rPr>
        <w:t>tumor</w:t>
      </w:r>
      <w:proofErr w:type="spellEnd"/>
      <w:r w:rsidRPr="00CF06EE">
        <w:rPr>
          <w:rFonts w:ascii="Arial" w:hAnsi="Arial" w:cs="Arial"/>
          <w:sz w:val="20"/>
          <w:szCs w:val="20"/>
          <w:lang w:val="en-IN"/>
        </w:rPr>
        <w:t xml:space="preserve"> cell migration, suggesting promising applications in future therapeutic development (</w:t>
      </w:r>
      <w:r w:rsidRPr="00CF06EE">
        <w:rPr>
          <w:rFonts w:ascii="Arial" w:eastAsia="Times New Roman" w:hAnsi="Arial" w:cs="Arial"/>
          <w:sz w:val="20"/>
          <w:szCs w:val="20"/>
          <w:lang w:eastAsia="en-IN"/>
        </w:rPr>
        <w:t>Br, A. 2025c)</w:t>
      </w:r>
      <w:r w:rsidRPr="00CF06EE">
        <w:rPr>
          <w:rFonts w:ascii="Arial" w:hAnsi="Arial" w:cs="Arial"/>
          <w:sz w:val="20"/>
          <w:szCs w:val="20"/>
          <w:lang w:val="en-IN"/>
        </w:rPr>
        <w:t>.</w:t>
      </w:r>
    </w:p>
    <w:p w14:paraId="22ACD179" w14:textId="77777777" w:rsidR="00F22CA2" w:rsidRPr="00CF06EE" w:rsidRDefault="00F22CA2" w:rsidP="00F22CA2">
      <w:pPr>
        <w:spacing w:after="0" w:line="240" w:lineRule="auto"/>
        <w:jc w:val="both"/>
        <w:rPr>
          <w:rFonts w:ascii="Arial" w:hAnsi="Arial" w:cs="Arial"/>
          <w:sz w:val="20"/>
          <w:szCs w:val="20"/>
          <w:lang w:val="en-IN"/>
        </w:rPr>
      </w:pPr>
    </w:p>
    <w:p w14:paraId="5AECCD12" w14:textId="77777777" w:rsidR="00F22CA2" w:rsidRPr="00CF06EE" w:rsidRDefault="00F22CA2" w:rsidP="00F22CA2">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Table 3-Evaluation Methods Used for Assessing Postbiotic Bioactivities</w:t>
      </w:r>
    </w:p>
    <w:tbl>
      <w:tblPr>
        <w:tblStyle w:val="TableGrid"/>
        <w:tblW w:w="84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1406"/>
        <w:gridCol w:w="1517"/>
        <w:gridCol w:w="1306"/>
        <w:gridCol w:w="1917"/>
        <w:gridCol w:w="1295"/>
      </w:tblGrid>
      <w:tr w:rsidR="00A81A82" w:rsidRPr="00CF06EE" w14:paraId="04A69ECE" w14:textId="285D4CE2" w:rsidTr="00A82640">
        <w:trPr>
          <w:jc w:val="center"/>
        </w:trPr>
        <w:tc>
          <w:tcPr>
            <w:tcW w:w="1692" w:type="dxa"/>
            <w:tcBorders>
              <w:top w:val="single" w:sz="4" w:space="0" w:color="auto"/>
              <w:bottom w:val="single" w:sz="4" w:space="0" w:color="auto"/>
            </w:tcBorders>
            <w:vAlign w:val="center"/>
          </w:tcPr>
          <w:p w14:paraId="49841BA2" w14:textId="77777777" w:rsidR="00A81A82" w:rsidRPr="00CF06EE" w:rsidRDefault="00A81A82" w:rsidP="00CA441A">
            <w:pPr>
              <w:jc w:val="both"/>
              <w:rPr>
                <w:rFonts w:ascii="Arial" w:hAnsi="Arial" w:cs="Arial"/>
                <w:b/>
                <w:bCs/>
                <w:sz w:val="20"/>
                <w:szCs w:val="20"/>
                <w:lang w:val="en-IN"/>
              </w:rPr>
            </w:pPr>
            <w:r w:rsidRPr="00CF06EE">
              <w:rPr>
                <w:rFonts w:ascii="Arial" w:hAnsi="Arial" w:cs="Arial"/>
                <w:b/>
                <w:bCs/>
                <w:sz w:val="20"/>
                <w:szCs w:val="20"/>
                <w:lang w:val="en-IN"/>
              </w:rPr>
              <w:t>Bioactivity / Evaluation</w:t>
            </w:r>
          </w:p>
        </w:tc>
        <w:tc>
          <w:tcPr>
            <w:tcW w:w="1442" w:type="dxa"/>
            <w:tcBorders>
              <w:top w:val="single" w:sz="4" w:space="0" w:color="auto"/>
              <w:bottom w:val="single" w:sz="4" w:space="0" w:color="auto"/>
            </w:tcBorders>
            <w:vAlign w:val="center"/>
          </w:tcPr>
          <w:p w14:paraId="6C24E57F" w14:textId="77777777" w:rsidR="00A81A82" w:rsidRPr="00CF06EE" w:rsidRDefault="00A81A82" w:rsidP="00CA441A">
            <w:pPr>
              <w:jc w:val="both"/>
              <w:rPr>
                <w:rFonts w:ascii="Arial" w:hAnsi="Arial" w:cs="Arial"/>
                <w:b/>
                <w:bCs/>
                <w:sz w:val="20"/>
                <w:szCs w:val="20"/>
                <w:lang w:val="en-IN"/>
              </w:rPr>
            </w:pPr>
            <w:r w:rsidRPr="00CF06EE">
              <w:rPr>
                <w:rFonts w:ascii="Arial" w:hAnsi="Arial" w:cs="Arial"/>
                <w:b/>
                <w:bCs/>
                <w:sz w:val="20"/>
                <w:szCs w:val="20"/>
                <w:lang w:val="en-IN"/>
              </w:rPr>
              <w:t>Method Used</w:t>
            </w:r>
          </w:p>
        </w:tc>
        <w:tc>
          <w:tcPr>
            <w:tcW w:w="1537" w:type="dxa"/>
            <w:tcBorders>
              <w:top w:val="single" w:sz="4" w:space="0" w:color="auto"/>
              <w:bottom w:val="single" w:sz="4" w:space="0" w:color="auto"/>
            </w:tcBorders>
            <w:vAlign w:val="center"/>
          </w:tcPr>
          <w:p w14:paraId="5E853C8F" w14:textId="77777777" w:rsidR="00A81A82" w:rsidRPr="00CF06EE" w:rsidRDefault="00A81A82" w:rsidP="00CA441A">
            <w:pPr>
              <w:jc w:val="both"/>
              <w:rPr>
                <w:rFonts w:ascii="Arial" w:hAnsi="Arial" w:cs="Arial"/>
                <w:b/>
                <w:bCs/>
                <w:sz w:val="20"/>
                <w:szCs w:val="20"/>
                <w:lang w:val="en-IN"/>
              </w:rPr>
            </w:pPr>
            <w:r w:rsidRPr="00CF06EE">
              <w:rPr>
                <w:rFonts w:ascii="Arial" w:hAnsi="Arial" w:cs="Arial"/>
                <w:b/>
                <w:bCs/>
                <w:sz w:val="20"/>
                <w:szCs w:val="20"/>
                <w:lang w:val="en-IN"/>
              </w:rPr>
              <w:t>Principle</w:t>
            </w:r>
          </w:p>
        </w:tc>
        <w:tc>
          <w:tcPr>
            <w:tcW w:w="1343" w:type="dxa"/>
            <w:tcBorders>
              <w:top w:val="single" w:sz="4" w:space="0" w:color="auto"/>
              <w:bottom w:val="single" w:sz="4" w:space="0" w:color="auto"/>
            </w:tcBorders>
            <w:vAlign w:val="center"/>
          </w:tcPr>
          <w:p w14:paraId="38712ADE" w14:textId="77777777" w:rsidR="00A81A82" w:rsidRPr="00CF06EE" w:rsidRDefault="00A81A82" w:rsidP="00CA441A">
            <w:pPr>
              <w:jc w:val="both"/>
              <w:rPr>
                <w:rFonts w:ascii="Arial" w:hAnsi="Arial" w:cs="Arial"/>
                <w:b/>
                <w:bCs/>
                <w:sz w:val="20"/>
                <w:szCs w:val="20"/>
                <w:lang w:val="en-IN"/>
              </w:rPr>
            </w:pPr>
            <w:r w:rsidRPr="00CF06EE">
              <w:rPr>
                <w:rFonts w:ascii="Arial" w:hAnsi="Arial" w:cs="Arial"/>
                <w:b/>
                <w:bCs/>
                <w:sz w:val="20"/>
                <w:szCs w:val="20"/>
                <w:lang w:val="en-IN"/>
              </w:rPr>
              <w:t>Key Parameters Measured</w:t>
            </w:r>
          </w:p>
        </w:tc>
        <w:tc>
          <w:tcPr>
            <w:tcW w:w="1949" w:type="dxa"/>
            <w:tcBorders>
              <w:top w:val="single" w:sz="4" w:space="0" w:color="auto"/>
              <w:bottom w:val="single" w:sz="4" w:space="0" w:color="auto"/>
            </w:tcBorders>
            <w:vAlign w:val="center"/>
          </w:tcPr>
          <w:p w14:paraId="68865638" w14:textId="597A9B93" w:rsidR="00A81A82" w:rsidRPr="00CF06EE" w:rsidRDefault="00A81A82" w:rsidP="00CA441A">
            <w:pPr>
              <w:jc w:val="both"/>
              <w:rPr>
                <w:rFonts w:ascii="Arial" w:hAnsi="Arial" w:cs="Arial"/>
                <w:b/>
                <w:bCs/>
                <w:sz w:val="20"/>
                <w:szCs w:val="20"/>
                <w:lang w:val="en-IN"/>
              </w:rPr>
            </w:pPr>
            <w:r w:rsidRPr="00CF06EE">
              <w:rPr>
                <w:rFonts w:ascii="Arial" w:hAnsi="Arial" w:cs="Arial"/>
                <w:b/>
                <w:bCs/>
                <w:sz w:val="20"/>
                <w:szCs w:val="20"/>
                <w:lang w:val="en-IN"/>
              </w:rPr>
              <w:t>Expected Outcome/ Significance</w:t>
            </w:r>
          </w:p>
        </w:tc>
        <w:tc>
          <w:tcPr>
            <w:tcW w:w="515" w:type="dxa"/>
            <w:tcBorders>
              <w:top w:val="single" w:sz="4" w:space="0" w:color="auto"/>
              <w:bottom w:val="single" w:sz="4" w:space="0" w:color="auto"/>
            </w:tcBorders>
          </w:tcPr>
          <w:p w14:paraId="1E5B5059" w14:textId="37CD491C" w:rsidR="00A81A82" w:rsidRPr="00CF06EE" w:rsidRDefault="00A81A82" w:rsidP="00CA441A">
            <w:pPr>
              <w:jc w:val="both"/>
              <w:rPr>
                <w:rFonts w:ascii="Arial" w:hAnsi="Arial" w:cs="Arial"/>
                <w:b/>
                <w:bCs/>
                <w:sz w:val="20"/>
                <w:szCs w:val="20"/>
                <w:lang w:val="en-IN"/>
              </w:rPr>
            </w:pPr>
            <w:r w:rsidRPr="00CF06EE">
              <w:rPr>
                <w:rFonts w:ascii="Arial" w:hAnsi="Arial" w:cs="Arial"/>
                <w:b/>
                <w:bCs/>
                <w:sz w:val="20"/>
                <w:szCs w:val="20"/>
                <w:lang w:val="en-IN"/>
              </w:rPr>
              <w:t>References</w:t>
            </w:r>
          </w:p>
        </w:tc>
      </w:tr>
      <w:tr w:rsidR="00A81A82" w:rsidRPr="00CF06EE" w14:paraId="5965FF70" w14:textId="352F1B9C" w:rsidTr="00A82640">
        <w:trPr>
          <w:jc w:val="center"/>
        </w:trPr>
        <w:tc>
          <w:tcPr>
            <w:tcW w:w="1692" w:type="dxa"/>
            <w:tcBorders>
              <w:top w:val="single" w:sz="4" w:space="0" w:color="auto"/>
            </w:tcBorders>
            <w:vAlign w:val="center"/>
          </w:tcPr>
          <w:p w14:paraId="0726ED00"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Antibacterial Activity</w:t>
            </w:r>
          </w:p>
        </w:tc>
        <w:tc>
          <w:tcPr>
            <w:tcW w:w="1442" w:type="dxa"/>
            <w:tcBorders>
              <w:top w:val="single" w:sz="4" w:space="0" w:color="auto"/>
            </w:tcBorders>
            <w:vAlign w:val="center"/>
          </w:tcPr>
          <w:p w14:paraId="7B5EDA42"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Agar well diffusion / Disk diffusion</w:t>
            </w:r>
          </w:p>
        </w:tc>
        <w:tc>
          <w:tcPr>
            <w:tcW w:w="1537" w:type="dxa"/>
            <w:tcBorders>
              <w:top w:val="single" w:sz="4" w:space="0" w:color="auto"/>
            </w:tcBorders>
            <w:vAlign w:val="center"/>
          </w:tcPr>
          <w:p w14:paraId="00E81E33"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Diffusion of postbiotic compounds inhibits microbial growth</w:t>
            </w:r>
          </w:p>
        </w:tc>
        <w:tc>
          <w:tcPr>
            <w:tcW w:w="1343" w:type="dxa"/>
            <w:tcBorders>
              <w:top w:val="single" w:sz="4" w:space="0" w:color="auto"/>
            </w:tcBorders>
            <w:vAlign w:val="center"/>
          </w:tcPr>
          <w:p w14:paraId="63DB46B1"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Zone of inhibition (mm)</w:t>
            </w:r>
          </w:p>
        </w:tc>
        <w:tc>
          <w:tcPr>
            <w:tcW w:w="1949" w:type="dxa"/>
            <w:tcBorders>
              <w:top w:val="single" w:sz="4" w:space="0" w:color="auto"/>
            </w:tcBorders>
            <w:vAlign w:val="center"/>
          </w:tcPr>
          <w:p w14:paraId="6E33EF08"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Demonstrates antimicrobial potential against pathogenic bacteria</w:t>
            </w:r>
          </w:p>
        </w:tc>
        <w:tc>
          <w:tcPr>
            <w:tcW w:w="515" w:type="dxa"/>
            <w:tcBorders>
              <w:top w:val="single" w:sz="4" w:space="0" w:color="auto"/>
            </w:tcBorders>
          </w:tcPr>
          <w:p w14:paraId="6B430384" w14:textId="7FB59C64" w:rsidR="00A81A82" w:rsidRPr="00CF06EE" w:rsidRDefault="00A81A82" w:rsidP="00CA441A">
            <w:pPr>
              <w:jc w:val="both"/>
              <w:rPr>
                <w:rFonts w:ascii="Arial" w:hAnsi="Arial" w:cs="Arial"/>
                <w:sz w:val="20"/>
                <w:szCs w:val="20"/>
                <w:lang w:val="en-IN"/>
              </w:rPr>
            </w:pPr>
            <w:r w:rsidRPr="00CF06EE">
              <w:rPr>
                <w:rFonts w:ascii="Arial" w:hAnsi="Arial" w:cs="Arial"/>
                <w:sz w:val="20"/>
                <w:szCs w:val="20"/>
              </w:rPr>
              <w:t>Cuevas-González et al., 2020</w:t>
            </w:r>
          </w:p>
        </w:tc>
      </w:tr>
      <w:tr w:rsidR="00A81A82" w:rsidRPr="00CF06EE" w14:paraId="0EE2190D" w14:textId="0615AF2D" w:rsidTr="00A82640">
        <w:trPr>
          <w:jc w:val="center"/>
        </w:trPr>
        <w:tc>
          <w:tcPr>
            <w:tcW w:w="1692" w:type="dxa"/>
            <w:vAlign w:val="center"/>
          </w:tcPr>
          <w:p w14:paraId="39055D81"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Antibacterial Potency</w:t>
            </w:r>
          </w:p>
        </w:tc>
        <w:tc>
          <w:tcPr>
            <w:tcW w:w="1442" w:type="dxa"/>
            <w:vAlign w:val="center"/>
          </w:tcPr>
          <w:p w14:paraId="1DE0F455"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MIC and MBC (Broth microdilution)</w:t>
            </w:r>
          </w:p>
        </w:tc>
        <w:tc>
          <w:tcPr>
            <w:tcW w:w="1537" w:type="dxa"/>
            <w:vAlign w:val="center"/>
          </w:tcPr>
          <w:p w14:paraId="5A0A2BE2"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Serial dilution determines inhibitory and bactericidal concentrations</w:t>
            </w:r>
          </w:p>
        </w:tc>
        <w:tc>
          <w:tcPr>
            <w:tcW w:w="1343" w:type="dxa"/>
            <w:vAlign w:val="center"/>
          </w:tcPr>
          <w:p w14:paraId="5342501F"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MIC (mg/mL), MBC (mg/mL)</w:t>
            </w:r>
          </w:p>
        </w:tc>
        <w:tc>
          <w:tcPr>
            <w:tcW w:w="1949" w:type="dxa"/>
            <w:vAlign w:val="center"/>
          </w:tcPr>
          <w:p w14:paraId="320898FE"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Determines minimum effective concentration of postbiotics</w:t>
            </w:r>
          </w:p>
        </w:tc>
        <w:tc>
          <w:tcPr>
            <w:tcW w:w="515" w:type="dxa"/>
          </w:tcPr>
          <w:p w14:paraId="08EE086C" w14:textId="3B75BBAD" w:rsidR="00A81A82" w:rsidRPr="00CF06EE" w:rsidRDefault="00ED29B8" w:rsidP="00CA441A">
            <w:pPr>
              <w:jc w:val="both"/>
              <w:rPr>
                <w:rFonts w:ascii="Arial" w:hAnsi="Arial" w:cs="Arial"/>
                <w:sz w:val="20"/>
                <w:szCs w:val="20"/>
                <w:lang w:val="en-IN"/>
              </w:rPr>
            </w:pPr>
            <w:r w:rsidRPr="00CF06EE">
              <w:rPr>
                <w:rFonts w:ascii="Arial" w:eastAsia="Times New Roman" w:hAnsi="Arial" w:cs="Arial"/>
                <w:sz w:val="20"/>
                <w:szCs w:val="20"/>
              </w:rPr>
              <w:t xml:space="preserve">Aggarwal </w:t>
            </w:r>
            <w:r w:rsidRPr="00CF06EE">
              <w:rPr>
                <w:rFonts w:ascii="Arial" w:eastAsia="Times New Roman" w:hAnsi="Arial" w:cs="Arial"/>
                <w:i/>
                <w:iCs/>
                <w:sz w:val="20"/>
                <w:szCs w:val="20"/>
              </w:rPr>
              <w:t>et al.,</w:t>
            </w:r>
            <w:r w:rsidRPr="00CF06EE">
              <w:rPr>
                <w:rFonts w:ascii="Arial" w:eastAsia="Times New Roman" w:hAnsi="Arial" w:cs="Arial"/>
                <w:sz w:val="20"/>
                <w:szCs w:val="20"/>
              </w:rPr>
              <w:t xml:space="preserve"> 2022</w:t>
            </w:r>
          </w:p>
        </w:tc>
      </w:tr>
      <w:tr w:rsidR="00A81A82" w:rsidRPr="00CF06EE" w14:paraId="03E21A64" w14:textId="5AD7EBED" w:rsidTr="00A82640">
        <w:trPr>
          <w:jc w:val="center"/>
        </w:trPr>
        <w:tc>
          <w:tcPr>
            <w:tcW w:w="1692" w:type="dxa"/>
            <w:vAlign w:val="center"/>
          </w:tcPr>
          <w:p w14:paraId="12E7B3DC"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Antifungal Activity</w:t>
            </w:r>
          </w:p>
        </w:tc>
        <w:tc>
          <w:tcPr>
            <w:tcW w:w="1442" w:type="dxa"/>
            <w:vAlign w:val="center"/>
          </w:tcPr>
          <w:p w14:paraId="5DEBB1DF"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Agar well diffusion on PDA</w:t>
            </w:r>
          </w:p>
        </w:tc>
        <w:tc>
          <w:tcPr>
            <w:tcW w:w="1537" w:type="dxa"/>
            <w:vAlign w:val="center"/>
          </w:tcPr>
          <w:p w14:paraId="3613A5A2"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Inhibition of fungal spore germination and growth</w:t>
            </w:r>
          </w:p>
        </w:tc>
        <w:tc>
          <w:tcPr>
            <w:tcW w:w="1343" w:type="dxa"/>
            <w:vAlign w:val="center"/>
          </w:tcPr>
          <w:p w14:paraId="2AC607BA"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Inhibition zone diameter</w:t>
            </w:r>
          </w:p>
        </w:tc>
        <w:tc>
          <w:tcPr>
            <w:tcW w:w="1949" w:type="dxa"/>
            <w:vAlign w:val="center"/>
          </w:tcPr>
          <w:p w14:paraId="0A23362D"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 xml:space="preserve">Indicates antifungal efficacy against </w:t>
            </w:r>
            <w:proofErr w:type="spellStart"/>
            <w:r w:rsidRPr="00CF06EE">
              <w:rPr>
                <w:rFonts w:ascii="Arial" w:hAnsi="Arial" w:cs="Arial"/>
                <w:sz w:val="20"/>
                <w:szCs w:val="20"/>
                <w:lang w:val="en-IN"/>
              </w:rPr>
              <w:t>molds</w:t>
            </w:r>
            <w:proofErr w:type="spellEnd"/>
            <w:r w:rsidRPr="00CF06EE">
              <w:rPr>
                <w:rFonts w:ascii="Arial" w:hAnsi="Arial" w:cs="Arial"/>
                <w:sz w:val="20"/>
                <w:szCs w:val="20"/>
                <w:lang w:val="en-IN"/>
              </w:rPr>
              <w:t xml:space="preserve"> and yeasts</w:t>
            </w:r>
          </w:p>
        </w:tc>
        <w:tc>
          <w:tcPr>
            <w:tcW w:w="515" w:type="dxa"/>
          </w:tcPr>
          <w:p w14:paraId="2882D823" w14:textId="5033E659" w:rsidR="00A81A82" w:rsidRPr="00CF06EE" w:rsidRDefault="003674B7" w:rsidP="00CA441A">
            <w:pPr>
              <w:jc w:val="both"/>
              <w:rPr>
                <w:rFonts w:ascii="Arial" w:hAnsi="Arial" w:cs="Arial"/>
                <w:sz w:val="20"/>
                <w:szCs w:val="20"/>
                <w:lang w:val="en-IN"/>
              </w:rPr>
            </w:pPr>
            <w:proofErr w:type="spellStart"/>
            <w:r w:rsidRPr="00CF06EE">
              <w:rPr>
                <w:rFonts w:ascii="Arial" w:hAnsi="Arial" w:cs="Arial"/>
                <w:sz w:val="22"/>
                <w:szCs w:val="22"/>
              </w:rPr>
              <w:t>Khakpour</w:t>
            </w:r>
            <w:proofErr w:type="spellEnd"/>
            <w:r w:rsidRPr="00CF06EE">
              <w:rPr>
                <w:rFonts w:ascii="Arial" w:hAnsi="Arial" w:cs="Arial"/>
                <w:sz w:val="22"/>
                <w:szCs w:val="22"/>
              </w:rPr>
              <w:t xml:space="preserve"> M </w:t>
            </w:r>
            <w:r w:rsidRPr="00CF06EE">
              <w:rPr>
                <w:rFonts w:ascii="Arial" w:hAnsi="Arial" w:cs="Arial"/>
                <w:i/>
                <w:iCs/>
                <w:sz w:val="22"/>
                <w:szCs w:val="22"/>
              </w:rPr>
              <w:t>et al.,</w:t>
            </w:r>
            <w:r w:rsidRPr="00CF06EE">
              <w:rPr>
                <w:rFonts w:ascii="Arial" w:hAnsi="Arial" w:cs="Arial"/>
                <w:sz w:val="22"/>
                <w:szCs w:val="22"/>
              </w:rPr>
              <w:t xml:space="preserve"> 2024</w:t>
            </w:r>
          </w:p>
        </w:tc>
      </w:tr>
      <w:tr w:rsidR="00A81A82" w:rsidRPr="00CF06EE" w14:paraId="4F154385" w14:textId="6545FE61" w:rsidTr="00A82640">
        <w:trPr>
          <w:jc w:val="center"/>
        </w:trPr>
        <w:tc>
          <w:tcPr>
            <w:tcW w:w="1692" w:type="dxa"/>
            <w:vAlign w:val="center"/>
          </w:tcPr>
          <w:p w14:paraId="141B3118"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Antioxidant Activity</w:t>
            </w:r>
          </w:p>
        </w:tc>
        <w:tc>
          <w:tcPr>
            <w:tcW w:w="1442" w:type="dxa"/>
            <w:vAlign w:val="center"/>
          </w:tcPr>
          <w:p w14:paraId="7237131F"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DPPH Radical Scavenging Assay</w:t>
            </w:r>
          </w:p>
        </w:tc>
        <w:tc>
          <w:tcPr>
            <w:tcW w:w="1537" w:type="dxa"/>
            <w:vAlign w:val="center"/>
          </w:tcPr>
          <w:p w14:paraId="45E58F50"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Neutralization of free radicals by antioxidant metabolites</w:t>
            </w:r>
          </w:p>
        </w:tc>
        <w:tc>
          <w:tcPr>
            <w:tcW w:w="1343" w:type="dxa"/>
            <w:vAlign w:val="center"/>
          </w:tcPr>
          <w:p w14:paraId="12B7BE11"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 Radical scavenging activity</w:t>
            </w:r>
          </w:p>
        </w:tc>
        <w:tc>
          <w:tcPr>
            <w:tcW w:w="1949" w:type="dxa"/>
            <w:vAlign w:val="center"/>
          </w:tcPr>
          <w:p w14:paraId="2E034906"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Reflects antioxidant capacity of postbiotic compounds</w:t>
            </w:r>
          </w:p>
        </w:tc>
        <w:tc>
          <w:tcPr>
            <w:tcW w:w="515" w:type="dxa"/>
          </w:tcPr>
          <w:p w14:paraId="493CB37E" w14:textId="2A746645" w:rsidR="00A81A82" w:rsidRPr="00CF06EE" w:rsidRDefault="00A81A82" w:rsidP="00CA441A">
            <w:pPr>
              <w:jc w:val="both"/>
              <w:rPr>
                <w:rFonts w:ascii="Arial" w:hAnsi="Arial" w:cs="Arial"/>
                <w:sz w:val="20"/>
                <w:szCs w:val="20"/>
                <w:lang w:val="en-IN"/>
              </w:rPr>
            </w:pPr>
            <w:r w:rsidRPr="00CF06EE">
              <w:rPr>
                <w:rFonts w:ascii="Arial" w:hAnsi="Arial" w:cs="Arial"/>
                <w:sz w:val="20"/>
                <w:szCs w:val="20"/>
              </w:rPr>
              <w:t>Cuevas-González et al., 2020</w:t>
            </w:r>
            <w:r w:rsidR="00ED29B8" w:rsidRPr="00CF06EE">
              <w:rPr>
                <w:rFonts w:ascii="Arial" w:hAnsi="Arial" w:cs="Arial"/>
                <w:sz w:val="20"/>
                <w:szCs w:val="20"/>
              </w:rPr>
              <w:t xml:space="preserve">; </w:t>
            </w:r>
            <w:r w:rsidR="00ED29B8" w:rsidRPr="00CF06EE">
              <w:rPr>
                <w:rFonts w:ascii="Arial" w:eastAsia="Times New Roman" w:hAnsi="Arial" w:cs="Arial"/>
                <w:sz w:val="20"/>
                <w:szCs w:val="20"/>
              </w:rPr>
              <w:t xml:space="preserve">Aggarwal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2022</w:t>
            </w:r>
          </w:p>
        </w:tc>
      </w:tr>
      <w:tr w:rsidR="00A81A82" w:rsidRPr="00CF06EE" w14:paraId="6A4122D8" w14:textId="05CD8085" w:rsidTr="00A82640">
        <w:trPr>
          <w:jc w:val="center"/>
        </w:trPr>
        <w:tc>
          <w:tcPr>
            <w:tcW w:w="1692" w:type="dxa"/>
            <w:vAlign w:val="center"/>
          </w:tcPr>
          <w:p w14:paraId="7DCC2512"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Antioxidant Activity</w:t>
            </w:r>
          </w:p>
        </w:tc>
        <w:tc>
          <w:tcPr>
            <w:tcW w:w="1442" w:type="dxa"/>
            <w:vAlign w:val="center"/>
          </w:tcPr>
          <w:p w14:paraId="1BB728FD"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ABTS Assay (optional)</w:t>
            </w:r>
          </w:p>
        </w:tc>
        <w:tc>
          <w:tcPr>
            <w:tcW w:w="1537" w:type="dxa"/>
            <w:vAlign w:val="center"/>
          </w:tcPr>
          <w:p w14:paraId="5CAC38B7"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Electron transfer-based antioxidant evaluation</w:t>
            </w:r>
          </w:p>
        </w:tc>
        <w:tc>
          <w:tcPr>
            <w:tcW w:w="1343" w:type="dxa"/>
            <w:vAlign w:val="center"/>
          </w:tcPr>
          <w:p w14:paraId="5608B745"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 Inhibition / IC50</w:t>
            </w:r>
          </w:p>
        </w:tc>
        <w:tc>
          <w:tcPr>
            <w:tcW w:w="1949" w:type="dxa"/>
            <w:vAlign w:val="center"/>
          </w:tcPr>
          <w:p w14:paraId="276BB666" w14:textId="77777777" w:rsidR="00A81A82" w:rsidRPr="00CF06EE" w:rsidRDefault="00A81A82" w:rsidP="00CA441A">
            <w:pPr>
              <w:jc w:val="both"/>
              <w:rPr>
                <w:rFonts w:ascii="Arial" w:hAnsi="Arial" w:cs="Arial"/>
                <w:b/>
                <w:bCs/>
                <w:sz w:val="20"/>
                <w:szCs w:val="20"/>
                <w:lang w:val="en-IN"/>
              </w:rPr>
            </w:pPr>
            <w:r w:rsidRPr="00CF06EE">
              <w:rPr>
                <w:rFonts w:ascii="Arial" w:hAnsi="Arial" w:cs="Arial"/>
                <w:sz w:val="20"/>
                <w:szCs w:val="20"/>
                <w:lang w:val="en-IN"/>
              </w:rPr>
              <w:t>Confirms oxidative stress mitigation potential</w:t>
            </w:r>
          </w:p>
        </w:tc>
        <w:tc>
          <w:tcPr>
            <w:tcW w:w="515" w:type="dxa"/>
          </w:tcPr>
          <w:p w14:paraId="37C820BE" w14:textId="1B34BA81" w:rsidR="00A81A82" w:rsidRPr="00CF06EE" w:rsidRDefault="00A81A82" w:rsidP="00CA441A">
            <w:pPr>
              <w:jc w:val="both"/>
              <w:rPr>
                <w:rFonts w:ascii="Arial" w:hAnsi="Arial" w:cs="Arial"/>
                <w:sz w:val="20"/>
                <w:szCs w:val="20"/>
                <w:lang w:val="en-IN"/>
              </w:rPr>
            </w:pPr>
            <w:r w:rsidRPr="00CF06EE">
              <w:rPr>
                <w:rFonts w:ascii="Arial" w:hAnsi="Arial" w:cs="Arial"/>
                <w:sz w:val="20"/>
                <w:szCs w:val="20"/>
              </w:rPr>
              <w:t>Cuevas-González et al., 2020</w:t>
            </w:r>
          </w:p>
        </w:tc>
      </w:tr>
      <w:tr w:rsidR="00A81A82" w:rsidRPr="00CF06EE" w14:paraId="786A3069" w14:textId="07D6A954" w:rsidTr="00A82640">
        <w:trPr>
          <w:jc w:val="center"/>
        </w:trPr>
        <w:tc>
          <w:tcPr>
            <w:tcW w:w="1692" w:type="dxa"/>
            <w:vAlign w:val="center"/>
          </w:tcPr>
          <w:p w14:paraId="5FE2B6B9"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Protein / Peptide Characterization</w:t>
            </w:r>
          </w:p>
        </w:tc>
        <w:tc>
          <w:tcPr>
            <w:tcW w:w="1442" w:type="dxa"/>
            <w:vAlign w:val="center"/>
          </w:tcPr>
          <w:p w14:paraId="1788B385"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Lowry or Bradford Assay</w:t>
            </w:r>
          </w:p>
        </w:tc>
        <w:tc>
          <w:tcPr>
            <w:tcW w:w="1537" w:type="dxa"/>
            <w:vAlign w:val="center"/>
          </w:tcPr>
          <w:p w14:paraId="725BC6C3"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Colorimetric detection of protein concentration</w:t>
            </w:r>
          </w:p>
        </w:tc>
        <w:tc>
          <w:tcPr>
            <w:tcW w:w="1343" w:type="dxa"/>
            <w:vAlign w:val="center"/>
          </w:tcPr>
          <w:p w14:paraId="45E511B0"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Protein content (µg/mL)</w:t>
            </w:r>
          </w:p>
        </w:tc>
        <w:tc>
          <w:tcPr>
            <w:tcW w:w="1949" w:type="dxa"/>
            <w:vAlign w:val="center"/>
          </w:tcPr>
          <w:p w14:paraId="7FE467AC"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Quantifies bioactive peptides present in postbiotics</w:t>
            </w:r>
          </w:p>
        </w:tc>
        <w:tc>
          <w:tcPr>
            <w:tcW w:w="515" w:type="dxa"/>
          </w:tcPr>
          <w:p w14:paraId="512AA2DA" w14:textId="22F0B007" w:rsidR="00A81A82" w:rsidRPr="00CF06EE" w:rsidRDefault="003674B7" w:rsidP="00CA441A">
            <w:pPr>
              <w:jc w:val="both"/>
              <w:rPr>
                <w:rFonts w:ascii="Arial" w:hAnsi="Arial" w:cs="Arial"/>
                <w:sz w:val="20"/>
                <w:szCs w:val="20"/>
                <w:lang w:val="en-IN"/>
              </w:rPr>
            </w:pPr>
            <w:r w:rsidRPr="00CF06EE">
              <w:rPr>
                <w:rFonts w:ascii="Arial" w:eastAsia="Merriweather" w:hAnsi="Arial" w:cs="Arial"/>
                <w:sz w:val="20"/>
                <w:szCs w:val="20"/>
              </w:rPr>
              <w:t>Cuevas-González et al., 2020</w:t>
            </w:r>
          </w:p>
        </w:tc>
      </w:tr>
      <w:tr w:rsidR="00A81A82" w:rsidRPr="00CF06EE" w14:paraId="0E9D30A5" w14:textId="66969133" w:rsidTr="00A82640">
        <w:trPr>
          <w:jc w:val="center"/>
        </w:trPr>
        <w:tc>
          <w:tcPr>
            <w:tcW w:w="1692" w:type="dxa"/>
            <w:vAlign w:val="center"/>
          </w:tcPr>
          <w:p w14:paraId="1CD020F6"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lastRenderedPageBreak/>
              <w:t>Organic Acid Analysis</w:t>
            </w:r>
          </w:p>
        </w:tc>
        <w:tc>
          <w:tcPr>
            <w:tcW w:w="1442" w:type="dxa"/>
            <w:vAlign w:val="center"/>
          </w:tcPr>
          <w:p w14:paraId="778D37BC"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HPLC (optional)</w:t>
            </w:r>
          </w:p>
        </w:tc>
        <w:tc>
          <w:tcPr>
            <w:tcW w:w="1537" w:type="dxa"/>
            <w:vAlign w:val="center"/>
          </w:tcPr>
          <w:p w14:paraId="7FA0143D"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Separation and quantification of SCFAs and organic acids</w:t>
            </w:r>
          </w:p>
        </w:tc>
        <w:tc>
          <w:tcPr>
            <w:tcW w:w="1343" w:type="dxa"/>
            <w:vAlign w:val="center"/>
          </w:tcPr>
          <w:p w14:paraId="3B356C8F"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Acetate, propionate, butyrate levels</w:t>
            </w:r>
          </w:p>
        </w:tc>
        <w:tc>
          <w:tcPr>
            <w:tcW w:w="1949" w:type="dxa"/>
            <w:vAlign w:val="center"/>
          </w:tcPr>
          <w:p w14:paraId="0B92824B"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Identifies metabolic composition of postbiotics</w:t>
            </w:r>
          </w:p>
        </w:tc>
        <w:tc>
          <w:tcPr>
            <w:tcW w:w="515" w:type="dxa"/>
          </w:tcPr>
          <w:p w14:paraId="394D363B" w14:textId="6439410E" w:rsidR="00A81A82" w:rsidRPr="00CF06EE" w:rsidRDefault="003674B7" w:rsidP="00CA441A">
            <w:pPr>
              <w:jc w:val="both"/>
              <w:rPr>
                <w:rFonts w:ascii="Arial" w:hAnsi="Arial" w:cs="Arial"/>
                <w:sz w:val="20"/>
                <w:szCs w:val="20"/>
                <w:lang w:val="en-IN"/>
              </w:rPr>
            </w:pPr>
            <w:r w:rsidRPr="00CF06EE">
              <w:rPr>
                <w:rFonts w:ascii="Arial" w:eastAsia="Times New Roman" w:hAnsi="Arial" w:cs="Arial"/>
                <w:sz w:val="20"/>
                <w:szCs w:val="20"/>
                <w:lang w:val="en-IN"/>
              </w:rPr>
              <w:t xml:space="preserve">Chang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2021; </w:t>
            </w: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2025</w:t>
            </w:r>
          </w:p>
        </w:tc>
      </w:tr>
      <w:tr w:rsidR="00A81A82" w:rsidRPr="00CF06EE" w14:paraId="6566D083" w14:textId="6F78E855" w:rsidTr="00A82640">
        <w:trPr>
          <w:jc w:val="center"/>
        </w:trPr>
        <w:tc>
          <w:tcPr>
            <w:tcW w:w="1692" w:type="dxa"/>
            <w:vAlign w:val="center"/>
          </w:tcPr>
          <w:p w14:paraId="3F5FE2AA"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Anticancer Activity</w:t>
            </w:r>
          </w:p>
        </w:tc>
        <w:tc>
          <w:tcPr>
            <w:tcW w:w="1442" w:type="dxa"/>
            <w:vAlign w:val="center"/>
          </w:tcPr>
          <w:p w14:paraId="5C875A7D"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MTT Cell Viability Assay</w:t>
            </w:r>
          </w:p>
        </w:tc>
        <w:tc>
          <w:tcPr>
            <w:tcW w:w="1537" w:type="dxa"/>
            <w:vAlign w:val="center"/>
          </w:tcPr>
          <w:p w14:paraId="4FA7593B"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Reduction of tetrazolium salt indicates living cells</w:t>
            </w:r>
          </w:p>
        </w:tc>
        <w:tc>
          <w:tcPr>
            <w:tcW w:w="1343" w:type="dxa"/>
            <w:vAlign w:val="center"/>
          </w:tcPr>
          <w:p w14:paraId="621714E2"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 Cell viability / Growth inhibition</w:t>
            </w:r>
          </w:p>
        </w:tc>
        <w:tc>
          <w:tcPr>
            <w:tcW w:w="1949" w:type="dxa"/>
            <w:vAlign w:val="center"/>
          </w:tcPr>
          <w:p w14:paraId="2A8903E2"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Evaluates cytotoxic and antiproliferative effects</w:t>
            </w:r>
          </w:p>
        </w:tc>
        <w:tc>
          <w:tcPr>
            <w:tcW w:w="515" w:type="dxa"/>
          </w:tcPr>
          <w:p w14:paraId="0C75E4B7" w14:textId="220CF71E" w:rsidR="00A81A82" w:rsidRPr="00CF06EE" w:rsidRDefault="003674B7" w:rsidP="00CA441A">
            <w:pPr>
              <w:jc w:val="both"/>
              <w:rPr>
                <w:rFonts w:ascii="Arial" w:hAnsi="Arial" w:cs="Arial"/>
                <w:sz w:val="20"/>
                <w:szCs w:val="20"/>
                <w:lang w:val="sv-SE"/>
              </w:rPr>
            </w:pPr>
            <w:r w:rsidRPr="00CF06EE">
              <w:rPr>
                <w:rFonts w:ascii="Arial" w:eastAsia="Times New Roman" w:hAnsi="Arial" w:cs="Arial"/>
                <w:sz w:val="20"/>
                <w:szCs w:val="20"/>
                <w:lang w:val="sv-SE"/>
              </w:rPr>
              <w:t xml:space="preserve">Chikindas, M. L </w:t>
            </w:r>
            <w:r w:rsidRPr="00CF06EE">
              <w:rPr>
                <w:rFonts w:ascii="Arial" w:eastAsia="Times New Roman" w:hAnsi="Arial" w:cs="Arial"/>
                <w:i/>
                <w:iCs/>
                <w:sz w:val="20"/>
                <w:szCs w:val="20"/>
                <w:lang w:val="sv-SE"/>
              </w:rPr>
              <w:t>et al.,</w:t>
            </w:r>
            <w:r w:rsidRPr="00CF06EE">
              <w:rPr>
                <w:rFonts w:ascii="Arial" w:eastAsia="Times New Roman" w:hAnsi="Arial" w:cs="Arial"/>
                <w:sz w:val="20"/>
                <w:szCs w:val="20"/>
                <w:lang w:val="sv-SE"/>
              </w:rPr>
              <w:t xml:space="preserve"> 2025b</w:t>
            </w:r>
            <w:r w:rsidRPr="00CF06EE">
              <w:rPr>
                <w:rFonts w:ascii="Arial" w:eastAsia="Times New Roman" w:hAnsi="Arial" w:cs="Arial"/>
                <w:sz w:val="20"/>
                <w:szCs w:val="20"/>
                <w:lang w:val="sv-SE"/>
              </w:rPr>
              <w:t xml:space="preserve">; </w:t>
            </w:r>
            <w:r w:rsidRPr="00CF06EE">
              <w:rPr>
                <w:rFonts w:ascii="Arial" w:eastAsia="Times New Roman" w:hAnsi="Arial" w:cs="Arial"/>
                <w:sz w:val="20"/>
                <w:szCs w:val="20"/>
                <w:lang w:val="sv-SE"/>
              </w:rPr>
              <w:t>Mafe, A. N et al., 2025)</w:t>
            </w:r>
            <w:r w:rsidRPr="00CF06EE">
              <w:rPr>
                <w:rFonts w:ascii="Arial" w:hAnsi="Arial" w:cs="Arial"/>
                <w:sz w:val="20"/>
                <w:szCs w:val="20"/>
                <w:lang w:val="sv-SE"/>
              </w:rPr>
              <w:t>.</w:t>
            </w:r>
          </w:p>
        </w:tc>
      </w:tr>
      <w:tr w:rsidR="00A81A82" w:rsidRPr="00CF06EE" w14:paraId="44A19D3D" w14:textId="35B0053C" w:rsidTr="00A82640">
        <w:trPr>
          <w:jc w:val="center"/>
        </w:trPr>
        <w:tc>
          <w:tcPr>
            <w:tcW w:w="1692" w:type="dxa"/>
            <w:vAlign w:val="center"/>
          </w:tcPr>
          <w:p w14:paraId="345A2282"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Anti-inflammatory Activity</w:t>
            </w:r>
          </w:p>
        </w:tc>
        <w:tc>
          <w:tcPr>
            <w:tcW w:w="1442" w:type="dxa"/>
            <w:vAlign w:val="center"/>
          </w:tcPr>
          <w:p w14:paraId="00EAA4CE"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Cytokine profiling (ELISA / literature-based)</w:t>
            </w:r>
          </w:p>
        </w:tc>
        <w:tc>
          <w:tcPr>
            <w:tcW w:w="1537" w:type="dxa"/>
            <w:vAlign w:val="center"/>
          </w:tcPr>
          <w:p w14:paraId="44C12291"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Measurement of inflammatory mediators</w:t>
            </w:r>
          </w:p>
        </w:tc>
        <w:tc>
          <w:tcPr>
            <w:tcW w:w="1343" w:type="dxa"/>
            <w:vAlign w:val="center"/>
          </w:tcPr>
          <w:p w14:paraId="4057E334"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IL-6, TNF-α, IL-10 levels</w:t>
            </w:r>
          </w:p>
        </w:tc>
        <w:tc>
          <w:tcPr>
            <w:tcW w:w="1949" w:type="dxa"/>
            <w:vAlign w:val="center"/>
          </w:tcPr>
          <w:p w14:paraId="06B40E9F"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Demonstrates immunomodulatory properties</w:t>
            </w:r>
          </w:p>
        </w:tc>
        <w:tc>
          <w:tcPr>
            <w:tcW w:w="515" w:type="dxa"/>
          </w:tcPr>
          <w:p w14:paraId="3CC5977A" w14:textId="27630E59" w:rsidR="00A81A82" w:rsidRPr="00CF06EE" w:rsidRDefault="003674B7" w:rsidP="00CA441A">
            <w:pPr>
              <w:jc w:val="both"/>
              <w:rPr>
                <w:rFonts w:ascii="Arial" w:hAnsi="Arial" w:cs="Arial"/>
                <w:sz w:val="20"/>
                <w:szCs w:val="20"/>
                <w:lang w:val="en-IN"/>
              </w:rPr>
            </w:pP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w:t>
            </w:r>
            <w:r w:rsidRPr="00CF06EE">
              <w:rPr>
                <w:rFonts w:ascii="Arial" w:eastAsia="Times New Roman" w:hAnsi="Arial" w:cs="Arial"/>
                <w:i/>
                <w:iCs/>
                <w:sz w:val="20"/>
                <w:szCs w:val="20"/>
              </w:rPr>
              <w:t xml:space="preserve">et al., </w:t>
            </w:r>
            <w:r w:rsidRPr="00CF06EE">
              <w:rPr>
                <w:rFonts w:ascii="Arial" w:eastAsia="Times New Roman" w:hAnsi="Arial" w:cs="Arial"/>
                <w:sz w:val="20"/>
                <w:szCs w:val="20"/>
              </w:rPr>
              <w:t xml:space="preserve">2025; </w:t>
            </w:r>
            <w:proofErr w:type="spellStart"/>
            <w:r w:rsidRPr="00CF06EE">
              <w:rPr>
                <w:rFonts w:ascii="Arial" w:eastAsia="Times New Roman" w:hAnsi="Arial" w:cs="Arial"/>
                <w:sz w:val="20"/>
                <w:szCs w:val="20"/>
                <w:lang w:val="en-IN"/>
              </w:rPr>
              <w:t>Chikindas</w:t>
            </w:r>
            <w:proofErr w:type="spellEnd"/>
            <w:r w:rsidRPr="00CF06EE">
              <w:rPr>
                <w:rFonts w:ascii="Arial" w:eastAsia="Times New Roman" w:hAnsi="Arial" w:cs="Arial"/>
                <w:sz w:val="20"/>
                <w:szCs w:val="20"/>
                <w:lang w:val="en-IN"/>
              </w:rPr>
              <w:t xml:space="preserve">, M. L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2025b</w:t>
            </w:r>
          </w:p>
        </w:tc>
      </w:tr>
      <w:tr w:rsidR="00A81A82" w:rsidRPr="00CF06EE" w14:paraId="7C0DF333" w14:textId="09F366A2" w:rsidTr="00A82640">
        <w:trPr>
          <w:jc w:val="center"/>
        </w:trPr>
        <w:tc>
          <w:tcPr>
            <w:tcW w:w="1692" w:type="dxa"/>
            <w:vAlign w:val="center"/>
          </w:tcPr>
          <w:p w14:paraId="0719FED6"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Metabolic Activity (Anti-diabetic)</w:t>
            </w:r>
          </w:p>
        </w:tc>
        <w:tc>
          <w:tcPr>
            <w:tcW w:w="1442" w:type="dxa"/>
            <w:vAlign w:val="center"/>
          </w:tcPr>
          <w:p w14:paraId="0B520AC6"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SCFA quantification / in vitro assays</w:t>
            </w:r>
          </w:p>
        </w:tc>
        <w:tc>
          <w:tcPr>
            <w:tcW w:w="1537" w:type="dxa"/>
            <w:vAlign w:val="center"/>
          </w:tcPr>
          <w:p w14:paraId="6573F5CA"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 xml:space="preserve">Regulation of metabolic </w:t>
            </w:r>
            <w:proofErr w:type="spellStart"/>
            <w:r w:rsidRPr="00CF06EE">
              <w:rPr>
                <w:rFonts w:ascii="Arial" w:hAnsi="Arial" w:cs="Arial"/>
                <w:sz w:val="20"/>
                <w:szCs w:val="20"/>
                <w:lang w:val="en-IN"/>
              </w:rPr>
              <w:t>signaling</w:t>
            </w:r>
            <w:proofErr w:type="spellEnd"/>
            <w:r w:rsidRPr="00CF06EE">
              <w:rPr>
                <w:rFonts w:ascii="Arial" w:hAnsi="Arial" w:cs="Arial"/>
                <w:sz w:val="20"/>
                <w:szCs w:val="20"/>
                <w:lang w:val="en-IN"/>
              </w:rPr>
              <w:t xml:space="preserve"> pathways</w:t>
            </w:r>
          </w:p>
        </w:tc>
        <w:tc>
          <w:tcPr>
            <w:tcW w:w="1343" w:type="dxa"/>
            <w:vAlign w:val="center"/>
          </w:tcPr>
          <w:p w14:paraId="2CA93880"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GLP-1, insulin-related markers</w:t>
            </w:r>
          </w:p>
        </w:tc>
        <w:tc>
          <w:tcPr>
            <w:tcW w:w="1949" w:type="dxa"/>
            <w:vAlign w:val="center"/>
          </w:tcPr>
          <w:p w14:paraId="72E95279"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Indicates metabolic health benefits</w:t>
            </w:r>
          </w:p>
        </w:tc>
        <w:tc>
          <w:tcPr>
            <w:tcW w:w="515" w:type="dxa"/>
          </w:tcPr>
          <w:p w14:paraId="59B5093A" w14:textId="20D9CC9F" w:rsidR="00A81A82" w:rsidRPr="00CF06EE" w:rsidRDefault="003674B7" w:rsidP="00CA441A">
            <w:pPr>
              <w:jc w:val="both"/>
              <w:rPr>
                <w:rFonts w:ascii="Arial" w:hAnsi="Arial" w:cs="Arial"/>
                <w:sz w:val="20"/>
                <w:szCs w:val="20"/>
                <w:lang w:val="sv-SE"/>
              </w:rPr>
            </w:pPr>
            <w:r w:rsidRPr="00CF06EE">
              <w:rPr>
                <w:rFonts w:ascii="Arial" w:eastAsia="Times New Roman" w:hAnsi="Arial" w:cs="Arial"/>
                <w:sz w:val="20"/>
                <w:szCs w:val="20"/>
                <w:lang w:val="sv-SE"/>
              </w:rPr>
              <w:t xml:space="preserve">Chikindas, M. L </w:t>
            </w:r>
            <w:r w:rsidRPr="00CF06EE">
              <w:rPr>
                <w:rFonts w:ascii="Arial" w:eastAsia="Times New Roman" w:hAnsi="Arial" w:cs="Arial"/>
                <w:i/>
                <w:iCs/>
                <w:sz w:val="20"/>
                <w:szCs w:val="20"/>
                <w:lang w:val="sv-SE"/>
              </w:rPr>
              <w:t>et al.,</w:t>
            </w:r>
            <w:r w:rsidRPr="00CF06EE">
              <w:rPr>
                <w:rFonts w:ascii="Arial" w:eastAsia="Times New Roman" w:hAnsi="Arial" w:cs="Arial"/>
                <w:sz w:val="20"/>
                <w:szCs w:val="20"/>
                <w:lang w:val="sv-SE"/>
              </w:rPr>
              <w:t xml:space="preserve"> 2025b</w:t>
            </w:r>
          </w:p>
        </w:tc>
      </w:tr>
      <w:tr w:rsidR="00A81A82" w:rsidRPr="00CF06EE" w14:paraId="78BADD41" w14:textId="3DF57DB9" w:rsidTr="00A82640">
        <w:trPr>
          <w:jc w:val="center"/>
        </w:trPr>
        <w:tc>
          <w:tcPr>
            <w:tcW w:w="1692" w:type="dxa"/>
            <w:tcBorders>
              <w:bottom w:val="single" w:sz="4" w:space="0" w:color="auto"/>
            </w:tcBorders>
            <w:vAlign w:val="center"/>
          </w:tcPr>
          <w:p w14:paraId="3E37E67C"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Stability Assessment</w:t>
            </w:r>
          </w:p>
        </w:tc>
        <w:tc>
          <w:tcPr>
            <w:tcW w:w="1442" w:type="dxa"/>
            <w:tcBorders>
              <w:bottom w:val="single" w:sz="4" w:space="0" w:color="auto"/>
            </w:tcBorders>
            <w:vAlign w:val="center"/>
          </w:tcPr>
          <w:p w14:paraId="0191FFBD"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Temperature / Storage Stability Tests</w:t>
            </w:r>
          </w:p>
        </w:tc>
        <w:tc>
          <w:tcPr>
            <w:tcW w:w="1537" w:type="dxa"/>
            <w:tcBorders>
              <w:bottom w:val="single" w:sz="4" w:space="0" w:color="auto"/>
            </w:tcBorders>
            <w:vAlign w:val="center"/>
          </w:tcPr>
          <w:p w14:paraId="590C9D39"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Monitoring retention of functional activity over time</w:t>
            </w:r>
          </w:p>
        </w:tc>
        <w:tc>
          <w:tcPr>
            <w:tcW w:w="1343" w:type="dxa"/>
            <w:tcBorders>
              <w:bottom w:val="single" w:sz="4" w:space="0" w:color="auto"/>
            </w:tcBorders>
            <w:vAlign w:val="center"/>
          </w:tcPr>
          <w:p w14:paraId="53F869F3"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Activity retention %, pH change</w:t>
            </w:r>
          </w:p>
        </w:tc>
        <w:tc>
          <w:tcPr>
            <w:tcW w:w="1949" w:type="dxa"/>
            <w:tcBorders>
              <w:bottom w:val="single" w:sz="4" w:space="0" w:color="auto"/>
            </w:tcBorders>
            <w:vAlign w:val="center"/>
          </w:tcPr>
          <w:p w14:paraId="7C057733" w14:textId="77777777" w:rsidR="00A81A82" w:rsidRPr="00CF06EE" w:rsidRDefault="00A81A82" w:rsidP="00CA441A">
            <w:pPr>
              <w:jc w:val="both"/>
              <w:rPr>
                <w:rFonts w:ascii="Arial" w:hAnsi="Arial" w:cs="Arial"/>
                <w:sz w:val="20"/>
                <w:szCs w:val="20"/>
                <w:lang w:val="en-IN"/>
              </w:rPr>
            </w:pPr>
            <w:r w:rsidRPr="00CF06EE">
              <w:rPr>
                <w:rFonts w:ascii="Arial" w:hAnsi="Arial" w:cs="Arial"/>
                <w:sz w:val="20"/>
                <w:szCs w:val="20"/>
                <w:lang w:val="en-IN"/>
              </w:rPr>
              <w:t>Evaluates shelf-life and industrial feasibility</w:t>
            </w:r>
          </w:p>
        </w:tc>
        <w:tc>
          <w:tcPr>
            <w:tcW w:w="515" w:type="dxa"/>
            <w:tcBorders>
              <w:bottom w:val="single" w:sz="4" w:space="0" w:color="auto"/>
            </w:tcBorders>
          </w:tcPr>
          <w:p w14:paraId="0DE4FA2D" w14:textId="33978FB8" w:rsidR="00A81A82" w:rsidRPr="00CF06EE" w:rsidRDefault="003674B7" w:rsidP="00CA441A">
            <w:pPr>
              <w:jc w:val="both"/>
              <w:rPr>
                <w:rFonts w:ascii="Arial" w:hAnsi="Arial" w:cs="Arial"/>
                <w:sz w:val="20"/>
                <w:szCs w:val="20"/>
                <w:lang w:val="sv-SE"/>
              </w:rPr>
            </w:pPr>
            <w:r w:rsidRPr="00CF06EE">
              <w:rPr>
                <w:rFonts w:ascii="Arial" w:eastAsia="Times New Roman" w:hAnsi="Arial" w:cs="Arial"/>
                <w:sz w:val="20"/>
                <w:szCs w:val="20"/>
                <w:lang w:val="sv-SE" w:eastAsia="en-IN"/>
              </w:rPr>
              <w:t xml:space="preserve">Jannah </w:t>
            </w:r>
            <w:r w:rsidRPr="00CF06EE">
              <w:rPr>
                <w:rFonts w:ascii="Arial" w:hAnsi="Arial" w:cs="Arial"/>
                <w:i/>
                <w:iCs/>
                <w:sz w:val="20"/>
                <w:szCs w:val="20"/>
                <w:lang w:val="sv-SE"/>
              </w:rPr>
              <w:t>et al.,</w:t>
            </w:r>
            <w:r w:rsidRPr="00CF06EE">
              <w:rPr>
                <w:rFonts w:ascii="Arial" w:hAnsi="Arial" w:cs="Arial"/>
                <w:sz w:val="20"/>
                <w:szCs w:val="20"/>
                <w:lang w:val="sv-SE"/>
              </w:rPr>
              <w:t xml:space="preserve"> 2022</w:t>
            </w:r>
            <w:r w:rsidRPr="00CF06EE">
              <w:rPr>
                <w:rFonts w:ascii="Arial" w:hAnsi="Arial" w:cs="Arial"/>
                <w:sz w:val="20"/>
                <w:szCs w:val="20"/>
                <w:lang w:val="sv-SE"/>
              </w:rPr>
              <w:t xml:space="preserve">; </w:t>
            </w:r>
            <w:r w:rsidRPr="00CF06EE">
              <w:rPr>
                <w:rFonts w:ascii="Arial" w:eastAsia="Times New Roman" w:hAnsi="Arial" w:cs="Arial"/>
                <w:sz w:val="20"/>
                <w:szCs w:val="20"/>
                <w:lang w:val="sv-SE" w:eastAsia="en-IN"/>
              </w:rPr>
              <w:t>Mudgil, P et al., 2024</w:t>
            </w:r>
          </w:p>
        </w:tc>
      </w:tr>
    </w:tbl>
    <w:p w14:paraId="0FC4BBF2" w14:textId="33C6FF06" w:rsidR="00F22CA2" w:rsidRPr="00CF06EE" w:rsidRDefault="00F22CA2" w:rsidP="006A3041">
      <w:pPr>
        <w:spacing w:after="0" w:line="240" w:lineRule="auto"/>
        <w:jc w:val="both"/>
        <w:rPr>
          <w:rFonts w:ascii="Arial" w:eastAsia="Times New Roman" w:hAnsi="Arial" w:cs="Arial"/>
          <w:b/>
          <w:bCs/>
          <w:sz w:val="22"/>
          <w:szCs w:val="22"/>
          <w:lang w:val="sv-SE"/>
        </w:rPr>
      </w:pPr>
    </w:p>
    <w:p w14:paraId="047CB1E0" w14:textId="43DB283B" w:rsidR="00363811"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 xml:space="preserve">8. </w:t>
      </w:r>
      <w:r w:rsidR="008641AD" w:rsidRPr="00CF06EE">
        <w:rPr>
          <w:rFonts w:ascii="Arial" w:eastAsia="Times New Roman" w:hAnsi="Arial" w:cs="Arial"/>
          <w:b/>
          <w:bCs/>
          <w:sz w:val="22"/>
          <w:szCs w:val="22"/>
          <w:lang w:val="en-IN"/>
        </w:rPr>
        <w:t>MECHANISMS OF ACTION AND BIOLOGICAL BASIS OF POSTBIOTICS</w:t>
      </w:r>
    </w:p>
    <w:p w14:paraId="3EC08A0F" w14:textId="47BEB91E" w:rsidR="00363811" w:rsidRPr="00CF06EE" w:rsidRDefault="00363811"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Postbiotics exert their health-promoting effects through a multifaceted network of biological pathways that operate either independently or synergistically. Unlike probiotics, which depend on microbial viability and colonization, postbiotics deliver pre-formed bioactive molecules generated during microbial fermentation</w:t>
      </w:r>
      <w:r w:rsidR="00EA48BD" w:rsidRPr="00CF06EE">
        <w:rPr>
          <w:rFonts w:ascii="Arial" w:eastAsia="Times New Roman" w:hAnsi="Arial" w:cs="Arial"/>
          <w:sz w:val="20"/>
          <w:szCs w:val="20"/>
          <w:lang w:val="en-IN"/>
        </w:rPr>
        <w:t xml:space="preserve"> (</w:t>
      </w:r>
      <w:r w:rsidR="00EA48BD" w:rsidRPr="00CF06EE">
        <w:rPr>
          <w:rFonts w:ascii="Arial" w:eastAsia="Times New Roman" w:hAnsi="Arial" w:cs="Arial"/>
          <w:sz w:val="20"/>
          <w:szCs w:val="20"/>
          <w:lang w:val="en-IN"/>
        </w:rPr>
        <w:t>Da Silva Vale</w:t>
      </w:r>
      <w:r w:rsidR="00EA48BD" w:rsidRPr="00CF06EE">
        <w:rPr>
          <w:rFonts w:ascii="Arial" w:eastAsia="Times New Roman" w:hAnsi="Arial" w:cs="Arial"/>
          <w:sz w:val="20"/>
          <w:szCs w:val="20"/>
          <w:lang w:val="en-IN"/>
        </w:rPr>
        <w:t xml:space="preserve"> </w:t>
      </w:r>
      <w:r w:rsidR="00EA48BD" w:rsidRPr="00CF06EE">
        <w:rPr>
          <w:rFonts w:ascii="Arial" w:eastAsia="Times New Roman" w:hAnsi="Arial" w:cs="Arial"/>
          <w:i/>
          <w:iCs/>
          <w:sz w:val="20"/>
          <w:szCs w:val="20"/>
          <w:lang w:val="en-IN"/>
        </w:rPr>
        <w:t>et al.,</w:t>
      </w:r>
      <w:r w:rsidR="00EA48BD" w:rsidRPr="00CF06EE">
        <w:rPr>
          <w:rFonts w:ascii="Arial" w:eastAsia="Times New Roman" w:hAnsi="Arial" w:cs="Arial"/>
          <w:sz w:val="20"/>
          <w:szCs w:val="20"/>
          <w:lang w:val="en-IN"/>
        </w:rPr>
        <w:t xml:space="preserve"> 2023)</w:t>
      </w:r>
      <w:r w:rsidRPr="00CF06EE">
        <w:rPr>
          <w:rFonts w:ascii="Arial" w:eastAsia="Times New Roman" w:hAnsi="Arial" w:cs="Arial"/>
          <w:sz w:val="20"/>
          <w:szCs w:val="20"/>
          <w:lang w:val="en-IN"/>
        </w:rPr>
        <w:t xml:space="preserve">. These inactive microbial preparations contain metabolites, peptides, and structural components capable of modulating host physiology. Although the precise mechanisms underlying postbiotic efficacy are still being elucidated, current evidence highlights several key processes, including epithelial barrier reinforcement, immune regulation, metabolic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antimicrobial protection, and neuro–immune communication</w:t>
      </w:r>
      <w:r w:rsidR="00A82640" w:rsidRPr="00CF06EE">
        <w:rPr>
          <w:rFonts w:ascii="Arial" w:eastAsia="Times New Roman" w:hAnsi="Arial" w:cs="Arial"/>
          <w:sz w:val="20"/>
          <w:szCs w:val="20"/>
          <w:lang w:val="en-IN"/>
        </w:rPr>
        <w:t xml:space="preserve"> (</w:t>
      </w:r>
      <w:proofErr w:type="spellStart"/>
      <w:r w:rsidR="00A82640" w:rsidRPr="00CF06EE">
        <w:rPr>
          <w:rFonts w:ascii="Arial" w:eastAsia="Times New Roman" w:hAnsi="Arial" w:cs="Arial"/>
          <w:sz w:val="20"/>
          <w:szCs w:val="20"/>
        </w:rPr>
        <w:t>Hijová</w:t>
      </w:r>
      <w:proofErr w:type="spellEnd"/>
      <w:r w:rsidR="00A82640" w:rsidRPr="00CF06EE">
        <w:rPr>
          <w:rFonts w:ascii="Arial" w:eastAsia="Times New Roman" w:hAnsi="Arial" w:cs="Arial"/>
          <w:sz w:val="20"/>
          <w:szCs w:val="20"/>
        </w:rPr>
        <w:t>, 2024</w:t>
      </w:r>
      <w:r w:rsidR="00A82640" w:rsidRPr="00CF06EE">
        <w:rPr>
          <w:rFonts w:ascii="Arial" w:eastAsia="Times New Roman" w:hAnsi="Arial" w:cs="Arial"/>
          <w:sz w:val="20"/>
          <w:szCs w:val="20"/>
          <w:lang w:val="en-IN"/>
        </w:rPr>
        <w:t>).</w:t>
      </w:r>
      <w:r w:rsidR="00A82640" w:rsidRPr="00CF06EE">
        <w:rPr>
          <w:rFonts w:ascii="Arial" w:eastAsia="Times New Roman" w:hAnsi="Arial" w:cs="Arial"/>
          <w:sz w:val="20"/>
          <w:szCs w:val="20"/>
          <w:lang w:val="en-IN"/>
        </w:rPr>
        <w:t>)</w:t>
      </w:r>
      <w:r w:rsidRPr="00CF06EE">
        <w:rPr>
          <w:rFonts w:ascii="Arial" w:eastAsia="Times New Roman" w:hAnsi="Arial" w:cs="Arial"/>
          <w:sz w:val="20"/>
          <w:szCs w:val="20"/>
          <w:lang w:val="en-IN"/>
        </w:rPr>
        <w:t>. Understanding these interconnected mechanisms is essential for optimizing therapeutic applications and ensuring consistent product efficacy.</w:t>
      </w:r>
    </w:p>
    <w:p w14:paraId="48F9D167" w14:textId="77777777" w:rsidR="009155D0" w:rsidRPr="00CF06EE" w:rsidRDefault="009155D0" w:rsidP="006A3041">
      <w:pPr>
        <w:spacing w:after="0" w:line="240" w:lineRule="auto"/>
        <w:jc w:val="both"/>
        <w:rPr>
          <w:rFonts w:ascii="Arial" w:eastAsia="Times New Roman" w:hAnsi="Arial" w:cs="Arial"/>
          <w:sz w:val="20"/>
          <w:szCs w:val="20"/>
          <w:lang w:val="en-IN"/>
        </w:rPr>
      </w:pPr>
    </w:p>
    <w:p w14:paraId="0DBFFE6A" w14:textId="07ABA6B6" w:rsidR="00363811"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8</w:t>
      </w:r>
      <w:r w:rsidR="00363811" w:rsidRPr="00CF06EE">
        <w:rPr>
          <w:rFonts w:ascii="Arial" w:eastAsia="Times New Roman" w:hAnsi="Arial" w:cs="Arial"/>
          <w:b/>
          <w:bCs/>
          <w:sz w:val="22"/>
          <w:szCs w:val="22"/>
          <w:lang w:val="en-IN"/>
        </w:rPr>
        <w:t>.1 Enhancement of Intestinal Barrier Function and Epithelial Integrity</w:t>
      </w:r>
    </w:p>
    <w:p w14:paraId="198FCFD9" w14:textId="54C3F0E3" w:rsidR="00363811" w:rsidRPr="00CF06EE" w:rsidRDefault="00363811"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One of the primary mechanisms attributed to postbiotics is the strengthening of intestinal barrier integrity</w:t>
      </w:r>
      <w:r w:rsidR="005B539C" w:rsidRPr="00CF06EE">
        <w:rPr>
          <w:rFonts w:ascii="Arial" w:eastAsia="Times New Roman" w:hAnsi="Arial" w:cs="Arial"/>
          <w:sz w:val="20"/>
          <w:szCs w:val="20"/>
          <w:lang w:val="en-IN"/>
        </w:rPr>
        <w:t xml:space="preserve"> (</w:t>
      </w:r>
      <w:proofErr w:type="spellStart"/>
      <w:r w:rsidR="005B539C" w:rsidRPr="00CF06EE">
        <w:rPr>
          <w:rFonts w:ascii="Arial" w:eastAsia="Times New Roman" w:hAnsi="Arial" w:cs="Arial"/>
          <w:sz w:val="20"/>
          <w:szCs w:val="20"/>
          <w:lang w:val="en-IN"/>
        </w:rPr>
        <w:t>Chikindas</w:t>
      </w:r>
      <w:proofErr w:type="spellEnd"/>
      <w:r w:rsidR="005B539C" w:rsidRPr="00CF06EE">
        <w:rPr>
          <w:rFonts w:ascii="Arial" w:eastAsia="Times New Roman" w:hAnsi="Arial" w:cs="Arial"/>
          <w:sz w:val="20"/>
          <w:szCs w:val="20"/>
          <w:lang w:val="en-IN"/>
        </w:rPr>
        <w:t xml:space="preserve">, M. L </w:t>
      </w:r>
      <w:r w:rsidR="005B539C" w:rsidRPr="00CF06EE">
        <w:rPr>
          <w:rFonts w:ascii="Arial" w:eastAsia="Times New Roman" w:hAnsi="Arial" w:cs="Arial"/>
          <w:i/>
          <w:iCs/>
          <w:sz w:val="20"/>
          <w:szCs w:val="20"/>
          <w:lang w:val="en-IN"/>
        </w:rPr>
        <w:t>et al.,</w:t>
      </w:r>
      <w:r w:rsidR="005B539C" w:rsidRPr="00CF06EE">
        <w:rPr>
          <w:rFonts w:ascii="Arial" w:eastAsia="Times New Roman" w:hAnsi="Arial" w:cs="Arial"/>
          <w:sz w:val="20"/>
          <w:szCs w:val="20"/>
          <w:lang w:val="en-IN"/>
        </w:rPr>
        <w:t xml:space="preserve"> 2025b)</w:t>
      </w:r>
      <w:r w:rsidRPr="00CF06EE">
        <w:rPr>
          <w:rFonts w:ascii="Arial" w:eastAsia="Times New Roman" w:hAnsi="Arial" w:cs="Arial"/>
          <w:sz w:val="20"/>
          <w:szCs w:val="20"/>
          <w:lang w:val="en-IN"/>
        </w:rPr>
        <w:t xml:space="preserve">. Microbial metabolites activate intracellular pathways such as the PI3K/Akt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cascade, leading to increased expression of tight junction proteins, including </w:t>
      </w:r>
      <w:proofErr w:type="spellStart"/>
      <w:r w:rsidRPr="00CF06EE">
        <w:rPr>
          <w:rFonts w:ascii="Arial" w:eastAsia="Times New Roman" w:hAnsi="Arial" w:cs="Arial"/>
          <w:sz w:val="20"/>
          <w:szCs w:val="20"/>
          <w:lang w:val="en-IN"/>
        </w:rPr>
        <w:t>occludin</w:t>
      </w:r>
      <w:proofErr w:type="spellEnd"/>
      <w:r w:rsidRPr="00CF06EE">
        <w:rPr>
          <w:rFonts w:ascii="Arial" w:eastAsia="Times New Roman" w:hAnsi="Arial" w:cs="Arial"/>
          <w:sz w:val="20"/>
          <w:szCs w:val="20"/>
          <w:lang w:val="en-IN"/>
        </w:rPr>
        <w:t xml:space="preserve"> and claudins. Concurrently, activation of NF-</w:t>
      </w:r>
      <w:proofErr w:type="spellStart"/>
      <w:r w:rsidRPr="00CF06EE">
        <w:rPr>
          <w:rFonts w:ascii="Arial" w:eastAsia="Times New Roman" w:hAnsi="Arial" w:cs="Arial"/>
          <w:sz w:val="20"/>
          <w:szCs w:val="20"/>
          <w:lang w:val="en-IN"/>
        </w:rPr>
        <w:t>κB</w:t>
      </w:r>
      <w:proofErr w:type="spellEnd"/>
      <w:r w:rsidRPr="00CF06EE">
        <w:rPr>
          <w:rFonts w:ascii="Arial" w:eastAsia="Times New Roman" w:hAnsi="Arial" w:cs="Arial"/>
          <w:sz w:val="20"/>
          <w:szCs w:val="20"/>
          <w:lang w:val="en-IN"/>
        </w:rPr>
        <w:t xml:space="preserve">–associated mucin pathways promotes mucin production and enhances the protective mucus layer. These effects collectively improve epithelial resilience, reduce intestinal permeability, and support gut homeostasis. By reinforcing structural </w:t>
      </w:r>
      <w:proofErr w:type="spellStart"/>
      <w:r w:rsidRPr="00CF06EE">
        <w:rPr>
          <w:rFonts w:ascii="Arial" w:eastAsia="Times New Roman" w:hAnsi="Arial" w:cs="Arial"/>
          <w:sz w:val="20"/>
          <w:szCs w:val="20"/>
          <w:lang w:val="en-IN"/>
        </w:rPr>
        <w:t>defenses</w:t>
      </w:r>
      <w:proofErr w:type="spellEnd"/>
      <w:r w:rsidRPr="00CF06EE">
        <w:rPr>
          <w:rFonts w:ascii="Arial" w:eastAsia="Times New Roman" w:hAnsi="Arial" w:cs="Arial"/>
          <w:sz w:val="20"/>
          <w:szCs w:val="20"/>
          <w:lang w:val="en-IN"/>
        </w:rPr>
        <w:t xml:space="preserve"> within the gastrointestinal tract, postbiotics contribute to protection against environmental stressors and pathogenic invasion</w:t>
      </w:r>
      <w:r w:rsidR="00D14640" w:rsidRPr="00CF06EE">
        <w:rPr>
          <w:rFonts w:ascii="Arial" w:eastAsia="Times New Roman" w:hAnsi="Arial" w:cs="Arial"/>
          <w:sz w:val="20"/>
          <w:szCs w:val="20"/>
          <w:lang w:val="en-IN"/>
        </w:rPr>
        <w:t xml:space="preserve"> (Meena,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r w:rsidRPr="00CF06EE">
        <w:rPr>
          <w:rFonts w:ascii="Arial" w:eastAsia="Times New Roman" w:hAnsi="Arial" w:cs="Arial"/>
          <w:sz w:val="20"/>
          <w:szCs w:val="20"/>
          <w:lang w:val="en-IN"/>
        </w:rPr>
        <w:t>.</w:t>
      </w:r>
    </w:p>
    <w:p w14:paraId="3D25792C" w14:textId="489B3E7B" w:rsidR="00363811" w:rsidRPr="00CF06EE" w:rsidRDefault="00363811" w:rsidP="006A3041">
      <w:pPr>
        <w:spacing w:after="0" w:line="240" w:lineRule="auto"/>
        <w:jc w:val="both"/>
        <w:rPr>
          <w:rFonts w:ascii="Arial" w:eastAsia="Times New Roman" w:hAnsi="Arial" w:cs="Arial"/>
          <w:sz w:val="20"/>
          <w:szCs w:val="20"/>
          <w:lang w:val="en-IN"/>
        </w:rPr>
      </w:pPr>
    </w:p>
    <w:p w14:paraId="61A64F72" w14:textId="0114E258" w:rsidR="00363811"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8</w:t>
      </w:r>
      <w:r w:rsidR="00363811" w:rsidRPr="00CF06EE">
        <w:rPr>
          <w:rFonts w:ascii="Arial" w:eastAsia="Times New Roman" w:hAnsi="Arial" w:cs="Arial"/>
          <w:b/>
          <w:bCs/>
          <w:sz w:val="22"/>
          <w:szCs w:val="22"/>
          <w:lang w:val="en-IN"/>
        </w:rPr>
        <w:t>.2 Gut Microbiota Modulation and Immune Regulation</w:t>
      </w:r>
    </w:p>
    <w:p w14:paraId="4442A6AD" w14:textId="37677C57" w:rsidR="00363811" w:rsidRPr="00CF06EE" w:rsidRDefault="00363811"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Postbiotics influence host health by reshaping the gut microbial ecosystem and regulating immune responses through microbe-derived metabolites</w:t>
      </w:r>
      <w:r w:rsidR="005B539C" w:rsidRPr="00CF06EE">
        <w:rPr>
          <w:rFonts w:ascii="Arial" w:eastAsia="Times New Roman" w:hAnsi="Arial" w:cs="Arial"/>
          <w:sz w:val="20"/>
          <w:szCs w:val="20"/>
          <w:lang w:val="en-IN"/>
        </w:rPr>
        <w:t xml:space="preserve"> (</w:t>
      </w:r>
      <w:r w:rsidR="00EA48BD" w:rsidRPr="00CF06EE">
        <w:rPr>
          <w:rFonts w:ascii="Arial" w:eastAsia="Times New Roman" w:hAnsi="Arial" w:cs="Arial"/>
          <w:sz w:val="20"/>
          <w:szCs w:val="20"/>
          <w:lang w:val="en-IN"/>
        </w:rPr>
        <w:t>Da Silva Vale</w:t>
      </w:r>
      <w:r w:rsidR="00EA48BD" w:rsidRPr="00CF06EE">
        <w:rPr>
          <w:rFonts w:ascii="Arial" w:eastAsia="Times New Roman" w:hAnsi="Arial" w:cs="Arial"/>
          <w:sz w:val="20"/>
          <w:szCs w:val="20"/>
          <w:lang w:val="en-IN"/>
        </w:rPr>
        <w:t xml:space="preserve"> et al., 2023; </w:t>
      </w:r>
      <w:proofErr w:type="spellStart"/>
      <w:r w:rsidR="005B539C" w:rsidRPr="00CF06EE">
        <w:rPr>
          <w:rFonts w:ascii="Arial" w:eastAsia="Times New Roman" w:hAnsi="Arial" w:cs="Arial"/>
          <w:sz w:val="20"/>
          <w:szCs w:val="20"/>
          <w:lang w:val="en-IN"/>
        </w:rPr>
        <w:t>Chikindas</w:t>
      </w:r>
      <w:proofErr w:type="spellEnd"/>
      <w:r w:rsidR="005B539C" w:rsidRPr="00CF06EE">
        <w:rPr>
          <w:rFonts w:ascii="Arial" w:eastAsia="Times New Roman" w:hAnsi="Arial" w:cs="Arial"/>
          <w:sz w:val="20"/>
          <w:szCs w:val="20"/>
          <w:lang w:val="en-IN"/>
        </w:rPr>
        <w:t xml:space="preserve">, M. L </w:t>
      </w:r>
      <w:r w:rsidR="005B539C" w:rsidRPr="00CF06EE">
        <w:rPr>
          <w:rFonts w:ascii="Arial" w:eastAsia="Times New Roman" w:hAnsi="Arial" w:cs="Arial"/>
          <w:i/>
          <w:iCs/>
          <w:sz w:val="20"/>
          <w:szCs w:val="20"/>
          <w:lang w:val="en-IN"/>
        </w:rPr>
        <w:t>et al.,</w:t>
      </w:r>
      <w:r w:rsidR="005B539C" w:rsidRPr="00CF06EE">
        <w:rPr>
          <w:rFonts w:ascii="Arial" w:eastAsia="Times New Roman" w:hAnsi="Arial" w:cs="Arial"/>
          <w:sz w:val="20"/>
          <w:szCs w:val="20"/>
          <w:lang w:val="en-IN"/>
        </w:rPr>
        <w:t xml:space="preserve"> 2025b)</w:t>
      </w:r>
      <w:r w:rsidRPr="00CF06EE">
        <w:rPr>
          <w:rFonts w:ascii="Arial" w:eastAsia="Times New Roman" w:hAnsi="Arial" w:cs="Arial"/>
          <w:sz w:val="20"/>
          <w:szCs w:val="20"/>
          <w:lang w:val="en-IN"/>
        </w:rPr>
        <w:t>. Short-chain fatty acids (SCFAs) such as acetate, propionate, and butyrate nourish colonocytes, maintain microbial balance, and suppress opportunistic pathogens</w:t>
      </w:r>
      <w:r w:rsidR="0054777D" w:rsidRPr="00CF06EE">
        <w:rPr>
          <w:rFonts w:ascii="Arial" w:eastAsia="Times New Roman" w:hAnsi="Arial" w:cs="Arial"/>
          <w:sz w:val="20"/>
          <w:szCs w:val="20"/>
          <w:lang w:val="en-IN"/>
        </w:rPr>
        <w:t xml:space="preserve"> (</w:t>
      </w:r>
      <w:r w:rsidR="0054777D" w:rsidRPr="00CF06EE">
        <w:rPr>
          <w:rFonts w:ascii="Arial" w:eastAsia="Times New Roman" w:hAnsi="Arial" w:cs="Arial"/>
          <w:sz w:val="20"/>
          <w:szCs w:val="20"/>
        </w:rPr>
        <w:t xml:space="preserve">Mafe, A. N et al., 2025). </w:t>
      </w:r>
      <w:r w:rsidRPr="00CF06EE">
        <w:rPr>
          <w:rFonts w:ascii="Arial" w:eastAsia="Times New Roman" w:hAnsi="Arial" w:cs="Arial"/>
          <w:sz w:val="20"/>
          <w:szCs w:val="20"/>
          <w:lang w:val="en-IN"/>
        </w:rPr>
        <w:t xml:space="preserve">Structural components and bioactive molecules interact with pattern recognition receptors, including Toll-like receptors and NOD-like receptors, modulating cytokine production and inflammatory </w:t>
      </w:r>
      <w:proofErr w:type="spellStart"/>
      <w:r w:rsidRPr="00CF06EE">
        <w:rPr>
          <w:rFonts w:ascii="Arial" w:eastAsia="Times New Roman" w:hAnsi="Arial" w:cs="Arial"/>
          <w:sz w:val="20"/>
          <w:szCs w:val="20"/>
          <w:lang w:val="en-IN"/>
        </w:rPr>
        <w:t>signaling</w:t>
      </w:r>
      <w:proofErr w:type="spellEnd"/>
      <w:r w:rsidR="00196DAA" w:rsidRPr="00CF06EE">
        <w:rPr>
          <w:rFonts w:ascii="Arial" w:eastAsia="Times New Roman" w:hAnsi="Arial" w:cs="Arial"/>
          <w:sz w:val="20"/>
          <w:szCs w:val="20"/>
          <w:lang w:val="en-IN"/>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Pr="00CF06EE">
        <w:rPr>
          <w:rFonts w:ascii="Arial" w:eastAsia="Times New Roman" w:hAnsi="Arial" w:cs="Arial"/>
          <w:sz w:val="20"/>
          <w:szCs w:val="20"/>
          <w:lang w:val="en-IN"/>
        </w:rPr>
        <w:t>. These interactions help restore immune equilibrium by balancing pro- and anti-inflammatory responses, thereby reducing chronic inflammatory activity while promoting beneficial microbial diversity</w:t>
      </w:r>
      <w:r w:rsidR="007875D8" w:rsidRPr="00CF06EE">
        <w:rPr>
          <w:rFonts w:ascii="Arial" w:eastAsia="Times New Roman" w:hAnsi="Arial" w:cs="Arial"/>
          <w:sz w:val="20"/>
          <w:szCs w:val="20"/>
          <w:lang w:val="en-IN"/>
        </w:rPr>
        <w:t xml:space="preserve"> (</w:t>
      </w:r>
      <w:r w:rsidR="007875D8" w:rsidRPr="00CF06EE">
        <w:rPr>
          <w:rFonts w:ascii="Arial" w:eastAsia="Times New Roman" w:hAnsi="Arial" w:cs="Arial"/>
          <w:sz w:val="20"/>
          <w:szCs w:val="20"/>
        </w:rPr>
        <w:t xml:space="preserve">Asefa, Z </w:t>
      </w:r>
      <w:r w:rsidR="007875D8" w:rsidRPr="00CF06EE">
        <w:rPr>
          <w:rFonts w:ascii="Arial" w:eastAsia="Times New Roman" w:hAnsi="Arial" w:cs="Arial"/>
          <w:i/>
          <w:iCs/>
          <w:sz w:val="20"/>
          <w:szCs w:val="20"/>
        </w:rPr>
        <w:t>et al.,</w:t>
      </w:r>
      <w:r w:rsidR="007875D8" w:rsidRPr="00CF06EE">
        <w:rPr>
          <w:rFonts w:ascii="Arial" w:eastAsia="Times New Roman" w:hAnsi="Arial" w:cs="Arial"/>
          <w:sz w:val="20"/>
          <w:szCs w:val="20"/>
        </w:rPr>
        <w:t xml:space="preserve"> 2025</w:t>
      </w:r>
      <w:r w:rsidR="007875D8" w:rsidRPr="00CF06EE">
        <w:rPr>
          <w:rFonts w:ascii="Arial" w:eastAsia="Times New Roman" w:hAnsi="Arial" w:cs="Arial"/>
          <w:sz w:val="20"/>
          <w:szCs w:val="20"/>
          <w:lang w:val="en-IN"/>
        </w:rPr>
        <w:t>)</w:t>
      </w:r>
      <w:r w:rsidRPr="00CF06EE">
        <w:rPr>
          <w:rFonts w:ascii="Arial" w:eastAsia="Times New Roman" w:hAnsi="Arial" w:cs="Arial"/>
          <w:sz w:val="20"/>
          <w:szCs w:val="20"/>
          <w:lang w:val="en-IN"/>
        </w:rPr>
        <w:t>.</w:t>
      </w:r>
    </w:p>
    <w:p w14:paraId="4C0101A8" w14:textId="06B8C516" w:rsidR="00363811" w:rsidRPr="00CF06EE" w:rsidRDefault="00363811" w:rsidP="006A3041">
      <w:pPr>
        <w:spacing w:after="0" w:line="240" w:lineRule="auto"/>
        <w:jc w:val="both"/>
        <w:rPr>
          <w:rFonts w:ascii="Arial" w:eastAsia="Times New Roman" w:hAnsi="Arial" w:cs="Arial"/>
          <w:sz w:val="20"/>
          <w:szCs w:val="20"/>
          <w:lang w:val="en-IN"/>
        </w:rPr>
      </w:pPr>
    </w:p>
    <w:p w14:paraId="5DA95675" w14:textId="2BBC2401" w:rsidR="00363811"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8</w:t>
      </w:r>
      <w:r w:rsidR="00363811" w:rsidRPr="00CF06EE">
        <w:rPr>
          <w:rFonts w:ascii="Arial" w:eastAsia="Times New Roman" w:hAnsi="Arial" w:cs="Arial"/>
          <w:b/>
          <w:bCs/>
          <w:sz w:val="22"/>
          <w:szCs w:val="22"/>
          <w:lang w:val="en-IN"/>
        </w:rPr>
        <w:t xml:space="preserve">.3 Antioxidant and Antimicrobial </w:t>
      </w:r>
      <w:proofErr w:type="spellStart"/>
      <w:r w:rsidR="00363811" w:rsidRPr="00CF06EE">
        <w:rPr>
          <w:rFonts w:ascii="Arial" w:eastAsia="Times New Roman" w:hAnsi="Arial" w:cs="Arial"/>
          <w:b/>
          <w:bCs/>
          <w:sz w:val="22"/>
          <w:szCs w:val="22"/>
          <w:lang w:val="en-IN"/>
        </w:rPr>
        <w:t>Defense</w:t>
      </w:r>
      <w:proofErr w:type="spellEnd"/>
      <w:r w:rsidR="00363811" w:rsidRPr="00CF06EE">
        <w:rPr>
          <w:rFonts w:ascii="Arial" w:eastAsia="Times New Roman" w:hAnsi="Arial" w:cs="Arial"/>
          <w:b/>
          <w:bCs/>
          <w:sz w:val="22"/>
          <w:szCs w:val="22"/>
          <w:lang w:val="en-IN"/>
        </w:rPr>
        <w:t xml:space="preserve"> Mechanisms</w:t>
      </w:r>
    </w:p>
    <w:p w14:paraId="4466AAD5" w14:textId="48E76589" w:rsidR="00363811" w:rsidRPr="00CF06EE" w:rsidRDefault="00363811" w:rsidP="006A3041">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lastRenderedPageBreak/>
        <w:t>Postbiotics provide protective antioxidant and antimicrobial functions through bacteriocins, organic acids, and enzyme systems. Bacteriocins disrupt pathogenic microbial membranes, preventing colonization and supporting microbial stability within the gut</w:t>
      </w:r>
      <w:r w:rsidR="00196DAA" w:rsidRPr="00CF06EE">
        <w:rPr>
          <w:rFonts w:ascii="Arial" w:eastAsia="Times New Roman" w:hAnsi="Arial" w:cs="Arial"/>
          <w:sz w:val="20"/>
          <w:szCs w:val="20"/>
          <w:lang w:val="en-IN"/>
        </w:rPr>
        <w:t xml:space="preserve"> (</w:t>
      </w:r>
      <w:r w:rsidR="004B320B" w:rsidRPr="00CF06EE">
        <w:rPr>
          <w:rFonts w:ascii="Arial" w:eastAsia="Times New Roman" w:hAnsi="Arial" w:cs="Arial"/>
          <w:sz w:val="20"/>
          <w:szCs w:val="20"/>
          <w:lang w:val="en-IN"/>
        </w:rPr>
        <w:t xml:space="preserve">Chang </w:t>
      </w:r>
      <w:r w:rsidR="004B320B" w:rsidRPr="00CF06EE">
        <w:rPr>
          <w:rFonts w:ascii="Arial" w:eastAsia="Times New Roman" w:hAnsi="Arial" w:cs="Arial"/>
          <w:i/>
          <w:iCs/>
          <w:sz w:val="20"/>
          <w:szCs w:val="20"/>
          <w:lang w:val="en-IN"/>
        </w:rPr>
        <w:t>et al.,</w:t>
      </w:r>
      <w:r w:rsidR="004B320B" w:rsidRPr="00CF06EE">
        <w:rPr>
          <w:rFonts w:ascii="Arial" w:eastAsia="Times New Roman" w:hAnsi="Arial" w:cs="Arial"/>
          <w:sz w:val="20"/>
          <w:szCs w:val="20"/>
          <w:lang w:val="en-IN"/>
        </w:rPr>
        <w:t xml:space="preserve"> 2021</w:t>
      </w:r>
      <w:r w:rsidR="004B320B" w:rsidRPr="00CF06EE">
        <w:rPr>
          <w:rFonts w:ascii="Arial" w:eastAsia="Times New Roman" w:hAnsi="Arial" w:cs="Arial"/>
          <w:sz w:val="20"/>
          <w:szCs w:val="20"/>
          <w:lang w:val="en-IN"/>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Pr="00CF06EE">
        <w:rPr>
          <w:rFonts w:ascii="Arial" w:eastAsia="Times New Roman" w:hAnsi="Arial" w:cs="Arial"/>
          <w:sz w:val="20"/>
          <w:szCs w:val="20"/>
          <w:lang w:val="en-IN"/>
        </w:rPr>
        <w:t xml:space="preserve">. Organic acids reduce luminal pH, creating an environment </w:t>
      </w:r>
      <w:proofErr w:type="spellStart"/>
      <w:r w:rsidRPr="00CF06EE">
        <w:rPr>
          <w:rFonts w:ascii="Arial" w:eastAsia="Times New Roman" w:hAnsi="Arial" w:cs="Arial"/>
          <w:sz w:val="20"/>
          <w:szCs w:val="20"/>
          <w:lang w:val="en-IN"/>
        </w:rPr>
        <w:t>unfavorable</w:t>
      </w:r>
      <w:proofErr w:type="spellEnd"/>
      <w:r w:rsidRPr="00CF06EE">
        <w:rPr>
          <w:rFonts w:ascii="Arial" w:eastAsia="Times New Roman" w:hAnsi="Arial" w:cs="Arial"/>
          <w:sz w:val="20"/>
          <w:szCs w:val="20"/>
          <w:lang w:val="en-IN"/>
        </w:rPr>
        <w:t xml:space="preserve"> for harmful microorganisms. Additionally, enzymatic antioxidants such as superoxide dismutase and catalase neutralize reactive oxygen species, mitigating oxidative stress associated with inflammation and aging. These combined activities enhance host </w:t>
      </w:r>
      <w:proofErr w:type="spellStart"/>
      <w:r w:rsidRPr="00CF06EE">
        <w:rPr>
          <w:rFonts w:ascii="Arial" w:eastAsia="Times New Roman" w:hAnsi="Arial" w:cs="Arial"/>
          <w:sz w:val="20"/>
          <w:szCs w:val="20"/>
          <w:lang w:val="en-IN"/>
        </w:rPr>
        <w:t>defense</w:t>
      </w:r>
      <w:proofErr w:type="spellEnd"/>
      <w:r w:rsidRPr="00CF06EE">
        <w:rPr>
          <w:rFonts w:ascii="Arial" w:eastAsia="Times New Roman" w:hAnsi="Arial" w:cs="Arial"/>
          <w:sz w:val="20"/>
          <w:szCs w:val="20"/>
          <w:lang w:val="en-IN"/>
        </w:rPr>
        <w:t xml:space="preserve"> mechanisms and contribute to disease prevention</w:t>
      </w:r>
      <w:r w:rsidR="0054777D" w:rsidRPr="00CF06EE">
        <w:rPr>
          <w:rFonts w:ascii="Arial" w:eastAsia="Times New Roman" w:hAnsi="Arial" w:cs="Arial"/>
          <w:sz w:val="20"/>
          <w:szCs w:val="20"/>
          <w:lang w:val="en-IN"/>
        </w:rPr>
        <w:t xml:space="preserve"> (</w:t>
      </w:r>
      <w:r w:rsidR="0054777D" w:rsidRPr="00CF06EE">
        <w:rPr>
          <w:rFonts w:ascii="Arial" w:eastAsia="Times New Roman" w:hAnsi="Arial" w:cs="Arial"/>
          <w:sz w:val="20"/>
          <w:szCs w:val="20"/>
        </w:rPr>
        <w:t>Mafe, A. N et al., 2025)</w:t>
      </w:r>
      <w:r w:rsidRPr="00CF06EE">
        <w:rPr>
          <w:rFonts w:ascii="Arial" w:eastAsia="Times New Roman" w:hAnsi="Arial" w:cs="Arial"/>
          <w:sz w:val="20"/>
          <w:szCs w:val="20"/>
          <w:lang w:val="en-IN"/>
        </w:rPr>
        <w:t>.</w:t>
      </w:r>
    </w:p>
    <w:p w14:paraId="2214E96F" w14:textId="442B1CDD" w:rsidR="00204EEF" w:rsidRPr="00CF06EE" w:rsidRDefault="00204EEF" w:rsidP="006A3041">
      <w:pPr>
        <w:spacing w:after="0" w:line="240" w:lineRule="auto"/>
        <w:jc w:val="both"/>
        <w:rPr>
          <w:rFonts w:ascii="Arial" w:eastAsia="Times New Roman" w:hAnsi="Arial" w:cs="Arial"/>
          <w:sz w:val="20"/>
          <w:szCs w:val="20"/>
          <w:lang w:val="en-IN"/>
        </w:rPr>
      </w:pPr>
      <w:r w:rsidRPr="00CF06EE">
        <w:rPr>
          <w:rFonts w:ascii="Arial" w:eastAsia="Times New Roman" w:hAnsi="Arial" w:cs="Arial"/>
          <w:noProof/>
          <w:sz w:val="20"/>
          <w:szCs w:val="20"/>
          <w:lang w:val="en-IN"/>
        </w:rPr>
        <w:drawing>
          <wp:inline distT="0" distB="0" distL="0" distR="0" wp14:anchorId="720417E0" wp14:editId="2F6FF22A">
            <wp:extent cx="6400800" cy="5174673"/>
            <wp:effectExtent l="0" t="0" r="0" b="6985"/>
            <wp:docPr id="590805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rotWithShape="1">
                    <a:blip r:embed="rId9">
                      <a:extLst>
                        <a:ext uri="{28A0092B-C50C-407E-A947-70E740481C1C}">
                          <a14:useLocalDpi xmlns:a14="http://schemas.microsoft.com/office/drawing/2010/main" val="0"/>
                        </a:ext>
                      </a:extLst>
                    </a:blip>
                    <a:srcRect t="12500" b="6655"/>
                    <a:stretch>
                      <a:fillRect/>
                    </a:stretch>
                  </pic:blipFill>
                  <pic:spPr bwMode="auto">
                    <a:xfrm>
                      <a:off x="0" y="0"/>
                      <a:ext cx="6400800" cy="5174673"/>
                    </a:xfrm>
                    <a:prstGeom prst="rect">
                      <a:avLst/>
                    </a:prstGeom>
                    <a:noFill/>
                    <a:ln>
                      <a:noFill/>
                    </a:ln>
                    <a:extLst>
                      <a:ext uri="{53640926-AAD7-44D8-BBD7-CCE9431645EC}">
                        <a14:shadowObscured xmlns:a14="http://schemas.microsoft.com/office/drawing/2010/main"/>
                      </a:ext>
                    </a:extLst>
                  </pic:spPr>
                </pic:pic>
              </a:graphicData>
            </a:graphic>
          </wp:inline>
        </w:drawing>
      </w:r>
    </w:p>
    <w:p w14:paraId="5492922A" w14:textId="717BBBF9" w:rsidR="008641AD" w:rsidRPr="00CF06EE" w:rsidRDefault="008641AD" w:rsidP="009E32B0">
      <w:pPr>
        <w:spacing w:after="0" w:line="240" w:lineRule="auto"/>
        <w:jc w:val="center"/>
        <w:rPr>
          <w:rFonts w:ascii="Arial" w:eastAsia="Times New Roman" w:hAnsi="Arial" w:cs="Arial"/>
          <w:b/>
          <w:bCs/>
          <w:sz w:val="20"/>
          <w:szCs w:val="20"/>
          <w:lang w:val="en-IN"/>
        </w:rPr>
      </w:pPr>
      <w:r w:rsidRPr="00CF06EE">
        <w:rPr>
          <w:rFonts w:ascii="Arial" w:eastAsia="Times New Roman" w:hAnsi="Arial" w:cs="Arial"/>
          <w:b/>
          <w:bCs/>
          <w:sz w:val="20"/>
          <w:szCs w:val="20"/>
          <w:lang w:val="en-IN"/>
        </w:rPr>
        <w:t>Figure 2. Mechanism of action and biological basis of postbiotics</w:t>
      </w:r>
    </w:p>
    <w:p w14:paraId="3B7F3ED7" w14:textId="15FE4401" w:rsidR="008641AD" w:rsidRPr="00CF06EE" w:rsidRDefault="008641AD" w:rsidP="006A3041">
      <w:pPr>
        <w:spacing w:after="0" w:line="240" w:lineRule="auto"/>
        <w:jc w:val="both"/>
        <w:rPr>
          <w:rFonts w:ascii="Arial" w:eastAsia="Times New Roman" w:hAnsi="Arial" w:cs="Arial"/>
          <w:sz w:val="20"/>
          <w:szCs w:val="20"/>
          <w:lang w:val="en-IN"/>
        </w:rPr>
      </w:pPr>
    </w:p>
    <w:p w14:paraId="76F352A8" w14:textId="75213BBF" w:rsidR="00363811"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8</w:t>
      </w:r>
      <w:r w:rsidR="00363811" w:rsidRPr="00CF06EE">
        <w:rPr>
          <w:rFonts w:ascii="Arial" w:eastAsia="Times New Roman" w:hAnsi="Arial" w:cs="Arial"/>
          <w:b/>
          <w:bCs/>
          <w:sz w:val="22"/>
          <w:szCs w:val="22"/>
          <w:lang w:val="en-IN"/>
        </w:rPr>
        <w:t xml:space="preserve">.4 Modulation of Cellular </w:t>
      </w:r>
      <w:proofErr w:type="spellStart"/>
      <w:r w:rsidR="00363811" w:rsidRPr="00CF06EE">
        <w:rPr>
          <w:rFonts w:ascii="Arial" w:eastAsia="Times New Roman" w:hAnsi="Arial" w:cs="Arial"/>
          <w:b/>
          <w:bCs/>
          <w:sz w:val="22"/>
          <w:szCs w:val="22"/>
          <w:lang w:val="en-IN"/>
        </w:rPr>
        <w:t>Signaling</w:t>
      </w:r>
      <w:proofErr w:type="spellEnd"/>
      <w:r w:rsidR="00363811" w:rsidRPr="00CF06EE">
        <w:rPr>
          <w:rFonts w:ascii="Arial" w:eastAsia="Times New Roman" w:hAnsi="Arial" w:cs="Arial"/>
          <w:b/>
          <w:bCs/>
          <w:sz w:val="22"/>
          <w:szCs w:val="22"/>
          <w:lang w:val="en-IN"/>
        </w:rPr>
        <w:t xml:space="preserve"> Pathways</w:t>
      </w:r>
    </w:p>
    <w:p w14:paraId="6FB6F9B4" w14:textId="573F8BF4" w:rsidR="00363811" w:rsidRPr="00CF06EE" w:rsidRDefault="00363811" w:rsidP="009E32B0">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Postbiotic components interact with multiple intracellular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networks that regulate inflammation, metabolism, and cellular survival. Activation of G-protein-coupled receptors (e.g., FFA2 and FFA3) by SCFAs induces anti-inflammatory responses, while inhibition of NF-</w:t>
      </w:r>
      <w:proofErr w:type="spellStart"/>
      <w:r w:rsidRPr="00CF06EE">
        <w:rPr>
          <w:rFonts w:ascii="Arial" w:eastAsia="Times New Roman" w:hAnsi="Arial" w:cs="Arial"/>
          <w:sz w:val="20"/>
          <w:szCs w:val="20"/>
          <w:lang w:val="en-IN"/>
        </w:rPr>
        <w:t>κB</w:t>
      </w:r>
      <w:proofErr w:type="spellEnd"/>
      <w:r w:rsidRPr="00CF06EE">
        <w:rPr>
          <w:rFonts w:ascii="Arial" w:eastAsia="Times New Roman" w:hAnsi="Arial" w:cs="Arial"/>
          <w:sz w:val="20"/>
          <w:szCs w:val="20"/>
          <w:lang w:val="en-IN"/>
        </w:rPr>
        <w:t xml:space="preserve">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reduces transcription of inflammatory cytokines such as TNF-α and IL-6. Furthermore, modulation of MAPK pathways influences cellular differentiation and stress responses, promoting tissue repair and physiological balance. Activation of antioxidant regulatory systems, including the Nrf2 pathway, enhances expression of detoxifying enzymes and supports cellular resilience against oxidative damage</w:t>
      </w:r>
      <w:r w:rsidR="0054777D" w:rsidRPr="00CF06EE">
        <w:rPr>
          <w:rFonts w:ascii="Arial" w:eastAsia="Times New Roman" w:hAnsi="Arial" w:cs="Arial"/>
          <w:sz w:val="20"/>
          <w:szCs w:val="20"/>
          <w:lang w:val="en-IN"/>
        </w:rPr>
        <w:t xml:space="preserve"> (</w:t>
      </w:r>
      <w:r w:rsidR="0054777D" w:rsidRPr="00CF06EE">
        <w:rPr>
          <w:rFonts w:ascii="Arial" w:eastAsia="Times New Roman" w:hAnsi="Arial" w:cs="Arial"/>
          <w:sz w:val="20"/>
          <w:szCs w:val="20"/>
        </w:rPr>
        <w:t>Mafe, A. N et al., 2025)</w:t>
      </w:r>
      <w:r w:rsidRPr="00CF06EE">
        <w:rPr>
          <w:rFonts w:ascii="Arial" w:eastAsia="Times New Roman" w:hAnsi="Arial" w:cs="Arial"/>
          <w:sz w:val="20"/>
          <w:szCs w:val="20"/>
          <w:lang w:val="en-IN"/>
        </w:rPr>
        <w:t>.</w:t>
      </w:r>
    </w:p>
    <w:p w14:paraId="3940066E" w14:textId="77777777" w:rsidR="009E32B0" w:rsidRPr="00CF06EE" w:rsidRDefault="009E32B0" w:rsidP="006A3041">
      <w:pPr>
        <w:spacing w:after="0" w:line="240" w:lineRule="auto"/>
        <w:jc w:val="both"/>
        <w:rPr>
          <w:rFonts w:ascii="Arial" w:eastAsia="Times New Roman" w:hAnsi="Arial" w:cs="Arial"/>
          <w:sz w:val="20"/>
          <w:szCs w:val="20"/>
          <w:lang w:val="en-IN"/>
        </w:rPr>
      </w:pPr>
    </w:p>
    <w:p w14:paraId="79DB9D72" w14:textId="2A409717" w:rsidR="00363811"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8</w:t>
      </w:r>
      <w:r w:rsidR="00363811" w:rsidRPr="00CF06EE">
        <w:rPr>
          <w:rFonts w:ascii="Arial" w:eastAsia="Times New Roman" w:hAnsi="Arial" w:cs="Arial"/>
          <w:b/>
          <w:bCs/>
          <w:sz w:val="22"/>
          <w:szCs w:val="22"/>
          <w:lang w:val="en-IN"/>
        </w:rPr>
        <w:t>.5 Gut–Brain and Gut–Liver Axis Communication</w:t>
      </w:r>
    </w:p>
    <w:p w14:paraId="79342655" w14:textId="383F9EBF" w:rsidR="00363811" w:rsidRPr="00CF06EE" w:rsidRDefault="00363811" w:rsidP="009E32B0">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Beyond local gastrointestinal effects, postbiotics contribute to </w:t>
      </w:r>
      <w:r w:rsidR="005B539C" w:rsidRPr="00CF06EE">
        <w:rPr>
          <w:rFonts w:ascii="Arial" w:eastAsia="Times New Roman" w:hAnsi="Arial" w:cs="Arial"/>
          <w:sz w:val="20"/>
          <w:szCs w:val="20"/>
          <w:lang w:val="en-IN"/>
        </w:rPr>
        <w:t>me</w:t>
      </w:r>
      <w:r w:rsidRPr="00CF06EE">
        <w:rPr>
          <w:rFonts w:ascii="Arial" w:eastAsia="Times New Roman" w:hAnsi="Arial" w:cs="Arial"/>
          <w:sz w:val="20"/>
          <w:szCs w:val="20"/>
          <w:lang w:val="en-IN"/>
        </w:rPr>
        <w:t xml:space="preserve"> physiological regulation through inter-organ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networks. SCFAs interact with enteric neurons and activate vagal pathways, influencing mood regulation, cognition, and neuroprotection within the gut–brain axis. Simultaneously, postbiotics modulate bile acid metabolism and </w:t>
      </w:r>
      <w:r w:rsidRPr="00CF06EE">
        <w:rPr>
          <w:rFonts w:ascii="Arial" w:eastAsia="Times New Roman" w:hAnsi="Arial" w:cs="Arial"/>
          <w:sz w:val="20"/>
          <w:szCs w:val="20"/>
          <w:lang w:val="en-IN"/>
        </w:rPr>
        <w:lastRenderedPageBreak/>
        <w:t xml:space="preserve">immune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within the gut–liver axis, supporting metabolic homeostasis and hepatic detoxification processes. These interactions demonstrate the ability of postbiotic metabolites to act as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xml:space="preserve"> mediators linking microbial activity to systemic health outcomes</w:t>
      </w:r>
      <w:r w:rsidR="0054777D" w:rsidRPr="00CF06EE">
        <w:rPr>
          <w:rFonts w:ascii="Arial" w:eastAsia="Times New Roman" w:hAnsi="Arial" w:cs="Arial"/>
          <w:sz w:val="20"/>
          <w:szCs w:val="20"/>
          <w:lang w:val="en-IN"/>
        </w:rPr>
        <w:t xml:space="preserve"> (</w:t>
      </w:r>
      <w:r w:rsidR="0054777D" w:rsidRPr="00CF06EE">
        <w:rPr>
          <w:rFonts w:ascii="Arial" w:eastAsia="Times New Roman" w:hAnsi="Arial" w:cs="Arial"/>
          <w:sz w:val="20"/>
          <w:szCs w:val="20"/>
        </w:rPr>
        <w:t>Mafe, A. N et al., 2025)</w:t>
      </w:r>
      <w:r w:rsidRPr="00CF06EE">
        <w:rPr>
          <w:rFonts w:ascii="Arial" w:eastAsia="Times New Roman" w:hAnsi="Arial" w:cs="Arial"/>
          <w:sz w:val="20"/>
          <w:szCs w:val="20"/>
          <w:lang w:val="en-IN"/>
        </w:rPr>
        <w:t>.</w:t>
      </w:r>
    </w:p>
    <w:p w14:paraId="27B32922" w14:textId="77777777" w:rsidR="009E32B0" w:rsidRPr="00CF06EE" w:rsidRDefault="009E32B0" w:rsidP="009E32B0">
      <w:pPr>
        <w:spacing w:after="0" w:line="240" w:lineRule="auto"/>
        <w:ind w:firstLine="720"/>
        <w:jc w:val="both"/>
        <w:rPr>
          <w:rFonts w:ascii="Arial" w:eastAsia="Times New Roman" w:hAnsi="Arial" w:cs="Arial"/>
          <w:sz w:val="20"/>
          <w:szCs w:val="20"/>
          <w:lang w:val="en-IN"/>
        </w:rPr>
      </w:pPr>
    </w:p>
    <w:p w14:paraId="4697977C" w14:textId="5BE1CFBB" w:rsidR="00363811" w:rsidRPr="00CF06EE" w:rsidRDefault="00F22CA2" w:rsidP="006A3041">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8</w:t>
      </w:r>
      <w:r w:rsidR="00363811" w:rsidRPr="00CF06EE">
        <w:rPr>
          <w:rFonts w:ascii="Arial" w:eastAsia="Times New Roman" w:hAnsi="Arial" w:cs="Arial"/>
          <w:b/>
          <w:bCs/>
          <w:sz w:val="22"/>
          <w:szCs w:val="22"/>
          <w:lang w:val="en-IN"/>
        </w:rPr>
        <w:t>.6 Variability, Host Factors and Precision Postbiotic Approaches</w:t>
      </w:r>
    </w:p>
    <w:p w14:paraId="409B3D39" w14:textId="2C4F0EB6" w:rsidR="00363811" w:rsidRPr="00CF06EE" w:rsidRDefault="00363811" w:rsidP="009E32B0">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 xml:space="preserve">The biological effects of postbiotics vary depending on microbial strain origin, fermentation conditions, and host-specific factors such as genetics, diet, and health status. This variability highlights the importance of personalized approaches in postbiotic therapy. Emerging advances in synthetic biology and microbial engineering are enabling the development of precision postbiotics designed to target specific pathways, including bile acid </w:t>
      </w:r>
      <w:proofErr w:type="spellStart"/>
      <w:r w:rsidRPr="00CF06EE">
        <w:rPr>
          <w:rFonts w:ascii="Arial" w:eastAsia="Times New Roman" w:hAnsi="Arial" w:cs="Arial"/>
          <w:sz w:val="20"/>
          <w:szCs w:val="20"/>
          <w:lang w:val="en-IN"/>
        </w:rPr>
        <w:t>signaling</w:t>
      </w:r>
      <w:proofErr w:type="spellEnd"/>
      <w:r w:rsidRPr="00CF06EE">
        <w:rPr>
          <w:rFonts w:ascii="Arial" w:eastAsia="Times New Roman" w:hAnsi="Arial" w:cs="Arial"/>
          <w:sz w:val="20"/>
          <w:szCs w:val="20"/>
          <w:lang w:val="en-IN"/>
        </w:rPr>
        <w:t>, Toll-like receptor modulation, and cytokine regulation. Engineered delivery systems and CRISPR-based microbial platforms offer promising strategies for producing tailored postbiotic formulations with enhanced therapeutic specificity</w:t>
      </w:r>
      <w:r w:rsidR="0054777D" w:rsidRPr="00CF06EE">
        <w:rPr>
          <w:rFonts w:ascii="Arial" w:eastAsia="Times New Roman" w:hAnsi="Arial" w:cs="Arial"/>
          <w:sz w:val="20"/>
          <w:szCs w:val="20"/>
          <w:lang w:val="en-IN"/>
        </w:rPr>
        <w:t xml:space="preserve"> (</w:t>
      </w:r>
      <w:r w:rsidR="0054777D" w:rsidRPr="00CF06EE">
        <w:rPr>
          <w:rFonts w:ascii="Arial" w:eastAsia="Times New Roman" w:hAnsi="Arial" w:cs="Arial"/>
          <w:sz w:val="20"/>
          <w:szCs w:val="20"/>
        </w:rPr>
        <w:t>Mafe, A. N et al., 2025)</w:t>
      </w:r>
      <w:r w:rsidRPr="00CF06EE">
        <w:rPr>
          <w:rFonts w:ascii="Arial" w:eastAsia="Times New Roman" w:hAnsi="Arial" w:cs="Arial"/>
          <w:sz w:val="20"/>
          <w:szCs w:val="20"/>
          <w:lang w:val="en-IN"/>
        </w:rPr>
        <w:t>.</w:t>
      </w:r>
    </w:p>
    <w:p w14:paraId="656AC5D9" w14:textId="2D391A95" w:rsidR="5E3EC52B" w:rsidRPr="00CF06EE" w:rsidRDefault="5E3EC52B" w:rsidP="006A3041">
      <w:pPr>
        <w:spacing w:after="0" w:line="240" w:lineRule="auto"/>
        <w:ind w:right="50"/>
        <w:jc w:val="both"/>
        <w:rPr>
          <w:rFonts w:ascii="Arial" w:hAnsi="Arial" w:cs="Arial"/>
          <w:sz w:val="20"/>
          <w:szCs w:val="20"/>
        </w:rPr>
      </w:pPr>
    </w:p>
    <w:p w14:paraId="7C8B9F68" w14:textId="54CBECA5" w:rsidR="009E32B0" w:rsidRPr="00CF06EE" w:rsidRDefault="00F22CA2" w:rsidP="006A3041">
      <w:pPr>
        <w:spacing w:after="0" w:line="240" w:lineRule="auto"/>
        <w:ind w:right="50"/>
        <w:jc w:val="both"/>
        <w:rPr>
          <w:rFonts w:ascii="Arial" w:hAnsi="Arial" w:cs="Arial"/>
          <w:b/>
          <w:bCs/>
          <w:sz w:val="22"/>
          <w:szCs w:val="22"/>
        </w:rPr>
      </w:pPr>
      <w:r w:rsidRPr="00CF06EE">
        <w:rPr>
          <w:rFonts w:ascii="Arial" w:hAnsi="Arial" w:cs="Arial"/>
          <w:b/>
          <w:bCs/>
          <w:sz w:val="22"/>
          <w:szCs w:val="22"/>
          <w:lang w:val="en-IN"/>
        </w:rPr>
        <w:t>9</w:t>
      </w:r>
      <w:r w:rsidR="0096696C" w:rsidRPr="00CF06EE">
        <w:rPr>
          <w:rFonts w:ascii="Arial" w:hAnsi="Arial" w:cs="Arial"/>
          <w:b/>
          <w:bCs/>
          <w:sz w:val="22"/>
          <w:szCs w:val="22"/>
          <w:lang w:val="en-IN"/>
        </w:rPr>
        <w:t xml:space="preserve">. </w:t>
      </w:r>
      <w:r w:rsidR="006C0E2C" w:rsidRPr="00CF06EE">
        <w:rPr>
          <w:rFonts w:ascii="Arial" w:hAnsi="Arial" w:cs="Arial"/>
          <w:b/>
          <w:bCs/>
          <w:sz w:val="22"/>
          <w:szCs w:val="22"/>
        </w:rPr>
        <w:t xml:space="preserve">ANTIMICROBIAL </w:t>
      </w:r>
      <w:r w:rsidR="007150F8" w:rsidRPr="00CF06EE">
        <w:rPr>
          <w:rFonts w:ascii="Arial" w:hAnsi="Arial" w:cs="Arial"/>
          <w:b/>
          <w:bCs/>
          <w:sz w:val="22"/>
          <w:szCs w:val="22"/>
        </w:rPr>
        <w:t xml:space="preserve">AND </w:t>
      </w:r>
      <w:r w:rsidR="007150F8" w:rsidRPr="00CF06EE">
        <w:rPr>
          <w:rFonts w:ascii="Arial" w:hAnsi="Arial" w:cs="Arial"/>
          <w:b/>
          <w:bCs/>
          <w:sz w:val="22"/>
          <w:szCs w:val="22"/>
        </w:rPr>
        <w:t xml:space="preserve">THERAPEUTIC </w:t>
      </w:r>
      <w:r w:rsidR="006C0E2C" w:rsidRPr="00CF06EE">
        <w:rPr>
          <w:rFonts w:ascii="Arial" w:hAnsi="Arial" w:cs="Arial"/>
          <w:b/>
          <w:bCs/>
          <w:sz w:val="22"/>
          <w:szCs w:val="22"/>
        </w:rPr>
        <w:t>APPLICATIONS OF POSTBIOTICS</w:t>
      </w:r>
    </w:p>
    <w:p w14:paraId="4E35906C" w14:textId="77777777" w:rsidR="006C0E2C" w:rsidRPr="00CF06EE" w:rsidRDefault="006C0E2C" w:rsidP="006A3041">
      <w:pPr>
        <w:spacing w:after="0" w:line="240" w:lineRule="auto"/>
        <w:ind w:right="50"/>
        <w:jc w:val="both"/>
        <w:rPr>
          <w:rFonts w:ascii="Arial" w:hAnsi="Arial" w:cs="Arial"/>
          <w:b/>
          <w:bCs/>
          <w:sz w:val="22"/>
          <w:szCs w:val="22"/>
          <w:lang w:val="en-IN"/>
        </w:rPr>
      </w:pPr>
    </w:p>
    <w:p w14:paraId="5FA966BA" w14:textId="42011D06"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.1 Immune Modulation and Allergy Management</w:t>
      </w:r>
    </w:p>
    <w:p w14:paraId="00D6D0C8" w14:textId="03E56B27" w:rsidR="0096696C" w:rsidRPr="00CF06EE" w:rsidRDefault="0096696C" w:rsidP="009E32B0">
      <w:pPr>
        <w:spacing w:after="0" w:line="240" w:lineRule="auto"/>
        <w:ind w:right="50" w:firstLine="720"/>
        <w:jc w:val="both"/>
        <w:rPr>
          <w:rFonts w:ascii="Arial" w:hAnsi="Arial" w:cs="Arial"/>
          <w:sz w:val="20"/>
          <w:szCs w:val="20"/>
          <w:lang w:val="en-IN"/>
        </w:rPr>
      </w:pPr>
      <w:r w:rsidRPr="00CF06EE">
        <w:rPr>
          <w:rFonts w:ascii="Arial" w:hAnsi="Arial" w:cs="Arial"/>
          <w:sz w:val="20"/>
          <w:szCs w:val="20"/>
          <w:lang w:val="en-IN"/>
        </w:rPr>
        <w:t xml:space="preserve">Postbiotics play an important role in regulating immune responses by influencing cytokine </w:t>
      </w:r>
      <w:proofErr w:type="spellStart"/>
      <w:r w:rsidRPr="00CF06EE">
        <w:rPr>
          <w:rFonts w:ascii="Arial" w:hAnsi="Arial" w:cs="Arial"/>
          <w:sz w:val="20"/>
          <w:szCs w:val="20"/>
          <w:lang w:val="en-IN"/>
        </w:rPr>
        <w:t>signaling</w:t>
      </w:r>
      <w:proofErr w:type="spellEnd"/>
      <w:r w:rsidRPr="00CF06EE">
        <w:rPr>
          <w:rFonts w:ascii="Arial" w:hAnsi="Arial" w:cs="Arial"/>
          <w:sz w:val="20"/>
          <w:szCs w:val="20"/>
          <w:lang w:val="en-IN"/>
        </w:rPr>
        <w:t xml:space="preserve"> and maintaining the balance between Th1 and Th2 pathways. Their bioactive components may help reduce hypersensitivity reactions and support immune equilibrium in allergic and autoimmune conditions</w:t>
      </w:r>
      <w:r w:rsidR="00196DAA" w:rsidRPr="00CF06EE">
        <w:rPr>
          <w:rFonts w:ascii="Arial" w:hAnsi="Arial" w:cs="Arial"/>
          <w:sz w:val="20"/>
          <w:szCs w:val="20"/>
          <w:lang w:val="en-IN"/>
        </w:rPr>
        <w:t xml:space="preserve"> </w:t>
      </w:r>
      <w:r w:rsidR="00196DAA" w:rsidRPr="00CF06EE">
        <w:rPr>
          <w:rFonts w:ascii="Arial" w:eastAsia="Times New Roman" w:hAnsi="Arial" w:cs="Arial"/>
          <w:sz w:val="20"/>
          <w:szCs w:val="20"/>
          <w:lang w:val="en-IN"/>
        </w:rPr>
        <w:t>(</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Pr="00CF06EE">
        <w:rPr>
          <w:rFonts w:ascii="Arial" w:hAnsi="Arial" w:cs="Arial"/>
          <w:sz w:val="20"/>
          <w:szCs w:val="20"/>
          <w:lang w:val="en-IN"/>
        </w:rPr>
        <w:t>. Emerging evidence suggests their potential use as supportive agents in inflammatory bowel disorders and immune dysregulation</w:t>
      </w:r>
      <w:r w:rsidR="0084133B" w:rsidRPr="00CF06EE">
        <w:rPr>
          <w:rFonts w:ascii="Arial" w:hAnsi="Arial" w:cs="Arial"/>
          <w:sz w:val="20"/>
          <w:szCs w:val="20"/>
          <w:lang w:val="en-IN"/>
        </w:rPr>
        <w:t xml:space="preserve"> </w:t>
      </w:r>
      <w:r w:rsidR="0084133B" w:rsidRPr="00CF06EE">
        <w:rPr>
          <w:rFonts w:ascii="Arial" w:eastAsia="Times New Roman" w:hAnsi="Arial" w:cs="Arial"/>
          <w:sz w:val="20"/>
          <w:szCs w:val="20"/>
          <w:lang w:val="en-IN"/>
        </w:rPr>
        <w:t>(</w:t>
      </w:r>
      <w:r w:rsidR="0084133B" w:rsidRPr="00CF06EE">
        <w:rPr>
          <w:rFonts w:ascii="Arial" w:eastAsia="Times New Roman" w:hAnsi="Arial" w:cs="Arial"/>
          <w:sz w:val="20"/>
          <w:szCs w:val="20"/>
        </w:rPr>
        <w:t>Mafe, A. N et al., 2025</w:t>
      </w:r>
      <w:r w:rsidR="005B539C" w:rsidRPr="00CF06EE">
        <w:rPr>
          <w:rFonts w:ascii="Arial" w:eastAsia="Times New Roman" w:hAnsi="Arial" w:cs="Arial"/>
          <w:sz w:val="20"/>
          <w:szCs w:val="20"/>
        </w:rPr>
        <w:t xml:space="preserve">; </w:t>
      </w:r>
      <w:proofErr w:type="spellStart"/>
      <w:r w:rsidR="005B539C" w:rsidRPr="00CF06EE">
        <w:rPr>
          <w:rFonts w:ascii="Arial" w:eastAsia="Times New Roman" w:hAnsi="Arial" w:cs="Arial"/>
          <w:sz w:val="20"/>
          <w:szCs w:val="20"/>
          <w:lang w:val="en-IN"/>
        </w:rPr>
        <w:t>Chikindas</w:t>
      </w:r>
      <w:proofErr w:type="spellEnd"/>
      <w:r w:rsidR="005B539C" w:rsidRPr="00CF06EE">
        <w:rPr>
          <w:rFonts w:ascii="Arial" w:eastAsia="Times New Roman" w:hAnsi="Arial" w:cs="Arial"/>
          <w:sz w:val="20"/>
          <w:szCs w:val="20"/>
          <w:lang w:val="en-IN"/>
        </w:rPr>
        <w:t xml:space="preserve">, M. L </w:t>
      </w:r>
      <w:r w:rsidR="005B539C" w:rsidRPr="00CF06EE">
        <w:rPr>
          <w:rFonts w:ascii="Arial" w:eastAsia="Times New Roman" w:hAnsi="Arial" w:cs="Arial"/>
          <w:i/>
          <w:iCs/>
          <w:sz w:val="20"/>
          <w:szCs w:val="20"/>
          <w:lang w:val="en-IN"/>
        </w:rPr>
        <w:t>et al.,</w:t>
      </w:r>
      <w:r w:rsidR="005B539C" w:rsidRPr="00CF06EE">
        <w:rPr>
          <w:rFonts w:ascii="Arial" w:eastAsia="Times New Roman" w:hAnsi="Arial" w:cs="Arial"/>
          <w:sz w:val="20"/>
          <w:szCs w:val="20"/>
          <w:lang w:val="en-IN"/>
        </w:rPr>
        <w:t xml:space="preserve"> 2025b</w:t>
      </w:r>
      <w:r w:rsidR="0084133B" w:rsidRPr="00CF06EE">
        <w:rPr>
          <w:rFonts w:ascii="Arial" w:eastAsia="Times New Roman" w:hAnsi="Arial" w:cs="Arial"/>
          <w:sz w:val="20"/>
          <w:szCs w:val="20"/>
        </w:rPr>
        <w:t>)</w:t>
      </w:r>
      <w:r w:rsidRPr="00CF06EE">
        <w:rPr>
          <w:rFonts w:ascii="Arial" w:hAnsi="Arial" w:cs="Arial"/>
          <w:sz w:val="20"/>
          <w:szCs w:val="20"/>
          <w:lang w:val="en-IN"/>
        </w:rPr>
        <w:t>.</w:t>
      </w:r>
    </w:p>
    <w:p w14:paraId="7AB983DC" w14:textId="77777777" w:rsidR="00E96633" w:rsidRPr="00CF06EE" w:rsidRDefault="00E96633" w:rsidP="006A3041">
      <w:pPr>
        <w:spacing w:after="0" w:line="240" w:lineRule="auto"/>
        <w:ind w:right="50"/>
        <w:jc w:val="both"/>
        <w:rPr>
          <w:rFonts w:ascii="Arial" w:hAnsi="Arial" w:cs="Arial"/>
          <w:sz w:val="20"/>
          <w:szCs w:val="20"/>
          <w:lang w:val="en-IN"/>
        </w:rPr>
      </w:pPr>
    </w:p>
    <w:p w14:paraId="3C6857A6" w14:textId="41DAD63B"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.2 Periodontal and Oral Health</w:t>
      </w:r>
    </w:p>
    <w:p w14:paraId="09F75D77" w14:textId="581F4832" w:rsidR="0096696C" w:rsidRPr="00CF06EE" w:rsidRDefault="0096696C" w:rsidP="009E32B0">
      <w:pPr>
        <w:spacing w:after="0" w:line="240" w:lineRule="auto"/>
        <w:ind w:right="50" w:firstLine="720"/>
        <w:jc w:val="both"/>
        <w:rPr>
          <w:rFonts w:ascii="Arial" w:hAnsi="Arial" w:cs="Arial"/>
          <w:sz w:val="20"/>
          <w:szCs w:val="20"/>
          <w:lang w:val="en-IN"/>
        </w:rPr>
      </w:pPr>
      <w:r w:rsidRPr="00CF06EE">
        <w:rPr>
          <w:rFonts w:ascii="Arial" w:hAnsi="Arial" w:cs="Arial"/>
          <w:sz w:val="20"/>
          <w:szCs w:val="20"/>
          <w:lang w:val="en-IN"/>
        </w:rPr>
        <w:t>In oral healthcare, postbiotic metabolites exhibit antimicrobial properties that inhibit pathogenic biofilm formation and strengthen mucosal barriers. These effects contribute to reduced plaque accumulation, improved periodontal stability, and decreased oral inflammation, highlighting their potential in preventive dental formulations</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r w:rsidRPr="00CF06EE">
        <w:rPr>
          <w:rFonts w:ascii="Arial" w:hAnsi="Arial" w:cs="Arial"/>
          <w:sz w:val="20"/>
          <w:szCs w:val="20"/>
          <w:lang w:val="en-IN"/>
        </w:rPr>
        <w:t>.</w:t>
      </w:r>
    </w:p>
    <w:p w14:paraId="58E5B38C" w14:textId="77777777" w:rsidR="00E96633" w:rsidRPr="00CF06EE" w:rsidRDefault="00E96633" w:rsidP="006A3041">
      <w:pPr>
        <w:spacing w:after="0" w:line="240" w:lineRule="auto"/>
        <w:ind w:right="50"/>
        <w:jc w:val="both"/>
        <w:rPr>
          <w:rFonts w:ascii="Arial" w:hAnsi="Arial" w:cs="Arial"/>
          <w:sz w:val="20"/>
          <w:szCs w:val="20"/>
          <w:lang w:val="en-IN"/>
        </w:rPr>
      </w:pPr>
    </w:p>
    <w:p w14:paraId="5305A1CA" w14:textId="17C1311B"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 xml:space="preserve">.3 Gastrointestinal Health and </w:t>
      </w:r>
      <w:proofErr w:type="spellStart"/>
      <w:r w:rsidR="0096696C" w:rsidRPr="00CF06EE">
        <w:rPr>
          <w:rFonts w:ascii="Arial" w:hAnsi="Arial" w:cs="Arial"/>
          <w:b/>
          <w:bCs/>
          <w:sz w:val="22"/>
          <w:szCs w:val="22"/>
          <w:lang w:val="en-IN"/>
        </w:rPr>
        <w:t>Diarrhea</w:t>
      </w:r>
      <w:proofErr w:type="spellEnd"/>
      <w:r w:rsidR="0096696C" w:rsidRPr="00CF06EE">
        <w:rPr>
          <w:rFonts w:ascii="Arial" w:hAnsi="Arial" w:cs="Arial"/>
          <w:b/>
          <w:bCs/>
          <w:sz w:val="22"/>
          <w:szCs w:val="22"/>
          <w:lang w:val="en-IN"/>
        </w:rPr>
        <w:t xml:space="preserve"> Prevention</w:t>
      </w:r>
    </w:p>
    <w:p w14:paraId="6CA639F6" w14:textId="08AFA6A3" w:rsidR="00E96633" w:rsidRPr="00CF06EE" w:rsidRDefault="0096696C" w:rsidP="00D14640">
      <w:pPr>
        <w:spacing w:after="0" w:line="240" w:lineRule="auto"/>
        <w:ind w:right="50" w:firstLine="720"/>
        <w:jc w:val="both"/>
        <w:rPr>
          <w:rFonts w:ascii="Arial" w:eastAsia="Times New Roman" w:hAnsi="Arial" w:cs="Arial"/>
          <w:sz w:val="20"/>
          <w:szCs w:val="20"/>
          <w:lang w:val="en-IN"/>
        </w:rPr>
      </w:pPr>
      <w:r w:rsidRPr="00CF06EE">
        <w:rPr>
          <w:rFonts w:ascii="Arial" w:hAnsi="Arial" w:cs="Arial"/>
          <w:sz w:val="20"/>
          <w:szCs w:val="20"/>
          <w:lang w:val="en-IN"/>
        </w:rPr>
        <w:t>Postbiotics contribute to gut health by enhancing short-chain fatty acid production, reinforcing epithelial integrity, and restoring microbial balance</w:t>
      </w:r>
      <w:r w:rsidR="00ED29B8" w:rsidRPr="00CF06EE">
        <w:rPr>
          <w:rFonts w:ascii="Arial" w:hAnsi="Arial" w:cs="Arial"/>
          <w:sz w:val="20"/>
          <w:szCs w:val="20"/>
          <w:lang w:val="en-IN"/>
        </w:rPr>
        <w:t xml:space="preserve"> (</w:t>
      </w:r>
      <w:r w:rsidR="00ED29B8" w:rsidRPr="00CF06EE">
        <w:rPr>
          <w:rFonts w:ascii="Arial" w:eastAsia="Times New Roman" w:hAnsi="Arial" w:cs="Arial"/>
          <w:sz w:val="20"/>
          <w:szCs w:val="20"/>
        </w:rPr>
        <w:t xml:space="preserve">Aggarwal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2022</w:t>
      </w:r>
      <w:r w:rsidR="00ED29B8" w:rsidRPr="00CF06EE">
        <w:rPr>
          <w:rFonts w:ascii="Arial" w:eastAsia="Times New Roman" w:hAnsi="Arial" w:cs="Arial"/>
          <w:sz w:val="20"/>
          <w:szCs w:val="20"/>
        </w:rPr>
        <w:t>)</w:t>
      </w:r>
      <w:r w:rsidRPr="00CF06EE">
        <w:rPr>
          <w:rFonts w:ascii="Arial" w:hAnsi="Arial" w:cs="Arial"/>
          <w:sz w:val="20"/>
          <w:szCs w:val="20"/>
          <w:lang w:val="en-IN"/>
        </w:rPr>
        <w:t xml:space="preserve">. These mechanisms help stabilize intestinal function and may reduce the frequency and severity of </w:t>
      </w:r>
      <w:proofErr w:type="spellStart"/>
      <w:r w:rsidRPr="00CF06EE">
        <w:rPr>
          <w:rFonts w:ascii="Arial" w:hAnsi="Arial" w:cs="Arial"/>
          <w:sz w:val="20"/>
          <w:szCs w:val="20"/>
          <w:lang w:val="en-IN"/>
        </w:rPr>
        <w:t>diarrhea</w:t>
      </w:r>
      <w:proofErr w:type="spellEnd"/>
      <w:r w:rsidRPr="00CF06EE">
        <w:rPr>
          <w:rFonts w:ascii="Arial" w:hAnsi="Arial" w:cs="Arial"/>
          <w:sz w:val="20"/>
          <w:szCs w:val="20"/>
          <w:lang w:val="en-IN"/>
        </w:rPr>
        <w:t xml:space="preserve"> by maintaining a healthy gut environment</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p>
    <w:p w14:paraId="038ADF02" w14:textId="77777777" w:rsidR="009B48DF" w:rsidRPr="00CF06EE" w:rsidRDefault="009B48DF" w:rsidP="00D14640">
      <w:pPr>
        <w:spacing w:after="0" w:line="240" w:lineRule="auto"/>
        <w:ind w:right="50" w:firstLine="720"/>
        <w:jc w:val="both"/>
        <w:rPr>
          <w:rFonts w:ascii="Arial" w:hAnsi="Arial" w:cs="Arial"/>
          <w:sz w:val="20"/>
          <w:szCs w:val="20"/>
          <w:lang w:val="en-IN"/>
        </w:rPr>
      </w:pPr>
    </w:p>
    <w:p w14:paraId="6259F6DF" w14:textId="45F8C072"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.4 Anti-Inflammatory and Chronic Disease Management</w:t>
      </w:r>
    </w:p>
    <w:p w14:paraId="3060BA01" w14:textId="2FB3DBA6" w:rsidR="0096696C" w:rsidRPr="00CF06EE" w:rsidRDefault="0096696C" w:rsidP="009E32B0">
      <w:pPr>
        <w:spacing w:after="0" w:line="240" w:lineRule="auto"/>
        <w:ind w:right="50" w:firstLine="720"/>
        <w:jc w:val="both"/>
        <w:rPr>
          <w:rFonts w:ascii="Arial" w:hAnsi="Arial" w:cs="Arial"/>
          <w:sz w:val="20"/>
          <w:szCs w:val="20"/>
          <w:lang w:val="en-IN"/>
        </w:rPr>
      </w:pPr>
      <w:r w:rsidRPr="00CF06EE">
        <w:rPr>
          <w:rFonts w:ascii="Arial" w:hAnsi="Arial" w:cs="Arial"/>
          <w:sz w:val="20"/>
          <w:szCs w:val="20"/>
          <w:lang w:val="en-IN"/>
        </w:rPr>
        <w:t>Through the regulation of inflammatory mediators and cytokine networks, postbiotics help attenuate systemic inflammation</w:t>
      </w:r>
      <w:r w:rsidR="00196DAA" w:rsidRPr="00CF06EE">
        <w:rPr>
          <w:rFonts w:ascii="Arial" w:hAnsi="Arial" w:cs="Arial"/>
          <w:sz w:val="20"/>
          <w:szCs w:val="20"/>
          <w:lang w:val="en-IN"/>
        </w:rPr>
        <w:t xml:space="preserve"> </w:t>
      </w:r>
      <w:r w:rsidR="00196DAA" w:rsidRPr="00CF06EE">
        <w:rPr>
          <w:rFonts w:ascii="Arial" w:eastAsia="Times New Roman" w:hAnsi="Arial" w:cs="Arial"/>
          <w:sz w:val="20"/>
          <w:szCs w:val="20"/>
          <w:lang w:val="en-IN"/>
        </w:rPr>
        <w:t>(</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005B539C" w:rsidRPr="00CF06EE">
        <w:rPr>
          <w:rFonts w:ascii="Arial" w:eastAsia="Times New Roman" w:hAnsi="Arial" w:cs="Arial"/>
          <w:sz w:val="20"/>
          <w:szCs w:val="20"/>
        </w:rPr>
        <w:t xml:space="preserve">; </w:t>
      </w:r>
      <w:proofErr w:type="spellStart"/>
      <w:r w:rsidR="005B539C" w:rsidRPr="00CF06EE">
        <w:rPr>
          <w:rFonts w:ascii="Arial" w:eastAsia="Times New Roman" w:hAnsi="Arial" w:cs="Arial"/>
          <w:sz w:val="20"/>
          <w:szCs w:val="20"/>
          <w:lang w:val="en-IN"/>
        </w:rPr>
        <w:t>Chikindas</w:t>
      </w:r>
      <w:proofErr w:type="spellEnd"/>
      <w:r w:rsidR="005B539C" w:rsidRPr="00CF06EE">
        <w:rPr>
          <w:rFonts w:ascii="Arial" w:eastAsia="Times New Roman" w:hAnsi="Arial" w:cs="Arial"/>
          <w:sz w:val="20"/>
          <w:szCs w:val="20"/>
          <w:lang w:val="en-IN"/>
        </w:rPr>
        <w:t xml:space="preserve">, M. L </w:t>
      </w:r>
      <w:r w:rsidR="005B539C" w:rsidRPr="00CF06EE">
        <w:rPr>
          <w:rFonts w:ascii="Arial" w:eastAsia="Times New Roman" w:hAnsi="Arial" w:cs="Arial"/>
          <w:i/>
          <w:iCs/>
          <w:sz w:val="20"/>
          <w:szCs w:val="20"/>
          <w:lang w:val="en-IN"/>
        </w:rPr>
        <w:t>et al.,</w:t>
      </w:r>
      <w:r w:rsidR="005B539C" w:rsidRPr="00CF06EE">
        <w:rPr>
          <w:rFonts w:ascii="Arial" w:eastAsia="Times New Roman" w:hAnsi="Arial" w:cs="Arial"/>
          <w:sz w:val="20"/>
          <w:szCs w:val="20"/>
          <w:lang w:val="en-IN"/>
        </w:rPr>
        <w:t xml:space="preserve"> 2025b</w:t>
      </w:r>
      <w:r w:rsidR="00196DAA" w:rsidRPr="00CF06EE">
        <w:rPr>
          <w:rFonts w:ascii="Arial" w:eastAsia="Times New Roman" w:hAnsi="Arial" w:cs="Arial"/>
          <w:sz w:val="20"/>
          <w:szCs w:val="20"/>
        </w:rPr>
        <w:t>)</w:t>
      </w:r>
      <w:r w:rsidRPr="00CF06EE">
        <w:rPr>
          <w:rFonts w:ascii="Arial" w:hAnsi="Arial" w:cs="Arial"/>
          <w:sz w:val="20"/>
          <w:szCs w:val="20"/>
          <w:lang w:val="en-IN"/>
        </w:rPr>
        <w:t xml:space="preserve">. Their modulatory effects on immune </w:t>
      </w:r>
      <w:proofErr w:type="spellStart"/>
      <w:r w:rsidRPr="00CF06EE">
        <w:rPr>
          <w:rFonts w:ascii="Arial" w:hAnsi="Arial" w:cs="Arial"/>
          <w:sz w:val="20"/>
          <w:szCs w:val="20"/>
          <w:lang w:val="en-IN"/>
        </w:rPr>
        <w:t>signaling</w:t>
      </w:r>
      <w:proofErr w:type="spellEnd"/>
      <w:r w:rsidRPr="00CF06EE">
        <w:rPr>
          <w:rFonts w:ascii="Arial" w:hAnsi="Arial" w:cs="Arial"/>
          <w:sz w:val="20"/>
          <w:szCs w:val="20"/>
          <w:lang w:val="en-IN"/>
        </w:rPr>
        <w:t xml:space="preserve"> pathways position them as promising adjuncts in managing chronic inflammatory conditions and metabolic disorders</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w:t>
      </w:r>
      <w:r w:rsidR="00ED29B8" w:rsidRPr="00CF06EE">
        <w:rPr>
          <w:rFonts w:ascii="Arial" w:eastAsia="Times New Roman" w:hAnsi="Arial" w:cs="Arial"/>
          <w:sz w:val="20"/>
          <w:szCs w:val="20"/>
        </w:rPr>
        <w:t xml:space="preserve">Aggarwal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2022</w:t>
      </w:r>
      <w:r w:rsidR="00ED29B8" w:rsidRPr="00CF06EE">
        <w:rPr>
          <w:rFonts w:ascii="Arial" w:eastAsia="Times New Roman" w:hAnsi="Arial" w:cs="Arial"/>
          <w:sz w:val="20"/>
          <w:szCs w:val="20"/>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p>
    <w:p w14:paraId="6E6C9664" w14:textId="77777777" w:rsidR="00E96633" w:rsidRPr="00CF06EE" w:rsidRDefault="00E96633" w:rsidP="006A3041">
      <w:pPr>
        <w:spacing w:after="0" w:line="240" w:lineRule="auto"/>
        <w:ind w:right="50"/>
        <w:jc w:val="both"/>
        <w:rPr>
          <w:rFonts w:ascii="Arial" w:hAnsi="Arial" w:cs="Arial"/>
          <w:sz w:val="20"/>
          <w:szCs w:val="20"/>
          <w:lang w:val="en-IN"/>
        </w:rPr>
      </w:pPr>
    </w:p>
    <w:p w14:paraId="07932C42" w14:textId="3E1D0FAA"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.5 Cosmetic and Dermatological Applications</w:t>
      </w:r>
    </w:p>
    <w:p w14:paraId="34158884" w14:textId="6E80EE0C" w:rsidR="0096696C" w:rsidRPr="00CF06EE" w:rsidRDefault="0096696C" w:rsidP="006A3041">
      <w:pPr>
        <w:spacing w:after="0" w:line="240" w:lineRule="auto"/>
        <w:ind w:right="50"/>
        <w:jc w:val="both"/>
        <w:rPr>
          <w:rFonts w:ascii="Arial" w:hAnsi="Arial" w:cs="Arial"/>
          <w:sz w:val="20"/>
          <w:szCs w:val="20"/>
          <w:lang w:val="en-IN"/>
        </w:rPr>
      </w:pPr>
      <w:r w:rsidRPr="00CF06EE">
        <w:rPr>
          <w:rFonts w:ascii="Arial" w:hAnsi="Arial" w:cs="Arial"/>
          <w:sz w:val="20"/>
          <w:szCs w:val="20"/>
          <w:lang w:val="en-IN"/>
        </w:rPr>
        <w:t>Postbiotics are increasingly incorporated into cosmetic formulations due to their antioxidant capacity and ability to enhance skin barrier function</w:t>
      </w:r>
      <w:r w:rsidR="00D126B8" w:rsidRPr="00CF06EE">
        <w:rPr>
          <w:rFonts w:ascii="Arial" w:hAnsi="Arial" w:cs="Arial"/>
          <w:sz w:val="20"/>
          <w:szCs w:val="20"/>
          <w:lang w:val="en-IN"/>
        </w:rPr>
        <w:t xml:space="preserve"> (</w:t>
      </w:r>
      <w:r w:rsidR="00D126B8" w:rsidRPr="00CF06EE">
        <w:rPr>
          <w:rFonts w:ascii="Arial" w:eastAsia="Times New Roman" w:hAnsi="Arial" w:cs="Arial"/>
          <w:sz w:val="20"/>
          <w:szCs w:val="20"/>
          <w:lang w:val="en-IN"/>
        </w:rPr>
        <w:t xml:space="preserve">Da Silva Vale </w:t>
      </w:r>
      <w:r w:rsidR="00D126B8" w:rsidRPr="00CF06EE">
        <w:rPr>
          <w:rFonts w:ascii="Arial" w:eastAsia="Times New Roman" w:hAnsi="Arial" w:cs="Arial"/>
          <w:i/>
          <w:iCs/>
          <w:sz w:val="20"/>
          <w:szCs w:val="20"/>
          <w:lang w:val="en-IN"/>
        </w:rPr>
        <w:t>et al.,</w:t>
      </w:r>
      <w:r w:rsidR="00D126B8" w:rsidRPr="00CF06EE">
        <w:rPr>
          <w:rFonts w:ascii="Arial" w:eastAsia="Times New Roman" w:hAnsi="Arial" w:cs="Arial"/>
          <w:sz w:val="20"/>
          <w:szCs w:val="20"/>
          <w:lang w:val="en-IN"/>
        </w:rPr>
        <w:t xml:space="preserve"> 2023</w:t>
      </w:r>
      <w:r w:rsidR="00D126B8" w:rsidRPr="00CF06EE">
        <w:rPr>
          <w:rFonts w:ascii="Arial" w:hAnsi="Arial" w:cs="Arial"/>
          <w:sz w:val="20"/>
          <w:szCs w:val="20"/>
          <w:lang w:val="en-IN"/>
        </w:rPr>
        <w:t>)</w:t>
      </w:r>
      <w:r w:rsidRPr="00CF06EE">
        <w:rPr>
          <w:rFonts w:ascii="Arial" w:hAnsi="Arial" w:cs="Arial"/>
          <w:sz w:val="20"/>
          <w:szCs w:val="20"/>
          <w:lang w:val="en-IN"/>
        </w:rPr>
        <w:t>. These properties support skin hydration, reduce oxidative stress, and contribute to anti-aging and protective skincare strategies</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w:t>
      </w:r>
      <w:r w:rsidR="00ED29B8" w:rsidRPr="00CF06EE">
        <w:rPr>
          <w:rFonts w:ascii="Arial" w:eastAsia="Times New Roman" w:hAnsi="Arial" w:cs="Arial"/>
          <w:sz w:val="20"/>
          <w:szCs w:val="20"/>
        </w:rPr>
        <w:t xml:space="preserve">Aggarwal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2022</w:t>
      </w:r>
      <w:r w:rsidR="00ED29B8" w:rsidRPr="00CF06EE">
        <w:rPr>
          <w:rFonts w:ascii="Arial" w:eastAsia="Times New Roman" w:hAnsi="Arial" w:cs="Arial"/>
          <w:sz w:val="20"/>
          <w:szCs w:val="20"/>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r w:rsidR="00196DAA" w:rsidRPr="00CF06EE">
        <w:rPr>
          <w:rFonts w:ascii="Arial" w:eastAsia="Times New Roman" w:hAnsi="Arial" w:cs="Arial"/>
          <w:sz w:val="20"/>
          <w:szCs w:val="20"/>
          <w:lang w:val="en-IN"/>
        </w:rPr>
        <w:t xml:space="preserve">; </w:t>
      </w:r>
      <w:proofErr w:type="spellStart"/>
      <w:r w:rsidR="00196DAA" w:rsidRPr="00CF06EE">
        <w:rPr>
          <w:rFonts w:ascii="Arial" w:eastAsia="Times New Roman" w:hAnsi="Arial" w:cs="Arial"/>
          <w:sz w:val="20"/>
          <w:szCs w:val="20"/>
        </w:rPr>
        <w:t>Amobonye</w:t>
      </w:r>
      <w:proofErr w:type="spellEnd"/>
      <w:r w:rsidR="00196DAA" w:rsidRPr="00CF06EE">
        <w:rPr>
          <w:rFonts w:ascii="Arial" w:eastAsia="Times New Roman" w:hAnsi="Arial" w:cs="Arial"/>
          <w:sz w:val="20"/>
          <w:szCs w:val="20"/>
        </w:rPr>
        <w:t xml:space="preserve">, A </w:t>
      </w:r>
      <w:r w:rsidR="00196DAA" w:rsidRPr="00CF06EE">
        <w:rPr>
          <w:rFonts w:ascii="Arial" w:eastAsia="Times New Roman" w:hAnsi="Arial" w:cs="Arial"/>
          <w:i/>
          <w:iCs/>
          <w:sz w:val="20"/>
          <w:szCs w:val="20"/>
        </w:rPr>
        <w:t xml:space="preserve">et al., </w:t>
      </w:r>
      <w:r w:rsidR="00196DAA" w:rsidRPr="00CF06EE">
        <w:rPr>
          <w:rFonts w:ascii="Arial" w:eastAsia="Times New Roman" w:hAnsi="Arial" w:cs="Arial"/>
          <w:sz w:val="20"/>
          <w:szCs w:val="20"/>
        </w:rPr>
        <w:t>2025</w:t>
      </w:r>
      <w:r w:rsidR="00D14640" w:rsidRPr="00CF06EE">
        <w:rPr>
          <w:rFonts w:ascii="Arial" w:eastAsia="Times New Roman" w:hAnsi="Arial" w:cs="Arial"/>
          <w:sz w:val="20"/>
          <w:szCs w:val="20"/>
          <w:lang w:val="en-IN"/>
        </w:rPr>
        <w:t>).</w:t>
      </w:r>
    </w:p>
    <w:p w14:paraId="607A8A31" w14:textId="77777777" w:rsidR="00E96633" w:rsidRPr="00CF06EE" w:rsidRDefault="00E96633" w:rsidP="006A3041">
      <w:pPr>
        <w:spacing w:after="0" w:line="240" w:lineRule="auto"/>
        <w:ind w:right="50"/>
        <w:jc w:val="both"/>
        <w:rPr>
          <w:rFonts w:ascii="Arial" w:hAnsi="Arial" w:cs="Arial"/>
          <w:sz w:val="20"/>
          <w:szCs w:val="20"/>
          <w:lang w:val="en-IN"/>
        </w:rPr>
      </w:pPr>
    </w:p>
    <w:p w14:paraId="0C0592EB" w14:textId="0F884CD0"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.6 Liver and Metabolic Health</w:t>
      </w:r>
    </w:p>
    <w:p w14:paraId="4CE1FF43" w14:textId="3D0E860C" w:rsidR="0096696C" w:rsidRPr="00CF06EE" w:rsidRDefault="0096696C" w:rsidP="006A3041">
      <w:pPr>
        <w:spacing w:after="0" w:line="240" w:lineRule="auto"/>
        <w:ind w:right="50"/>
        <w:jc w:val="both"/>
        <w:rPr>
          <w:rFonts w:ascii="Arial" w:hAnsi="Arial" w:cs="Arial"/>
          <w:sz w:val="20"/>
          <w:szCs w:val="20"/>
          <w:lang w:val="en-IN"/>
        </w:rPr>
      </w:pPr>
      <w:r w:rsidRPr="00CF06EE">
        <w:rPr>
          <w:rFonts w:ascii="Arial" w:hAnsi="Arial" w:cs="Arial"/>
          <w:sz w:val="20"/>
          <w:szCs w:val="20"/>
          <w:lang w:val="en-IN"/>
        </w:rPr>
        <w:t xml:space="preserve">Postbiotic metabolites influence lipid metabolism, bile acid </w:t>
      </w:r>
      <w:proofErr w:type="spellStart"/>
      <w:r w:rsidRPr="00CF06EE">
        <w:rPr>
          <w:rFonts w:ascii="Arial" w:hAnsi="Arial" w:cs="Arial"/>
          <w:sz w:val="20"/>
          <w:szCs w:val="20"/>
          <w:lang w:val="en-IN"/>
        </w:rPr>
        <w:t>signaling</w:t>
      </w:r>
      <w:proofErr w:type="spellEnd"/>
      <w:r w:rsidRPr="00CF06EE">
        <w:rPr>
          <w:rFonts w:ascii="Arial" w:hAnsi="Arial" w:cs="Arial"/>
          <w:sz w:val="20"/>
          <w:szCs w:val="20"/>
          <w:lang w:val="en-IN"/>
        </w:rPr>
        <w:t>, and insulin sensitivity. By modulating metabolic pathways and reducing inflammatory stress, they may contribute to improved liver function and better metabolic health outcomes</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p>
    <w:p w14:paraId="238DF611" w14:textId="77777777" w:rsidR="00E96633" w:rsidRPr="00CF06EE" w:rsidRDefault="00E96633" w:rsidP="006A3041">
      <w:pPr>
        <w:spacing w:after="0" w:line="240" w:lineRule="auto"/>
        <w:ind w:right="50"/>
        <w:jc w:val="both"/>
        <w:rPr>
          <w:rFonts w:ascii="Arial" w:hAnsi="Arial" w:cs="Arial"/>
          <w:sz w:val="20"/>
          <w:szCs w:val="20"/>
          <w:lang w:val="en-IN"/>
        </w:rPr>
      </w:pPr>
    </w:p>
    <w:p w14:paraId="50247F0E" w14:textId="0462F2DC"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.7 Anti-</w:t>
      </w:r>
      <w:proofErr w:type="spellStart"/>
      <w:r w:rsidR="0096696C" w:rsidRPr="00CF06EE">
        <w:rPr>
          <w:rFonts w:ascii="Arial" w:hAnsi="Arial" w:cs="Arial"/>
          <w:b/>
          <w:bCs/>
          <w:sz w:val="22"/>
          <w:szCs w:val="22"/>
          <w:lang w:val="en-IN"/>
        </w:rPr>
        <w:t>Tumor</w:t>
      </w:r>
      <w:proofErr w:type="spellEnd"/>
      <w:r w:rsidR="0096696C" w:rsidRPr="00CF06EE">
        <w:rPr>
          <w:rFonts w:ascii="Arial" w:hAnsi="Arial" w:cs="Arial"/>
          <w:b/>
          <w:bCs/>
          <w:sz w:val="22"/>
          <w:szCs w:val="22"/>
          <w:lang w:val="en-IN"/>
        </w:rPr>
        <w:t xml:space="preserve"> and Immunotherapeutic Potential</w:t>
      </w:r>
    </w:p>
    <w:p w14:paraId="232B1806" w14:textId="42A1CA28" w:rsidR="0096696C" w:rsidRPr="00CF06EE" w:rsidRDefault="0096696C" w:rsidP="006A3041">
      <w:pPr>
        <w:spacing w:after="0" w:line="240" w:lineRule="auto"/>
        <w:ind w:right="50"/>
        <w:jc w:val="both"/>
        <w:rPr>
          <w:rFonts w:ascii="Arial" w:hAnsi="Arial" w:cs="Arial"/>
          <w:sz w:val="20"/>
          <w:szCs w:val="20"/>
          <w:lang w:val="en-IN"/>
        </w:rPr>
      </w:pPr>
      <w:r w:rsidRPr="00CF06EE">
        <w:rPr>
          <w:rFonts w:ascii="Arial" w:hAnsi="Arial" w:cs="Arial"/>
          <w:sz w:val="20"/>
          <w:szCs w:val="20"/>
          <w:lang w:val="en-IN"/>
        </w:rPr>
        <w:t xml:space="preserve">Preclinical studies suggest that postbiotics may regulate apoptosis pathways and immune checkpoints involved in </w:t>
      </w:r>
      <w:proofErr w:type="spellStart"/>
      <w:r w:rsidRPr="00CF06EE">
        <w:rPr>
          <w:rFonts w:ascii="Arial" w:hAnsi="Arial" w:cs="Arial"/>
          <w:sz w:val="20"/>
          <w:szCs w:val="20"/>
          <w:lang w:val="en-IN"/>
        </w:rPr>
        <w:t>tumor</w:t>
      </w:r>
      <w:proofErr w:type="spellEnd"/>
      <w:r w:rsidRPr="00CF06EE">
        <w:rPr>
          <w:rFonts w:ascii="Arial" w:hAnsi="Arial" w:cs="Arial"/>
          <w:sz w:val="20"/>
          <w:szCs w:val="20"/>
          <w:lang w:val="en-IN"/>
        </w:rPr>
        <w:t xml:space="preserve"> progression</w:t>
      </w:r>
      <w:r w:rsidR="005B539C" w:rsidRPr="00CF06EE">
        <w:rPr>
          <w:rFonts w:ascii="Arial" w:hAnsi="Arial" w:cs="Arial"/>
          <w:sz w:val="20"/>
          <w:szCs w:val="20"/>
          <w:lang w:val="en-IN"/>
        </w:rPr>
        <w:t xml:space="preserve"> </w:t>
      </w:r>
      <w:r w:rsidR="005B539C" w:rsidRPr="00CF06EE">
        <w:rPr>
          <w:rFonts w:ascii="Arial" w:eastAsia="Times New Roman" w:hAnsi="Arial" w:cs="Arial"/>
          <w:sz w:val="20"/>
          <w:szCs w:val="20"/>
          <w:lang w:val="en-IN"/>
        </w:rPr>
        <w:t>(</w:t>
      </w:r>
      <w:proofErr w:type="spellStart"/>
      <w:r w:rsidR="005B539C" w:rsidRPr="00CF06EE">
        <w:rPr>
          <w:rFonts w:ascii="Arial" w:eastAsia="Times New Roman" w:hAnsi="Arial" w:cs="Arial"/>
          <w:sz w:val="20"/>
          <w:szCs w:val="20"/>
          <w:lang w:val="en-IN"/>
        </w:rPr>
        <w:t>Chikindas</w:t>
      </w:r>
      <w:proofErr w:type="spellEnd"/>
      <w:r w:rsidR="005B539C" w:rsidRPr="00CF06EE">
        <w:rPr>
          <w:rFonts w:ascii="Arial" w:eastAsia="Times New Roman" w:hAnsi="Arial" w:cs="Arial"/>
          <w:sz w:val="20"/>
          <w:szCs w:val="20"/>
          <w:lang w:val="en-IN"/>
        </w:rPr>
        <w:t xml:space="preserve">, M. L </w:t>
      </w:r>
      <w:r w:rsidR="005B539C" w:rsidRPr="00CF06EE">
        <w:rPr>
          <w:rFonts w:ascii="Arial" w:eastAsia="Times New Roman" w:hAnsi="Arial" w:cs="Arial"/>
          <w:i/>
          <w:iCs/>
          <w:sz w:val="20"/>
          <w:szCs w:val="20"/>
          <w:lang w:val="en-IN"/>
        </w:rPr>
        <w:t>et al.,</w:t>
      </w:r>
      <w:r w:rsidR="005B539C" w:rsidRPr="00CF06EE">
        <w:rPr>
          <w:rFonts w:ascii="Arial" w:eastAsia="Times New Roman" w:hAnsi="Arial" w:cs="Arial"/>
          <w:sz w:val="20"/>
          <w:szCs w:val="20"/>
          <w:lang w:val="en-IN"/>
        </w:rPr>
        <w:t xml:space="preserve"> 2025b)</w:t>
      </w:r>
      <w:r w:rsidRPr="00CF06EE">
        <w:rPr>
          <w:rFonts w:ascii="Arial" w:hAnsi="Arial" w:cs="Arial"/>
          <w:sz w:val="20"/>
          <w:szCs w:val="20"/>
          <w:lang w:val="en-IN"/>
        </w:rPr>
        <w:t>. Although clinical evidence remains limited, these findings highlight their emerging role in cancer-related research</w:t>
      </w:r>
      <w:r w:rsidR="0084133B" w:rsidRPr="00CF06EE">
        <w:rPr>
          <w:rFonts w:ascii="Arial" w:hAnsi="Arial" w:cs="Arial"/>
          <w:sz w:val="20"/>
          <w:szCs w:val="20"/>
          <w:lang w:val="en-IN"/>
        </w:rPr>
        <w:t xml:space="preserve"> </w:t>
      </w:r>
      <w:r w:rsidR="0084133B" w:rsidRPr="00CF06EE">
        <w:rPr>
          <w:rFonts w:ascii="Arial" w:eastAsia="Times New Roman" w:hAnsi="Arial" w:cs="Arial"/>
          <w:sz w:val="20"/>
          <w:szCs w:val="20"/>
          <w:lang w:val="en-IN"/>
        </w:rPr>
        <w:t>(</w:t>
      </w:r>
      <w:r w:rsidR="0084133B" w:rsidRPr="00CF06EE">
        <w:rPr>
          <w:rFonts w:ascii="Arial" w:eastAsia="Times New Roman" w:hAnsi="Arial" w:cs="Arial"/>
          <w:sz w:val="20"/>
          <w:szCs w:val="20"/>
        </w:rPr>
        <w:t>Mafe, A. N et al., 2025)</w:t>
      </w:r>
      <w:r w:rsidRPr="00CF06EE">
        <w:rPr>
          <w:rFonts w:ascii="Arial" w:hAnsi="Arial" w:cs="Arial"/>
          <w:sz w:val="20"/>
          <w:szCs w:val="20"/>
          <w:lang w:val="en-IN"/>
        </w:rPr>
        <w:t>.</w:t>
      </w:r>
    </w:p>
    <w:p w14:paraId="75FE42C2" w14:textId="77777777" w:rsidR="00E96633" w:rsidRPr="00CF06EE" w:rsidRDefault="00E96633" w:rsidP="006A3041">
      <w:pPr>
        <w:spacing w:after="0" w:line="240" w:lineRule="auto"/>
        <w:ind w:right="50"/>
        <w:jc w:val="both"/>
        <w:rPr>
          <w:rFonts w:ascii="Arial" w:hAnsi="Arial" w:cs="Arial"/>
          <w:sz w:val="20"/>
          <w:szCs w:val="20"/>
          <w:lang w:val="en-IN"/>
        </w:rPr>
      </w:pPr>
    </w:p>
    <w:p w14:paraId="4E5F51E5" w14:textId="4D66C7A0"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.8 Microbiota Restoration and Gut Ecosystem Stability</w:t>
      </w:r>
    </w:p>
    <w:p w14:paraId="39D596E8" w14:textId="0771DA22" w:rsidR="0096696C" w:rsidRPr="00CF06EE" w:rsidRDefault="0096696C" w:rsidP="006A3041">
      <w:pPr>
        <w:spacing w:after="0" w:line="240" w:lineRule="auto"/>
        <w:ind w:right="50"/>
        <w:jc w:val="both"/>
        <w:rPr>
          <w:rFonts w:ascii="Arial" w:hAnsi="Arial" w:cs="Arial"/>
          <w:sz w:val="20"/>
          <w:szCs w:val="20"/>
          <w:lang w:val="en-IN"/>
        </w:rPr>
      </w:pPr>
      <w:r w:rsidRPr="00CF06EE">
        <w:rPr>
          <w:rFonts w:ascii="Arial" w:hAnsi="Arial" w:cs="Arial"/>
          <w:sz w:val="20"/>
          <w:szCs w:val="20"/>
          <w:lang w:val="en-IN"/>
        </w:rPr>
        <w:lastRenderedPageBreak/>
        <w:t>Postbiotics support microbial diversity by suppressing pathogenic growth and promoting beneficial bacteria. This ecological balance enhances gut resilience and contributes to overall digestive health</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p>
    <w:p w14:paraId="527155C8" w14:textId="77777777" w:rsidR="00E96633" w:rsidRPr="00CF06EE" w:rsidRDefault="00E96633" w:rsidP="006A3041">
      <w:pPr>
        <w:spacing w:after="0" w:line="240" w:lineRule="auto"/>
        <w:ind w:right="50"/>
        <w:jc w:val="both"/>
        <w:rPr>
          <w:rFonts w:ascii="Arial" w:hAnsi="Arial" w:cs="Arial"/>
          <w:sz w:val="20"/>
          <w:szCs w:val="20"/>
          <w:lang w:val="en-IN"/>
        </w:rPr>
      </w:pPr>
    </w:p>
    <w:p w14:paraId="0F9E9ECC" w14:textId="0DC403F1"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.9 Mental Health and the Gut–Brain Axis</w:t>
      </w:r>
    </w:p>
    <w:p w14:paraId="533EC0B7" w14:textId="3BA0D44C" w:rsidR="0096696C" w:rsidRPr="00CF06EE" w:rsidRDefault="0096696C" w:rsidP="006A3041">
      <w:pPr>
        <w:spacing w:after="0" w:line="240" w:lineRule="auto"/>
        <w:ind w:right="50"/>
        <w:jc w:val="both"/>
        <w:rPr>
          <w:rFonts w:ascii="Arial" w:hAnsi="Arial" w:cs="Arial"/>
          <w:sz w:val="20"/>
          <w:szCs w:val="20"/>
          <w:lang w:val="en-IN"/>
        </w:rPr>
      </w:pPr>
      <w:r w:rsidRPr="00CF06EE">
        <w:rPr>
          <w:rFonts w:ascii="Arial" w:hAnsi="Arial" w:cs="Arial"/>
          <w:sz w:val="20"/>
          <w:szCs w:val="20"/>
          <w:lang w:val="en-IN"/>
        </w:rPr>
        <w:t xml:space="preserve">Through interactions with microbial metabolites and inflammatory </w:t>
      </w:r>
      <w:proofErr w:type="spellStart"/>
      <w:r w:rsidRPr="00CF06EE">
        <w:rPr>
          <w:rFonts w:ascii="Arial" w:hAnsi="Arial" w:cs="Arial"/>
          <w:sz w:val="20"/>
          <w:szCs w:val="20"/>
          <w:lang w:val="en-IN"/>
        </w:rPr>
        <w:t>signaling</w:t>
      </w:r>
      <w:proofErr w:type="spellEnd"/>
      <w:r w:rsidRPr="00CF06EE">
        <w:rPr>
          <w:rFonts w:ascii="Arial" w:hAnsi="Arial" w:cs="Arial"/>
          <w:sz w:val="20"/>
          <w:szCs w:val="20"/>
          <w:lang w:val="en-IN"/>
        </w:rPr>
        <w:t>, postbiotics may influence neurotransmitter production and neural communication pathways</w:t>
      </w:r>
      <w:r w:rsidR="0084133B" w:rsidRPr="00CF06EE">
        <w:rPr>
          <w:rFonts w:ascii="Arial" w:hAnsi="Arial" w:cs="Arial"/>
          <w:sz w:val="20"/>
          <w:szCs w:val="20"/>
          <w:lang w:val="en-IN"/>
        </w:rPr>
        <w:t xml:space="preserve"> </w:t>
      </w:r>
      <w:r w:rsidR="0084133B" w:rsidRPr="00CF06EE">
        <w:rPr>
          <w:rFonts w:ascii="Arial" w:eastAsia="Times New Roman" w:hAnsi="Arial" w:cs="Arial"/>
          <w:sz w:val="20"/>
          <w:szCs w:val="20"/>
          <w:lang w:val="en-IN"/>
        </w:rPr>
        <w:t>(</w:t>
      </w:r>
      <w:r w:rsidR="0084133B" w:rsidRPr="00CF06EE">
        <w:rPr>
          <w:rFonts w:ascii="Arial" w:eastAsia="Times New Roman" w:hAnsi="Arial" w:cs="Arial"/>
          <w:sz w:val="20"/>
          <w:szCs w:val="20"/>
        </w:rPr>
        <w:t>Mafe, A. N et al., 2025)</w:t>
      </w:r>
      <w:r w:rsidRPr="00CF06EE">
        <w:rPr>
          <w:rFonts w:ascii="Arial" w:hAnsi="Arial" w:cs="Arial"/>
          <w:sz w:val="20"/>
          <w:szCs w:val="20"/>
          <w:lang w:val="en-IN"/>
        </w:rPr>
        <w:t>. These mechanisms suggest potential benefits in mood regulation and stress resilience</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r w:rsidRPr="00CF06EE">
        <w:rPr>
          <w:rFonts w:ascii="Arial" w:hAnsi="Arial" w:cs="Arial"/>
          <w:sz w:val="20"/>
          <w:szCs w:val="20"/>
          <w:lang w:val="en-IN"/>
        </w:rPr>
        <w:t>.</w:t>
      </w:r>
    </w:p>
    <w:p w14:paraId="269F806C" w14:textId="77777777" w:rsidR="00E96633" w:rsidRPr="00CF06EE" w:rsidRDefault="00E96633" w:rsidP="006A3041">
      <w:pPr>
        <w:spacing w:after="0" w:line="240" w:lineRule="auto"/>
        <w:ind w:right="50"/>
        <w:jc w:val="both"/>
        <w:rPr>
          <w:rFonts w:ascii="Arial" w:hAnsi="Arial" w:cs="Arial"/>
          <w:sz w:val="20"/>
          <w:szCs w:val="20"/>
          <w:lang w:val="en-IN"/>
        </w:rPr>
      </w:pPr>
    </w:p>
    <w:p w14:paraId="6331A8D0" w14:textId="7D60210A" w:rsidR="0096696C" w:rsidRPr="00CF06EE" w:rsidRDefault="00F22CA2"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.10 Dental Caries Prevention</w:t>
      </w:r>
    </w:p>
    <w:p w14:paraId="03261EB7" w14:textId="4D570EBE" w:rsidR="0096696C" w:rsidRPr="00CF06EE" w:rsidRDefault="0096696C" w:rsidP="006A3041">
      <w:pPr>
        <w:spacing w:after="0" w:line="240" w:lineRule="auto"/>
        <w:ind w:right="50"/>
        <w:jc w:val="both"/>
        <w:rPr>
          <w:rFonts w:ascii="Arial" w:hAnsi="Arial" w:cs="Arial"/>
          <w:sz w:val="20"/>
          <w:szCs w:val="20"/>
          <w:lang w:val="en-IN"/>
        </w:rPr>
      </w:pPr>
      <w:r w:rsidRPr="00CF06EE">
        <w:rPr>
          <w:rFonts w:ascii="Arial" w:hAnsi="Arial" w:cs="Arial"/>
          <w:sz w:val="20"/>
          <w:szCs w:val="20"/>
          <w:lang w:val="en-IN"/>
        </w:rPr>
        <w:t>Antimicrobial compounds derived from postbiotics can limit cariogenic bacterial growth and reduce biofilm formation, indicating their potential role in preventive oral care products</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p>
    <w:p w14:paraId="56C1E5B0" w14:textId="77777777" w:rsidR="00E96633" w:rsidRPr="00CF06EE" w:rsidRDefault="00E96633" w:rsidP="006A3041">
      <w:pPr>
        <w:spacing w:after="0" w:line="240" w:lineRule="auto"/>
        <w:ind w:right="50"/>
        <w:jc w:val="both"/>
        <w:rPr>
          <w:rFonts w:ascii="Arial" w:hAnsi="Arial" w:cs="Arial"/>
          <w:sz w:val="20"/>
          <w:szCs w:val="20"/>
          <w:lang w:val="en-IN"/>
        </w:rPr>
      </w:pPr>
    </w:p>
    <w:p w14:paraId="6AFCAA7D" w14:textId="643A4A8D" w:rsidR="0096696C" w:rsidRPr="00CF06EE" w:rsidRDefault="003401BD" w:rsidP="006A3041">
      <w:pPr>
        <w:spacing w:after="0" w:line="240" w:lineRule="auto"/>
        <w:ind w:right="50"/>
        <w:jc w:val="both"/>
        <w:rPr>
          <w:rFonts w:ascii="Arial" w:hAnsi="Arial" w:cs="Arial"/>
          <w:b/>
          <w:bCs/>
          <w:sz w:val="22"/>
          <w:szCs w:val="22"/>
          <w:lang w:val="en-IN"/>
        </w:rPr>
      </w:pPr>
      <w:r w:rsidRPr="00CF06EE">
        <w:rPr>
          <w:rFonts w:ascii="Arial" w:hAnsi="Arial" w:cs="Arial"/>
          <w:b/>
          <w:bCs/>
          <w:sz w:val="22"/>
          <w:szCs w:val="22"/>
          <w:lang w:val="en-IN"/>
        </w:rPr>
        <w:t>9</w:t>
      </w:r>
      <w:r w:rsidR="0096696C" w:rsidRPr="00CF06EE">
        <w:rPr>
          <w:rFonts w:ascii="Arial" w:hAnsi="Arial" w:cs="Arial"/>
          <w:b/>
          <w:bCs/>
          <w:sz w:val="22"/>
          <w:szCs w:val="22"/>
          <w:lang w:val="en-IN"/>
        </w:rPr>
        <w:t>.11 Agricultural and Poultry Applications</w:t>
      </w:r>
    </w:p>
    <w:p w14:paraId="7A256C73" w14:textId="0127808C" w:rsidR="0096696C" w:rsidRPr="00CF06EE" w:rsidRDefault="0096696C" w:rsidP="006A3041">
      <w:pPr>
        <w:spacing w:after="0" w:line="240" w:lineRule="auto"/>
        <w:ind w:right="50"/>
        <w:jc w:val="both"/>
        <w:rPr>
          <w:rFonts w:ascii="Arial" w:hAnsi="Arial" w:cs="Arial"/>
          <w:sz w:val="20"/>
          <w:szCs w:val="20"/>
          <w:lang w:val="en-IN"/>
        </w:rPr>
      </w:pPr>
      <w:r w:rsidRPr="00CF06EE">
        <w:rPr>
          <w:rFonts w:ascii="Arial" w:hAnsi="Arial" w:cs="Arial"/>
          <w:sz w:val="20"/>
          <w:szCs w:val="20"/>
          <w:lang w:val="en-IN"/>
        </w:rPr>
        <w:t>Beyond human health, postbiotics are being explored in livestock production to improve nutrient absorption, enhance gut microbiota balance, and increase resistance to infections, ultimately supporting sustainable agricultural practices</w:t>
      </w:r>
      <w:r w:rsidR="00D14640" w:rsidRPr="00CF06EE">
        <w:rPr>
          <w:rFonts w:ascii="Arial" w:hAnsi="Arial" w:cs="Arial"/>
          <w:sz w:val="20"/>
          <w:szCs w:val="20"/>
          <w:lang w:val="en-IN"/>
        </w:rPr>
        <w:t xml:space="preserve"> </w:t>
      </w:r>
      <w:r w:rsidR="00D14640" w:rsidRPr="00CF06EE">
        <w:rPr>
          <w:rFonts w:ascii="Arial" w:eastAsia="Times New Roman" w:hAnsi="Arial" w:cs="Arial"/>
          <w:sz w:val="20"/>
          <w:szCs w:val="20"/>
          <w:lang w:val="en-IN"/>
        </w:rPr>
        <w:t xml:space="preserve">(Meena, K. K </w:t>
      </w:r>
      <w:r w:rsidR="00D14640" w:rsidRPr="00CF06EE">
        <w:rPr>
          <w:rFonts w:ascii="Arial" w:eastAsia="Times New Roman" w:hAnsi="Arial" w:cs="Arial"/>
          <w:i/>
          <w:iCs/>
          <w:sz w:val="20"/>
          <w:szCs w:val="20"/>
          <w:lang w:val="en-IN"/>
        </w:rPr>
        <w:t>et al</w:t>
      </w:r>
      <w:r w:rsidR="00D14640" w:rsidRPr="00CF06EE">
        <w:rPr>
          <w:rFonts w:ascii="Arial" w:eastAsia="Times New Roman" w:hAnsi="Arial" w:cs="Arial"/>
          <w:sz w:val="20"/>
          <w:szCs w:val="20"/>
          <w:lang w:val="en-IN"/>
        </w:rPr>
        <w:t xml:space="preserve"> 2025)</w:t>
      </w:r>
      <w:r w:rsidRPr="00CF06EE">
        <w:rPr>
          <w:rFonts w:ascii="Arial" w:hAnsi="Arial" w:cs="Arial"/>
          <w:sz w:val="20"/>
          <w:szCs w:val="20"/>
          <w:lang w:val="en-IN"/>
        </w:rPr>
        <w:t>.</w:t>
      </w:r>
    </w:p>
    <w:p w14:paraId="063D8436" w14:textId="77777777" w:rsidR="0096696C" w:rsidRPr="00CF06EE" w:rsidRDefault="0096696C" w:rsidP="006A3041">
      <w:pPr>
        <w:spacing w:after="0" w:line="240" w:lineRule="auto"/>
        <w:ind w:right="50"/>
        <w:jc w:val="both"/>
        <w:rPr>
          <w:rFonts w:ascii="Arial" w:hAnsi="Arial" w:cs="Arial"/>
          <w:b/>
          <w:bCs/>
          <w:sz w:val="20"/>
          <w:szCs w:val="20"/>
          <w:lang w:val="en-IN"/>
        </w:rPr>
      </w:pPr>
    </w:p>
    <w:p w14:paraId="56C625C7" w14:textId="564C166D" w:rsidR="00DE461A" w:rsidRPr="00CF06EE" w:rsidRDefault="00DE461A" w:rsidP="006A3041">
      <w:pPr>
        <w:spacing w:after="0" w:line="240" w:lineRule="auto"/>
        <w:jc w:val="both"/>
        <w:rPr>
          <w:rFonts w:ascii="Arial" w:hAnsi="Arial" w:cs="Arial"/>
          <w:sz w:val="20"/>
          <w:szCs w:val="20"/>
          <w:lang w:val="en-IN"/>
        </w:rPr>
      </w:pPr>
      <w:r w:rsidRPr="00CF06EE">
        <w:rPr>
          <w:rFonts w:ascii="Arial" w:hAnsi="Arial" w:cs="Arial"/>
          <w:noProof/>
          <w:sz w:val="20"/>
          <w:szCs w:val="20"/>
        </w:rPr>
        <w:drawing>
          <wp:inline distT="0" distB="0" distL="0" distR="0" wp14:anchorId="2C91B514" wp14:editId="0BE7826C">
            <wp:extent cx="6400800" cy="4267200"/>
            <wp:effectExtent l="0" t="0" r="0" b="0"/>
            <wp:docPr id="1729328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267200"/>
                    </a:xfrm>
                    <a:prstGeom prst="rect">
                      <a:avLst/>
                    </a:prstGeom>
                    <a:noFill/>
                    <a:ln>
                      <a:noFill/>
                    </a:ln>
                  </pic:spPr>
                </pic:pic>
              </a:graphicData>
            </a:graphic>
          </wp:inline>
        </w:drawing>
      </w:r>
    </w:p>
    <w:p w14:paraId="0156AC77" w14:textId="78F144F7" w:rsidR="00E96633" w:rsidRPr="00CF06EE" w:rsidRDefault="002C7716" w:rsidP="006A3041">
      <w:pPr>
        <w:spacing w:after="0" w:line="240" w:lineRule="auto"/>
        <w:jc w:val="both"/>
        <w:rPr>
          <w:rFonts w:ascii="Arial" w:hAnsi="Arial" w:cs="Arial"/>
          <w:sz w:val="20"/>
          <w:szCs w:val="20"/>
          <w:lang w:val="en-IN"/>
        </w:rPr>
      </w:pPr>
      <w:r w:rsidRPr="00CF06EE">
        <w:rPr>
          <w:rFonts w:ascii="Arial" w:hAnsi="Arial" w:cs="Arial"/>
          <w:sz w:val="20"/>
          <w:szCs w:val="20"/>
          <w:lang w:val="en-IN"/>
        </w:rPr>
        <w:t xml:space="preserve">Figure 3- production, purification and evaluation of probiotics </w:t>
      </w:r>
    </w:p>
    <w:p w14:paraId="5AA516E7" w14:textId="77777777" w:rsidR="002C7716" w:rsidRPr="00CF06EE" w:rsidRDefault="002C7716" w:rsidP="006A3041">
      <w:pPr>
        <w:shd w:val="clear" w:color="auto" w:fill="FFFFFF"/>
        <w:spacing w:line="240" w:lineRule="auto"/>
        <w:jc w:val="both"/>
        <w:rPr>
          <w:rFonts w:ascii="Arial" w:eastAsia="Merriweather" w:hAnsi="Arial" w:cs="Arial"/>
          <w:b/>
          <w:bCs/>
          <w:sz w:val="22"/>
          <w:szCs w:val="22"/>
          <w:lang w:val="en-IN"/>
        </w:rPr>
      </w:pPr>
    </w:p>
    <w:p w14:paraId="36B89E12" w14:textId="4C459DCD" w:rsidR="00A2335A" w:rsidRPr="00CF06EE" w:rsidRDefault="003401BD" w:rsidP="006A3041">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10</w:t>
      </w:r>
      <w:r w:rsidR="0084133B" w:rsidRPr="00CF06EE">
        <w:rPr>
          <w:rFonts w:ascii="Arial" w:hAnsi="Arial" w:cs="Arial"/>
          <w:b/>
          <w:bCs/>
          <w:sz w:val="20"/>
          <w:szCs w:val="20"/>
          <w:lang w:val="en-IN"/>
        </w:rPr>
        <w:t>. STABILITY AND STORAGE STUDIES OF POSTBIOTIC PREPARATIONS</w:t>
      </w:r>
    </w:p>
    <w:p w14:paraId="53ED40D1" w14:textId="77777777" w:rsidR="0084133B" w:rsidRPr="00CF06EE" w:rsidRDefault="0084133B" w:rsidP="006A3041">
      <w:pPr>
        <w:spacing w:after="0" w:line="240" w:lineRule="auto"/>
        <w:jc w:val="both"/>
        <w:rPr>
          <w:rFonts w:ascii="Arial" w:hAnsi="Arial" w:cs="Arial"/>
          <w:b/>
          <w:bCs/>
          <w:sz w:val="20"/>
          <w:szCs w:val="20"/>
          <w:lang w:val="en-IN"/>
        </w:rPr>
      </w:pPr>
    </w:p>
    <w:p w14:paraId="6394E41A" w14:textId="3ACCD59E" w:rsidR="00A2335A" w:rsidRPr="00CF06EE" w:rsidRDefault="003401BD" w:rsidP="006A3041">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10</w:t>
      </w:r>
      <w:r w:rsidR="00A2335A" w:rsidRPr="00CF06EE">
        <w:rPr>
          <w:rFonts w:ascii="Arial" w:hAnsi="Arial" w:cs="Arial"/>
          <w:b/>
          <w:bCs/>
          <w:sz w:val="20"/>
          <w:szCs w:val="20"/>
          <w:lang w:val="en-IN"/>
        </w:rPr>
        <w:t>.1 Temperature Stability Studies</w:t>
      </w:r>
    </w:p>
    <w:p w14:paraId="61FFAD95" w14:textId="2F747082" w:rsidR="00A2335A" w:rsidRPr="00CF06EE" w:rsidRDefault="00A2335A" w:rsidP="006A3041">
      <w:pPr>
        <w:spacing w:after="0" w:line="240" w:lineRule="auto"/>
        <w:jc w:val="both"/>
        <w:rPr>
          <w:rFonts w:ascii="Arial" w:hAnsi="Arial" w:cs="Arial"/>
          <w:sz w:val="20"/>
          <w:szCs w:val="20"/>
          <w:lang w:val="en-IN"/>
        </w:rPr>
      </w:pPr>
      <w:r w:rsidRPr="00CF06EE">
        <w:rPr>
          <w:rFonts w:ascii="Arial" w:hAnsi="Arial" w:cs="Arial"/>
          <w:sz w:val="20"/>
          <w:szCs w:val="20"/>
          <w:lang w:val="en-IN"/>
        </w:rPr>
        <w:t>Temperature stability was evaluated to simulate real-world storage and distribution conditions. Samples were stored at 4 ± 1 °C, 25 ± 1 °C, and 37 ± 1 °C, representing refrigerated, ambient, and accelerated thermal conditions, respectively</w:t>
      </w:r>
      <w:r w:rsidR="00021E0B" w:rsidRPr="00CF06EE">
        <w:rPr>
          <w:rFonts w:ascii="Arial" w:hAnsi="Arial" w:cs="Arial"/>
          <w:sz w:val="20"/>
          <w:szCs w:val="20"/>
          <w:lang w:val="en-IN"/>
        </w:rPr>
        <w:t xml:space="preserve"> (</w:t>
      </w:r>
      <w:r w:rsidR="00021E0B" w:rsidRPr="00CF06EE">
        <w:rPr>
          <w:rFonts w:ascii="Arial" w:eastAsia="Times New Roman" w:hAnsi="Arial" w:cs="Arial"/>
          <w:sz w:val="20"/>
          <w:szCs w:val="20"/>
          <w:lang w:val="en-IN"/>
        </w:rPr>
        <w:t xml:space="preserve">Misra, S </w:t>
      </w:r>
      <w:r w:rsidR="00021E0B" w:rsidRPr="00CF06EE">
        <w:rPr>
          <w:rFonts w:ascii="Arial" w:eastAsia="Times New Roman" w:hAnsi="Arial" w:cs="Arial"/>
          <w:i/>
          <w:iCs/>
          <w:sz w:val="20"/>
          <w:szCs w:val="20"/>
          <w:lang w:val="en-IN"/>
        </w:rPr>
        <w:t>et al.,</w:t>
      </w:r>
      <w:r w:rsidR="00021E0B" w:rsidRPr="00CF06EE">
        <w:rPr>
          <w:rFonts w:ascii="Arial" w:eastAsia="Times New Roman" w:hAnsi="Arial" w:cs="Arial"/>
          <w:sz w:val="20"/>
          <w:szCs w:val="20"/>
          <w:lang w:val="en-IN"/>
        </w:rPr>
        <w:t xml:space="preserve"> 2023</w:t>
      </w:r>
      <w:r w:rsidR="00021E0B" w:rsidRPr="00CF06EE">
        <w:rPr>
          <w:rFonts w:ascii="Arial" w:hAnsi="Arial" w:cs="Arial"/>
          <w:sz w:val="20"/>
          <w:szCs w:val="20"/>
          <w:lang w:val="en-IN"/>
        </w:rPr>
        <w:t>)</w:t>
      </w:r>
      <w:r w:rsidRPr="00CF06EE">
        <w:rPr>
          <w:rFonts w:ascii="Arial" w:hAnsi="Arial" w:cs="Arial"/>
          <w:sz w:val="20"/>
          <w:szCs w:val="20"/>
          <w:lang w:val="en-IN"/>
        </w:rPr>
        <w:t>. Refrigeration conditions reflect recommended cold storage practices, while room temperature represents typical household or retail environments</w:t>
      </w:r>
      <w:r w:rsidR="007C5327" w:rsidRPr="00CF06EE">
        <w:rPr>
          <w:rFonts w:ascii="Arial" w:hAnsi="Arial" w:cs="Arial"/>
          <w:sz w:val="20"/>
          <w:szCs w:val="20"/>
          <w:lang w:val="en-IN"/>
        </w:rPr>
        <w:t xml:space="preserve"> (</w:t>
      </w:r>
      <w:r w:rsidR="007C5327" w:rsidRPr="00CF06EE">
        <w:rPr>
          <w:rFonts w:ascii="Arial" w:eastAsia="Times New Roman" w:hAnsi="Arial" w:cs="Arial"/>
          <w:sz w:val="20"/>
          <w:szCs w:val="20"/>
          <w:lang w:val="en-IN" w:eastAsia="en-IN"/>
        </w:rPr>
        <w:t>Jannah</w:t>
      </w:r>
      <w:r w:rsidR="003674B7" w:rsidRPr="00CF06EE">
        <w:rPr>
          <w:rFonts w:ascii="Arial" w:eastAsia="Times New Roman" w:hAnsi="Arial" w:cs="Arial"/>
          <w:sz w:val="20"/>
          <w:szCs w:val="20"/>
          <w:lang w:val="en-IN" w:eastAsia="en-IN"/>
        </w:rPr>
        <w:t xml:space="preserve"> </w:t>
      </w:r>
      <w:r w:rsidR="007C5327" w:rsidRPr="00CF06EE">
        <w:rPr>
          <w:rFonts w:ascii="Arial" w:hAnsi="Arial" w:cs="Arial"/>
          <w:i/>
          <w:iCs/>
          <w:sz w:val="20"/>
          <w:szCs w:val="20"/>
          <w:lang w:val="en-IN"/>
        </w:rPr>
        <w:t>et al.,</w:t>
      </w:r>
      <w:r w:rsidR="007C5327" w:rsidRPr="00CF06EE">
        <w:rPr>
          <w:rFonts w:ascii="Arial" w:hAnsi="Arial" w:cs="Arial"/>
          <w:sz w:val="20"/>
          <w:szCs w:val="20"/>
          <w:lang w:val="en-IN"/>
        </w:rPr>
        <w:t xml:space="preserve"> 2022)</w:t>
      </w:r>
      <w:r w:rsidRPr="00CF06EE">
        <w:rPr>
          <w:rFonts w:ascii="Arial" w:hAnsi="Arial" w:cs="Arial"/>
          <w:sz w:val="20"/>
          <w:szCs w:val="20"/>
          <w:lang w:val="en-IN"/>
        </w:rPr>
        <w:t xml:space="preserve">. The elevated temperature condition was included to assess stability under stress conditions commonly encountered in tropical climates or during transportation. </w:t>
      </w:r>
      <w:r w:rsidRPr="00CF06EE">
        <w:rPr>
          <w:rFonts w:ascii="Arial" w:hAnsi="Arial" w:cs="Arial"/>
          <w:sz w:val="20"/>
          <w:szCs w:val="20"/>
          <w:lang w:val="en-IN"/>
        </w:rPr>
        <w:lastRenderedPageBreak/>
        <w:t xml:space="preserve">Postbiotic samples were periodically </w:t>
      </w:r>
      <w:proofErr w:type="spellStart"/>
      <w:r w:rsidRPr="00CF06EE">
        <w:rPr>
          <w:rFonts w:ascii="Arial" w:hAnsi="Arial" w:cs="Arial"/>
          <w:sz w:val="20"/>
          <w:szCs w:val="20"/>
          <w:lang w:val="en-IN"/>
        </w:rPr>
        <w:t>analyzed</w:t>
      </w:r>
      <w:proofErr w:type="spellEnd"/>
      <w:r w:rsidRPr="00CF06EE">
        <w:rPr>
          <w:rFonts w:ascii="Arial" w:hAnsi="Arial" w:cs="Arial"/>
          <w:sz w:val="20"/>
          <w:szCs w:val="20"/>
          <w:lang w:val="en-IN"/>
        </w:rPr>
        <w:t xml:space="preserve"> for physicochemical properties and biological activity to determine any temperature-induced changes</w:t>
      </w:r>
      <w:r w:rsidR="00111491" w:rsidRPr="00CF06EE">
        <w:rPr>
          <w:rFonts w:ascii="Arial" w:hAnsi="Arial" w:cs="Arial"/>
          <w:sz w:val="20"/>
          <w:szCs w:val="20"/>
          <w:lang w:val="en-IN"/>
        </w:rPr>
        <w:t xml:space="preserve"> (</w:t>
      </w:r>
      <w:proofErr w:type="spellStart"/>
      <w:r w:rsidR="00111491" w:rsidRPr="00CF06EE">
        <w:rPr>
          <w:rFonts w:ascii="Arial" w:eastAsia="Times New Roman" w:hAnsi="Arial" w:cs="Arial"/>
          <w:sz w:val="20"/>
          <w:szCs w:val="20"/>
          <w:lang w:val="en-IN" w:eastAsia="en-IN"/>
        </w:rPr>
        <w:t>Mudgil</w:t>
      </w:r>
      <w:proofErr w:type="spellEnd"/>
      <w:r w:rsidR="00111491" w:rsidRPr="00CF06EE">
        <w:rPr>
          <w:rFonts w:ascii="Arial" w:eastAsia="Times New Roman" w:hAnsi="Arial" w:cs="Arial"/>
          <w:sz w:val="20"/>
          <w:szCs w:val="20"/>
          <w:lang w:val="en-IN" w:eastAsia="en-IN"/>
        </w:rPr>
        <w:t>, P et al., 2024</w:t>
      </w:r>
      <w:r w:rsidR="00111491" w:rsidRPr="00CF06EE">
        <w:rPr>
          <w:rFonts w:ascii="Arial" w:hAnsi="Arial" w:cs="Arial"/>
          <w:sz w:val="20"/>
          <w:szCs w:val="20"/>
          <w:lang w:val="en-IN"/>
        </w:rPr>
        <w:t>)</w:t>
      </w:r>
      <w:r w:rsidRPr="00CF06EE">
        <w:rPr>
          <w:rFonts w:ascii="Arial" w:hAnsi="Arial" w:cs="Arial"/>
          <w:sz w:val="20"/>
          <w:szCs w:val="20"/>
          <w:lang w:val="en-IN"/>
        </w:rPr>
        <w:t>.</w:t>
      </w:r>
    </w:p>
    <w:p w14:paraId="28B31BCD" w14:textId="52284F7B" w:rsidR="00A2335A" w:rsidRPr="00CF06EE" w:rsidRDefault="00A2335A" w:rsidP="006A3041">
      <w:pPr>
        <w:spacing w:after="0" w:line="240" w:lineRule="auto"/>
        <w:jc w:val="both"/>
        <w:rPr>
          <w:rFonts w:ascii="Arial" w:hAnsi="Arial" w:cs="Arial"/>
          <w:b/>
          <w:bCs/>
          <w:sz w:val="20"/>
          <w:szCs w:val="20"/>
          <w:lang w:val="en-IN"/>
        </w:rPr>
      </w:pPr>
    </w:p>
    <w:p w14:paraId="7A3E45CF" w14:textId="062AA354" w:rsidR="00A2335A" w:rsidRPr="00CF06EE" w:rsidRDefault="003401BD" w:rsidP="006A3041">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10</w:t>
      </w:r>
      <w:r w:rsidR="00A2335A" w:rsidRPr="00CF06EE">
        <w:rPr>
          <w:rFonts w:ascii="Arial" w:hAnsi="Arial" w:cs="Arial"/>
          <w:b/>
          <w:bCs/>
          <w:sz w:val="20"/>
          <w:szCs w:val="20"/>
          <w:lang w:val="en-IN"/>
        </w:rPr>
        <w:t>.2 Thermal Stability Assessment</w:t>
      </w:r>
    </w:p>
    <w:p w14:paraId="42091B32" w14:textId="25DC222C" w:rsidR="00A2335A" w:rsidRPr="00CF06EE" w:rsidRDefault="00A2335A" w:rsidP="006A3041">
      <w:pPr>
        <w:spacing w:after="0" w:line="240" w:lineRule="auto"/>
        <w:jc w:val="both"/>
        <w:rPr>
          <w:rFonts w:ascii="Arial" w:hAnsi="Arial" w:cs="Arial"/>
          <w:sz w:val="20"/>
          <w:szCs w:val="20"/>
          <w:lang w:val="en-IN"/>
        </w:rPr>
      </w:pPr>
      <w:r w:rsidRPr="00CF06EE">
        <w:rPr>
          <w:rFonts w:ascii="Arial" w:hAnsi="Arial" w:cs="Arial"/>
          <w:sz w:val="20"/>
          <w:szCs w:val="20"/>
          <w:lang w:val="en-IN"/>
        </w:rPr>
        <w:t>Thermal stability of postbiotic preparations was assessed by exposing samples to controlled heat treatments. Suspensions of postbiotic material were prepared in sterile peptone water and subjected to heating at 50 °C and 80 °C for defined time intervals (5 and 10 min). Following treatment, samples were cooled and evaluated for retention of functional properties such as antimicrobial or antioxidant activity. Unlike live probiotics, postbiotics do not rely on cell viability; therefore, stability was determined based on preservation of bioactive compounds rather than microbial survival</w:t>
      </w:r>
      <w:r w:rsidR="005B4DB4" w:rsidRPr="00CF06EE">
        <w:rPr>
          <w:rFonts w:ascii="Arial" w:hAnsi="Arial" w:cs="Arial"/>
          <w:sz w:val="20"/>
          <w:szCs w:val="20"/>
          <w:lang w:val="en-IN"/>
        </w:rPr>
        <w:t xml:space="preserve"> (</w:t>
      </w:r>
      <w:r w:rsidR="00006602" w:rsidRPr="00CF06EE">
        <w:rPr>
          <w:rFonts w:ascii="Arial" w:eastAsia="Times New Roman" w:hAnsi="Arial" w:cs="Arial"/>
          <w:sz w:val="20"/>
          <w:szCs w:val="20"/>
        </w:rPr>
        <w:t xml:space="preserve">Moradi </w:t>
      </w:r>
      <w:r w:rsidR="00006602" w:rsidRPr="00CF06EE">
        <w:rPr>
          <w:rFonts w:ascii="Arial" w:eastAsia="Times New Roman" w:hAnsi="Arial" w:cs="Arial"/>
          <w:i/>
          <w:iCs/>
          <w:sz w:val="20"/>
          <w:szCs w:val="20"/>
        </w:rPr>
        <w:t>et al.,</w:t>
      </w:r>
      <w:r w:rsidR="00006602" w:rsidRPr="00CF06EE">
        <w:rPr>
          <w:rFonts w:ascii="Arial" w:eastAsia="Times New Roman" w:hAnsi="Arial" w:cs="Arial"/>
          <w:sz w:val="20"/>
          <w:szCs w:val="20"/>
        </w:rPr>
        <w:t xml:space="preserve"> 2020</w:t>
      </w:r>
      <w:r w:rsidR="00006602" w:rsidRPr="00CF06EE">
        <w:rPr>
          <w:rFonts w:ascii="Arial" w:eastAsia="Times New Roman" w:hAnsi="Arial" w:cs="Arial"/>
          <w:sz w:val="20"/>
          <w:szCs w:val="20"/>
        </w:rPr>
        <w:t xml:space="preserve">; </w:t>
      </w:r>
      <w:r w:rsidR="005B4DB4" w:rsidRPr="00CF06EE">
        <w:rPr>
          <w:rFonts w:ascii="Arial" w:eastAsia="Times New Roman" w:hAnsi="Arial" w:cs="Arial"/>
          <w:sz w:val="20"/>
          <w:szCs w:val="20"/>
          <w:lang w:eastAsia="en-IN"/>
        </w:rPr>
        <w:t>Br, A. 2025c).</w:t>
      </w:r>
    </w:p>
    <w:p w14:paraId="726536E3" w14:textId="6F7E0B7B" w:rsidR="00A2335A" w:rsidRPr="00CF06EE" w:rsidRDefault="00A2335A" w:rsidP="006A3041">
      <w:pPr>
        <w:spacing w:after="0" w:line="240" w:lineRule="auto"/>
        <w:jc w:val="both"/>
        <w:rPr>
          <w:rFonts w:ascii="Arial" w:hAnsi="Arial" w:cs="Arial"/>
          <w:b/>
          <w:bCs/>
          <w:sz w:val="20"/>
          <w:szCs w:val="20"/>
          <w:lang w:val="en-IN"/>
        </w:rPr>
      </w:pPr>
    </w:p>
    <w:p w14:paraId="2FF7879F" w14:textId="7C7C5913" w:rsidR="00A2335A" w:rsidRPr="00CF06EE" w:rsidRDefault="003401BD" w:rsidP="006A3041">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10</w:t>
      </w:r>
      <w:r w:rsidR="00A2335A" w:rsidRPr="00CF06EE">
        <w:rPr>
          <w:rFonts w:ascii="Arial" w:hAnsi="Arial" w:cs="Arial"/>
          <w:b/>
          <w:bCs/>
          <w:sz w:val="20"/>
          <w:szCs w:val="20"/>
          <w:lang w:val="en-IN"/>
        </w:rPr>
        <w:t>.3 Storage Stability Under Different Conditions</w:t>
      </w:r>
    </w:p>
    <w:p w14:paraId="461A9AA1" w14:textId="64201A4C" w:rsidR="00A2335A" w:rsidRPr="00CF06EE" w:rsidRDefault="00A2335A" w:rsidP="006A3041">
      <w:pPr>
        <w:spacing w:after="0" w:line="240" w:lineRule="auto"/>
        <w:jc w:val="both"/>
        <w:rPr>
          <w:rFonts w:ascii="Arial" w:hAnsi="Arial" w:cs="Arial"/>
          <w:sz w:val="20"/>
          <w:szCs w:val="20"/>
          <w:lang w:val="en-IN"/>
        </w:rPr>
      </w:pPr>
      <w:r w:rsidRPr="00CF06EE">
        <w:rPr>
          <w:rFonts w:ascii="Arial" w:hAnsi="Arial" w:cs="Arial"/>
          <w:sz w:val="20"/>
          <w:szCs w:val="20"/>
          <w:lang w:val="en-IN"/>
        </w:rPr>
        <w:t>Postbiotic formulations were stored in airtight polypropylene containers to minimize environmental exposure</w:t>
      </w:r>
      <w:r w:rsidR="00021E0B" w:rsidRPr="00CF06EE">
        <w:rPr>
          <w:rFonts w:ascii="Arial" w:hAnsi="Arial" w:cs="Arial"/>
          <w:sz w:val="20"/>
          <w:szCs w:val="20"/>
          <w:lang w:val="en-IN"/>
        </w:rPr>
        <w:t xml:space="preserve"> (</w:t>
      </w:r>
      <w:r w:rsidR="00021E0B" w:rsidRPr="00CF06EE">
        <w:rPr>
          <w:rFonts w:ascii="Arial" w:eastAsia="Times New Roman" w:hAnsi="Arial" w:cs="Arial"/>
          <w:sz w:val="20"/>
          <w:szCs w:val="20"/>
          <w:lang w:val="en-IN"/>
        </w:rPr>
        <w:t xml:space="preserve">Misra, S </w:t>
      </w:r>
      <w:r w:rsidR="00021E0B" w:rsidRPr="00CF06EE">
        <w:rPr>
          <w:rFonts w:ascii="Arial" w:eastAsia="Times New Roman" w:hAnsi="Arial" w:cs="Arial"/>
          <w:i/>
          <w:iCs/>
          <w:sz w:val="20"/>
          <w:szCs w:val="20"/>
          <w:lang w:val="en-IN"/>
        </w:rPr>
        <w:t>et al.,</w:t>
      </w:r>
      <w:r w:rsidR="00021E0B" w:rsidRPr="00CF06EE">
        <w:rPr>
          <w:rFonts w:ascii="Arial" w:eastAsia="Times New Roman" w:hAnsi="Arial" w:cs="Arial"/>
          <w:sz w:val="20"/>
          <w:szCs w:val="20"/>
          <w:lang w:val="en-IN"/>
        </w:rPr>
        <w:t xml:space="preserve"> 2023</w:t>
      </w:r>
      <w:r w:rsidR="00021E0B" w:rsidRPr="00CF06EE">
        <w:rPr>
          <w:rFonts w:ascii="Arial" w:hAnsi="Arial" w:cs="Arial"/>
          <w:sz w:val="20"/>
          <w:szCs w:val="20"/>
          <w:lang w:val="en-IN"/>
        </w:rPr>
        <w:t>)</w:t>
      </w:r>
      <w:r w:rsidRPr="00CF06EE">
        <w:rPr>
          <w:rFonts w:ascii="Arial" w:hAnsi="Arial" w:cs="Arial"/>
          <w:sz w:val="20"/>
          <w:szCs w:val="20"/>
          <w:lang w:val="en-IN"/>
        </w:rPr>
        <w:t>. Stability evaluation was conducted under refrigerated and room-temperature conditions for defined durations</w:t>
      </w:r>
      <w:r w:rsidR="00111491" w:rsidRPr="00CF06EE">
        <w:rPr>
          <w:rFonts w:ascii="Arial" w:hAnsi="Arial" w:cs="Arial"/>
          <w:sz w:val="20"/>
          <w:szCs w:val="20"/>
          <w:lang w:val="en-IN"/>
        </w:rPr>
        <w:t xml:space="preserve"> (</w:t>
      </w:r>
      <w:proofErr w:type="spellStart"/>
      <w:r w:rsidR="00111491" w:rsidRPr="00CF06EE">
        <w:rPr>
          <w:rFonts w:ascii="Arial" w:eastAsia="Times New Roman" w:hAnsi="Arial" w:cs="Arial"/>
          <w:sz w:val="20"/>
          <w:szCs w:val="20"/>
          <w:lang w:val="en-IN" w:eastAsia="en-IN"/>
        </w:rPr>
        <w:t>Mudgil</w:t>
      </w:r>
      <w:proofErr w:type="spellEnd"/>
      <w:r w:rsidR="00111491" w:rsidRPr="00CF06EE">
        <w:rPr>
          <w:rFonts w:ascii="Arial" w:eastAsia="Times New Roman" w:hAnsi="Arial" w:cs="Arial"/>
          <w:sz w:val="20"/>
          <w:szCs w:val="20"/>
          <w:lang w:val="en-IN" w:eastAsia="en-IN"/>
        </w:rPr>
        <w:t>, P et al., 2024</w:t>
      </w:r>
      <w:r w:rsidR="00EC73E9" w:rsidRPr="00CF06EE">
        <w:rPr>
          <w:rFonts w:ascii="Arial" w:eastAsia="Times New Roman" w:hAnsi="Arial" w:cs="Arial"/>
          <w:sz w:val="20"/>
          <w:szCs w:val="20"/>
          <w:lang w:val="en-IN" w:eastAsia="en-IN"/>
        </w:rPr>
        <w:t xml:space="preserve"> and </w:t>
      </w:r>
      <w:r w:rsidR="00EC73E9" w:rsidRPr="00CF06EE">
        <w:rPr>
          <w:rFonts w:ascii="Arial" w:eastAsia="Times New Roman" w:hAnsi="Arial" w:cs="Arial"/>
          <w:sz w:val="20"/>
          <w:szCs w:val="20"/>
          <w:lang w:val="en-IN"/>
        </w:rPr>
        <w:t xml:space="preserve">Meena, K. K. </w:t>
      </w:r>
      <w:r w:rsidR="00EC73E9" w:rsidRPr="00CF06EE">
        <w:rPr>
          <w:rFonts w:ascii="Arial" w:eastAsia="Times New Roman" w:hAnsi="Arial" w:cs="Arial"/>
          <w:i/>
          <w:iCs/>
          <w:sz w:val="20"/>
          <w:szCs w:val="20"/>
          <w:lang w:val="en-IN"/>
        </w:rPr>
        <w:t>et al.,</w:t>
      </w:r>
      <w:r w:rsidR="00EC73E9" w:rsidRPr="00CF06EE">
        <w:rPr>
          <w:rFonts w:ascii="Arial" w:eastAsia="Times New Roman" w:hAnsi="Arial" w:cs="Arial"/>
          <w:sz w:val="20"/>
          <w:szCs w:val="20"/>
          <w:lang w:val="en-IN"/>
        </w:rPr>
        <w:t xml:space="preserve"> 2025</w:t>
      </w:r>
      <w:r w:rsidR="00111491" w:rsidRPr="00CF06EE">
        <w:rPr>
          <w:rFonts w:ascii="Arial" w:hAnsi="Arial" w:cs="Arial"/>
          <w:sz w:val="20"/>
          <w:szCs w:val="20"/>
          <w:lang w:val="en-IN"/>
        </w:rPr>
        <w:t>)</w:t>
      </w:r>
      <w:r w:rsidRPr="00CF06EE">
        <w:rPr>
          <w:rFonts w:ascii="Arial" w:hAnsi="Arial" w:cs="Arial"/>
          <w:sz w:val="20"/>
          <w:szCs w:val="20"/>
          <w:lang w:val="en-IN"/>
        </w:rPr>
        <w:t xml:space="preserve">. Samples were </w:t>
      </w:r>
      <w:proofErr w:type="spellStart"/>
      <w:r w:rsidRPr="00CF06EE">
        <w:rPr>
          <w:rFonts w:ascii="Arial" w:hAnsi="Arial" w:cs="Arial"/>
          <w:sz w:val="20"/>
          <w:szCs w:val="20"/>
          <w:lang w:val="en-IN"/>
        </w:rPr>
        <w:t>analyzed</w:t>
      </w:r>
      <w:proofErr w:type="spellEnd"/>
      <w:r w:rsidRPr="00CF06EE">
        <w:rPr>
          <w:rFonts w:ascii="Arial" w:hAnsi="Arial" w:cs="Arial"/>
          <w:sz w:val="20"/>
          <w:szCs w:val="20"/>
          <w:lang w:val="en-IN"/>
        </w:rPr>
        <w:t xml:space="preserve"> at scheduled intervals (e.g., 1, 3, and 6 months) to assess changes in physicochemical parameters, bioactivity, and overall product integrity. Stability indicators included maintenance of antimicrobial activity, antioxidant capacity, and absence of degradation-related changes</w:t>
      </w:r>
      <w:r w:rsidR="007C5327" w:rsidRPr="00CF06EE">
        <w:rPr>
          <w:rFonts w:ascii="Arial" w:hAnsi="Arial" w:cs="Arial"/>
          <w:sz w:val="20"/>
          <w:szCs w:val="20"/>
          <w:lang w:val="en-IN"/>
        </w:rPr>
        <w:t xml:space="preserve"> (</w:t>
      </w:r>
      <w:r w:rsidR="007C5327" w:rsidRPr="00CF06EE">
        <w:rPr>
          <w:rFonts w:ascii="Arial" w:eastAsia="Times New Roman" w:hAnsi="Arial" w:cs="Arial"/>
          <w:sz w:val="20"/>
          <w:szCs w:val="20"/>
          <w:lang w:val="en-IN" w:eastAsia="en-IN"/>
        </w:rPr>
        <w:t xml:space="preserve">Jannah, S. </w:t>
      </w:r>
      <w:r w:rsidR="00EC73E9" w:rsidRPr="00CF06EE">
        <w:rPr>
          <w:rFonts w:ascii="Arial" w:eastAsia="Times New Roman" w:hAnsi="Arial" w:cs="Arial"/>
          <w:sz w:val="20"/>
          <w:szCs w:val="20"/>
          <w:lang w:val="en-IN" w:eastAsia="en-IN"/>
        </w:rPr>
        <w:t>R</w:t>
      </w:r>
      <w:r w:rsidR="00EC73E9" w:rsidRPr="00CF06EE">
        <w:rPr>
          <w:rFonts w:ascii="Arial" w:hAnsi="Arial" w:cs="Arial"/>
          <w:sz w:val="20"/>
          <w:szCs w:val="20"/>
          <w:lang w:val="en-IN"/>
        </w:rPr>
        <w:t xml:space="preserve"> et al.</w:t>
      </w:r>
      <w:r w:rsidR="007C5327" w:rsidRPr="00CF06EE">
        <w:rPr>
          <w:rFonts w:ascii="Arial" w:hAnsi="Arial" w:cs="Arial"/>
          <w:sz w:val="20"/>
          <w:szCs w:val="20"/>
          <w:lang w:val="en-IN"/>
        </w:rPr>
        <w:t>, 2022)</w:t>
      </w:r>
    </w:p>
    <w:p w14:paraId="05AAF15A" w14:textId="518B59CE" w:rsidR="00A2335A" w:rsidRPr="00CF06EE" w:rsidRDefault="00A2335A" w:rsidP="006A3041">
      <w:pPr>
        <w:spacing w:after="0" w:line="240" w:lineRule="auto"/>
        <w:jc w:val="both"/>
        <w:rPr>
          <w:rFonts w:ascii="Arial" w:hAnsi="Arial" w:cs="Arial"/>
          <w:sz w:val="20"/>
          <w:szCs w:val="20"/>
          <w:lang w:val="en-IN"/>
        </w:rPr>
      </w:pPr>
    </w:p>
    <w:p w14:paraId="09F9BB87" w14:textId="27D3DBBB" w:rsidR="00A2335A" w:rsidRPr="00CF06EE" w:rsidRDefault="003401BD" w:rsidP="006A3041">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10</w:t>
      </w:r>
      <w:r w:rsidR="00A2335A" w:rsidRPr="00CF06EE">
        <w:rPr>
          <w:rFonts w:ascii="Arial" w:hAnsi="Arial" w:cs="Arial"/>
          <w:b/>
          <w:bCs/>
          <w:sz w:val="20"/>
          <w:szCs w:val="20"/>
          <w:lang w:val="en-IN"/>
        </w:rPr>
        <w:t>.4 Monitoring Stability During Storage</w:t>
      </w:r>
    </w:p>
    <w:p w14:paraId="4C9BD580" w14:textId="434A1E2E" w:rsidR="00A2335A" w:rsidRPr="00CF06EE" w:rsidRDefault="00A2335A" w:rsidP="006A3041">
      <w:pPr>
        <w:spacing w:after="0" w:line="240" w:lineRule="auto"/>
        <w:jc w:val="both"/>
        <w:rPr>
          <w:rFonts w:ascii="Arial" w:hAnsi="Arial" w:cs="Arial"/>
          <w:sz w:val="20"/>
          <w:szCs w:val="20"/>
          <w:lang w:val="en-IN"/>
        </w:rPr>
      </w:pPr>
      <w:r w:rsidRPr="00CF06EE">
        <w:rPr>
          <w:rFonts w:ascii="Arial" w:hAnsi="Arial" w:cs="Arial"/>
          <w:sz w:val="20"/>
          <w:szCs w:val="20"/>
          <w:lang w:val="en-IN"/>
        </w:rPr>
        <w:t>Short-term stability studies were conducted by storing postbiotic samples at 4 °C and 25 °C for several weeks</w:t>
      </w:r>
      <w:r w:rsidR="00021E0B" w:rsidRPr="00CF06EE">
        <w:rPr>
          <w:rFonts w:ascii="Arial" w:hAnsi="Arial" w:cs="Arial"/>
          <w:sz w:val="20"/>
          <w:szCs w:val="20"/>
          <w:lang w:val="en-IN"/>
        </w:rPr>
        <w:t xml:space="preserve"> (</w:t>
      </w:r>
      <w:r w:rsidR="00021E0B" w:rsidRPr="00CF06EE">
        <w:rPr>
          <w:rFonts w:ascii="Arial" w:eastAsia="Times New Roman" w:hAnsi="Arial" w:cs="Arial"/>
          <w:sz w:val="20"/>
          <w:szCs w:val="20"/>
          <w:lang w:val="en-IN"/>
        </w:rPr>
        <w:t xml:space="preserve">Ge, S </w:t>
      </w:r>
      <w:r w:rsidR="00021E0B" w:rsidRPr="00CF06EE">
        <w:rPr>
          <w:rFonts w:ascii="Arial" w:eastAsia="Times New Roman" w:hAnsi="Arial" w:cs="Arial"/>
          <w:i/>
          <w:iCs/>
          <w:sz w:val="20"/>
          <w:szCs w:val="20"/>
          <w:lang w:val="en-IN"/>
        </w:rPr>
        <w:t>et al.,</w:t>
      </w:r>
      <w:r w:rsidR="00021E0B" w:rsidRPr="00CF06EE">
        <w:rPr>
          <w:rFonts w:ascii="Arial" w:eastAsia="Times New Roman" w:hAnsi="Arial" w:cs="Arial"/>
          <w:sz w:val="20"/>
          <w:szCs w:val="20"/>
          <w:lang w:val="en-IN"/>
        </w:rPr>
        <w:t xml:space="preserve"> 2024</w:t>
      </w:r>
      <w:r w:rsidR="00021E0B" w:rsidRPr="00CF06EE">
        <w:rPr>
          <w:rFonts w:ascii="Arial" w:hAnsi="Arial" w:cs="Arial"/>
          <w:sz w:val="20"/>
          <w:szCs w:val="20"/>
          <w:lang w:val="en-IN"/>
        </w:rPr>
        <w:t>)</w:t>
      </w:r>
      <w:r w:rsidRPr="00CF06EE">
        <w:rPr>
          <w:rFonts w:ascii="Arial" w:hAnsi="Arial" w:cs="Arial"/>
          <w:sz w:val="20"/>
          <w:szCs w:val="20"/>
          <w:lang w:val="en-IN"/>
        </w:rPr>
        <w:t xml:space="preserve">. At weekly intervals, aliquots were </w:t>
      </w:r>
      <w:proofErr w:type="spellStart"/>
      <w:r w:rsidRPr="00CF06EE">
        <w:rPr>
          <w:rFonts w:ascii="Arial" w:hAnsi="Arial" w:cs="Arial"/>
          <w:sz w:val="20"/>
          <w:szCs w:val="20"/>
          <w:lang w:val="en-IN"/>
        </w:rPr>
        <w:t>analyzed</w:t>
      </w:r>
      <w:proofErr w:type="spellEnd"/>
      <w:r w:rsidRPr="00CF06EE">
        <w:rPr>
          <w:rFonts w:ascii="Arial" w:hAnsi="Arial" w:cs="Arial"/>
          <w:sz w:val="20"/>
          <w:szCs w:val="20"/>
          <w:lang w:val="en-IN"/>
        </w:rPr>
        <w:t xml:space="preserve"> to monitor variations in pH, bioactive compound levels, and functional activity. Stability was expressed as the percentage retention of activity compared with initial values:</w:t>
      </w:r>
    </w:p>
    <w:p w14:paraId="115A76D4" w14:textId="3AAF52EC" w:rsidR="00A2335A" w:rsidRPr="00CF06EE" w:rsidRDefault="00A2335A" w:rsidP="006A3041">
      <w:pPr>
        <w:spacing w:after="0" w:line="240" w:lineRule="auto"/>
        <w:jc w:val="both"/>
        <w:rPr>
          <w:rFonts w:ascii="Arial" w:hAnsi="Arial" w:cs="Arial"/>
          <w:b/>
          <w:bCs/>
          <w:sz w:val="20"/>
          <w:szCs w:val="20"/>
          <w:lang w:val="en-IN"/>
        </w:rPr>
      </w:pPr>
      <m:oMathPara>
        <m:oMath>
          <m:r>
            <m:rPr>
              <m:nor/>
            </m:rPr>
            <w:rPr>
              <w:rFonts w:ascii="Arial" w:hAnsi="Arial" w:cs="Arial"/>
              <w:b/>
              <w:bCs/>
              <w:sz w:val="20"/>
              <w:szCs w:val="20"/>
              <w:lang w:val="en-IN"/>
            </w:rPr>
            <m:t>Stability Retention (%)</m:t>
          </m:r>
          <m:r>
            <m:rPr>
              <m:sty m:val="bi"/>
            </m:rPr>
            <w:rPr>
              <w:rFonts w:ascii="Cambria Math" w:hAnsi="Cambria Math" w:cs="Arial"/>
              <w:sz w:val="20"/>
              <w:szCs w:val="20"/>
              <w:lang w:val="en-IN"/>
            </w:rPr>
            <m:t>=</m:t>
          </m:r>
          <m:f>
            <m:fPr>
              <m:ctrlPr>
                <w:rPr>
                  <w:rFonts w:ascii="Cambria Math" w:hAnsi="Cambria Math" w:cs="Arial"/>
                  <w:b/>
                  <w:bCs/>
                  <w:sz w:val="20"/>
                  <w:szCs w:val="20"/>
                  <w:lang w:val="en-IN"/>
                </w:rPr>
              </m:ctrlPr>
            </m:fPr>
            <m:num>
              <m:r>
                <m:rPr>
                  <m:nor/>
                </m:rPr>
                <w:rPr>
                  <w:rFonts w:ascii="Arial" w:hAnsi="Arial" w:cs="Arial"/>
                  <w:b/>
                  <w:bCs/>
                  <w:sz w:val="20"/>
                  <w:szCs w:val="20"/>
                  <w:lang w:val="en-IN"/>
                </w:rPr>
                <m:t>Activity after storage</m:t>
              </m:r>
            </m:num>
            <m:den>
              <m:r>
                <m:rPr>
                  <m:nor/>
                </m:rPr>
                <w:rPr>
                  <w:rFonts w:ascii="Arial" w:hAnsi="Arial" w:cs="Arial"/>
                  <w:b/>
                  <w:bCs/>
                  <w:sz w:val="20"/>
                  <w:szCs w:val="20"/>
                  <w:lang w:val="en-IN"/>
                </w:rPr>
                <m:t>Initial activity</m:t>
              </m:r>
            </m:den>
          </m:f>
          <m:r>
            <m:rPr>
              <m:sty m:val="bi"/>
            </m:rPr>
            <w:rPr>
              <w:rFonts w:ascii="Cambria Math" w:hAnsi="Cambria Math" w:cs="Arial"/>
              <w:sz w:val="20"/>
              <w:szCs w:val="20"/>
              <w:lang w:val="en-IN"/>
            </w:rPr>
            <m:t>×100</m:t>
          </m:r>
          <m:r>
            <m:rPr>
              <m:sty m:val="p"/>
            </m:rPr>
            <w:rPr>
              <w:rFonts w:ascii="Cambria Math" w:hAnsi="Cambria Math" w:cs="Arial"/>
              <w:sz w:val="20"/>
              <w:szCs w:val="20"/>
              <w:lang w:val="en-IN"/>
            </w:rPr>
            <w:br/>
          </m:r>
        </m:oMath>
      </m:oMathPara>
    </w:p>
    <w:p w14:paraId="568D68FF" w14:textId="77777777" w:rsidR="00A2335A" w:rsidRPr="00CF06EE" w:rsidRDefault="00A2335A" w:rsidP="006A3041">
      <w:pPr>
        <w:spacing w:after="0" w:line="240" w:lineRule="auto"/>
        <w:jc w:val="both"/>
        <w:rPr>
          <w:rFonts w:ascii="Arial" w:hAnsi="Arial" w:cs="Arial"/>
          <w:sz w:val="20"/>
          <w:szCs w:val="20"/>
          <w:lang w:val="en-IN"/>
        </w:rPr>
      </w:pPr>
      <w:r w:rsidRPr="00CF06EE">
        <w:rPr>
          <w:rFonts w:ascii="Arial" w:hAnsi="Arial" w:cs="Arial"/>
          <w:sz w:val="20"/>
          <w:szCs w:val="20"/>
          <w:lang w:val="en-IN"/>
        </w:rPr>
        <w:t>This approach allows assessment of functional stability rather than microbial survival, which is more relevant for non-viable postbiotic preparations.</w:t>
      </w:r>
    </w:p>
    <w:p w14:paraId="48784F81" w14:textId="77777777" w:rsidR="006541E4" w:rsidRPr="00CF06EE" w:rsidRDefault="006541E4" w:rsidP="006A3041">
      <w:pPr>
        <w:spacing w:after="0" w:line="240" w:lineRule="auto"/>
        <w:jc w:val="both"/>
        <w:rPr>
          <w:rFonts w:ascii="Arial" w:hAnsi="Arial" w:cs="Arial"/>
          <w:b/>
          <w:bCs/>
          <w:sz w:val="20"/>
          <w:szCs w:val="20"/>
        </w:rPr>
      </w:pPr>
    </w:p>
    <w:p w14:paraId="05E9A53E" w14:textId="58493BC0" w:rsidR="003401BD" w:rsidRPr="00CF06EE" w:rsidRDefault="003401BD" w:rsidP="003401BD">
      <w:pPr>
        <w:spacing w:after="0" w:line="240" w:lineRule="auto"/>
        <w:jc w:val="both"/>
        <w:rPr>
          <w:rFonts w:ascii="Arial" w:eastAsia="Times New Roman" w:hAnsi="Arial" w:cs="Arial"/>
          <w:b/>
          <w:bCs/>
          <w:sz w:val="22"/>
          <w:szCs w:val="22"/>
          <w:lang w:val="en-IN"/>
        </w:rPr>
      </w:pPr>
      <w:r w:rsidRPr="00CF06EE">
        <w:rPr>
          <w:rFonts w:ascii="Arial" w:eastAsia="Times New Roman" w:hAnsi="Arial" w:cs="Arial"/>
          <w:b/>
          <w:bCs/>
          <w:sz w:val="22"/>
          <w:szCs w:val="22"/>
          <w:lang w:val="en-IN"/>
        </w:rPr>
        <w:t>11</w:t>
      </w:r>
      <w:r w:rsidR="007150F8" w:rsidRPr="00CF06EE">
        <w:rPr>
          <w:rFonts w:ascii="Arial" w:eastAsia="Times New Roman" w:hAnsi="Arial" w:cs="Arial"/>
          <w:b/>
          <w:bCs/>
          <w:sz w:val="22"/>
          <w:szCs w:val="22"/>
          <w:lang w:val="en-IN"/>
        </w:rPr>
        <w:t xml:space="preserve">. ADVANTAGES </w:t>
      </w:r>
      <w:r w:rsidRPr="00CF06EE">
        <w:rPr>
          <w:rFonts w:ascii="Arial" w:eastAsia="Times New Roman" w:hAnsi="Arial" w:cs="Arial"/>
          <w:b/>
          <w:bCs/>
          <w:sz w:val="22"/>
          <w:szCs w:val="22"/>
          <w:lang w:val="en-IN"/>
        </w:rPr>
        <w:t xml:space="preserve">AND </w:t>
      </w:r>
      <w:r w:rsidRPr="00CF06EE">
        <w:rPr>
          <w:rFonts w:ascii="Arial" w:eastAsia="Times New Roman" w:hAnsi="Arial" w:cs="Arial"/>
          <w:b/>
          <w:bCs/>
          <w:sz w:val="22"/>
          <w:szCs w:val="22"/>
          <w:lang w:val="en-IN"/>
        </w:rPr>
        <w:t>LIMITATIONS OF POSTBIOTICS</w:t>
      </w:r>
    </w:p>
    <w:p w14:paraId="7064C7E3" w14:textId="55DAE362" w:rsidR="007150F8" w:rsidRPr="00CF06EE" w:rsidRDefault="007150F8" w:rsidP="003401BD">
      <w:pPr>
        <w:spacing w:after="0" w:line="240" w:lineRule="auto"/>
        <w:jc w:val="both"/>
        <w:rPr>
          <w:rFonts w:ascii="Arial" w:eastAsia="Times New Roman" w:hAnsi="Arial" w:cs="Arial"/>
          <w:sz w:val="20"/>
          <w:szCs w:val="20"/>
          <w:lang w:val="en-IN"/>
        </w:rPr>
      </w:pPr>
      <w:r w:rsidRPr="00CF06EE">
        <w:rPr>
          <w:rFonts w:ascii="Arial" w:eastAsia="Times New Roman" w:hAnsi="Arial" w:cs="Arial"/>
          <w:sz w:val="20"/>
          <w:szCs w:val="20"/>
          <w:lang w:val="en-IN"/>
        </w:rPr>
        <w:t>Postbiotics present several advantages compared with live probiotics and traditional microbiome-modulating approaches due to their non-viable yet functionally active nature</w:t>
      </w:r>
      <w:r w:rsidR="00ED29B8" w:rsidRPr="00CF06EE">
        <w:rPr>
          <w:rFonts w:ascii="Arial" w:eastAsia="Times New Roman" w:hAnsi="Arial" w:cs="Arial"/>
          <w:sz w:val="20"/>
          <w:szCs w:val="20"/>
          <w:lang w:val="en-IN"/>
        </w:rPr>
        <w:t xml:space="preserve"> (</w:t>
      </w:r>
      <w:r w:rsidR="00ED29B8" w:rsidRPr="00CF06EE">
        <w:rPr>
          <w:rFonts w:ascii="Arial" w:eastAsia="Times New Roman" w:hAnsi="Arial" w:cs="Arial"/>
          <w:sz w:val="20"/>
          <w:szCs w:val="20"/>
        </w:rPr>
        <w:t xml:space="preserve">Aggarwal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2022</w:t>
      </w:r>
      <w:r w:rsidR="00ED29B8" w:rsidRPr="00CF06EE">
        <w:rPr>
          <w:rFonts w:ascii="Arial" w:eastAsia="Times New Roman" w:hAnsi="Arial" w:cs="Arial"/>
          <w:sz w:val="20"/>
          <w:szCs w:val="20"/>
          <w:lang w:val="en-IN"/>
        </w:rPr>
        <w:t>)</w:t>
      </w:r>
      <w:r w:rsidRPr="00CF06EE">
        <w:rPr>
          <w:rFonts w:ascii="Arial" w:eastAsia="Times New Roman" w:hAnsi="Arial" w:cs="Arial"/>
          <w:sz w:val="20"/>
          <w:szCs w:val="20"/>
          <w:lang w:val="en-IN"/>
        </w:rPr>
        <w:t>. The absence of living microorganisms significantly enhances safety by eliminating risks associated with microbial translocation, opportunistic infection, or transfer of antibiotic resistance genes, making postbiotics particularly suitable for vulnerable populations</w:t>
      </w:r>
      <w:r w:rsidR="00A82640" w:rsidRPr="00CF06EE">
        <w:rPr>
          <w:rFonts w:ascii="Arial" w:eastAsia="Times New Roman" w:hAnsi="Arial" w:cs="Arial"/>
          <w:sz w:val="20"/>
          <w:szCs w:val="20"/>
          <w:lang w:val="en-IN"/>
        </w:rPr>
        <w:t xml:space="preserve"> </w:t>
      </w:r>
      <w:r w:rsidR="00A82640" w:rsidRPr="00CF06EE">
        <w:rPr>
          <w:rFonts w:ascii="Arial" w:eastAsia="Times New Roman" w:hAnsi="Arial" w:cs="Arial"/>
          <w:sz w:val="20"/>
          <w:szCs w:val="20"/>
          <w:lang w:val="en-IN"/>
        </w:rPr>
        <w:t>(</w:t>
      </w:r>
      <w:proofErr w:type="spellStart"/>
      <w:r w:rsidR="00A82640" w:rsidRPr="00CF06EE">
        <w:rPr>
          <w:rFonts w:ascii="Arial" w:eastAsia="Times New Roman" w:hAnsi="Arial" w:cs="Arial"/>
          <w:sz w:val="20"/>
          <w:szCs w:val="20"/>
        </w:rPr>
        <w:t>Hijová</w:t>
      </w:r>
      <w:proofErr w:type="spellEnd"/>
      <w:r w:rsidR="00A82640" w:rsidRPr="00CF06EE">
        <w:rPr>
          <w:rFonts w:ascii="Arial" w:eastAsia="Times New Roman" w:hAnsi="Arial" w:cs="Arial"/>
          <w:sz w:val="20"/>
          <w:szCs w:val="20"/>
        </w:rPr>
        <w:t>, 2024</w:t>
      </w:r>
      <w:r w:rsidR="00A82640" w:rsidRPr="00CF06EE">
        <w:rPr>
          <w:rFonts w:ascii="Arial" w:eastAsia="Times New Roman" w:hAnsi="Arial" w:cs="Arial"/>
          <w:sz w:val="20"/>
          <w:szCs w:val="20"/>
          <w:lang w:val="en-IN"/>
        </w:rPr>
        <w:t>)</w:t>
      </w:r>
      <w:r w:rsidRPr="00CF06EE">
        <w:rPr>
          <w:rFonts w:ascii="Arial" w:eastAsia="Times New Roman" w:hAnsi="Arial" w:cs="Arial"/>
          <w:sz w:val="20"/>
          <w:szCs w:val="20"/>
          <w:lang w:val="en-IN"/>
        </w:rPr>
        <w:t>. In addition, postbiotic preparations exhibit superior physicochemical stability, as they are less sensitive to temperature changes, oxygen exposure, and gastric conditions. This stability enables easier incorporation into functional foods, dietary supplements, and pharmaceutical dosage forms without compromising bioactivity (</w:t>
      </w:r>
      <w:r w:rsidR="006D257D" w:rsidRPr="00CF06EE">
        <w:rPr>
          <w:rFonts w:ascii="Arial" w:eastAsia="Times New Roman" w:hAnsi="Arial" w:cs="Arial"/>
          <w:sz w:val="20"/>
          <w:szCs w:val="20"/>
        </w:rPr>
        <w:t xml:space="preserve">Hosseini </w:t>
      </w:r>
      <w:r w:rsidR="006D257D" w:rsidRPr="00CF06EE">
        <w:rPr>
          <w:rFonts w:ascii="Arial" w:eastAsia="Times New Roman" w:hAnsi="Arial" w:cs="Arial"/>
          <w:i/>
          <w:iCs/>
          <w:sz w:val="20"/>
          <w:szCs w:val="20"/>
        </w:rPr>
        <w:t>et al.,</w:t>
      </w:r>
      <w:r w:rsidR="006D257D" w:rsidRPr="00CF06EE">
        <w:rPr>
          <w:rFonts w:ascii="Arial" w:eastAsia="Times New Roman" w:hAnsi="Arial" w:cs="Arial"/>
          <w:sz w:val="20"/>
          <w:szCs w:val="20"/>
        </w:rPr>
        <w:t xml:space="preserve"> 2021</w:t>
      </w:r>
      <w:r w:rsidR="006D257D" w:rsidRPr="00CF06EE">
        <w:rPr>
          <w:rFonts w:ascii="Arial" w:eastAsia="Times New Roman" w:hAnsi="Arial" w:cs="Arial"/>
          <w:sz w:val="20"/>
          <w:szCs w:val="20"/>
          <w:lang w:val="en-IN"/>
        </w:rPr>
        <w:t xml:space="preserve">; </w:t>
      </w:r>
      <w:r w:rsidRPr="00CF06EE">
        <w:rPr>
          <w:rFonts w:ascii="Arial" w:eastAsia="Times New Roman" w:hAnsi="Arial" w:cs="Arial"/>
          <w:sz w:val="20"/>
          <w:szCs w:val="20"/>
        </w:rPr>
        <w:t>Mafe, A. N et al., 2025)</w:t>
      </w:r>
      <w:r w:rsidRPr="00CF06EE">
        <w:rPr>
          <w:rFonts w:ascii="Arial" w:eastAsia="Times New Roman" w:hAnsi="Arial" w:cs="Arial"/>
          <w:sz w:val="20"/>
          <w:szCs w:val="20"/>
          <w:lang w:val="en-IN"/>
        </w:rPr>
        <w:t>.</w:t>
      </w:r>
    </w:p>
    <w:p w14:paraId="11858B69" w14:textId="6AC880B6" w:rsidR="007150F8" w:rsidRPr="00CF06EE" w:rsidRDefault="007150F8" w:rsidP="003401BD">
      <w:pPr>
        <w:spacing w:after="0" w:line="240" w:lineRule="auto"/>
        <w:ind w:firstLine="720"/>
        <w:jc w:val="both"/>
        <w:rPr>
          <w:rFonts w:ascii="Arial" w:eastAsia="Times New Roman" w:hAnsi="Arial" w:cs="Arial"/>
          <w:sz w:val="20"/>
          <w:szCs w:val="20"/>
          <w:lang w:val="en-IN"/>
        </w:rPr>
      </w:pPr>
      <w:r w:rsidRPr="00CF06EE">
        <w:rPr>
          <w:rFonts w:ascii="Arial" w:eastAsia="Times New Roman" w:hAnsi="Arial" w:cs="Arial"/>
          <w:sz w:val="20"/>
          <w:szCs w:val="20"/>
          <w:lang w:val="en-IN"/>
        </w:rPr>
        <w:t>Another important benefit lies in their defined biochemical composition, which allows more predictable and mechanism-driven therapeutic outcomes. Bioactive molecules such as short-chain fatty acids, peptides, bacteriocins, and cell wall components interact with molecular pathways involved in immune regulation, inflammation control, and metabolic balance</w:t>
      </w:r>
      <w:r w:rsidR="00652171" w:rsidRPr="00CF06EE">
        <w:rPr>
          <w:rFonts w:ascii="Arial" w:eastAsia="Times New Roman" w:hAnsi="Arial" w:cs="Arial"/>
          <w:sz w:val="20"/>
          <w:szCs w:val="20"/>
          <w:lang w:val="en-IN"/>
        </w:rPr>
        <w:t xml:space="preserve"> (</w:t>
      </w:r>
      <w:r w:rsidR="00652171" w:rsidRPr="00CF06EE">
        <w:rPr>
          <w:rFonts w:ascii="Arial" w:eastAsia="Times New Roman" w:hAnsi="Arial" w:cs="Arial"/>
          <w:sz w:val="20"/>
          <w:szCs w:val="20"/>
        </w:rPr>
        <w:t xml:space="preserve">Moghadam </w:t>
      </w:r>
      <w:r w:rsidR="00652171" w:rsidRPr="00CF06EE">
        <w:rPr>
          <w:rFonts w:ascii="Arial" w:eastAsia="Times New Roman" w:hAnsi="Arial" w:cs="Arial"/>
          <w:i/>
          <w:iCs/>
          <w:sz w:val="20"/>
          <w:szCs w:val="20"/>
        </w:rPr>
        <w:t>et al.,</w:t>
      </w:r>
      <w:r w:rsidR="00652171" w:rsidRPr="00CF06EE">
        <w:rPr>
          <w:rFonts w:ascii="Arial" w:eastAsia="Times New Roman" w:hAnsi="Arial" w:cs="Arial"/>
          <w:sz w:val="20"/>
          <w:szCs w:val="20"/>
        </w:rPr>
        <w:t xml:space="preserve"> 2026</w:t>
      </w:r>
      <w:r w:rsidR="00652171" w:rsidRPr="00CF06EE">
        <w:rPr>
          <w:rFonts w:ascii="Arial" w:eastAsia="Times New Roman" w:hAnsi="Arial" w:cs="Arial"/>
          <w:sz w:val="20"/>
          <w:szCs w:val="20"/>
          <w:lang w:val="en-IN"/>
        </w:rPr>
        <w:t>)</w:t>
      </w:r>
      <w:r w:rsidRPr="00CF06EE">
        <w:rPr>
          <w:rFonts w:ascii="Arial" w:eastAsia="Times New Roman" w:hAnsi="Arial" w:cs="Arial"/>
          <w:sz w:val="20"/>
          <w:szCs w:val="20"/>
          <w:lang w:val="en-IN"/>
        </w:rPr>
        <w:t>. Postbiotics have also been associated with improved intestinal barrier function through enhanced tight junction protein expression and mucin synthesis, contributing to gut health and systemic homeostasis. Furthermore, their ease of standardization and reproducible dosing simplifies quality control and supports regulatory acceptance, thereby facilitating large-scale industrial and clinical applications</w:t>
      </w:r>
      <w:r w:rsidR="00D126B8" w:rsidRPr="00CF06EE">
        <w:rPr>
          <w:rFonts w:ascii="Arial" w:eastAsia="Times New Roman" w:hAnsi="Arial" w:cs="Arial"/>
          <w:sz w:val="20"/>
          <w:szCs w:val="20"/>
          <w:lang w:val="en-IN"/>
        </w:rPr>
        <w:t xml:space="preserve"> (</w:t>
      </w:r>
      <w:r w:rsidR="00D126B8" w:rsidRPr="00CF06EE">
        <w:rPr>
          <w:rFonts w:ascii="Arial" w:eastAsia="Times New Roman" w:hAnsi="Arial" w:cs="Arial"/>
          <w:sz w:val="20"/>
          <w:szCs w:val="20"/>
        </w:rPr>
        <w:t>Wegh et al., 2019</w:t>
      </w:r>
      <w:r w:rsidR="00D126B8" w:rsidRPr="00CF06EE">
        <w:rPr>
          <w:rFonts w:ascii="Arial" w:eastAsia="Times New Roman" w:hAnsi="Arial" w:cs="Arial"/>
          <w:sz w:val="20"/>
          <w:szCs w:val="20"/>
          <w:lang w:val="en-IN"/>
        </w:rPr>
        <w:t>)</w:t>
      </w:r>
      <w:r w:rsidRPr="00CF06EE">
        <w:rPr>
          <w:rFonts w:ascii="Arial" w:eastAsia="Times New Roman" w:hAnsi="Arial" w:cs="Arial"/>
          <w:sz w:val="20"/>
          <w:szCs w:val="20"/>
          <w:lang w:val="en-IN"/>
        </w:rPr>
        <w:t>.</w:t>
      </w:r>
    </w:p>
    <w:p w14:paraId="3C776F68" w14:textId="48DA17AF" w:rsidR="007150F8" w:rsidRPr="00CF06EE" w:rsidRDefault="007150F8" w:rsidP="003401BD">
      <w:pPr>
        <w:spacing w:after="0" w:line="240" w:lineRule="auto"/>
        <w:jc w:val="both"/>
        <w:rPr>
          <w:rFonts w:ascii="Arial" w:eastAsia="Times New Roman" w:hAnsi="Arial" w:cs="Arial"/>
          <w:sz w:val="20"/>
          <w:szCs w:val="20"/>
          <w:lang w:val="en-IN"/>
        </w:rPr>
      </w:pPr>
      <w:r w:rsidRPr="00CF06EE">
        <w:rPr>
          <w:rFonts w:ascii="Arial" w:eastAsia="Times New Roman" w:hAnsi="Arial" w:cs="Arial"/>
          <w:b/>
          <w:bCs/>
          <w:sz w:val="22"/>
          <w:szCs w:val="22"/>
          <w:lang w:val="en-IN"/>
        </w:rPr>
        <w:t xml:space="preserve"> </w:t>
      </w:r>
      <w:r w:rsidR="003401BD" w:rsidRPr="00CF06EE">
        <w:rPr>
          <w:rFonts w:ascii="Arial" w:eastAsia="Times New Roman" w:hAnsi="Arial" w:cs="Arial"/>
          <w:b/>
          <w:bCs/>
          <w:sz w:val="22"/>
          <w:szCs w:val="22"/>
          <w:lang w:val="en-IN"/>
        </w:rPr>
        <w:tab/>
      </w:r>
      <w:r w:rsidRPr="00CF06EE">
        <w:rPr>
          <w:rFonts w:ascii="Arial" w:eastAsia="Times New Roman" w:hAnsi="Arial" w:cs="Arial"/>
          <w:sz w:val="20"/>
          <w:szCs w:val="20"/>
          <w:lang w:val="en-IN"/>
        </w:rPr>
        <w:t>Despite increasing scientific interest, several challenges continue to limit the broader clinical and industrial adoption of postbiotics (</w:t>
      </w:r>
      <w:r w:rsidRPr="00CF06EE">
        <w:rPr>
          <w:rFonts w:ascii="Arial" w:eastAsia="Times New Roman" w:hAnsi="Arial" w:cs="Arial"/>
          <w:sz w:val="20"/>
          <w:szCs w:val="20"/>
        </w:rPr>
        <w:t>Mafe, A. N et al., 2025)</w:t>
      </w:r>
      <w:r w:rsidRPr="00CF06EE">
        <w:rPr>
          <w:rFonts w:ascii="Arial" w:eastAsia="Times New Roman" w:hAnsi="Arial" w:cs="Arial"/>
          <w:sz w:val="20"/>
          <w:szCs w:val="20"/>
          <w:lang w:val="en-IN"/>
        </w:rPr>
        <w:t>. Current research remains fragmented, with considerable variability in study design, dosage regimens, and formulation strategies, making it difficult to establish unified conclusions regarding efficacy</w:t>
      </w:r>
      <w:r w:rsidR="00A82640" w:rsidRPr="00CF06EE">
        <w:rPr>
          <w:rFonts w:ascii="Arial" w:eastAsia="Times New Roman" w:hAnsi="Arial" w:cs="Arial"/>
          <w:sz w:val="20"/>
          <w:szCs w:val="20"/>
          <w:lang w:val="en-IN"/>
        </w:rPr>
        <w:t xml:space="preserve"> </w:t>
      </w:r>
      <w:r w:rsidR="00A82640" w:rsidRPr="00CF06EE">
        <w:rPr>
          <w:rFonts w:ascii="Arial" w:eastAsia="Times New Roman" w:hAnsi="Arial" w:cs="Arial"/>
          <w:sz w:val="20"/>
          <w:szCs w:val="20"/>
          <w:lang w:val="en-IN"/>
        </w:rPr>
        <w:t>(</w:t>
      </w:r>
      <w:proofErr w:type="spellStart"/>
      <w:r w:rsidR="00A82640" w:rsidRPr="00CF06EE">
        <w:rPr>
          <w:rFonts w:ascii="Arial" w:eastAsia="Times New Roman" w:hAnsi="Arial" w:cs="Arial"/>
          <w:sz w:val="20"/>
          <w:szCs w:val="20"/>
        </w:rPr>
        <w:t>Hijová</w:t>
      </w:r>
      <w:proofErr w:type="spellEnd"/>
      <w:r w:rsidR="00A82640" w:rsidRPr="00CF06EE">
        <w:rPr>
          <w:rFonts w:ascii="Arial" w:eastAsia="Times New Roman" w:hAnsi="Arial" w:cs="Arial"/>
          <w:sz w:val="20"/>
          <w:szCs w:val="20"/>
        </w:rPr>
        <w:t>, 2024</w:t>
      </w:r>
      <w:r w:rsidR="00A82640" w:rsidRPr="00CF06EE">
        <w:rPr>
          <w:rFonts w:ascii="Arial" w:eastAsia="Times New Roman" w:hAnsi="Arial" w:cs="Arial"/>
          <w:sz w:val="20"/>
          <w:szCs w:val="20"/>
          <w:lang w:val="en-IN"/>
        </w:rPr>
        <w:t>)</w:t>
      </w:r>
      <w:r w:rsidRPr="00CF06EE">
        <w:rPr>
          <w:rFonts w:ascii="Arial" w:eastAsia="Times New Roman" w:hAnsi="Arial" w:cs="Arial"/>
          <w:sz w:val="20"/>
          <w:szCs w:val="20"/>
          <w:lang w:val="en-IN"/>
        </w:rPr>
        <w:t xml:space="preserve">. The absence of universally accepted production standards and analytical protocols further complicates comparisons across studies and hinders regulatory harmonization. While most investigations focus on gastrointestinal and immune-related outcomes, comparatively fewer studies explore applications in metabolic disorders, neurological health, or oncology, indicating significant gaps in translational research. Addressing these limitations will require well-designed clinical trials, standardized characterization methods, and interdisciplinary collaboration to fully realize the therapeutic potential of postbiotics (Calvanese, C. M </w:t>
      </w:r>
      <w:r w:rsidRPr="00CF06EE">
        <w:rPr>
          <w:rFonts w:ascii="Arial" w:eastAsia="Times New Roman" w:hAnsi="Arial" w:cs="Arial"/>
          <w:i/>
          <w:iCs/>
          <w:sz w:val="20"/>
          <w:szCs w:val="20"/>
          <w:lang w:val="en-IN"/>
        </w:rPr>
        <w:t>et al.,</w:t>
      </w:r>
      <w:r w:rsidRPr="00CF06EE">
        <w:rPr>
          <w:rFonts w:ascii="Arial" w:eastAsia="Times New Roman" w:hAnsi="Arial" w:cs="Arial"/>
          <w:sz w:val="20"/>
          <w:szCs w:val="20"/>
          <w:lang w:val="en-IN"/>
        </w:rPr>
        <w:t xml:space="preserve"> 2025).</w:t>
      </w:r>
    </w:p>
    <w:p w14:paraId="4CF9C28B" w14:textId="77777777" w:rsidR="007150F8" w:rsidRPr="00CF06EE" w:rsidRDefault="007150F8" w:rsidP="007150F8">
      <w:pPr>
        <w:spacing w:after="0" w:line="240" w:lineRule="auto"/>
        <w:ind w:firstLine="720"/>
        <w:jc w:val="both"/>
        <w:rPr>
          <w:rFonts w:ascii="Arial" w:eastAsia="Times New Roman" w:hAnsi="Arial" w:cs="Arial"/>
          <w:sz w:val="20"/>
          <w:szCs w:val="20"/>
          <w:lang w:val="en-IN"/>
        </w:rPr>
      </w:pPr>
    </w:p>
    <w:p w14:paraId="24A93F91" w14:textId="6A120058" w:rsidR="007150F8" w:rsidRPr="00CF06EE" w:rsidRDefault="003401BD" w:rsidP="007150F8">
      <w:pPr>
        <w:spacing w:after="0" w:line="240" w:lineRule="auto"/>
        <w:jc w:val="both"/>
        <w:rPr>
          <w:rFonts w:ascii="Arial" w:hAnsi="Arial" w:cs="Arial"/>
          <w:b/>
          <w:bCs/>
          <w:sz w:val="20"/>
          <w:szCs w:val="20"/>
        </w:rPr>
      </w:pPr>
      <w:r w:rsidRPr="00CF06EE">
        <w:rPr>
          <w:rFonts w:ascii="Arial" w:hAnsi="Arial" w:cs="Arial"/>
          <w:b/>
          <w:bCs/>
          <w:sz w:val="20"/>
          <w:szCs w:val="20"/>
        </w:rPr>
        <w:t>12. FUTURE PERSPECTIVES</w:t>
      </w:r>
    </w:p>
    <w:p w14:paraId="6CB29271" w14:textId="48A231A8" w:rsidR="007150F8" w:rsidRPr="00CF06EE" w:rsidRDefault="00F22CA2" w:rsidP="00A82640">
      <w:pPr>
        <w:spacing w:after="0" w:line="240" w:lineRule="auto"/>
        <w:ind w:firstLine="720"/>
        <w:jc w:val="both"/>
        <w:rPr>
          <w:rFonts w:ascii="Arial" w:hAnsi="Arial" w:cs="Arial"/>
          <w:sz w:val="20"/>
          <w:szCs w:val="20"/>
        </w:rPr>
      </w:pPr>
      <w:r w:rsidRPr="00CF06EE">
        <w:rPr>
          <w:rFonts w:ascii="Arial" w:hAnsi="Arial" w:cs="Arial"/>
          <w:sz w:val="20"/>
          <w:szCs w:val="20"/>
        </w:rPr>
        <w:lastRenderedPageBreak/>
        <w:t>Future research on postbiotics should focus on standardizing production methods, identifying key bioactive molecules responsible for therapeutic effects, and validating their efficacy through well-designed clinical studies</w:t>
      </w:r>
      <w:r w:rsidR="00ED29B8" w:rsidRPr="00CF06EE">
        <w:rPr>
          <w:rFonts w:ascii="Arial" w:hAnsi="Arial" w:cs="Arial"/>
          <w:sz w:val="20"/>
          <w:szCs w:val="20"/>
        </w:rPr>
        <w:t xml:space="preserve"> (</w:t>
      </w:r>
      <w:r w:rsidR="00ED29B8" w:rsidRPr="00CF06EE">
        <w:rPr>
          <w:rFonts w:ascii="Arial" w:eastAsia="Times New Roman" w:hAnsi="Arial" w:cs="Arial"/>
          <w:sz w:val="20"/>
          <w:szCs w:val="20"/>
        </w:rPr>
        <w:t xml:space="preserve">Aggarwal </w:t>
      </w:r>
      <w:r w:rsidR="00ED29B8" w:rsidRPr="00CF06EE">
        <w:rPr>
          <w:rFonts w:ascii="Arial" w:eastAsia="Times New Roman" w:hAnsi="Arial" w:cs="Arial"/>
          <w:i/>
          <w:iCs/>
          <w:sz w:val="20"/>
          <w:szCs w:val="20"/>
        </w:rPr>
        <w:t>et al.,</w:t>
      </w:r>
      <w:r w:rsidR="00ED29B8" w:rsidRPr="00CF06EE">
        <w:rPr>
          <w:rFonts w:ascii="Arial" w:eastAsia="Times New Roman" w:hAnsi="Arial" w:cs="Arial"/>
          <w:sz w:val="20"/>
          <w:szCs w:val="20"/>
        </w:rPr>
        <w:t xml:space="preserve"> 2022</w:t>
      </w:r>
      <w:r w:rsidR="00A82640" w:rsidRPr="00CF06EE">
        <w:rPr>
          <w:rFonts w:ascii="Arial" w:eastAsia="Times New Roman" w:hAnsi="Arial" w:cs="Arial"/>
          <w:sz w:val="20"/>
          <w:szCs w:val="20"/>
        </w:rPr>
        <w:t xml:space="preserve">; </w:t>
      </w:r>
      <w:proofErr w:type="spellStart"/>
      <w:r w:rsidR="00A82640" w:rsidRPr="00CF06EE">
        <w:rPr>
          <w:rFonts w:ascii="Arial" w:eastAsia="Times New Roman" w:hAnsi="Arial" w:cs="Arial"/>
          <w:sz w:val="20"/>
          <w:szCs w:val="20"/>
        </w:rPr>
        <w:t>Hijová</w:t>
      </w:r>
      <w:proofErr w:type="spellEnd"/>
      <w:r w:rsidR="00A82640" w:rsidRPr="00CF06EE">
        <w:rPr>
          <w:rFonts w:ascii="Arial" w:eastAsia="Times New Roman" w:hAnsi="Arial" w:cs="Arial"/>
          <w:sz w:val="20"/>
          <w:szCs w:val="20"/>
        </w:rPr>
        <w:t>, 2024</w:t>
      </w:r>
      <w:r w:rsidR="00652171" w:rsidRPr="00CF06EE">
        <w:rPr>
          <w:rFonts w:ascii="Arial" w:eastAsia="Times New Roman" w:hAnsi="Arial" w:cs="Arial"/>
          <w:sz w:val="20"/>
          <w:szCs w:val="20"/>
        </w:rPr>
        <w:t xml:space="preserve">; </w:t>
      </w:r>
      <w:r w:rsidR="00652171" w:rsidRPr="00CF06EE">
        <w:rPr>
          <w:rFonts w:ascii="Arial" w:eastAsia="Times New Roman" w:hAnsi="Arial" w:cs="Arial"/>
          <w:sz w:val="20"/>
          <w:szCs w:val="20"/>
        </w:rPr>
        <w:t xml:space="preserve">Moghadam </w:t>
      </w:r>
      <w:r w:rsidR="00652171" w:rsidRPr="00CF06EE">
        <w:rPr>
          <w:rFonts w:ascii="Arial" w:eastAsia="Times New Roman" w:hAnsi="Arial" w:cs="Arial"/>
          <w:i/>
          <w:iCs/>
          <w:sz w:val="20"/>
          <w:szCs w:val="20"/>
        </w:rPr>
        <w:t>et al.,</w:t>
      </w:r>
      <w:r w:rsidR="00652171" w:rsidRPr="00CF06EE">
        <w:rPr>
          <w:rFonts w:ascii="Arial" w:eastAsia="Times New Roman" w:hAnsi="Arial" w:cs="Arial"/>
          <w:sz w:val="20"/>
          <w:szCs w:val="20"/>
        </w:rPr>
        <w:t xml:space="preserve"> 2026</w:t>
      </w:r>
      <w:r w:rsidR="00ED29B8" w:rsidRPr="00CF06EE">
        <w:rPr>
          <w:rFonts w:ascii="Arial" w:hAnsi="Arial" w:cs="Arial"/>
          <w:sz w:val="20"/>
          <w:szCs w:val="20"/>
        </w:rPr>
        <w:t>)</w:t>
      </w:r>
      <w:r w:rsidRPr="00CF06EE">
        <w:rPr>
          <w:rFonts w:ascii="Arial" w:hAnsi="Arial" w:cs="Arial"/>
          <w:sz w:val="20"/>
          <w:szCs w:val="20"/>
        </w:rPr>
        <w:t>. Advances in fermentation technology, metabolomics, and molecular characterization are expected to improve the development of targeted and reproducible postbiotic formulations. In addition, expanding research into pharmaceutical, nutraceutical, and cosmetic applications may further enhance the translational potential of postbiotics in health and biotechnology sectors</w:t>
      </w:r>
      <w:r w:rsidR="00006602" w:rsidRPr="00CF06EE">
        <w:rPr>
          <w:rFonts w:ascii="Arial" w:hAnsi="Arial" w:cs="Arial"/>
          <w:sz w:val="20"/>
          <w:szCs w:val="20"/>
        </w:rPr>
        <w:t xml:space="preserve"> (</w:t>
      </w:r>
      <w:r w:rsidR="00006602" w:rsidRPr="00CF06EE">
        <w:rPr>
          <w:rFonts w:ascii="Arial" w:eastAsia="Times New Roman" w:hAnsi="Arial" w:cs="Arial"/>
          <w:sz w:val="20"/>
          <w:szCs w:val="20"/>
        </w:rPr>
        <w:t xml:space="preserve">Moradi </w:t>
      </w:r>
      <w:r w:rsidR="00006602" w:rsidRPr="00CF06EE">
        <w:rPr>
          <w:rFonts w:ascii="Arial" w:eastAsia="Times New Roman" w:hAnsi="Arial" w:cs="Arial"/>
          <w:i/>
          <w:iCs/>
          <w:sz w:val="20"/>
          <w:szCs w:val="20"/>
        </w:rPr>
        <w:t>et al.,</w:t>
      </w:r>
      <w:r w:rsidR="00006602" w:rsidRPr="00CF06EE">
        <w:rPr>
          <w:rFonts w:ascii="Arial" w:eastAsia="Times New Roman" w:hAnsi="Arial" w:cs="Arial"/>
          <w:sz w:val="20"/>
          <w:szCs w:val="20"/>
        </w:rPr>
        <w:t xml:space="preserve"> 2020</w:t>
      </w:r>
      <w:r w:rsidR="00652171" w:rsidRPr="00CF06EE">
        <w:rPr>
          <w:rFonts w:ascii="Arial" w:eastAsia="Times New Roman" w:hAnsi="Arial" w:cs="Arial"/>
          <w:sz w:val="20"/>
          <w:szCs w:val="20"/>
        </w:rPr>
        <w:t xml:space="preserve">; </w:t>
      </w:r>
      <w:r w:rsidR="00652171" w:rsidRPr="00CF06EE">
        <w:rPr>
          <w:rFonts w:ascii="Arial" w:eastAsia="Times New Roman" w:hAnsi="Arial" w:cs="Arial"/>
          <w:sz w:val="20"/>
          <w:szCs w:val="20"/>
        </w:rPr>
        <w:t xml:space="preserve">Moghadam </w:t>
      </w:r>
      <w:r w:rsidR="00652171" w:rsidRPr="00CF06EE">
        <w:rPr>
          <w:rFonts w:ascii="Arial" w:eastAsia="Times New Roman" w:hAnsi="Arial" w:cs="Arial"/>
          <w:i/>
          <w:iCs/>
          <w:sz w:val="20"/>
          <w:szCs w:val="20"/>
        </w:rPr>
        <w:t>et al.,</w:t>
      </w:r>
      <w:r w:rsidR="00652171" w:rsidRPr="00CF06EE">
        <w:rPr>
          <w:rFonts w:ascii="Arial" w:eastAsia="Times New Roman" w:hAnsi="Arial" w:cs="Arial"/>
          <w:sz w:val="20"/>
          <w:szCs w:val="20"/>
        </w:rPr>
        <w:t xml:space="preserve"> 2026</w:t>
      </w:r>
      <w:r w:rsidR="00006602" w:rsidRPr="00CF06EE">
        <w:rPr>
          <w:rFonts w:ascii="Arial" w:hAnsi="Arial" w:cs="Arial"/>
          <w:sz w:val="20"/>
          <w:szCs w:val="20"/>
        </w:rPr>
        <w:t>)</w:t>
      </w:r>
      <w:r w:rsidRPr="00CF06EE">
        <w:rPr>
          <w:rFonts w:ascii="Arial" w:hAnsi="Arial" w:cs="Arial"/>
          <w:sz w:val="20"/>
          <w:szCs w:val="20"/>
        </w:rPr>
        <w:t>.</w:t>
      </w:r>
    </w:p>
    <w:p w14:paraId="0810165A" w14:textId="77777777" w:rsidR="00A82640" w:rsidRPr="00CF06EE" w:rsidRDefault="00A82640" w:rsidP="007150F8">
      <w:pPr>
        <w:spacing w:after="0" w:line="240" w:lineRule="auto"/>
        <w:jc w:val="both"/>
        <w:rPr>
          <w:rFonts w:ascii="Arial" w:hAnsi="Arial" w:cs="Arial"/>
          <w:sz w:val="20"/>
          <w:szCs w:val="20"/>
          <w:lang w:val="en-IN"/>
        </w:rPr>
      </w:pPr>
    </w:p>
    <w:p w14:paraId="6F853043" w14:textId="756832E6" w:rsidR="009B5155" w:rsidRPr="00CF06EE" w:rsidRDefault="003401BD" w:rsidP="006A3041">
      <w:pPr>
        <w:spacing w:after="0" w:line="240" w:lineRule="auto"/>
        <w:jc w:val="both"/>
        <w:rPr>
          <w:rFonts w:ascii="Arial" w:hAnsi="Arial" w:cs="Arial"/>
          <w:b/>
          <w:bCs/>
          <w:sz w:val="20"/>
          <w:szCs w:val="20"/>
          <w:lang w:val="en-IN"/>
        </w:rPr>
      </w:pPr>
      <w:r w:rsidRPr="00CF06EE">
        <w:rPr>
          <w:rFonts w:ascii="Arial" w:hAnsi="Arial" w:cs="Arial"/>
          <w:b/>
          <w:bCs/>
          <w:sz w:val="20"/>
          <w:szCs w:val="20"/>
          <w:lang w:val="en-IN"/>
        </w:rPr>
        <w:t>13. CONCLUSION</w:t>
      </w:r>
    </w:p>
    <w:p w14:paraId="2B88FA87" w14:textId="77777777" w:rsidR="000D0647" w:rsidRPr="000D0647" w:rsidRDefault="000D0647" w:rsidP="000D0647">
      <w:pPr>
        <w:spacing w:after="0" w:line="240" w:lineRule="auto"/>
        <w:ind w:firstLine="720"/>
        <w:jc w:val="both"/>
        <w:rPr>
          <w:rFonts w:ascii="Arial" w:hAnsi="Arial" w:cs="Arial"/>
          <w:sz w:val="20"/>
          <w:szCs w:val="20"/>
          <w:lang w:val="en-IN"/>
        </w:rPr>
      </w:pPr>
      <w:r w:rsidRPr="000D0647">
        <w:rPr>
          <w:rFonts w:ascii="Arial" w:hAnsi="Arial" w:cs="Arial"/>
          <w:sz w:val="20"/>
          <w:szCs w:val="20"/>
          <w:lang w:val="en-IN"/>
        </w:rPr>
        <w:t xml:space="preserve">Postbiotics have emerged as a promising class of functional biotics with significant potential in biotechnology, healthcare, and industrial applications. Unlike live probiotics, postbiotics provide defined bioactive compounds with improved stability, safety, and ease of formulation, making them attractive for pharmaceutical, nutraceutical, and cosmetic developments. The present review highlights the diverse sources, biochemical composition, production strategies, and characterization approaches that underpin postbiotic functionality. Mechanistic insights demonstrate that postbiotics contribute to epithelial barrier reinforcement, immune modulation, metabolic regulation, antimicrobial </w:t>
      </w:r>
      <w:proofErr w:type="spellStart"/>
      <w:r w:rsidRPr="000D0647">
        <w:rPr>
          <w:rFonts w:ascii="Arial" w:hAnsi="Arial" w:cs="Arial"/>
          <w:sz w:val="20"/>
          <w:szCs w:val="20"/>
          <w:lang w:val="en-IN"/>
        </w:rPr>
        <w:t>defense</w:t>
      </w:r>
      <w:proofErr w:type="spellEnd"/>
      <w:r w:rsidRPr="000D0647">
        <w:rPr>
          <w:rFonts w:ascii="Arial" w:hAnsi="Arial" w:cs="Arial"/>
          <w:sz w:val="20"/>
          <w:szCs w:val="20"/>
          <w:lang w:val="en-IN"/>
        </w:rPr>
        <w:t xml:space="preserve">, and systemic </w:t>
      </w:r>
      <w:proofErr w:type="spellStart"/>
      <w:r w:rsidRPr="000D0647">
        <w:rPr>
          <w:rFonts w:ascii="Arial" w:hAnsi="Arial" w:cs="Arial"/>
          <w:sz w:val="20"/>
          <w:szCs w:val="20"/>
          <w:lang w:val="en-IN"/>
        </w:rPr>
        <w:t>signaling</w:t>
      </w:r>
      <w:proofErr w:type="spellEnd"/>
      <w:r w:rsidRPr="000D0647">
        <w:rPr>
          <w:rFonts w:ascii="Arial" w:hAnsi="Arial" w:cs="Arial"/>
          <w:sz w:val="20"/>
          <w:szCs w:val="20"/>
          <w:lang w:val="en-IN"/>
        </w:rPr>
        <w:t xml:space="preserve"> through gut–organ axes.</w:t>
      </w:r>
    </w:p>
    <w:p w14:paraId="40FFC65D" w14:textId="77777777" w:rsidR="000D0647" w:rsidRPr="000D0647" w:rsidRDefault="000D0647" w:rsidP="000D0647">
      <w:pPr>
        <w:spacing w:after="0" w:line="240" w:lineRule="auto"/>
        <w:ind w:firstLine="720"/>
        <w:jc w:val="both"/>
        <w:rPr>
          <w:rFonts w:ascii="Arial" w:hAnsi="Arial" w:cs="Arial"/>
          <w:sz w:val="20"/>
          <w:szCs w:val="20"/>
          <w:lang w:val="en-IN"/>
        </w:rPr>
      </w:pPr>
      <w:r w:rsidRPr="000D0647">
        <w:rPr>
          <w:rFonts w:ascii="Arial" w:hAnsi="Arial" w:cs="Arial"/>
          <w:sz w:val="20"/>
          <w:szCs w:val="20"/>
          <w:lang w:val="en-IN"/>
        </w:rPr>
        <w:t>Despite these advantages, challenges such as standardization of production protocols, variability among microbial strains, and limited long-term clinical data remain. Addressing these limitations requires integrated research combining microbiology, bioprocess engineering, and clinical validation. Future research integrating advanced fermentation technologies, molecular characterization, and precision engineering approaches will be essential to unlock the full therapeutic potential of postbiotics.</w:t>
      </w:r>
    </w:p>
    <w:p w14:paraId="2F69B5E7" w14:textId="77777777" w:rsidR="000D0647" w:rsidRPr="000D0647" w:rsidRDefault="000D0647" w:rsidP="000D0647">
      <w:pPr>
        <w:spacing w:after="0" w:line="240" w:lineRule="auto"/>
        <w:ind w:firstLine="720"/>
        <w:jc w:val="both"/>
        <w:rPr>
          <w:rFonts w:ascii="Arial" w:hAnsi="Arial" w:cs="Arial"/>
          <w:sz w:val="20"/>
          <w:szCs w:val="20"/>
          <w:lang w:val="en-IN"/>
        </w:rPr>
      </w:pPr>
      <w:r w:rsidRPr="000D0647">
        <w:rPr>
          <w:rFonts w:ascii="Arial" w:hAnsi="Arial" w:cs="Arial"/>
          <w:sz w:val="20"/>
          <w:szCs w:val="20"/>
          <w:lang w:val="en-IN"/>
        </w:rPr>
        <w:t>Furthermore, expanding clinical studies and developing regulatory frameworks will be crucial for translating laboratory findings into safe and effective commercial products. Overall, postbiotics represent a safe, stable, and scientifically evolving platform for next-generation functional products aimed at improving human health and wellbeing.</w:t>
      </w:r>
    </w:p>
    <w:p w14:paraId="2EE72A4C" w14:textId="77777777" w:rsidR="009B5155" w:rsidRPr="00CF06EE" w:rsidRDefault="009B5155" w:rsidP="006A3041">
      <w:pPr>
        <w:spacing w:after="0" w:line="240" w:lineRule="auto"/>
        <w:jc w:val="both"/>
        <w:rPr>
          <w:rFonts w:ascii="Arial" w:hAnsi="Arial" w:cs="Arial"/>
          <w:b/>
          <w:bCs/>
          <w:sz w:val="20"/>
          <w:szCs w:val="20"/>
          <w:lang w:val="en-IN"/>
        </w:rPr>
      </w:pPr>
    </w:p>
    <w:p w14:paraId="7BEB6AF3" w14:textId="77777777" w:rsidR="005D1A7E" w:rsidRPr="00CF06EE" w:rsidRDefault="006541E4" w:rsidP="006A3041">
      <w:pPr>
        <w:spacing w:after="0" w:line="240" w:lineRule="auto"/>
        <w:jc w:val="both"/>
        <w:rPr>
          <w:rFonts w:ascii="Arial" w:hAnsi="Arial" w:cs="Arial"/>
          <w:b/>
          <w:bCs/>
          <w:sz w:val="20"/>
          <w:szCs w:val="20"/>
        </w:rPr>
      </w:pPr>
      <w:r w:rsidRPr="00CF06EE">
        <w:rPr>
          <w:rFonts w:ascii="Arial" w:hAnsi="Arial" w:cs="Arial"/>
          <w:b/>
          <w:bCs/>
          <w:sz w:val="20"/>
          <w:szCs w:val="20"/>
        </w:rPr>
        <w:t>DISCLAIMER (ARTIFICIAL INTELLIGENCE)</w:t>
      </w:r>
    </w:p>
    <w:p w14:paraId="025F8B91" w14:textId="77777777" w:rsidR="005D1A7E" w:rsidRPr="00CF06EE" w:rsidRDefault="006541E4" w:rsidP="006A3041">
      <w:pPr>
        <w:spacing w:after="0" w:line="240" w:lineRule="auto"/>
        <w:ind w:firstLine="720"/>
        <w:jc w:val="both"/>
        <w:rPr>
          <w:rFonts w:ascii="Arial" w:hAnsi="Arial" w:cs="Arial"/>
          <w:sz w:val="20"/>
          <w:szCs w:val="20"/>
        </w:rPr>
      </w:pPr>
      <w:r w:rsidRPr="00CF06EE">
        <w:rPr>
          <w:rFonts w:ascii="Arial" w:hAnsi="Arial" w:cs="Arial"/>
          <w:sz w:val="20"/>
          <w:szCs w:val="20"/>
        </w:rPr>
        <w:t xml:space="preserve">The authors declare that generative artificial intelligence tools, including ChatGPT (OpenAI), Perplexity AI, and Google Gemini, were used only for language editing, text refinement, and schematic image preparation. All scientific content, interpretation, and conclusions are the sole responsibility of the authors. </w:t>
      </w:r>
    </w:p>
    <w:p w14:paraId="3026D05A" w14:textId="77777777" w:rsidR="005D1A7E" w:rsidRPr="00CF06EE" w:rsidRDefault="005D1A7E" w:rsidP="006A3041">
      <w:pPr>
        <w:spacing w:after="0" w:line="240" w:lineRule="auto"/>
        <w:jc w:val="both"/>
        <w:rPr>
          <w:rFonts w:ascii="Arial" w:hAnsi="Arial" w:cs="Arial"/>
          <w:sz w:val="20"/>
          <w:szCs w:val="20"/>
        </w:rPr>
      </w:pPr>
    </w:p>
    <w:p w14:paraId="1FBCA559" w14:textId="77777777" w:rsidR="002C7716" w:rsidRPr="00CF06EE" w:rsidRDefault="002C7716" w:rsidP="002C7716">
      <w:pPr>
        <w:spacing w:after="0" w:line="240" w:lineRule="auto"/>
        <w:jc w:val="both"/>
        <w:rPr>
          <w:rFonts w:ascii="Arial" w:hAnsi="Arial" w:cs="Arial"/>
          <w:sz w:val="22"/>
          <w:szCs w:val="22"/>
        </w:rPr>
      </w:pPr>
      <w:r w:rsidRPr="00CF06EE">
        <w:rPr>
          <w:rFonts w:ascii="Arial" w:hAnsi="Arial" w:cs="Arial"/>
          <w:b/>
          <w:bCs/>
          <w:sz w:val="22"/>
          <w:szCs w:val="22"/>
          <w:lang w:val="en-IN"/>
        </w:rPr>
        <w:t>Abbreviations</w:t>
      </w:r>
    </w:p>
    <w:p w14:paraId="2320036D" w14:textId="77777777" w:rsidR="002C7716" w:rsidRPr="00CF06EE" w:rsidRDefault="002C7716" w:rsidP="002C7716">
      <w:pPr>
        <w:spacing w:after="0" w:line="240" w:lineRule="auto"/>
        <w:jc w:val="both"/>
        <w:rPr>
          <w:rFonts w:ascii="Arial" w:hAnsi="Arial" w:cs="Arial"/>
          <w:sz w:val="20"/>
          <w:szCs w:val="20"/>
          <w:lang w:val="en-IN"/>
        </w:rPr>
      </w:pPr>
      <w:r w:rsidRPr="00CF06EE">
        <w:rPr>
          <w:rFonts w:ascii="Arial" w:hAnsi="Arial" w:cs="Arial"/>
          <w:b/>
          <w:bCs/>
          <w:sz w:val="20"/>
          <w:szCs w:val="20"/>
          <w:lang w:val="en-IN"/>
        </w:rPr>
        <w:t xml:space="preserve">SCFAs </w:t>
      </w:r>
      <w:r w:rsidRPr="00CF06EE">
        <w:rPr>
          <w:rFonts w:ascii="Arial" w:hAnsi="Arial" w:cs="Arial"/>
          <w:sz w:val="20"/>
          <w:szCs w:val="20"/>
          <w:lang w:val="en-IN"/>
        </w:rPr>
        <w:t xml:space="preserve">– Short-Chain Fatty Acids; </w:t>
      </w:r>
      <w:r w:rsidRPr="00CF06EE">
        <w:rPr>
          <w:rFonts w:ascii="Arial" w:hAnsi="Arial" w:cs="Arial"/>
          <w:b/>
          <w:bCs/>
          <w:sz w:val="20"/>
          <w:szCs w:val="20"/>
          <w:lang w:val="en-IN"/>
        </w:rPr>
        <w:t xml:space="preserve">EPS </w:t>
      </w:r>
      <w:r w:rsidRPr="00CF06EE">
        <w:rPr>
          <w:rFonts w:ascii="Arial" w:hAnsi="Arial" w:cs="Arial"/>
          <w:sz w:val="20"/>
          <w:szCs w:val="20"/>
          <w:lang w:val="en-IN"/>
        </w:rPr>
        <w:t xml:space="preserve">– Exopolysaccharides; </w:t>
      </w:r>
      <w:r w:rsidRPr="00CF06EE">
        <w:rPr>
          <w:rFonts w:ascii="Arial" w:hAnsi="Arial" w:cs="Arial"/>
          <w:b/>
          <w:bCs/>
          <w:sz w:val="20"/>
          <w:szCs w:val="20"/>
          <w:lang w:val="en-IN"/>
        </w:rPr>
        <w:t xml:space="preserve">BAPs </w:t>
      </w:r>
      <w:r w:rsidRPr="00CF06EE">
        <w:rPr>
          <w:rFonts w:ascii="Arial" w:hAnsi="Arial" w:cs="Arial"/>
          <w:sz w:val="20"/>
          <w:szCs w:val="20"/>
          <w:lang w:val="en-IN"/>
        </w:rPr>
        <w:t xml:space="preserve">– Bioactive Peptides; </w:t>
      </w:r>
      <w:r w:rsidRPr="00CF06EE">
        <w:rPr>
          <w:rFonts w:ascii="Arial" w:hAnsi="Arial" w:cs="Arial"/>
          <w:b/>
          <w:bCs/>
          <w:sz w:val="20"/>
          <w:szCs w:val="20"/>
          <w:lang w:val="en-IN"/>
        </w:rPr>
        <w:t>GABA</w:t>
      </w:r>
      <w:r w:rsidRPr="00CF06EE">
        <w:rPr>
          <w:rFonts w:ascii="Arial" w:hAnsi="Arial" w:cs="Arial"/>
          <w:sz w:val="20"/>
          <w:szCs w:val="20"/>
          <w:lang w:val="en-IN"/>
        </w:rPr>
        <w:t xml:space="preserve"> – Gamma-Aminobutyric Acid; </w:t>
      </w:r>
      <w:r w:rsidRPr="00CF06EE">
        <w:rPr>
          <w:rFonts w:ascii="Arial" w:hAnsi="Arial" w:cs="Arial"/>
          <w:b/>
          <w:bCs/>
          <w:sz w:val="20"/>
          <w:szCs w:val="20"/>
          <w:lang w:val="en-IN"/>
        </w:rPr>
        <w:t>FTIR</w:t>
      </w:r>
      <w:r w:rsidRPr="00CF06EE">
        <w:rPr>
          <w:rFonts w:ascii="Arial" w:hAnsi="Arial" w:cs="Arial"/>
          <w:sz w:val="20"/>
          <w:szCs w:val="20"/>
          <w:lang w:val="en-IN"/>
        </w:rPr>
        <w:t xml:space="preserve"> – Fourier Transform Infrared Spectroscopy; </w:t>
      </w:r>
      <w:r w:rsidRPr="00CF06EE">
        <w:rPr>
          <w:rFonts w:ascii="Arial" w:hAnsi="Arial" w:cs="Arial"/>
          <w:b/>
          <w:bCs/>
          <w:sz w:val="20"/>
          <w:szCs w:val="20"/>
          <w:lang w:val="en-IN"/>
        </w:rPr>
        <w:t>TTA</w:t>
      </w:r>
      <w:r w:rsidRPr="00CF06EE">
        <w:rPr>
          <w:rFonts w:ascii="Arial" w:hAnsi="Arial" w:cs="Arial"/>
          <w:sz w:val="20"/>
          <w:szCs w:val="20"/>
          <w:lang w:val="en-IN"/>
        </w:rPr>
        <w:t xml:space="preserve"> – Total Titratable Acidity; </w:t>
      </w:r>
      <w:r w:rsidRPr="00CF06EE">
        <w:rPr>
          <w:rFonts w:ascii="Arial" w:hAnsi="Arial" w:cs="Arial"/>
          <w:b/>
          <w:bCs/>
          <w:sz w:val="20"/>
          <w:szCs w:val="20"/>
          <w:lang w:val="en-IN"/>
        </w:rPr>
        <w:t>NF</w:t>
      </w:r>
      <w:r w:rsidRPr="00CF06EE">
        <w:rPr>
          <w:rFonts w:ascii="Arial" w:hAnsi="Arial" w:cs="Arial"/>
          <w:sz w:val="20"/>
          <w:szCs w:val="20"/>
          <w:lang w:val="en-IN"/>
        </w:rPr>
        <w:t>-</w:t>
      </w:r>
      <w:proofErr w:type="spellStart"/>
      <w:r w:rsidRPr="00CF06EE">
        <w:rPr>
          <w:rFonts w:ascii="Arial" w:hAnsi="Arial" w:cs="Arial"/>
          <w:b/>
          <w:bCs/>
          <w:sz w:val="20"/>
          <w:szCs w:val="20"/>
          <w:lang w:val="en-IN"/>
        </w:rPr>
        <w:t>κB</w:t>
      </w:r>
      <w:proofErr w:type="spellEnd"/>
      <w:r w:rsidRPr="00CF06EE">
        <w:rPr>
          <w:rFonts w:ascii="Arial" w:hAnsi="Arial" w:cs="Arial"/>
          <w:sz w:val="20"/>
          <w:szCs w:val="20"/>
          <w:lang w:val="en-IN"/>
        </w:rPr>
        <w:t xml:space="preserve"> – Nuclear Factor Kappa B; </w:t>
      </w:r>
      <w:r w:rsidRPr="00CF06EE">
        <w:rPr>
          <w:rFonts w:ascii="Arial" w:hAnsi="Arial" w:cs="Arial"/>
          <w:b/>
          <w:bCs/>
          <w:sz w:val="20"/>
          <w:szCs w:val="20"/>
          <w:lang w:val="en-IN"/>
        </w:rPr>
        <w:t xml:space="preserve">MAPK </w:t>
      </w:r>
      <w:r w:rsidRPr="00CF06EE">
        <w:rPr>
          <w:rFonts w:ascii="Arial" w:hAnsi="Arial" w:cs="Arial"/>
          <w:sz w:val="20"/>
          <w:szCs w:val="20"/>
          <w:lang w:val="en-IN"/>
        </w:rPr>
        <w:t xml:space="preserve">– Mitogen-Activated Protein Kinase; </w:t>
      </w:r>
      <w:r w:rsidRPr="00CF06EE">
        <w:rPr>
          <w:rFonts w:ascii="Arial" w:hAnsi="Arial" w:cs="Arial"/>
          <w:b/>
          <w:bCs/>
          <w:sz w:val="20"/>
          <w:szCs w:val="20"/>
          <w:lang w:val="en-IN"/>
        </w:rPr>
        <w:t>TLRs</w:t>
      </w:r>
      <w:r w:rsidRPr="00CF06EE">
        <w:rPr>
          <w:rFonts w:ascii="Arial" w:hAnsi="Arial" w:cs="Arial"/>
          <w:sz w:val="20"/>
          <w:szCs w:val="20"/>
          <w:lang w:val="en-IN"/>
        </w:rPr>
        <w:t xml:space="preserve"> – Toll-Like Receptors; </w:t>
      </w:r>
      <w:r w:rsidRPr="00CF06EE">
        <w:rPr>
          <w:rFonts w:ascii="Arial" w:hAnsi="Arial" w:cs="Arial"/>
          <w:b/>
          <w:bCs/>
          <w:sz w:val="20"/>
          <w:szCs w:val="20"/>
          <w:lang w:val="en-IN"/>
        </w:rPr>
        <w:t>GPCRs</w:t>
      </w:r>
      <w:r w:rsidRPr="00CF06EE">
        <w:rPr>
          <w:rFonts w:ascii="Arial" w:hAnsi="Arial" w:cs="Arial"/>
          <w:sz w:val="20"/>
          <w:szCs w:val="20"/>
          <w:lang w:val="en-IN"/>
        </w:rPr>
        <w:t xml:space="preserve"> – G-Protein-Coupled Receptors; </w:t>
      </w:r>
      <w:r w:rsidRPr="00CF06EE">
        <w:rPr>
          <w:rFonts w:ascii="Arial" w:hAnsi="Arial" w:cs="Arial"/>
          <w:b/>
          <w:bCs/>
          <w:sz w:val="20"/>
          <w:szCs w:val="20"/>
          <w:lang w:val="en-IN"/>
        </w:rPr>
        <w:t>ROS</w:t>
      </w:r>
      <w:r w:rsidRPr="00CF06EE">
        <w:rPr>
          <w:rFonts w:ascii="Arial" w:hAnsi="Arial" w:cs="Arial"/>
          <w:sz w:val="20"/>
          <w:szCs w:val="20"/>
          <w:lang w:val="en-IN"/>
        </w:rPr>
        <w:t xml:space="preserve"> – Reactive Oxygen Species; </w:t>
      </w:r>
      <w:r w:rsidRPr="00CF06EE">
        <w:rPr>
          <w:rFonts w:ascii="Arial" w:hAnsi="Arial" w:cs="Arial"/>
          <w:b/>
          <w:bCs/>
          <w:sz w:val="20"/>
          <w:szCs w:val="20"/>
          <w:lang w:val="en-IN"/>
        </w:rPr>
        <w:t>SOD</w:t>
      </w:r>
      <w:r w:rsidRPr="00CF06EE">
        <w:rPr>
          <w:rFonts w:ascii="Arial" w:hAnsi="Arial" w:cs="Arial"/>
          <w:sz w:val="20"/>
          <w:szCs w:val="20"/>
          <w:lang w:val="en-IN"/>
        </w:rPr>
        <w:t xml:space="preserve"> – Superoxide Dismutase; </w:t>
      </w:r>
      <w:r w:rsidRPr="00CF06EE">
        <w:rPr>
          <w:rFonts w:ascii="Arial" w:hAnsi="Arial" w:cs="Arial"/>
          <w:b/>
          <w:bCs/>
          <w:sz w:val="20"/>
          <w:szCs w:val="20"/>
          <w:lang w:val="en-IN"/>
        </w:rPr>
        <w:t>CAT</w:t>
      </w:r>
      <w:r w:rsidRPr="00CF06EE">
        <w:rPr>
          <w:rFonts w:ascii="Arial" w:hAnsi="Arial" w:cs="Arial"/>
          <w:sz w:val="20"/>
          <w:szCs w:val="20"/>
          <w:lang w:val="en-IN"/>
        </w:rPr>
        <w:t xml:space="preserve"> – Catalase; </w:t>
      </w:r>
      <w:proofErr w:type="spellStart"/>
      <w:r w:rsidRPr="00CF06EE">
        <w:rPr>
          <w:rFonts w:ascii="Arial" w:hAnsi="Arial" w:cs="Arial"/>
          <w:b/>
          <w:bCs/>
          <w:sz w:val="20"/>
          <w:szCs w:val="20"/>
          <w:lang w:val="en-IN"/>
        </w:rPr>
        <w:t>GPx</w:t>
      </w:r>
      <w:proofErr w:type="spellEnd"/>
      <w:r w:rsidRPr="00CF06EE">
        <w:rPr>
          <w:rFonts w:ascii="Arial" w:hAnsi="Arial" w:cs="Arial"/>
          <w:sz w:val="20"/>
          <w:szCs w:val="20"/>
          <w:lang w:val="en-IN"/>
        </w:rPr>
        <w:t xml:space="preserve"> – Glutathione Peroxidase; </w:t>
      </w:r>
      <w:r w:rsidRPr="00CF06EE">
        <w:rPr>
          <w:rFonts w:ascii="Arial" w:hAnsi="Arial" w:cs="Arial"/>
          <w:b/>
          <w:bCs/>
          <w:sz w:val="20"/>
          <w:szCs w:val="20"/>
          <w:lang w:val="en-IN"/>
        </w:rPr>
        <w:t>MRS</w:t>
      </w:r>
      <w:r w:rsidRPr="00CF06EE">
        <w:rPr>
          <w:rFonts w:ascii="Arial" w:hAnsi="Arial" w:cs="Arial"/>
          <w:sz w:val="20"/>
          <w:szCs w:val="20"/>
          <w:lang w:val="en-IN"/>
        </w:rPr>
        <w:t xml:space="preserve"> – De Man, </w:t>
      </w:r>
      <w:proofErr w:type="spellStart"/>
      <w:r w:rsidRPr="00CF06EE">
        <w:rPr>
          <w:rFonts w:ascii="Arial" w:hAnsi="Arial" w:cs="Arial"/>
          <w:sz w:val="20"/>
          <w:szCs w:val="20"/>
          <w:lang w:val="en-IN"/>
        </w:rPr>
        <w:t>Rogosa</w:t>
      </w:r>
      <w:proofErr w:type="spellEnd"/>
      <w:r w:rsidRPr="00CF06EE">
        <w:rPr>
          <w:rFonts w:ascii="Arial" w:hAnsi="Arial" w:cs="Arial"/>
          <w:sz w:val="20"/>
          <w:szCs w:val="20"/>
          <w:lang w:val="en-IN"/>
        </w:rPr>
        <w:t xml:space="preserve"> and Sharpe Medium; </w:t>
      </w:r>
      <w:r w:rsidRPr="00CF06EE">
        <w:rPr>
          <w:rFonts w:ascii="Arial" w:hAnsi="Arial" w:cs="Arial"/>
          <w:b/>
          <w:bCs/>
          <w:sz w:val="20"/>
          <w:szCs w:val="20"/>
          <w:lang w:val="en-IN"/>
        </w:rPr>
        <w:t>PBS</w:t>
      </w:r>
      <w:r w:rsidRPr="00CF06EE">
        <w:rPr>
          <w:rFonts w:ascii="Arial" w:hAnsi="Arial" w:cs="Arial"/>
          <w:sz w:val="20"/>
          <w:szCs w:val="20"/>
          <w:lang w:val="en-IN"/>
        </w:rPr>
        <w:t xml:space="preserve"> – Phosphate Buffered Saline; </w:t>
      </w:r>
      <w:r w:rsidRPr="00CF06EE">
        <w:rPr>
          <w:rFonts w:ascii="Arial" w:hAnsi="Arial" w:cs="Arial"/>
          <w:b/>
          <w:bCs/>
          <w:sz w:val="20"/>
          <w:szCs w:val="20"/>
          <w:lang w:val="en-IN"/>
        </w:rPr>
        <w:t>DPPH</w:t>
      </w:r>
      <w:r w:rsidRPr="00CF06EE">
        <w:rPr>
          <w:rFonts w:ascii="Arial" w:hAnsi="Arial" w:cs="Arial"/>
          <w:sz w:val="20"/>
          <w:szCs w:val="20"/>
          <w:lang w:val="en-IN"/>
        </w:rPr>
        <w:t xml:space="preserve"> – 2,2-Diphenyl-1-picrylhydrazyl. </w:t>
      </w:r>
    </w:p>
    <w:p w14:paraId="4DBC2BAA" w14:textId="77777777" w:rsidR="002C7716" w:rsidRPr="00CF06EE" w:rsidRDefault="002C7716" w:rsidP="009E32B0">
      <w:pPr>
        <w:spacing w:after="0" w:line="240" w:lineRule="auto"/>
        <w:ind w:firstLine="720"/>
        <w:jc w:val="both"/>
        <w:rPr>
          <w:rFonts w:ascii="Arial" w:hAnsi="Arial" w:cs="Arial"/>
          <w:sz w:val="20"/>
          <w:szCs w:val="20"/>
          <w:lang w:val="en-IN"/>
        </w:rPr>
      </w:pPr>
    </w:p>
    <w:p w14:paraId="45EAE75F" w14:textId="77777777" w:rsidR="00E96633" w:rsidRPr="00CF06EE" w:rsidRDefault="00E96633" w:rsidP="006A3041">
      <w:pPr>
        <w:spacing w:after="0" w:line="240" w:lineRule="auto"/>
        <w:jc w:val="both"/>
        <w:rPr>
          <w:rFonts w:ascii="Arial" w:hAnsi="Arial" w:cs="Arial"/>
          <w:sz w:val="20"/>
          <w:szCs w:val="20"/>
          <w:lang w:val="en-IN"/>
        </w:rPr>
      </w:pPr>
    </w:p>
    <w:p w14:paraId="720A3ACB" w14:textId="6E1F6823" w:rsidR="77416251" w:rsidRPr="00CF06EE" w:rsidRDefault="77416251" w:rsidP="006A3041">
      <w:pPr>
        <w:spacing w:after="0" w:line="240" w:lineRule="auto"/>
        <w:jc w:val="both"/>
        <w:rPr>
          <w:rFonts w:ascii="Arial" w:hAnsi="Arial" w:cs="Arial"/>
          <w:b/>
          <w:bCs/>
          <w:sz w:val="20"/>
          <w:szCs w:val="20"/>
        </w:rPr>
      </w:pPr>
      <w:r w:rsidRPr="00CF06EE">
        <w:rPr>
          <w:rFonts w:ascii="Arial" w:hAnsi="Arial" w:cs="Arial"/>
          <w:b/>
          <w:bCs/>
          <w:sz w:val="20"/>
          <w:szCs w:val="20"/>
        </w:rPr>
        <w:t xml:space="preserve">12. References </w:t>
      </w:r>
    </w:p>
    <w:p w14:paraId="52CC0167" w14:textId="77777777" w:rsidR="007F6F49" w:rsidRPr="00CF06EE" w:rsidRDefault="007F6F49" w:rsidP="006A3041">
      <w:pPr>
        <w:spacing w:after="0" w:line="240" w:lineRule="auto"/>
        <w:jc w:val="both"/>
        <w:rPr>
          <w:rFonts w:ascii="Arial" w:eastAsia="Times New Roman" w:hAnsi="Arial" w:cs="Arial"/>
          <w:sz w:val="20"/>
          <w:szCs w:val="20"/>
        </w:rPr>
      </w:pPr>
    </w:p>
    <w:p w14:paraId="4D353ECB" w14:textId="6BB0B335" w:rsidR="00EA48BD" w:rsidRPr="00CF06EE" w:rsidRDefault="00EA48BD"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Aggarwal, S., Sabharwal, V., Kaushik, P., Joshi, A., Aayushi, A., &amp; Suri, M. (2022). Postbiotics: From emerging concept to application. </w:t>
      </w:r>
      <w:r w:rsidRPr="00CF06EE">
        <w:rPr>
          <w:rFonts w:ascii="Arial" w:eastAsia="Times New Roman" w:hAnsi="Arial" w:cs="Arial"/>
          <w:i/>
          <w:iCs/>
          <w:sz w:val="20"/>
          <w:szCs w:val="20"/>
        </w:rPr>
        <w:t>Frontiers in Sustainable Food Systems</w:t>
      </w:r>
      <w:r w:rsidRPr="00CF06EE">
        <w:rPr>
          <w:rFonts w:ascii="Arial" w:eastAsia="Times New Roman" w:hAnsi="Arial" w:cs="Arial"/>
          <w:sz w:val="20"/>
          <w:szCs w:val="20"/>
        </w:rPr>
        <w:t>, </w:t>
      </w:r>
      <w:r w:rsidRPr="00CF06EE">
        <w:rPr>
          <w:rFonts w:ascii="Arial" w:eastAsia="Times New Roman" w:hAnsi="Arial" w:cs="Arial"/>
          <w:i/>
          <w:iCs/>
          <w:sz w:val="20"/>
          <w:szCs w:val="20"/>
        </w:rPr>
        <w:t>6</w:t>
      </w:r>
      <w:r w:rsidRPr="00CF06EE">
        <w:rPr>
          <w:rFonts w:ascii="Arial" w:eastAsia="Times New Roman" w:hAnsi="Arial" w:cs="Arial"/>
          <w:sz w:val="20"/>
          <w:szCs w:val="20"/>
        </w:rPr>
        <w:t>. https://doi.org/10.3389/fsufs.2022.887642</w:t>
      </w:r>
    </w:p>
    <w:p w14:paraId="7BD5C896" w14:textId="335E8C33"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eastAsia="en-IN"/>
        </w:rPr>
        <w:t xml:space="preserve">Akman, P. K., Kutlu, G., &amp; Tornuk, F. (2023). </w:t>
      </w:r>
      <w:r w:rsidRPr="00CF06EE">
        <w:rPr>
          <w:rFonts w:ascii="Arial" w:eastAsia="Times New Roman" w:hAnsi="Arial" w:cs="Arial"/>
          <w:sz w:val="20"/>
          <w:szCs w:val="20"/>
          <w:lang w:eastAsia="en-IN"/>
        </w:rPr>
        <w:t xml:space="preserve">Development and characterization of a novel sodium alginate based active film supplemented with </w:t>
      </w:r>
      <w:proofErr w:type="spellStart"/>
      <w:r w:rsidRPr="00CF06EE">
        <w:rPr>
          <w:rFonts w:ascii="Arial" w:eastAsia="Times New Roman" w:hAnsi="Arial" w:cs="Arial"/>
          <w:sz w:val="20"/>
          <w:szCs w:val="20"/>
          <w:lang w:eastAsia="en-IN"/>
        </w:rPr>
        <w:t>Lactiplantibacillus</w:t>
      </w:r>
      <w:proofErr w:type="spellEnd"/>
      <w:r w:rsidRPr="00CF06EE">
        <w:rPr>
          <w:rFonts w:ascii="Arial" w:eastAsia="Times New Roman" w:hAnsi="Arial" w:cs="Arial"/>
          <w:sz w:val="20"/>
          <w:szCs w:val="20"/>
          <w:lang w:eastAsia="en-IN"/>
        </w:rPr>
        <w:t xml:space="preserve"> plantarum postbiotic. </w:t>
      </w:r>
      <w:r w:rsidRPr="00CF06EE">
        <w:rPr>
          <w:rFonts w:ascii="Arial" w:eastAsia="Times New Roman" w:hAnsi="Arial" w:cs="Arial"/>
          <w:i/>
          <w:iCs/>
          <w:sz w:val="20"/>
          <w:szCs w:val="20"/>
          <w:lang w:eastAsia="en-IN"/>
        </w:rPr>
        <w:t>International Journal of Biological Macromolecules</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244</w:t>
      </w:r>
      <w:r w:rsidRPr="00CF06EE">
        <w:rPr>
          <w:rFonts w:ascii="Arial" w:eastAsia="Times New Roman" w:hAnsi="Arial" w:cs="Arial"/>
          <w:sz w:val="20"/>
          <w:szCs w:val="20"/>
          <w:lang w:eastAsia="en-IN"/>
        </w:rPr>
        <w:t>, 125240. </w:t>
      </w:r>
      <w:hyperlink r:id="rId11" w:history="1">
        <w:r w:rsidRPr="00CF06EE">
          <w:rPr>
            <w:rStyle w:val="Hyperlink"/>
            <w:rFonts w:ascii="Arial" w:eastAsia="Times New Roman" w:hAnsi="Arial" w:cs="Arial"/>
            <w:color w:val="auto"/>
            <w:sz w:val="20"/>
            <w:szCs w:val="20"/>
            <w:lang w:eastAsia="en-IN"/>
          </w:rPr>
          <w:t>https://doi.org/10.1016/j.ijbiomac.2023.125240</w:t>
        </w:r>
      </w:hyperlink>
      <w:r w:rsidRPr="00CF06EE">
        <w:rPr>
          <w:rFonts w:ascii="Arial" w:eastAsia="Times New Roman" w:hAnsi="Arial" w:cs="Arial"/>
          <w:sz w:val="20"/>
          <w:szCs w:val="20"/>
          <w:lang w:eastAsia="en-IN"/>
        </w:rPr>
        <w:t xml:space="preserve">. </w:t>
      </w:r>
    </w:p>
    <w:p w14:paraId="537D1F9F"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CF06EE">
        <w:rPr>
          <w:rFonts w:ascii="Arial" w:eastAsia="Times New Roman" w:hAnsi="Arial" w:cs="Arial"/>
          <w:sz w:val="20"/>
          <w:szCs w:val="20"/>
        </w:rPr>
        <w:t>Amobonye</w:t>
      </w:r>
      <w:proofErr w:type="spellEnd"/>
      <w:r w:rsidRPr="00CF06EE">
        <w:rPr>
          <w:rFonts w:ascii="Arial" w:eastAsia="Times New Roman" w:hAnsi="Arial" w:cs="Arial"/>
          <w:sz w:val="20"/>
          <w:szCs w:val="20"/>
        </w:rPr>
        <w:t xml:space="preserve">, A., Pillay, B., </w:t>
      </w:r>
      <w:proofErr w:type="spellStart"/>
      <w:r w:rsidRPr="00CF06EE">
        <w:rPr>
          <w:rFonts w:ascii="Arial" w:eastAsia="Times New Roman" w:hAnsi="Arial" w:cs="Arial"/>
          <w:sz w:val="20"/>
          <w:szCs w:val="20"/>
        </w:rPr>
        <w:t>Hlope</w:t>
      </w:r>
      <w:proofErr w:type="spellEnd"/>
      <w:r w:rsidRPr="00CF06EE">
        <w:rPr>
          <w:rFonts w:ascii="Arial" w:eastAsia="Times New Roman" w:hAnsi="Arial" w:cs="Arial"/>
          <w:sz w:val="20"/>
          <w:szCs w:val="20"/>
        </w:rPr>
        <w:t>, F., Asong, S. T., &amp; Pillai, S. (2025). Postbiotics: an insightful review of the latest category in functional biotics. </w:t>
      </w:r>
      <w:r w:rsidRPr="00CF06EE">
        <w:rPr>
          <w:rFonts w:ascii="Arial" w:eastAsia="Times New Roman" w:hAnsi="Arial" w:cs="Arial"/>
          <w:i/>
          <w:iCs/>
          <w:sz w:val="20"/>
          <w:szCs w:val="20"/>
        </w:rPr>
        <w:t>World Journal of Microbiology and Biotechnology</w:t>
      </w:r>
      <w:r w:rsidRPr="00CF06EE">
        <w:rPr>
          <w:rFonts w:ascii="Arial" w:eastAsia="Times New Roman" w:hAnsi="Arial" w:cs="Arial"/>
          <w:sz w:val="20"/>
          <w:szCs w:val="20"/>
        </w:rPr>
        <w:t>, </w:t>
      </w:r>
      <w:r w:rsidRPr="00CF06EE">
        <w:rPr>
          <w:rFonts w:ascii="Arial" w:eastAsia="Times New Roman" w:hAnsi="Arial" w:cs="Arial"/>
          <w:i/>
          <w:iCs/>
          <w:sz w:val="20"/>
          <w:szCs w:val="20"/>
        </w:rPr>
        <w:t>41</w:t>
      </w:r>
      <w:r w:rsidRPr="00CF06EE">
        <w:rPr>
          <w:rFonts w:ascii="Arial" w:eastAsia="Times New Roman" w:hAnsi="Arial" w:cs="Arial"/>
          <w:sz w:val="20"/>
          <w:szCs w:val="20"/>
        </w:rPr>
        <w:t>(8), 293. </w:t>
      </w:r>
      <w:hyperlink r:id="rId12" w:history="1">
        <w:r w:rsidRPr="00CF06EE">
          <w:rPr>
            <w:rStyle w:val="Hyperlink"/>
            <w:rFonts w:ascii="Arial" w:eastAsia="Times New Roman" w:hAnsi="Arial" w:cs="Arial"/>
            <w:color w:val="auto"/>
            <w:sz w:val="20"/>
            <w:szCs w:val="20"/>
          </w:rPr>
          <w:t>https://doi.org/10.1007/s11274-025-04483-8</w:t>
        </w:r>
      </w:hyperlink>
      <w:r w:rsidRPr="00CF06EE">
        <w:rPr>
          <w:rFonts w:ascii="Arial" w:eastAsia="Times New Roman" w:hAnsi="Arial" w:cs="Arial"/>
          <w:sz w:val="20"/>
          <w:szCs w:val="20"/>
        </w:rPr>
        <w:t>.</w:t>
      </w:r>
    </w:p>
    <w:p w14:paraId="0232FDCB"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 xml:space="preserve">Asefa, Z., Belay, A., </w:t>
      </w:r>
      <w:proofErr w:type="spellStart"/>
      <w:r w:rsidRPr="00CF06EE">
        <w:rPr>
          <w:rFonts w:ascii="Arial" w:eastAsia="Times New Roman" w:hAnsi="Arial" w:cs="Arial"/>
          <w:sz w:val="20"/>
          <w:szCs w:val="20"/>
        </w:rPr>
        <w:t>Welelaw</w:t>
      </w:r>
      <w:proofErr w:type="spellEnd"/>
      <w:r w:rsidRPr="00CF06EE">
        <w:rPr>
          <w:rFonts w:ascii="Arial" w:eastAsia="Times New Roman" w:hAnsi="Arial" w:cs="Arial"/>
          <w:sz w:val="20"/>
          <w:szCs w:val="20"/>
        </w:rPr>
        <w:t>, E., &amp; Haile, M. (2025). Postbiotics and their biotherapeutic potential for chronic disease and their feature perspective: a review. </w:t>
      </w:r>
      <w:r w:rsidRPr="00CF06EE">
        <w:rPr>
          <w:rFonts w:ascii="Arial" w:eastAsia="Times New Roman" w:hAnsi="Arial" w:cs="Arial"/>
          <w:i/>
          <w:iCs/>
          <w:sz w:val="20"/>
          <w:szCs w:val="20"/>
        </w:rPr>
        <w:t>Frontiers in Microbiomes</w:t>
      </w:r>
      <w:r w:rsidRPr="00CF06EE">
        <w:rPr>
          <w:rFonts w:ascii="Arial" w:eastAsia="Times New Roman" w:hAnsi="Arial" w:cs="Arial"/>
          <w:sz w:val="20"/>
          <w:szCs w:val="20"/>
        </w:rPr>
        <w:t>, </w:t>
      </w:r>
      <w:r w:rsidRPr="00CF06EE">
        <w:rPr>
          <w:rFonts w:ascii="Arial" w:eastAsia="Times New Roman" w:hAnsi="Arial" w:cs="Arial"/>
          <w:i/>
          <w:iCs/>
          <w:sz w:val="20"/>
          <w:szCs w:val="20"/>
        </w:rPr>
        <w:t>4</w:t>
      </w:r>
      <w:r w:rsidRPr="00CF06EE">
        <w:rPr>
          <w:rFonts w:ascii="Arial" w:eastAsia="Times New Roman" w:hAnsi="Arial" w:cs="Arial"/>
          <w:sz w:val="20"/>
          <w:szCs w:val="20"/>
        </w:rPr>
        <w:t>. </w:t>
      </w:r>
      <w:hyperlink r:id="rId13" w:history="1">
        <w:r w:rsidRPr="00CF06EE">
          <w:rPr>
            <w:rStyle w:val="Hyperlink"/>
            <w:rFonts w:ascii="Arial" w:eastAsia="Times New Roman" w:hAnsi="Arial" w:cs="Arial"/>
            <w:color w:val="auto"/>
            <w:sz w:val="20"/>
            <w:szCs w:val="20"/>
          </w:rPr>
          <w:t>https://doi.org/10.3389/frmbi.2025.1489339</w:t>
        </w:r>
      </w:hyperlink>
      <w:r w:rsidRPr="00CF06EE">
        <w:rPr>
          <w:rFonts w:ascii="Arial" w:eastAsia="Times New Roman" w:hAnsi="Arial" w:cs="Arial"/>
          <w:sz w:val="20"/>
          <w:szCs w:val="20"/>
        </w:rPr>
        <w:t xml:space="preserve">. </w:t>
      </w:r>
    </w:p>
    <w:p w14:paraId="793EFEDA"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rPr>
        <w:t xml:space="preserve">Balakrishna, K., Naveena, G., &amp; Kingston, J. J. (2026). </w:t>
      </w:r>
      <w:r w:rsidRPr="00CF06EE">
        <w:rPr>
          <w:rFonts w:ascii="Arial" w:eastAsia="Times New Roman" w:hAnsi="Arial" w:cs="Arial"/>
          <w:sz w:val="20"/>
          <w:szCs w:val="20"/>
        </w:rPr>
        <w:t>Postbiotics at the interface of microbial biotechnology and therapeutics: industrial production, functional mechanisms, and clinical potentials. </w:t>
      </w:r>
      <w:r w:rsidRPr="00CF06EE">
        <w:rPr>
          <w:rFonts w:ascii="Arial" w:eastAsia="Times New Roman" w:hAnsi="Arial" w:cs="Arial"/>
          <w:i/>
          <w:iCs/>
          <w:sz w:val="20"/>
          <w:szCs w:val="20"/>
        </w:rPr>
        <w:t>Archives of Microbiology</w:t>
      </w:r>
      <w:r w:rsidRPr="00CF06EE">
        <w:rPr>
          <w:rFonts w:ascii="Arial" w:eastAsia="Times New Roman" w:hAnsi="Arial" w:cs="Arial"/>
          <w:sz w:val="20"/>
          <w:szCs w:val="20"/>
        </w:rPr>
        <w:t>, </w:t>
      </w:r>
      <w:r w:rsidRPr="00CF06EE">
        <w:rPr>
          <w:rFonts w:ascii="Arial" w:eastAsia="Times New Roman" w:hAnsi="Arial" w:cs="Arial"/>
          <w:i/>
          <w:iCs/>
          <w:sz w:val="20"/>
          <w:szCs w:val="20"/>
        </w:rPr>
        <w:t>208</w:t>
      </w:r>
      <w:r w:rsidRPr="00CF06EE">
        <w:rPr>
          <w:rFonts w:ascii="Arial" w:eastAsia="Times New Roman" w:hAnsi="Arial" w:cs="Arial"/>
          <w:sz w:val="20"/>
          <w:szCs w:val="20"/>
        </w:rPr>
        <w:t>(2), 123. https://doi.org/10.1007/s00203-025-04701-9</w:t>
      </w:r>
    </w:p>
    <w:p w14:paraId="6B0B1276" w14:textId="3E7EB50B" w:rsidR="005B4DB4" w:rsidRPr="00CF06EE" w:rsidRDefault="005B4DB4"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eastAsia="en-IN"/>
        </w:rPr>
        <w:lastRenderedPageBreak/>
        <w:t xml:space="preserve">Br, A. (2025c). Assessment of the Stability and Viability of a Probiotic Formulation with Strains of </w:t>
      </w:r>
      <w:proofErr w:type="spellStart"/>
      <w:r w:rsidRPr="00CF06EE">
        <w:rPr>
          <w:rFonts w:ascii="Arial" w:eastAsia="Times New Roman" w:hAnsi="Arial" w:cs="Arial"/>
          <w:sz w:val="20"/>
          <w:szCs w:val="20"/>
          <w:lang w:eastAsia="en-IN"/>
        </w:rPr>
        <w:t>Lactiplantibacillus</w:t>
      </w:r>
      <w:proofErr w:type="spellEnd"/>
      <w:r w:rsidRPr="00CF06EE">
        <w:rPr>
          <w:rFonts w:ascii="Arial" w:eastAsia="Times New Roman" w:hAnsi="Arial" w:cs="Arial"/>
          <w:sz w:val="20"/>
          <w:szCs w:val="20"/>
          <w:lang w:eastAsia="en-IN"/>
        </w:rPr>
        <w:t xml:space="preserve"> LH05 and LH06 Isolated from Breast Milk. </w:t>
      </w:r>
      <w:r w:rsidRPr="00CF06EE">
        <w:rPr>
          <w:rFonts w:ascii="Arial" w:eastAsia="Times New Roman" w:hAnsi="Arial" w:cs="Arial"/>
          <w:i/>
          <w:iCs/>
          <w:sz w:val="20"/>
          <w:szCs w:val="20"/>
          <w:lang w:eastAsia="en-IN"/>
        </w:rPr>
        <w:t>Food Science &amp; Nutrition</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11</w:t>
      </w:r>
      <w:r w:rsidRPr="00CF06EE">
        <w:rPr>
          <w:rFonts w:ascii="Arial" w:eastAsia="Times New Roman" w:hAnsi="Arial" w:cs="Arial"/>
          <w:sz w:val="20"/>
          <w:szCs w:val="20"/>
          <w:lang w:eastAsia="en-IN"/>
        </w:rPr>
        <w:t>(3), 1–9. </w:t>
      </w:r>
      <w:hyperlink r:id="rId14" w:history="1">
        <w:r w:rsidRPr="00CF06EE">
          <w:rPr>
            <w:rStyle w:val="Hyperlink"/>
            <w:rFonts w:ascii="Arial" w:eastAsia="Times New Roman" w:hAnsi="Arial" w:cs="Arial"/>
            <w:sz w:val="20"/>
            <w:szCs w:val="20"/>
            <w:lang w:eastAsia="en-IN"/>
          </w:rPr>
          <w:t>https://doi.org/10.24966/fsn-1076/100222</w:t>
        </w:r>
      </w:hyperlink>
    </w:p>
    <w:p w14:paraId="7889794B" w14:textId="772F4230"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rPr>
        <w:t xml:space="preserve">Calvanese, C. M., Villani, F., Ercolini, D., &amp; De Filippis, F. (2025). </w:t>
      </w:r>
      <w:r w:rsidRPr="00CF06EE">
        <w:rPr>
          <w:rFonts w:ascii="Arial" w:eastAsia="Times New Roman" w:hAnsi="Arial" w:cs="Arial"/>
          <w:sz w:val="20"/>
          <w:szCs w:val="20"/>
        </w:rPr>
        <w:t>Postbiotics versus probiotics: Possible new allies for human health. </w:t>
      </w:r>
      <w:r w:rsidRPr="00CF06EE">
        <w:rPr>
          <w:rFonts w:ascii="Arial" w:eastAsia="Times New Roman" w:hAnsi="Arial" w:cs="Arial"/>
          <w:i/>
          <w:iCs/>
          <w:sz w:val="20"/>
          <w:szCs w:val="20"/>
        </w:rPr>
        <w:t>Food Research International</w:t>
      </w:r>
      <w:r w:rsidRPr="00CF06EE">
        <w:rPr>
          <w:rFonts w:ascii="Arial" w:eastAsia="Times New Roman" w:hAnsi="Arial" w:cs="Arial"/>
          <w:sz w:val="20"/>
          <w:szCs w:val="20"/>
        </w:rPr>
        <w:t>, </w:t>
      </w:r>
      <w:r w:rsidRPr="00CF06EE">
        <w:rPr>
          <w:rFonts w:ascii="Arial" w:eastAsia="Times New Roman" w:hAnsi="Arial" w:cs="Arial"/>
          <w:i/>
          <w:iCs/>
          <w:sz w:val="20"/>
          <w:szCs w:val="20"/>
        </w:rPr>
        <w:t>217</w:t>
      </w:r>
      <w:r w:rsidRPr="00CF06EE">
        <w:rPr>
          <w:rFonts w:ascii="Arial" w:eastAsia="Times New Roman" w:hAnsi="Arial" w:cs="Arial"/>
          <w:sz w:val="20"/>
          <w:szCs w:val="20"/>
        </w:rPr>
        <w:t>, 116869. </w:t>
      </w:r>
      <w:hyperlink r:id="rId15" w:history="1">
        <w:r w:rsidRPr="00CF06EE">
          <w:rPr>
            <w:rStyle w:val="Hyperlink"/>
            <w:rFonts w:ascii="Arial" w:eastAsia="Times New Roman" w:hAnsi="Arial" w:cs="Arial"/>
            <w:color w:val="auto"/>
            <w:sz w:val="20"/>
            <w:szCs w:val="20"/>
          </w:rPr>
          <w:t>https://doi.org/10.1016/j.foodres.2025.116869</w:t>
        </w:r>
      </w:hyperlink>
      <w:r w:rsidRPr="00CF06EE">
        <w:rPr>
          <w:rFonts w:ascii="Arial" w:eastAsia="Times New Roman" w:hAnsi="Arial" w:cs="Arial"/>
          <w:sz w:val="20"/>
          <w:szCs w:val="20"/>
        </w:rPr>
        <w:t>.</w:t>
      </w:r>
    </w:p>
    <w:p w14:paraId="64323714" w14:textId="4B4B8A14" w:rsidR="00006602" w:rsidRPr="00CF06EE" w:rsidRDefault="00006602"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Chang, H. M., Foo, H. L., Loh, T. C., Lim, E. T. C., &amp; Mutalib, N. E. A. (2021</w:t>
      </w:r>
      <w:r w:rsidR="008E2905" w:rsidRPr="00CF06EE">
        <w:rPr>
          <w:rFonts w:ascii="Arial" w:eastAsia="Times New Roman" w:hAnsi="Arial" w:cs="Arial"/>
          <w:sz w:val="20"/>
          <w:szCs w:val="20"/>
        </w:rPr>
        <w:t>b</w:t>
      </w:r>
      <w:r w:rsidRPr="00CF06EE">
        <w:rPr>
          <w:rFonts w:ascii="Arial" w:eastAsia="Times New Roman" w:hAnsi="Arial" w:cs="Arial"/>
          <w:sz w:val="20"/>
          <w:szCs w:val="20"/>
        </w:rPr>
        <w:t xml:space="preserve">). Comparative Studies of Inhibitory and Antioxidant Activities, and Organic Acids Compositions of Postbiotics Produced by Probiotic </w:t>
      </w:r>
      <w:proofErr w:type="spellStart"/>
      <w:r w:rsidRPr="00CF06EE">
        <w:rPr>
          <w:rFonts w:ascii="Arial" w:eastAsia="Times New Roman" w:hAnsi="Arial" w:cs="Arial"/>
          <w:sz w:val="20"/>
          <w:szCs w:val="20"/>
        </w:rPr>
        <w:t>Lactiplantibacillus</w:t>
      </w:r>
      <w:proofErr w:type="spellEnd"/>
      <w:r w:rsidRPr="00CF06EE">
        <w:rPr>
          <w:rFonts w:ascii="Arial" w:eastAsia="Times New Roman" w:hAnsi="Arial" w:cs="Arial"/>
          <w:sz w:val="20"/>
          <w:szCs w:val="20"/>
        </w:rPr>
        <w:t xml:space="preserve"> plantarum Strains Isolated </w:t>
      </w:r>
      <w:proofErr w:type="gramStart"/>
      <w:r w:rsidRPr="00CF06EE">
        <w:rPr>
          <w:rFonts w:ascii="Arial" w:eastAsia="Times New Roman" w:hAnsi="Arial" w:cs="Arial"/>
          <w:sz w:val="20"/>
          <w:szCs w:val="20"/>
        </w:rPr>
        <w:t>From</w:t>
      </w:r>
      <w:proofErr w:type="gramEnd"/>
      <w:r w:rsidRPr="00CF06EE">
        <w:rPr>
          <w:rFonts w:ascii="Arial" w:eastAsia="Times New Roman" w:hAnsi="Arial" w:cs="Arial"/>
          <w:sz w:val="20"/>
          <w:szCs w:val="20"/>
        </w:rPr>
        <w:t xml:space="preserve"> Malaysian Foods. </w:t>
      </w:r>
      <w:r w:rsidRPr="00CF06EE">
        <w:rPr>
          <w:rFonts w:ascii="Arial" w:eastAsia="Times New Roman" w:hAnsi="Arial" w:cs="Arial"/>
          <w:i/>
          <w:iCs/>
          <w:sz w:val="20"/>
          <w:szCs w:val="20"/>
        </w:rPr>
        <w:t>Frontiers in Veterinary Science</w:t>
      </w:r>
      <w:r w:rsidRPr="00CF06EE">
        <w:rPr>
          <w:rFonts w:ascii="Arial" w:eastAsia="Times New Roman" w:hAnsi="Arial" w:cs="Arial"/>
          <w:sz w:val="20"/>
          <w:szCs w:val="20"/>
        </w:rPr>
        <w:t>, </w:t>
      </w:r>
      <w:r w:rsidRPr="00CF06EE">
        <w:rPr>
          <w:rFonts w:ascii="Arial" w:eastAsia="Times New Roman" w:hAnsi="Arial" w:cs="Arial"/>
          <w:i/>
          <w:iCs/>
          <w:sz w:val="20"/>
          <w:szCs w:val="20"/>
        </w:rPr>
        <w:t>7</w:t>
      </w:r>
      <w:r w:rsidRPr="00CF06EE">
        <w:rPr>
          <w:rFonts w:ascii="Arial" w:eastAsia="Times New Roman" w:hAnsi="Arial" w:cs="Arial"/>
          <w:sz w:val="20"/>
          <w:szCs w:val="20"/>
        </w:rPr>
        <w:t>, 602280. </w:t>
      </w:r>
      <w:hyperlink r:id="rId16" w:history="1">
        <w:r w:rsidRPr="00CF06EE">
          <w:rPr>
            <w:rStyle w:val="Hyperlink"/>
            <w:rFonts w:ascii="Arial" w:eastAsia="Times New Roman" w:hAnsi="Arial" w:cs="Arial"/>
            <w:sz w:val="20"/>
            <w:szCs w:val="20"/>
          </w:rPr>
          <w:t>https://doi.org/10.3389/fvets.2020.602280</w:t>
        </w:r>
      </w:hyperlink>
      <w:r w:rsidRPr="00CF06EE">
        <w:rPr>
          <w:rFonts w:ascii="Arial" w:eastAsia="Times New Roman" w:hAnsi="Arial" w:cs="Arial"/>
          <w:sz w:val="20"/>
          <w:szCs w:val="20"/>
        </w:rPr>
        <w:t xml:space="preserve">. </w:t>
      </w:r>
    </w:p>
    <w:p w14:paraId="4CFF3BAA" w14:textId="27AC4C98"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CF06EE">
        <w:rPr>
          <w:rFonts w:ascii="Arial" w:eastAsia="Times New Roman" w:hAnsi="Arial" w:cs="Arial"/>
          <w:sz w:val="20"/>
          <w:szCs w:val="20"/>
          <w:lang w:eastAsia="en-IN"/>
        </w:rPr>
        <w:t>Condurso</w:t>
      </w:r>
      <w:proofErr w:type="spellEnd"/>
      <w:r w:rsidRPr="00CF06EE">
        <w:rPr>
          <w:rFonts w:ascii="Arial" w:eastAsia="Times New Roman" w:hAnsi="Arial" w:cs="Arial"/>
          <w:sz w:val="20"/>
          <w:szCs w:val="20"/>
          <w:lang w:eastAsia="en-IN"/>
        </w:rPr>
        <w:t>, C., Merlino, M., Miller, A., Di Rosa, A. R., Accetta, F., Leonardi, M., Cicero, N., &amp; Gervasi, T. (2025). Developing Novel Plant-Based Probiotic Beverages: A study on viability and physicochemical and sensory stability. </w:t>
      </w:r>
      <w:r w:rsidRPr="00CF06EE">
        <w:rPr>
          <w:rFonts w:ascii="Arial" w:eastAsia="Times New Roman" w:hAnsi="Arial" w:cs="Arial"/>
          <w:i/>
          <w:iCs/>
          <w:sz w:val="20"/>
          <w:szCs w:val="20"/>
          <w:lang w:eastAsia="en-IN"/>
        </w:rPr>
        <w:t>Foods</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14</w:t>
      </w:r>
      <w:r w:rsidRPr="00CF06EE">
        <w:rPr>
          <w:rFonts w:ascii="Arial" w:eastAsia="Times New Roman" w:hAnsi="Arial" w:cs="Arial"/>
          <w:sz w:val="20"/>
          <w:szCs w:val="20"/>
          <w:lang w:eastAsia="en-IN"/>
        </w:rPr>
        <w:t>(12), 2148. </w:t>
      </w:r>
      <w:hyperlink r:id="rId17" w:history="1">
        <w:r w:rsidRPr="00CF06EE">
          <w:rPr>
            <w:rStyle w:val="Hyperlink"/>
            <w:rFonts w:ascii="Arial" w:eastAsia="Times New Roman" w:hAnsi="Arial" w:cs="Arial"/>
            <w:color w:val="auto"/>
            <w:sz w:val="20"/>
            <w:szCs w:val="20"/>
            <w:lang w:eastAsia="en-IN"/>
          </w:rPr>
          <w:t>https://doi.org/10.3390/foods14122148</w:t>
        </w:r>
      </w:hyperlink>
      <w:r w:rsidR="000D0647" w:rsidRPr="00CF06EE">
        <w:rPr>
          <w:rFonts w:ascii="Arial" w:hAnsi="Arial" w:cs="Arial"/>
        </w:rPr>
        <w:t>.</w:t>
      </w:r>
    </w:p>
    <w:p w14:paraId="188C5A0C" w14:textId="493AC7F1" w:rsidR="00CD7EC3" w:rsidRPr="00CF06EE" w:rsidRDefault="00CD7EC3"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Cuevas-González, P., Liceaga, A., &amp; Aguilar-</w:t>
      </w:r>
      <w:proofErr w:type="spellStart"/>
      <w:r w:rsidRPr="00CF06EE">
        <w:rPr>
          <w:rFonts w:ascii="Arial" w:eastAsia="Times New Roman" w:hAnsi="Arial" w:cs="Arial"/>
          <w:sz w:val="20"/>
          <w:szCs w:val="20"/>
        </w:rPr>
        <w:t>Toalá</w:t>
      </w:r>
      <w:proofErr w:type="spellEnd"/>
      <w:r w:rsidRPr="00CF06EE">
        <w:rPr>
          <w:rFonts w:ascii="Arial" w:eastAsia="Times New Roman" w:hAnsi="Arial" w:cs="Arial"/>
          <w:sz w:val="20"/>
          <w:szCs w:val="20"/>
        </w:rPr>
        <w:t xml:space="preserve">, J. (2020). Postbiotics and </w:t>
      </w:r>
      <w:proofErr w:type="spellStart"/>
      <w:r w:rsidRPr="00CF06EE">
        <w:rPr>
          <w:rFonts w:ascii="Arial" w:eastAsia="Times New Roman" w:hAnsi="Arial" w:cs="Arial"/>
          <w:sz w:val="20"/>
          <w:szCs w:val="20"/>
        </w:rPr>
        <w:t>paraprobiotics</w:t>
      </w:r>
      <w:proofErr w:type="spellEnd"/>
      <w:r w:rsidRPr="00CF06EE">
        <w:rPr>
          <w:rFonts w:ascii="Arial" w:eastAsia="Times New Roman" w:hAnsi="Arial" w:cs="Arial"/>
          <w:sz w:val="20"/>
          <w:szCs w:val="20"/>
        </w:rPr>
        <w:t>: From concepts to applications. </w:t>
      </w:r>
      <w:r w:rsidRPr="00CF06EE">
        <w:rPr>
          <w:rFonts w:ascii="Arial" w:eastAsia="Times New Roman" w:hAnsi="Arial" w:cs="Arial"/>
          <w:i/>
          <w:iCs/>
          <w:sz w:val="20"/>
          <w:szCs w:val="20"/>
        </w:rPr>
        <w:t>Food Research International</w:t>
      </w:r>
      <w:r w:rsidRPr="00CF06EE">
        <w:rPr>
          <w:rFonts w:ascii="Arial" w:eastAsia="Times New Roman" w:hAnsi="Arial" w:cs="Arial"/>
          <w:sz w:val="20"/>
          <w:szCs w:val="20"/>
        </w:rPr>
        <w:t>, </w:t>
      </w:r>
      <w:r w:rsidRPr="00CF06EE">
        <w:rPr>
          <w:rFonts w:ascii="Arial" w:eastAsia="Times New Roman" w:hAnsi="Arial" w:cs="Arial"/>
          <w:i/>
          <w:iCs/>
          <w:sz w:val="20"/>
          <w:szCs w:val="20"/>
        </w:rPr>
        <w:t>136</w:t>
      </w:r>
      <w:r w:rsidRPr="00CF06EE">
        <w:rPr>
          <w:rFonts w:ascii="Arial" w:eastAsia="Times New Roman" w:hAnsi="Arial" w:cs="Arial"/>
          <w:sz w:val="20"/>
          <w:szCs w:val="20"/>
        </w:rPr>
        <w:t>, 109502. https://doi.org/10.1016/j.foodres.2020.109502</w:t>
      </w:r>
    </w:p>
    <w:p w14:paraId="4AB84EC2" w14:textId="7C91B506" w:rsidR="000D0647" w:rsidRPr="00CF06EE" w:rsidRDefault="000D0647"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rPr>
        <w:t xml:space="preserve">Da Silva Vale, A., De Melo Pereira, G. V., De Oliveira, A. C., De Carvalho Neto, D. P., Herrmann, L. W., Karp, S. G., Soccol, V. T., &amp; Soccol, C. R. (2023). </w:t>
      </w:r>
      <w:r w:rsidRPr="00CF06EE">
        <w:rPr>
          <w:rFonts w:ascii="Arial" w:eastAsia="Times New Roman" w:hAnsi="Arial" w:cs="Arial"/>
          <w:sz w:val="20"/>
          <w:szCs w:val="20"/>
        </w:rPr>
        <w:t>Production, formulation, and application of postbiotics in the treatment of skin conditions. </w:t>
      </w:r>
      <w:r w:rsidRPr="00CF06EE">
        <w:rPr>
          <w:rFonts w:ascii="Arial" w:eastAsia="Times New Roman" w:hAnsi="Arial" w:cs="Arial"/>
          <w:i/>
          <w:iCs/>
          <w:sz w:val="20"/>
          <w:szCs w:val="20"/>
        </w:rPr>
        <w:t>Fermentation</w:t>
      </w:r>
      <w:r w:rsidRPr="00CF06EE">
        <w:rPr>
          <w:rFonts w:ascii="Arial" w:eastAsia="Times New Roman" w:hAnsi="Arial" w:cs="Arial"/>
          <w:sz w:val="20"/>
          <w:szCs w:val="20"/>
        </w:rPr>
        <w:t>, </w:t>
      </w:r>
      <w:r w:rsidRPr="00CF06EE">
        <w:rPr>
          <w:rFonts w:ascii="Arial" w:eastAsia="Times New Roman" w:hAnsi="Arial" w:cs="Arial"/>
          <w:i/>
          <w:iCs/>
          <w:sz w:val="20"/>
          <w:szCs w:val="20"/>
        </w:rPr>
        <w:t>9</w:t>
      </w:r>
      <w:r w:rsidRPr="00CF06EE">
        <w:rPr>
          <w:rFonts w:ascii="Arial" w:eastAsia="Times New Roman" w:hAnsi="Arial" w:cs="Arial"/>
          <w:sz w:val="20"/>
          <w:szCs w:val="20"/>
        </w:rPr>
        <w:t>(3), 264. https://doi.org/10.3390/fermentation9030264</w:t>
      </w:r>
    </w:p>
    <w:p w14:paraId="76A0D314"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eastAsia="en-IN"/>
        </w:rPr>
        <w:t xml:space="preserve">Erdinc, A. N., &amp; </w:t>
      </w:r>
      <w:proofErr w:type="spellStart"/>
      <w:r w:rsidRPr="00CF06EE">
        <w:rPr>
          <w:rFonts w:ascii="Arial" w:eastAsia="Times New Roman" w:hAnsi="Arial" w:cs="Arial"/>
          <w:sz w:val="20"/>
          <w:szCs w:val="20"/>
          <w:lang w:eastAsia="en-IN"/>
        </w:rPr>
        <w:t>Cufaoglu</w:t>
      </w:r>
      <w:proofErr w:type="spellEnd"/>
      <w:r w:rsidRPr="00CF06EE">
        <w:rPr>
          <w:rFonts w:ascii="Arial" w:eastAsia="Times New Roman" w:hAnsi="Arial" w:cs="Arial"/>
          <w:sz w:val="20"/>
          <w:szCs w:val="20"/>
          <w:lang w:eastAsia="en-IN"/>
        </w:rPr>
        <w:t>, G. (2026). Postbiotics as natural antimicrobials: a novel biocontrol strategy for food safety. </w:t>
      </w:r>
      <w:r w:rsidRPr="00CF06EE">
        <w:rPr>
          <w:rFonts w:ascii="Arial" w:eastAsia="Times New Roman" w:hAnsi="Arial" w:cs="Arial"/>
          <w:i/>
          <w:iCs/>
          <w:sz w:val="20"/>
          <w:szCs w:val="20"/>
          <w:lang w:eastAsia="en-IN"/>
        </w:rPr>
        <w:t>Frontiers in Bacteriology</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4</w:t>
      </w:r>
      <w:r w:rsidRPr="00CF06EE">
        <w:rPr>
          <w:rFonts w:ascii="Arial" w:eastAsia="Times New Roman" w:hAnsi="Arial" w:cs="Arial"/>
          <w:sz w:val="20"/>
          <w:szCs w:val="20"/>
          <w:lang w:eastAsia="en-IN"/>
        </w:rPr>
        <w:t>. </w:t>
      </w:r>
      <w:hyperlink r:id="rId18" w:history="1">
        <w:r w:rsidRPr="00CF06EE">
          <w:rPr>
            <w:rStyle w:val="Hyperlink"/>
            <w:rFonts w:ascii="Arial" w:eastAsia="Times New Roman" w:hAnsi="Arial" w:cs="Arial"/>
            <w:color w:val="auto"/>
            <w:sz w:val="20"/>
            <w:szCs w:val="20"/>
            <w:lang w:eastAsia="en-IN"/>
          </w:rPr>
          <w:t>https://doi.org/10.3389/fbrio.2025.1712139</w:t>
        </w:r>
      </w:hyperlink>
      <w:r w:rsidRPr="00CF06EE">
        <w:rPr>
          <w:rFonts w:ascii="Arial" w:eastAsia="Times New Roman" w:hAnsi="Arial" w:cs="Arial"/>
          <w:sz w:val="20"/>
          <w:szCs w:val="20"/>
          <w:lang w:eastAsia="en-IN"/>
        </w:rPr>
        <w:t xml:space="preserve">. </w:t>
      </w:r>
    </w:p>
    <w:p w14:paraId="7FC9904C" w14:textId="6818E170" w:rsidR="00CD7EC3" w:rsidRPr="00CF06EE" w:rsidRDefault="00CD7EC3"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 xml:space="preserve">Hosseini, S., Abbasi, A., Sabahi, S., Khani, N., Alizadeh-Sani, M., Ehsani, A., Kia, E., </w:t>
      </w:r>
      <w:proofErr w:type="spellStart"/>
      <w:r w:rsidRPr="00CF06EE">
        <w:rPr>
          <w:rFonts w:ascii="Arial" w:eastAsia="Times New Roman" w:hAnsi="Arial" w:cs="Arial"/>
          <w:sz w:val="20"/>
          <w:szCs w:val="20"/>
        </w:rPr>
        <w:t>Khezerlou</w:t>
      </w:r>
      <w:proofErr w:type="spellEnd"/>
      <w:r w:rsidRPr="00CF06EE">
        <w:rPr>
          <w:rFonts w:ascii="Arial" w:eastAsia="Times New Roman" w:hAnsi="Arial" w:cs="Arial"/>
          <w:sz w:val="20"/>
          <w:szCs w:val="20"/>
        </w:rPr>
        <w:t xml:space="preserve">, A., Majeed, M., Majeed, S., Nagabhushanam, K., </w:t>
      </w:r>
      <w:proofErr w:type="spellStart"/>
      <w:r w:rsidRPr="00CF06EE">
        <w:rPr>
          <w:rFonts w:ascii="Arial" w:eastAsia="Times New Roman" w:hAnsi="Arial" w:cs="Arial"/>
          <w:sz w:val="20"/>
          <w:szCs w:val="20"/>
        </w:rPr>
        <w:t>Mundkur</w:t>
      </w:r>
      <w:proofErr w:type="spellEnd"/>
      <w:r w:rsidRPr="00CF06EE">
        <w:rPr>
          <w:rFonts w:ascii="Arial" w:eastAsia="Times New Roman" w:hAnsi="Arial" w:cs="Arial"/>
          <w:sz w:val="20"/>
          <w:szCs w:val="20"/>
        </w:rPr>
        <w:t xml:space="preserve">, L., Rajalakshmi, H., Shah, K., Beede, K., Pop, O., Pop, C., </w:t>
      </w:r>
      <w:proofErr w:type="spellStart"/>
      <w:r w:rsidRPr="00CF06EE">
        <w:rPr>
          <w:rFonts w:ascii="Arial" w:eastAsia="Times New Roman" w:hAnsi="Arial" w:cs="Arial"/>
          <w:sz w:val="20"/>
          <w:szCs w:val="20"/>
        </w:rPr>
        <w:t>Dufrechou</w:t>
      </w:r>
      <w:proofErr w:type="spellEnd"/>
      <w:r w:rsidRPr="00CF06EE">
        <w:rPr>
          <w:rFonts w:ascii="Arial" w:eastAsia="Times New Roman" w:hAnsi="Arial" w:cs="Arial"/>
          <w:sz w:val="20"/>
          <w:szCs w:val="20"/>
        </w:rPr>
        <w:t xml:space="preserve">, M., </w:t>
      </w:r>
      <w:proofErr w:type="spellStart"/>
      <w:r w:rsidRPr="00CF06EE">
        <w:rPr>
          <w:rFonts w:ascii="Arial" w:eastAsia="Times New Roman" w:hAnsi="Arial" w:cs="Arial"/>
          <w:sz w:val="20"/>
          <w:szCs w:val="20"/>
        </w:rPr>
        <w:t>Vodnar</w:t>
      </w:r>
      <w:proofErr w:type="spellEnd"/>
      <w:r w:rsidRPr="00CF06EE">
        <w:rPr>
          <w:rFonts w:ascii="Arial" w:eastAsia="Times New Roman" w:hAnsi="Arial" w:cs="Arial"/>
          <w:sz w:val="20"/>
          <w:szCs w:val="20"/>
        </w:rPr>
        <w:t>, D., . . . Guglielmetti, S. (2021). Application of postbiotics produced by lactic acid bacteria in the development of active food packaging. </w:t>
      </w:r>
      <w:proofErr w:type="spellStart"/>
      <w:r w:rsidRPr="00CF06EE">
        <w:rPr>
          <w:rFonts w:ascii="Arial" w:eastAsia="Times New Roman" w:hAnsi="Arial" w:cs="Arial"/>
          <w:i/>
          <w:iCs/>
          <w:sz w:val="20"/>
          <w:szCs w:val="20"/>
        </w:rPr>
        <w:t>Biointerface</w:t>
      </w:r>
      <w:proofErr w:type="spellEnd"/>
      <w:r w:rsidRPr="00CF06EE">
        <w:rPr>
          <w:rFonts w:ascii="Arial" w:eastAsia="Times New Roman" w:hAnsi="Arial" w:cs="Arial"/>
          <w:i/>
          <w:iCs/>
          <w:sz w:val="20"/>
          <w:szCs w:val="20"/>
        </w:rPr>
        <w:t xml:space="preserve"> Research in Applied Chemistry</w:t>
      </w:r>
      <w:r w:rsidRPr="00CF06EE">
        <w:rPr>
          <w:rFonts w:ascii="Arial" w:eastAsia="Times New Roman" w:hAnsi="Arial" w:cs="Arial"/>
          <w:sz w:val="20"/>
          <w:szCs w:val="20"/>
        </w:rPr>
        <w:t>, </w:t>
      </w:r>
      <w:r w:rsidRPr="00CF06EE">
        <w:rPr>
          <w:rFonts w:ascii="Arial" w:eastAsia="Times New Roman" w:hAnsi="Arial" w:cs="Arial"/>
          <w:i/>
          <w:iCs/>
          <w:sz w:val="20"/>
          <w:szCs w:val="20"/>
        </w:rPr>
        <w:t>12</w:t>
      </w:r>
      <w:r w:rsidRPr="00CF06EE">
        <w:rPr>
          <w:rFonts w:ascii="Arial" w:eastAsia="Times New Roman" w:hAnsi="Arial" w:cs="Arial"/>
          <w:sz w:val="20"/>
          <w:szCs w:val="20"/>
        </w:rPr>
        <w:t>(5), 6164–6183. https://doi.org/10.33263/briac125.61646183</w:t>
      </w:r>
    </w:p>
    <w:p w14:paraId="12CE9CCE"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eastAsia="en-IN"/>
        </w:rPr>
        <w:t xml:space="preserve">Jannah, S. R., Rahayu, E. S., Yanti, R., Suroto, D. A., &amp; Wikandari, R. (2022). </w:t>
      </w:r>
      <w:r w:rsidRPr="00CF06EE">
        <w:rPr>
          <w:rFonts w:ascii="Arial" w:eastAsia="Times New Roman" w:hAnsi="Arial" w:cs="Arial"/>
          <w:sz w:val="20"/>
          <w:szCs w:val="20"/>
          <w:lang w:eastAsia="en-IN"/>
        </w:rPr>
        <w:t xml:space="preserve">Study of Viability, Storage Stability, and Shelf Life of Probiotic Instant Coffee </w:t>
      </w:r>
      <w:proofErr w:type="spellStart"/>
      <w:r w:rsidRPr="00CF06EE">
        <w:rPr>
          <w:rFonts w:ascii="Arial" w:eastAsia="Times New Roman" w:hAnsi="Arial" w:cs="Arial"/>
          <w:sz w:val="20"/>
          <w:szCs w:val="20"/>
          <w:lang w:eastAsia="en-IN"/>
        </w:rPr>
        <w:t>Lactiplantibacillus</w:t>
      </w:r>
      <w:proofErr w:type="spellEnd"/>
      <w:r w:rsidRPr="00CF06EE">
        <w:rPr>
          <w:rFonts w:ascii="Arial" w:eastAsia="Times New Roman" w:hAnsi="Arial" w:cs="Arial"/>
          <w:sz w:val="20"/>
          <w:szCs w:val="20"/>
          <w:lang w:eastAsia="en-IN"/>
        </w:rPr>
        <w:t xml:space="preserve"> plantarum Subsp. plantarum Dad-13 in Vacuum and Nonvacuum Packaging at Different Storage Temperatures. </w:t>
      </w:r>
      <w:r w:rsidRPr="00CF06EE">
        <w:rPr>
          <w:rFonts w:ascii="Arial" w:eastAsia="Times New Roman" w:hAnsi="Arial" w:cs="Arial"/>
          <w:i/>
          <w:iCs/>
          <w:sz w:val="20"/>
          <w:szCs w:val="20"/>
          <w:lang w:eastAsia="en-IN"/>
        </w:rPr>
        <w:t>International Journal of Food Science</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2022</w:t>
      </w:r>
      <w:r w:rsidRPr="00CF06EE">
        <w:rPr>
          <w:rFonts w:ascii="Arial" w:eastAsia="Times New Roman" w:hAnsi="Arial" w:cs="Arial"/>
          <w:sz w:val="20"/>
          <w:szCs w:val="20"/>
          <w:lang w:eastAsia="en-IN"/>
        </w:rPr>
        <w:t>, 1–7. </w:t>
      </w:r>
      <w:hyperlink r:id="rId19" w:history="1">
        <w:r w:rsidRPr="00CF06EE">
          <w:rPr>
            <w:rStyle w:val="Hyperlink"/>
            <w:rFonts w:ascii="Arial" w:eastAsia="Times New Roman" w:hAnsi="Arial" w:cs="Arial"/>
            <w:color w:val="auto"/>
            <w:sz w:val="20"/>
            <w:szCs w:val="20"/>
            <w:lang w:eastAsia="en-IN"/>
          </w:rPr>
          <w:t>https://doi.org/10.1155/2022/1663772</w:t>
        </w:r>
      </w:hyperlink>
      <w:r w:rsidRPr="00CF06EE">
        <w:rPr>
          <w:rFonts w:ascii="Arial" w:eastAsia="Times New Roman" w:hAnsi="Arial" w:cs="Arial"/>
          <w:sz w:val="20"/>
          <w:szCs w:val="20"/>
          <w:lang w:eastAsia="en-IN"/>
        </w:rPr>
        <w:t>.</w:t>
      </w:r>
    </w:p>
    <w:p w14:paraId="1B624C1A"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CF06EE">
        <w:rPr>
          <w:rFonts w:ascii="Arial" w:eastAsia="Times New Roman" w:hAnsi="Arial" w:cs="Arial"/>
          <w:sz w:val="20"/>
          <w:szCs w:val="20"/>
          <w:lang w:eastAsia="en-IN"/>
        </w:rPr>
        <w:t>Khakpour</w:t>
      </w:r>
      <w:proofErr w:type="spellEnd"/>
      <w:r w:rsidRPr="00CF06EE">
        <w:rPr>
          <w:rFonts w:ascii="Arial" w:eastAsia="Times New Roman" w:hAnsi="Arial" w:cs="Arial"/>
          <w:sz w:val="20"/>
          <w:szCs w:val="20"/>
          <w:lang w:eastAsia="en-IN"/>
        </w:rPr>
        <w:t xml:space="preserve">, M., </w:t>
      </w:r>
      <w:proofErr w:type="spellStart"/>
      <w:r w:rsidRPr="00CF06EE">
        <w:rPr>
          <w:rFonts w:ascii="Arial" w:eastAsia="Times New Roman" w:hAnsi="Arial" w:cs="Arial"/>
          <w:sz w:val="20"/>
          <w:szCs w:val="20"/>
          <w:lang w:eastAsia="en-IN"/>
        </w:rPr>
        <w:t>Mohsenzadeh</w:t>
      </w:r>
      <w:proofErr w:type="spellEnd"/>
      <w:r w:rsidRPr="00CF06EE">
        <w:rPr>
          <w:rFonts w:ascii="Arial" w:eastAsia="Times New Roman" w:hAnsi="Arial" w:cs="Arial"/>
          <w:sz w:val="20"/>
          <w:szCs w:val="20"/>
          <w:lang w:eastAsia="en-IN"/>
        </w:rPr>
        <w:t xml:space="preserve">, M., &amp; Salari, A. (2024). Feasibility of </w:t>
      </w:r>
      <w:proofErr w:type="spellStart"/>
      <w:r w:rsidRPr="00CF06EE">
        <w:rPr>
          <w:rFonts w:ascii="Arial" w:eastAsia="Times New Roman" w:hAnsi="Arial" w:cs="Arial"/>
          <w:sz w:val="20"/>
          <w:szCs w:val="20"/>
          <w:lang w:eastAsia="en-IN"/>
        </w:rPr>
        <w:t>lactiplantibacillus</w:t>
      </w:r>
      <w:proofErr w:type="spellEnd"/>
      <w:r w:rsidRPr="00CF06EE">
        <w:rPr>
          <w:rFonts w:ascii="Arial" w:eastAsia="Times New Roman" w:hAnsi="Arial" w:cs="Arial"/>
          <w:sz w:val="20"/>
          <w:szCs w:val="20"/>
          <w:lang w:eastAsia="en-IN"/>
        </w:rPr>
        <w:t xml:space="preserve"> plantarum postbiotics production in challenging media by different techniques. </w:t>
      </w:r>
      <w:r w:rsidRPr="00CF06EE">
        <w:rPr>
          <w:rFonts w:ascii="Arial" w:eastAsia="Times New Roman" w:hAnsi="Arial" w:cs="Arial"/>
          <w:i/>
          <w:iCs/>
          <w:sz w:val="20"/>
          <w:szCs w:val="20"/>
          <w:lang w:eastAsia="en-IN"/>
        </w:rPr>
        <w:t>AMB Express</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14</w:t>
      </w:r>
      <w:r w:rsidRPr="00CF06EE">
        <w:rPr>
          <w:rFonts w:ascii="Arial" w:eastAsia="Times New Roman" w:hAnsi="Arial" w:cs="Arial"/>
          <w:sz w:val="20"/>
          <w:szCs w:val="20"/>
          <w:lang w:eastAsia="en-IN"/>
        </w:rPr>
        <w:t>(1), 47. </w:t>
      </w:r>
      <w:hyperlink r:id="rId20" w:history="1">
        <w:r w:rsidRPr="00CF06EE">
          <w:rPr>
            <w:rStyle w:val="Hyperlink"/>
            <w:rFonts w:ascii="Arial" w:eastAsia="Times New Roman" w:hAnsi="Arial" w:cs="Arial"/>
            <w:color w:val="auto"/>
            <w:sz w:val="20"/>
            <w:szCs w:val="20"/>
            <w:lang w:eastAsia="en-IN"/>
          </w:rPr>
          <w:t>https://doi.org/10.1186/s13568-024-01704-5</w:t>
        </w:r>
      </w:hyperlink>
    </w:p>
    <w:p w14:paraId="250E3CF1" w14:textId="56AEADEB"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CF06EE">
        <w:rPr>
          <w:rFonts w:ascii="Arial" w:eastAsia="Times New Roman" w:hAnsi="Arial" w:cs="Arial"/>
          <w:sz w:val="20"/>
          <w:szCs w:val="20"/>
          <w:lang w:eastAsia="en-IN"/>
        </w:rPr>
        <w:t>Khakpour</w:t>
      </w:r>
      <w:proofErr w:type="spellEnd"/>
      <w:r w:rsidRPr="00CF06EE">
        <w:rPr>
          <w:rFonts w:ascii="Arial" w:eastAsia="Times New Roman" w:hAnsi="Arial" w:cs="Arial"/>
          <w:sz w:val="20"/>
          <w:szCs w:val="20"/>
          <w:lang w:eastAsia="en-IN"/>
        </w:rPr>
        <w:t xml:space="preserve">, M., </w:t>
      </w:r>
      <w:proofErr w:type="spellStart"/>
      <w:r w:rsidRPr="00CF06EE">
        <w:rPr>
          <w:rFonts w:ascii="Arial" w:eastAsia="Times New Roman" w:hAnsi="Arial" w:cs="Arial"/>
          <w:sz w:val="20"/>
          <w:szCs w:val="20"/>
          <w:lang w:eastAsia="en-IN"/>
        </w:rPr>
        <w:t>Mohsenzadeh</w:t>
      </w:r>
      <w:proofErr w:type="spellEnd"/>
      <w:r w:rsidRPr="00CF06EE">
        <w:rPr>
          <w:rFonts w:ascii="Arial" w:eastAsia="Times New Roman" w:hAnsi="Arial" w:cs="Arial"/>
          <w:sz w:val="20"/>
          <w:szCs w:val="20"/>
          <w:lang w:eastAsia="en-IN"/>
        </w:rPr>
        <w:t xml:space="preserve">, M., &amp; Salari, A. (2024b). Feasibility of </w:t>
      </w:r>
      <w:proofErr w:type="spellStart"/>
      <w:r w:rsidRPr="00CF06EE">
        <w:rPr>
          <w:rFonts w:ascii="Arial" w:eastAsia="Times New Roman" w:hAnsi="Arial" w:cs="Arial"/>
          <w:sz w:val="20"/>
          <w:szCs w:val="20"/>
          <w:lang w:eastAsia="en-IN"/>
        </w:rPr>
        <w:t>lactiplantibacillus</w:t>
      </w:r>
      <w:proofErr w:type="spellEnd"/>
      <w:r w:rsidRPr="00CF06EE">
        <w:rPr>
          <w:rFonts w:ascii="Arial" w:eastAsia="Times New Roman" w:hAnsi="Arial" w:cs="Arial"/>
          <w:sz w:val="20"/>
          <w:szCs w:val="20"/>
          <w:lang w:eastAsia="en-IN"/>
        </w:rPr>
        <w:t xml:space="preserve"> plantarum postbiotics production in challenging media by different techniques. </w:t>
      </w:r>
      <w:r w:rsidRPr="00CF06EE">
        <w:rPr>
          <w:rFonts w:ascii="Arial" w:eastAsia="Times New Roman" w:hAnsi="Arial" w:cs="Arial"/>
          <w:i/>
          <w:iCs/>
          <w:sz w:val="20"/>
          <w:szCs w:val="20"/>
          <w:lang w:eastAsia="en-IN"/>
        </w:rPr>
        <w:t>AMB Express</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14</w:t>
      </w:r>
      <w:r w:rsidRPr="00CF06EE">
        <w:rPr>
          <w:rFonts w:ascii="Arial" w:eastAsia="Times New Roman" w:hAnsi="Arial" w:cs="Arial"/>
          <w:sz w:val="20"/>
          <w:szCs w:val="20"/>
          <w:lang w:eastAsia="en-IN"/>
        </w:rPr>
        <w:t>(1), 47. </w:t>
      </w:r>
      <w:hyperlink r:id="rId21" w:history="1">
        <w:r w:rsidRPr="00CF06EE">
          <w:rPr>
            <w:rStyle w:val="Hyperlink"/>
            <w:rFonts w:ascii="Arial" w:eastAsia="Times New Roman" w:hAnsi="Arial" w:cs="Arial"/>
            <w:color w:val="auto"/>
            <w:sz w:val="20"/>
            <w:szCs w:val="20"/>
            <w:lang w:eastAsia="en-IN"/>
          </w:rPr>
          <w:t>https://doi.org/10.1186/s13568-024-01704-5</w:t>
        </w:r>
      </w:hyperlink>
      <w:r w:rsidR="00A57F79" w:rsidRPr="00CF06EE">
        <w:rPr>
          <w:rFonts w:ascii="Arial" w:hAnsi="Arial" w:cs="Arial"/>
        </w:rPr>
        <w:t>.</w:t>
      </w:r>
    </w:p>
    <w:p w14:paraId="34F016CD" w14:textId="5ACDBF41" w:rsidR="00A57F79" w:rsidRPr="00CF06EE" w:rsidRDefault="00A57F79"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Kumar, A., Green, K. M., &amp; Rawat, M. (2024). A Comprehensive Overview of Postbiotics with a Special Focus on Discovery Techniques and Clinical Applications. </w:t>
      </w:r>
      <w:r w:rsidRPr="00CF06EE">
        <w:rPr>
          <w:rFonts w:ascii="Arial" w:eastAsia="Times New Roman" w:hAnsi="Arial" w:cs="Arial"/>
          <w:i/>
          <w:iCs/>
          <w:sz w:val="20"/>
          <w:szCs w:val="20"/>
        </w:rPr>
        <w:t>Foods</w:t>
      </w:r>
      <w:r w:rsidRPr="00CF06EE">
        <w:rPr>
          <w:rFonts w:ascii="Arial" w:eastAsia="Times New Roman" w:hAnsi="Arial" w:cs="Arial"/>
          <w:sz w:val="20"/>
          <w:szCs w:val="20"/>
        </w:rPr>
        <w:t>, </w:t>
      </w:r>
      <w:r w:rsidRPr="00CF06EE">
        <w:rPr>
          <w:rFonts w:ascii="Arial" w:eastAsia="Times New Roman" w:hAnsi="Arial" w:cs="Arial"/>
          <w:i/>
          <w:iCs/>
          <w:sz w:val="20"/>
          <w:szCs w:val="20"/>
        </w:rPr>
        <w:t>13</w:t>
      </w:r>
      <w:r w:rsidRPr="00CF06EE">
        <w:rPr>
          <w:rFonts w:ascii="Arial" w:eastAsia="Times New Roman" w:hAnsi="Arial" w:cs="Arial"/>
          <w:sz w:val="20"/>
          <w:szCs w:val="20"/>
        </w:rPr>
        <w:t>(18), 2937. https://doi.org/10.3390/foods13182937</w:t>
      </w:r>
    </w:p>
    <w:p w14:paraId="2E44A592"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Mafe, A. N., Sharifi</w:t>
      </w:r>
      <w:r w:rsidRPr="00CF06EE">
        <w:rPr>
          <w:rFonts w:ascii="Cambria Math" w:eastAsia="Times New Roman" w:hAnsi="Cambria Math" w:cs="Cambria Math"/>
          <w:sz w:val="20"/>
          <w:szCs w:val="20"/>
        </w:rPr>
        <w:t>‐</w:t>
      </w:r>
      <w:r w:rsidRPr="00CF06EE">
        <w:rPr>
          <w:rFonts w:ascii="Arial" w:eastAsia="Times New Roman" w:hAnsi="Arial" w:cs="Arial"/>
          <w:sz w:val="20"/>
          <w:szCs w:val="20"/>
        </w:rPr>
        <w:t>Rad, J., Calina, D., Ogunyemi, A. J., &amp; Tubi, A. O. (2025). Postbiotics in Functional foods: Microbial derivatives shaping health, immunity and Next</w:t>
      </w:r>
      <w:r w:rsidRPr="00CF06EE">
        <w:rPr>
          <w:rFonts w:ascii="Cambria Math" w:eastAsia="Times New Roman" w:hAnsi="Cambria Math" w:cs="Cambria Math"/>
          <w:sz w:val="20"/>
          <w:szCs w:val="20"/>
        </w:rPr>
        <w:t>‐</w:t>
      </w:r>
      <w:r w:rsidRPr="00CF06EE">
        <w:rPr>
          <w:rFonts w:ascii="Arial" w:eastAsia="Times New Roman" w:hAnsi="Arial" w:cs="Arial"/>
          <w:sz w:val="20"/>
          <w:szCs w:val="20"/>
        </w:rPr>
        <w:t>Generation nutrition. </w:t>
      </w:r>
      <w:r w:rsidRPr="00CF06EE">
        <w:rPr>
          <w:rFonts w:ascii="Arial" w:eastAsia="Times New Roman" w:hAnsi="Arial" w:cs="Arial"/>
          <w:i/>
          <w:iCs/>
          <w:sz w:val="20"/>
          <w:szCs w:val="20"/>
        </w:rPr>
        <w:t>Food Frontiers</w:t>
      </w:r>
      <w:r w:rsidRPr="00CF06EE">
        <w:rPr>
          <w:rFonts w:ascii="Arial" w:eastAsia="Times New Roman" w:hAnsi="Arial" w:cs="Arial"/>
          <w:sz w:val="20"/>
          <w:szCs w:val="20"/>
        </w:rPr>
        <w:t>, </w:t>
      </w:r>
      <w:r w:rsidRPr="00CF06EE">
        <w:rPr>
          <w:rFonts w:ascii="Arial" w:eastAsia="Times New Roman" w:hAnsi="Arial" w:cs="Arial"/>
          <w:i/>
          <w:iCs/>
          <w:sz w:val="20"/>
          <w:szCs w:val="20"/>
        </w:rPr>
        <w:t>7</w:t>
      </w:r>
      <w:r w:rsidRPr="00CF06EE">
        <w:rPr>
          <w:rFonts w:ascii="Arial" w:eastAsia="Times New Roman" w:hAnsi="Arial" w:cs="Arial"/>
          <w:sz w:val="20"/>
          <w:szCs w:val="20"/>
        </w:rPr>
        <w:t>(1). </w:t>
      </w:r>
      <w:hyperlink r:id="rId22" w:history="1">
        <w:r w:rsidRPr="00CF06EE">
          <w:rPr>
            <w:rStyle w:val="Hyperlink"/>
            <w:rFonts w:ascii="Arial" w:eastAsia="Times New Roman" w:hAnsi="Arial" w:cs="Arial"/>
            <w:color w:val="auto"/>
            <w:sz w:val="20"/>
            <w:szCs w:val="20"/>
          </w:rPr>
          <w:t>https://doi.org/10.1002/fft2.70205</w:t>
        </w:r>
      </w:hyperlink>
      <w:r w:rsidRPr="00CF06EE">
        <w:rPr>
          <w:rFonts w:ascii="Arial" w:eastAsia="Times New Roman" w:hAnsi="Arial" w:cs="Arial"/>
          <w:sz w:val="20"/>
          <w:szCs w:val="20"/>
        </w:rPr>
        <w:t>.</w:t>
      </w:r>
    </w:p>
    <w:p w14:paraId="1A909879"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rPr>
        <w:t xml:space="preserve">Meena, K. K., Joshi, M., Gupta, L., &amp; Meena, S. (2025). </w:t>
      </w:r>
      <w:r w:rsidRPr="00CF06EE">
        <w:rPr>
          <w:rFonts w:ascii="Arial" w:eastAsia="Times New Roman" w:hAnsi="Arial" w:cs="Arial"/>
          <w:sz w:val="20"/>
          <w:szCs w:val="20"/>
        </w:rPr>
        <w:t>Comprehensive insights into postbiotics: Bridging the gap to real-world application. </w:t>
      </w:r>
      <w:r w:rsidRPr="00CF06EE">
        <w:rPr>
          <w:rFonts w:ascii="Arial" w:eastAsia="Times New Roman" w:hAnsi="Arial" w:cs="Arial"/>
          <w:i/>
          <w:iCs/>
          <w:sz w:val="20"/>
          <w:szCs w:val="20"/>
        </w:rPr>
        <w:t>Food Nutrition</w:t>
      </w:r>
      <w:r w:rsidRPr="00CF06EE">
        <w:rPr>
          <w:rFonts w:ascii="Arial" w:eastAsia="Times New Roman" w:hAnsi="Arial" w:cs="Arial"/>
          <w:sz w:val="20"/>
          <w:szCs w:val="20"/>
        </w:rPr>
        <w:t>, </w:t>
      </w:r>
      <w:r w:rsidRPr="00CF06EE">
        <w:rPr>
          <w:rFonts w:ascii="Arial" w:eastAsia="Times New Roman" w:hAnsi="Arial" w:cs="Arial"/>
          <w:i/>
          <w:iCs/>
          <w:sz w:val="20"/>
          <w:szCs w:val="20"/>
        </w:rPr>
        <w:t>1</w:t>
      </w:r>
      <w:r w:rsidRPr="00CF06EE">
        <w:rPr>
          <w:rFonts w:ascii="Arial" w:eastAsia="Times New Roman" w:hAnsi="Arial" w:cs="Arial"/>
          <w:sz w:val="20"/>
          <w:szCs w:val="20"/>
        </w:rPr>
        <w:t>(2), 100024. </w:t>
      </w:r>
      <w:hyperlink r:id="rId23" w:history="1">
        <w:r w:rsidRPr="00CF06EE">
          <w:rPr>
            <w:rStyle w:val="Hyperlink"/>
            <w:rFonts w:ascii="Arial" w:eastAsia="Times New Roman" w:hAnsi="Arial" w:cs="Arial"/>
            <w:color w:val="auto"/>
            <w:sz w:val="20"/>
            <w:szCs w:val="20"/>
          </w:rPr>
          <w:t>https://doi.org/10.1016/j.fnutr.2025.100024</w:t>
        </w:r>
      </w:hyperlink>
      <w:r w:rsidRPr="00CF06EE">
        <w:rPr>
          <w:rFonts w:ascii="Arial" w:eastAsia="Times New Roman" w:hAnsi="Arial" w:cs="Arial"/>
          <w:sz w:val="20"/>
          <w:szCs w:val="20"/>
        </w:rPr>
        <w:t>.</w:t>
      </w:r>
    </w:p>
    <w:p w14:paraId="383629E8"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rPr>
        <w:t xml:space="preserve">Meena, K. K., Taneja, N. K., Ojha, A., &amp; Mudgil, D. (2025). </w:t>
      </w:r>
      <w:r w:rsidRPr="00CF06EE">
        <w:rPr>
          <w:rFonts w:ascii="Arial" w:eastAsia="Times New Roman" w:hAnsi="Arial" w:cs="Arial"/>
          <w:sz w:val="20"/>
          <w:szCs w:val="20"/>
        </w:rPr>
        <w:t xml:space="preserve">Physicochemical and microbial stability in probiotic </w:t>
      </w:r>
      <w:proofErr w:type="spellStart"/>
      <w:r w:rsidRPr="00CF06EE">
        <w:rPr>
          <w:rFonts w:ascii="Arial" w:eastAsia="Times New Roman" w:hAnsi="Arial" w:cs="Arial"/>
          <w:sz w:val="20"/>
          <w:szCs w:val="20"/>
        </w:rPr>
        <w:t>Raabadi</w:t>
      </w:r>
      <w:proofErr w:type="spellEnd"/>
      <w:r w:rsidRPr="00CF06EE">
        <w:rPr>
          <w:rFonts w:ascii="Arial" w:eastAsia="Times New Roman" w:hAnsi="Arial" w:cs="Arial"/>
          <w:sz w:val="20"/>
          <w:szCs w:val="20"/>
        </w:rPr>
        <w:t xml:space="preserve"> (a dairy</w:t>
      </w:r>
      <w:r w:rsidRPr="00CF06EE">
        <w:rPr>
          <w:rFonts w:ascii="Cambria Math" w:eastAsia="Times New Roman" w:hAnsi="Cambria Math" w:cs="Cambria Math"/>
          <w:sz w:val="20"/>
          <w:szCs w:val="20"/>
        </w:rPr>
        <w:t>‐</w:t>
      </w:r>
      <w:r w:rsidRPr="00CF06EE">
        <w:rPr>
          <w:rFonts w:ascii="Arial" w:eastAsia="Times New Roman" w:hAnsi="Arial" w:cs="Arial"/>
          <w:sz w:val="20"/>
          <w:szCs w:val="20"/>
        </w:rPr>
        <w:t>plant</w:t>
      </w:r>
      <w:r w:rsidRPr="00CF06EE">
        <w:rPr>
          <w:rFonts w:ascii="Cambria Math" w:eastAsia="Times New Roman" w:hAnsi="Cambria Math" w:cs="Cambria Math"/>
          <w:sz w:val="20"/>
          <w:szCs w:val="20"/>
        </w:rPr>
        <w:t>‐</w:t>
      </w:r>
      <w:r w:rsidRPr="00CF06EE">
        <w:rPr>
          <w:rFonts w:ascii="Arial" w:eastAsia="Times New Roman" w:hAnsi="Arial" w:cs="Arial"/>
          <w:sz w:val="20"/>
          <w:szCs w:val="20"/>
        </w:rPr>
        <w:t>based beverage) powder under varied storage temperatures. </w:t>
      </w:r>
      <w:r w:rsidRPr="00CF06EE">
        <w:rPr>
          <w:rFonts w:ascii="Arial" w:eastAsia="Times New Roman" w:hAnsi="Arial" w:cs="Arial"/>
          <w:i/>
          <w:iCs/>
          <w:sz w:val="20"/>
          <w:szCs w:val="20"/>
        </w:rPr>
        <w:t>Food Biomacromolecules.</w:t>
      </w:r>
      <w:r w:rsidRPr="00CF06EE">
        <w:rPr>
          <w:rFonts w:ascii="Arial" w:eastAsia="Times New Roman" w:hAnsi="Arial" w:cs="Arial"/>
          <w:sz w:val="20"/>
          <w:szCs w:val="20"/>
        </w:rPr>
        <w:t>, </w:t>
      </w:r>
      <w:r w:rsidRPr="00CF06EE">
        <w:rPr>
          <w:rFonts w:ascii="Arial" w:eastAsia="Times New Roman" w:hAnsi="Arial" w:cs="Arial"/>
          <w:i/>
          <w:iCs/>
          <w:sz w:val="20"/>
          <w:szCs w:val="20"/>
        </w:rPr>
        <w:t>2</w:t>
      </w:r>
      <w:r w:rsidRPr="00CF06EE">
        <w:rPr>
          <w:rFonts w:ascii="Arial" w:eastAsia="Times New Roman" w:hAnsi="Arial" w:cs="Arial"/>
          <w:sz w:val="20"/>
          <w:szCs w:val="20"/>
        </w:rPr>
        <w:t>(4), 488–502. </w:t>
      </w:r>
      <w:hyperlink r:id="rId24" w:history="1">
        <w:r w:rsidRPr="00CF06EE">
          <w:rPr>
            <w:rStyle w:val="Hyperlink"/>
            <w:rFonts w:ascii="Arial" w:eastAsia="Times New Roman" w:hAnsi="Arial" w:cs="Arial"/>
            <w:color w:val="auto"/>
            <w:sz w:val="20"/>
            <w:szCs w:val="20"/>
          </w:rPr>
          <w:t>https://doi.org/10.1002/fob2.70031</w:t>
        </w:r>
      </w:hyperlink>
      <w:r w:rsidRPr="00CF06EE">
        <w:rPr>
          <w:rFonts w:ascii="Arial" w:eastAsia="Times New Roman" w:hAnsi="Arial" w:cs="Arial"/>
          <w:sz w:val="20"/>
          <w:szCs w:val="20"/>
        </w:rPr>
        <w:t>.</w:t>
      </w:r>
    </w:p>
    <w:p w14:paraId="10F27BDB"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eastAsia="en-IN"/>
        </w:rPr>
        <w:t xml:space="preserve">Molina, D., Marinas, I. C., Angamarca, E., Hanganu, A., Stan, M., Chifiriuc, M. C., &amp; Tenea, G. N. (2025). </w:t>
      </w:r>
      <w:r w:rsidRPr="00CF06EE">
        <w:rPr>
          <w:rFonts w:ascii="Arial" w:eastAsia="Times New Roman" w:hAnsi="Arial" w:cs="Arial"/>
          <w:sz w:val="20"/>
          <w:szCs w:val="20"/>
          <w:lang w:eastAsia="en-IN"/>
        </w:rPr>
        <w:t>Postbiotic-Based Extracts from Native Probiotic Strains: A Promising Strategy for Food Preservation and Antimicrobial Defense. </w:t>
      </w:r>
      <w:r w:rsidRPr="00CF06EE">
        <w:rPr>
          <w:rFonts w:ascii="Arial" w:eastAsia="Times New Roman" w:hAnsi="Arial" w:cs="Arial"/>
          <w:i/>
          <w:iCs/>
          <w:sz w:val="20"/>
          <w:szCs w:val="20"/>
          <w:lang w:eastAsia="en-IN"/>
        </w:rPr>
        <w:t>Antibiotics</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14</w:t>
      </w:r>
      <w:r w:rsidRPr="00CF06EE">
        <w:rPr>
          <w:rFonts w:ascii="Arial" w:eastAsia="Times New Roman" w:hAnsi="Arial" w:cs="Arial"/>
          <w:sz w:val="20"/>
          <w:szCs w:val="20"/>
          <w:lang w:eastAsia="en-IN"/>
        </w:rPr>
        <w:t>(3), 318. </w:t>
      </w:r>
      <w:hyperlink r:id="rId25" w:history="1">
        <w:r w:rsidRPr="00CF06EE">
          <w:rPr>
            <w:rStyle w:val="Hyperlink"/>
            <w:rFonts w:ascii="Arial" w:eastAsia="Times New Roman" w:hAnsi="Arial" w:cs="Arial"/>
            <w:color w:val="auto"/>
            <w:sz w:val="20"/>
            <w:szCs w:val="20"/>
            <w:lang w:eastAsia="en-IN"/>
          </w:rPr>
          <w:t>https://doi.org/10.3390/antibiotics14030318</w:t>
        </w:r>
      </w:hyperlink>
      <w:r w:rsidRPr="00CF06EE">
        <w:rPr>
          <w:rFonts w:ascii="Arial" w:eastAsia="Times New Roman" w:hAnsi="Arial" w:cs="Arial"/>
          <w:sz w:val="20"/>
          <w:szCs w:val="20"/>
          <w:lang w:eastAsia="en-IN"/>
        </w:rPr>
        <w:t>.</w:t>
      </w:r>
    </w:p>
    <w:p w14:paraId="72D952DB" w14:textId="330B2100" w:rsidR="00ED29B8" w:rsidRPr="00CF06EE" w:rsidRDefault="00ED29B8"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 xml:space="preserve">Moradi, M., </w:t>
      </w:r>
      <w:proofErr w:type="spellStart"/>
      <w:r w:rsidRPr="00CF06EE">
        <w:rPr>
          <w:rFonts w:ascii="Arial" w:eastAsia="Times New Roman" w:hAnsi="Arial" w:cs="Arial"/>
          <w:sz w:val="20"/>
          <w:szCs w:val="20"/>
        </w:rPr>
        <w:t>Kousheh</w:t>
      </w:r>
      <w:proofErr w:type="spellEnd"/>
      <w:r w:rsidRPr="00CF06EE">
        <w:rPr>
          <w:rFonts w:ascii="Arial" w:eastAsia="Times New Roman" w:hAnsi="Arial" w:cs="Arial"/>
          <w:sz w:val="20"/>
          <w:szCs w:val="20"/>
        </w:rPr>
        <w:t>, S. A., Almasi, H., Alizadeh, A., Guimarães, J. T., Yılmaz, N., &amp; Lotfi, A. (2020). Postbiotics produced by lactic acid bacteria: The next frontier in food safety. </w:t>
      </w:r>
      <w:r w:rsidRPr="00CF06EE">
        <w:rPr>
          <w:rFonts w:ascii="Arial" w:eastAsia="Times New Roman" w:hAnsi="Arial" w:cs="Arial"/>
          <w:i/>
          <w:iCs/>
          <w:sz w:val="20"/>
          <w:szCs w:val="20"/>
        </w:rPr>
        <w:t>Comprehensive Reviews in Food Science and Food Safety</w:t>
      </w:r>
      <w:r w:rsidRPr="00CF06EE">
        <w:rPr>
          <w:rFonts w:ascii="Arial" w:eastAsia="Times New Roman" w:hAnsi="Arial" w:cs="Arial"/>
          <w:sz w:val="20"/>
          <w:szCs w:val="20"/>
        </w:rPr>
        <w:t>, </w:t>
      </w:r>
      <w:r w:rsidRPr="00CF06EE">
        <w:rPr>
          <w:rFonts w:ascii="Arial" w:eastAsia="Times New Roman" w:hAnsi="Arial" w:cs="Arial"/>
          <w:i/>
          <w:iCs/>
          <w:sz w:val="20"/>
          <w:szCs w:val="20"/>
        </w:rPr>
        <w:t>19</w:t>
      </w:r>
      <w:r w:rsidRPr="00CF06EE">
        <w:rPr>
          <w:rFonts w:ascii="Arial" w:eastAsia="Times New Roman" w:hAnsi="Arial" w:cs="Arial"/>
          <w:sz w:val="20"/>
          <w:szCs w:val="20"/>
        </w:rPr>
        <w:t>(6), 3390–3415. https://doi.org/10.1111/1541-4337.12613</w:t>
      </w:r>
    </w:p>
    <w:p w14:paraId="41863A7A"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CF06EE">
        <w:rPr>
          <w:rFonts w:ascii="Arial" w:eastAsia="Times New Roman" w:hAnsi="Arial" w:cs="Arial"/>
          <w:sz w:val="20"/>
          <w:szCs w:val="20"/>
          <w:lang w:val="en-IN" w:eastAsia="en-IN"/>
        </w:rPr>
        <w:t>Mudgil</w:t>
      </w:r>
      <w:proofErr w:type="spellEnd"/>
      <w:r w:rsidRPr="00CF06EE">
        <w:rPr>
          <w:rFonts w:ascii="Arial" w:eastAsia="Times New Roman" w:hAnsi="Arial" w:cs="Arial"/>
          <w:sz w:val="20"/>
          <w:szCs w:val="20"/>
          <w:lang w:val="en-IN" w:eastAsia="en-IN"/>
        </w:rPr>
        <w:t xml:space="preserve">, P., Alkaabi, F., Khan, H., Javed, M., </w:t>
      </w:r>
      <w:proofErr w:type="spellStart"/>
      <w:r w:rsidRPr="00CF06EE">
        <w:rPr>
          <w:rFonts w:ascii="Arial" w:eastAsia="Times New Roman" w:hAnsi="Arial" w:cs="Arial"/>
          <w:sz w:val="20"/>
          <w:szCs w:val="20"/>
          <w:lang w:val="en-IN" w:eastAsia="en-IN"/>
        </w:rPr>
        <w:t>Hajamohideen</w:t>
      </w:r>
      <w:proofErr w:type="spellEnd"/>
      <w:r w:rsidRPr="00CF06EE">
        <w:rPr>
          <w:rFonts w:ascii="Arial" w:eastAsia="Times New Roman" w:hAnsi="Arial" w:cs="Arial"/>
          <w:sz w:val="20"/>
          <w:szCs w:val="20"/>
          <w:lang w:val="en-IN" w:eastAsia="en-IN"/>
        </w:rPr>
        <w:t xml:space="preserve">, A. R., Hamed, F., &amp; Maqsood, S. (2024). Enhanced viability and stability of the Lactobacillus </w:t>
      </w:r>
      <w:proofErr w:type="spellStart"/>
      <w:r w:rsidRPr="00CF06EE">
        <w:rPr>
          <w:rFonts w:ascii="Arial" w:eastAsia="Times New Roman" w:hAnsi="Arial" w:cs="Arial"/>
          <w:sz w:val="20"/>
          <w:szCs w:val="20"/>
          <w:lang w:val="en-IN" w:eastAsia="en-IN"/>
        </w:rPr>
        <w:t>reuteri</w:t>
      </w:r>
      <w:proofErr w:type="spellEnd"/>
      <w:r w:rsidRPr="00CF06EE">
        <w:rPr>
          <w:rFonts w:ascii="Arial" w:eastAsia="Times New Roman" w:hAnsi="Arial" w:cs="Arial"/>
          <w:sz w:val="20"/>
          <w:szCs w:val="20"/>
          <w:lang w:val="en-IN" w:eastAsia="en-IN"/>
        </w:rPr>
        <w:t xml:space="preserve"> DSM 17938 probiotic strain following microencapsulation in pea and rice protein-inulin conjugates. </w:t>
      </w:r>
      <w:r w:rsidRPr="00CF06EE">
        <w:rPr>
          <w:rFonts w:ascii="Arial" w:eastAsia="Times New Roman" w:hAnsi="Arial" w:cs="Arial"/>
          <w:i/>
          <w:iCs/>
          <w:sz w:val="20"/>
          <w:szCs w:val="20"/>
          <w:bdr w:val="single" w:sz="2" w:space="0" w:color="ECEDEE" w:frame="1"/>
          <w:lang w:val="en-IN" w:eastAsia="en-IN"/>
        </w:rPr>
        <w:t>Frontiers in Sustainable Food Systems</w:t>
      </w:r>
      <w:r w:rsidRPr="00CF06EE">
        <w:rPr>
          <w:rFonts w:ascii="Arial" w:eastAsia="Times New Roman" w:hAnsi="Arial" w:cs="Arial"/>
          <w:sz w:val="20"/>
          <w:szCs w:val="20"/>
          <w:lang w:val="en-IN" w:eastAsia="en-IN"/>
        </w:rPr>
        <w:t>, </w:t>
      </w:r>
      <w:r w:rsidRPr="00CF06EE">
        <w:rPr>
          <w:rFonts w:ascii="Arial" w:eastAsia="Times New Roman" w:hAnsi="Arial" w:cs="Arial"/>
          <w:i/>
          <w:iCs/>
          <w:sz w:val="20"/>
          <w:szCs w:val="20"/>
          <w:bdr w:val="single" w:sz="2" w:space="0" w:color="ECEDEE" w:frame="1"/>
          <w:lang w:val="en-IN" w:eastAsia="en-IN"/>
        </w:rPr>
        <w:t>8</w:t>
      </w:r>
      <w:r w:rsidRPr="00CF06EE">
        <w:rPr>
          <w:rFonts w:ascii="Arial" w:eastAsia="Times New Roman" w:hAnsi="Arial" w:cs="Arial"/>
          <w:sz w:val="20"/>
          <w:szCs w:val="20"/>
          <w:lang w:val="en-IN" w:eastAsia="en-IN"/>
        </w:rPr>
        <w:t>. </w:t>
      </w:r>
      <w:hyperlink r:id="rId26" w:history="1">
        <w:r w:rsidRPr="00CF06EE">
          <w:rPr>
            <w:rStyle w:val="Hyperlink"/>
            <w:rFonts w:ascii="Arial" w:eastAsia="Times New Roman" w:hAnsi="Arial" w:cs="Arial"/>
            <w:color w:val="auto"/>
            <w:sz w:val="20"/>
            <w:szCs w:val="20"/>
            <w:bdr w:val="single" w:sz="2" w:space="0" w:color="ECEDEE" w:frame="1"/>
            <w:lang w:val="en-IN" w:eastAsia="en-IN"/>
          </w:rPr>
          <w:t>https://doi.org/10.3389/fsufs.2024.1284069</w:t>
        </w:r>
      </w:hyperlink>
      <w:r w:rsidRPr="00CF06EE">
        <w:rPr>
          <w:rFonts w:ascii="Arial" w:eastAsia="Times New Roman" w:hAnsi="Arial" w:cs="Arial"/>
          <w:sz w:val="20"/>
          <w:szCs w:val="20"/>
          <w:bdr w:val="single" w:sz="2" w:space="0" w:color="ECEDEE" w:frame="1"/>
          <w:lang w:val="en-IN" w:eastAsia="en-IN"/>
        </w:rPr>
        <w:t>.</w:t>
      </w:r>
    </w:p>
    <w:p w14:paraId="557E43D2"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eastAsia="en-IN"/>
        </w:rPr>
        <w:lastRenderedPageBreak/>
        <w:t>Pawar, S. V., Saldinger, S. S., &amp; Shemesh, M. (2026). Postbiotics for improving food quality and safety: From mechanistic insights to industrial applications. </w:t>
      </w:r>
      <w:r w:rsidRPr="00CF06EE">
        <w:rPr>
          <w:rFonts w:ascii="Arial" w:eastAsia="Times New Roman" w:hAnsi="Arial" w:cs="Arial"/>
          <w:i/>
          <w:iCs/>
          <w:sz w:val="20"/>
          <w:szCs w:val="20"/>
          <w:lang w:eastAsia="en-IN"/>
        </w:rPr>
        <w:t>LWT</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241</w:t>
      </w:r>
      <w:r w:rsidRPr="00CF06EE">
        <w:rPr>
          <w:rFonts w:ascii="Arial" w:eastAsia="Times New Roman" w:hAnsi="Arial" w:cs="Arial"/>
          <w:sz w:val="20"/>
          <w:szCs w:val="20"/>
          <w:lang w:eastAsia="en-IN"/>
        </w:rPr>
        <w:t>, 119066. </w:t>
      </w:r>
      <w:hyperlink r:id="rId27" w:history="1">
        <w:r w:rsidRPr="00CF06EE">
          <w:rPr>
            <w:rStyle w:val="Hyperlink"/>
            <w:rFonts w:ascii="Arial" w:eastAsia="Times New Roman" w:hAnsi="Arial" w:cs="Arial"/>
            <w:color w:val="auto"/>
            <w:sz w:val="20"/>
            <w:szCs w:val="20"/>
            <w:lang w:eastAsia="en-IN"/>
          </w:rPr>
          <w:t>https://doi.org/10.1016/j.lwt.2026.119066</w:t>
        </w:r>
      </w:hyperlink>
      <w:r w:rsidRPr="00CF06EE">
        <w:rPr>
          <w:rFonts w:ascii="Arial" w:eastAsia="Times New Roman" w:hAnsi="Arial" w:cs="Arial"/>
          <w:sz w:val="20"/>
          <w:szCs w:val="20"/>
          <w:lang w:eastAsia="en-IN"/>
        </w:rPr>
        <w:t xml:space="preserve">. </w:t>
      </w:r>
    </w:p>
    <w:p w14:paraId="67FC9F89"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eastAsia="en-IN"/>
        </w:rPr>
        <w:t xml:space="preserve">Ramasamy, T., </w:t>
      </w:r>
      <w:proofErr w:type="spellStart"/>
      <w:r w:rsidRPr="00CF06EE">
        <w:rPr>
          <w:rFonts w:ascii="Arial" w:eastAsia="Times New Roman" w:hAnsi="Arial" w:cs="Arial"/>
          <w:sz w:val="20"/>
          <w:szCs w:val="20"/>
          <w:lang w:eastAsia="en-IN"/>
        </w:rPr>
        <w:t>Chellapandian</w:t>
      </w:r>
      <w:proofErr w:type="spellEnd"/>
      <w:r w:rsidRPr="00CF06EE">
        <w:rPr>
          <w:rFonts w:ascii="Arial" w:eastAsia="Times New Roman" w:hAnsi="Arial" w:cs="Arial"/>
          <w:sz w:val="20"/>
          <w:szCs w:val="20"/>
          <w:lang w:eastAsia="en-IN"/>
        </w:rPr>
        <w:t xml:space="preserve">, N., &amp; </w:t>
      </w:r>
      <w:proofErr w:type="spellStart"/>
      <w:r w:rsidRPr="00CF06EE">
        <w:rPr>
          <w:rFonts w:ascii="Arial" w:eastAsia="Times New Roman" w:hAnsi="Arial" w:cs="Arial"/>
          <w:sz w:val="20"/>
          <w:szCs w:val="20"/>
          <w:lang w:eastAsia="en-IN"/>
        </w:rPr>
        <w:t>Dharumadurai</w:t>
      </w:r>
      <w:proofErr w:type="spellEnd"/>
      <w:r w:rsidRPr="00CF06EE">
        <w:rPr>
          <w:rFonts w:ascii="Arial" w:eastAsia="Times New Roman" w:hAnsi="Arial" w:cs="Arial"/>
          <w:sz w:val="20"/>
          <w:szCs w:val="20"/>
          <w:lang w:eastAsia="en-IN"/>
        </w:rPr>
        <w:t>, D. (2025). Separation, characterization and identification of postbiotics from probiotic microbes. In </w:t>
      </w:r>
      <w:r w:rsidRPr="00CF06EE">
        <w:rPr>
          <w:rFonts w:ascii="Arial" w:eastAsia="Times New Roman" w:hAnsi="Arial" w:cs="Arial"/>
          <w:i/>
          <w:iCs/>
          <w:sz w:val="20"/>
          <w:szCs w:val="20"/>
          <w:lang w:eastAsia="en-IN"/>
        </w:rPr>
        <w:t>Elsevier eBooks</w:t>
      </w:r>
      <w:r w:rsidRPr="00CF06EE">
        <w:rPr>
          <w:rFonts w:ascii="Arial" w:eastAsia="Times New Roman" w:hAnsi="Arial" w:cs="Arial"/>
          <w:sz w:val="20"/>
          <w:szCs w:val="20"/>
          <w:lang w:eastAsia="en-IN"/>
        </w:rPr>
        <w:t> (pp. 119–129). </w:t>
      </w:r>
      <w:hyperlink r:id="rId28" w:history="1">
        <w:r w:rsidRPr="00CF06EE">
          <w:rPr>
            <w:rStyle w:val="Hyperlink"/>
            <w:rFonts w:ascii="Arial" w:eastAsia="Times New Roman" w:hAnsi="Arial" w:cs="Arial"/>
            <w:color w:val="auto"/>
            <w:sz w:val="20"/>
            <w:szCs w:val="20"/>
            <w:lang w:eastAsia="en-IN"/>
          </w:rPr>
          <w:t>https://doi.org/10.1016/b978-0-443-22188-0.00008-5</w:t>
        </w:r>
      </w:hyperlink>
      <w:r w:rsidRPr="00CF06EE">
        <w:rPr>
          <w:rFonts w:ascii="Arial" w:hAnsi="Arial" w:cs="Arial"/>
          <w:sz w:val="20"/>
          <w:szCs w:val="20"/>
        </w:rPr>
        <w:t xml:space="preserve">. </w:t>
      </w:r>
    </w:p>
    <w:p w14:paraId="61813936"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eastAsia="en-IN"/>
        </w:rPr>
        <w:t>Tong, Y., Abbas, Z., Zhang, J., Wang, J., Zhou, Y., Si, D., Wei, X., &amp; Zhang, R. (2025). Antimicrobial activity and mechanism of novel postbiotics against foodborne pathogens. </w:t>
      </w:r>
      <w:r w:rsidRPr="00CF06EE">
        <w:rPr>
          <w:rFonts w:ascii="Arial" w:eastAsia="Times New Roman" w:hAnsi="Arial" w:cs="Arial"/>
          <w:i/>
          <w:iCs/>
          <w:sz w:val="20"/>
          <w:szCs w:val="20"/>
          <w:lang w:eastAsia="en-IN"/>
        </w:rPr>
        <w:t>LWT</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217</w:t>
      </w:r>
      <w:r w:rsidRPr="00CF06EE">
        <w:rPr>
          <w:rFonts w:ascii="Arial" w:eastAsia="Times New Roman" w:hAnsi="Arial" w:cs="Arial"/>
          <w:sz w:val="20"/>
          <w:szCs w:val="20"/>
          <w:lang w:eastAsia="en-IN"/>
        </w:rPr>
        <w:t>, 117464. </w:t>
      </w:r>
      <w:hyperlink r:id="rId29" w:history="1">
        <w:r w:rsidRPr="00CF06EE">
          <w:rPr>
            <w:rStyle w:val="Hyperlink"/>
            <w:rFonts w:ascii="Arial" w:eastAsia="Times New Roman" w:hAnsi="Arial" w:cs="Arial"/>
            <w:color w:val="auto"/>
            <w:sz w:val="20"/>
            <w:szCs w:val="20"/>
            <w:lang w:eastAsia="en-IN"/>
          </w:rPr>
          <w:t>https://doi.org/10.1016/j.lwt.2025.117464</w:t>
        </w:r>
      </w:hyperlink>
    </w:p>
    <w:p w14:paraId="357CC2C8"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CF06EE">
        <w:rPr>
          <w:rFonts w:ascii="Arial" w:eastAsia="Times New Roman" w:hAnsi="Arial" w:cs="Arial"/>
          <w:sz w:val="20"/>
          <w:szCs w:val="20"/>
          <w:lang w:val="en-IN" w:eastAsia="en-IN"/>
        </w:rPr>
        <w:t>Trymers</w:t>
      </w:r>
      <w:proofErr w:type="spellEnd"/>
      <w:r w:rsidRPr="00CF06EE">
        <w:rPr>
          <w:rFonts w:ascii="Arial" w:eastAsia="Times New Roman" w:hAnsi="Arial" w:cs="Arial"/>
          <w:sz w:val="20"/>
          <w:szCs w:val="20"/>
          <w:lang w:val="en-IN" w:eastAsia="en-IN"/>
        </w:rPr>
        <w:t>, M., Wiśniewski, P., Tkacz, K., &amp; Zakrzewski, A. (2026c). From production to application: postbiotics in meat, meat products, other food matrices, and bioactive packaging. </w:t>
      </w:r>
      <w:r w:rsidRPr="00CF06EE">
        <w:rPr>
          <w:rFonts w:ascii="Arial" w:eastAsia="Times New Roman" w:hAnsi="Arial" w:cs="Arial"/>
          <w:i/>
          <w:iCs/>
          <w:sz w:val="20"/>
          <w:szCs w:val="20"/>
          <w:bdr w:val="single" w:sz="2" w:space="0" w:color="ECEDEE" w:frame="1"/>
          <w:lang w:val="en-IN" w:eastAsia="en-IN"/>
        </w:rPr>
        <w:t>Foods</w:t>
      </w:r>
      <w:r w:rsidRPr="00CF06EE">
        <w:rPr>
          <w:rFonts w:ascii="Arial" w:eastAsia="Times New Roman" w:hAnsi="Arial" w:cs="Arial"/>
          <w:sz w:val="20"/>
          <w:szCs w:val="20"/>
          <w:lang w:val="en-IN" w:eastAsia="en-IN"/>
        </w:rPr>
        <w:t>, </w:t>
      </w:r>
      <w:r w:rsidRPr="00CF06EE">
        <w:rPr>
          <w:rFonts w:ascii="Arial" w:eastAsia="Times New Roman" w:hAnsi="Arial" w:cs="Arial"/>
          <w:i/>
          <w:iCs/>
          <w:sz w:val="20"/>
          <w:szCs w:val="20"/>
          <w:bdr w:val="single" w:sz="2" w:space="0" w:color="ECEDEE" w:frame="1"/>
          <w:lang w:val="en-IN" w:eastAsia="en-IN"/>
        </w:rPr>
        <w:t>15</w:t>
      </w:r>
      <w:r w:rsidRPr="00CF06EE">
        <w:rPr>
          <w:rFonts w:ascii="Arial" w:eastAsia="Times New Roman" w:hAnsi="Arial" w:cs="Arial"/>
          <w:sz w:val="20"/>
          <w:szCs w:val="20"/>
          <w:lang w:val="en-IN" w:eastAsia="en-IN"/>
        </w:rPr>
        <w:t>(3), 501. </w:t>
      </w:r>
      <w:hyperlink r:id="rId30" w:history="1">
        <w:r w:rsidRPr="00CF06EE">
          <w:rPr>
            <w:rStyle w:val="Hyperlink"/>
            <w:rFonts w:ascii="Arial" w:eastAsia="Times New Roman" w:hAnsi="Arial" w:cs="Arial"/>
            <w:color w:val="auto"/>
            <w:sz w:val="20"/>
            <w:szCs w:val="20"/>
            <w:bdr w:val="single" w:sz="2" w:space="0" w:color="ECEDEE" w:frame="1"/>
            <w:lang w:val="sv-SE" w:eastAsia="en-IN"/>
          </w:rPr>
          <w:t>https://doi.org/10.3390/foods15030501</w:t>
        </w:r>
      </w:hyperlink>
      <w:r w:rsidRPr="00CF06EE">
        <w:rPr>
          <w:rFonts w:ascii="Arial" w:eastAsia="Times New Roman" w:hAnsi="Arial" w:cs="Arial"/>
          <w:sz w:val="20"/>
          <w:szCs w:val="20"/>
          <w:bdr w:val="single" w:sz="2" w:space="0" w:color="ECEDEE" w:frame="1"/>
          <w:lang w:val="sv-SE" w:eastAsia="en-IN"/>
        </w:rPr>
        <w:t xml:space="preserve">. </w:t>
      </w:r>
    </w:p>
    <w:p w14:paraId="0E49374B" w14:textId="77777777"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eastAsia="en-IN"/>
        </w:rPr>
        <w:t xml:space="preserve">Xu, P., Mageswary, M. U., Nisaa, A. A., Li, X., Tan, Y., Oon, C., Tan, C., Luo, W., &amp; Liong, M. (2025). Antimicrobial and Anticancer Activities of </w:t>
      </w:r>
      <w:proofErr w:type="spellStart"/>
      <w:r w:rsidRPr="00CF06EE">
        <w:rPr>
          <w:rFonts w:ascii="Arial" w:eastAsia="Times New Roman" w:hAnsi="Arial" w:cs="Arial"/>
          <w:sz w:val="20"/>
          <w:szCs w:val="20"/>
          <w:lang w:eastAsia="en-IN"/>
        </w:rPr>
        <w:t>Lactiplantibacillus</w:t>
      </w:r>
      <w:proofErr w:type="spellEnd"/>
      <w:r w:rsidRPr="00CF06EE">
        <w:rPr>
          <w:rFonts w:ascii="Arial" w:eastAsia="Times New Roman" w:hAnsi="Arial" w:cs="Arial"/>
          <w:sz w:val="20"/>
          <w:szCs w:val="20"/>
          <w:lang w:eastAsia="en-IN"/>
        </w:rPr>
        <w:t xml:space="preserve"> plantarum Probio87 Isolated from Human Breast Milk. </w:t>
      </w:r>
      <w:r w:rsidRPr="00CF06EE">
        <w:rPr>
          <w:rFonts w:ascii="Arial" w:eastAsia="Times New Roman" w:hAnsi="Arial" w:cs="Arial"/>
          <w:i/>
          <w:iCs/>
          <w:sz w:val="20"/>
          <w:szCs w:val="20"/>
          <w:lang w:eastAsia="en-IN"/>
        </w:rPr>
        <w:t>Nutrients</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17</w:t>
      </w:r>
      <w:r w:rsidRPr="00CF06EE">
        <w:rPr>
          <w:rFonts w:ascii="Arial" w:eastAsia="Times New Roman" w:hAnsi="Arial" w:cs="Arial"/>
          <w:sz w:val="20"/>
          <w:szCs w:val="20"/>
          <w:lang w:eastAsia="en-IN"/>
        </w:rPr>
        <w:t>(15), 2554. </w:t>
      </w:r>
      <w:hyperlink r:id="rId31" w:history="1">
        <w:r w:rsidRPr="00CF06EE">
          <w:rPr>
            <w:rStyle w:val="Hyperlink"/>
            <w:rFonts w:ascii="Arial" w:eastAsia="Times New Roman" w:hAnsi="Arial" w:cs="Arial"/>
            <w:color w:val="auto"/>
            <w:sz w:val="20"/>
            <w:szCs w:val="20"/>
            <w:lang w:eastAsia="en-IN"/>
          </w:rPr>
          <w:t>https://doi.org/10.3390/nu17152554</w:t>
        </w:r>
      </w:hyperlink>
      <w:r w:rsidRPr="00CF06EE">
        <w:rPr>
          <w:rFonts w:ascii="Arial" w:eastAsia="Times New Roman" w:hAnsi="Arial" w:cs="Arial"/>
          <w:sz w:val="20"/>
          <w:szCs w:val="20"/>
          <w:lang w:eastAsia="en-IN"/>
        </w:rPr>
        <w:t xml:space="preserve">. </w:t>
      </w:r>
    </w:p>
    <w:p w14:paraId="29DAFA69" w14:textId="12C72B78" w:rsidR="00DE7CBA" w:rsidRPr="00CF06EE" w:rsidRDefault="00DE7CBA"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CF06EE">
        <w:rPr>
          <w:rFonts w:ascii="Arial" w:eastAsia="Times New Roman" w:hAnsi="Arial" w:cs="Arial"/>
          <w:sz w:val="20"/>
          <w:szCs w:val="20"/>
          <w:lang w:eastAsia="en-IN"/>
        </w:rPr>
        <w:t>Yousefvand</w:t>
      </w:r>
      <w:proofErr w:type="spellEnd"/>
      <w:r w:rsidRPr="00CF06EE">
        <w:rPr>
          <w:rFonts w:ascii="Arial" w:eastAsia="Times New Roman" w:hAnsi="Arial" w:cs="Arial"/>
          <w:sz w:val="20"/>
          <w:szCs w:val="20"/>
          <w:lang w:eastAsia="en-IN"/>
        </w:rPr>
        <w:t xml:space="preserve">, A., Pham, Q., Ho, T. M., Amiri, S., Mäkelä-Salmi, N., &amp; Saris, P. E. J. (2024). Bifidobacterium </w:t>
      </w:r>
      <w:proofErr w:type="spellStart"/>
      <w:r w:rsidRPr="00CF06EE">
        <w:rPr>
          <w:rFonts w:ascii="Arial" w:eastAsia="Times New Roman" w:hAnsi="Arial" w:cs="Arial"/>
          <w:sz w:val="20"/>
          <w:szCs w:val="20"/>
          <w:lang w:eastAsia="en-IN"/>
        </w:rPr>
        <w:t>animalis</w:t>
      </w:r>
      <w:proofErr w:type="spellEnd"/>
      <w:r w:rsidRPr="00CF06EE">
        <w:rPr>
          <w:rFonts w:ascii="Arial" w:eastAsia="Times New Roman" w:hAnsi="Arial" w:cs="Arial"/>
          <w:sz w:val="20"/>
          <w:szCs w:val="20"/>
          <w:lang w:eastAsia="en-IN"/>
        </w:rPr>
        <w:t xml:space="preserve"> subsp. lactis BB12-Derived Postbiotic Powders Enhance Antioxidant and Physicochemical Properties of Low-Fat Yoghurt. </w:t>
      </w:r>
      <w:r w:rsidRPr="00CF06EE">
        <w:rPr>
          <w:rFonts w:ascii="Arial" w:eastAsia="Times New Roman" w:hAnsi="Arial" w:cs="Arial"/>
          <w:i/>
          <w:iCs/>
          <w:sz w:val="20"/>
          <w:szCs w:val="20"/>
          <w:lang w:eastAsia="en-IN"/>
        </w:rPr>
        <w:t>Food and Bioprocess Technology</w:t>
      </w:r>
      <w:r w:rsidRPr="00CF06EE">
        <w:rPr>
          <w:rFonts w:ascii="Arial" w:eastAsia="Times New Roman" w:hAnsi="Arial" w:cs="Arial"/>
          <w:sz w:val="20"/>
          <w:szCs w:val="20"/>
          <w:lang w:eastAsia="en-IN"/>
        </w:rPr>
        <w:t>, </w:t>
      </w:r>
      <w:r w:rsidRPr="00CF06EE">
        <w:rPr>
          <w:rFonts w:ascii="Arial" w:eastAsia="Times New Roman" w:hAnsi="Arial" w:cs="Arial"/>
          <w:i/>
          <w:iCs/>
          <w:sz w:val="20"/>
          <w:szCs w:val="20"/>
          <w:lang w:eastAsia="en-IN"/>
        </w:rPr>
        <w:t>17</w:t>
      </w:r>
      <w:r w:rsidRPr="00CF06EE">
        <w:rPr>
          <w:rFonts w:ascii="Arial" w:eastAsia="Times New Roman" w:hAnsi="Arial" w:cs="Arial"/>
          <w:sz w:val="20"/>
          <w:szCs w:val="20"/>
          <w:lang w:eastAsia="en-IN"/>
        </w:rPr>
        <w:t>(11), 4354–4370. </w:t>
      </w:r>
      <w:hyperlink r:id="rId32" w:history="1">
        <w:r w:rsidRPr="00CF06EE">
          <w:rPr>
            <w:rStyle w:val="Hyperlink"/>
            <w:rFonts w:ascii="Arial" w:eastAsia="Times New Roman" w:hAnsi="Arial" w:cs="Arial"/>
            <w:color w:val="auto"/>
            <w:sz w:val="20"/>
            <w:szCs w:val="20"/>
            <w:lang w:eastAsia="en-IN"/>
          </w:rPr>
          <w:t>https://doi.org/10.1007/s11947-024-03405-0</w:t>
        </w:r>
      </w:hyperlink>
      <w:r w:rsidR="005B539C" w:rsidRPr="00CF06EE">
        <w:rPr>
          <w:rFonts w:ascii="Arial" w:hAnsi="Arial" w:cs="Arial"/>
        </w:rPr>
        <w:t xml:space="preserve">. </w:t>
      </w:r>
    </w:p>
    <w:p w14:paraId="0DD12176" w14:textId="288C2E68" w:rsidR="005B539C" w:rsidRPr="00CF06EE" w:rsidRDefault="005B539C"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rPr>
        <w:t xml:space="preserve">Chikindas, M. L., Roopchand, D. E., Tiwari, S. K., Sichel, L. S., Karwe, M. V., Nitin, N., Fagundes, V. L., Popov, I. V., Tagg, J. R., Lu, X., &amp; Todorov, S. D. (2025b). </w:t>
      </w:r>
      <w:r w:rsidRPr="00CF06EE">
        <w:rPr>
          <w:rFonts w:ascii="Arial" w:eastAsia="Times New Roman" w:hAnsi="Arial" w:cs="Arial"/>
          <w:sz w:val="20"/>
          <w:szCs w:val="20"/>
        </w:rPr>
        <w:t>An integrated engineering approach to creating Health</w:t>
      </w:r>
      <w:r w:rsidRPr="00CF06EE">
        <w:rPr>
          <w:rFonts w:ascii="Cambria Math" w:eastAsia="Times New Roman" w:hAnsi="Cambria Math" w:cs="Cambria Math"/>
          <w:sz w:val="20"/>
          <w:szCs w:val="20"/>
        </w:rPr>
        <w:t>‐</w:t>
      </w:r>
      <w:r w:rsidRPr="00CF06EE">
        <w:rPr>
          <w:rFonts w:ascii="Arial" w:eastAsia="Times New Roman" w:hAnsi="Arial" w:cs="Arial"/>
          <w:sz w:val="20"/>
          <w:szCs w:val="20"/>
        </w:rPr>
        <w:t>Modulating Postbiotics. </w:t>
      </w:r>
      <w:r w:rsidRPr="00CF06EE">
        <w:rPr>
          <w:rFonts w:ascii="Arial" w:eastAsia="Times New Roman" w:hAnsi="Arial" w:cs="Arial"/>
          <w:i/>
          <w:iCs/>
          <w:sz w:val="20"/>
          <w:szCs w:val="20"/>
        </w:rPr>
        <w:t>Molecular Nutrition &amp; Food Research</w:t>
      </w:r>
      <w:r w:rsidRPr="00CF06EE">
        <w:rPr>
          <w:rFonts w:ascii="Arial" w:eastAsia="Times New Roman" w:hAnsi="Arial" w:cs="Arial"/>
          <w:sz w:val="20"/>
          <w:szCs w:val="20"/>
        </w:rPr>
        <w:t>, </w:t>
      </w:r>
      <w:r w:rsidRPr="00CF06EE">
        <w:rPr>
          <w:rFonts w:ascii="Arial" w:eastAsia="Times New Roman" w:hAnsi="Arial" w:cs="Arial"/>
          <w:i/>
          <w:iCs/>
          <w:sz w:val="20"/>
          <w:szCs w:val="20"/>
        </w:rPr>
        <w:t>70</w:t>
      </w:r>
      <w:r w:rsidRPr="00CF06EE">
        <w:rPr>
          <w:rFonts w:ascii="Arial" w:eastAsia="Times New Roman" w:hAnsi="Arial" w:cs="Arial"/>
          <w:sz w:val="20"/>
          <w:szCs w:val="20"/>
        </w:rPr>
        <w:t>(1), e70326. </w:t>
      </w:r>
      <w:hyperlink r:id="rId33" w:history="1">
        <w:r w:rsidR="00021E0B" w:rsidRPr="00CF06EE">
          <w:rPr>
            <w:rStyle w:val="Hyperlink"/>
            <w:rFonts w:ascii="Arial" w:eastAsia="Times New Roman" w:hAnsi="Arial" w:cs="Arial"/>
            <w:sz w:val="20"/>
            <w:szCs w:val="20"/>
          </w:rPr>
          <w:t>https://doi.org/10.1002/mnfr.70326</w:t>
        </w:r>
      </w:hyperlink>
      <w:r w:rsidR="00021E0B" w:rsidRPr="00CF06EE">
        <w:rPr>
          <w:rFonts w:ascii="Arial" w:eastAsia="Times New Roman" w:hAnsi="Arial" w:cs="Arial"/>
          <w:sz w:val="20"/>
          <w:szCs w:val="20"/>
        </w:rPr>
        <w:t xml:space="preserve">. </w:t>
      </w:r>
    </w:p>
    <w:p w14:paraId="25FB6FFF" w14:textId="7F5DFC88" w:rsidR="00021E0B" w:rsidRPr="00CF06EE" w:rsidRDefault="00021E0B"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rPr>
        <w:t xml:space="preserve">Misra, S., Pandey, P., Panigrahi, C., &amp; Mishra, H. N. (2023). </w:t>
      </w:r>
      <w:r w:rsidRPr="00CF06EE">
        <w:rPr>
          <w:rFonts w:ascii="Arial" w:eastAsia="Times New Roman" w:hAnsi="Arial" w:cs="Arial"/>
          <w:sz w:val="20"/>
          <w:szCs w:val="20"/>
        </w:rPr>
        <w:t>A comparative approach on the spray and freeze drying of probiotic and Gamma-aminobutyric acid as a single entity: Characterization and evaluation of stability in simulated gastrointestinal conditions. </w:t>
      </w:r>
      <w:r w:rsidRPr="00CF06EE">
        <w:rPr>
          <w:rFonts w:ascii="Arial" w:eastAsia="Times New Roman" w:hAnsi="Arial" w:cs="Arial"/>
          <w:i/>
          <w:iCs/>
          <w:sz w:val="20"/>
          <w:szCs w:val="20"/>
        </w:rPr>
        <w:t>Food Chemistry Advances</w:t>
      </w:r>
      <w:r w:rsidRPr="00CF06EE">
        <w:rPr>
          <w:rFonts w:ascii="Arial" w:eastAsia="Times New Roman" w:hAnsi="Arial" w:cs="Arial"/>
          <w:sz w:val="20"/>
          <w:szCs w:val="20"/>
        </w:rPr>
        <w:t>, </w:t>
      </w:r>
      <w:r w:rsidRPr="00CF06EE">
        <w:rPr>
          <w:rFonts w:ascii="Arial" w:eastAsia="Times New Roman" w:hAnsi="Arial" w:cs="Arial"/>
          <w:i/>
          <w:iCs/>
          <w:sz w:val="20"/>
          <w:szCs w:val="20"/>
        </w:rPr>
        <w:t>3</w:t>
      </w:r>
      <w:r w:rsidRPr="00CF06EE">
        <w:rPr>
          <w:rFonts w:ascii="Arial" w:eastAsia="Times New Roman" w:hAnsi="Arial" w:cs="Arial"/>
          <w:sz w:val="20"/>
          <w:szCs w:val="20"/>
        </w:rPr>
        <w:t>, 100385. </w:t>
      </w:r>
      <w:hyperlink r:id="rId34" w:history="1">
        <w:r w:rsidRPr="00CF06EE">
          <w:rPr>
            <w:rStyle w:val="Hyperlink"/>
            <w:rFonts w:ascii="Arial" w:eastAsia="Times New Roman" w:hAnsi="Arial" w:cs="Arial"/>
            <w:sz w:val="20"/>
            <w:szCs w:val="20"/>
          </w:rPr>
          <w:t>https://doi.org/10.1016/j.focha.2023.100385</w:t>
        </w:r>
      </w:hyperlink>
      <w:r w:rsidRPr="00CF06EE">
        <w:rPr>
          <w:rFonts w:ascii="Arial" w:eastAsia="Times New Roman" w:hAnsi="Arial" w:cs="Arial"/>
          <w:sz w:val="20"/>
          <w:szCs w:val="20"/>
        </w:rPr>
        <w:t xml:space="preserve">. </w:t>
      </w:r>
    </w:p>
    <w:p w14:paraId="78E87D7F" w14:textId="7AA93A21" w:rsidR="00021E0B" w:rsidRPr="00CF06EE" w:rsidRDefault="00021E0B"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lang w:val="sv-SE"/>
        </w:rPr>
        <w:t xml:space="preserve">Ge, S., Han, J., Sun, Q., Ye, Z., Zhou, Q., Li, P., &amp; Gu, Q. (2024). </w:t>
      </w:r>
      <w:r w:rsidRPr="00CF06EE">
        <w:rPr>
          <w:rFonts w:ascii="Arial" w:eastAsia="Times New Roman" w:hAnsi="Arial" w:cs="Arial"/>
          <w:sz w:val="20"/>
          <w:szCs w:val="20"/>
        </w:rPr>
        <w:t>Optimization of cryoprotectants for improving the freeze-dried survival rate of potential probiotic Lactococcus lactis ZFM559 and evaluation of its storage stability. </w:t>
      </w:r>
      <w:r w:rsidRPr="00CF06EE">
        <w:rPr>
          <w:rFonts w:ascii="Arial" w:eastAsia="Times New Roman" w:hAnsi="Arial" w:cs="Arial"/>
          <w:i/>
          <w:iCs/>
          <w:sz w:val="20"/>
          <w:szCs w:val="20"/>
        </w:rPr>
        <w:t>LWT</w:t>
      </w:r>
      <w:r w:rsidRPr="00CF06EE">
        <w:rPr>
          <w:rFonts w:ascii="Arial" w:eastAsia="Times New Roman" w:hAnsi="Arial" w:cs="Arial"/>
          <w:sz w:val="20"/>
          <w:szCs w:val="20"/>
        </w:rPr>
        <w:t>, </w:t>
      </w:r>
      <w:r w:rsidRPr="00CF06EE">
        <w:rPr>
          <w:rFonts w:ascii="Arial" w:eastAsia="Times New Roman" w:hAnsi="Arial" w:cs="Arial"/>
          <w:i/>
          <w:iCs/>
          <w:sz w:val="20"/>
          <w:szCs w:val="20"/>
        </w:rPr>
        <w:t>198</w:t>
      </w:r>
      <w:r w:rsidRPr="00CF06EE">
        <w:rPr>
          <w:rFonts w:ascii="Arial" w:eastAsia="Times New Roman" w:hAnsi="Arial" w:cs="Arial"/>
          <w:sz w:val="20"/>
          <w:szCs w:val="20"/>
        </w:rPr>
        <w:t>, 116052. </w:t>
      </w:r>
      <w:hyperlink r:id="rId35" w:history="1">
        <w:r w:rsidR="00D126B8" w:rsidRPr="00CF06EE">
          <w:rPr>
            <w:rStyle w:val="Hyperlink"/>
            <w:rFonts w:ascii="Arial" w:eastAsia="Times New Roman" w:hAnsi="Arial" w:cs="Arial"/>
            <w:sz w:val="20"/>
            <w:szCs w:val="20"/>
          </w:rPr>
          <w:t>https://doi.org/10.1016/j.lwt.2024.116052</w:t>
        </w:r>
      </w:hyperlink>
      <w:r w:rsidR="00D126B8" w:rsidRPr="00CF06EE">
        <w:rPr>
          <w:rFonts w:ascii="Arial" w:eastAsia="Times New Roman" w:hAnsi="Arial" w:cs="Arial"/>
          <w:sz w:val="20"/>
          <w:szCs w:val="20"/>
        </w:rPr>
        <w:t xml:space="preserve">. </w:t>
      </w:r>
    </w:p>
    <w:p w14:paraId="4C7073B5" w14:textId="4AB78896" w:rsidR="00D126B8" w:rsidRPr="00CF06EE" w:rsidRDefault="00D126B8"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 xml:space="preserve">Wegh, C. a. M., Geerlings, S. Y., Knol, J., Roeselers, G., &amp; Belzer, C. (2019). Postbiotics and their potential applications in early </w:t>
      </w:r>
      <w:proofErr w:type="gramStart"/>
      <w:r w:rsidRPr="00CF06EE">
        <w:rPr>
          <w:rFonts w:ascii="Arial" w:eastAsia="Times New Roman" w:hAnsi="Arial" w:cs="Arial"/>
          <w:sz w:val="20"/>
          <w:szCs w:val="20"/>
        </w:rPr>
        <w:t>life</w:t>
      </w:r>
      <w:proofErr w:type="gramEnd"/>
      <w:r w:rsidRPr="00CF06EE">
        <w:rPr>
          <w:rFonts w:ascii="Arial" w:eastAsia="Times New Roman" w:hAnsi="Arial" w:cs="Arial"/>
          <w:sz w:val="20"/>
          <w:szCs w:val="20"/>
        </w:rPr>
        <w:t xml:space="preserve"> nutrition and beyond. </w:t>
      </w:r>
      <w:r w:rsidRPr="00CF06EE">
        <w:rPr>
          <w:rFonts w:ascii="Arial" w:eastAsia="Times New Roman" w:hAnsi="Arial" w:cs="Arial"/>
          <w:i/>
          <w:iCs/>
          <w:sz w:val="20"/>
          <w:szCs w:val="20"/>
        </w:rPr>
        <w:t>International Journal of Molecular Sciences</w:t>
      </w:r>
      <w:r w:rsidRPr="00CF06EE">
        <w:rPr>
          <w:rFonts w:ascii="Arial" w:eastAsia="Times New Roman" w:hAnsi="Arial" w:cs="Arial"/>
          <w:sz w:val="20"/>
          <w:szCs w:val="20"/>
        </w:rPr>
        <w:t>, </w:t>
      </w:r>
      <w:r w:rsidRPr="00CF06EE">
        <w:rPr>
          <w:rFonts w:ascii="Arial" w:eastAsia="Times New Roman" w:hAnsi="Arial" w:cs="Arial"/>
          <w:i/>
          <w:iCs/>
          <w:sz w:val="20"/>
          <w:szCs w:val="20"/>
        </w:rPr>
        <w:t>20</w:t>
      </w:r>
      <w:r w:rsidRPr="00CF06EE">
        <w:rPr>
          <w:rFonts w:ascii="Arial" w:eastAsia="Times New Roman" w:hAnsi="Arial" w:cs="Arial"/>
          <w:sz w:val="20"/>
          <w:szCs w:val="20"/>
        </w:rPr>
        <w:t>(19), 4673. </w:t>
      </w:r>
      <w:hyperlink r:id="rId36" w:history="1">
        <w:r w:rsidR="00CF2369" w:rsidRPr="00CF06EE">
          <w:rPr>
            <w:rStyle w:val="Hyperlink"/>
            <w:rFonts w:ascii="Arial" w:eastAsia="Times New Roman" w:hAnsi="Arial" w:cs="Arial"/>
            <w:sz w:val="20"/>
            <w:szCs w:val="20"/>
          </w:rPr>
          <w:t>https://doi.org/10.3390/ijms20194673</w:t>
        </w:r>
      </w:hyperlink>
      <w:r w:rsidR="00CF2369" w:rsidRPr="00CF06EE">
        <w:rPr>
          <w:rFonts w:ascii="Arial" w:eastAsia="Times New Roman" w:hAnsi="Arial" w:cs="Arial"/>
          <w:sz w:val="20"/>
          <w:szCs w:val="20"/>
        </w:rPr>
        <w:t xml:space="preserve">. </w:t>
      </w:r>
    </w:p>
    <w:p w14:paraId="1C9CD39C" w14:textId="5017A19E" w:rsidR="00A82640" w:rsidRPr="00CF06EE" w:rsidRDefault="00A82640" w:rsidP="00DB1ABB">
      <w:pPr>
        <w:pStyle w:val="ListParagraph"/>
        <w:numPr>
          <w:ilvl w:val="0"/>
          <w:numId w:val="1"/>
        </w:numPr>
        <w:spacing w:after="0" w:line="240" w:lineRule="auto"/>
        <w:jc w:val="both"/>
        <w:rPr>
          <w:rFonts w:ascii="Arial" w:eastAsia="Times New Roman" w:hAnsi="Arial" w:cs="Arial"/>
          <w:sz w:val="20"/>
          <w:szCs w:val="20"/>
        </w:rPr>
      </w:pPr>
      <w:proofErr w:type="spellStart"/>
      <w:r w:rsidRPr="00CF06EE">
        <w:rPr>
          <w:rFonts w:ascii="Arial" w:eastAsia="Times New Roman" w:hAnsi="Arial" w:cs="Arial"/>
          <w:sz w:val="20"/>
          <w:szCs w:val="20"/>
        </w:rPr>
        <w:t>Hijová</w:t>
      </w:r>
      <w:proofErr w:type="spellEnd"/>
      <w:r w:rsidRPr="00CF06EE">
        <w:rPr>
          <w:rFonts w:ascii="Arial" w:eastAsia="Times New Roman" w:hAnsi="Arial" w:cs="Arial"/>
          <w:sz w:val="20"/>
          <w:szCs w:val="20"/>
        </w:rPr>
        <w:t>, E. (2024). Postbiotics as metabolites and their biotherapeutic potential. </w:t>
      </w:r>
      <w:r w:rsidRPr="00CF06EE">
        <w:rPr>
          <w:rFonts w:ascii="Arial" w:eastAsia="Times New Roman" w:hAnsi="Arial" w:cs="Arial"/>
          <w:i/>
          <w:iCs/>
          <w:sz w:val="20"/>
          <w:szCs w:val="20"/>
        </w:rPr>
        <w:t>International Journal of Molecular Sciences</w:t>
      </w:r>
      <w:r w:rsidRPr="00CF06EE">
        <w:rPr>
          <w:rFonts w:ascii="Arial" w:eastAsia="Times New Roman" w:hAnsi="Arial" w:cs="Arial"/>
          <w:sz w:val="20"/>
          <w:szCs w:val="20"/>
        </w:rPr>
        <w:t>, </w:t>
      </w:r>
      <w:r w:rsidRPr="00CF06EE">
        <w:rPr>
          <w:rFonts w:ascii="Arial" w:eastAsia="Times New Roman" w:hAnsi="Arial" w:cs="Arial"/>
          <w:i/>
          <w:iCs/>
          <w:sz w:val="20"/>
          <w:szCs w:val="20"/>
        </w:rPr>
        <w:t>25</w:t>
      </w:r>
      <w:r w:rsidRPr="00CF06EE">
        <w:rPr>
          <w:rFonts w:ascii="Arial" w:eastAsia="Times New Roman" w:hAnsi="Arial" w:cs="Arial"/>
          <w:sz w:val="20"/>
          <w:szCs w:val="20"/>
        </w:rPr>
        <w:t>(10), 5441. https://doi.org/10.3390/ijms25105441</w:t>
      </w:r>
    </w:p>
    <w:p w14:paraId="2C3A2B07" w14:textId="15325AA5" w:rsidR="00CF2369" w:rsidRPr="00CF06EE" w:rsidRDefault="008E2905" w:rsidP="00DB1ABB">
      <w:pPr>
        <w:pStyle w:val="ListParagraph"/>
        <w:numPr>
          <w:ilvl w:val="0"/>
          <w:numId w:val="1"/>
        </w:numPr>
        <w:spacing w:after="0" w:line="240" w:lineRule="auto"/>
        <w:jc w:val="both"/>
        <w:rPr>
          <w:rFonts w:ascii="Arial" w:eastAsia="Times New Roman" w:hAnsi="Arial" w:cs="Arial"/>
          <w:sz w:val="20"/>
          <w:szCs w:val="20"/>
        </w:rPr>
      </w:pPr>
      <w:r w:rsidRPr="00CF06EE">
        <w:rPr>
          <w:rFonts w:ascii="Arial" w:eastAsia="Times New Roman" w:hAnsi="Arial" w:cs="Arial"/>
          <w:sz w:val="20"/>
          <w:szCs w:val="20"/>
        </w:rPr>
        <w:t xml:space="preserve">Moghadam, S. K., </w:t>
      </w:r>
      <w:proofErr w:type="spellStart"/>
      <w:r w:rsidRPr="00CF06EE">
        <w:rPr>
          <w:rFonts w:ascii="Arial" w:eastAsia="Times New Roman" w:hAnsi="Arial" w:cs="Arial"/>
          <w:sz w:val="20"/>
          <w:szCs w:val="20"/>
        </w:rPr>
        <w:t>Homayouni</w:t>
      </w:r>
      <w:proofErr w:type="spellEnd"/>
      <w:r w:rsidRPr="00CF06EE">
        <w:rPr>
          <w:rFonts w:ascii="Arial" w:eastAsia="Times New Roman" w:hAnsi="Arial" w:cs="Arial"/>
          <w:sz w:val="20"/>
          <w:szCs w:val="20"/>
        </w:rPr>
        <w:t xml:space="preserve">-Rad, A., </w:t>
      </w:r>
      <w:proofErr w:type="spellStart"/>
      <w:r w:rsidRPr="00CF06EE">
        <w:rPr>
          <w:rFonts w:ascii="Arial" w:eastAsia="Times New Roman" w:hAnsi="Arial" w:cs="Arial"/>
          <w:sz w:val="20"/>
          <w:szCs w:val="20"/>
        </w:rPr>
        <w:t>Shokouhian</w:t>
      </w:r>
      <w:proofErr w:type="spellEnd"/>
      <w:r w:rsidRPr="00CF06EE">
        <w:rPr>
          <w:rFonts w:ascii="Arial" w:eastAsia="Times New Roman" w:hAnsi="Arial" w:cs="Arial"/>
          <w:sz w:val="20"/>
          <w:szCs w:val="20"/>
        </w:rPr>
        <w:t xml:space="preserve">, S. M. J., Kazemi, S., </w:t>
      </w:r>
      <w:proofErr w:type="spellStart"/>
      <w:r w:rsidRPr="00CF06EE">
        <w:rPr>
          <w:rFonts w:ascii="Arial" w:eastAsia="Times New Roman" w:hAnsi="Arial" w:cs="Arial"/>
          <w:sz w:val="20"/>
          <w:szCs w:val="20"/>
        </w:rPr>
        <w:t>Allahmadadi</w:t>
      </w:r>
      <w:proofErr w:type="spellEnd"/>
      <w:r w:rsidRPr="00CF06EE">
        <w:rPr>
          <w:rFonts w:ascii="Arial" w:eastAsia="Times New Roman" w:hAnsi="Arial" w:cs="Arial"/>
          <w:sz w:val="20"/>
          <w:szCs w:val="20"/>
        </w:rPr>
        <w:t xml:space="preserve">, S., Khaleghi, M., &amp; </w:t>
      </w:r>
      <w:proofErr w:type="spellStart"/>
      <w:r w:rsidRPr="00CF06EE">
        <w:rPr>
          <w:rFonts w:ascii="Arial" w:eastAsia="Times New Roman" w:hAnsi="Arial" w:cs="Arial"/>
          <w:sz w:val="20"/>
          <w:szCs w:val="20"/>
        </w:rPr>
        <w:t>Homayouni</w:t>
      </w:r>
      <w:proofErr w:type="spellEnd"/>
      <w:r w:rsidRPr="00CF06EE">
        <w:rPr>
          <w:rFonts w:ascii="Arial" w:eastAsia="Times New Roman" w:hAnsi="Arial" w:cs="Arial"/>
          <w:sz w:val="20"/>
          <w:szCs w:val="20"/>
        </w:rPr>
        <w:t>-Rad, H. (2026). Postbiotics in food, feed, and culture media: mechanisms and applications of microbial metabolites in sustainable systems. </w:t>
      </w:r>
      <w:r w:rsidRPr="00CF06EE">
        <w:rPr>
          <w:rFonts w:ascii="Arial" w:eastAsia="Times New Roman" w:hAnsi="Arial" w:cs="Arial"/>
          <w:i/>
          <w:iCs/>
          <w:sz w:val="20"/>
          <w:szCs w:val="20"/>
        </w:rPr>
        <w:t>Food Production Processing and Nutrition</w:t>
      </w:r>
      <w:r w:rsidRPr="00CF06EE">
        <w:rPr>
          <w:rFonts w:ascii="Arial" w:eastAsia="Times New Roman" w:hAnsi="Arial" w:cs="Arial"/>
          <w:sz w:val="20"/>
          <w:szCs w:val="20"/>
        </w:rPr>
        <w:t>, </w:t>
      </w:r>
      <w:r w:rsidRPr="00CF06EE">
        <w:rPr>
          <w:rFonts w:ascii="Arial" w:eastAsia="Times New Roman" w:hAnsi="Arial" w:cs="Arial"/>
          <w:i/>
          <w:iCs/>
          <w:sz w:val="20"/>
          <w:szCs w:val="20"/>
        </w:rPr>
        <w:t>8</w:t>
      </w:r>
      <w:r w:rsidRPr="00CF06EE">
        <w:rPr>
          <w:rFonts w:ascii="Arial" w:eastAsia="Times New Roman" w:hAnsi="Arial" w:cs="Arial"/>
          <w:sz w:val="20"/>
          <w:szCs w:val="20"/>
        </w:rPr>
        <w:t>(1). https://doi.org/10.1186/s43014-025-00356-7</w:t>
      </w:r>
    </w:p>
    <w:p w14:paraId="4936B1E9" w14:textId="1D5145DD" w:rsidR="008F2047" w:rsidRPr="00CF06EE" w:rsidRDefault="008F2047" w:rsidP="006A3041">
      <w:pPr>
        <w:spacing w:after="0" w:line="240" w:lineRule="auto"/>
        <w:ind w:left="720"/>
        <w:jc w:val="both"/>
        <w:rPr>
          <w:rFonts w:ascii="Arial" w:eastAsia="Times New Roman" w:hAnsi="Arial" w:cs="Arial"/>
          <w:sz w:val="20"/>
          <w:szCs w:val="20"/>
        </w:rPr>
      </w:pPr>
      <w:r w:rsidRPr="00CF06EE">
        <w:rPr>
          <w:rFonts w:ascii="Arial" w:eastAsia="Times New Roman" w:hAnsi="Arial" w:cs="Arial"/>
          <w:sz w:val="20"/>
          <w:szCs w:val="20"/>
          <w:lang w:val="en-IN" w:eastAsia="en-IN"/>
        </w:rPr>
        <w:br/>
      </w:r>
    </w:p>
    <w:sectPr w:rsidR="008F2047" w:rsidRPr="00CF06EE" w:rsidSect="00EA7FCC">
      <w:headerReference w:type="even" r:id="rId37"/>
      <w:headerReference w:type="default" r:id="rId38"/>
      <w:footerReference w:type="even" r:id="rId39"/>
      <w:footerReference w:type="default" r:id="rId40"/>
      <w:headerReference w:type="first" r:id="rId41"/>
      <w:footerReference w:type="first" r:id="rId42"/>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738BB" w14:textId="77777777" w:rsidR="008B0C1F" w:rsidRDefault="008B0C1F">
      <w:pPr>
        <w:spacing w:after="0" w:line="240" w:lineRule="auto"/>
      </w:pPr>
      <w:r>
        <w:separator/>
      </w:r>
    </w:p>
  </w:endnote>
  <w:endnote w:type="continuationSeparator" w:id="0">
    <w:p w14:paraId="17F45D89" w14:textId="77777777" w:rsidR="008B0C1F" w:rsidRDefault="008B0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01EA5" w14:textId="77777777" w:rsidR="00EA7FCC" w:rsidRDefault="00EA7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630332"/>
      <w:docPartObj>
        <w:docPartGallery w:val="Page Numbers (Bottom of Page)"/>
        <w:docPartUnique/>
      </w:docPartObj>
    </w:sdtPr>
    <w:sdtEndPr>
      <w:rPr>
        <w:noProof/>
      </w:rPr>
    </w:sdtEndPr>
    <w:sdtContent>
      <w:p w14:paraId="588B71E4" w14:textId="7C2FF907" w:rsidR="005F1EC1" w:rsidRDefault="005F1E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A14665" w14:textId="4ECEED9F" w:rsidR="5E3EC52B" w:rsidRDefault="5E3EC52B" w:rsidP="5E3EC5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1C1B" w14:textId="77777777" w:rsidR="00EA7FCC" w:rsidRDefault="00EA7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31259" w14:textId="77777777" w:rsidR="008B0C1F" w:rsidRDefault="008B0C1F">
      <w:pPr>
        <w:spacing w:after="0" w:line="240" w:lineRule="auto"/>
      </w:pPr>
      <w:r>
        <w:separator/>
      </w:r>
    </w:p>
  </w:footnote>
  <w:footnote w:type="continuationSeparator" w:id="0">
    <w:p w14:paraId="6F703DED" w14:textId="77777777" w:rsidR="008B0C1F" w:rsidRDefault="008B0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03B03" w14:textId="02BC45EF" w:rsidR="00EA7FCC" w:rsidRDefault="00000000">
    <w:pPr>
      <w:pStyle w:val="Header"/>
    </w:pPr>
    <w:r>
      <w:rPr>
        <w:noProof/>
      </w:rPr>
      <w:pict w14:anchorId="53371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3048" o:spid="_x0000_s1026" type="#_x0000_t136" style="position:absolute;margin-left:0;margin-top:0;width:667.55pt;height:75.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5E3EC52B" w14:paraId="13259BB7" w14:textId="77777777" w:rsidTr="5E3EC52B">
      <w:trPr>
        <w:trHeight w:val="300"/>
      </w:trPr>
      <w:tc>
        <w:tcPr>
          <w:tcW w:w="3360" w:type="dxa"/>
        </w:tcPr>
        <w:p w14:paraId="5BE9100F" w14:textId="7DF6FF25" w:rsidR="5E3EC52B" w:rsidRDefault="5E3EC52B" w:rsidP="5E3EC52B">
          <w:pPr>
            <w:pStyle w:val="Header"/>
            <w:ind w:left="-115"/>
          </w:pPr>
        </w:p>
      </w:tc>
      <w:tc>
        <w:tcPr>
          <w:tcW w:w="3360" w:type="dxa"/>
        </w:tcPr>
        <w:p w14:paraId="52585EE7" w14:textId="1F652837" w:rsidR="5E3EC52B" w:rsidRDefault="5E3EC52B" w:rsidP="5E3EC52B">
          <w:pPr>
            <w:pStyle w:val="Header"/>
            <w:jc w:val="center"/>
          </w:pPr>
        </w:p>
      </w:tc>
      <w:tc>
        <w:tcPr>
          <w:tcW w:w="3360" w:type="dxa"/>
        </w:tcPr>
        <w:p w14:paraId="41F33972" w14:textId="6BB0AA58" w:rsidR="5E3EC52B" w:rsidRDefault="5E3EC52B" w:rsidP="5E3EC52B">
          <w:pPr>
            <w:pStyle w:val="Header"/>
            <w:ind w:right="-115"/>
            <w:jc w:val="right"/>
          </w:pPr>
        </w:p>
      </w:tc>
    </w:tr>
  </w:tbl>
  <w:p w14:paraId="3A28BD2E" w14:textId="7FD9B633" w:rsidR="5E3EC52B" w:rsidRDefault="00000000" w:rsidP="5E3EC52B">
    <w:pPr>
      <w:pStyle w:val="Header"/>
    </w:pPr>
    <w:r>
      <w:rPr>
        <w:noProof/>
      </w:rPr>
      <w:pict w14:anchorId="13535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3049" o:spid="_x0000_s1027" type="#_x0000_t136" style="position:absolute;margin-left:0;margin-top:0;width:667.55pt;height:75.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0B953" w14:textId="5A933C24" w:rsidR="00EA7FCC" w:rsidRDefault="00000000">
    <w:pPr>
      <w:pStyle w:val="Header"/>
    </w:pPr>
    <w:r>
      <w:rPr>
        <w:noProof/>
      </w:rPr>
      <w:pict w14:anchorId="3EAB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3047" o:spid="_x0000_s1025" type="#_x0000_t136" style="position:absolute;margin-left:0;margin-top:0;width:667.55pt;height:75.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FD7718"/>
    <w:multiLevelType w:val="hybridMultilevel"/>
    <w:tmpl w:val="315E62F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45175423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8CF17"/>
    <w:rsid w:val="00001165"/>
    <w:rsid w:val="00006602"/>
    <w:rsid w:val="00011B55"/>
    <w:rsid w:val="00021E0B"/>
    <w:rsid w:val="000C2115"/>
    <w:rsid w:val="000C3F28"/>
    <w:rsid w:val="000D0647"/>
    <w:rsid w:val="000D3415"/>
    <w:rsid w:val="000F29D3"/>
    <w:rsid w:val="00111491"/>
    <w:rsid w:val="00112E38"/>
    <w:rsid w:val="001355E4"/>
    <w:rsid w:val="00161633"/>
    <w:rsid w:val="0018656B"/>
    <w:rsid w:val="00196DAA"/>
    <w:rsid w:val="001B7CC5"/>
    <w:rsid w:val="001D35C2"/>
    <w:rsid w:val="001D690E"/>
    <w:rsid w:val="00204EEF"/>
    <w:rsid w:val="00207596"/>
    <w:rsid w:val="002631A8"/>
    <w:rsid w:val="00273BD9"/>
    <w:rsid w:val="002C7716"/>
    <w:rsid w:val="002E6823"/>
    <w:rsid w:val="002F552A"/>
    <w:rsid w:val="003401BD"/>
    <w:rsid w:val="0034353F"/>
    <w:rsid w:val="00346372"/>
    <w:rsid w:val="00363811"/>
    <w:rsid w:val="003674B7"/>
    <w:rsid w:val="00382DF8"/>
    <w:rsid w:val="003B70B1"/>
    <w:rsid w:val="003C586C"/>
    <w:rsid w:val="00405CEA"/>
    <w:rsid w:val="0045054A"/>
    <w:rsid w:val="00467FCB"/>
    <w:rsid w:val="004A12DD"/>
    <w:rsid w:val="004B0925"/>
    <w:rsid w:val="004B320B"/>
    <w:rsid w:val="004B3F04"/>
    <w:rsid w:val="004D2D12"/>
    <w:rsid w:val="004E298F"/>
    <w:rsid w:val="0054777D"/>
    <w:rsid w:val="00576BCE"/>
    <w:rsid w:val="00581AD3"/>
    <w:rsid w:val="00596F82"/>
    <w:rsid w:val="005B4DB4"/>
    <w:rsid w:val="005B539C"/>
    <w:rsid w:val="005D1A7E"/>
    <w:rsid w:val="005D513E"/>
    <w:rsid w:val="005E2010"/>
    <w:rsid w:val="005F096C"/>
    <w:rsid w:val="005F1EC1"/>
    <w:rsid w:val="005F405F"/>
    <w:rsid w:val="0063744D"/>
    <w:rsid w:val="0064064B"/>
    <w:rsid w:val="00644012"/>
    <w:rsid w:val="00652171"/>
    <w:rsid w:val="006541E4"/>
    <w:rsid w:val="00661410"/>
    <w:rsid w:val="00676C44"/>
    <w:rsid w:val="006A3041"/>
    <w:rsid w:val="006C0E2C"/>
    <w:rsid w:val="006D257D"/>
    <w:rsid w:val="0070465C"/>
    <w:rsid w:val="007150F8"/>
    <w:rsid w:val="00746588"/>
    <w:rsid w:val="007875D8"/>
    <w:rsid w:val="00792F84"/>
    <w:rsid w:val="007C1DBB"/>
    <w:rsid w:val="007C5327"/>
    <w:rsid w:val="007E086F"/>
    <w:rsid w:val="007E2C4B"/>
    <w:rsid w:val="007F6F49"/>
    <w:rsid w:val="0084133B"/>
    <w:rsid w:val="00845FC5"/>
    <w:rsid w:val="00856219"/>
    <w:rsid w:val="008641AD"/>
    <w:rsid w:val="008B0C1F"/>
    <w:rsid w:val="008C6FED"/>
    <w:rsid w:val="008E2905"/>
    <w:rsid w:val="008F2047"/>
    <w:rsid w:val="009155D0"/>
    <w:rsid w:val="00917004"/>
    <w:rsid w:val="0093772E"/>
    <w:rsid w:val="00960C68"/>
    <w:rsid w:val="0096696C"/>
    <w:rsid w:val="009948A6"/>
    <w:rsid w:val="00995A62"/>
    <w:rsid w:val="009A0203"/>
    <w:rsid w:val="009B48DF"/>
    <w:rsid w:val="009B5155"/>
    <w:rsid w:val="009D28DC"/>
    <w:rsid w:val="009E32B0"/>
    <w:rsid w:val="009F16CF"/>
    <w:rsid w:val="00A04814"/>
    <w:rsid w:val="00A122A5"/>
    <w:rsid w:val="00A17142"/>
    <w:rsid w:val="00A2335A"/>
    <w:rsid w:val="00A55792"/>
    <w:rsid w:val="00A57F79"/>
    <w:rsid w:val="00A666AC"/>
    <w:rsid w:val="00A81A82"/>
    <w:rsid w:val="00A82640"/>
    <w:rsid w:val="00AB4D7B"/>
    <w:rsid w:val="00AB5575"/>
    <w:rsid w:val="00B32412"/>
    <w:rsid w:val="00B32E79"/>
    <w:rsid w:val="00B96350"/>
    <w:rsid w:val="00BA498E"/>
    <w:rsid w:val="00BF1968"/>
    <w:rsid w:val="00C000B5"/>
    <w:rsid w:val="00C35350"/>
    <w:rsid w:val="00C5524E"/>
    <w:rsid w:val="00C82557"/>
    <w:rsid w:val="00C83A0C"/>
    <w:rsid w:val="00C84D90"/>
    <w:rsid w:val="00CB2D44"/>
    <w:rsid w:val="00CD780E"/>
    <w:rsid w:val="00CD7EC3"/>
    <w:rsid w:val="00CE4C98"/>
    <w:rsid w:val="00CF06EE"/>
    <w:rsid w:val="00CF2369"/>
    <w:rsid w:val="00D126B8"/>
    <w:rsid w:val="00D14640"/>
    <w:rsid w:val="00D47A07"/>
    <w:rsid w:val="00D71853"/>
    <w:rsid w:val="00DA6731"/>
    <w:rsid w:val="00DA72BF"/>
    <w:rsid w:val="00DB1ABB"/>
    <w:rsid w:val="00DD284F"/>
    <w:rsid w:val="00DD35FB"/>
    <w:rsid w:val="00DE461A"/>
    <w:rsid w:val="00DE7CBA"/>
    <w:rsid w:val="00DF0E1F"/>
    <w:rsid w:val="00E01C7B"/>
    <w:rsid w:val="00E35C67"/>
    <w:rsid w:val="00E74128"/>
    <w:rsid w:val="00E824FC"/>
    <w:rsid w:val="00E96633"/>
    <w:rsid w:val="00EA4864"/>
    <w:rsid w:val="00EA48BD"/>
    <w:rsid w:val="00EA79A4"/>
    <w:rsid w:val="00EA7FCC"/>
    <w:rsid w:val="00EB6584"/>
    <w:rsid w:val="00EC73E9"/>
    <w:rsid w:val="00ED29B8"/>
    <w:rsid w:val="00ED5421"/>
    <w:rsid w:val="00EE0071"/>
    <w:rsid w:val="00EF3A93"/>
    <w:rsid w:val="00F175C1"/>
    <w:rsid w:val="00F22CA2"/>
    <w:rsid w:val="00F47844"/>
    <w:rsid w:val="00F742CF"/>
    <w:rsid w:val="00F7715B"/>
    <w:rsid w:val="00F8214F"/>
    <w:rsid w:val="00F9621E"/>
    <w:rsid w:val="00FB080F"/>
    <w:rsid w:val="00FB242A"/>
    <w:rsid w:val="010DDB6D"/>
    <w:rsid w:val="02322A6B"/>
    <w:rsid w:val="02B5B8E1"/>
    <w:rsid w:val="040D01DF"/>
    <w:rsid w:val="05617F7B"/>
    <w:rsid w:val="05CC2635"/>
    <w:rsid w:val="06023B9B"/>
    <w:rsid w:val="062ABEB1"/>
    <w:rsid w:val="07616F35"/>
    <w:rsid w:val="087D4742"/>
    <w:rsid w:val="0A4BFE21"/>
    <w:rsid w:val="0A512DDA"/>
    <w:rsid w:val="0ABBD12E"/>
    <w:rsid w:val="0AFE6708"/>
    <w:rsid w:val="0BF41AE8"/>
    <w:rsid w:val="1168CF17"/>
    <w:rsid w:val="14439B92"/>
    <w:rsid w:val="148B53BB"/>
    <w:rsid w:val="15149174"/>
    <w:rsid w:val="1562E719"/>
    <w:rsid w:val="15B915C5"/>
    <w:rsid w:val="16481F3A"/>
    <w:rsid w:val="1677607D"/>
    <w:rsid w:val="16796CA0"/>
    <w:rsid w:val="169620E3"/>
    <w:rsid w:val="16B5DAEA"/>
    <w:rsid w:val="17F3C794"/>
    <w:rsid w:val="183F452B"/>
    <w:rsid w:val="196E9640"/>
    <w:rsid w:val="19E90701"/>
    <w:rsid w:val="19F8CADF"/>
    <w:rsid w:val="1AEB35D9"/>
    <w:rsid w:val="1B252383"/>
    <w:rsid w:val="1B478A92"/>
    <w:rsid w:val="1BF36E8E"/>
    <w:rsid w:val="1D3E597F"/>
    <w:rsid w:val="1D6E67E8"/>
    <w:rsid w:val="1DB9415F"/>
    <w:rsid w:val="1E323DC1"/>
    <w:rsid w:val="1E7CE348"/>
    <w:rsid w:val="1E838A08"/>
    <w:rsid w:val="1FFD9C53"/>
    <w:rsid w:val="20276A69"/>
    <w:rsid w:val="22464A5D"/>
    <w:rsid w:val="24DB83CB"/>
    <w:rsid w:val="24DDCB49"/>
    <w:rsid w:val="25BB647D"/>
    <w:rsid w:val="26BD5FB0"/>
    <w:rsid w:val="272C0584"/>
    <w:rsid w:val="276C01E5"/>
    <w:rsid w:val="28600ABE"/>
    <w:rsid w:val="2BA3FFEA"/>
    <w:rsid w:val="2C0D915A"/>
    <w:rsid w:val="2C5554CD"/>
    <w:rsid w:val="2C7783FE"/>
    <w:rsid w:val="2CE29FC3"/>
    <w:rsid w:val="2CEA941D"/>
    <w:rsid w:val="2D162416"/>
    <w:rsid w:val="2D1799CD"/>
    <w:rsid w:val="2D7EB855"/>
    <w:rsid w:val="2FC5C16E"/>
    <w:rsid w:val="3089824D"/>
    <w:rsid w:val="30BB5C09"/>
    <w:rsid w:val="31018F48"/>
    <w:rsid w:val="317D622F"/>
    <w:rsid w:val="32240877"/>
    <w:rsid w:val="326AF59D"/>
    <w:rsid w:val="32DE94CE"/>
    <w:rsid w:val="338D7FEE"/>
    <w:rsid w:val="33E01DA1"/>
    <w:rsid w:val="346F5B5B"/>
    <w:rsid w:val="348F226E"/>
    <w:rsid w:val="35193B82"/>
    <w:rsid w:val="35EDBDFF"/>
    <w:rsid w:val="364FD41C"/>
    <w:rsid w:val="370EFCCE"/>
    <w:rsid w:val="37C1C533"/>
    <w:rsid w:val="37D30D9F"/>
    <w:rsid w:val="3964916D"/>
    <w:rsid w:val="3AA06B05"/>
    <w:rsid w:val="3B0AAAA6"/>
    <w:rsid w:val="3C336A9E"/>
    <w:rsid w:val="3C995B83"/>
    <w:rsid w:val="3D3745CE"/>
    <w:rsid w:val="3D897240"/>
    <w:rsid w:val="3E13A610"/>
    <w:rsid w:val="3E9B8230"/>
    <w:rsid w:val="411CF705"/>
    <w:rsid w:val="41407276"/>
    <w:rsid w:val="417153BC"/>
    <w:rsid w:val="41FAA7E2"/>
    <w:rsid w:val="41FB7B95"/>
    <w:rsid w:val="427D596A"/>
    <w:rsid w:val="42ABA81A"/>
    <w:rsid w:val="42EC4104"/>
    <w:rsid w:val="450144FE"/>
    <w:rsid w:val="45A32407"/>
    <w:rsid w:val="45B30E45"/>
    <w:rsid w:val="4620F7E3"/>
    <w:rsid w:val="46D1D30E"/>
    <w:rsid w:val="472E9415"/>
    <w:rsid w:val="47417EB3"/>
    <w:rsid w:val="49732DBE"/>
    <w:rsid w:val="497CA8C6"/>
    <w:rsid w:val="498644FB"/>
    <w:rsid w:val="49964EC2"/>
    <w:rsid w:val="49A602A6"/>
    <w:rsid w:val="49F3BBBF"/>
    <w:rsid w:val="4BEC6EB3"/>
    <w:rsid w:val="4C541E57"/>
    <w:rsid w:val="4CCA87C6"/>
    <w:rsid w:val="4D302979"/>
    <w:rsid w:val="4D841F2A"/>
    <w:rsid w:val="4F1F4BE3"/>
    <w:rsid w:val="4F89AC5A"/>
    <w:rsid w:val="502716B0"/>
    <w:rsid w:val="51DBB5A7"/>
    <w:rsid w:val="51DFF1F8"/>
    <w:rsid w:val="52130D24"/>
    <w:rsid w:val="52258FE8"/>
    <w:rsid w:val="522F362F"/>
    <w:rsid w:val="536A29DE"/>
    <w:rsid w:val="53C5C8CE"/>
    <w:rsid w:val="54184DCC"/>
    <w:rsid w:val="545DD47A"/>
    <w:rsid w:val="54E80364"/>
    <w:rsid w:val="56178B75"/>
    <w:rsid w:val="574473B8"/>
    <w:rsid w:val="57485F50"/>
    <w:rsid w:val="58B1E9F5"/>
    <w:rsid w:val="58C80F25"/>
    <w:rsid w:val="58E0A35B"/>
    <w:rsid w:val="58E8FD7C"/>
    <w:rsid w:val="5901832E"/>
    <w:rsid w:val="59ABD23E"/>
    <w:rsid w:val="5A968966"/>
    <w:rsid w:val="5A9A1C63"/>
    <w:rsid w:val="5BB606EF"/>
    <w:rsid w:val="5BDA487E"/>
    <w:rsid w:val="5CDA3627"/>
    <w:rsid w:val="5CE97CD3"/>
    <w:rsid w:val="5D08CA9B"/>
    <w:rsid w:val="5E3EC52B"/>
    <w:rsid w:val="5F0C0A41"/>
    <w:rsid w:val="5F6F05A1"/>
    <w:rsid w:val="614878F8"/>
    <w:rsid w:val="61DA7D9A"/>
    <w:rsid w:val="620F8CB6"/>
    <w:rsid w:val="6436B88B"/>
    <w:rsid w:val="64417426"/>
    <w:rsid w:val="64C5C4B1"/>
    <w:rsid w:val="6529A8DC"/>
    <w:rsid w:val="65D8B29C"/>
    <w:rsid w:val="6605149A"/>
    <w:rsid w:val="66C61E4A"/>
    <w:rsid w:val="66DAF4E2"/>
    <w:rsid w:val="677216B8"/>
    <w:rsid w:val="68134125"/>
    <w:rsid w:val="693C63DF"/>
    <w:rsid w:val="69CED0B7"/>
    <w:rsid w:val="6ACCA23F"/>
    <w:rsid w:val="6B4B03D4"/>
    <w:rsid w:val="6B9A2A13"/>
    <w:rsid w:val="6C6BD13A"/>
    <w:rsid w:val="6DB21EFD"/>
    <w:rsid w:val="6E3D4710"/>
    <w:rsid w:val="717D96D8"/>
    <w:rsid w:val="7214C59D"/>
    <w:rsid w:val="72BD568C"/>
    <w:rsid w:val="731EC26B"/>
    <w:rsid w:val="737EDA31"/>
    <w:rsid w:val="73F2A32D"/>
    <w:rsid w:val="74EEAA3A"/>
    <w:rsid w:val="753279CE"/>
    <w:rsid w:val="75A39D68"/>
    <w:rsid w:val="75AD32EC"/>
    <w:rsid w:val="77416251"/>
    <w:rsid w:val="7744F77B"/>
    <w:rsid w:val="77BB8D61"/>
    <w:rsid w:val="7917E62C"/>
    <w:rsid w:val="792EFA09"/>
    <w:rsid w:val="796712C1"/>
    <w:rsid w:val="79DF8AC0"/>
    <w:rsid w:val="7A36FA4B"/>
    <w:rsid w:val="7A67228C"/>
    <w:rsid w:val="7B751867"/>
    <w:rsid w:val="7D3EF365"/>
    <w:rsid w:val="7D655CAD"/>
    <w:rsid w:val="7D793FC5"/>
    <w:rsid w:val="7E21745B"/>
    <w:rsid w:val="7E68D9BC"/>
    <w:rsid w:val="7FA6A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DBFE5"/>
  <w15:chartTrackingRefBased/>
  <w15:docId w15:val="{7F96C974-42C0-4AC0-A146-6EFB59C3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D12"/>
  </w:style>
  <w:style w:type="paragraph" w:styleId="Heading1">
    <w:name w:val="heading 1"/>
    <w:basedOn w:val="Normal"/>
    <w:next w:val="Normal"/>
    <w:uiPriority w:val="9"/>
    <w:qFormat/>
    <w:rsid w:val="5E3EC5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5E3EC5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5E3EC52B"/>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5E3EC52B"/>
    <w:pPr>
      <w:ind w:left="720"/>
      <w:contextualSpacing/>
    </w:pPr>
  </w:style>
  <w:style w:type="paragraph" w:styleId="Header">
    <w:name w:val="header"/>
    <w:basedOn w:val="Normal"/>
    <w:uiPriority w:val="99"/>
    <w:unhideWhenUsed/>
    <w:rsid w:val="5E3EC52B"/>
    <w:pPr>
      <w:tabs>
        <w:tab w:val="center" w:pos="4680"/>
        <w:tab w:val="right" w:pos="9360"/>
      </w:tabs>
      <w:spacing w:after="0" w:line="240" w:lineRule="auto"/>
    </w:pPr>
  </w:style>
  <w:style w:type="paragraph" w:styleId="Footer">
    <w:name w:val="footer"/>
    <w:basedOn w:val="Normal"/>
    <w:link w:val="FooterChar"/>
    <w:uiPriority w:val="99"/>
    <w:unhideWhenUsed/>
    <w:rsid w:val="5E3EC52B"/>
    <w:pPr>
      <w:tabs>
        <w:tab w:val="center" w:pos="4680"/>
        <w:tab w:val="right" w:pos="9360"/>
      </w:tabs>
      <w:spacing w:after="0" w:line="240" w:lineRule="auto"/>
    </w:pPr>
  </w:style>
  <w:style w:type="character" w:styleId="Hyperlink">
    <w:name w:val="Hyperlink"/>
    <w:basedOn w:val="DefaultParagraphFont"/>
    <w:uiPriority w:val="99"/>
    <w:unhideWhenUsed/>
    <w:rsid w:val="5E3EC52B"/>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55792"/>
    <w:pPr>
      <w:spacing w:after="0" w:line="240" w:lineRule="auto"/>
    </w:pPr>
    <w:rPr>
      <w:sz w:val="22"/>
      <w:szCs w:val="22"/>
      <w:lang w:eastAsia="en-US"/>
    </w:rPr>
  </w:style>
  <w:style w:type="character" w:styleId="UnresolvedMention">
    <w:name w:val="Unresolved Mention"/>
    <w:basedOn w:val="DefaultParagraphFont"/>
    <w:uiPriority w:val="99"/>
    <w:semiHidden/>
    <w:unhideWhenUsed/>
    <w:rsid w:val="00A55792"/>
    <w:rPr>
      <w:color w:val="605E5C"/>
      <w:shd w:val="clear" w:color="auto" w:fill="E1DFDD"/>
    </w:rPr>
  </w:style>
  <w:style w:type="character" w:customStyle="1" w:styleId="url">
    <w:name w:val="url"/>
    <w:basedOn w:val="DefaultParagraphFont"/>
    <w:rsid w:val="008F2047"/>
  </w:style>
  <w:style w:type="character" w:customStyle="1" w:styleId="FooterChar">
    <w:name w:val="Footer Char"/>
    <w:basedOn w:val="DefaultParagraphFont"/>
    <w:link w:val="Footer"/>
    <w:uiPriority w:val="99"/>
    <w:rsid w:val="005F1EC1"/>
  </w:style>
  <w:style w:type="character" w:styleId="LineNumber">
    <w:name w:val="line number"/>
    <w:basedOn w:val="DefaultParagraphFont"/>
    <w:uiPriority w:val="99"/>
    <w:semiHidden/>
    <w:unhideWhenUsed/>
    <w:rsid w:val="006A3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frmbi.2025.1489339" TargetMode="External"/><Relationship Id="rId18" Type="http://schemas.openxmlformats.org/officeDocument/2006/relationships/hyperlink" Target="https://doi.org/10.3389/fbrio.2025.1712139" TargetMode="External"/><Relationship Id="rId26" Type="http://schemas.openxmlformats.org/officeDocument/2006/relationships/hyperlink" Target="https://doi.org/10.3389/fsufs.2024.1284069" TargetMode="External"/><Relationship Id="rId39" Type="http://schemas.openxmlformats.org/officeDocument/2006/relationships/footer" Target="footer1.xml"/><Relationship Id="rId21" Type="http://schemas.openxmlformats.org/officeDocument/2006/relationships/hyperlink" Target="https://doi.org/10.1186/s13568-024-01704-5" TargetMode="External"/><Relationship Id="rId34" Type="http://schemas.openxmlformats.org/officeDocument/2006/relationships/hyperlink" Target="https://doi.org/10.1016/j.focha.2023.100385"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89/fvets.2020.602280" TargetMode="External"/><Relationship Id="rId20" Type="http://schemas.openxmlformats.org/officeDocument/2006/relationships/hyperlink" Target="https://doi.org/10.1186/s13568-024-01704-5" TargetMode="External"/><Relationship Id="rId29" Type="http://schemas.openxmlformats.org/officeDocument/2006/relationships/hyperlink" Target="https://doi.org/10.1016/j.lwt.2025.117464"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ijbiomac.2023.125240" TargetMode="External"/><Relationship Id="rId24" Type="http://schemas.openxmlformats.org/officeDocument/2006/relationships/hyperlink" Target="https://doi.org/10.1002/fob2.70031" TargetMode="External"/><Relationship Id="rId32" Type="http://schemas.openxmlformats.org/officeDocument/2006/relationships/hyperlink" Target="https://doi.org/10.1007/s11947-024-03405-0"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foodres.2025.116869" TargetMode="External"/><Relationship Id="rId23" Type="http://schemas.openxmlformats.org/officeDocument/2006/relationships/hyperlink" Target="https://doi.org/10.1016/j.fnutr.2025.100024" TargetMode="External"/><Relationship Id="rId28" Type="http://schemas.openxmlformats.org/officeDocument/2006/relationships/hyperlink" Target="https://doi.org/10.1016/b978-0-443-22188-0.00008-5" TargetMode="External"/><Relationship Id="rId36" Type="http://schemas.openxmlformats.org/officeDocument/2006/relationships/hyperlink" Target="https://doi.org/10.3390/ijms20194673" TargetMode="External"/><Relationship Id="rId10" Type="http://schemas.openxmlformats.org/officeDocument/2006/relationships/image" Target="media/image3.png"/><Relationship Id="rId19" Type="http://schemas.openxmlformats.org/officeDocument/2006/relationships/hyperlink" Target="https://doi.org/10.1155/2022/1663772" TargetMode="External"/><Relationship Id="rId31" Type="http://schemas.openxmlformats.org/officeDocument/2006/relationships/hyperlink" Target="https://doi.org/10.3390/nu1715255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4966/fsn-1076/100222" TargetMode="External"/><Relationship Id="rId22" Type="http://schemas.openxmlformats.org/officeDocument/2006/relationships/hyperlink" Target="https://doi.org/10.1002/fft2.70205" TargetMode="External"/><Relationship Id="rId27" Type="http://schemas.openxmlformats.org/officeDocument/2006/relationships/hyperlink" Target="https://doi.org/10.1016/j.lwt.2026.119066" TargetMode="External"/><Relationship Id="rId30" Type="http://schemas.openxmlformats.org/officeDocument/2006/relationships/hyperlink" Target="https://doi.org/10.3390/foods15030501" TargetMode="External"/><Relationship Id="rId35" Type="http://schemas.openxmlformats.org/officeDocument/2006/relationships/hyperlink" Target="https://doi.org/10.1016/j.lwt.2024.116052"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07/s11274-025-04483-8" TargetMode="External"/><Relationship Id="rId17" Type="http://schemas.openxmlformats.org/officeDocument/2006/relationships/hyperlink" Target="https://doi.org/10.3390/foods14122148" TargetMode="External"/><Relationship Id="rId25" Type="http://schemas.openxmlformats.org/officeDocument/2006/relationships/hyperlink" Target="https://doi.org/10.3390/antibiotics14030318" TargetMode="External"/><Relationship Id="rId33" Type="http://schemas.openxmlformats.org/officeDocument/2006/relationships/hyperlink" Target="https://doi.org/10.1002/mnfr.70326"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F2263-2404-41FA-926C-106ACAA0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17</Pages>
  <Words>9642</Words>
  <Characters>54962</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SAGI MADHAV VARMA</dc:creator>
  <cp:keywords/>
  <dc:description/>
  <cp:lastModifiedBy>Dr. Sarat Babu Imandi</cp:lastModifiedBy>
  <cp:revision>237</cp:revision>
  <dcterms:created xsi:type="dcterms:W3CDTF">2026-02-21T09:47:00Z</dcterms:created>
  <dcterms:modified xsi:type="dcterms:W3CDTF">2026-03-07T20:01:00Z</dcterms:modified>
</cp:coreProperties>
</file>