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9874" w14:textId="62CA75F4" w:rsidR="00CD4120" w:rsidRDefault="00CD4120" w:rsidP="00EF527E">
      <w:pPr>
        <w:pStyle w:val="Author"/>
        <w:tabs>
          <w:tab w:val="left" w:pos="720"/>
        </w:tabs>
        <w:spacing w:line="240" w:lineRule="auto"/>
        <w:rPr>
          <w:rFonts w:ascii="Arial" w:hAnsi="Arial" w:cs="Arial"/>
          <w:bCs/>
          <w:iCs/>
          <w:kern w:val="28"/>
          <w:sz w:val="36"/>
        </w:rPr>
      </w:pPr>
      <w:r>
        <w:rPr>
          <w:rFonts w:ascii="Times New Roman" w:hAnsi="Times New Roman"/>
          <w:sz w:val="20"/>
        </w:rPr>
        <w:t>Original Research Paper</w:t>
      </w:r>
    </w:p>
    <w:p w14:paraId="494DC53B" w14:textId="673E784A" w:rsidR="00163BC4" w:rsidRPr="00163BC4" w:rsidRDefault="00E62F20" w:rsidP="00EF527E">
      <w:pPr>
        <w:pStyle w:val="Author"/>
        <w:tabs>
          <w:tab w:val="left" w:pos="720"/>
        </w:tabs>
        <w:spacing w:line="240" w:lineRule="auto"/>
        <w:rPr>
          <w:rFonts w:ascii="Arial" w:hAnsi="Arial" w:cs="Arial"/>
          <w:bCs/>
          <w:iCs/>
          <w:kern w:val="28"/>
          <w:sz w:val="36"/>
        </w:rPr>
      </w:pPr>
      <w:bookmarkStart w:id="0" w:name="_Hlk225161508"/>
      <w:r w:rsidRPr="00E62F20">
        <w:rPr>
          <w:rFonts w:ascii="Arial" w:hAnsi="Arial" w:cs="Arial"/>
          <w:bCs/>
          <w:iCs/>
          <w:kern w:val="28"/>
          <w:sz w:val="36"/>
        </w:rPr>
        <w:t>Storytelling Through Video Presentations as a Strategy to Enhance English Comprehension Skills of Intermediate Grade Learner</w:t>
      </w:r>
      <w:r>
        <w:rPr>
          <w:rFonts w:ascii="Arial" w:hAnsi="Arial" w:cs="Arial"/>
          <w:bCs/>
          <w:iCs/>
          <w:kern w:val="28"/>
          <w:sz w:val="36"/>
        </w:rPr>
        <w:t>s</w:t>
      </w:r>
      <w:r w:rsidR="00231920">
        <w:rPr>
          <w:rFonts w:ascii="Arial" w:hAnsi="Arial" w:cs="Arial"/>
          <w:bCs/>
          <w:iCs/>
          <w:kern w:val="28"/>
          <w:sz w:val="36"/>
        </w:rPr>
        <w:t xml:space="preserve"> </w:t>
      </w:r>
    </w:p>
    <w:bookmarkEnd w:id="0"/>
    <w:p w14:paraId="479432C3" w14:textId="77777777" w:rsidR="00A258C3" w:rsidRPr="00790ADA" w:rsidRDefault="00A258C3" w:rsidP="00EF527E">
      <w:pPr>
        <w:pStyle w:val="Author"/>
        <w:tabs>
          <w:tab w:val="left" w:pos="720"/>
        </w:tabs>
        <w:spacing w:line="240" w:lineRule="auto"/>
        <w:jc w:val="both"/>
        <w:rPr>
          <w:rFonts w:ascii="Arial" w:hAnsi="Arial" w:cs="Arial"/>
          <w:sz w:val="36"/>
        </w:rPr>
      </w:pPr>
    </w:p>
    <w:p w14:paraId="491F765F" w14:textId="77777777" w:rsidR="00CD4120" w:rsidRPr="00F35990" w:rsidRDefault="00CD4120" w:rsidP="00F35990">
      <w:pPr>
        <w:pStyle w:val="Affiliation"/>
        <w:tabs>
          <w:tab w:val="left" w:pos="720"/>
        </w:tabs>
        <w:spacing w:after="0" w:line="240" w:lineRule="auto"/>
        <w:rPr>
          <w:rFonts w:ascii="Arial" w:hAnsi="Arial" w:cs="Arial"/>
          <w:b/>
          <w:bCs/>
          <w:i/>
          <w:lang w:val="en-GB"/>
        </w:rPr>
      </w:pPr>
    </w:p>
    <w:p w14:paraId="20E06411" w14:textId="77777777" w:rsidR="002C57D2" w:rsidRPr="00FB3A86" w:rsidRDefault="002C57D2" w:rsidP="00EF527E">
      <w:pPr>
        <w:pStyle w:val="Affiliation"/>
        <w:tabs>
          <w:tab w:val="left" w:pos="720"/>
        </w:tabs>
        <w:spacing w:after="0" w:line="240" w:lineRule="auto"/>
        <w:jc w:val="both"/>
        <w:rPr>
          <w:rFonts w:ascii="Arial" w:hAnsi="Arial" w:cs="Arial"/>
        </w:rPr>
      </w:pPr>
    </w:p>
    <w:p w14:paraId="5B6BB24C" w14:textId="77777777" w:rsidR="00B01FCD" w:rsidRPr="00FB3A86" w:rsidRDefault="00000000" w:rsidP="00EF527E">
      <w:pPr>
        <w:pStyle w:val="Copyright"/>
        <w:tabs>
          <w:tab w:val="left" w:pos="720"/>
        </w:tabs>
        <w:spacing w:after="0" w:line="240" w:lineRule="auto"/>
        <w:jc w:val="both"/>
        <w:rPr>
          <w:rFonts w:ascii="Arial" w:hAnsi="Arial" w:cs="Arial"/>
        </w:rPr>
        <w:sectPr w:rsidR="00B01FCD" w:rsidRPr="00FB3A86" w:rsidSect="006B6A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B4D51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A3EA72" w14:textId="484F7566" w:rsidR="00B01FCD" w:rsidRDefault="00B01FCD" w:rsidP="00EF527E">
      <w:pPr>
        <w:pStyle w:val="AbstHead"/>
        <w:tabs>
          <w:tab w:val="left" w:pos="720"/>
        </w:tabs>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65F347" w14:textId="77777777" w:rsidR="00790ADA" w:rsidRPr="00FB3A86" w:rsidRDefault="00790ADA" w:rsidP="00EF527E">
      <w:pPr>
        <w:pStyle w:val="AbstHead"/>
        <w:tabs>
          <w:tab w:val="left" w:pos="720"/>
        </w:tabs>
        <w:spacing w:after="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6D9F92" w14:textId="77777777" w:rsidTr="001E44FE">
        <w:tc>
          <w:tcPr>
            <w:tcW w:w="9576" w:type="dxa"/>
            <w:shd w:val="clear" w:color="auto" w:fill="F2F2F2"/>
          </w:tcPr>
          <w:p w14:paraId="3D7F779B" w14:textId="77777777" w:rsidR="00640D81" w:rsidRDefault="00BA1B01" w:rsidP="00EF527E">
            <w:pPr>
              <w:pStyle w:val="Body"/>
              <w:tabs>
                <w:tab w:val="left" w:pos="720"/>
              </w:tabs>
              <w:spacing w:after="0"/>
              <w:rPr>
                <w:rFonts w:ascii="Arial" w:eastAsia="Calibri" w:hAnsi="Arial" w:cs="Arial"/>
                <w:szCs w:val="22"/>
              </w:rPr>
            </w:pPr>
            <w:r w:rsidRPr="00BA1B01">
              <w:rPr>
                <w:rFonts w:ascii="Arial" w:eastAsia="Calibri" w:hAnsi="Arial" w:cs="Arial"/>
                <w:b/>
                <w:szCs w:val="22"/>
              </w:rPr>
              <w:t xml:space="preserve">Aims: </w:t>
            </w:r>
            <w:r w:rsidR="00640D81" w:rsidRPr="00640D81">
              <w:rPr>
                <w:rFonts w:ascii="Arial" w:eastAsia="Calibri" w:hAnsi="Arial" w:cs="Arial"/>
                <w:szCs w:val="22"/>
              </w:rPr>
              <w:t>This study examined the effectiveness of storytelling through video presentations as a pedagogical strategy to enhance English comprehension skills among intermediate-grade learners. It specifically investigated whether the integration of visual and auditory elements in storytelling could improve comprehension performance and learner engagement.</w:t>
            </w:r>
          </w:p>
          <w:p w14:paraId="1C76F751" w14:textId="04BE7140" w:rsidR="00BA1B01" w:rsidRDefault="00BA1B01" w:rsidP="00EF527E">
            <w:pPr>
              <w:pStyle w:val="Body"/>
              <w:tabs>
                <w:tab w:val="left" w:pos="720"/>
              </w:tabs>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055DC" w:rsidRPr="00A055DC">
              <w:rPr>
                <w:rFonts w:ascii="Arial" w:eastAsia="Calibri" w:hAnsi="Arial" w:cs="Arial"/>
                <w:szCs w:val="22"/>
              </w:rPr>
              <w:t>A one-group pretest–posttest experimental design was employed to measure changes in comprehension before and after the intervention.</w:t>
            </w:r>
          </w:p>
          <w:p w14:paraId="78DA08B0" w14:textId="469B1C15" w:rsidR="00A055DC" w:rsidRPr="00BA1B01" w:rsidRDefault="00BA1B01" w:rsidP="00EF527E">
            <w:pPr>
              <w:pStyle w:val="Body"/>
              <w:tabs>
                <w:tab w:val="left" w:pos="720"/>
              </w:tabs>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055DC" w:rsidRPr="00A055DC">
              <w:rPr>
                <w:rFonts w:ascii="Arial" w:eastAsia="Calibri" w:hAnsi="Arial" w:cs="Arial"/>
                <w:szCs w:val="22"/>
              </w:rPr>
              <w:t xml:space="preserve">The research was conducted at Talisay Elementary School, </w:t>
            </w:r>
            <w:proofErr w:type="spellStart"/>
            <w:r w:rsidR="00A055DC" w:rsidRPr="00A055DC">
              <w:rPr>
                <w:rFonts w:ascii="Arial" w:eastAsia="Calibri" w:hAnsi="Arial" w:cs="Arial"/>
                <w:szCs w:val="22"/>
              </w:rPr>
              <w:t>Laoang</w:t>
            </w:r>
            <w:proofErr w:type="spellEnd"/>
            <w:r w:rsidR="00A055DC" w:rsidRPr="00A055DC">
              <w:rPr>
                <w:rFonts w:ascii="Arial" w:eastAsia="Calibri" w:hAnsi="Arial" w:cs="Arial"/>
                <w:szCs w:val="22"/>
              </w:rPr>
              <w:t>, Northern Samar, Philippines, during the 2023–2024 academic year</w:t>
            </w:r>
            <w:r w:rsidRPr="00BA1B01">
              <w:rPr>
                <w:rFonts w:ascii="Arial" w:eastAsia="Calibri" w:hAnsi="Arial" w:cs="Arial"/>
                <w:szCs w:val="22"/>
              </w:rPr>
              <w:t>.</w:t>
            </w:r>
          </w:p>
          <w:p w14:paraId="1F5F5ED5" w14:textId="5CB4C1C3" w:rsidR="00640D81" w:rsidRDefault="00BA1B01" w:rsidP="005E182F">
            <w:pPr>
              <w:pStyle w:val="Body"/>
              <w:tabs>
                <w:tab w:val="left" w:pos="720"/>
              </w:tabs>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40D81" w:rsidRPr="00640D81">
              <w:rPr>
                <w:rFonts w:ascii="Arial" w:eastAsia="Calibri" w:hAnsi="Arial" w:cs="Arial"/>
                <w:szCs w:val="22"/>
              </w:rPr>
              <w:t xml:space="preserve">Twenty Grade 4 learners participated in the study. A standardized comprehension test was administered </w:t>
            </w:r>
            <w:r w:rsidR="003D216F">
              <w:rPr>
                <w:rFonts w:ascii="Arial" w:eastAsia="Calibri" w:hAnsi="Arial" w:cs="Arial"/>
                <w:szCs w:val="22"/>
              </w:rPr>
              <w:t>before</w:t>
            </w:r>
            <w:r w:rsidR="00640D81" w:rsidRPr="00640D81">
              <w:rPr>
                <w:rFonts w:ascii="Arial" w:eastAsia="Calibri" w:hAnsi="Arial" w:cs="Arial"/>
                <w:szCs w:val="22"/>
              </w:rPr>
              <w:t xml:space="preserve"> the intervention to establish baseline performance. Learners were then exposed to structured storytelling sessions delivered through video presentations that combined narrative flow, visual cues, and auditory reinforcement. The same test was administered after the intervention to measure comprehension gains.</w:t>
            </w:r>
            <w:r w:rsidR="00672FF5">
              <w:rPr>
                <w:rFonts w:ascii="Arial" w:eastAsia="Calibri" w:hAnsi="Arial" w:cs="Arial"/>
                <w:szCs w:val="22"/>
              </w:rPr>
              <w:t xml:space="preserve"> Frequency, </w:t>
            </w:r>
            <w:proofErr w:type="spellStart"/>
            <w:r w:rsidR="00672FF5">
              <w:rPr>
                <w:rFonts w:ascii="Arial" w:eastAsia="Calibri" w:hAnsi="Arial" w:cs="Arial"/>
                <w:szCs w:val="22"/>
              </w:rPr>
              <w:t>perecentages</w:t>
            </w:r>
            <w:proofErr w:type="spellEnd"/>
            <w:r w:rsidR="00672FF5">
              <w:rPr>
                <w:rFonts w:ascii="Arial" w:eastAsia="Calibri" w:hAnsi="Arial" w:cs="Arial"/>
                <w:szCs w:val="22"/>
              </w:rPr>
              <w:t xml:space="preserve"> and t-test were used in this study.</w:t>
            </w:r>
          </w:p>
          <w:p w14:paraId="735D4C2A" w14:textId="7A0EABB5" w:rsidR="00FB754B" w:rsidRPr="005E182F" w:rsidRDefault="00BA1B01" w:rsidP="005E182F">
            <w:pPr>
              <w:pStyle w:val="Body"/>
              <w:tabs>
                <w:tab w:val="left" w:pos="720"/>
              </w:tabs>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2FF5" w:rsidRPr="00672FF5">
              <w:rPr>
                <w:rFonts w:ascii="Arial" w:eastAsia="Calibri" w:hAnsi="Arial" w:cs="Arial"/>
                <w:szCs w:val="22"/>
              </w:rPr>
              <w:t>The pre-test scores ranged from 2 to 12, with a mean of 6.15 (SD = 2.23), indicating average comprehension levels with moderate variability. After the intervention, post-test scores ranged from 5 to 14, with a mean of 10.90 (SD = 2.25), reflecting a substantial improvement. A paired-sample t-test revealed a highly significant difference between pre-test and post-test scores (t = -5.26, p &lt; 0.001), confirming the effectiveness of the intervention. Most learners (55%) clustered between scores of 11–13 in the post-test, demonstrating strong comprehension gains compared to their baseline performance.</w:t>
            </w:r>
          </w:p>
          <w:p w14:paraId="32378ECA" w14:textId="32DF675D" w:rsidR="00505F06" w:rsidRPr="00BA1B01" w:rsidRDefault="00BA1B01" w:rsidP="005E182F">
            <w:pPr>
              <w:pStyle w:val="Body"/>
              <w:tabs>
                <w:tab w:val="left" w:pos="720"/>
              </w:tabs>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2FF5" w:rsidRPr="00672FF5">
              <w:rPr>
                <w:rFonts w:ascii="Arial" w:eastAsia="Calibri" w:hAnsi="Arial" w:cs="Arial"/>
                <w:szCs w:val="22"/>
              </w:rPr>
              <w:t>Storytelling through video presentations significantly improved learners’ English comprehension skills, validating its potential as an effective instructional strategy in elementary education. The integration of multimodal elements fostered learner engagement, accommodated diverse learning styles, and strengthened comprehension outcomes. Future studies with larger samples, varied grade levels, and longitudinal designs are recommended to further validate and extend these findings, contributing to sustainable innovations in language instruction.</w:t>
            </w:r>
          </w:p>
        </w:tc>
      </w:tr>
    </w:tbl>
    <w:p w14:paraId="408F62C1" w14:textId="77777777" w:rsidR="00636EB2" w:rsidRDefault="00636EB2" w:rsidP="00EF527E">
      <w:pPr>
        <w:pStyle w:val="Body"/>
        <w:tabs>
          <w:tab w:val="left" w:pos="720"/>
        </w:tabs>
        <w:spacing w:after="0"/>
        <w:rPr>
          <w:rFonts w:ascii="Arial" w:hAnsi="Arial" w:cs="Arial"/>
          <w:i/>
        </w:rPr>
      </w:pPr>
    </w:p>
    <w:p w14:paraId="57CC613A" w14:textId="5959F41F" w:rsidR="00A24E7E" w:rsidRDefault="00A24E7E" w:rsidP="00EF527E">
      <w:pPr>
        <w:pStyle w:val="Body"/>
        <w:tabs>
          <w:tab w:val="left" w:pos="720"/>
        </w:tabs>
        <w:spacing w:after="0"/>
        <w:rPr>
          <w:rFonts w:ascii="Arial" w:hAnsi="Arial" w:cs="Arial"/>
          <w:i/>
        </w:rPr>
      </w:pPr>
      <w:r>
        <w:rPr>
          <w:rFonts w:ascii="Arial" w:hAnsi="Arial" w:cs="Arial"/>
          <w:i/>
        </w:rPr>
        <w:t xml:space="preserve">Keywords: </w:t>
      </w:r>
      <w:r w:rsidR="00241812" w:rsidRPr="00241812">
        <w:rPr>
          <w:rFonts w:ascii="Arial" w:hAnsi="Arial" w:cs="Arial"/>
          <w:i/>
        </w:rPr>
        <w:t>Storytelling pedagogy</w:t>
      </w:r>
      <w:r w:rsidR="00241812">
        <w:rPr>
          <w:rFonts w:ascii="Arial" w:hAnsi="Arial" w:cs="Arial"/>
          <w:i/>
        </w:rPr>
        <w:t xml:space="preserve">, </w:t>
      </w:r>
      <w:r w:rsidR="003D216F" w:rsidRPr="003D216F">
        <w:rPr>
          <w:rFonts w:ascii="Arial" w:hAnsi="Arial" w:cs="Arial"/>
          <w:i/>
        </w:rPr>
        <w:t>Video-based learning</w:t>
      </w:r>
      <w:r w:rsidR="003D216F">
        <w:rPr>
          <w:rFonts w:ascii="Arial" w:hAnsi="Arial" w:cs="Arial"/>
          <w:i/>
        </w:rPr>
        <w:t xml:space="preserve">, </w:t>
      </w:r>
      <w:r w:rsidR="003D216F" w:rsidRPr="003D216F">
        <w:rPr>
          <w:rFonts w:ascii="Arial" w:hAnsi="Arial" w:cs="Arial"/>
          <w:i/>
        </w:rPr>
        <w:t xml:space="preserve">English comprehension </w:t>
      </w:r>
      <w:r w:rsidR="003D216F" w:rsidRPr="003D216F">
        <w:rPr>
          <w:rFonts w:ascii="Arial" w:hAnsi="Arial" w:cs="Arial"/>
          <w:i/>
        </w:rPr>
        <w:t>skills</w:t>
      </w:r>
      <w:r w:rsidR="003D216F">
        <w:rPr>
          <w:rFonts w:ascii="Arial" w:hAnsi="Arial" w:cs="Arial"/>
          <w:i/>
        </w:rPr>
        <w:t>,</w:t>
      </w:r>
      <w:r w:rsidR="003D216F" w:rsidRPr="003D216F">
        <w:rPr>
          <w:rFonts w:ascii="Arial" w:hAnsi="Arial" w:cs="Arial"/>
          <w:i/>
        </w:rPr>
        <w:t xml:space="preserve"> Elementary</w:t>
      </w:r>
      <w:r w:rsidR="003D216F" w:rsidRPr="003D216F">
        <w:rPr>
          <w:rFonts w:ascii="Arial" w:hAnsi="Arial" w:cs="Arial"/>
          <w:i/>
        </w:rPr>
        <w:t xml:space="preserve"> </w:t>
      </w:r>
      <w:r w:rsidR="007766C0" w:rsidRPr="003D216F">
        <w:rPr>
          <w:rFonts w:ascii="Arial" w:hAnsi="Arial" w:cs="Arial"/>
          <w:i/>
        </w:rPr>
        <w:t>education</w:t>
      </w:r>
      <w:r w:rsidR="007766C0">
        <w:rPr>
          <w:rFonts w:ascii="Arial" w:hAnsi="Arial" w:cs="Arial"/>
          <w:i/>
        </w:rPr>
        <w:t>,</w:t>
      </w:r>
      <w:r w:rsidR="007766C0" w:rsidRPr="007766C0">
        <w:rPr>
          <w:rFonts w:ascii="Arial" w:hAnsi="Arial" w:cs="Arial"/>
          <w:i/>
        </w:rPr>
        <w:t xml:space="preserve"> Learner</w:t>
      </w:r>
      <w:r w:rsidR="007766C0" w:rsidRPr="007766C0">
        <w:rPr>
          <w:rFonts w:ascii="Arial" w:hAnsi="Arial" w:cs="Arial"/>
          <w:i/>
        </w:rPr>
        <w:t xml:space="preserve"> engagement</w:t>
      </w:r>
      <w:r w:rsidR="007766C0">
        <w:rPr>
          <w:rFonts w:ascii="Arial" w:hAnsi="Arial" w:cs="Arial"/>
          <w:i/>
        </w:rPr>
        <w:t>.</w:t>
      </w:r>
    </w:p>
    <w:p w14:paraId="56BAC31D" w14:textId="77777777" w:rsidR="00790ADA" w:rsidRDefault="00790ADA" w:rsidP="00EF527E">
      <w:pPr>
        <w:pStyle w:val="Body"/>
        <w:tabs>
          <w:tab w:val="left" w:pos="720"/>
        </w:tabs>
        <w:spacing w:after="0"/>
        <w:rPr>
          <w:rFonts w:ascii="Arial" w:hAnsi="Arial" w:cs="Arial"/>
          <w:i/>
        </w:rPr>
      </w:pPr>
    </w:p>
    <w:p w14:paraId="295AD41E" w14:textId="238FEDC0" w:rsidR="007F7B32" w:rsidRDefault="00902823" w:rsidP="00EF527E">
      <w:pPr>
        <w:pStyle w:val="AbstHead"/>
        <w:tabs>
          <w:tab w:val="left" w:pos="720"/>
        </w:tabs>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C883F71" w14:textId="77777777" w:rsidR="00790ADA" w:rsidRPr="00FB3A86" w:rsidRDefault="00790ADA" w:rsidP="00EF527E">
      <w:pPr>
        <w:pStyle w:val="AbstHead"/>
        <w:tabs>
          <w:tab w:val="left" w:pos="720"/>
        </w:tabs>
        <w:spacing w:after="0"/>
        <w:jc w:val="both"/>
        <w:rPr>
          <w:rFonts w:ascii="Arial" w:hAnsi="Arial" w:cs="Arial"/>
        </w:rPr>
      </w:pPr>
    </w:p>
    <w:p w14:paraId="57F2AA95" w14:textId="7D23D9EF" w:rsidR="00C4794C" w:rsidRPr="00C4794C" w:rsidRDefault="00C4794C" w:rsidP="00C4794C">
      <w:pPr>
        <w:pStyle w:val="Body"/>
        <w:tabs>
          <w:tab w:val="left" w:pos="720"/>
        </w:tabs>
        <w:rPr>
          <w:rFonts w:ascii="Arial" w:hAnsi="Arial" w:cs="Arial"/>
        </w:rPr>
      </w:pPr>
      <w:r w:rsidRPr="00C4794C">
        <w:rPr>
          <w:rFonts w:ascii="Arial" w:hAnsi="Arial" w:cs="Arial"/>
        </w:rPr>
        <w:t xml:space="preserve">Storytelling has long been recognized as a powerful means of engaging audiences and conveying meaningful messages. In education, it serves not only as a tool for capturing learners’ attention but also as a vital pedagogical strategy for improving reading comprehension, particularly among struggling readers and English language learners (Purnama et al., 2022; La Bertha Santoso et al., 2023). By presenting ideas in narrative form, storytelling fosters creativity, supports complex problem-solving, and allows learners to </w:t>
      </w:r>
      <w:r w:rsidRPr="00C4794C">
        <w:rPr>
          <w:rFonts w:ascii="Arial" w:hAnsi="Arial" w:cs="Arial"/>
        </w:rPr>
        <w:lastRenderedPageBreak/>
        <w:t>imagine new realities and experiences. Furthermore, it bridges the gap between cognition and emotion, encouraging the adoption of new concepts and motivating learners to act (Haven, 2007). In an era where technology permeates every aspect of life, the education sector stands at a crucial crossroads, ready to integrate innovative learning tools and processes to transform the student experience (Pala et al., 2025).</w:t>
      </w:r>
    </w:p>
    <w:p w14:paraId="3DA4CCC1" w14:textId="636CA9D9" w:rsidR="00C4794C" w:rsidRPr="00C4794C" w:rsidRDefault="00C4794C" w:rsidP="00C4794C">
      <w:pPr>
        <w:pStyle w:val="Body"/>
        <w:tabs>
          <w:tab w:val="left" w:pos="720"/>
        </w:tabs>
        <w:rPr>
          <w:rFonts w:ascii="Arial" w:hAnsi="Arial" w:cs="Arial"/>
        </w:rPr>
      </w:pPr>
      <w:r w:rsidRPr="00C4794C">
        <w:rPr>
          <w:rFonts w:ascii="Arial" w:hAnsi="Arial" w:cs="Arial"/>
        </w:rPr>
        <w:t xml:space="preserve">Extensive research highlights that storytelling enhances vocabulary acquisition, listening comprehension, and overall language development. Purnama et al. (2022) emphasize that storytelling enables children to become better readers and listeners as they gain vocabulary in context, while La Bertha Santoso et al. (2023) note that it builds learner confidence and strengthens foundational reading abilities. Similarly, Lenhart et al. (2020) found that storytelling improves oral language skills and comprehension, particularly when paired with visual aids. This aligns with the theories of Bruner (1991), who argues that narrative is a fundamental mode of thought, shaping how learners construct meaning and understand their experiences. More recent studies confirm these benefits: </w:t>
      </w:r>
      <w:proofErr w:type="spellStart"/>
      <w:r w:rsidRPr="00C4794C">
        <w:rPr>
          <w:rFonts w:ascii="Arial" w:hAnsi="Arial" w:cs="Arial"/>
        </w:rPr>
        <w:t>Ligmon</w:t>
      </w:r>
      <w:proofErr w:type="spellEnd"/>
      <w:r w:rsidRPr="00C4794C">
        <w:rPr>
          <w:rFonts w:ascii="Arial" w:hAnsi="Arial" w:cs="Arial"/>
        </w:rPr>
        <w:t xml:space="preserve"> (2024) demonstrated that read-aloud storytelling significantly improved kindergarten pupils’ comprehension, while </w:t>
      </w:r>
      <w:proofErr w:type="spellStart"/>
      <w:r w:rsidRPr="00C4794C">
        <w:rPr>
          <w:rFonts w:ascii="Arial" w:hAnsi="Arial" w:cs="Arial"/>
        </w:rPr>
        <w:t>Kabaran</w:t>
      </w:r>
      <w:proofErr w:type="spellEnd"/>
      <w:r w:rsidRPr="00C4794C">
        <w:rPr>
          <w:rFonts w:ascii="Arial" w:hAnsi="Arial" w:cs="Arial"/>
        </w:rPr>
        <w:t xml:space="preserve"> and Duman (2021) found that digital storytelling enhanced study strategies and learner motivation. Abun (2025) also reported that digital stories improved reading comprehension among Filipino learners, underscoring the relevance of storytelling in local contexts.</w:t>
      </w:r>
    </w:p>
    <w:p w14:paraId="701810C5" w14:textId="5ABCC5C5" w:rsidR="00C4794C" w:rsidRPr="00C4794C" w:rsidRDefault="00C4794C" w:rsidP="00C4794C">
      <w:pPr>
        <w:pStyle w:val="Body"/>
        <w:tabs>
          <w:tab w:val="left" w:pos="720"/>
        </w:tabs>
        <w:rPr>
          <w:rFonts w:ascii="Arial" w:hAnsi="Arial" w:cs="Arial"/>
        </w:rPr>
      </w:pPr>
      <w:r w:rsidRPr="00C4794C">
        <w:rPr>
          <w:rFonts w:ascii="Arial" w:hAnsi="Arial" w:cs="Arial"/>
        </w:rPr>
        <w:t>Despite these proven benefits, teachers often encounter significant challenges in teaching comprehension. Learners may struggle with the speed of oral delivery, limited opportunities to repeat words, and restricted vocabulary that hinders listening comprehension (Mayer, 2009). When unfamiliar words arise, students often pause to interpret meaning, causing a cognitive "bottleneck" where they miss subsequent parts of the story. These difficulties are mirrored in practical classroom observations; for instance, a Grade 4 teacher at Talisay Elementary School observed that learners face consistent hurdles in understanding unfamiliar words, maintaining concentration, and recognizing sounds. To address these issues, educators have traditionally utilized printed short stories with colored illustrations and focused on phonics. However, there is an increasing need to adapt these methods to include online learning and multimedia approaches to better address student challenges in the evolving educational landscape (Nobis et al., 2024).</w:t>
      </w:r>
    </w:p>
    <w:p w14:paraId="3029D026" w14:textId="5987BFDC" w:rsidR="00B3293A" w:rsidRPr="00B3293A" w:rsidRDefault="00C4794C" w:rsidP="00C4794C">
      <w:pPr>
        <w:pStyle w:val="Body"/>
        <w:tabs>
          <w:tab w:val="left" w:pos="720"/>
        </w:tabs>
        <w:rPr>
          <w:rFonts w:ascii="Arial" w:hAnsi="Arial" w:cs="Arial"/>
        </w:rPr>
      </w:pPr>
      <w:r w:rsidRPr="00C4794C">
        <w:rPr>
          <w:rFonts w:ascii="Arial" w:hAnsi="Arial" w:cs="Arial"/>
        </w:rPr>
        <w:t>These persistent challenges highlight the need for innovative interventions that enhance vocabulary and comprehension skills through more dynamic means. Storytelling through video presentations offers a promising strategy by combining narrative with visual and auditory elements, effectively utilizing Dual Coding Theory to make language more accessible (</w:t>
      </w:r>
      <w:proofErr w:type="spellStart"/>
      <w:r w:rsidRPr="00C4794C">
        <w:rPr>
          <w:rFonts w:ascii="Arial" w:hAnsi="Arial" w:cs="Arial"/>
        </w:rPr>
        <w:t>Paivio</w:t>
      </w:r>
      <w:proofErr w:type="spellEnd"/>
      <w:r w:rsidRPr="00C4794C">
        <w:rPr>
          <w:rFonts w:ascii="Arial" w:hAnsi="Arial" w:cs="Arial"/>
        </w:rPr>
        <w:t xml:space="preserve">, 1986; Mayer, 2009). Videos provide learners with repeated exposure to words and contexts, making information more engaging and retrievable. This approach introduces new vocabulary and linguistic structures in meaningful contexts, strengthens memory and listening skills, and fosters empathy and social understanding (Lenhart et al., 2020; Bond et al., 2020). By integrating storytelling with multimedia, learners are significantly more likely to comprehend, retain, and express ideas </w:t>
      </w:r>
      <w:r w:rsidRPr="00C4794C">
        <w:rPr>
          <w:rFonts w:ascii="Arial" w:hAnsi="Arial" w:cs="Arial"/>
        </w:rPr>
        <w:t>effectively.</w:t>
      </w:r>
    </w:p>
    <w:p w14:paraId="19A05C8A" w14:textId="0BA9B173" w:rsidR="00C4794C" w:rsidRPr="00C4794C" w:rsidRDefault="00902823" w:rsidP="00C4794C">
      <w:pPr>
        <w:pStyle w:val="AbstHead"/>
        <w:tabs>
          <w:tab w:val="left" w:pos="720"/>
        </w:tabs>
        <w:spacing w:after="0"/>
        <w:jc w:val="both"/>
        <w:rPr>
          <w:rFonts w:ascii="Arial" w:hAnsi="Arial" w:cs="Arial"/>
        </w:rPr>
      </w:pPr>
      <w:r>
        <w:rPr>
          <w:rFonts w:ascii="Arial" w:hAnsi="Arial" w:cs="Arial"/>
        </w:rPr>
        <w:t xml:space="preserve">2. </w:t>
      </w:r>
      <w:r w:rsidR="006B57D0">
        <w:rPr>
          <w:rFonts w:ascii="Arial" w:hAnsi="Arial" w:cs="Arial"/>
        </w:rPr>
        <w:t>methodology</w:t>
      </w:r>
    </w:p>
    <w:p w14:paraId="1245196D" w14:textId="77777777" w:rsidR="00C4794C" w:rsidRDefault="00C4794C" w:rsidP="00EF527E">
      <w:pPr>
        <w:pStyle w:val="Body"/>
        <w:tabs>
          <w:tab w:val="left" w:pos="720"/>
        </w:tabs>
        <w:spacing w:after="0"/>
        <w:rPr>
          <w:rFonts w:ascii="Arial" w:hAnsi="Arial" w:cs="Arial"/>
          <w:b/>
          <w:caps/>
          <w:sz w:val="22"/>
        </w:rPr>
      </w:pPr>
    </w:p>
    <w:p w14:paraId="23BCC809" w14:textId="498522D0" w:rsidR="00C4794C" w:rsidRDefault="00C4794C" w:rsidP="00EF527E">
      <w:pPr>
        <w:pStyle w:val="Body"/>
        <w:tabs>
          <w:tab w:val="left" w:pos="720"/>
        </w:tabs>
        <w:spacing w:after="0"/>
        <w:rPr>
          <w:rFonts w:ascii="Arial" w:hAnsi="Arial" w:cs="Arial"/>
          <w:b/>
          <w:sz w:val="22"/>
        </w:rPr>
      </w:pPr>
      <w:r>
        <w:rPr>
          <w:rFonts w:ascii="Arial" w:hAnsi="Arial" w:cs="Arial"/>
          <w:b/>
          <w:sz w:val="22"/>
        </w:rPr>
        <w:t>2.1 Research Design</w:t>
      </w:r>
    </w:p>
    <w:p w14:paraId="257359C8" w14:textId="56DC9CB4" w:rsidR="00C4794C" w:rsidRPr="00C4794C" w:rsidRDefault="00C4794C" w:rsidP="00EF527E">
      <w:pPr>
        <w:pStyle w:val="Body"/>
        <w:tabs>
          <w:tab w:val="left" w:pos="720"/>
        </w:tabs>
        <w:spacing w:after="0"/>
        <w:rPr>
          <w:rFonts w:ascii="Arial" w:hAnsi="Arial" w:cs="Arial"/>
          <w:bCs/>
          <w:szCs w:val="18"/>
        </w:rPr>
      </w:pPr>
      <w:r w:rsidRPr="00C4794C">
        <w:rPr>
          <w:rFonts w:ascii="Arial" w:hAnsi="Arial" w:cs="Arial"/>
          <w:bCs/>
          <w:szCs w:val="18"/>
        </w:rPr>
        <w:t xml:space="preserve">The researcher utilized a one-group pretest–posttest experimental design to conduct the investigation. This specific pre-experimental framework was chosen to measure changes in the participants' comprehension levels before and after the introduction of the storytelling intervention. By using the same group as its own control, the study established a baseline of </w:t>
      </w:r>
      <w:r w:rsidRPr="00C4794C">
        <w:rPr>
          <w:rFonts w:ascii="Arial" w:hAnsi="Arial" w:cs="Arial"/>
          <w:bCs/>
          <w:szCs w:val="18"/>
        </w:rPr>
        <w:lastRenderedPageBreak/>
        <w:t>performance and directly observed the shifts in score distribution and mean performance following the implementation of video-based narratives.</w:t>
      </w:r>
    </w:p>
    <w:p w14:paraId="5F41C1F1" w14:textId="77777777" w:rsidR="00C4794C" w:rsidRDefault="00C4794C" w:rsidP="00EF527E">
      <w:pPr>
        <w:pStyle w:val="Body"/>
        <w:tabs>
          <w:tab w:val="left" w:pos="720"/>
        </w:tabs>
        <w:spacing w:after="0"/>
        <w:rPr>
          <w:rFonts w:ascii="Arial" w:hAnsi="Arial" w:cs="Arial"/>
          <w:b/>
          <w:sz w:val="22"/>
        </w:rPr>
      </w:pPr>
    </w:p>
    <w:p w14:paraId="29C36C51" w14:textId="55F8F867" w:rsidR="00D73BCE" w:rsidRDefault="00C4794C" w:rsidP="00EF527E">
      <w:pPr>
        <w:pStyle w:val="Body"/>
        <w:tabs>
          <w:tab w:val="left" w:pos="720"/>
        </w:tabs>
        <w:spacing w:after="0"/>
        <w:rPr>
          <w:rFonts w:ascii="Arial" w:hAnsi="Arial" w:cs="Arial"/>
        </w:rPr>
      </w:pPr>
      <w:r>
        <w:rPr>
          <w:rFonts w:ascii="Arial" w:hAnsi="Arial" w:cs="Arial"/>
          <w:b/>
          <w:sz w:val="22"/>
        </w:rPr>
        <w:t xml:space="preserve">2.2 </w:t>
      </w:r>
      <w:r w:rsidRPr="00C4794C">
        <w:rPr>
          <w:rFonts w:ascii="Arial" w:hAnsi="Arial" w:cs="Arial"/>
          <w:b/>
          <w:sz w:val="22"/>
        </w:rPr>
        <w:t>Participants and Research Locale</w:t>
      </w:r>
    </w:p>
    <w:p w14:paraId="5E668471" w14:textId="77777777" w:rsidR="00D73BCE" w:rsidRDefault="00D73BCE" w:rsidP="00EF527E">
      <w:pPr>
        <w:pStyle w:val="Body"/>
        <w:tabs>
          <w:tab w:val="left" w:pos="720"/>
        </w:tabs>
        <w:spacing w:after="0"/>
        <w:rPr>
          <w:rFonts w:ascii="Arial" w:hAnsi="Arial" w:cs="Arial"/>
        </w:rPr>
      </w:pPr>
    </w:p>
    <w:p w14:paraId="734FAD16" w14:textId="145EC549" w:rsidR="00790ADA" w:rsidRDefault="00C4794C" w:rsidP="00EF527E">
      <w:pPr>
        <w:pStyle w:val="Body"/>
        <w:tabs>
          <w:tab w:val="left" w:pos="720"/>
        </w:tabs>
        <w:spacing w:after="0"/>
        <w:rPr>
          <w:rFonts w:ascii="Arial" w:hAnsi="Arial" w:cs="Arial"/>
        </w:rPr>
      </w:pPr>
      <w:r w:rsidRPr="00C4794C">
        <w:rPr>
          <w:rFonts w:ascii="Arial" w:hAnsi="Arial" w:cs="Arial"/>
        </w:rPr>
        <w:t xml:space="preserve">The research was conducted at Talisay Elementary School, located in </w:t>
      </w:r>
      <w:proofErr w:type="spellStart"/>
      <w:r w:rsidRPr="00C4794C">
        <w:rPr>
          <w:rFonts w:ascii="Arial" w:hAnsi="Arial" w:cs="Arial"/>
        </w:rPr>
        <w:t>Laoang</w:t>
      </w:r>
      <w:proofErr w:type="spellEnd"/>
      <w:r w:rsidRPr="00C4794C">
        <w:rPr>
          <w:rFonts w:ascii="Arial" w:hAnsi="Arial" w:cs="Arial"/>
        </w:rPr>
        <w:t>, Northern Samar, Philippines, during the 2023–2024 academic year. The participants consisted of 20 Grade 4 learners who were purposively selected to represent the intermediate grade level. These learners were primarily engaged in a bilingual curriculum where English served as a key medium of instruction, which made them a suitable cohort for testing strategies aimed at enhancing English language comprehension.</w:t>
      </w:r>
    </w:p>
    <w:p w14:paraId="6687244A" w14:textId="77777777" w:rsidR="00C4794C" w:rsidRDefault="00C4794C" w:rsidP="00EF527E">
      <w:pPr>
        <w:pStyle w:val="Body"/>
        <w:tabs>
          <w:tab w:val="left" w:pos="720"/>
        </w:tabs>
        <w:spacing w:after="0"/>
        <w:rPr>
          <w:rFonts w:ascii="Arial" w:hAnsi="Arial" w:cs="Arial"/>
          <w:b/>
          <w:u w:val="single"/>
        </w:rPr>
      </w:pPr>
    </w:p>
    <w:p w14:paraId="3D46F072" w14:textId="4B83650C" w:rsidR="007824D2" w:rsidRDefault="007824D2" w:rsidP="00EF527E">
      <w:pPr>
        <w:pStyle w:val="Body"/>
        <w:tabs>
          <w:tab w:val="left" w:pos="720"/>
        </w:tabs>
        <w:spacing w:after="0"/>
        <w:rPr>
          <w:rFonts w:ascii="Arial" w:hAnsi="Arial" w:cs="Arial"/>
          <w:b/>
          <w:sz w:val="22"/>
        </w:rPr>
      </w:pPr>
      <w:r w:rsidRPr="00C30A0F">
        <w:rPr>
          <w:rFonts w:ascii="Arial" w:hAnsi="Arial" w:cs="Arial"/>
          <w:b/>
          <w:caps/>
          <w:sz w:val="22"/>
        </w:rPr>
        <w:t>2.</w:t>
      </w:r>
      <w:r w:rsidR="00C4794C">
        <w:rPr>
          <w:rFonts w:ascii="Arial" w:hAnsi="Arial" w:cs="Arial"/>
          <w:b/>
          <w:caps/>
          <w:sz w:val="22"/>
        </w:rPr>
        <w:t>3</w:t>
      </w:r>
      <w:r w:rsidRPr="00C30A0F">
        <w:rPr>
          <w:rFonts w:ascii="Arial" w:hAnsi="Arial" w:cs="Arial"/>
          <w:b/>
          <w:caps/>
          <w:sz w:val="22"/>
        </w:rPr>
        <w:t xml:space="preserve"> </w:t>
      </w:r>
      <w:r w:rsidR="00C4794C" w:rsidRPr="00C4794C">
        <w:rPr>
          <w:rFonts w:ascii="Arial" w:hAnsi="Arial" w:cs="Arial"/>
          <w:b/>
          <w:sz w:val="22"/>
        </w:rPr>
        <w:t>Data Gathering Procedures and Intervention</w:t>
      </w:r>
    </w:p>
    <w:p w14:paraId="3AE069C7" w14:textId="77777777" w:rsidR="007824D2" w:rsidRDefault="007824D2" w:rsidP="00EF527E">
      <w:pPr>
        <w:pStyle w:val="Body"/>
        <w:tabs>
          <w:tab w:val="left" w:pos="720"/>
        </w:tabs>
        <w:spacing w:after="0"/>
        <w:rPr>
          <w:rFonts w:ascii="Arial" w:hAnsi="Arial" w:cs="Arial"/>
        </w:rPr>
      </w:pPr>
    </w:p>
    <w:p w14:paraId="69D17C40" w14:textId="7E35B8FB" w:rsidR="007824D2" w:rsidRDefault="00C4794C" w:rsidP="00EF527E">
      <w:pPr>
        <w:pStyle w:val="Body"/>
        <w:tabs>
          <w:tab w:val="left" w:pos="720"/>
        </w:tabs>
        <w:spacing w:after="0"/>
        <w:rPr>
          <w:rFonts w:ascii="Arial" w:hAnsi="Arial" w:cs="Arial"/>
          <w:b/>
          <w:u w:val="single"/>
        </w:rPr>
      </w:pPr>
      <w:r w:rsidRPr="00C4794C">
        <w:rPr>
          <w:rFonts w:ascii="Arial" w:hAnsi="Arial" w:cs="Arial"/>
        </w:rPr>
        <w:t>The data collection process followed a systematic three-stage procedure. In the first stage, a standardized English comprehension test was administered to the participants to establish their baseline performance and identify the initial range of scores. Following this, the learners participated in structured storytelling sessions delivered through video presentations. these videos combined narrative flow with visual cues and auditory reinforcement to reduce cognitive load and enhance engagement. In the final stage, the same standardized test was re-administered to measure comprehension gains and determine the effectiveness of the multimedia intervention.</w:t>
      </w:r>
    </w:p>
    <w:p w14:paraId="1DF25924" w14:textId="77777777" w:rsidR="00C4794C" w:rsidRDefault="00C4794C" w:rsidP="00EF527E">
      <w:pPr>
        <w:pStyle w:val="Body"/>
        <w:tabs>
          <w:tab w:val="left" w:pos="720"/>
        </w:tabs>
        <w:spacing w:after="0"/>
        <w:rPr>
          <w:rFonts w:ascii="Arial" w:hAnsi="Arial" w:cs="Arial"/>
          <w:b/>
          <w:u w:val="single"/>
        </w:rPr>
      </w:pPr>
    </w:p>
    <w:p w14:paraId="5ECFF2C8" w14:textId="5A125956" w:rsidR="007824D2" w:rsidRDefault="00C4794C" w:rsidP="00EF527E">
      <w:pPr>
        <w:pStyle w:val="Body"/>
        <w:tabs>
          <w:tab w:val="left" w:pos="720"/>
        </w:tabs>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C4794C">
        <w:rPr>
          <w:rFonts w:ascii="Arial" w:hAnsi="Arial" w:cs="Arial"/>
          <w:b/>
          <w:sz w:val="22"/>
        </w:rPr>
        <w:t>Data Gathering Procedures and Intervention</w:t>
      </w:r>
    </w:p>
    <w:p w14:paraId="6658BB32" w14:textId="77777777" w:rsidR="00C4794C" w:rsidRDefault="00C4794C" w:rsidP="00EF527E">
      <w:pPr>
        <w:pStyle w:val="Body"/>
        <w:tabs>
          <w:tab w:val="left" w:pos="720"/>
        </w:tabs>
        <w:spacing w:after="0"/>
        <w:rPr>
          <w:rFonts w:ascii="Arial" w:hAnsi="Arial" w:cs="Arial"/>
          <w:bCs/>
          <w:szCs w:val="18"/>
        </w:rPr>
      </w:pPr>
    </w:p>
    <w:p w14:paraId="46ECB656" w14:textId="694A66DA" w:rsidR="00C4794C" w:rsidRDefault="00C4794C" w:rsidP="00EF527E">
      <w:pPr>
        <w:pStyle w:val="Body"/>
        <w:tabs>
          <w:tab w:val="left" w:pos="720"/>
        </w:tabs>
        <w:spacing w:after="0"/>
        <w:rPr>
          <w:rFonts w:ascii="Arial" w:hAnsi="Arial" w:cs="Arial"/>
          <w:bCs/>
          <w:szCs w:val="18"/>
        </w:rPr>
      </w:pPr>
      <w:r w:rsidRPr="00C4794C">
        <w:rPr>
          <w:rFonts w:ascii="Arial" w:hAnsi="Arial" w:cs="Arial"/>
          <w:bCs/>
          <w:szCs w:val="18"/>
        </w:rPr>
        <w:t>A standardized comprehension test adapted for Grade 4 learners served as the primary instrument for the study. This test was designed to evaluate various dimensions of English comprehension, including literal recall and inferential understanding. To ensure the reliability of the findings, the test items remained consistent between the pre-test and post-test phases, which allowed for a direct and valid comparison of student performance over time.</w:t>
      </w:r>
    </w:p>
    <w:p w14:paraId="685C5730" w14:textId="77777777" w:rsidR="00C4794C" w:rsidRDefault="00C4794C" w:rsidP="00EF527E">
      <w:pPr>
        <w:pStyle w:val="Body"/>
        <w:tabs>
          <w:tab w:val="left" w:pos="720"/>
        </w:tabs>
        <w:spacing w:after="0"/>
        <w:rPr>
          <w:rFonts w:ascii="Arial" w:hAnsi="Arial" w:cs="Arial"/>
          <w:bCs/>
          <w:szCs w:val="18"/>
        </w:rPr>
      </w:pPr>
    </w:p>
    <w:p w14:paraId="7AE89F40" w14:textId="77777777" w:rsidR="00C4794C" w:rsidRPr="00C4794C" w:rsidRDefault="00C4794C" w:rsidP="00EF527E">
      <w:pPr>
        <w:pStyle w:val="Body"/>
        <w:tabs>
          <w:tab w:val="left" w:pos="720"/>
        </w:tabs>
        <w:spacing w:after="0"/>
        <w:rPr>
          <w:rFonts w:ascii="Arial" w:hAnsi="Arial" w:cs="Arial"/>
          <w:b/>
          <w:sz w:val="22"/>
        </w:rPr>
      </w:pPr>
      <w:r w:rsidRPr="00C4794C">
        <w:rPr>
          <w:rFonts w:ascii="Arial" w:hAnsi="Arial" w:cs="Arial"/>
          <w:b/>
          <w:sz w:val="22"/>
        </w:rPr>
        <w:t>2.5 Statistical Treatment of Data</w:t>
      </w:r>
    </w:p>
    <w:p w14:paraId="2D1256E3" w14:textId="77777777" w:rsidR="00C4794C" w:rsidRDefault="00C4794C" w:rsidP="00EF527E">
      <w:pPr>
        <w:pStyle w:val="Body"/>
        <w:tabs>
          <w:tab w:val="left" w:pos="720"/>
        </w:tabs>
        <w:spacing w:after="0"/>
        <w:rPr>
          <w:rFonts w:ascii="Arial" w:hAnsi="Arial" w:cs="Arial"/>
          <w:bCs/>
          <w:szCs w:val="18"/>
        </w:rPr>
      </w:pPr>
    </w:p>
    <w:p w14:paraId="761DA584" w14:textId="1182BA69" w:rsidR="00C4794C" w:rsidRDefault="00C4794C" w:rsidP="00EF527E">
      <w:pPr>
        <w:pStyle w:val="Body"/>
        <w:tabs>
          <w:tab w:val="left" w:pos="720"/>
        </w:tabs>
        <w:spacing w:after="0"/>
        <w:rPr>
          <w:rFonts w:ascii="Arial" w:hAnsi="Arial" w:cs="Arial"/>
          <w:bCs/>
          <w:szCs w:val="18"/>
        </w:rPr>
      </w:pPr>
      <w:r w:rsidRPr="00C4794C">
        <w:rPr>
          <w:rFonts w:ascii="Arial" w:hAnsi="Arial" w:cs="Arial"/>
          <w:bCs/>
          <w:szCs w:val="18"/>
        </w:rPr>
        <w:t>Several statistical tools were employed to interpret the gathered data. Frequency and percentages were used to describe the distribution of scores and identify the proportion of learners reaching specific proficiency levels. Finally, a paired-sample t-test was performed to determine the significance of the difference between the pre-test and post-test scores. This analysis confirmed whether the observed improvements were statistically significant at a p &lt; 0.001 level.</w:t>
      </w:r>
    </w:p>
    <w:p w14:paraId="7032C5B2" w14:textId="77777777" w:rsidR="00C4794C" w:rsidRPr="00C4794C" w:rsidRDefault="00C4794C" w:rsidP="00EF527E">
      <w:pPr>
        <w:pStyle w:val="Body"/>
        <w:tabs>
          <w:tab w:val="left" w:pos="720"/>
        </w:tabs>
        <w:spacing w:after="0"/>
        <w:rPr>
          <w:rFonts w:ascii="Arial" w:hAnsi="Arial" w:cs="Arial"/>
          <w:bCs/>
          <w:szCs w:val="18"/>
        </w:rPr>
      </w:pPr>
    </w:p>
    <w:p w14:paraId="0370F221" w14:textId="77777777" w:rsidR="00C4794C" w:rsidRPr="00FB3A86" w:rsidRDefault="00C4794C" w:rsidP="00EF527E">
      <w:pPr>
        <w:pStyle w:val="Body"/>
        <w:tabs>
          <w:tab w:val="left" w:pos="720"/>
        </w:tabs>
        <w:spacing w:after="0"/>
        <w:rPr>
          <w:rFonts w:ascii="Arial" w:hAnsi="Arial" w:cs="Arial"/>
        </w:rPr>
      </w:pPr>
    </w:p>
    <w:p w14:paraId="52B01E60" w14:textId="77777777" w:rsidR="00902823" w:rsidRDefault="00000F8F" w:rsidP="00EF527E">
      <w:pPr>
        <w:pStyle w:val="Head1"/>
        <w:tabs>
          <w:tab w:val="left" w:pos="720"/>
        </w:tabs>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F12013" w14:textId="77777777" w:rsidR="00B07A31" w:rsidRDefault="00B07A31" w:rsidP="00EF527E">
      <w:pPr>
        <w:pStyle w:val="Head1"/>
        <w:tabs>
          <w:tab w:val="left" w:pos="720"/>
        </w:tabs>
        <w:spacing w:after="0"/>
        <w:jc w:val="both"/>
        <w:rPr>
          <w:rFonts w:ascii="Arial" w:hAnsi="Arial" w:cs="Arial"/>
        </w:rPr>
      </w:pPr>
    </w:p>
    <w:p w14:paraId="58603621" w14:textId="16A6FC4C" w:rsidR="00B07A31" w:rsidRDefault="00B07A31" w:rsidP="00EF527E">
      <w:pPr>
        <w:pStyle w:val="Body"/>
        <w:tabs>
          <w:tab w:val="left" w:pos="720"/>
        </w:tabs>
        <w:spacing w:after="0"/>
        <w:rPr>
          <w:rFonts w:ascii="Arial" w:hAnsi="Arial" w:cs="Arial"/>
          <w:b/>
          <w:sz w:val="22"/>
        </w:rPr>
      </w:pPr>
      <w:r>
        <w:rPr>
          <w:rFonts w:ascii="Arial" w:hAnsi="Arial" w:cs="Arial"/>
          <w:b/>
          <w:caps/>
          <w:sz w:val="22"/>
        </w:rPr>
        <w:t xml:space="preserve">3.1 </w:t>
      </w:r>
      <w:r w:rsidRPr="00C30A0F">
        <w:rPr>
          <w:rFonts w:ascii="Arial" w:hAnsi="Arial" w:cs="Arial"/>
          <w:b/>
          <w:caps/>
          <w:sz w:val="22"/>
        </w:rPr>
        <w:t xml:space="preserve"> </w:t>
      </w:r>
      <w:r>
        <w:rPr>
          <w:rFonts w:ascii="Arial" w:hAnsi="Arial" w:cs="Arial"/>
          <w:b/>
          <w:sz w:val="22"/>
        </w:rPr>
        <w:t>Pre-Test</w:t>
      </w:r>
    </w:p>
    <w:p w14:paraId="2164BE9E" w14:textId="775D83BD" w:rsidR="00C4794C" w:rsidRPr="00C4794C" w:rsidRDefault="00C4794C" w:rsidP="00C4794C">
      <w:pPr>
        <w:pStyle w:val="Body"/>
        <w:tabs>
          <w:tab w:val="left" w:pos="720"/>
        </w:tabs>
        <w:rPr>
          <w:rFonts w:ascii="Arial" w:hAnsi="Arial" w:cs="Arial"/>
        </w:rPr>
      </w:pPr>
      <w:r w:rsidRPr="00C4794C">
        <w:rPr>
          <w:rFonts w:ascii="Arial" w:hAnsi="Arial" w:cs="Arial"/>
        </w:rPr>
        <w:t xml:space="preserve">The initial assessment of the learners’ listening comprehension was conducted through a pre-test to establish a performance baseline. As shown in Table 1, the participants' scores ranged from a minimum of 2 to a maximum of 12. </w:t>
      </w:r>
      <w:r w:rsidRPr="00C4794C">
        <w:rPr>
          <w:rFonts w:ascii="Arial" w:hAnsi="Arial" w:cs="Arial"/>
        </w:rPr>
        <w:t>The</w:t>
      </w:r>
      <w:r w:rsidRPr="00C4794C">
        <w:rPr>
          <w:rFonts w:ascii="Arial" w:hAnsi="Arial" w:cs="Arial"/>
        </w:rPr>
        <w:t xml:space="preserve"> distribution yielded a mean of 6.15 with a standard deviation of 2.23, which indicated a moderate level of variability within the group. The data revealed significant clustering at the scores of 6 and 7, with each representing 25% of the total participants. </w:t>
      </w:r>
      <w:r w:rsidRPr="00C4794C">
        <w:rPr>
          <w:rFonts w:ascii="Arial" w:hAnsi="Arial" w:cs="Arial"/>
        </w:rPr>
        <w:t>This</w:t>
      </w:r>
      <w:r w:rsidRPr="00C4794C">
        <w:rPr>
          <w:rFonts w:ascii="Arial" w:hAnsi="Arial" w:cs="Arial"/>
        </w:rPr>
        <w:t xml:space="preserve"> suggested that while the majority of the learners demonstrated average comprehension skills, a small subset of the group struggled significantly, as evidenced by scores between 2 and 4. Conversely, a single outlier demonstrated advanced proficiency by achieving a score of 12. Such a diverse distribution </w:t>
      </w:r>
      <w:r w:rsidRPr="00C4794C">
        <w:rPr>
          <w:rFonts w:ascii="Arial" w:hAnsi="Arial" w:cs="Arial"/>
        </w:rPr>
        <w:lastRenderedPageBreak/>
        <w:t>highlighted a critical need for differentiated instruction, specifically requiring remediation strategies for lower-performing students and enrichment activities for those with stronger foundational skills.</w:t>
      </w:r>
    </w:p>
    <w:p w14:paraId="39380336" w14:textId="4707700E" w:rsidR="00C4794C" w:rsidRPr="00C4794C" w:rsidRDefault="00C4794C" w:rsidP="00C4794C">
      <w:pPr>
        <w:pStyle w:val="Body"/>
        <w:tabs>
          <w:tab w:val="left" w:pos="720"/>
        </w:tabs>
        <w:rPr>
          <w:rFonts w:ascii="Arial" w:hAnsi="Arial" w:cs="Arial"/>
        </w:rPr>
      </w:pPr>
      <w:r w:rsidRPr="00C4794C">
        <w:rPr>
          <w:rFonts w:ascii="Arial" w:hAnsi="Arial" w:cs="Arial"/>
        </w:rPr>
        <w:t xml:space="preserve">These findings were consistent with recent literature regarding the variability of storytelling outcomes. For instance, </w:t>
      </w:r>
      <w:proofErr w:type="spellStart"/>
      <w:r w:rsidRPr="00C4794C">
        <w:rPr>
          <w:rFonts w:ascii="Arial" w:hAnsi="Arial" w:cs="Arial"/>
        </w:rPr>
        <w:t>Risonar</w:t>
      </w:r>
      <w:proofErr w:type="spellEnd"/>
      <w:r w:rsidRPr="00C4794C">
        <w:rPr>
          <w:rFonts w:ascii="Arial" w:hAnsi="Arial" w:cs="Arial"/>
        </w:rPr>
        <w:t xml:space="preserve"> et al. (2021) examined the Story Retelling (SR) technique and observed that while it successfully improved student engagement, the actual comprehension gains were not significantly higher than those achieved through traditional methods. This suggested that instructional interventions must be precisely tailored to meet specific learner needs rather than relying on a generalized approach. In contrast, </w:t>
      </w:r>
      <w:proofErr w:type="spellStart"/>
      <w:r w:rsidRPr="00C4794C">
        <w:rPr>
          <w:rFonts w:ascii="Arial" w:hAnsi="Arial" w:cs="Arial"/>
        </w:rPr>
        <w:t>Labador</w:t>
      </w:r>
      <w:proofErr w:type="spellEnd"/>
      <w:r w:rsidRPr="00C4794C">
        <w:rPr>
          <w:rFonts w:ascii="Arial" w:hAnsi="Arial" w:cs="Arial"/>
        </w:rPr>
        <w:t xml:space="preserve"> (2021) demonstrated that interactive storytelling techniques significantly enhanced early literacy skills among kindergarten learners, proving that storytelling is most effective when combined with interactive and multimodal elements. The presence of outliers in the current pre-test data supported this notion, as it indicated that while some learners were naturally receptive to narrative-based learning, others required additional structural scaffolding to succeed.</w:t>
      </w:r>
    </w:p>
    <w:p w14:paraId="43EA2680" w14:textId="34DFF50D" w:rsidR="000415B5" w:rsidRDefault="00C4794C" w:rsidP="00C4794C">
      <w:pPr>
        <w:pStyle w:val="Body"/>
        <w:tabs>
          <w:tab w:val="left" w:pos="720"/>
        </w:tabs>
        <w:rPr>
          <w:rFonts w:ascii="Arial" w:hAnsi="Arial" w:cs="Arial"/>
        </w:rPr>
      </w:pPr>
      <w:r w:rsidRPr="00C4794C">
        <w:rPr>
          <w:rFonts w:ascii="Arial" w:hAnsi="Arial" w:cs="Arial"/>
        </w:rPr>
        <w:t>Furthermore, the pre-test results aligned with the observations made by Abun (2025), who emphasized that digital storytelling significantly improved comprehension among Filipino learners by contextualizing vocabulary and providing repeated exposure to complex language structures. The implication for the current study was clear: learners with limited vocabulary—the low scorers in the pre-test—stood to benefit the most from the visual and auditory support provided by multimedia storytelling. Meanwhile, average learners were expected to consolidate their existing skills through the consistent narrative exposure inherent in the video presentations.</w:t>
      </w:r>
      <w:r w:rsidR="00BC6CFF" w:rsidRPr="00BC6CFF">
        <w:rPr>
          <w:rFonts w:ascii="Arial" w:hAnsi="Arial" w:cs="Arial"/>
        </w:rPr>
        <w:t>re.</w:t>
      </w:r>
    </w:p>
    <w:p w14:paraId="33EE0194" w14:textId="44866211" w:rsidR="00ED06CB" w:rsidRPr="00787C59" w:rsidRDefault="009500A6" w:rsidP="00EF527E">
      <w:pPr>
        <w:tabs>
          <w:tab w:val="left" w:pos="720"/>
          <w:tab w:val="left" w:pos="1080"/>
        </w:tabs>
        <w:jc w:val="center"/>
        <w:rPr>
          <w:rFonts w:ascii="Arial" w:hAnsi="Arial" w:cs="Arial"/>
        </w:rPr>
      </w:pPr>
      <w:r>
        <w:rPr>
          <w:rFonts w:ascii="Arial" w:hAnsi="Arial"/>
          <w:b/>
        </w:rPr>
        <w:t>Table 1.</w:t>
      </w:r>
      <w:r w:rsidR="00191C33">
        <w:rPr>
          <w:rFonts w:ascii="Arial" w:hAnsi="Arial"/>
          <w:b/>
        </w:rPr>
        <w:t xml:space="preserve"> </w:t>
      </w:r>
      <w:r w:rsidR="00ED06CB" w:rsidRPr="00787C59">
        <w:rPr>
          <w:rFonts w:ascii="Arial" w:eastAsia="Calibri" w:hAnsi="Arial" w:cs="Arial"/>
          <w:b/>
          <w:bCs/>
        </w:rPr>
        <w:t>Pre-test Result</w:t>
      </w:r>
    </w:p>
    <w:tbl>
      <w:tblPr>
        <w:tblW w:w="4292" w:type="pct"/>
        <w:jc w:val="center"/>
        <w:tblLook w:val="04A0" w:firstRow="1" w:lastRow="0" w:firstColumn="1" w:lastColumn="0" w:noHBand="0" w:noVBand="1"/>
      </w:tblPr>
      <w:tblGrid>
        <w:gridCol w:w="2920"/>
        <w:gridCol w:w="3016"/>
        <w:gridCol w:w="1295"/>
      </w:tblGrid>
      <w:tr w:rsidR="00ED06CB" w:rsidRPr="00787C59" w14:paraId="531DC007" w14:textId="77777777" w:rsidTr="00082D3B">
        <w:trPr>
          <w:trHeight w:val="253"/>
          <w:jc w:val="center"/>
        </w:trPr>
        <w:tc>
          <w:tcPr>
            <w:tcW w:w="2059" w:type="pct"/>
            <w:tcBorders>
              <w:top w:val="single" w:sz="4" w:space="0" w:color="auto"/>
              <w:bottom w:val="single" w:sz="4" w:space="0" w:color="auto"/>
            </w:tcBorders>
            <w:tcMar>
              <w:top w:w="0" w:type="dxa"/>
              <w:left w:w="108" w:type="dxa"/>
              <w:bottom w:w="0" w:type="dxa"/>
              <w:right w:w="108" w:type="dxa"/>
            </w:tcMar>
            <w:vAlign w:val="center"/>
          </w:tcPr>
          <w:p w14:paraId="4CBF4EF3" w14:textId="77777777" w:rsidR="00ED06CB" w:rsidRPr="00787C59" w:rsidRDefault="00ED06CB" w:rsidP="00EF527E">
            <w:pPr>
              <w:tabs>
                <w:tab w:val="left" w:pos="720"/>
              </w:tabs>
              <w:jc w:val="center"/>
              <w:rPr>
                <w:rFonts w:ascii="Arial" w:hAnsi="Arial" w:cs="Arial"/>
                <w:b/>
              </w:rPr>
            </w:pPr>
            <w:r w:rsidRPr="00787C59">
              <w:rPr>
                <w:rFonts w:ascii="Arial" w:eastAsia="Calibri" w:hAnsi="Arial" w:cs="Arial"/>
                <w:b/>
              </w:rPr>
              <w:t>Scores</w:t>
            </w:r>
          </w:p>
        </w:tc>
        <w:tc>
          <w:tcPr>
            <w:tcW w:w="2125" w:type="pct"/>
            <w:tcBorders>
              <w:top w:val="single" w:sz="4" w:space="0" w:color="auto"/>
              <w:bottom w:val="single" w:sz="4" w:space="0" w:color="auto"/>
            </w:tcBorders>
            <w:tcMar>
              <w:top w:w="0" w:type="dxa"/>
              <w:left w:w="108" w:type="dxa"/>
              <w:bottom w:w="0" w:type="dxa"/>
              <w:right w:w="108" w:type="dxa"/>
            </w:tcMar>
            <w:vAlign w:val="center"/>
          </w:tcPr>
          <w:p w14:paraId="6244A55B" w14:textId="77777777" w:rsidR="00ED06CB" w:rsidRPr="00787C59" w:rsidRDefault="00ED06CB" w:rsidP="00EF527E">
            <w:pPr>
              <w:tabs>
                <w:tab w:val="left" w:pos="720"/>
              </w:tabs>
              <w:jc w:val="center"/>
              <w:rPr>
                <w:rFonts w:ascii="Arial" w:hAnsi="Arial" w:cs="Arial"/>
                <w:b/>
              </w:rPr>
            </w:pPr>
            <w:r w:rsidRPr="00787C59">
              <w:rPr>
                <w:rFonts w:ascii="Arial" w:eastAsia="Calibri" w:hAnsi="Arial" w:cs="Arial"/>
                <w:b/>
              </w:rPr>
              <w:t>Frequency</w:t>
            </w:r>
          </w:p>
        </w:tc>
        <w:tc>
          <w:tcPr>
            <w:tcW w:w="816" w:type="pct"/>
            <w:tcBorders>
              <w:top w:val="single" w:sz="4" w:space="0" w:color="auto"/>
              <w:bottom w:val="single" w:sz="4" w:space="0" w:color="auto"/>
            </w:tcBorders>
            <w:tcMar>
              <w:top w:w="0" w:type="dxa"/>
              <w:left w:w="108" w:type="dxa"/>
              <w:bottom w:w="0" w:type="dxa"/>
              <w:right w:w="108" w:type="dxa"/>
            </w:tcMar>
            <w:vAlign w:val="center"/>
          </w:tcPr>
          <w:p w14:paraId="7E886F2B" w14:textId="77777777" w:rsidR="00ED06CB" w:rsidRPr="00787C59" w:rsidRDefault="00ED06CB" w:rsidP="00EF527E">
            <w:pPr>
              <w:tabs>
                <w:tab w:val="left" w:pos="720"/>
              </w:tabs>
              <w:jc w:val="center"/>
              <w:rPr>
                <w:rFonts w:ascii="Arial" w:hAnsi="Arial" w:cs="Arial"/>
                <w:b/>
              </w:rPr>
            </w:pPr>
            <w:r w:rsidRPr="00787C59">
              <w:rPr>
                <w:rFonts w:ascii="Arial" w:eastAsia="Calibri" w:hAnsi="Arial" w:cs="Arial"/>
                <w:b/>
              </w:rPr>
              <w:t>Percentage</w:t>
            </w:r>
          </w:p>
        </w:tc>
      </w:tr>
      <w:tr w:rsidR="00ED06CB" w:rsidRPr="00787C59" w14:paraId="1CC95CA0" w14:textId="77777777" w:rsidTr="00082D3B">
        <w:trPr>
          <w:trHeight w:val="268"/>
          <w:jc w:val="center"/>
        </w:trPr>
        <w:tc>
          <w:tcPr>
            <w:tcW w:w="2059" w:type="pct"/>
            <w:tcBorders>
              <w:top w:val="single" w:sz="4" w:space="0" w:color="auto"/>
            </w:tcBorders>
            <w:tcMar>
              <w:top w:w="0" w:type="dxa"/>
              <w:left w:w="108" w:type="dxa"/>
              <w:bottom w:w="0" w:type="dxa"/>
              <w:right w:w="108" w:type="dxa"/>
            </w:tcMar>
          </w:tcPr>
          <w:p w14:paraId="375CACAD"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2</w:t>
            </w:r>
          </w:p>
        </w:tc>
        <w:tc>
          <w:tcPr>
            <w:tcW w:w="2125" w:type="pct"/>
            <w:tcBorders>
              <w:top w:val="single" w:sz="4" w:space="0" w:color="auto"/>
            </w:tcBorders>
            <w:tcMar>
              <w:top w:w="0" w:type="dxa"/>
              <w:left w:w="108" w:type="dxa"/>
              <w:bottom w:w="0" w:type="dxa"/>
              <w:right w:w="108" w:type="dxa"/>
            </w:tcMar>
          </w:tcPr>
          <w:p w14:paraId="79594468"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1</w:t>
            </w:r>
          </w:p>
        </w:tc>
        <w:tc>
          <w:tcPr>
            <w:tcW w:w="816" w:type="pct"/>
            <w:tcBorders>
              <w:top w:val="single" w:sz="4" w:space="0" w:color="auto"/>
            </w:tcBorders>
            <w:tcMar>
              <w:top w:w="0" w:type="dxa"/>
              <w:left w:w="108" w:type="dxa"/>
              <w:bottom w:w="0" w:type="dxa"/>
              <w:right w:w="108" w:type="dxa"/>
            </w:tcMar>
            <w:vAlign w:val="center"/>
          </w:tcPr>
          <w:p w14:paraId="70A248A2"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5.0%</w:t>
            </w:r>
          </w:p>
        </w:tc>
      </w:tr>
      <w:tr w:rsidR="00ED06CB" w:rsidRPr="00787C59" w14:paraId="09F3F690" w14:textId="77777777" w:rsidTr="00082D3B">
        <w:trPr>
          <w:trHeight w:val="268"/>
          <w:jc w:val="center"/>
        </w:trPr>
        <w:tc>
          <w:tcPr>
            <w:tcW w:w="2059" w:type="pct"/>
            <w:tcMar>
              <w:top w:w="0" w:type="dxa"/>
              <w:left w:w="108" w:type="dxa"/>
              <w:bottom w:w="0" w:type="dxa"/>
              <w:right w:w="108" w:type="dxa"/>
            </w:tcMar>
          </w:tcPr>
          <w:p w14:paraId="73F31DA5"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3</w:t>
            </w:r>
          </w:p>
        </w:tc>
        <w:tc>
          <w:tcPr>
            <w:tcW w:w="2125" w:type="pct"/>
            <w:tcMar>
              <w:top w:w="0" w:type="dxa"/>
              <w:left w:w="108" w:type="dxa"/>
              <w:bottom w:w="0" w:type="dxa"/>
              <w:right w:w="108" w:type="dxa"/>
            </w:tcMar>
          </w:tcPr>
          <w:p w14:paraId="50C533A2"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1</w:t>
            </w:r>
          </w:p>
        </w:tc>
        <w:tc>
          <w:tcPr>
            <w:tcW w:w="816" w:type="pct"/>
            <w:tcMar>
              <w:top w:w="0" w:type="dxa"/>
              <w:left w:w="108" w:type="dxa"/>
              <w:bottom w:w="0" w:type="dxa"/>
              <w:right w:w="108" w:type="dxa"/>
            </w:tcMar>
            <w:vAlign w:val="center"/>
          </w:tcPr>
          <w:p w14:paraId="385AAEE2"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5.0%</w:t>
            </w:r>
          </w:p>
        </w:tc>
      </w:tr>
      <w:tr w:rsidR="00ED06CB" w:rsidRPr="00787C59" w14:paraId="2E1646E4" w14:textId="77777777" w:rsidTr="00082D3B">
        <w:trPr>
          <w:trHeight w:val="268"/>
          <w:jc w:val="center"/>
        </w:trPr>
        <w:tc>
          <w:tcPr>
            <w:tcW w:w="2059" w:type="pct"/>
            <w:tcMar>
              <w:top w:w="0" w:type="dxa"/>
              <w:left w:w="108" w:type="dxa"/>
              <w:bottom w:w="0" w:type="dxa"/>
              <w:right w:w="108" w:type="dxa"/>
            </w:tcMar>
          </w:tcPr>
          <w:p w14:paraId="6F469959"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4</w:t>
            </w:r>
          </w:p>
        </w:tc>
        <w:tc>
          <w:tcPr>
            <w:tcW w:w="2125" w:type="pct"/>
            <w:tcMar>
              <w:top w:w="0" w:type="dxa"/>
              <w:left w:w="108" w:type="dxa"/>
              <w:bottom w:w="0" w:type="dxa"/>
              <w:right w:w="108" w:type="dxa"/>
            </w:tcMar>
          </w:tcPr>
          <w:p w14:paraId="0275DD87"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2</w:t>
            </w:r>
          </w:p>
        </w:tc>
        <w:tc>
          <w:tcPr>
            <w:tcW w:w="816" w:type="pct"/>
            <w:tcMar>
              <w:top w:w="0" w:type="dxa"/>
              <w:left w:w="108" w:type="dxa"/>
              <w:bottom w:w="0" w:type="dxa"/>
              <w:right w:w="108" w:type="dxa"/>
            </w:tcMar>
            <w:vAlign w:val="center"/>
          </w:tcPr>
          <w:p w14:paraId="7EC0309F"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10.0%</w:t>
            </w:r>
          </w:p>
        </w:tc>
      </w:tr>
      <w:tr w:rsidR="00ED06CB" w:rsidRPr="00787C59" w14:paraId="528B7A31" w14:textId="77777777" w:rsidTr="00082D3B">
        <w:trPr>
          <w:trHeight w:val="268"/>
          <w:jc w:val="center"/>
        </w:trPr>
        <w:tc>
          <w:tcPr>
            <w:tcW w:w="2059" w:type="pct"/>
            <w:tcMar>
              <w:top w:w="0" w:type="dxa"/>
              <w:left w:w="108" w:type="dxa"/>
              <w:bottom w:w="0" w:type="dxa"/>
              <w:right w:w="108" w:type="dxa"/>
            </w:tcMar>
          </w:tcPr>
          <w:p w14:paraId="27AA5E70"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5</w:t>
            </w:r>
          </w:p>
        </w:tc>
        <w:tc>
          <w:tcPr>
            <w:tcW w:w="2125" w:type="pct"/>
            <w:tcMar>
              <w:top w:w="0" w:type="dxa"/>
              <w:left w:w="108" w:type="dxa"/>
              <w:bottom w:w="0" w:type="dxa"/>
              <w:right w:w="108" w:type="dxa"/>
            </w:tcMar>
          </w:tcPr>
          <w:p w14:paraId="4DF5BEB6"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3</w:t>
            </w:r>
          </w:p>
        </w:tc>
        <w:tc>
          <w:tcPr>
            <w:tcW w:w="816" w:type="pct"/>
            <w:tcMar>
              <w:top w:w="0" w:type="dxa"/>
              <w:left w:w="108" w:type="dxa"/>
              <w:bottom w:w="0" w:type="dxa"/>
              <w:right w:w="108" w:type="dxa"/>
            </w:tcMar>
            <w:vAlign w:val="center"/>
          </w:tcPr>
          <w:p w14:paraId="67A225A8"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15.0%</w:t>
            </w:r>
          </w:p>
        </w:tc>
      </w:tr>
      <w:tr w:rsidR="00ED06CB" w:rsidRPr="00787C59" w14:paraId="4245F932" w14:textId="77777777" w:rsidTr="00082D3B">
        <w:trPr>
          <w:trHeight w:val="268"/>
          <w:jc w:val="center"/>
        </w:trPr>
        <w:tc>
          <w:tcPr>
            <w:tcW w:w="2059" w:type="pct"/>
            <w:tcMar>
              <w:top w:w="0" w:type="dxa"/>
              <w:left w:w="108" w:type="dxa"/>
              <w:bottom w:w="0" w:type="dxa"/>
              <w:right w:w="108" w:type="dxa"/>
            </w:tcMar>
          </w:tcPr>
          <w:p w14:paraId="4BDB93AD"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6</w:t>
            </w:r>
          </w:p>
        </w:tc>
        <w:tc>
          <w:tcPr>
            <w:tcW w:w="2125" w:type="pct"/>
            <w:tcMar>
              <w:top w:w="0" w:type="dxa"/>
              <w:left w:w="108" w:type="dxa"/>
              <w:bottom w:w="0" w:type="dxa"/>
              <w:right w:w="108" w:type="dxa"/>
            </w:tcMar>
          </w:tcPr>
          <w:p w14:paraId="41BD2093"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5</w:t>
            </w:r>
          </w:p>
        </w:tc>
        <w:tc>
          <w:tcPr>
            <w:tcW w:w="816" w:type="pct"/>
            <w:tcMar>
              <w:top w:w="0" w:type="dxa"/>
              <w:left w:w="108" w:type="dxa"/>
              <w:bottom w:w="0" w:type="dxa"/>
              <w:right w:w="108" w:type="dxa"/>
            </w:tcMar>
            <w:vAlign w:val="center"/>
          </w:tcPr>
          <w:p w14:paraId="0F97813F"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25.0%</w:t>
            </w:r>
          </w:p>
        </w:tc>
      </w:tr>
      <w:tr w:rsidR="00ED06CB" w:rsidRPr="00787C59" w14:paraId="25AC237B" w14:textId="77777777" w:rsidTr="00082D3B">
        <w:trPr>
          <w:trHeight w:val="268"/>
          <w:jc w:val="center"/>
        </w:trPr>
        <w:tc>
          <w:tcPr>
            <w:tcW w:w="2059" w:type="pct"/>
            <w:tcMar>
              <w:top w:w="0" w:type="dxa"/>
              <w:left w:w="108" w:type="dxa"/>
              <w:bottom w:w="0" w:type="dxa"/>
              <w:right w:w="108" w:type="dxa"/>
            </w:tcMar>
          </w:tcPr>
          <w:p w14:paraId="1175CC8F"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7</w:t>
            </w:r>
          </w:p>
        </w:tc>
        <w:tc>
          <w:tcPr>
            <w:tcW w:w="2125" w:type="pct"/>
            <w:tcMar>
              <w:top w:w="0" w:type="dxa"/>
              <w:left w:w="108" w:type="dxa"/>
              <w:bottom w:w="0" w:type="dxa"/>
              <w:right w:w="108" w:type="dxa"/>
            </w:tcMar>
          </w:tcPr>
          <w:p w14:paraId="6F3531CF"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5</w:t>
            </w:r>
          </w:p>
        </w:tc>
        <w:tc>
          <w:tcPr>
            <w:tcW w:w="816" w:type="pct"/>
            <w:tcMar>
              <w:top w:w="0" w:type="dxa"/>
              <w:left w:w="108" w:type="dxa"/>
              <w:bottom w:w="0" w:type="dxa"/>
              <w:right w:w="108" w:type="dxa"/>
            </w:tcMar>
            <w:vAlign w:val="center"/>
          </w:tcPr>
          <w:p w14:paraId="66C4C450"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25.0%</w:t>
            </w:r>
          </w:p>
        </w:tc>
      </w:tr>
      <w:tr w:rsidR="00ED06CB" w:rsidRPr="00787C59" w14:paraId="10A01752" w14:textId="77777777" w:rsidTr="00082D3B">
        <w:trPr>
          <w:trHeight w:val="268"/>
          <w:jc w:val="center"/>
        </w:trPr>
        <w:tc>
          <w:tcPr>
            <w:tcW w:w="2059" w:type="pct"/>
            <w:tcMar>
              <w:top w:w="0" w:type="dxa"/>
              <w:left w:w="108" w:type="dxa"/>
              <w:bottom w:w="0" w:type="dxa"/>
              <w:right w:w="108" w:type="dxa"/>
            </w:tcMar>
          </w:tcPr>
          <w:p w14:paraId="57D9E72B"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9</w:t>
            </w:r>
          </w:p>
        </w:tc>
        <w:tc>
          <w:tcPr>
            <w:tcW w:w="2125" w:type="pct"/>
            <w:tcMar>
              <w:top w:w="0" w:type="dxa"/>
              <w:left w:w="108" w:type="dxa"/>
              <w:bottom w:w="0" w:type="dxa"/>
              <w:right w:w="108" w:type="dxa"/>
            </w:tcMar>
          </w:tcPr>
          <w:p w14:paraId="5D865362"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2</w:t>
            </w:r>
          </w:p>
        </w:tc>
        <w:tc>
          <w:tcPr>
            <w:tcW w:w="816" w:type="pct"/>
            <w:tcMar>
              <w:top w:w="0" w:type="dxa"/>
              <w:left w:w="108" w:type="dxa"/>
              <w:bottom w:w="0" w:type="dxa"/>
              <w:right w:w="108" w:type="dxa"/>
            </w:tcMar>
            <w:vAlign w:val="center"/>
          </w:tcPr>
          <w:p w14:paraId="0539ACA0"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10.0%</w:t>
            </w:r>
          </w:p>
        </w:tc>
      </w:tr>
      <w:tr w:rsidR="00ED06CB" w:rsidRPr="00787C59" w14:paraId="42C5F564" w14:textId="77777777" w:rsidTr="00082D3B">
        <w:trPr>
          <w:trHeight w:val="268"/>
          <w:jc w:val="center"/>
        </w:trPr>
        <w:tc>
          <w:tcPr>
            <w:tcW w:w="2059" w:type="pct"/>
            <w:tcBorders>
              <w:bottom w:val="single" w:sz="4" w:space="0" w:color="auto"/>
            </w:tcBorders>
            <w:tcMar>
              <w:top w:w="0" w:type="dxa"/>
              <w:left w:w="108" w:type="dxa"/>
              <w:bottom w:w="0" w:type="dxa"/>
              <w:right w:w="108" w:type="dxa"/>
            </w:tcMar>
          </w:tcPr>
          <w:p w14:paraId="68AB6A2C"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12</w:t>
            </w:r>
          </w:p>
        </w:tc>
        <w:tc>
          <w:tcPr>
            <w:tcW w:w="2125" w:type="pct"/>
            <w:tcBorders>
              <w:bottom w:val="single" w:sz="4" w:space="0" w:color="auto"/>
            </w:tcBorders>
            <w:tcMar>
              <w:top w:w="0" w:type="dxa"/>
              <w:left w:w="108" w:type="dxa"/>
              <w:bottom w:w="0" w:type="dxa"/>
              <w:right w:w="108" w:type="dxa"/>
            </w:tcMar>
          </w:tcPr>
          <w:p w14:paraId="1314FB78"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1</w:t>
            </w:r>
          </w:p>
        </w:tc>
        <w:tc>
          <w:tcPr>
            <w:tcW w:w="816" w:type="pct"/>
            <w:tcBorders>
              <w:bottom w:val="single" w:sz="4" w:space="0" w:color="auto"/>
            </w:tcBorders>
            <w:tcMar>
              <w:top w:w="0" w:type="dxa"/>
              <w:left w:w="108" w:type="dxa"/>
              <w:bottom w:w="0" w:type="dxa"/>
              <w:right w:w="108" w:type="dxa"/>
            </w:tcMar>
            <w:vAlign w:val="center"/>
          </w:tcPr>
          <w:p w14:paraId="26FFEA23" w14:textId="77777777" w:rsidR="00ED06CB" w:rsidRPr="00787C59" w:rsidRDefault="00ED06CB" w:rsidP="00EF527E">
            <w:pPr>
              <w:tabs>
                <w:tab w:val="left" w:pos="720"/>
              </w:tabs>
              <w:jc w:val="center"/>
              <w:rPr>
                <w:rFonts w:ascii="Arial" w:hAnsi="Arial" w:cs="Arial"/>
              </w:rPr>
            </w:pPr>
            <w:r w:rsidRPr="00787C59">
              <w:rPr>
                <w:rFonts w:ascii="Arial" w:eastAsia="Calibri" w:hAnsi="Arial" w:cs="Arial"/>
              </w:rPr>
              <w:t>5.0%</w:t>
            </w:r>
          </w:p>
        </w:tc>
      </w:tr>
      <w:tr w:rsidR="00ED06CB" w:rsidRPr="00787C59" w14:paraId="69DDD79A" w14:textId="77777777" w:rsidTr="00082D3B">
        <w:trPr>
          <w:trHeight w:val="268"/>
          <w:jc w:val="center"/>
        </w:trPr>
        <w:tc>
          <w:tcPr>
            <w:tcW w:w="2059" w:type="pct"/>
            <w:tcBorders>
              <w:top w:val="single" w:sz="4" w:space="0" w:color="auto"/>
            </w:tcBorders>
            <w:tcMar>
              <w:top w:w="0" w:type="dxa"/>
              <w:left w:w="108" w:type="dxa"/>
              <w:bottom w:w="0" w:type="dxa"/>
              <w:right w:w="108" w:type="dxa"/>
            </w:tcMar>
          </w:tcPr>
          <w:p w14:paraId="3F63CB67" w14:textId="77777777" w:rsidR="00ED06CB" w:rsidRPr="00787C59" w:rsidRDefault="00ED06CB" w:rsidP="00EF527E">
            <w:pPr>
              <w:tabs>
                <w:tab w:val="left" w:pos="720"/>
              </w:tabs>
              <w:jc w:val="center"/>
              <w:rPr>
                <w:rFonts w:ascii="Arial" w:eastAsia="Calibri" w:hAnsi="Arial" w:cs="Arial"/>
                <w:b/>
              </w:rPr>
            </w:pPr>
            <w:r w:rsidRPr="00787C59">
              <w:rPr>
                <w:rFonts w:ascii="Arial" w:eastAsia="Calibri" w:hAnsi="Arial" w:cs="Arial"/>
                <w:b/>
              </w:rPr>
              <w:t>TOTAL</w:t>
            </w:r>
          </w:p>
        </w:tc>
        <w:tc>
          <w:tcPr>
            <w:tcW w:w="2125" w:type="pct"/>
            <w:tcBorders>
              <w:top w:val="single" w:sz="4" w:space="0" w:color="auto"/>
            </w:tcBorders>
            <w:tcMar>
              <w:top w:w="0" w:type="dxa"/>
              <w:left w:w="108" w:type="dxa"/>
              <w:bottom w:w="0" w:type="dxa"/>
              <w:right w:w="108" w:type="dxa"/>
            </w:tcMar>
          </w:tcPr>
          <w:p w14:paraId="727F1298" w14:textId="77777777" w:rsidR="00ED06CB" w:rsidRPr="00787C59" w:rsidRDefault="00ED06CB" w:rsidP="00EF527E">
            <w:pPr>
              <w:tabs>
                <w:tab w:val="left" w:pos="720"/>
              </w:tabs>
              <w:jc w:val="center"/>
              <w:rPr>
                <w:rFonts w:ascii="Arial" w:eastAsia="Calibri" w:hAnsi="Arial" w:cs="Arial"/>
                <w:b/>
              </w:rPr>
            </w:pPr>
            <w:r w:rsidRPr="00787C59">
              <w:rPr>
                <w:rFonts w:ascii="Arial" w:eastAsia="Calibri" w:hAnsi="Arial" w:cs="Arial"/>
                <w:b/>
              </w:rPr>
              <w:t>20</w:t>
            </w:r>
          </w:p>
        </w:tc>
        <w:tc>
          <w:tcPr>
            <w:tcW w:w="816" w:type="pct"/>
            <w:tcBorders>
              <w:top w:val="single" w:sz="4" w:space="0" w:color="auto"/>
            </w:tcBorders>
            <w:tcMar>
              <w:top w:w="0" w:type="dxa"/>
              <w:left w:w="108" w:type="dxa"/>
              <w:bottom w:w="0" w:type="dxa"/>
              <w:right w:w="108" w:type="dxa"/>
            </w:tcMar>
            <w:vAlign w:val="center"/>
          </w:tcPr>
          <w:p w14:paraId="0FF94BCE" w14:textId="77777777" w:rsidR="00ED06CB" w:rsidRPr="00787C59" w:rsidRDefault="00ED06CB" w:rsidP="00EF527E">
            <w:pPr>
              <w:tabs>
                <w:tab w:val="left" w:pos="720"/>
              </w:tabs>
              <w:jc w:val="center"/>
              <w:rPr>
                <w:rFonts w:ascii="Arial" w:eastAsia="Calibri" w:hAnsi="Arial" w:cs="Arial"/>
                <w:b/>
              </w:rPr>
            </w:pPr>
            <w:r w:rsidRPr="00787C59">
              <w:rPr>
                <w:rFonts w:ascii="Arial" w:eastAsia="Calibri" w:hAnsi="Arial" w:cs="Arial"/>
                <w:b/>
              </w:rPr>
              <w:t>100%</w:t>
            </w:r>
          </w:p>
        </w:tc>
      </w:tr>
      <w:tr w:rsidR="00ED06CB" w:rsidRPr="00787C59" w14:paraId="0D032346" w14:textId="77777777" w:rsidTr="00082D3B">
        <w:trPr>
          <w:trHeight w:val="814"/>
          <w:jc w:val="center"/>
        </w:trPr>
        <w:tc>
          <w:tcPr>
            <w:tcW w:w="5000" w:type="pct"/>
            <w:gridSpan w:val="3"/>
            <w:tcBorders>
              <w:bottom w:val="single" w:sz="4" w:space="0" w:color="auto"/>
            </w:tcBorders>
            <w:tcMar>
              <w:top w:w="0" w:type="dxa"/>
              <w:left w:w="108" w:type="dxa"/>
              <w:bottom w:w="0" w:type="dxa"/>
              <w:right w:w="108" w:type="dxa"/>
            </w:tcMar>
            <w:vAlign w:val="center"/>
          </w:tcPr>
          <w:p w14:paraId="7EA530DE" w14:textId="77777777" w:rsidR="00ED06CB" w:rsidRPr="00787C59" w:rsidRDefault="00ED06CB" w:rsidP="00EF527E">
            <w:pPr>
              <w:pBdr>
                <w:top w:val="single" w:sz="4" w:space="1" w:color="auto"/>
              </w:pBdr>
              <w:tabs>
                <w:tab w:val="left" w:pos="720"/>
              </w:tabs>
              <w:rPr>
                <w:rFonts w:ascii="Arial" w:eastAsia="Calibri" w:hAnsi="Arial" w:cs="Arial"/>
              </w:rPr>
            </w:pPr>
            <w:r w:rsidRPr="00787C59">
              <w:rPr>
                <w:rFonts w:ascii="Arial" w:eastAsia="Calibri" w:hAnsi="Arial" w:cs="Arial"/>
              </w:rPr>
              <w:t xml:space="preserve">Mean: </w:t>
            </w:r>
            <w:r w:rsidRPr="00787C59">
              <w:rPr>
                <w:rFonts w:ascii="Arial" w:eastAsia="Calibri" w:hAnsi="Arial" w:cs="Arial"/>
                <w:b/>
              </w:rPr>
              <w:t>6.150</w:t>
            </w:r>
          </w:p>
          <w:p w14:paraId="2250B381" w14:textId="77777777" w:rsidR="00ED06CB" w:rsidRPr="00787C59" w:rsidRDefault="00ED06CB" w:rsidP="00EF527E">
            <w:pPr>
              <w:tabs>
                <w:tab w:val="left" w:pos="720"/>
              </w:tabs>
              <w:rPr>
                <w:rFonts w:ascii="Arial" w:hAnsi="Arial" w:cs="Arial"/>
              </w:rPr>
            </w:pPr>
            <w:r w:rsidRPr="00787C59">
              <w:rPr>
                <w:rFonts w:ascii="Arial" w:eastAsia="Calibri" w:hAnsi="Arial" w:cs="Arial"/>
              </w:rPr>
              <w:t xml:space="preserve">Std. Dev.: </w:t>
            </w:r>
            <w:r w:rsidRPr="00787C59">
              <w:rPr>
                <w:rFonts w:ascii="Arial" w:eastAsia="Calibri" w:hAnsi="Arial" w:cs="Arial"/>
                <w:b/>
              </w:rPr>
              <w:t>2.231</w:t>
            </w:r>
          </w:p>
        </w:tc>
      </w:tr>
    </w:tbl>
    <w:p w14:paraId="71048CC4" w14:textId="77777777" w:rsidR="00863BD3" w:rsidRDefault="00863BD3" w:rsidP="00EF527E">
      <w:pPr>
        <w:pStyle w:val="BodyText3"/>
        <w:tabs>
          <w:tab w:val="left" w:pos="720"/>
          <w:tab w:val="left" w:pos="1080"/>
        </w:tabs>
        <w:spacing w:after="0"/>
        <w:jc w:val="both"/>
        <w:rPr>
          <w:rFonts w:ascii="Arial" w:hAnsi="Arial"/>
          <w:b/>
          <w:sz w:val="20"/>
          <w:szCs w:val="20"/>
        </w:rPr>
      </w:pPr>
    </w:p>
    <w:p w14:paraId="15393C27" w14:textId="17AEE361" w:rsidR="00B07A31" w:rsidRDefault="00B07A31" w:rsidP="00EF527E">
      <w:pPr>
        <w:pStyle w:val="Body"/>
        <w:tabs>
          <w:tab w:val="left" w:pos="720"/>
        </w:tabs>
        <w:spacing w:after="0"/>
        <w:rPr>
          <w:rFonts w:ascii="Arial" w:hAnsi="Arial" w:cs="Arial"/>
          <w:b/>
          <w:sz w:val="22"/>
        </w:rPr>
      </w:pPr>
      <w:r>
        <w:rPr>
          <w:rFonts w:ascii="Arial" w:hAnsi="Arial" w:cs="Arial"/>
          <w:b/>
          <w:caps/>
          <w:sz w:val="22"/>
        </w:rPr>
        <w:t xml:space="preserve">3.2 </w:t>
      </w:r>
      <w:r w:rsidRPr="00C30A0F">
        <w:rPr>
          <w:rFonts w:ascii="Arial" w:hAnsi="Arial" w:cs="Arial"/>
          <w:b/>
          <w:caps/>
          <w:sz w:val="22"/>
        </w:rPr>
        <w:t xml:space="preserve"> </w:t>
      </w:r>
      <w:r>
        <w:rPr>
          <w:rFonts w:ascii="Arial" w:hAnsi="Arial" w:cs="Arial"/>
          <w:b/>
          <w:sz w:val="22"/>
        </w:rPr>
        <w:t>Post-Test</w:t>
      </w:r>
    </w:p>
    <w:p w14:paraId="7C6FF381" w14:textId="77777777" w:rsidR="00B07A31" w:rsidRDefault="00B07A31" w:rsidP="00EF527E">
      <w:pPr>
        <w:pStyle w:val="Body"/>
        <w:tabs>
          <w:tab w:val="left" w:pos="720"/>
        </w:tabs>
        <w:spacing w:after="0"/>
        <w:rPr>
          <w:rFonts w:ascii="Arial" w:hAnsi="Arial" w:cs="Arial"/>
        </w:rPr>
      </w:pPr>
    </w:p>
    <w:p w14:paraId="14EFBCDC" w14:textId="42765A96" w:rsidR="00C4794C" w:rsidRDefault="00C4794C" w:rsidP="00EF527E">
      <w:pPr>
        <w:pStyle w:val="Body"/>
        <w:tabs>
          <w:tab w:val="left" w:pos="720"/>
        </w:tabs>
        <w:spacing w:after="0"/>
        <w:rPr>
          <w:rFonts w:ascii="Arial" w:hAnsi="Arial" w:cs="Arial"/>
        </w:rPr>
      </w:pPr>
      <w:r w:rsidRPr="00C4794C">
        <w:rPr>
          <w:rFonts w:ascii="Arial" w:hAnsi="Arial" w:cs="Arial"/>
        </w:rPr>
        <w:t xml:space="preserve">The post-test results, as detailed in Table 2, demonstrated a substantial improvement in the learners’ comprehension levels following the multimedia intervention. The participants' scores ranged from a minimum of 5 to a maximum of 14, yielding a post-test mean of 10.90 (SD = 2.25). When compared to the pre-test mean of 6.15, this represented a significant upward shift in academic performance. Data analysis revealed a strong clustering of scores between 11 and 13, accounting for 55% of the total participants, which indicated that the majority of the learners achieved a robust grasp of the English narrative material. Furthermore, even the lowest recorded scores (5–7) reflected individual progress from the </w:t>
      </w:r>
      <w:r w:rsidRPr="00C4794C">
        <w:rPr>
          <w:rFonts w:ascii="Arial" w:hAnsi="Arial" w:cs="Arial"/>
        </w:rPr>
        <w:lastRenderedPageBreak/>
        <w:t>baseline, while the highest scores (13–14) highlighted advanced comprehension among a significant portion of the group.</w:t>
      </w:r>
    </w:p>
    <w:p w14:paraId="73C5999A" w14:textId="77777777" w:rsidR="00C4794C" w:rsidRDefault="00C4794C" w:rsidP="00EF527E">
      <w:pPr>
        <w:pStyle w:val="Body"/>
        <w:tabs>
          <w:tab w:val="left" w:pos="720"/>
        </w:tabs>
        <w:spacing w:after="0"/>
        <w:rPr>
          <w:rFonts w:ascii="Arial" w:hAnsi="Arial" w:cs="Arial"/>
        </w:rPr>
      </w:pPr>
    </w:p>
    <w:p w14:paraId="684D5900" w14:textId="77777777" w:rsidR="00C4794C" w:rsidRDefault="00C4794C" w:rsidP="00EF527E">
      <w:pPr>
        <w:pStyle w:val="Body"/>
        <w:tabs>
          <w:tab w:val="left" w:pos="720"/>
        </w:tabs>
        <w:spacing w:after="0"/>
        <w:rPr>
          <w:rFonts w:ascii="Arial" w:hAnsi="Arial" w:cs="Arial"/>
        </w:rPr>
      </w:pPr>
      <w:r w:rsidRPr="00C4794C">
        <w:rPr>
          <w:rFonts w:ascii="Arial" w:hAnsi="Arial" w:cs="Arial"/>
        </w:rPr>
        <w:t>These findings suggested that storytelling delivered through video presentations positively impacted the students' ability to process and retain linguistic information. The results aligned with contemporary research emphasizing the efficacy of multimodal approaches in language instruction. For instance, Chen et al. (2022) observed that digital storytelling significantly improved vocabulary retention and comprehension among English as a Foreign Language (EFL) learners. Similarly, Rajendran and Yunus (2021) reported that video-based storytelling enhanced both listening and reading skills by providing contextualized language input that traditional methods often lack. These observations were further supported by Cabardo (2021), who highlighted that the integration of visual and auditory elements fosters deeper engagement and provides essential scaffolding for learners with diverse academic needs.</w:t>
      </w:r>
    </w:p>
    <w:p w14:paraId="410FD6A7" w14:textId="77777777" w:rsidR="00C4794C" w:rsidRDefault="00C4794C" w:rsidP="00EF527E">
      <w:pPr>
        <w:pStyle w:val="Body"/>
        <w:tabs>
          <w:tab w:val="left" w:pos="720"/>
        </w:tabs>
        <w:spacing w:after="0"/>
        <w:rPr>
          <w:rFonts w:ascii="Arial" w:hAnsi="Arial" w:cs="Arial"/>
        </w:rPr>
      </w:pPr>
    </w:p>
    <w:p w14:paraId="569940A6" w14:textId="7A5C46AA" w:rsidR="00902823" w:rsidRDefault="00C4794C" w:rsidP="00EF527E">
      <w:pPr>
        <w:pStyle w:val="Body"/>
        <w:tabs>
          <w:tab w:val="left" w:pos="720"/>
        </w:tabs>
        <w:spacing w:after="0"/>
        <w:rPr>
          <w:rFonts w:ascii="Arial" w:hAnsi="Arial" w:cs="Arial"/>
        </w:rPr>
      </w:pPr>
      <w:r w:rsidRPr="00C4794C">
        <w:rPr>
          <w:rFonts w:ascii="Arial" w:hAnsi="Arial" w:cs="Arial"/>
        </w:rPr>
        <w:t>The upward trajectory of the scores also resonated with the findings of Rahiem (2021), who argued that such improvements support the broader adoption of learner-centered, engaging strategies in English instruction. Multimedia storytelling appeared to bridge critical comprehension gaps by motivating learners to actively process the narrative, recall specific details, and connect linguistic meaning to visual context. Consequently, the data confirmed that video-based storytelling served as an effective instructional intervention for improving comprehension among elementary learners, particularly those transitioning through varying levels of linguistic ability.</w:t>
      </w:r>
      <w:r w:rsidR="00384A33" w:rsidRPr="00384A33">
        <w:rPr>
          <w:rFonts w:ascii="Arial" w:hAnsi="Arial" w:cs="Arial"/>
        </w:rPr>
        <w:t>.</w:t>
      </w:r>
    </w:p>
    <w:p w14:paraId="782C1CF2" w14:textId="77777777" w:rsidR="00191C33" w:rsidRDefault="00191C33" w:rsidP="00EF527E">
      <w:pPr>
        <w:pStyle w:val="Body"/>
        <w:tabs>
          <w:tab w:val="left" w:pos="720"/>
        </w:tabs>
        <w:spacing w:after="0"/>
        <w:rPr>
          <w:rFonts w:ascii="Arial" w:hAnsi="Arial" w:cs="Arial"/>
        </w:rPr>
      </w:pPr>
    </w:p>
    <w:p w14:paraId="26B2AF65" w14:textId="77777777" w:rsidR="00191C33" w:rsidRPr="00787C59" w:rsidRDefault="00191C33" w:rsidP="00EF527E">
      <w:pPr>
        <w:tabs>
          <w:tab w:val="left" w:pos="720"/>
        </w:tabs>
        <w:jc w:val="center"/>
        <w:rPr>
          <w:rFonts w:ascii="Arial" w:hAnsi="Arial" w:cs="Arial"/>
          <w:b/>
        </w:rPr>
      </w:pPr>
      <w:r w:rsidRPr="00787C59">
        <w:rPr>
          <w:rFonts w:ascii="Arial" w:hAnsi="Arial" w:cs="Arial"/>
          <w:b/>
        </w:rPr>
        <w:t>Table 2</w:t>
      </w:r>
    </w:p>
    <w:p w14:paraId="2FFF80D9" w14:textId="77777777" w:rsidR="00191C33" w:rsidRPr="00787C59" w:rsidRDefault="00191C33" w:rsidP="00EF527E">
      <w:pPr>
        <w:tabs>
          <w:tab w:val="left" w:pos="720"/>
        </w:tabs>
        <w:jc w:val="center"/>
        <w:rPr>
          <w:rFonts w:ascii="Arial" w:hAnsi="Arial" w:cs="Arial"/>
          <w:b/>
        </w:rPr>
      </w:pPr>
      <w:r w:rsidRPr="00787C59">
        <w:rPr>
          <w:rFonts w:ascii="Arial" w:hAnsi="Arial" w:cs="Arial"/>
          <w:b/>
        </w:rPr>
        <w:t>Posttest Result</w:t>
      </w:r>
    </w:p>
    <w:tbl>
      <w:tblPr>
        <w:tblStyle w:val="TableGrid"/>
        <w:tblW w:w="5000" w:type="pct"/>
        <w:jc w:val="center"/>
        <w:tblLook w:val="04A0" w:firstRow="1" w:lastRow="0" w:firstColumn="1" w:lastColumn="0" w:noHBand="0" w:noVBand="1"/>
      </w:tblPr>
      <w:tblGrid>
        <w:gridCol w:w="3137"/>
        <w:gridCol w:w="2942"/>
        <w:gridCol w:w="2345"/>
      </w:tblGrid>
      <w:tr w:rsidR="00191C33" w:rsidRPr="00787C59" w14:paraId="04963048" w14:textId="77777777" w:rsidTr="00082D3B">
        <w:trPr>
          <w:trHeight w:val="252"/>
          <w:jc w:val="center"/>
        </w:trPr>
        <w:tc>
          <w:tcPr>
            <w:tcW w:w="1862" w:type="pct"/>
            <w:tcBorders>
              <w:left w:val="nil"/>
              <w:bottom w:val="single" w:sz="4" w:space="0" w:color="auto"/>
              <w:right w:val="nil"/>
            </w:tcBorders>
            <w:vAlign w:val="center"/>
          </w:tcPr>
          <w:p w14:paraId="77FEBF6C" w14:textId="77777777" w:rsidR="00191C33" w:rsidRPr="00787C59" w:rsidRDefault="00191C33" w:rsidP="00EF527E">
            <w:pPr>
              <w:tabs>
                <w:tab w:val="left" w:pos="720"/>
              </w:tabs>
              <w:jc w:val="center"/>
              <w:rPr>
                <w:rFonts w:ascii="Arial" w:hAnsi="Arial" w:cs="Arial"/>
                <w:b/>
                <w:sz w:val="20"/>
                <w:szCs w:val="20"/>
              </w:rPr>
            </w:pPr>
            <w:r w:rsidRPr="00787C59">
              <w:rPr>
                <w:rFonts w:ascii="Arial" w:hAnsi="Arial" w:cs="Arial"/>
                <w:b/>
                <w:sz w:val="20"/>
                <w:szCs w:val="20"/>
              </w:rPr>
              <w:t>Scores</w:t>
            </w:r>
          </w:p>
        </w:tc>
        <w:tc>
          <w:tcPr>
            <w:tcW w:w="1746" w:type="pct"/>
            <w:tcBorders>
              <w:left w:val="nil"/>
              <w:bottom w:val="single" w:sz="4" w:space="0" w:color="auto"/>
              <w:right w:val="nil"/>
            </w:tcBorders>
            <w:vAlign w:val="center"/>
          </w:tcPr>
          <w:p w14:paraId="03029417" w14:textId="77777777" w:rsidR="00191C33" w:rsidRPr="00787C59" w:rsidRDefault="00191C33" w:rsidP="00EF527E">
            <w:pPr>
              <w:tabs>
                <w:tab w:val="left" w:pos="720"/>
              </w:tabs>
              <w:jc w:val="center"/>
              <w:rPr>
                <w:rFonts w:ascii="Arial" w:hAnsi="Arial" w:cs="Arial"/>
                <w:b/>
                <w:sz w:val="20"/>
                <w:szCs w:val="20"/>
              </w:rPr>
            </w:pPr>
            <w:r w:rsidRPr="00787C59">
              <w:rPr>
                <w:rFonts w:ascii="Arial" w:hAnsi="Arial" w:cs="Arial"/>
                <w:b/>
                <w:sz w:val="20"/>
                <w:szCs w:val="20"/>
              </w:rPr>
              <w:t>Frequency</w:t>
            </w:r>
          </w:p>
        </w:tc>
        <w:tc>
          <w:tcPr>
            <w:tcW w:w="1393" w:type="pct"/>
            <w:tcBorders>
              <w:left w:val="nil"/>
              <w:bottom w:val="single" w:sz="4" w:space="0" w:color="auto"/>
              <w:right w:val="nil"/>
            </w:tcBorders>
            <w:vAlign w:val="center"/>
          </w:tcPr>
          <w:p w14:paraId="14F7E198" w14:textId="77777777" w:rsidR="00191C33" w:rsidRPr="00787C59" w:rsidRDefault="00191C33" w:rsidP="00EF527E">
            <w:pPr>
              <w:tabs>
                <w:tab w:val="left" w:pos="720"/>
              </w:tabs>
              <w:jc w:val="center"/>
              <w:rPr>
                <w:rFonts w:ascii="Arial" w:hAnsi="Arial" w:cs="Arial"/>
                <w:b/>
                <w:sz w:val="20"/>
                <w:szCs w:val="20"/>
              </w:rPr>
            </w:pPr>
            <w:r w:rsidRPr="00787C59">
              <w:rPr>
                <w:rFonts w:ascii="Arial" w:hAnsi="Arial" w:cs="Arial"/>
                <w:b/>
                <w:sz w:val="20"/>
                <w:szCs w:val="20"/>
              </w:rPr>
              <w:t>Percentage</w:t>
            </w:r>
          </w:p>
        </w:tc>
      </w:tr>
      <w:tr w:rsidR="00191C33" w:rsidRPr="00787C59" w14:paraId="32F149BD" w14:textId="77777777" w:rsidTr="00082D3B">
        <w:trPr>
          <w:trHeight w:val="238"/>
          <w:jc w:val="center"/>
        </w:trPr>
        <w:tc>
          <w:tcPr>
            <w:tcW w:w="1862" w:type="pct"/>
            <w:tcBorders>
              <w:top w:val="nil"/>
              <w:left w:val="nil"/>
              <w:bottom w:val="nil"/>
              <w:right w:val="nil"/>
            </w:tcBorders>
            <w:vAlign w:val="center"/>
          </w:tcPr>
          <w:p w14:paraId="10C6FD25"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color w:val="000000"/>
                <w:sz w:val="20"/>
                <w:szCs w:val="20"/>
              </w:rPr>
              <w:t>5</w:t>
            </w:r>
          </w:p>
        </w:tc>
        <w:tc>
          <w:tcPr>
            <w:tcW w:w="1746" w:type="pct"/>
            <w:tcBorders>
              <w:top w:val="nil"/>
              <w:left w:val="nil"/>
              <w:bottom w:val="nil"/>
              <w:right w:val="nil"/>
            </w:tcBorders>
            <w:vAlign w:val="center"/>
          </w:tcPr>
          <w:p w14:paraId="3CEA36C1"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1</w:t>
            </w:r>
          </w:p>
        </w:tc>
        <w:tc>
          <w:tcPr>
            <w:tcW w:w="1393" w:type="pct"/>
            <w:tcBorders>
              <w:top w:val="nil"/>
              <w:left w:val="nil"/>
              <w:bottom w:val="nil"/>
              <w:right w:val="nil"/>
            </w:tcBorders>
            <w:vAlign w:val="center"/>
          </w:tcPr>
          <w:p w14:paraId="00435A71"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5.0%</w:t>
            </w:r>
          </w:p>
        </w:tc>
      </w:tr>
      <w:tr w:rsidR="00191C33" w:rsidRPr="00787C59" w14:paraId="4715C7A8" w14:textId="77777777" w:rsidTr="00082D3B">
        <w:trPr>
          <w:trHeight w:val="238"/>
          <w:jc w:val="center"/>
        </w:trPr>
        <w:tc>
          <w:tcPr>
            <w:tcW w:w="1862" w:type="pct"/>
            <w:tcBorders>
              <w:top w:val="nil"/>
              <w:left w:val="nil"/>
              <w:bottom w:val="nil"/>
              <w:right w:val="nil"/>
            </w:tcBorders>
            <w:vAlign w:val="center"/>
          </w:tcPr>
          <w:p w14:paraId="6DA6A356"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6</w:t>
            </w:r>
          </w:p>
        </w:tc>
        <w:tc>
          <w:tcPr>
            <w:tcW w:w="1746" w:type="pct"/>
            <w:tcBorders>
              <w:top w:val="nil"/>
              <w:left w:val="nil"/>
              <w:bottom w:val="nil"/>
              <w:right w:val="nil"/>
            </w:tcBorders>
            <w:vAlign w:val="center"/>
          </w:tcPr>
          <w:p w14:paraId="2CD51401"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1</w:t>
            </w:r>
          </w:p>
        </w:tc>
        <w:tc>
          <w:tcPr>
            <w:tcW w:w="1393" w:type="pct"/>
            <w:tcBorders>
              <w:top w:val="nil"/>
              <w:left w:val="nil"/>
              <w:bottom w:val="nil"/>
              <w:right w:val="nil"/>
            </w:tcBorders>
            <w:vAlign w:val="center"/>
          </w:tcPr>
          <w:p w14:paraId="056D2449"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5.0%</w:t>
            </w:r>
          </w:p>
        </w:tc>
      </w:tr>
      <w:tr w:rsidR="00191C33" w:rsidRPr="00787C59" w14:paraId="36C6F314" w14:textId="77777777" w:rsidTr="00082D3B">
        <w:trPr>
          <w:trHeight w:val="238"/>
          <w:jc w:val="center"/>
        </w:trPr>
        <w:tc>
          <w:tcPr>
            <w:tcW w:w="1862" w:type="pct"/>
            <w:tcBorders>
              <w:top w:val="nil"/>
              <w:left w:val="nil"/>
              <w:bottom w:val="nil"/>
              <w:right w:val="nil"/>
            </w:tcBorders>
            <w:vAlign w:val="center"/>
          </w:tcPr>
          <w:p w14:paraId="29994848"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7</w:t>
            </w:r>
          </w:p>
        </w:tc>
        <w:tc>
          <w:tcPr>
            <w:tcW w:w="1746" w:type="pct"/>
            <w:tcBorders>
              <w:top w:val="nil"/>
              <w:left w:val="nil"/>
              <w:bottom w:val="nil"/>
              <w:right w:val="nil"/>
            </w:tcBorders>
            <w:vAlign w:val="center"/>
          </w:tcPr>
          <w:p w14:paraId="7876BA3C"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1</w:t>
            </w:r>
          </w:p>
        </w:tc>
        <w:tc>
          <w:tcPr>
            <w:tcW w:w="1393" w:type="pct"/>
            <w:tcBorders>
              <w:top w:val="nil"/>
              <w:left w:val="nil"/>
              <w:bottom w:val="nil"/>
              <w:right w:val="nil"/>
            </w:tcBorders>
            <w:vAlign w:val="center"/>
          </w:tcPr>
          <w:p w14:paraId="7DD385F5"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5.0%</w:t>
            </w:r>
          </w:p>
        </w:tc>
      </w:tr>
      <w:tr w:rsidR="00191C33" w:rsidRPr="00787C59" w14:paraId="3C5E6730" w14:textId="77777777" w:rsidTr="00082D3B">
        <w:trPr>
          <w:trHeight w:val="238"/>
          <w:jc w:val="center"/>
        </w:trPr>
        <w:tc>
          <w:tcPr>
            <w:tcW w:w="1862" w:type="pct"/>
            <w:tcBorders>
              <w:top w:val="nil"/>
              <w:left w:val="nil"/>
              <w:bottom w:val="nil"/>
              <w:right w:val="nil"/>
            </w:tcBorders>
            <w:vAlign w:val="center"/>
          </w:tcPr>
          <w:p w14:paraId="09680F79"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9</w:t>
            </w:r>
          </w:p>
        </w:tc>
        <w:tc>
          <w:tcPr>
            <w:tcW w:w="1746" w:type="pct"/>
            <w:tcBorders>
              <w:top w:val="nil"/>
              <w:left w:val="nil"/>
              <w:bottom w:val="nil"/>
              <w:right w:val="nil"/>
            </w:tcBorders>
            <w:vAlign w:val="center"/>
          </w:tcPr>
          <w:p w14:paraId="78265A30"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1</w:t>
            </w:r>
          </w:p>
        </w:tc>
        <w:tc>
          <w:tcPr>
            <w:tcW w:w="1393" w:type="pct"/>
            <w:tcBorders>
              <w:top w:val="nil"/>
              <w:left w:val="nil"/>
              <w:bottom w:val="nil"/>
              <w:right w:val="nil"/>
            </w:tcBorders>
            <w:vAlign w:val="center"/>
          </w:tcPr>
          <w:p w14:paraId="725EDD58"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5.0%</w:t>
            </w:r>
          </w:p>
        </w:tc>
      </w:tr>
      <w:tr w:rsidR="00191C33" w:rsidRPr="00787C59" w14:paraId="14385744" w14:textId="77777777" w:rsidTr="00082D3B">
        <w:trPr>
          <w:trHeight w:val="238"/>
          <w:jc w:val="center"/>
        </w:trPr>
        <w:tc>
          <w:tcPr>
            <w:tcW w:w="1862" w:type="pct"/>
            <w:tcBorders>
              <w:top w:val="nil"/>
              <w:left w:val="nil"/>
              <w:bottom w:val="nil"/>
              <w:right w:val="nil"/>
            </w:tcBorders>
            <w:vAlign w:val="center"/>
          </w:tcPr>
          <w:p w14:paraId="0CA97DC6"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10</w:t>
            </w:r>
          </w:p>
        </w:tc>
        <w:tc>
          <w:tcPr>
            <w:tcW w:w="1746" w:type="pct"/>
            <w:tcBorders>
              <w:top w:val="nil"/>
              <w:left w:val="nil"/>
              <w:bottom w:val="nil"/>
              <w:right w:val="nil"/>
            </w:tcBorders>
            <w:vAlign w:val="center"/>
          </w:tcPr>
          <w:p w14:paraId="5D4AC688"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2</w:t>
            </w:r>
          </w:p>
        </w:tc>
        <w:tc>
          <w:tcPr>
            <w:tcW w:w="1393" w:type="pct"/>
            <w:tcBorders>
              <w:top w:val="nil"/>
              <w:left w:val="nil"/>
              <w:bottom w:val="nil"/>
              <w:right w:val="nil"/>
            </w:tcBorders>
            <w:vAlign w:val="center"/>
          </w:tcPr>
          <w:p w14:paraId="18AF32B0"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10.0%</w:t>
            </w:r>
          </w:p>
        </w:tc>
      </w:tr>
      <w:tr w:rsidR="00191C33" w:rsidRPr="00787C59" w14:paraId="03F6568B" w14:textId="77777777" w:rsidTr="00082D3B">
        <w:trPr>
          <w:trHeight w:val="238"/>
          <w:jc w:val="center"/>
        </w:trPr>
        <w:tc>
          <w:tcPr>
            <w:tcW w:w="1862" w:type="pct"/>
            <w:tcBorders>
              <w:top w:val="nil"/>
              <w:left w:val="nil"/>
              <w:bottom w:val="nil"/>
              <w:right w:val="nil"/>
            </w:tcBorders>
            <w:vAlign w:val="center"/>
          </w:tcPr>
          <w:p w14:paraId="50789090"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11</w:t>
            </w:r>
          </w:p>
        </w:tc>
        <w:tc>
          <w:tcPr>
            <w:tcW w:w="1746" w:type="pct"/>
            <w:tcBorders>
              <w:top w:val="nil"/>
              <w:left w:val="nil"/>
              <w:bottom w:val="nil"/>
              <w:right w:val="nil"/>
            </w:tcBorders>
            <w:vAlign w:val="center"/>
          </w:tcPr>
          <w:p w14:paraId="3C4EBB61"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6</w:t>
            </w:r>
          </w:p>
        </w:tc>
        <w:tc>
          <w:tcPr>
            <w:tcW w:w="1393" w:type="pct"/>
            <w:tcBorders>
              <w:top w:val="nil"/>
              <w:left w:val="nil"/>
              <w:bottom w:val="nil"/>
              <w:right w:val="nil"/>
            </w:tcBorders>
            <w:vAlign w:val="center"/>
          </w:tcPr>
          <w:p w14:paraId="337754A0"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30.0%</w:t>
            </w:r>
          </w:p>
        </w:tc>
      </w:tr>
      <w:tr w:rsidR="00191C33" w:rsidRPr="00787C59" w14:paraId="1E468457" w14:textId="77777777" w:rsidTr="00082D3B">
        <w:trPr>
          <w:trHeight w:val="238"/>
          <w:jc w:val="center"/>
        </w:trPr>
        <w:tc>
          <w:tcPr>
            <w:tcW w:w="1862" w:type="pct"/>
            <w:tcBorders>
              <w:top w:val="nil"/>
              <w:left w:val="nil"/>
              <w:bottom w:val="nil"/>
              <w:right w:val="nil"/>
            </w:tcBorders>
            <w:vAlign w:val="center"/>
          </w:tcPr>
          <w:p w14:paraId="1C62D2DD"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12</w:t>
            </w:r>
          </w:p>
        </w:tc>
        <w:tc>
          <w:tcPr>
            <w:tcW w:w="1746" w:type="pct"/>
            <w:tcBorders>
              <w:top w:val="nil"/>
              <w:left w:val="nil"/>
              <w:bottom w:val="nil"/>
              <w:right w:val="nil"/>
            </w:tcBorders>
            <w:vAlign w:val="center"/>
          </w:tcPr>
          <w:p w14:paraId="16401CE3"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1</w:t>
            </w:r>
          </w:p>
        </w:tc>
        <w:tc>
          <w:tcPr>
            <w:tcW w:w="1393" w:type="pct"/>
            <w:tcBorders>
              <w:top w:val="nil"/>
              <w:left w:val="nil"/>
              <w:bottom w:val="nil"/>
              <w:right w:val="nil"/>
            </w:tcBorders>
            <w:vAlign w:val="center"/>
          </w:tcPr>
          <w:p w14:paraId="34A0F793"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5.0%</w:t>
            </w:r>
          </w:p>
        </w:tc>
      </w:tr>
      <w:tr w:rsidR="00191C33" w:rsidRPr="00787C59" w14:paraId="752A709A" w14:textId="77777777" w:rsidTr="00082D3B">
        <w:trPr>
          <w:trHeight w:val="238"/>
          <w:jc w:val="center"/>
        </w:trPr>
        <w:tc>
          <w:tcPr>
            <w:tcW w:w="1862" w:type="pct"/>
            <w:tcBorders>
              <w:top w:val="nil"/>
              <w:left w:val="nil"/>
              <w:bottom w:val="nil"/>
              <w:right w:val="nil"/>
            </w:tcBorders>
            <w:vAlign w:val="center"/>
          </w:tcPr>
          <w:p w14:paraId="124FD174"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13</w:t>
            </w:r>
          </w:p>
        </w:tc>
        <w:tc>
          <w:tcPr>
            <w:tcW w:w="1746" w:type="pct"/>
            <w:tcBorders>
              <w:top w:val="nil"/>
              <w:left w:val="nil"/>
              <w:bottom w:val="nil"/>
              <w:right w:val="nil"/>
            </w:tcBorders>
            <w:vAlign w:val="center"/>
          </w:tcPr>
          <w:p w14:paraId="1B230C6F"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5</w:t>
            </w:r>
          </w:p>
        </w:tc>
        <w:tc>
          <w:tcPr>
            <w:tcW w:w="1393" w:type="pct"/>
            <w:tcBorders>
              <w:top w:val="nil"/>
              <w:left w:val="nil"/>
              <w:bottom w:val="nil"/>
              <w:right w:val="nil"/>
            </w:tcBorders>
            <w:vAlign w:val="center"/>
          </w:tcPr>
          <w:p w14:paraId="2AA0C821"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25.0%</w:t>
            </w:r>
          </w:p>
        </w:tc>
      </w:tr>
      <w:tr w:rsidR="00191C33" w:rsidRPr="00787C59" w14:paraId="725C47AB" w14:textId="77777777" w:rsidTr="00082D3B">
        <w:trPr>
          <w:trHeight w:val="238"/>
          <w:jc w:val="center"/>
        </w:trPr>
        <w:tc>
          <w:tcPr>
            <w:tcW w:w="1862" w:type="pct"/>
            <w:tcBorders>
              <w:top w:val="nil"/>
              <w:left w:val="nil"/>
              <w:bottom w:val="single" w:sz="4" w:space="0" w:color="auto"/>
              <w:right w:val="nil"/>
            </w:tcBorders>
            <w:vAlign w:val="center"/>
          </w:tcPr>
          <w:p w14:paraId="782EC33F"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14</w:t>
            </w:r>
          </w:p>
        </w:tc>
        <w:tc>
          <w:tcPr>
            <w:tcW w:w="1746" w:type="pct"/>
            <w:tcBorders>
              <w:top w:val="nil"/>
              <w:left w:val="nil"/>
              <w:bottom w:val="single" w:sz="4" w:space="0" w:color="auto"/>
              <w:right w:val="nil"/>
            </w:tcBorders>
            <w:vAlign w:val="center"/>
          </w:tcPr>
          <w:p w14:paraId="3505391B" w14:textId="77777777" w:rsidR="00191C33" w:rsidRPr="00787C59" w:rsidRDefault="00191C33" w:rsidP="00EF527E">
            <w:pPr>
              <w:tabs>
                <w:tab w:val="left" w:pos="720"/>
              </w:tabs>
              <w:jc w:val="center"/>
              <w:rPr>
                <w:rFonts w:ascii="Arial" w:hAnsi="Arial" w:cs="Arial"/>
                <w:sz w:val="20"/>
                <w:szCs w:val="20"/>
              </w:rPr>
            </w:pPr>
            <w:r w:rsidRPr="00787C59">
              <w:rPr>
                <w:rFonts w:ascii="Arial" w:hAnsi="Arial" w:cs="Arial"/>
                <w:sz w:val="20"/>
                <w:szCs w:val="20"/>
              </w:rPr>
              <w:t>2</w:t>
            </w:r>
          </w:p>
        </w:tc>
        <w:tc>
          <w:tcPr>
            <w:tcW w:w="1393" w:type="pct"/>
            <w:tcBorders>
              <w:top w:val="nil"/>
              <w:left w:val="nil"/>
              <w:bottom w:val="single" w:sz="4" w:space="0" w:color="auto"/>
              <w:right w:val="nil"/>
            </w:tcBorders>
            <w:vAlign w:val="center"/>
          </w:tcPr>
          <w:p w14:paraId="246C85F8" w14:textId="77777777" w:rsidR="00191C33" w:rsidRPr="00787C59" w:rsidRDefault="00191C33" w:rsidP="00EF527E">
            <w:pPr>
              <w:tabs>
                <w:tab w:val="left" w:pos="720"/>
              </w:tabs>
              <w:jc w:val="center"/>
              <w:rPr>
                <w:rFonts w:ascii="Arial" w:hAnsi="Arial" w:cs="Arial"/>
                <w:color w:val="000000"/>
                <w:sz w:val="20"/>
                <w:szCs w:val="20"/>
              </w:rPr>
            </w:pPr>
            <w:r w:rsidRPr="00787C59">
              <w:rPr>
                <w:rFonts w:ascii="Arial" w:hAnsi="Arial" w:cs="Arial"/>
                <w:color w:val="000000"/>
                <w:sz w:val="20"/>
                <w:szCs w:val="20"/>
              </w:rPr>
              <w:t>10.0%</w:t>
            </w:r>
          </w:p>
        </w:tc>
      </w:tr>
      <w:tr w:rsidR="00191C33" w:rsidRPr="00787C59" w14:paraId="7A535065" w14:textId="77777777" w:rsidTr="00082D3B">
        <w:trPr>
          <w:trHeight w:val="238"/>
          <w:jc w:val="center"/>
        </w:trPr>
        <w:tc>
          <w:tcPr>
            <w:tcW w:w="1862" w:type="pct"/>
            <w:tcBorders>
              <w:top w:val="single" w:sz="4" w:space="0" w:color="auto"/>
              <w:left w:val="nil"/>
              <w:bottom w:val="nil"/>
              <w:right w:val="nil"/>
            </w:tcBorders>
            <w:vAlign w:val="center"/>
          </w:tcPr>
          <w:p w14:paraId="59365D63" w14:textId="77777777" w:rsidR="00191C33" w:rsidRPr="00787C59" w:rsidRDefault="00191C33" w:rsidP="00EF527E">
            <w:pPr>
              <w:tabs>
                <w:tab w:val="left" w:pos="720"/>
              </w:tabs>
              <w:jc w:val="center"/>
              <w:rPr>
                <w:rFonts w:ascii="Arial" w:hAnsi="Arial" w:cs="Arial"/>
                <w:b/>
                <w:sz w:val="20"/>
                <w:szCs w:val="20"/>
              </w:rPr>
            </w:pPr>
            <w:r w:rsidRPr="00787C59">
              <w:rPr>
                <w:rFonts w:ascii="Arial" w:hAnsi="Arial" w:cs="Arial"/>
                <w:b/>
                <w:sz w:val="20"/>
                <w:szCs w:val="20"/>
              </w:rPr>
              <w:t>TOTAL</w:t>
            </w:r>
          </w:p>
        </w:tc>
        <w:tc>
          <w:tcPr>
            <w:tcW w:w="1746" w:type="pct"/>
            <w:tcBorders>
              <w:top w:val="single" w:sz="4" w:space="0" w:color="auto"/>
              <w:left w:val="nil"/>
              <w:bottom w:val="nil"/>
              <w:right w:val="nil"/>
            </w:tcBorders>
            <w:vAlign w:val="center"/>
          </w:tcPr>
          <w:p w14:paraId="15A978F5" w14:textId="77777777" w:rsidR="00191C33" w:rsidRPr="00787C59" w:rsidRDefault="00191C33" w:rsidP="00EF527E">
            <w:pPr>
              <w:tabs>
                <w:tab w:val="left" w:pos="720"/>
              </w:tabs>
              <w:jc w:val="center"/>
              <w:rPr>
                <w:rFonts w:ascii="Arial" w:hAnsi="Arial" w:cs="Arial"/>
                <w:b/>
                <w:sz w:val="20"/>
                <w:szCs w:val="20"/>
              </w:rPr>
            </w:pPr>
            <w:r w:rsidRPr="00787C59">
              <w:rPr>
                <w:rFonts w:ascii="Arial" w:hAnsi="Arial" w:cs="Arial"/>
                <w:b/>
                <w:sz w:val="20"/>
                <w:szCs w:val="20"/>
              </w:rPr>
              <w:t>20</w:t>
            </w:r>
          </w:p>
        </w:tc>
        <w:tc>
          <w:tcPr>
            <w:tcW w:w="1393" w:type="pct"/>
            <w:tcBorders>
              <w:top w:val="single" w:sz="4" w:space="0" w:color="auto"/>
              <w:left w:val="nil"/>
              <w:bottom w:val="nil"/>
              <w:right w:val="nil"/>
            </w:tcBorders>
            <w:vAlign w:val="center"/>
          </w:tcPr>
          <w:p w14:paraId="21920840" w14:textId="77777777" w:rsidR="00191C33" w:rsidRPr="00787C59" w:rsidRDefault="00191C33" w:rsidP="00EF527E">
            <w:pPr>
              <w:tabs>
                <w:tab w:val="left" w:pos="720"/>
              </w:tabs>
              <w:jc w:val="center"/>
              <w:rPr>
                <w:rFonts w:ascii="Arial" w:hAnsi="Arial" w:cs="Arial"/>
                <w:b/>
                <w:color w:val="000000"/>
                <w:sz w:val="20"/>
                <w:szCs w:val="20"/>
              </w:rPr>
            </w:pPr>
            <w:r w:rsidRPr="00787C59">
              <w:rPr>
                <w:rFonts w:ascii="Arial" w:hAnsi="Arial" w:cs="Arial"/>
                <w:b/>
                <w:color w:val="000000"/>
                <w:sz w:val="20"/>
                <w:szCs w:val="20"/>
              </w:rPr>
              <w:t>100%</w:t>
            </w:r>
          </w:p>
        </w:tc>
      </w:tr>
      <w:tr w:rsidR="00191C33" w:rsidRPr="00787C59" w14:paraId="5ACE5945" w14:textId="77777777" w:rsidTr="00082D3B">
        <w:trPr>
          <w:trHeight w:val="954"/>
          <w:jc w:val="center"/>
        </w:trPr>
        <w:tc>
          <w:tcPr>
            <w:tcW w:w="5000" w:type="pct"/>
            <w:gridSpan w:val="3"/>
            <w:tcBorders>
              <w:top w:val="nil"/>
              <w:left w:val="nil"/>
              <w:right w:val="nil"/>
            </w:tcBorders>
            <w:vAlign w:val="center"/>
          </w:tcPr>
          <w:p w14:paraId="69402807" w14:textId="77777777" w:rsidR="00191C33" w:rsidRPr="00787C59" w:rsidRDefault="00191C33" w:rsidP="00EF527E">
            <w:pPr>
              <w:pBdr>
                <w:top w:val="single" w:sz="4" w:space="1" w:color="auto"/>
              </w:pBdr>
              <w:tabs>
                <w:tab w:val="left" w:pos="720"/>
              </w:tabs>
              <w:rPr>
                <w:rFonts w:ascii="Arial" w:hAnsi="Arial" w:cs="Arial"/>
                <w:sz w:val="20"/>
                <w:szCs w:val="20"/>
              </w:rPr>
            </w:pPr>
            <w:r w:rsidRPr="00787C59">
              <w:rPr>
                <w:rFonts w:ascii="Arial" w:hAnsi="Arial" w:cs="Arial"/>
                <w:sz w:val="20"/>
                <w:szCs w:val="20"/>
              </w:rPr>
              <w:t xml:space="preserve">Mean: </w:t>
            </w:r>
            <w:r w:rsidRPr="00787C59">
              <w:rPr>
                <w:rFonts w:ascii="Arial" w:hAnsi="Arial" w:cs="Arial"/>
                <w:b/>
                <w:sz w:val="20"/>
                <w:szCs w:val="20"/>
              </w:rPr>
              <w:t>10.900</w:t>
            </w:r>
          </w:p>
          <w:p w14:paraId="5D4C7FC4" w14:textId="77777777" w:rsidR="00191C33" w:rsidRPr="00787C59" w:rsidRDefault="00191C33" w:rsidP="00EF527E">
            <w:pPr>
              <w:tabs>
                <w:tab w:val="left" w:pos="720"/>
              </w:tabs>
              <w:rPr>
                <w:rFonts w:ascii="Arial" w:hAnsi="Arial" w:cs="Arial"/>
                <w:sz w:val="20"/>
                <w:szCs w:val="20"/>
              </w:rPr>
            </w:pPr>
            <w:r w:rsidRPr="00787C59">
              <w:rPr>
                <w:rFonts w:ascii="Arial" w:hAnsi="Arial" w:cs="Arial"/>
                <w:sz w:val="20"/>
                <w:szCs w:val="20"/>
              </w:rPr>
              <w:t xml:space="preserve">Std. Dev.: </w:t>
            </w:r>
            <w:r w:rsidRPr="00787C59">
              <w:rPr>
                <w:rFonts w:ascii="Arial" w:hAnsi="Arial" w:cs="Arial"/>
                <w:b/>
                <w:sz w:val="20"/>
                <w:szCs w:val="20"/>
              </w:rPr>
              <w:t>2.253</w:t>
            </w:r>
          </w:p>
        </w:tc>
      </w:tr>
    </w:tbl>
    <w:p w14:paraId="73B9B686" w14:textId="77777777" w:rsidR="00191C33" w:rsidRDefault="00191C33" w:rsidP="00EF527E">
      <w:pPr>
        <w:pStyle w:val="Body"/>
        <w:tabs>
          <w:tab w:val="left" w:pos="720"/>
        </w:tabs>
        <w:spacing w:after="0"/>
        <w:rPr>
          <w:rFonts w:ascii="Arial" w:hAnsi="Arial" w:cs="Arial"/>
        </w:rPr>
      </w:pPr>
    </w:p>
    <w:p w14:paraId="593F15F2" w14:textId="77777777" w:rsidR="00B07A31" w:rsidRDefault="00B07A31" w:rsidP="00EF527E">
      <w:pPr>
        <w:pStyle w:val="Body"/>
        <w:tabs>
          <w:tab w:val="left" w:pos="720"/>
        </w:tabs>
        <w:spacing w:after="0"/>
        <w:rPr>
          <w:rFonts w:ascii="Arial" w:hAnsi="Arial" w:cs="Arial"/>
        </w:rPr>
      </w:pPr>
    </w:p>
    <w:p w14:paraId="04BAC4D1" w14:textId="22661C7A" w:rsidR="00B07A31" w:rsidRDefault="00B07A31" w:rsidP="00EF527E">
      <w:pPr>
        <w:pStyle w:val="Body"/>
        <w:tabs>
          <w:tab w:val="left" w:pos="720"/>
        </w:tabs>
        <w:spacing w:after="0"/>
        <w:rPr>
          <w:rFonts w:ascii="Arial" w:hAnsi="Arial" w:cs="Arial"/>
          <w:b/>
          <w:sz w:val="22"/>
        </w:rPr>
      </w:pPr>
      <w:r>
        <w:rPr>
          <w:rFonts w:ascii="Arial" w:hAnsi="Arial" w:cs="Arial"/>
          <w:b/>
          <w:caps/>
          <w:sz w:val="22"/>
        </w:rPr>
        <w:t>3.3</w:t>
      </w:r>
      <w:r w:rsidR="00191C33">
        <w:rPr>
          <w:rFonts w:ascii="Arial" w:hAnsi="Arial" w:cs="Arial"/>
          <w:b/>
          <w:caps/>
          <w:sz w:val="22"/>
        </w:rPr>
        <w:t xml:space="preserve"> </w:t>
      </w:r>
      <w:r w:rsidR="00191C33" w:rsidRPr="00191C33">
        <w:rPr>
          <w:rFonts w:ascii="Arial" w:hAnsi="Arial" w:cs="Arial"/>
          <w:b/>
          <w:sz w:val="22"/>
        </w:rPr>
        <w:t>Significant Difference between the Posttest and Pretest Results</w:t>
      </w:r>
    </w:p>
    <w:p w14:paraId="08575550" w14:textId="77777777" w:rsidR="00E053D0" w:rsidRDefault="00E053D0" w:rsidP="00EF527E">
      <w:pPr>
        <w:pStyle w:val="Body"/>
        <w:tabs>
          <w:tab w:val="left" w:pos="720"/>
        </w:tabs>
        <w:spacing w:after="0"/>
        <w:rPr>
          <w:rFonts w:ascii="Arial" w:hAnsi="Arial" w:cs="Arial"/>
          <w:b/>
          <w:bCs/>
          <w:szCs w:val="22"/>
        </w:rPr>
      </w:pPr>
    </w:p>
    <w:p w14:paraId="2B9B326E" w14:textId="13A4EB01" w:rsidR="008A0E71" w:rsidRPr="008A0E71" w:rsidRDefault="008A0E71" w:rsidP="008A0E71">
      <w:pPr>
        <w:pStyle w:val="Body"/>
        <w:tabs>
          <w:tab w:val="left" w:pos="720"/>
        </w:tabs>
        <w:rPr>
          <w:rFonts w:ascii="Arial" w:hAnsi="Arial" w:cs="Arial"/>
        </w:rPr>
      </w:pPr>
      <w:r w:rsidRPr="008A0E71">
        <w:rPr>
          <w:rFonts w:ascii="Arial" w:hAnsi="Arial" w:cs="Arial"/>
        </w:rPr>
        <w:t>To evaluate the effectiveness of the storytelling intervention using video presentations, a paired-samples t-test was conducted to compare the pre-test and post-test scores of the Grade 4 learners. As illustrated in Table 3, the statistical analysis yielded a computed t-value of -5.26 with a corresponding p-value of &lt; 0.001. Since this p-value fell well below the 0.05 alpha level of significance, the null hypothesis was rejected. This result confirmed a statistically significant difference between the learners’ comprehension performance before and after the intervention, indicating that the observed improvements were not due to chance</w:t>
      </w:r>
      <w:r>
        <w:rPr>
          <w:rFonts w:ascii="Arial" w:hAnsi="Arial" w:cs="Arial"/>
        </w:rPr>
        <w:t>.</w:t>
      </w:r>
    </w:p>
    <w:p w14:paraId="6D0D9A76" w14:textId="13DF7DAB" w:rsidR="008A0E71" w:rsidRPr="008A0E71" w:rsidRDefault="008A0E71" w:rsidP="008A0E71">
      <w:pPr>
        <w:pStyle w:val="Body"/>
        <w:tabs>
          <w:tab w:val="left" w:pos="720"/>
        </w:tabs>
        <w:rPr>
          <w:rFonts w:ascii="Arial" w:hAnsi="Arial" w:cs="Arial"/>
        </w:rPr>
      </w:pPr>
      <w:r w:rsidRPr="008A0E71">
        <w:rPr>
          <w:rFonts w:ascii="Arial" w:hAnsi="Arial" w:cs="Arial"/>
        </w:rPr>
        <w:lastRenderedPageBreak/>
        <w:t>The substantial increase in post-test scores demonstrated that storytelling through multimedia presentations exerted a positive and meaningful impact on the students' English comprehension skills. These findings remained consistent with contemporary literature which emphasizes that digital and video-based storytelling enhances both cognitive retention and learner engagement. For instance, Chen et al. (2022) reported that digital storytelling significantly improved vocabulary and comprehension among English as a Foreign Language (EFL) learners, while Rajendran and Yunus (2021) found that video-based narratives strengthened listening and reading skills by providing essential contextualized input. Furthermore, Cabardo (2021) emphasized that multimodal storytelling strategies fostered deeper engagement, particularly in classrooms with diverse learning needs.</w:t>
      </w:r>
    </w:p>
    <w:p w14:paraId="3CB7E1D2" w14:textId="3DEBA32B" w:rsidR="00FC3490" w:rsidRDefault="008A0E71" w:rsidP="008A0E71">
      <w:pPr>
        <w:pStyle w:val="Body"/>
        <w:tabs>
          <w:tab w:val="left" w:pos="720"/>
        </w:tabs>
        <w:spacing w:after="0"/>
        <w:rPr>
          <w:rFonts w:ascii="Arial" w:hAnsi="Arial" w:cs="Arial"/>
        </w:rPr>
      </w:pPr>
      <w:r w:rsidRPr="008A0E71">
        <w:rPr>
          <w:rFonts w:ascii="Arial" w:hAnsi="Arial" w:cs="Arial"/>
        </w:rPr>
        <w:t xml:space="preserve">More recently, Alshammari (2023) highlighted that the integration of multimedia storytelling in English instruction improved both comprehension and motivation, especially among younger learners. These results, supported by the findings of Nobis (2021) and </w:t>
      </w:r>
      <w:proofErr w:type="spellStart"/>
      <w:r w:rsidRPr="008A0E71">
        <w:rPr>
          <w:rFonts w:ascii="Arial" w:hAnsi="Arial" w:cs="Arial"/>
        </w:rPr>
        <w:t>Curammeng</w:t>
      </w:r>
      <w:proofErr w:type="spellEnd"/>
      <w:r w:rsidRPr="008A0E71">
        <w:rPr>
          <w:rFonts w:ascii="Arial" w:hAnsi="Arial" w:cs="Arial"/>
        </w:rPr>
        <w:t xml:space="preserve"> (2025), suggested that merging narrative structures with multimedia elements effectively bridged existing comprehension gaps.</w:t>
      </w:r>
    </w:p>
    <w:p w14:paraId="032AC509" w14:textId="77777777" w:rsidR="00064EFF" w:rsidRDefault="00064EFF" w:rsidP="00EF527E">
      <w:pPr>
        <w:pStyle w:val="Body"/>
        <w:tabs>
          <w:tab w:val="left" w:pos="720"/>
        </w:tabs>
        <w:spacing w:after="0"/>
        <w:rPr>
          <w:rFonts w:ascii="Arial" w:hAnsi="Arial" w:cs="Arial"/>
        </w:rPr>
      </w:pPr>
    </w:p>
    <w:p w14:paraId="052FCBC3" w14:textId="77777777" w:rsidR="00191C33" w:rsidRDefault="00191C33" w:rsidP="00EF527E">
      <w:pPr>
        <w:pStyle w:val="Body"/>
        <w:tabs>
          <w:tab w:val="left" w:pos="720"/>
        </w:tabs>
        <w:spacing w:after="0"/>
        <w:rPr>
          <w:rFonts w:ascii="Arial" w:hAnsi="Arial" w:cs="Arial"/>
        </w:rPr>
      </w:pPr>
    </w:p>
    <w:p w14:paraId="3B02DAF0" w14:textId="77777777" w:rsidR="00191C33" w:rsidRPr="00A82323" w:rsidRDefault="00191C33" w:rsidP="00EF527E">
      <w:pPr>
        <w:tabs>
          <w:tab w:val="left" w:pos="720"/>
        </w:tabs>
        <w:jc w:val="center"/>
        <w:rPr>
          <w:rFonts w:ascii="Arial" w:hAnsi="Arial" w:cs="Arial"/>
          <w:b/>
          <w:bCs/>
        </w:rPr>
      </w:pPr>
      <w:r w:rsidRPr="00A82323">
        <w:rPr>
          <w:rFonts w:ascii="Arial" w:hAnsi="Arial" w:cs="Arial"/>
          <w:b/>
          <w:bCs/>
        </w:rPr>
        <w:t>Table 3</w:t>
      </w:r>
    </w:p>
    <w:p w14:paraId="7795F8FC" w14:textId="77777777" w:rsidR="00191C33" w:rsidRPr="00A82323" w:rsidRDefault="00191C33" w:rsidP="00EF527E">
      <w:pPr>
        <w:tabs>
          <w:tab w:val="left" w:pos="720"/>
        </w:tabs>
        <w:jc w:val="center"/>
        <w:rPr>
          <w:rFonts w:ascii="Arial" w:hAnsi="Arial" w:cs="Arial"/>
          <w:b/>
          <w:bCs/>
        </w:rPr>
      </w:pPr>
      <w:r w:rsidRPr="00A82323">
        <w:rPr>
          <w:rFonts w:ascii="Arial" w:hAnsi="Arial" w:cs="Arial"/>
          <w:b/>
          <w:bCs/>
        </w:rPr>
        <w:t>Significant Difference between the Posttest and Pretest Results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30"/>
        <w:gridCol w:w="1170"/>
        <w:gridCol w:w="1194"/>
        <w:gridCol w:w="1434"/>
        <w:gridCol w:w="1530"/>
        <w:gridCol w:w="1170"/>
      </w:tblGrid>
      <w:tr w:rsidR="00191C33" w:rsidRPr="00A82323" w14:paraId="3ABF7C2D" w14:textId="77777777" w:rsidTr="00D0659E">
        <w:tc>
          <w:tcPr>
            <w:tcW w:w="1530" w:type="dxa"/>
            <w:vAlign w:val="center"/>
          </w:tcPr>
          <w:p w14:paraId="4F7DC68B" w14:textId="77777777" w:rsidR="00191C33" w:rsidRPr="00A82323" w:rsidRDefault="00191C33" w:rsidP="00EF527E">
            <w:pPr>
              <w:tabs>
                <w:tab w:val="left" w:pos="720"/>
              </w:tabs>
              <w:jc w:val="center"/>
              <w:rPr>
                <w:rFonts w:ascii="Arial" w:hAnsi="Arial" w:cs="Arial"/>
                <w:b/>
                <w:bCs/>
                <w:sz w:val="20"/>
                <w:szCs w:val="20"/>
              </w:rPr>
            </w:pPr>
            <w:r w:rsidRPr="00A82323">
              <w:rPr>
                <w:rFonts w:ascii="Arial" w:hAnsi="Arial" w:cs="Arial"/>
                <w:b/>
                <w:bCs/>
                <w:sz w:val="20"/>
                <w:szCs w:val="20"/>
              </w:rPr>
              <w:t>Variables</w:t>
            </w:r>
          </w:p>
        </w:tc>
        <w:tc>
          <w:tcPr>
            <w:tcW w:w="1170" w:type="dxa"/>
            <w:vAlign w:val="center"/>
          </w:tcPr>
          <w:p w14:paraId="2736AB06" w14:textId="77777777" w:rsidR="00191C33" w:rsidRPr="00A82323" w:rsidRDefault="00191C33" w:rsidP="00EF527E">
            <w:pPr>
              <w:tabs>
                <w:tab w:val="left" w:pos="720"/>
              </w:tabs>
              <w:jc w:val="center"/>
              <w:rPr>
                <w:rFonts w:ascii="Arial" w:hAnsi="Arial" w:cs="Arial"/>
                <w:b/>
                <w:bCs/>
                <w:sz w:val="20"/>
                <w:szCs w:val="20"/>
              </w:rPr>
            </w:pPr>
            <w:r w:rsidRPr="00A82323">
              <w:rPr>
                <w:rFonts w:ascii="Arial" w:hAnsi="Arial" w:cs="Arial"/>
                <w:b/>
                <w:bCs/>
                <w:sz w:val="20"/>
                <w:szCs w:val="20"/>
              </w:rPr>
              <w:t>t - value</w:t>
            </w:r>
          </w:p>
        </w:tc>
        <w:tc>
          <w:tcPr>
            <w:tcW w:w="1194" w:type="dxa"/>
            <w:vAlign w:val="center"/>
          </w:tcPr>
          <w:p w14:paraId="774BC790" w14:textId="77777777" w:rsidR="00191C33" w:rsidRPr="00A82323" w:rsidRDefault="00191C33" w:rsidP="00EF527E">
            <w:pPr>
              <w:tabs>
                <w:tab w:val="left" w:pos="720"/>
              </w:tabs>
              <w:jc w:val="center"/>
              <w:rPr>
                <w:rFonts w:ascii="Arial" w:hAnsi="Arial" w:cs="Arial"/>
                <w:b/>
                <w:bCs/>
                <w:sz w:val="20"/>
                <w:szCs w:val="20"/>
              </w:rPr>
            </w:pPr>
            <w:r w:rsidRPr="00A82323">
              <w:rPr>
                <w:rFonts w:ascii="Arial" w:hAnsi="Arial" w:cs="Arial"/>
                <w:b/>
                <w:bCs/>
                <w:sz w:val="20"/>
                <w:szCs w:val="20"/>
              </w:rPr>
              <w:t>p - value</w:t>
            </w:r>
          </w:p>
        </w:tc>
        <w:tc>
          <w:tcPr>
            <w:tcW w:w="1434" w:type="dxa"/>
            <w:vAlign w:val="center"/>
          </w:tcPr>
          <w:p w14:paraId="3133DCF8" w14:textId="77777777" w:rsidR="00191C33" w:rsidRPr="00A82323" w:rsidRDefault="00191C33" w:rsidP="00EF527E">
            <w:pPr>
              <w:tabs>
                <w:tab w:val="left" w:pos="720"/>
              </w:tabs>
              <w:jc w:val="center"/>
              <w:rPr>
                <w:rFonts w:ascii="Arial" w:hAnsi="Arial" w:cs="Arial"/>
                <w:b/>
                <w:bCs/>
                <w:sz w:val="20"/>
                <w:szCs w:val="20"/>
              </w:rPr>
            </w:pPr>
            <w:r w:rsidRPr="00A82323">
              <w:rPr>
                <w:rFonts w:ascii="Arial" w:hAnsi="Arial" w:cs="Arial"/>
                <w:b/>
                <w:bCs/>
                <w:sz w:val="20"/>
                <w:szCs w:val="20"/>
              </w:rPr>
              <w:t>Level of Significance</w:t>
            </w:r>
          </w:p>
        </w:tc>
        <w:tc>
          <w:tcPr>
            <w:tcW w:w="1530" w:type="dxa"/>
            <w:vAlign w:val="center"/>
          </w:tcPr>
          <w:p w14:paraId="2DB0E119" w14:textId="77777777" w:rsidR="00191C33" w:rsidRPr="00A82323" w:rsidRDefault="00191C33" w:rsidP="00EF527E">
            <w:pPr>
              <w:tabs>
                <w:tab w:val="left" w:pos="720"/>
              </w:tabs>
              <w:jc w:val="center"/>
              <w:rPr>
                <w:rFonts w:ascii="Arial" w:hAnsi="Arial" w:cs="Arial"/>
                <w:b/>
                <w:bCs/>
                <w:sz w:val="20"/>
                <w:szCs w:val="20"/>
              </w:rPr>
            </w:pPr>
            <w:r w:rsidRPr="00A82323">
              <w:rPr>
                <w:rFonts w:ascii="Arial" w:hAnsi="Arial" w:cs="Arial"/>
                <w:b/>
                <w:bCs/>
                <w:sz w:val="20"/>
                <w:szCs w:val="20"/>
              </w:rPr>
              <w:t>Decision</w:t>
            </w:r>
          </w:p>
        </w:tc>
        <w:tc>
          <w:tcPr>
            <w:tcW w:w="1170" w:type="dxa"/>
            <w:vAlign w:val="center"/>
          </w:tcPr>
          <w:p w14:paraId="75B84F1A" w14:textId="77777777" w:rsidR="00191C33" w:rsidRPr="00A82323" w:rsidRDefault="00191C33" w:rsidP="00EF527E">
            <w:pPr>
              <w:tabs>
                <w:tab w:val="left" w:pos="720"/>
              </w:tabs>
              <w:jc w:val="center"/>
              <w:rPr>
                <w:rFonts w:ascii="Arial" w:hAnsi="Arial" w:cs="Arial"/>
                <w:b/>
                <w:bCs/>
                <w:sz w:val="20"/>
                <w:szCs w:val="20"/>
              </w:rPr>
            </w:pPr>
            <w:r w:rsidRPr="00A82323">
              <w:rPr>
                <w:rFonts w:ascii="Arial" w:hAnsi="Arial" w:cs="Arial"/>
                <w:b/>
                <w:bCs/>
                <w:sz w:val="20"/>
                <w:szCs w:val="20"/>
              </w:rPr>
              <w:t>Interpretation</w:t>
            </w:r>
          </w:p>
        </w:tc>
      </w:tr>
      <w:tr w:rsidR="00191C33" w:rsidRPr="00A82323" w14:paraId="4492FE66" w14:textId="77777777" w:rsidTr="00D0659E">
        <w:trPr>
          <w:trHeight w:val="872"/>
        </w:trPr>
        <w:tc>
          <w:tcPr>
            <w:tcW w:w="1530" w:type="dxa"/>
            <w:vAlign w:val="center"/>
          </w:tcPr>
          <w:p w14:paraId="5F0B9B32" w14:textId="0CF2765B" w:rsidR="00191C33" w:rsidRPr="00A82323" w:rsidRDefault="00D0659E" w:rsidP="00EF527E">
            <w:pPr>
              <w:tabs>
                <w:tab w:val="left" w:pos="720"/>
              </w:tabs>
              <w:jc w:val="center"/>
              <w:rPr>
                <w:rFonts w:ascii="Arial" w:hAnsi="Arial" w:cs="Arial"/>
                <w:sz w:val="20"/>
                <w:szCs w:val="20"/>
              </w:rPr>
            </w:pPr>
            <w:r w:rsidRPr="00A82323">
              <w:rPr>
                <w:rFonts w:ascii="Arial" w:hAnsi="Arial" w:cs="Arial"/>
                <w:sz w:val="20"/>
                <w:szCs w:val="20"/>
              </w:rPr>
              <w:t>Post</w:t>
            </w:r>
            <w:r w:rsidR="00C4794C">
              <w:rPr>
                <w:rFonts w:ascii="Arial" w:hAnsi="Arial" w:cs="Arial"/>
                <w:sz w:val="20"/>
                <w:szCs w:val="20"/>
              </w:rPr>
              <w:t>-</w:t>
            </w:r>
            <w:r w:rsidRPr="00A82323">
              <w:rPr>
                <w:rFonts w:ascii="Arial" w:hAnsi="Arial" w:cs="Arial"/>
                <w:sz w:val="20"/>
                <w:szCs w:val="20"/>
              </w:rPr>
              <w:t>test</w:t>
            </w:r>
            <w:r w:rsidR="00191C33" w:rsidRPr="00A82323">
              <w:rPr>
                <w:rFonts w:ascii="Arial" w:hAnsi="Arial" w:cs="Arial"/>
                <w:sz w:val="20"/>
                <w:szCs w:val="20"/>
              </w:rPr>
              <w:t xml:space="preserve"> and Pre</w:t>
            </w:r>
            <w:r w:rsidR="00C4794C">
              <w:rPr>
                <w:rFonts w:ascii="Arial" w:hAnsi="Arial" w:cs="Arial"/>
                <w:sz w:val="20"/>
                <w:szCs w:val="20"/>
              </w:rPr>
              <w:t>-</w:t>
            </w:r>
            <w:r w:rsidR="00191C33" w:rsidRPr="00A82323">
              <w:rPr>
                <w:rFonts w:ascii="Arial" w:hAnsi="Arial" w:cs="Arial"/>
                <w:sz w:val="20"/>
                <w:szCs w:val="20"/>
              </w:rPr>
              <w:t>test Results</w:t>
            </w:r>
          </w:p>
        </w:tc>
        <w:tc>
          <w:tcPr>
            <w:tcW w:w="1170" w:type="dxa"/>
            <w:vAlign w:val="center"/>
          </w:tcPr>
          <w:p w14:paraId="5B4DA6A1" w14:textId="310CE4D6" w:rsidR="00191C33" w:rsidRPr="00A82323" w:rsidRDefault="00191C33" w:rsidP="00EF527E">
            <w:pPr>
              <w:tabs>
                <w:tab w:val="left" w:pos="720"/>
              </w:tabs>
              <w:jc w:val="center"/>
              <w:rPr>
                <w:rFonts w:ascii="Arial" w:hAnsi="Arial" w:cs="Arial"/>
                <w:sz w:val="20"/>
                <w:szCs w:val="20"/>
              </w:rPr>
            </w:pPr>
            <w:r w:rsidRPr="00A82323">
              <w:rPr>
                <w:rFonts w:ascii="Arial" w:hAnsi="Arial" w:cs="Arial"/>
                <w:sz w:val="20"/>
                <w:szCs w:val="20"/>
              </w:rPr>
              <w:t>-5.26</w:t>
            </w:r>
          </w:p>
        </w:tc>
        <w:tc>
          <w:tcPr>
            <w:tcW w:w="1194" w:type="dxa"/>
            <w:vAlign w:val="center"/>
          </w:tcPr>
          <w:p w14:paraId="4CFE43AE" w14:textId="0118D76B" w:rsidR="00191C33" w:rsidRPr="00A82323" w:rsidRDefault="003D1BE6" w:rsidP="00EF527E">
            <w:pPr>
              <w:tabs>
                <w:tab w:val="left" w:pos="720"/>
              </w:tabs>
              <w:jc w:val="center"/>
              <w:rPr>
                <w:rFonts w:ascii="Arial" w:hAnsi="Arial" w:cs="Arial"/>
                <w:sz w:val="20"/>
                <w:szCs w:val="20"/>
              </w:rPr>
            </w:pPr>
            <w:r>
              <w:rPr>
                <w:rFonts w:ascii="Arial" w:hAnsi="Arial" w:cs="Arial"/>
                <w:sz w:val="20"/>
                <w:szCs w:val="20"/>
              </w:rPr>
              <w:t>&lt;</w:t>
            </w:r>
            <w:r w:rsidR="00191C33" w:rsidRPr="00A82323">
              <w:rPr>
                <w:rFonts w:ascii="Arial" w:hAnsi="Arial" w:cs="Arial"/>
                <w:sz w:val="20"/>
                <w:szCs w:val="20"/>
              </w:rPr>
              <w:t>0.00</w:t>
            </w:r>
            <w:r>
              <w:rPr>
                <w:rFonts w:ascii="Arial" w:hAnsi="Arial" w:cs="Arial"/>
                <w:sz w:val="20"/>
                <w:szCs w:val="20"/>
              </w:rPr>
              <w:t>1</w:t>
            </w:r>
          </w:p>
        </w:tc>
        <w:tc>
          <w:tcPr>
            <w:tcW w:w="1434" w:type="dxa"/>
            <w:vAlign w:val="center"/>
          </w:tcPr>
          <w:p w14:paraId="51775834" w14:textId="749AF68F" w:rsidR="00191C33" w:rsidRPr="00A82323" w:rsidRDefault="00191C33" w:rsidP="00EF527E">
            <w:pPr>
              <w:tabs>
                <w:tab w:val="left" w:pos="720"/>
              </w:tabs>
              <w:jc w:val="center"/>
              <w:rPr>
                <w:rFonts w:ascii="Arial" w:hAnsi="Arial" w:cs="Arial"/>
                <w:sz w:val="20"/>
                <w:szCs w:val="20"/>
              </w:rPr>
            </w:pPr>
            <w:r w:rsidRPr="00A82323">
              <w:rPr>
                <w:rFonts w:ascii="Arial" w:hAnsi="Arial" w:cs="Arial"/>
                <w:sz w:val="20"/>
                <w:szCs w:val="20"/>
              </w:rPr>
              <w:t>0.0</w:t>
            </w:r>
            <w:r w:rsidR="002D68CB">
              <w:rPr>
                <w:rFonts w:ascii="Arial" w:hAnsi="Arial" w:cs="Arial"/>
                <w:sz w:val="20"/>
                <w:szCs w:val="20"/>
              </w:rPr>
              <w:t>01</w:t>
            </w:r>
          </w:p>
        </w:tc>
        <w:tc>
          <w:tcPr>
            <w:tcW w:w="1530" w:type="dxa"/>
            <w:vAlign w:val="center"/>
          </w:tcPr>
          <w:p w14:paraId="6A7FB59B" w14:textId="77777777" w:rsidR="00191C33" w:rsidRPr="00A82323" w:rsidRDefault="00191C33" w:rsidP="00EF527E">
            <w:pPr>
              <w:tabs>
                <w:tab w:val="left" w:pos="720"/>
              </w:tabs>
              <w:jc w:val="center"/>
              <w:rPr>
                <w:rFonts w:ascii="Arial" w:hAnsi="Arial" w:cs="Arial"/>
                <w:sz w:val="20"/>
                <w:szCs w:val="20"/>
              </w:rPr>
            </w:pPr>
            <w:r w:rsidRPr="00A82323">
              <w:rPr>
                <w:rFonts w:ascii="Arial" w:hAnsi="Arial" w:cs="Arial"/>
                <w:sz w:val="20"/>
                <w:szCs w:val="20"/>
              </w:rPr>
              <w:t>Reject the Null Hypothesis</w:t>
            </w:r>
          </w:p>
        </w:tc>
        <w:tc>
          <w:tcPr>
            <w:tcW w:w="1170" w:type="dxa"/>
            <w:vAlign w:val="center"/>
          </w:tcPr>
          <w:p w14:paraId="7272E1DE" w14:textId="77777777" w:rsidR="002D68CB" w:rsidRDefault="002D68CB" w:rsidP="00EF527E">
            <w:pPr>
              <w:tabs>
                <w:tab w:val="left" w:pos="720"/>
              </w:tabs>
              <w:jc w:val="center"/>
              <w:rPr>
                <w:rFonts w:ascii="Arial" w:hAnsi="Arial" w:cs="Arial"/>
                <w:sz w:val="20"/>
                <w:szCs w:val="20"/>
              </w:rPr>
            </w:pPr>
            <w:r>
              <w:rPr>
                <w:rFonts w:ascii="Arial" w:hAnsi="Arial" w:cs="Arial"/>
                <w:sz w:val="20"/>
                <w:szCs w:val="20"/>
              </w:rPr>
              <w:t xml:space="preserve">Highly </w:t>
            </w:r>
          </w:p>
          <w:p w14:paraId="4066D8AB" w14:textId="120F5D16" w:rsidR="00191C33" w:rsidRPr="00A82323" w:rsidRDefault="00191C33" w:rsidP="00EF527E">
            <w:pPr>
              <w:tabs>
                <w:tab w:val="left" w:pos="720"/>
              </w:tabs>
              <w:jc w:val="center"/>
              <w:rPr>
                <w:rFonts w:ascii="Arial" w:hAnsi="Arial" w:cs="Arial"/>
                <w:sz w:val="20"/>
                <w:szCs w:val="20"/>
              </w:rPr>
            </w:pPr>
            <w:r w:rsidRPr="00A82323">
              <w:rPr>
                <w:rFonts w:ascii="Arial" w:hAnsi="Arial" w:cs="Arial"/>
                <w:sz w:val="20"/>
                <w:szCs w:val="20"/>
              </w:rPr>
              <w:t>Significant</w:t>
            </w:r>
          </w:p>
        </w:tc>
      </w:tr>
    </w:tbl>
    <w:p w14:paraId="6F2FC046" w14:textId="77777777" w:rsidR="00191C33" w:rsidRDefault="00191C33" w:rsidP="00EF527E">
      <w:pPr>
        <w:pStyle w:val="Body"/>
        <w:tabs>
          <w:tab w:val="left" w:pos="720"/>
        </w:tabs>
        <w:spacing w:after="0"/>
        <w:rPr>
          <w:rFonts w:ascii="Arial" w:hAnsi="Arial" w:cs="Arial"/>
        </w:rPr>
      </w:pPr>
    </w:p>
    <w:p w14:paraId="0EFB7B2E" w14:textId="77777777" w:rsidR="00BA32B4" w:rsidRDefault="00BA32B4" w:rsidP="00EF527E">
      <w:pPr>
        <w:pStyle w:val="Body"/>
        <w:tabs>
          <w:tab w:val="left" w:pos="720"/>
        </w:tabs>
        <w:spacing w:after="0"/>
        <w:rPr>
          <w:rFonts w:ascii="Arial" w:hAnsi="Arial" w:cs="Arial"/>
        </w:rPr>
      </w:pPr>
    </w:p>
    <w:p w14:paraId="1970827B" w14:textId="77777777" w:rsidR="00790ADA" w:rsidRPr="00FB3A86" w:rsidRDefault="00790ADA" w:rsidP="00D0659E">
      <w:pPr>
        <w:pStyle w:val="Body"/>
        <w:tabs>
          <w:tab w:val="left" w:pos="720"/>
        </w:tabs>
        <w:spacing w:after="0"/>
        <w:jc w:val="right"/>
        <w:rPr>
          <w:rFonts w:ascii="Arial" w:hAnsi="Arial" w:cs="Arial"/>
        </w:rPr>
      </w:pPr>
    </w:p>
    <w:p w14:paraId="0C4A66CD" w14:textId="77777777" w:rsidR="00B01FCD" w:rsidRDefault="00000F8F" w:rsidP="00EF527E">
      <w:pPr>
        <w:pStyle w:val="ConcHead"/>
        <w:tabs>
          <w:tab w:val="left" w:pos="720"/>
        </w:tabs>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569034" w14:textId="77777777" w:rsidR="00790ADA" w:rsidRPr="00FB3A86" w:rsidRDefault="00790ADA" w:rsidP="00EF527E">
      <w:pPr>
        <w:pStyle w:val="ConcHead"/>
        <w:tabs>
          <w:tab w:val="left" w:pos="720"/>
        </w:tabs>
        <w:spacing w:after="0"/>
        <w:jc w:val="both"/>
        <w:rPr>
          <w:rFonts w:ascii="Arial" w:hAnsi="Arial" w:cs="Arial"/>
        </w:rPr>
      </w:pPr>
    </w:p>
    <w:p w14:paraId="53C601DA" w14:textId="57123006" w:rsidR="008A0E71" w:rsidRPr="008A0E71" w:rsidRDefault="008A0E71" w:rsidP="008A0E71">
      <w:pPr>
        <w:pStyle w:val="Body"/>
        <w:tabs>
          <w:tab w:val="left" w:pos="720"/>
        </w:tabs>
        <w:rPr>
          <w:rFonts w:ascii="Arial" w:hAnsi="Arial" w:cs="Arial"/>
        </w:rPr>
      </w:pPr>
      <w:r w:rsidRPr="008A0E71">
        <w:rPr>
          <w:rFonts w:ascii="Arial" w:hAnsi="Arial" w:cs="Arial"/>
        </w:rPr>
        <w:t>This study confirmed that storytelling through video presentations served as a highly effective pedagogical strategy for enhancing English comprehension skills among Grade 4 learners. While the initial pre-test results revealed a group with average comprehension levels—characterized by notable gaps in vocabulary and concentration among struggling readers—the introduction of the multimedia intervention catalyzed a marked shift in performance. Following the exposure to structured video narratives, the learners demonstrated a substantial improvement in their ability to process, retain, and recall linguistic information. The significant leap in mean scores and the narrowing of performance gaps evidenced that the integration of visual and auditory elements successfully addressed the cognitive bottlenecks often associated with traditional oral storytelling.</w:t>
      </w:r>
    </w:p>
    <w:p w14:paraId="6E41E2EE" w14:textId="77777777" w:rsidR="008A0E71" w:rsidRPr="008A0E71" w:rsidRDefault="008A0E71" w:rsidP="008A0E71">
      <w:pPr>
        <w:pStyle w:val="Body"/>
        <w:tabs>
          <w:tab w:val="left" w:pos="720"/>
        </w:tabs>
        <w:rPr>
          <w:rFonts w:ascii="Arial" w:hAnsi="Arial" w:cs="Arial"/>
        </w:rPr>
      </w:pPr>
      <w:r w:rsidRPr="008A0E71">
        <w:rPr>
          <w:rFonts w:ascii="Arial" w:hAnsi="Arial" w:cs="Arial"/>
        </w:rPr>
        <w:t>The findings highlighted the immense value of multimedia storytelling as a modern tool for language instruction. By combining narrative flow with synchronized visual and auditory cues, the video presentations provided the contextualized input necessary for learners to bridge the gap between unfamiliar words and their meanings. This multimodal approach not only enriched the students' vocabulary but also fostered a higher degree of active listening and sustained attention. Learners became more motivated and engaged, proving that when instructional materials align with the digital habits of the 2023–2024 academic landscape, comprehension outcomes are significantly strengthened.</w:t>
      </w:r>
    </w:p>
    <w:p w14:paraId="70ABC363" w14:textId="77777777" w:rsidR="008A0E71" w:rsidRPr="008A0E71" w:rsidRDefault="008A0E71" w:rsidP="008A0E71">
      <w:pPr>
        <w:pStyle w:val="Body"/>
        <w:tabs>
          <w:tab w:val="left" w:pos="720"/>
        </w:tabs>
        <w:rPr>
          <w:rFonts w:ascii="Arial" w:hAnsi="Arial" w:cs="Arial"/>
        </w:rPr>
      </w:pPr>
    </w:p>
    <w:p w14:paraId="1C37F218" w14:textId="0873A1C8" w:rsidR="00C62CAF" w:rsidRDefault="008A0E71" w:rsidP="008A0E71">
      <w:pPr>
        <w:pStyle w:val="Body"/>
        <w:tabs>
          <w:tab w:val="left" w:pos="720"/>
        </w:tabs>
        <w:spacing w:after="0"/>
        <w:rPr>
          <w:rFonts w:ascii="Arial" w:hAnsi="Arial" w:cs="Arial"/>
        </w:rPr>
      </w:pPr>
      <w:r w:rsidRPr="008A0E71">
        <w:rPr>
          <w:rFonts w:ascii="Arial" w:hAnsi="Arial" w:cs="Arial"/>
        </w:rPr>
        <w:lastRenderedPageBreak/>
        <w:t>Overall, the researcher concluded that integrating storytelling through video presentations into classroom practice could effectively bridge comprehension gaps and support diverse learning needs. This learner-centered approach accommodated various learning styles by providing multiple pathways to understanding, thereby making English instruction more inclusive. The statistical evidence validated this strategy as a powerful intervention for cultivating deeper language skills, suggesting that moving beyond traditional printed media toward interactive, video-based narratives is essential for the evolving educational needs of elementary learners.</w:t>
      </w:r>
    </w:p>
    <w:p w14:paraId="17210083" w14:textId="77777777" w:rsidR="008A0E71" w:rsidRDefault="008A0E71" w:rsidP="008A0E71">
      <w:pPr>
        <w:pStyle w:val="Body"/>
        <w:tabs>
          <w:tab w:val="left" w:pos="720"/>
        </w:tabs>
        <w:spacing w:after="0"/>
        <w:rPr>
          <w:rFonts w:ascii="Arial" w:hAnsi="Arial" w:cs="Arial"/>
        </w:rPr>
      </w:pPr>
    </w:p>
    <w:p w14:paraId="7DFA61EB" w14:textId="62BBC3A1" w:rsidR="00DB5CDB" w:rsidRDefault="00DB5CDB" w:rsidP="00EF527E">
      <w:pPr>
        <w:pStyle w:val="Body"/>
        <w:tabs>
          <w:tab w:val="left" w:pos="720"/>
        </w:tabs>
        <w:spacing w:after="0"/>
        <w:rPr>
          <w:rFonts w:ascii="Arial" w:hAnsi="Arial" w:cs="Arial"/>
          <w:b/>
          <w:caps/>
          <w:sz w:val="22"/>
        </w:rPr>
      </w:pPr>
      <w:r w:rsidRPr="00DB5CDB">
        <w:rPr>
          <w:rFonts w:ascii="Arial" w:hAnsi="Arial" w:cs="Arial"/>
          <w:b/>
          <w:caps/>
          <w:sz w:val="22"/>
        </w:rPr>
        <w:t>RECOMMENDATIONS</w:t>
      </w:r>
    </w:p>
    <w:p w14:paraId="3831428F" w14:textId="77777777" w:rsidR="00AD7BE6" w:rsidRDefault="00AD7BE6" w:rsidP="00EF527E">
      <w:pPr>
        <w:pStyle w:val="Body"/>
        <w:tabs>
          <w:tab w:val="left" w:pos="720"/>
        </w:tabs>
        <w:spacing w:after="0"/>
        <w:rPr>
          <w:rFonts w:ascii="Arial" w:hAnsi="Arial" w:cs="Arial"/>
          <w:b/>
          <w:caps/>
          <w:sz w:val="22"/>
        </w:rPr>
      </w:pPr>
    </w:p>
    <w:p w14:paraId="567543F9" w14:textId="13D6BB4E" w:rsidR="00AD7BE6" w:rsidRDefault="00EF527E" w:rsidP="00EF527E">
      <w:pPr>
        <w:pStyle w:val="Body"/>
        <w:tabs>
          <w:tab w:val="left" w:pos="720"/>
        </w:tabs>
        <w:spacing w:after="0"/>
        <w:rPr>
          <w:rFonts w:ascii="Arial" w:hAnsi="Arial" w:cs="Arial"/>
        </w:rPr>
      </w:pPr>
      <w:r w:rsidRPr="00EF527E">
        <w:rPr>
          <w:rFonts w:ascii="Arial" w:hAnsi="Arial" w:cs="Arial"/>
        </w:rPr>
        <w:t xml:space="preserve">Based on the results of this study, </w:t>
      </w:r>
      <w:r w:rsidR="00AD7BE6">
        <w:rPr>
          <w:rFonts w:ascii="Arial" w:hAnsi="Arial" w:cs="Arial"/>
        </w:rPr>
        <w:t xml:space="preserve">the following suggestions were </w:t>
      </w:r>
      <w:r w:rsidR="00840F85">
        <w:rPr>
          <w:rFonts w:ascii="Arial" w:hAnsi="Arial" w:cs="Arial"/>
        </w:rPr>
        <w:t>made</w:t>
      </w:r>
      <w:r w:rsidR="00AD7BE6">
        <w:rPr>
          <w:rFonts w:ascii="Arial" w:hAnsi="Arial" w:cs="Arial"/>
        </w:rPr>
        <w:t xml:space="preserve">: </w:t>
      </w:r>
    </w:p>
    <w:p w14:paraId="6279F59C" w14:textId="77777777" w:rsidR="00AD7BE6" w:rsidRDefault="00AD7BE6" w:rsidP="00EF527E">
      <w:pPr>
        <w:pStyle w:val="Body"/>
        <w:tabs>
          <w:tab w:val="left" w:pos="720"/>
        </w:tabs>
        <w:spacing w:after="0"/>
        <w:rPr>
          <w:rFonts w:ascii="Arial" w:hAnsi="Arial" w:cs="Arial"/>
        </w:rPr>
      </w:pPr>
    </w:p>
    <w:p w14:paraId="793E6399" w14:textId="77777777" w:rsidR="00840F85" w:rsidRDefault="00AD7BE6" w:rsidP="00EF527E">
      <w:pPr>
        <w:pStyle w:val="Body"/>
        <w:numPr>
          <w:ilvl w:val="0"/>
          <w:numId w:val="31"/>
        </w:numPr>
        <w:tabs>
          <w:tab w:val="left" w:pos="720"/>
        </w:tabs>
        <w:spacing w:after="0"/>
        <w:rPr>
          <w:rFonts w:ascii="Arial" w:hAnsi="Arial" w:cs="Arial"/>
        </w:rPr>
      </w:pPr>
      <w:r>
        <w:rPr>
          <w:rFonts w:ascii="Arial" w:hAnsi="Arial" w:cs="Arial"/>
        </w:rPr>
        <w:t>I</w:t>
      </w:r>
      <w:r w:rsidR="00EF527E" w:rsidRPr="00EF527E">
        <w:rPr>
          <w:rFonts w:ascii="Arial" w:hAnsi="Arial" w:cs="Arial"/>
        </w:rPr>
        <w:t xml:space="preserve">ntegrate storytelling through video presentations into their English instruction to enhance learners’ comprehension skills. This approach provides contextualized input, enriches vocabulary, and fosters active listening, making lessons more engaging and accessible. </w:t>
      </w:r>
    </w:p>
    <w:p w14:paraId="0E80327D" w14:textId="77777777" w:rsidR="00840F85" w:rsidRDefault="00EF527E" w:rsidP="00EF527E">
      <w:pPr>
        <w:pStyle w:val="Body"/>
        <w:numPr>
          <w:ilvl w:val="0"/>
          <w:numId w:val="31"/>
        </w:numPr>
        <w:tabs>
          <w:tab w:val="left" w:pos="720"/>
        </w:tabs>
        <w:spacing w:after="0"/>
        <w:rPr>
          <w:rFonts w:ascii="Arial" w:hAnsi="Arial" w:cs="Arial"/>
        </w:rPr>
      </w:pPr>
      <w:r w:rsidRPr="00840F85">
        <w:rPr>
          <w:rFonts w:ascii="Arial" w:hAnsi="Arial" w:cs="Arial"/>
        </w:rPr>
        <w:t xml:space="preserve">Teachers should also adopt differentiated strategies, offering remedial support such as visual aids and repetition for struggling learners, while providing enrichment activities like extended narratives and creative retelling for advanced learners. </w:t>
      </w:r>
    </w:p>
    <w:p w14:paraId="0CB967EE" w14:textId="77777777" w:rsidR="00840F85" w:rsidRDefault="00EF527E" w:rsidP="00EF527E">
      <w:pPr>
        <w:pStyle w:val="Body"/>
        <w:numPr>
          <w:ilvl w:val="0"/>
          <w:numId w:val="31"/>
        </w:numPr>
        <w:tabs>
          <w:tab w:val="left" w:pos="720"/>
        </w:tabs>
        <w:spacing w:after="0"/>
        <w:rPr>
          <w:rFonts w:ascii="Arial" w:hAnsi="Arial" w:cs="Arial"/>
        </w:rPr>
      </w:pPr>
      <w:r w:rsidRPr="00840F85">
        <w:rPr>
          <w:rFonts w:ascii="Arial" w:hAnsi="Arial" w:cs="Arial"/>
        </w:rPr>
        <w:t xml:space="preserve">Curriculum developers are encouraged to incorporate multimedia storytelling into instructional materials and align these strategies with language learning standards to ensure consistency across grade levels. </w:t>
      </w:r>
    </w:p>
    <w:p w14:paraId="13EAC7A3" w14:textId="77777777" w:rsidR="00840F85" w:rsidRDefault="00EF527E" w:rsidP="00EF527E">
      <w:pPr>
        <w:pStyle w:val="Body"/>
        <w:numPr>
          <w:ilvl w:val="0"/>
          <w:numId w:val="31"/>
        </w:numPr>
        <w:tabs>
          <w:tab w:val="left" w:pos="720"/>
        </w:tabs>
        <w:spacing w:after="0"/>
        <w:rPr>
          <w:rFonts w:ascii="Arial" w:hAnsi="Arial" w:cs="Arial"/>
        </w:rPr>
      </w:pPr>
      <w:r w:rsidRPr="00840F85">
        <w:rPr>
          <w:rFonts w:ascii="Arial" w:hAnsi="Arial" w:cs="Arial"/>
        </w:rPr>
        <w:t xml:space="preserve">School administrators should support teachers by providing training, resources, and access to technology that facilitates video-based instruction, while promoting collaboration among educators to share best practices. </w:t>
      </w:r>
    </w:p>
    <w:p w14:paraId="31B01A95" w14:textId="77777777" w:rsidR="00840F85" w:rsidRDefault="00EF527E" w:rsidP="00EF527E">
      <w:pPr>
        <w:pStyle w:val="Body"/>
        <w:numPr>
          <w:ilvl w:val="0"/>
          <w:numId w:val="31"/>
        </w:numPr>
        <w:tabs>
          <w:tab w:val="left" w:pos="720"/>
        </w:tabs>
        <w:spacing w:after="0"/>
        <w:rPr>
          <w:rFonts w:ascii="Arial" w:hAnsi="Arial" w:cs="Arial"/>
        </w:rPr>
      </w:pPr>
      <w:r w:rsidRPr="00840F85">
        <w:rPr>
          <w:rFonts w:ascii="Arial" w:hAnsi="Arial" w:cs="Arial"/>
        </w:rPr>
        <w:t>Future researchers are advised to explore the long-term effects of video-based storytelling on comprehension and other language skills, investigate its impact across different grade levels and learner groups, and compare its effectiveness with other multimedia strategies.</w:t>
      </w:r>
    </w:p>
    <w:p w14:paraId="63DCA51F" w14:textId="7FA32ADB" w:rsidR="00DB5CDB" w:rsidRPr="00840F85" w:rsidRDefault="00840F85" w:rsidP="00840F85">
      <w:pPr>
        <w:pStyle w:val="Body"/>
        <w:tabs>
          <w:tab w:val="left" w:pos="720"/>
        </w:tabs>
        <w:spacing w:after="0"/>
        <w:ind w:left="720"/>
        <w:rPr>
          <w:rFonts w:ascii="Arial" w:hAnsi="Arial" w:cs="Arial"/>
        </w:rPr>
      </w:pPr>
      <w:r>
        <w:rPr>
          <w:rFonts w:ascii="Arial" w:hAnsi="Arial" w:cs="Arial"/>
        </w:rPr>
        <w:br/>
      </w:r>
    </w:p>
    <w:p w14:paraId="161E8FE7" w14:textId="77777777" w:rsidR="001A29D8" w:rsidRDefault="001A29D8" w:rsidP="00EF527E">
      <w:pPr>
        <w:pStyle w:val="ReferHead"/>
        <w:tabs>
          <w:tab w:val="left" w:pos="720"/>
        </w:tabs>
        <w:spacing w:after="0"/>
        <w:jc w:val="both"/>
        <w:rPr>
          <w:rFonts w:ascii="Arial" w:hAnsi="Arial" w:cs="Arial"/>
          <w:b w:val="0"/>
          <w:caps w:val="0"/>
          <w:sz w:val="20"/>
        </w:rPr>
      </w:pPr>
    </w:p>
    <w:p w14:paraId="2D834CF0" w14:textId="77777777" w:rsidR="005C784C" w:rsidRDefault="005C784C" w:rsidP="00EF527E">
      <w:pPr>
        <w:pStyle w:val="ReferHead"/>
        <w:tabs>
          <w:tab w:val="left" w:pos="720"/>
        </w:tabs>
        <w:spacing w:after="0"/>
        <w:jc w:val="both"/>
        <w:rPr>
          <w:rFonts w:ascii="Arial" w:hAnsi="Arial" w:cs="Arial"/>
          <w:b w:val="0"/>
          <w:caps w:val="0"/>
          <w:sz w:val="20"/>
        </w:rPr>
      </w:pPr>
    </w:p>
    <w:p w14:paraId="212B599F" w14:textId="23ACD319" w:rsidR="005C784C" w:rsidRDefault="005C784C" w:rsidP="00EF527E">
      <w:pPr>
        <w:pStyle w:val="ReferHead"/>
        <w:tabs>
          <w:tab w:val="left" w:pos="720"/>
        </w:tabs>
        <w:spacing w:after="0"/>
        <w:jc w:val="both"/>
        <w:rPr>
          <w:rFonts w:ascii="Arial" w:hAnsi="Arial" w:cs="Arial"/>
          <w:bCs/>
        </w:rPr>
      </w:pPr>
      <w:r>
        <w:rPr>
          <w:rFonts w:ascii="Arial" w:hAnsi="Arial" w:cs="Arial"/>
          <w:bCs/>
        </w:rPr>
        <w:t>Ethical approval</w:t>
      </w:r>
    </w:p>
    <w:p w14:paraId="1719F8B7" w14:textId="77777777" w:rsidR="005C784C" w:rsidRPr="002B685A" w:rsidRDefault="005C784C" w:rsidP="00EF527E">
      <w:pPr>
        <w:pStyle w:val="ReferHead"/>
        <w:tabs>
          <w:tab w:val="left" w:pos="720"/>
        </w:tabs>
        <w:spacing w:after="0"/>
        <w:jc w:val="both"/>
        <w:rPr>
          <w:rFonts w:ascii="Arial" w:hAnsi="Arial" w:cs="Arial"/>
          <w:bCs/>
        </w:rPr>
      </w:pPr>
    </w:p>
    <w:p w14:paraId="71BCA530" w14:textId="694FCC26" w:rsidR="00860000" w:rsidRDefault="008A0E71" w:rsidP="00EF527E">
      <w:pPr>
        <w:pStyle w:val="ReferHead"/>
        <w:tabs>
          <w:tab w:val="left" w:pos="720"/>
        </w:tabs>
        <w:spacing w:after="0"/>
        <w:jc w:val="both"/>
        <w:rPr>
          <w:rFonts w:ascii="Arial" w:hAnsi="Arial" w:cs="Arial"/>
          <w:b w:val="0"/>
          <w:caps w:val="0"/>
          <w:sz w:val="20"/>
        </w:rPr>
      </w:pPr>
      <w:r w:rsidRPr="008A0E71">
        <w:rPr>
          <w:rFonts w:ascii="Arial" w:hAnsi="Arial" w:cs="Arial"/>
          <w:b w:val="0"/>
          <w:caps w:val="0"/>
          <w:sz w:val="20"/>
        </w:rPr>
        <w:t>Prior to the study, the researcher secured formal permission from the school administration of Talisay Elementary School. To protect participant welfare, all learner identities and responses were treated with strict confidentiality, ensuring full anonymity in all reporting. Academic integrity was maintained through the rigorous citation and acknowledgment of all related literature and prior research</w:t>
      </w:r>
      <w:r w:rsidR="00FE05BA" w:rsidRPr="00FE05BA">
        <w:rPr>
          <w:rFonts w:ascii="Arial" w:hAnsi="Arial" w:cs="Arial"/>
          <w:b w:val="0"/>
          <w:caps w:val="0"/>
          <w:sz w:val="20"/>
        </w:rPr>
        <w:t>.</w:t>
      </w:r>
    </w:p>
    <w:p w14:paraId="685413AB" w14:textId="77777777" w:rsidR="00B83D97" w:rsidRDefault="00B83D97" w:rsidP="00EF527E">
      <w:pPr>
        <w:pStyle w:val="ReferHead"/>
        <w:tabs>
          <w:tab w:val="left" w:pos="720"/>
        </w:tabs>
        <w:spacing w:after="0"/>
        <w:jc w:val="both"/>
        <w:rPr>
          <w:rFonts w:ascii="Arial" w:hAnsi="Arial" w:cs="Arial"/>
          <w:b w:val="0"/>
          <w:caps w:val="0"/>
          <w:sz w:val="20"/>
        </w:rPr>
      </w:pPr>
    </w:p>
    <w:p w14:paraId="28617238" w14:textId="77777777" w:rsidR="003F3F95" w:rsidRDefault="003F3F95" w:rsidP="003F3F95">
      <w:pPr>
        <w:rPr>
          <w:b/>
          <w:highlight w:val="yellow"/>
        </w:rPr>
      </w:pPr>
      <w:r w:rsidRPr="00CA3906">
        <w:rPr>
          <w:b/>
          <w:highlight w:val="yellow"/>
        </w:rPr>
        <w:t>Disclaimer (Artificial intelligence)</w:t>
      </w:r>
    </w:p>
    <w:p w14:paraId="57A7297A" w14:textId="77777777" w:rsidR="00B83D97" w:rsidRPr="00CA3906" w:rsidRDefault="00B83D97" w:rsidP="003F3F95">
      <w:pPr>
        <w:rPr>
          <w:b/>
          <w:highlight w:val="yellow"/>
        </w:rPr>
      </w:pPr>
    </w:p>
    <w:p w14:paraId="7EC18958" w14:textId="17936CF5" w:rsidR="00FE05BA" w:rsidRDefault="008A0E71" w:rsidP="00EF527E">
      <w:pPr>
        <w:pStyle w:val="ReferHead"/>
        <w:tabs>
          <w:tab w:val="left" w:pos="720"/>
        </w:tabs>
        <w:spacing w:after="0"/>
        <w:jc w:val="both"/>
        <w:rPr>
          <w:b w:val="0"/>
          <w:caps w:val="0"/>
          <w:sz w:val="20"/>
        </w:rPr>
      </w:pPr>
      <w:r w:rsidRPr="008A0E71">
        <w:rPr>
          <w:b w:val="0"/>
          <w:caps w:val="0"/>
          <w:sz w:val="20"/>
        </w:rPr>
        <w:t>The authors declare the use of generative artificial intelligence and Large Language Models (including Gemini, ChatGPT, and Copilot) for grammar enhancement, paraphrasing, and technical editing. While these technologies were used to refine the manuscript's clarity, the original conceptual framework, data analysis, and final conclusions remain the sole responsibility of the authors.</w:t>
      </w:r>
    </w:p>
    <w:p w14:paraId="43BCDB24" w14:textId="77777777" w:rsidR="008A0E71" w:rsidRDefault="008A0E71" w:rsidP="00EF527E">
      <w:pPr>
        <w:pStyle w:val="ReferHead"/>
        <w:tabs>
          <w:tab w:val="left" w:pos="720"/>
        </w:tabs>
        <w:spacing w:after="0"/>
        <w:jc w:val="both"/>
        <w:rPr>
          <w:b w:val="0"/>
          <w:caps w:val="0"/>
          <w:sz w:val="20"/>
        </w:rPr>
      </w:pPr>
    </w:p>
    <w:p w14:paraId="1E3CE7D4" w14:textId="77777777" w:rsidR="008A0E71" w:rsidRDefault="008A0E71" w:rsidP="00EF527E">
      <w:pPr>
        <w:pStyle w:val="ReferHead"/>
        <w:tabs>
          <w:tab w:val="left" w:pos="720"/>
        </w:tabs>
        <w:spacing w:after="0"/>
        <w:jc w:val="both"/>
        <w:rPr>
          <w:rFonts w:ascii="Arial" w:hAnsi="Arial" w:cs="Arial"/>
        </w:rPr>
      </w:pPr>
    </w:p>
    <w:p w14:paraId="6D1A13BA" w14:textId="77777777" w:rsidR="00B01FCD" w:rsidRDefault="00B01FCD" w:rsidP="00EF527E">
      <w:pPr>
        <w:pStyle w:val="ReferHead"/>
        <w:tabs>
          <w:tab w:val="left" w:pos="720"/>
        </w:tabs>
        <w:spacing w:after="0"/>
        <w:jc w:val="both"/>
        <w:rPr>
          <w:rFonts w:ascii="Arial" w:hAnsi="Arial" w:cs="Arial"/>
        </w:rPr>
      </w:pPr>
      <w:r w:rsidRPr="00FB3A86">
        <w:rPr>
          <w:rFonts w:ascii="Arial" w:hAnsi="Arial" w:cs="Arial"/>
        </w:rPr>
        <w:t>References</w:t>
      </w:r>
    </w:p>
    <w:p w14:paraId="78929A94" w14:textId="77777777" w:rsidR="0046704D" w:rsidRPr="00FC3490" w:rsidRDefault="0046704D" w:rsidP="00D4147C">
      <w:pPr>
        <w:pStyle w:val="Body"/>
        <w:tabs>
          <w:tab w:val="left" w:pos="720"/>
        </w:tabs>
        <w:contextualSpacing/>
        <w:rPr>
          <w:rFonts w:ascii="Arial" w:hAnsi="Arial" w:cs="Arial"/>
        </w:rPr>
      </w:pPr>
    </w:p>
    <w:p w14:paraId="2B410A3E" w14:textId="77777777" w:rsidR="0046704D" w:rsidRDefault="0046704D" w:rsidP="00D4147C">
      <w:pPr>
        <w:pStyle w:val="Body"/>
        <w:tabs>
          <w:tab w:val="left" w:pos="720"/>
        </w:tabs>
        <w:contextualSpacing/>
        <w:rPr>
          <w:rFonts w:ascii="Arial" w:hAnsi="Arial" w:cs="Arial"/>
        </w:rPr>
      </w:pPr>
      <w:r w:rsidRPr="00BC6CFF">
        <w:rPr>
          <w:rFonts w:ascii="Arial" w:hAnsi="Arial" w:cs="Arial"/>
        </w:rPr>
        <w:lastRenderedPageBreak/>
        <w:t xml:space="preserve">Abun, D. (2025). Improving reading comprehension using digital stories for Filipino students. Divine Word International Journal of Management and Humanities, 4(3), 171–185. </w:t>
      </w:r>
      <w:hyperlink r:id="rId14" w:history="1">
        <w:r w:rsidRPr="002452A0">
          <w:rPr>
            <w:rStyle w:val="Hyperlink"/>
            <w:rFonts w:ascii="Arial" w:hAnsi="Arial" w:cs="Arial"/>
          </w:rPr>
          <w:t>https://doi.org/10.62025/DWIJMH.V4I3.171</w:t>
        </w:r>
      </w:hyperlink>
    </w:p>
    <w:p w14:paraId="2CBA2CA6" w14:textId="77777777" w:rsidR="0046704D" w:rsidRDefault="0046704D" w:rsidP="00D4147C">
      <w:pPr>
        <w:pStyle w:val="Body"/>
        <w:tabs>
          <w:tab w:val="left" w:pos="720"/>
        </w:tabs>
        <w:contextualSpacing/>
        <w:rPr>
          <w:rFonts w:ascii="Arial" w:hAnsi="Arial" w:cs="Arial"/>
        </w:rPr>
      </w:pPr>
    </w:p>
    <w:p w14:paraId="7932A458" w14:textId="77777777" w:rsidR="0046704D" w:rsidRDefault="0046704D" w:rsidP="00D4147C">
      <w:pPr>
        <w:pStyle w:val="Body"/>
        <w:tabs>
          <w:tab w:val="left" w:pos="720"/>
        </w:tabs>
        <w:contextualSpacing/>
        <w:rPr>
          <w:rFonts w:ascii="Arial" w:hAnsi="Arial" w:cs="Arial"/>
        </w:rPr>
      </w:pPr>
      <w:proofErr w:type="spellStart"/>
      <w:r w:rsidRPr="00384A33">
        <w:rPr>
          <w:rFonts w:ascii="Arial" w:hAnsi="Arial" w:cs="Arial"/>
        </w:rPr>
        <w:t>Albalawi</w:t>
      </w:r>
      <w:proofErr w:type="spellEnd"/>
      <w:r w:rsidRPr="00384A33">
        <w:rPr>
          <w:rFonts w:ascii="Arial" w:hAnsi="Arial" w:cs="Arial"/>
        </w:rPr>
        <w:t xml:space="preserve">, F. (2021). The effect of digital storytelling on EFL learners’ vocabulary and comprehension. International Journal of English Language Education, 9(2), 45–60. </w:t>
      </w:r>
      <w:hyperlink r:id="rId15" w:history="1">
        <w:r w:rsidRPr="002452A0">
          <w:rPr>
            <w:rStyle w:val="Hyperlink"/>
            <w:rFonts w:ascii="Arial" w:hAnsi="Arial" w:cs="Arial"/>
          </w:rPr>
          <w:t>https://doi.org/10.5296/ijele.v9i2.18765</w:t>
        </w:r>
      </w:hyperlink>
    </w:p>
    <w:p w14:paraId="35203D65" w14:textId="77777777" w:rsidR="0046704D" w:rsidRDefault="0046704D" w:rsidP="00D4147C">
      <w:pPr>
        <w:pStyle w:val="Body"/>
        <w:tabs>
          <w:tab w:val="left" w:pos="720"/>
        </w:tabs>
        <w:contextualSpacing/>
        <w:rPr>
          <w:rFonts w:ascii="Arial" w:hAnsi="Arial" w:cs="Arial"/>
        </w:rPr>
      </w:pPr>
    </w:p>
    <w:p w14:paraId="26D7AA2C" w14:textId="77777777" w:rsidR="0046704D" w:rsidRDefault="0046704D" w:rsidP="00D4147C">
      <w:pPr>
        <w:pStyle w:val="Body"/>
        <w:tabs>
          <w:tab w:val="left" w:pos="720"/>
        </w:tabs>
        <w:spacing w:after="0"/>
        <w:contextualSpacing/>
        <w:rPr>
          <w:rFonts w:ascii="Arial" w:hAnsi="Arial" w:cs="Arial"/>
        </w:rPr>
      </w:pPr>
      <w:r w:rsidRPr="00FC3490">
        <w:rPr>
          <w:rFonts w:ascii="Arial" w:hAnsi="Arial" w:cs="Arial"/>
        </w:rPr>
        <w:t xml:space="preserve">Alshammari, R. (2023). The impact of multimedia storytelling on EFL learners’ comprehension and motivation. International Journal of Instruction, 16(2), 345–360. </w:t>
      </w:r>
      <w:hyperlink r:id="rId16" w:history="1">
        <w:r w:rsidRPr="002452A0">
          <w:rPr>
            <w:rStyle w:val="Hyperlink"/>
            <w:rFonts w:ascii="Arial" w:hAnsi="Arial" w:cs="Arial"/>
          </w:rPr>
          <w:t>https://doi.org/10.29333/iji.2023.16219a</w:t>
        </w:r>
      </w:hyperlink>
    </w:p>
    <w:p w14:paraId="679FC9A0" w14:textId="77777777" w:rsidR="0046704D" w:rsidRDefault="0046704D" w:rsidP="00D4147C">
      <w:pPr>
        <w:pStyle w:val="Body"/>
        <w:tabs>
          <w:tab w:val="left" w:pos="720"/>
        </w:tabs>
        <w:spacing w:after="0"/>
        <w:contextualSpacing/>
        <w:rPr>
          <w:rFonts w:ascii="Arial" w:hAnsi="Arial" w:cs="Arial"/>
        </w:rPr>
      </w:pPr>
    </w:p>
    <w:p w14:paraId="3AA82A88" w14:textId="77777777" w:rsidR="0046704D" w:rsidRDefault="0046704D" w:rsidP="00D4147C">
      <w:pPr>
        <w:pStyle w:val="Body"/>
        <w:tabs>
          <w:tab w:val="left" w:pos="720"/>
        </w:tabs>
        <w:contextualSpacing/>
        <w:rPr>
          <w:rFonts w:ascii="Arial" w:hAnsi="Arial" w:cs="Arial"/>
        </w:rPr>
      </w:pPr>
      <w:r w:rsidRPr="00E4225A">
        <w:rPr>
          <w:rFonts w:ascii="Arial" w:hAnsi="Arial" w:cs="Arial"/>
        </w:rPr>
        <w:t xml:space="preserve">Bond, M., Buntins, K., Bedenlier, S., Zawacki-Richter, O., &amp; </w:t>
      </w:r>
      <w:proofErr w:type="spellStart"/>
      <w:r w:rsidRPr="00E4225A">
        <w:rPr>
          <w:rFonts w:ascii="Arial" w:hAnsi="Arial" w:cs="Arial"/>
        </w:rPr>
        <w:t>Kerres</w:t>
      </w:r>
      <w:proofErr w:type="spellEnd"/>
      <w:r w:rsidRPr="00E4225A">
        <w:rPr>
          <w:rFonts w:ascii="Arial" w:hAnsi="Arial" w:cs="Arial"/>
        </w:rPr>
        <w:t xml:space="preserve">, M. (2020). Mapping research in student engagement and educational technology in higher education: a systematic evidence map. International Journal of Educational Technology in Higher Education, 17(1). </w:t>
      </w:r>
      <w:hyperlink r:id="rId17" w:history="1">
        <w:r w:rsidRPr="002452A0">
          <w:rPr>
            <w:rStyle w:val="Hyperlink"/>
            <w:rFonts w:ascii="Arial" w:hAnsi="Arial" w:cs="Arial"/>
          </w:rPr>
          <w:t>https://doi.org/10.1186/s41239-019-0176-8</w:t>
        </w:r>
      </w:hyperlink>
    </w:p>
    <w:p w14:paraId="3128468E" w14:textId="77777777" w:rsidR="0046704D" w:rsidRDefault="0046704D" w:rsidP="00D4147C">
      <w:pPr>
        <w:pStyle w:val="Body"/>
        <w:tabs>
          <w:tab w:val="left" w:pos="720"/>
        </w:tabs>
        <w:contextualSpacing/>
        <w:rPr>
          <w:rFonts w:ascii="Arial" w:hAnsi="Arial" w:cs="Arial"/>
        </w:rPr>
      </w:pPr>
    </w:p>
    <w:p w14:paraId="6074875C" w14:textId="77777777" w:rsidR="0046704D" w:rsidRDefault="0046704D" w:rsidP="00D4147C">
      <w:pPr>
        <w:pStyle w:val="Body"/>
        <w:tabs>
          <w:tab w:val="left" w:pos="720"/>
        </w:tabs>
        <w:contextualSpacing/>
        <w:rPr>
          <w:rFonts w:ascii="Arial" w:hAnsi="Arial" w:cs="Arial"/>
        </w:rPr>
      </w:pPr>
      <w:r w:rsidRPr="00B3293A">
        <w:rPr>
          <w:rFonts w:ascii="Arial" w:hAnsi="Arial" w:cs="Arial"/>
        </w:rPr>
        <w:t>Bruner, J. (1991). The narrative construction of reality. Critical Inquiry, 18(1), 1–21.</w:t>
      </w:r>
    </w:p>
    <w:p w14:paraId="4D7E4AAA" w14:textId="77777777" w:rsidR="0046704D" w:rsidRDefault="0046704D" w:rsidP="00D4147C">
      <w:pPr>
        <w:pStyle w:val="Body"/>
        <w:tabs>
          <w:tab w:val="left" w:pos="720"/>
        </w:tabs>
        <w:contextualSpacing/>
        <w:rPr>
          <w:rFonts w:ascii="Arial" w:hAnsi="Arial" w:cs="Arial"/>
        </w:rPr>
      </w:pPr>
    </w:p>
    <w:p w14:paraId="7179BA19" w14:textId="77777777" w:rsidR="0046704D" w:rsidRDefault="0046704D" w:rsidP="00D4147C">
      <w:pPr>
        <w:pStyle w:val="Body"/>
        <w:tabs>
          <w:tab w:val="left" w:pos="720"/>
        </w:tabs>
        <w:contextualSpacing/>
        <w:rPr>
          <w:rFonts w:ascii="Arial" w:hAnsi="Arial" w:cs="Arial"/>
        </w:rPr>
      </w:pPr>
      <w:r w:rsidRPr="009C49C8">
        <w:rPr>
          <w:rFonts w:ascii="Arial" w:hAnsi="Arial" w:cs="Arial"/>
        </w:rPr>
        <w:t xml:space="preserve">Chen, B., Wang, Y., &amp; Wang, L. (2022). The Effects of Virtual Reality-Assisted Language Learning: A Meta-Analysis. Sustainability, 14(6), 3147. </w:t>
      </w:r>
      <w:hyperlink r:id="rId18" w:history="1">
        <w:r w:rsidRPr="002452A0">
          <w:rPr>
            <w:rStyle w:val="Hyperlink"/>
            <w:rFonts w:ascii="Arial" w:hAnsi="Arial" w:cs="Arial"/>
          </w:rPr>
          <w:t>https://doi.org/10.3390/su14063147</w:t>
        </w:r>
      </w:hyperlink>
    </w:p>
    <w:p w14:paraId="1C7EB916" w14:textId="77777777" w:rsidR="0046704D" w:rsidRDefault="0046704D" w:rsidP="00D4147C">
      <w:pPr>
        <w:pStyle w:val="Body"/>
        <w:tabs>
          <w:tab w:val="left" w:pos="720"/>
        </w:tabs>
        <w:contextualSpacing/>
        <w:rPr>
          <w:rFonts w:ascii="Arial" w:hAnsi="Arial" w:cs="Arial"/>
        </w:rPr>
      </w:pPr>
    </w:p>
    <w:p w14:paraId="65E53D94" w14:textId="77777777" w:rsidR="0046704D" w:rsidRDefault="0046704D" w:rsidP="00D4147C">
      <w:pPr>
        <w:pStyle w:val="Body"/>
        <w:tabs>
          <w:tab w:val="left" w:pos="720"/>
        </w:tabs>
        <w:contextualSpacing/>
        <w:rPr>
          <w:rFonts w:ascii="Arial" w:hAnsi="Arial" w:cs="Arial"/>
        </w:rPr>
      </w:pPr>
      <w:proofErr w:type="spellStart"/>
      <w:r w:rsidRPr="00D4147C">
        <w:rPr>
          <w:rFonts w:ascii="Arial" w:hAnsi="Arial" w:cs="Arial"/>
        </w:rPr>
        <w:t>Curammeng</w:t>
      </w:r>
      <w:proofErr w:type="spellEnd"/>
      <w:r w:rsidRPr="00D4147C">
        <w:rPr>
          <w:rFonts w:ascii="Arial" w:hAnsi="Arial" w:cs="Arial"/>
        </w:rPr>
        <w:t xml:space="preserve">, E., &amp; Adviento, U. M. (2025). Improving reading comprehension using digital stories for Filipino students: A literature review. Divine Word International Journal of Management and Humanities (DWIJMH) (ISSN 2980-4817), 4(3), 1990–2004. </w:t>
      </w:r>
      <w:hyperlink r:id="rId19" w:history="1">
        <w:r w:rsidRPr="002452A0">
          <w:rPr>
            <w:rStyle w:val="Hyperlink"/>
            <w:rFonts w:ascii="Arial" w:hAnsi="Arial" w:cs="Arial"/>
          </w:rPr>
          <w:t>https://doi.org/10.62025/dwijmh.v4i3.171</w:t>
        </w:r>
      </w:hyperlink>
      <w:r w:rsidRPr="00B3293A">
        <w:rPr>
          <w:rFonts w:ascii="Arial" w:hAnsi="Arial" w:cs="Arial"/>
        </w:rPr>
        <w:t xml:space="preserve"> </w:t>
      </w:r>
    </w:p>
    <w:p w14:paraId="5432A9D6" w14:textId="77777777" w:rsidR="0046704D" w:rsidRDefault="0046704D" w:rsidP="00D4147C">
      <w:pPr>
        <w:pStyle w:val="Body"/>
        <w:tabs>
          <w:tab w:val="left" w:pos="720"/>
        </w:tabs>
        <w:contextualSpacing/>
        <w:rPr>
          <w:rFonts w:ascii="Arial" w:hAnsi="Arial" w:cs="Arial"/>
        </w:rPr>
      </w:pPr>
    </w:p>
    <w:p w14:paraId="26783135" w14:textId="77777777" w:rsidR="0046704D" w:rsidRDefault="0046704D" w:rsidP="00D4147C">
      <w:pPr>
        <w:pStyle w:val="Body"/>
        <w:tabs>
          <w:tab w:val="left" w:pos="720"/>
        </w:tabs>
        <w:contextualSpacing/>
        <w:rPr>
          <w:rFonts w:ascii="Arial" w:hAnsi="Arial" w:cs="Arial"/>
        </w:rPr>
      </w:pPr>
      <w:r w:rsidRPr="00B3293A">
        <w:rPr>
          <w:rFonts w:ascii="Arial" w:hAnsi="Arial" w:cs="Arial"/>
        </w:rPr>
        <w:t>Haven, K. (2007). Story proof: The science behind the startling power of story. Westport, CT: Libraries Unlimited.</w:t>
      </w:r>
    </w:p>
    <w:p w14:paraId="15A99EFA" w14:textId="77777777" w:rsidR="0046704D" w:rsidRDefault="0046704D" w:rsidP="00D4147C">
      <w:pPr>
        <w:pStyle w:val="Body"/>
        <w:tabs>
          <w:tab w:val="left" w:pos="720"/>
        </w:tabs>
        <w:contextualSpacing/>
        <w:rPr>
          <w:rFonts w:ascii="Arial" w:hAnsi="Arial" w:cs="Arial"/>
        </w:rPr>
      </w:pPr>
    </w:p>
    <w:p w14:paraId="6C047AF2" w14:textId="77777777" w:rsidR="0046704D" w:rsidRDefault="0046704D" w:rsidP="00D4147C">
      <w:pPr>
        <w:pStyle w:val="Body"/>
        <w:tabs>
          <w:tab w:val="left" w:pos="720"/>
        </w:tabs>
        <w:contextualSpacing/>
        <w:rPr>
          <w:rFonts w:ascii="Arial" w:hAnsi="Arial" w:cs="Arial"/>
        </w:rPr>
      </w:pPr>
      <w:proofErr w:type="spellStart"/>
      <w:r w:rsidRPr="00565026">
        <w:rPr>
          <w:rFonts w:ascii="Arial" w:hAnsi="Arial" w:cs="Arial"/>
        </w:rPr>
        <w:t>Kabaran</w:t>
      </w:r>
      <w:proofErr w:type="spellEnd"/>
      <w:r w:rsidRPr="00565026">
        <w:rPr>
          <w:rFonts w:ascii="Arial" w:hAnsi="Arial" w:cs="Arial"/>
        </w:rPr>
        <w:t xml:space="preserve">, G. G., &amp; Duman, B. (2021). The effect of Digital Storytelling Method on learning and study strategies. International Journal of Technology in Education, 4(4), 681–694. </w:t>
      </w:r>
      <w:hyperlink r:id="rId20" w:history="1">
        <w:r w:rsidRPr="002452A0">
          <w:rPr>
            <w:rStyle w:val="Hyperlink"/>
            <w:rFonts w:ascii="Arial" w:hAnsi="Arial" w:cs="Arial"/>
          </w:rPr>
          <w:t>https://doi.org/10.46328/ijte.83</w:t>
        </w:r>
      </w:hyperlink>
    </w:p>
    <w:p w14:paraId="30364E78" w14:textId="77777777" w:rsidR="0046704D" w:rsidRDefault="0046704D" w:rsidP="00D4147C">
      <w:pPr>
        <w:pStyle w:val="Body"/>
        <w:tabs>
          <w:tab w:val="left" w:pos="720"/>
        </w:tabs>
        <w:contextualSpacing/>
        <w:rPr>
          <w:rFonts w:ascii="Arial" w:hAnsi="Arial" w:cs="Arial"/>
        </w:rPr>
      </w:pPr>
    </w:p>
    <w:p w14:paraId="02ED74B4" w14:textId="77777777" w:rsidR="0046704D" w:rsidRDefault="0046704D" w:rsidP="00D4147C">
      <w:pPr>
        <w:pStyle w:val="Body"/>
        <w:tabs>
          <w:tab w:val="left" w:pos="720"/>
        </w:tabs>
        <w:contextualSpacing/>
        <w:rPr>
          <w:rFonts w:ascii="Arial" w:hAnsi="Arial" w:cs="Arial"/>
        </w:rPr>
      </w:pPr>
      <w:r w:rsidRPr="0046704D">
        <w:rPr>
          <w:rFonts w:ascii="Arial" w:hAnsi="Arial" w:cs="Arial"/>
        </w:rPr>
        <w:t xml:space="preserve">La Bertha Santoso, A., Ginting, D., &amp; Yulianto, W. E. (2023). THE EFFECTS OF STORYTELLING TEACHING STYLE ON ELEMENTARY STUDENTS’ READING COMPREHENSION. Journal of English Educational Study (JEES), 6(2), 132–141. </w:t>
      </w:r>
      <w:hyperlink r:id="rId21" w:history="1">
        <w:r w:rsidRPr="002452A0">
          <w:rPr>
            <w:rStyle w:val="Hyperlink"/>
            <w:rFonts w:ascii="Arial" w:hAnsi="Arial" w:cs="Arial"/>
          </w:rPr>
          <w:t>https://doi.org/10.31932/jees.v6i2.2472</w:t>
        </w:r>
      </w:hyperlink>
    </w:p>
    <w:p w14:paraId="627A4DA5" w14:textId="77777777" w:rsidR="0046704D" w:rsidRDefault="0046704D" w:rsidP="00D4147C">
      <w:pPr>
        <w:pStyle w:val="Body"/>
        <w:tabs>
          <w:tab w:val="left" w:pos="720"/>
        </w:tabs>
        <w:contextualSpacing/>
        <w:rPr>
          <w:rFonts w:ascii="Arial" w:hAnsi="Arial" w:cs="Arial"/>
        </w:rPr>
      </w:pPr>
    </w:p>
    <w:p w14:paraId="6AA2C852" w14:textId="77777777" w:rsidR="0046704D" w:rsidRDefault="0046704D" w:rsidP="00D4147C">
      <w:pPr>
        <w:pStyle w:val="Body"/>
        <w:tabs>
          <w:tab w:val="left" w:pos="720"/>
        </w:tabs>
        <w:contextualSpacing/>
        <w:rPr>
          <w:rFonts w:ascii="Arial" w:hAnsi="Arial" w:cs="Arial"/>
        </w:rPr>
      </w:pPr>
      <w:proofErr w:type="spellStart"/>
      <w:r w:rsidRPr="00216E5F">
        <w:rPr>
          <w:rFonts w:ascii="Arial" w:hAnsi="Arial" w:cs="Arial"/>
        </w:rPr>
        <w:t>Labador</w:t>
      </w:r>
      <w:proofErr w:type="spellEnd"/>
      <w:r w:rsidRPr="00216E5F">
        <w:rPr>
          <w:rFonts w:ascii="Arial" w:hAnsi="Arial" w:cs="Arial"/>
        </w:rPr>
        <w:t xml:space="preserve">, G. S. &amp; Western Leyte College. (2025). Effectiveness of interactive storytelling techniques and materials in early literacy skills of kindergarten learners. In INTERNATIONAL JOURNAL OF ADVANCED MULTIDISCIPLINARY STUDIES: Vol. V (Issue 3) [Journal-article]. </w:t>
      </w:r>
      <w:hyperlink r:id="rId22" w:history="1">
        <w:r w:rsidRPr="002452A0">
          <w:rPr>
            <w:rStyle w:val="Hyperlink"/>
            <w:rFonts w:ascii="Arial" w:hAnsi="Arial" w:cs="Arial"/>
          </w:rPr>
          <w:t>https://www.ijams-bbp.net/wp-content/uploads/2025/04/GELYN-S.-LABADOR.pdf</w:t>
        </w:r>
      </w:hyperlink>
    </w:p>
    <w:p w14:paraId="21392744" w14:textId="77777777" w:rsidR="0046704D" w:rsidRDefault="0046704D" w:rsidP="00D4147C">
      <w:pPr>
        <w:pStyle w:val="Body"/>
        <w:tabs>
          <w:tab w:val="left" w:pos="720"/>
        </w:tabs>
        <w:contextualSpacing/>
        <w:rPr>
          <w:rFonts w:ascii="Arial" w:hAnsi="Arial" w:cs="Arial"/>
        </w:rPr>
      </w:pPr>
    </w:p>
    <w:p w14:paraId="01EBF512" w14:textId="77777777" w:rsidR="0046704D" w:rsidRDefault="0046704D" w:rsidP="00D4147C">
      <w:pPr>
        <w:pStyle w:val="Body"/>
        <w:tabs>
          <w:tab w:val="left" w:pos="720"/>
        </w:tabs>
        <w:contextualSpacing/>
        <w:rPr>
          <w:rFonts w:ascii="Arial" w:hAnsi="Arial" w:cs="Arial"/>
        </w:rPr>
      </w:pPr>
      <w:r w:rsidRPr="00565026">
        <w:rPr>
          <w:rFonts w:ascii="Arial" w:hAnsi="Arial" w:cs="Arial"/>
        </w:rPr>
        <w:t xml:space="preserve">Lenhart, J., Lenhard, W., </w:t>
      </w:r>
      <w:proofErr w:type="spellStart"/>
      <w:r w:rsidRPr="00565026">
        <w:rPr>
          <w:rFonts w:ascii="Arial" w:hAnsi="Arial" w:cs="Arial"/>
        </w:rPr>
        <w:t>Vaahtoranta</w:t>
      </w:r>
      <w:proofErr w:type="spellEnd"/>
      <w:r w:rsidRPr="00565026">
        <w:rPr>
          <w:rFonts w:ascii="Arial" w:hAnsi="Arial" w:cs="Arial"/>
        </w:rPr>
        <w:t xml:space="preserve">, E., &amp; </w:t>
      </w:r>
      <w:proofErr w:type="spellStart"/>
      <w:r w:rsidRPr="00565026">
        <w:rPr>
          <w:rFonts w:ascii="Arial" w:hAnsi="Arial" w:cs="Arial"/>
        </w:rPr>
        <w:t>Suggate</w:t>
      </w:r>
      <w:proofErr w:type="spellEnd"/>
      <w:r w:rsidRPr="00565026">
        <w:rPr>
          <w:rFonts w:ascii="Arial" w:hAnsi="Arial" w:cs="Arial"/>
        </w:rPr>
        <w:t xml:space="preserve">, S. (2020). More than words: Narrator engagement during storytelling increases children’s word learning, story comprehension, and on-task behavior. Early Childhood Research Quarterly, 51, 338–351. </w:t>
      </w:r>
      <w:hyperlink r:id="rId23" w:history="1">
        <w:r w:rsidRPr="002452A0">
          <w:rPr>
            <w:rStyle w:val="Hyperlink"/>
            <w:rFonts w:ascii="Arial" w:hAnsi="Arial" w:cs="Arial"/>
          </w:rPr>
          <w:t>https://doi.org/10.1016/j.ecresq.2019.12.009</w:t>
        </w:r>
      </w:hyperlink>
    </w:p>
    <w:p w14:paraId="3A884C86" w14:textId="77777777" w:rsidR="0046704D" w:rsidRDefault="0046704D" w:rsidP="00D4147C">
      <w:pPr>
        <w:pStyle w:val="Body"/>
        <w:tabs>
          <w:tab w:val="left" w:pos="720"/>
        </w:tabs>
        <w:contextualSpacing/>
        <w:rPr>
          <w:rFonts w:ascii="Arial" w:hAnsi="Arial" w:cs="Arial"/>
        </w:rPr>
      </w:pPr>
    </w:p>
    <w:p w14:paraId="542560A5" w14:textId="77777777" w:rsidR="0046704D" w:rsidRDefault="0046704D" w:rsidP="00D4147C">
      <w:pPr>
        <w:pStyle w:val="Body"/>
        <w:tabs>
          <w:tab w:val="left" w:pos="720"/>
        </w:tabs>
        <w:contextualSpacing/>
        <w:rPr>
          <w:rFonts w:ascii="Arial" w:hAnsi="Arial" w:cs="Arial"/>
        </w:rPr>
      </w:pPr>
      <w:r w:rsidRPr="00785E80">
        <w:rPr>
          <w:rFonts w:ascii="Arial" w:hAnsi="Arial" w:cs="Arial"/>
        </w:rPr>
        <w:t xml:space="preserve">Lenhart, Jan, Wolfgang Lenhard, Enni Vaahtoranta, and Sebastian Suggate. 2020. “More than Words: Narrator Engagement during Storytelling Increases Children’s </w:t>
      </w:r>
      <w:proofErr w:type="spellStart"/>
      <w:r w:rsidRPr="00785E80">
        <w:rPr>
          <w:rFonts w:ascii="Arial" w:hAnsi="Arial" w:cs="Arial"/>
        </w:rPr>
        <w:t>Word</w:t>
      </w:r>
      <w:proofErr w:type="spellEnd"/>
      <w:r w:rsidRPr="00785E80">
        <w:rPr>
          <w:rFonts w:ascii="Arial" w:hAnsi="Arial" w:cs="Arial"/>
        </w:rPr>
        <w:t xml:space="preserve"> Learning, Story Comprehension, and on-Task Behavior.” Early Childhood Research Quarterly 51 (January):338–51. </w:t>
      </w:r>
      <w:hyperlink r:id="rId24" w:history="1">
        <w:r w:rsidRPr="002452A0">
          <w:rPr>
            <w:rStyle w:val="Hyperlink"/>
            <w:rFonts w:ascii="Arial" w:hAnsi="Arial" w:cs="Arial"/>
          </w:rPr>
          <w:t>https://doi.org/10.1016/j.ecresq.2019.12.009</w:t>
        </w:r>
      </w:hyperlink>
      <w:r w:rsidRPr="00785E80">
        <w:rPr>
          <w:rFonts w:ascii="Arial" w:hAnsi="Arial" w:cs="Arial"/>
        </w:rPr>
        <w:t>.</w:t>
      </w:r>
    </w:p>
    <w:p w14:paraId="406EB0F0" w14:textId="77777777" w:rsidR="0046704D" w:rsidRDefault="0046704D" w:rsidP="00D4147C">
      <w:pPr>
        <w:pStyle w:val="Body"/>
        <w:tabs>
          <w:tab w:val="left" w:pos="720"/>
        </w:tabs>
        <w:contextualSpacing/>
        <w:rPr>
          <w:rFonts w:ascii="Arial" w:hAnsi="Arial" w:cs="Arial"/>
        </w:rPr>
      </w:pPr>
    </w:p>
    <w:p w14:paraId="38F9811F" w14:textId="77777777" w:rsidR="0046704D" w:rsidRDefault="0046704D" w:rsidP="00D4147C">
      <w:pPr>
        <w:pStyle w:val="Body"/>
        <w:tabs>
          <w:tab w:val="left" w:pos="720"/>
        </w:tabs>
        <w:contextualSpacing/>
        <w:rPr>
          <w:rFonts w:ascii="Arial" w:hAnsi="Arial" w:cs="Arial"/>
        </w:rPr>
      </w:pPr>
      <w:r w:rsidRPr="00B3293A">
        <w:rPr>
          <w:rFonts w:ascii="Arial" w:hAnsi="Arial" w:cs="Arial"/>
        </w:rPr>
        <w:t>Mayer, R. E. (2009). Multimedia learning (2nd ed.). Cambridge University Press.</w:t>
      </w:r>
    </w:p>
    <w:p w14:paraId="72F80626" w14:textId="77777777" w:rsidR="0046704D" w:rsidRPr="00B3293A" w:rsidRDefault="0046704D" w:rsidP="00D4147C">
      <w:pPr>
        <w:pStyle w:val="Body"/>
        <w:tabs>
          <w:tab w:val="left" w:pos="720"/>
        </w:tabs>
        <w:contextualSpacing/>
        <w:rPr>
          <w:rFonts w:ascii="Arial" w:hAnsi="Arial" w:cs="Arial"/>
        </w:rPr>
      </w:pPr>
    </w:p>
    <w:p w14:paraId="56DB514F" w14:textId="77777777" w:rsidR="0046704D" w:rsidRDefault="0046704D" w:rsidP="00D4147C">
      <w:pPr>
        <w:pStyle w:val="Body"/>
        <w:tabs>
          <w:tab w:val="left" w:pos="720"/>
        </w:tabs>
        <w:contextualSpacing/>
        <w:rPr>
          <w:rFonts w:ascii="Arial" w:hAnsi="Arial" w:cs="Arial"/>
        </w:rPr>
      </w:pPr>
      <w:r w:rsidRPr="004C0E5B">
        <w:rPr>
          <w:rFonts w:ascii="Arial" w:hAnsi="Arial" w:cs="Arial"/>
        </w:rPr>
        <w:t xml:space="preserve">Nobis, M. (2021). Digital Literacy of Mathematics Teachers in State Universities </w:t>
      </w:r>
      <w:proofErr w:type="spellStart"/>
      <w:r w:rsidRPr="004C0E5B">
        <w:rPr>
          <w:rFonts w:ascii="Arial" w:hAnsi="Arial" w:cs="Arial"/>
        </w:rPr>
        <w:t>andColleges</w:t>
      </w:r>
      <w:proofErr w:type="spellEnd"/>
      <w:r w:rsidRPr="004C0E5B">
        <w:rPr>
          <w:rFonts w:ascii="Arial" w:hAnsi="Arial" w:cs="Arial"/>
        </w:rPr>
        <w:t xml:space="preserve"> (SUCs). Asian Journal Of Research In Education And Social Sciences, 3(2),99–113. Retrieved from</w:t>
      </w:r>
      <w:r>
        <w:rPr>
          <w:rFonts w:ascii="Arial" w:hAnsi="Arial" w:cs="Arial"/>
        </w:rPr>
        <w:t xml:space="preserve"> </w:t>
      </w:r>
      <w:hyperlink r:id="rId25" w:history="1">
        <w:r w:rsidRPr="002452A0">
          <w:rPr>
            <w:rStyle w:val="Hyperlink"/>
            <w:rFonts w:ascii="Arial" w:hAnsi="Arial" w:cs="Arial"/>
          </w:rPr>
          <w:t>https://myjms.mohe.gov.my/index.php/ajress/article/view/14083</w:t>
        </w:r>
      </w:hyperlink>
    </w:p>
    <w:p w14:paraId="7D154345" w14:textId="77777777" w:rsidR="0046704D" w:rsidRDefault="0046704D" w:rsidP="00D4147C">
      <w:pPr>
        <w:pStyle w:val="Body"/>
        <w:tabs>
          <w:tab w:val="left" w:pos="720"/>
        </w:tabs>
        <w:contextualSpacing/>
        <w:rPr>
          <w:rFonts w:ascii="Arial" w:hAnsi="Arial" w:cs="Arial"/>
        </w:rPr>
      </w:pPr>
    </w:p>
    <w:p w14:paraId="36CB35BE" w14:textId="77777777" w:rsidR="0046704D" w:rsidRDefault="0046704D" w:rsidP="00D4147C">
      <w:pPr>
        <w:pStyle w:val="Body"/>
        <w:tabs>
          <w:tab w:val="left" w:pos="720"/>
        </w:tabs>
        <w:contextualSpacing/>
        <w:rPr>
          <w:rFonts w:ascii="Arial" w:hAnsi="Arial" w:cs="Arial"/>
        </w:rPr>
      </w:pPr>
      <w:r w:rsidRPr="007A5CB8">
        <w:rPr>
          <w:rFonts w:ascii="Arial" w:hAnsi="Arial" w:cs="Arial"/>
        </w:rPr>
        <w:t xml:space="preserve">Nobis, M., Jr, </w:t>
      </w:r>
      <w:proofErr w:type="spellStart"/>
      <w:r w:rsidRPr="007A5CB8">
        <w:rPr>
          <w:rFonts w:ascii="Arial" w:hAnsi="Arial" w:cs="Arial"/>
        </w:rPr>
        <w:t>Ballado</w:t>
      </w:r>
      <w:proofErr w:type="spellEnd"/>
      <w:r w:rsidRPr="007A5CB8">
        <w:rPr>
          <w:rFonts w:ascii="Arial" w:hAnsi="Arial" w:cs="Arial"/>
        </w:rPr>
        <w:t xml:space="preserve">, R., &amp; Froilan, C. (2024). Blended learning in higher education: Unveiling student experiences, challenges, and opportunities for policy development. </w:t>
      </w:r>
      <w:proofErr w:type="spellStart"/>
      <w:r w:rsidRPr="007A5CB8">
        <w:rPr>
          <w:rFonts w:ascii="Arial" w:hAnsi="Arial" w:cs="Arial"/>
        </w:rPr>
        <w:t>SciEnggJ</w:t>
      </w:r>
      <w:proofErr w:type="spellEnd"/>
      <w:r w:rsidRPr="007A5CB8">
        <w:rPr>
          <w:rFonts w:ascii="Arial" w:hAnsi="Arial" w:cs="Arial"/>
        </w:rPr>
        <w:t xml:space="preserve">, 17(2), 274–285. </w:t>
      </w:r>
      <w:hyperlink r:id="rId26" w:history="1">
        <w:r w:rsidRPr="002452A0">
          <w:rPr>
            <w:rStyle w:val="Hyperlink"/>
            <w:rFonts w:ascii="Arial" w:hAnsi="Arial" w:cs="Arial"/>
          </w:rPr>
          <w:t>https://doi.org/10.54645/2024172knw-65</w:t>
        </w:r>
      </w:hyperlink>
    </w:p>
    <w:p w14:paraId="2CD97F09" w14:textId="77777777" w:rsidR="0046704D" w:rsidRDefault="0046704D" w:rsidP="00D4147C">
      <w:pPr>
        <w:pStyle w:val="Body"/>
        <w:tabs>
          <w:tab w:val="left" w:pos="720"/>
        </w:tabs>
        <w:contextualSpacing/>
        <w:rPr>
          <w:rFonts w:ascii="Arial" w:hAnsi="Arial" w:cs="Arial"/>
        </w:rPr>
      </w:pPr>
      <w:r w:rsidRPr="00B3293A">
        <w:rPr>
          <w:rFonts w:ascii="Arial" w:hAnsi="Arial" w:cs="Arial"/>
        </w:rPr>
        <w:t>Paivio, A. (1986). Mental representations: A dual coding approach. Oxford University Press.</w:t>
      </w:r>
    </w:p>
    <w:p w14:paraId="408BB959" w14:textId="77777777" w:rsidR="0046704D" w:rsidRDefault="0046704D" w:rsidP="00D4147C">
      <w:pPr>
        <w:pStyle w:val="Body"/>
        <w:tabs>
          <w:tab w:val="left" w:pos="720"/>
        </w:tabs>
        <w:contextualSpacing/>
        <w:rPr>
          <w:rFonts w:ascii="Arial" w:hAnsi="Arial" w:cs="Arial"/>
        </w:rPr>
      </w:pPr>
    </w:p>
    <w:p w14:paraId="2EEB3AE9" w14:textId="77777777" w:rsidR="0046704D" w:rsidRDefault="0046704D" w:rsidP="00D4147C">
      <w:pPr>
        <w:pStyle w:val="Body"/>
        <w:tabs>
          <w:tab w:val="left" w:pos="720"/>
        </w:tabs>
        <w:contextualSpacing/>
        <w:rPr>
          <w:rFonts w:ascii="Arial" w:hAnsi="Arial" w:cs="Arial"/>
        </w:rPr>
      </w:pPr>
      <w:r w:rsidRPr="005D2941">
        <w:rPr>
          <w:rFonts w:ascii="Arial" w:hAnsi="Arial" w:cs="Arial"/>
        </w:rPr>
        <w:t xml:space="preserve">Pala, Cherry Ann and Nobis, Jr., Martin and Lagrimas, Danica, Exploration of Chatbots in Mathematics Education for Innovative Learning Process (May 12, 2025). Available at SSRN: https://ssrn.com/abstract=5257912 or </w:t>
      </w:r>
      <w:hyperlink r:id="rId27" w:history="1">
        <w:r w:rsidRPr="002452A0">
          <w:rPr>
            <w:rStyle w:val="Hyperlink"/>
            <w:rFonts w:ascii="Arial" w:hAnsi="Arial" w:cs="Arial"/>
          </w:rPr>
          <w:t>http://dx.doi.org/10.2139/ssrn.5257912</w:t>
        </w:r>
      </w:hyperlink>
    </w:p>
    <w:p w14:paraId="4080D6FF" w14:textId="77777777" w:rsidR="0046704D" w:rsidRDefault="0046704D" w:rsidP="00D4147C">
      <w:pPr>
        <w:pStyle w:val="Body"/>
        <w:tabs>
          <w:tab w:val="left" w:pos="720"/>
        </w:tabs>
        <w:contextualSpacing/>
        <w:rPr>
          <w:rFonts w:ascii="Arial" w:hAnsi="Arial" w:cs="Arial"/>
        </w:rPr>
      </w:pPr>
    </w:p>
    <w:p w14:paraId="113FD0CB" w14:textId="77777777" w:rsidR="0046704D" w:rsidRDefault="0046704D" w:rsidP="00D4147C">
      <w:pPr>
        <w:pStyle w:val="Body"/>
        <w:tabs>
          <w:tab w:val="left" w:pos="720"/>
        </w:tabs>
        <w:contextualSpacing/>
        <w:rPr>
          <w:rFonts w:ascii="Arial" w:hAnsi="Arial" w:cs="Arial"/>
        </w:rPr>
      </w:pPr>
      <w:r w:rsidRPr="00565026">
        <w:rPr>
          <w:rFonts w:ascii="Arial" w:hAnsi="Arial" w:cs="Arial"/>
        </w:rPr>
        <w:t xml:space="preserve">Purnama, S., Ulfah, M., Ramadani, L., Rahmatullah, B., &amp; Ahmad, I. F. (2022). Digital Storytelling Trends in Early Childhood Education in Indonesia: A Systematic literature review. JPUD - </w:t>
      </w:r>
      <w:proofErr w:type="spellStart"/>
      <w:r w:rsidRPr="00565026">
        <w:rPr>
          <w:rFonts w:ascii="Arial" w:hAnsi="Arial" w:cs="Arial"/>
        </w:rPr>
        <w:t>Jurnal</w:t>
      </w:r>
      <w:proofErr w:type="spellEnd"/>
      <w:r w:rsidRPr="00565026">
        <w:rPr>
          <w:rFonts w:ascii="Arial" w:hAnsi="Arial" w:cs="Arial"/>
        </w:rPr>
        <w:t xml:space="preserve"> Pendidikan </w:t>
      </w:r>
      <w:proofErr w:type="spellStart"/>
      <w:r w:rsidRPr="00565026">
        <w:rPr>
          <w:rFonts w:ascii="Arial" w:hAnsi="Arial" w:cs="Arial"/>
        </w:rPr>
        <w:t>Usia</w:t>
      </w:r>
      <w:proofErr w:type="spellEnd"/>
      <w:r w:rsidRPr="00565026">
        <w:rPr>
          <w:rFonts w:ascii="Arial" w:hAnsi="Arial" w:cs="Arial"/>
        </w:rPr>
        <w:t xml:space="preserve"> Dini, 16(1), 17–31. </w:t>
      </w:r>
      <w:hyperlink r:id="rId28" w:history="1">
        <w:r w:rsidRPr="002452A0">
          <w:rPr>
            <w:rStyle w:val="Hyperlink"/>
            <w:rFonts w:ascii="Arial" w:hAnsi="Arial" w:cs="Arial"/>
          </w:rPr>
          <w:t>https://doi.org/10.21009/jpud.161.02</w:t>
        </w:r>
      </w:hyperlink>
    </w:p>
    <w:p w14:paraId="76077374" w14:textId="77777777" w:rsidR="0046704D" w:rsidRDefault="0046704D" w:rsidP="00D4147C">
      <w:pPr>
        <w:pStyle w:val="Body"/>
        <w:tabs>
          <w:tab w:val="left" w:pos="720"/>
        </w:tabs>
        <w:contextualSpacing/>
        <w:rPr>
          <w:rFonts w:ascii="Arial" w:hAnsi="Arial" w:cs="Arial"/>
        </w:rPr>
      </w:pPr>
    </w:p>
    <w:p w14:paraId="5839AE8C" w14:textId="77777777" w:rsidR="0046704D" w:rsidRDefault="0046704D" w:rsidP="00D4147C">
      <w:pPr>
        <w:pStyle w:val="Body"/>
        <w:tabs>
          <w:tab w:val="left" w:pos="720"/>
        </w:tabs>
        <w:contextualSpacing/>
        <w:rPr>
          <w:rFonts w:ascii="Arial" w:hAnsi="Arial" w:cs="Arial"/>
        </w:rPr>
      </w:pPr>
      <w:r w:rsidRPr="00751823">
        <w:rPr>
          <w:rFonts w:ascii="Arial" w:hAnsi="Arial" w:cs="Arial"/>
        </w:rPr>
        <w:t xml:space="preserve">Rahiem, M. D. H. (2021). Storytelling in early childhood education: Time to go digital. International Journal of Child Care and Education Policy/International Journal of Child Care and Education, 15(1). </w:t>
      </w:r>
      <w:hyperlink r:id="rId29" w:history="1">
        <w:r w:rsidRPr="002452A0">
          <w:rPr>
            <w:rStyle w:val="Hyperlink"/>
            <w:rFonts w:ascii="Arial" w:hAnsi="Arial" w:cs="Arial"/>
          </w:rPr>
          <w:t>https://doi.org/10.1186/s40723-021-00081-x</w:t>
        </w:r>
      </w:hyperlink>
    </w:p>
    <w:p w14:paraId="5633125F" w14:textId="77777777" w:rsidR="0046704D" w:rsidRDefault="0046704D" w:rsidP="00D4147C">
      <w:pPr>
        <w:pStyle w:val="Body"/>
        <w:tabs>
          <w:tab w:val="left" w:pos="720"/>
        </w:tabs>
        <w:contextualSpacing/>
        <w:rPr>
          <w:rFonts w:ascii="Arial" w:hAnsi="Arial" w:cs="Arial"/>
        </w:rPr>
      </w:pPr>
    </w:p>
    <w:p w14:paraId="37EA108B" w14:textId="77777777" w:rsidR="0046704D" w:rsidRDefault="0046704D" w:rsidP="00D4147C">
      <w:pPr>
        <w:pStyle w:val="Body"/>
        <w:tabs>
          <w:tab w:val="left" w:pos="720"/>
        </w:tabs>
        <w:contextualSpacing/>
        <w:rPr>
          <w:rFonts w:ascii="Arial" w:hAnsi="Arial" w:cs="Arial"/>
        </w:rPr>
      </w:pPr>
      <w:r w:rsidRPr="00EF57E1">
        <w:rPr>
          <w:rFonts w:ascii="Arial" w:hAnsi="Arial" w:cs="Arial"/>
        </w:rPr>
        <w:t xml:space="preserve">Rajendran, T., &amp; Yunus, M. M. (2021). A Systematic Literature Review on the use of Mobile-assisted Language Learning (MALL) for Enhancing Speaking Skills among ESL and EFL Learners. International Journal of Academic Research in Progressive Education and Development, 10(1). </w:t>
      </w:r>
      <w:hyperlink r:id="rId30" w:history="1">
        <w:r w:rsidRPr="002452A0">
          <w:rPr>
            <w:rStyle w:val="Hyperlink"/>
            <w:rFonts w:ascii="Arial" w:hAnsi="Arial" w:cs="Arial"/>
          </w:rPr>
          <w:t>https://doi.org/10.6007/ijarped/v10-i1/8939</w:t>
        </w:r>
      </w:hyperlink>
    </w:p>
    <w:p w14:paraId="16095633" w14:textId="77777777" w:rsidR="0046704D" w:rsidRDefault="0046704D" w:rsidP="00D4147C">
      <w:pPr>
        <w:pStyle w:val="Body"/>
        <w:tabs>
          <w:tab w:val="left" w:pos="720"/>
        </w:tabs>
        <w:contextualSpacing/>
        <w:rPr>
          <w:rFonts w:ascii="Arial" w:hAnsi="Arial" w:cs="Arial"/>
        </w:rPr>
      </w:pPr>
    </w:p>
    <w:p w14:paraId="29897C9D" w14:textId="77777777" w:rsidR="0046704D" w:rsidRPr="00B3293A" w:rsidRDefault="0046704D" w:rsidP="00D4147C">
      <w:pPr>
        <w:pStyle w:val="Body"/>
        <w:tabs>
          <w:tab w:val="left" w:pos="720"/>
        </w:tabs>
        <w:contextualSpacing/>
        <w:rPr>
          <w:rFonts w:ascii="Arial" w:hAnsi="Arial" w:cs="Arial"/>
        </w:rPr>
      </w:pPr>
      <w:proofErr w:type="spellStart"/>
      <w:r w:rsidRPr="000415B5">
        <w:rPr>
          <w:rFonts w:ascii="Arial" w:hAnsi="Arial" w:cs="Arial"/>
        </w:rPr>
        <w:t>Risonar</w:t>
      </w:r>
      <w:proofErr w:type="spellEnd"/>
      <w:r w:rsidRPr="000415B5">
        <w:rPr>
          <w:rFonts w:ascii="Arial" w:hAnsi="Arial" w:cs="Arial"/>
        </w:rPr>
        <w:t xml:space="preserve">, C. J., </w:t>
      </w:r>
      <w:proofErr w:type="spellStart"/>
      <w:r w:rsidRPr="000415B5">
        <w:rPr>
          <w:rFonts w:ascii="Arial" w:hAnsi="Arial" w:cs="Arial"/>
        </w:rPr>
        <w:t>Digamon</w:t>
      </w:r>
      <w:proofErr w:type="spellEnd"/>
      <w:r w:rsidRPr="000415B5">
        <w:rPr>
          <w:rFonts w:ascii="Arial" w:hAnsi="Arial" w:cs="Arial"/>
        </w:rPr>
        <w:t xml:space="preserve">, J., De La Peña, J., &amp; Delima, R. R. (2021). Story Retelling (SR) technique in improving reading comprehension of Sixth-Graders. JPAIR Multidisciplinary Research, 45(1). </w:t>
      </w:r>
      <w:hyperlink r:id="rId31" w:history="1">
        <w:r w:rsidRPr="002452A0">
          <w:rPr>
            <w:rStyle w:val="Hyperlink"/>
            <w:rFonts w:ascii="Arial" w:hAnsi="Arial" w:cs="Arial"/>
          </w:rPr>
          <w:t>https://doi.org/10.7719/jpair.v45i1.696</w:t>
        </w:r>
      </w:hyperlink>
      <w:r w:rsidRPr="00775203">
        <w:rPr>
          <w:rFonts w:ascii="Arial" w:hAnsi="Arial" w:cs="Arial"/>
        </w:rPr>
        <w:t>41. https://doi.org/10.31932/jees.v6i2.2472</w:t>
      </w:r>
    </w:p>
    <w:p w14:paraId="7DA8E8CF" w14:textId="77777777" w:rsidR="007A5CB8" w:rsidRDefault="007A5CB8" w:rsidP="00D4147C">
      <w:pPr>
        <w:pStyle w:val="Body"/>
        <w:tabs>
          <w:tab w:val="left" w:pos="720"/>
        </w:tabs>
        <w:contextualSpacing/>
        <w:rPr>
          <w:rFonts w:ascii="Arial" w:hAnsi="Arial" w:cs="Arial"/>
        </w:rPr>
      </w:pPr>
    </w:p>
    <w:p w14:paraId="4C778D89" w14:textId="77777777" w:rsidR="00E0291F" w:rsidRDefault="00E0291F" w:rsidP="00D4147C">
      <w:pPr>
        <w:pStyle w:val="Body"/>
        <w:tabs>
          <w:tab w:val="left" w:pos="720"/>
        </w:tabs>
        <w:contextualSpacing/>
        <w:rPr>
          <w:rFonts w:ascii="Arial" w:hAnsi="Arial" w:cs="Arial"/>
        </w:rPr>
      </w:pPr>
    </w:p>
    <w:p w14:paraId="08CAE3D9" w14:textId="77777777" w:rsidR="00E0291F" w:rsidRDefault="00E0291F" w:rsidP="00D4147C">
      <w:pPr>
        <w:pStyle w:val="Body"/>
        <w:tabs>
          <w:tab w:val="left" w:pos="720"/>
        </w:tabs>
        <w:contextualSpacing/>
        <w:rPr>
          <w:rFonts w:ascii="Arial" w:hAnsi="Arial" w:cs="Arial"/>
        </w:rPr>
      </w:pPr>
    </w:p>
    <w:p w14:paraId="178F4C21" w14:textId="77777777" w:rsidR="00B01FCD" w:rsidRPr="00FB3A86" w:rsidRDefault="00B01FCD" w:rsidP="00D4147C">
      <w:pPr>
        <w:pStyle w:val="Appendix"/>
        <w:tabs>
          <w:tab w:val="left" w:pos="720"/>
        </w:tabs>
        <w:spacing w:after="0"/>
        <w:contextualSpacing/>
        <w:jc w:val="both"/>
        <w:rPr>
          <w:rFonts w:ascii="Arial" w:hAnsi="Arial" w:cs="Arial"/>
          <w:b w:val="0"/>
        </w:rPr>
      </w:pPr>
    </w:p>
    <w:sectPr w:rsidR="00B01FCD" w:rsidRPr="00FB3A86" w:rsidSect="006B6AF3">
      <w:headerReference w:type="even" r:id="rId32"/>
      <w:headerReference w:type="default" r:id="rId33"/>
      <w:footerReference w:type="default" r:id="rId34"/>
      <w:headerReference w:type="first" r:id="rId35"/>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C899" w14:textId="77777777" w:rsidR="001C60C7" w:rsidRDefault="001C60C7" w:rsidP="00C37E61">
      <w:r>
        <w:separator/>
      </w:r>
    </w:p>
  </w:endnote>
  <w:endnote w:type="continuationSeparator" w:id="0">
    <w:p w14:paraId="572E5102" w14:textId="77777777" w:rsidR="001C60C7" w:rsidRDefault="001C60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170A" w14:textId="77777777" w:rsidR="006B6AF3" w:rsidRDefault="006B6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1751" w14:textId="77777777" w:rsidR="006B6AF3" w:rsidRDefault="006B6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FE64" w14:textId="77777777" w:rsidR="009E048A" w:rsidRDefault="009E048A">
    <w:pPr>
      <w:pStyle w:val="Footer"/>
      <w:rPr>
        <w:rFonts w:ascii="Arial" w:hAnsi="Arial" w:cs="Arial"/>
        <w:sz w:val="16"/>
      </w:rPr>
    </w:pPr>
  </w:p>
  <w:p w14:paraId="088408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48512D" w14:textId="77777777" w:rsidR="009E048A" w:rsidRDefault="009E048A">
    <w:pPr>
      <w:pStyle w:val="Footer"/>
      <w:rPr>
        <w:rFonts w:ascii="Arial" w:hAnsi="Arial" w:cs="Arial"/>
        <w:sz w:val="16"/>
      </w:rPr>
    </w:pPr>
  </w:p>
  <w:p w14:paraId="0D5F0A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30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0F56" w14:textId="77777777" w:rsidR="001C60C7" w:rsidRDefault="001C60C7" w:rsidP="00C37E61">
      <w:r>
        <w:separator/>
      </w:r>
    </w:p>
  </w:footnote>
  <w:footnote w:type="continuationSeparator" w:id="0">
    <w:p w14:paraId="5F222D31" w14:textId="77777777" w:rsidR="001C60C7" w:rsidRDefault="001C60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5B40" w14:textId="11818FF4" w:rsidR="006B6AF3" w:rsidRDefault="00000000">
    <w:pPr>
      <w:pStyle w:val="Header"/>
    </w:pPr>
    <w:r>
      <w:rPr>
        <w:noProof/>
      </w:rPr>
      <w:pict w14:anchorId="0A8E5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384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5959" w14:textId="38D77433" w:rsidR="006B6AF3" w:rsidRDefault="00000000">
    <w:pPr>
      <w:pStyle w:val="Header"/>
    </w:pPr>
    <w:r>
      <w:rPr>
        <w:noProof/>
      </w:rPr>
      <w:pict w14:anchorId="29EB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384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5F26" w14:textId="56E64A05" w:rsidR="00296529" w:rsidRPr="00296529" w:rsidRDefault="00000000" w:rsidP="00296529">
    <w:pPr>
      <w:ind w:left="2160"/>
      <w:jc w:val="center"/>
      <w:rPr>
        <w:rFonts w:ascii="Times New Roman" w:eastAsia="Calibri" w:hAnsi="Times New Roman"/>
        <w:i/>
        <w:sz w:val="18"/>
        <w:szCs w:val="22"/>
      </w:rPr>
    </w:pPr>
    <w:r>
      <w:rPr>
        <w:noProof/>
      </w:rPr>
      <w:pict w14:anchorId="04CA1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384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97E73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8EA5A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754A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C8A22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0222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EB36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8830" w14:textId="7528E79E" w:rsidR="006B6AF3" w:rsidRDefault="00000000">
    <w:pPr>
      <w:pStyle w:val="Header"/>
    </w:pPr>
    <w:r>
      <w:rPr>
        <w:noProof/>
      </w:rPr>
      <w:pict w14:anchorId="70C29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3845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C586" w14:textId="1C5B8B6D" w:rsidR="006B6AF3" w:rsidRDefault="00000000">
    <w:pPr>
      <w:pStyle w:val="Header"/>
    </w:pPr>
    <w:r>
      <w:rPr>
        <w:noProof/>
      </w:rPr>
      <w:pict w14:anchorId="2A586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3845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CA0B" w14:textId="208D47A1" w:rsidR="006B6AF3" w:rsidRDefault="00000000">
    <w:pPr>
      <w:pStyle w:val="Header"/>
    </w:pPr>
    <w:r>
      <w:rPr>
        <w:noProof/>
      </w:rPr>
      <w:pict w14:anchorId="2914D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3845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002B8B"/>
    <w:multiLevelType w:val="hybridMultilevel"/>
    <w:tmpl w:val="A2FE5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550154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9063938">
    <w:abstractNumId w:val="16"/>
  </w:num>
  <w:num w:numId="3" w16cid:durableId="113335114">
    <w:abstractNumId w:val="24"/>
  </w:num>
  <w:num w:numId="4" w16cid:durableId="148558896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33531437">
    <w:abstractNumId w:val="7"/>
  </w:num>
  <w:num w:numId="6" w16cid:durableId="2034528701">
    <w:abstractNumId w:val="6"/>
  </w:num>
  <w:num w:numId="7" w16cid:durableId="908732569">
    <w:abstractNumId w:val="1"/>
  </w:num>
  <w:num w:numId="8" w16cid:durableId="1423840310">
    <w:abstractNumId w:val="12"/>
  </w:num>
  <w:num w:numId="9" w16cid:durableId="282229076">
    <w:abstractNumId w:val="26"/>
  </w:num>
  <w:num w:numId="10" w16cid:durableId="1253663100">
    <w:abstractNumId w:val="2"/>
  </w:num>
  <w:num w:numId="11" w16cid:durableId="921567287">
    <w:abstractNumId w:val="19"/>
  </w:num>
  <w:num w:numId="12" w16cid:durableId="487476014">
    <w:abstractNumId w:val="3"/>
  </w:num>
  <w:num w:numId="13" w16cid:durableId="90273826">
    <w:abstractNumId w:val="18"/>
  </w:num>
  <w:num w:numId="14" w16cid:durableId="1952592788">
    <w:abstractNumId w:val="8"/>
  </w:num>
  <w:num w:numId="15" w16cid:durableId="1857770009">
    <w:abstractNumId w:val="22"/>
  </w:num>
  <w:num w:numId="16" w16cid:durableId="1262255547">
    <w:abstractNumId w:val="5"/>
  </w:num>
  <w:num w:numId="17" w16cid:durableId="100999321">
    <w:abstractNumId w:val="23"/>
  </w:num>
  <w:num w:numId="18" w16cid:durableId="1855342457">
    <w:abstractNumId w:val="14"/>
  </w:num>
  <w:num w:numId="19" w16cid:durableId="1157767351">
    <w:abstractNumId w:val="29"/>
  </w:num>
  <w:num w:numId="20" w16cid:durableId="2121752854">
    <w:abstractNumId w:val="11"/>
  </w:num>
  <w:num w:numId="21" w16cid:durableId="874194866">
    <w:abstractNumId w:val="9"/>
  </w:num>
  <w:num w:numId="22" w16cid:durableId="1565990755">
    <w:abstractNumId w:val="13"/>
  </w:num>
  <w:num w:numId="23" w16cid:durableId="1807897239">
    <w:abstractNumId w:val="20"/>
  </w:num>
  <w:num w:numId="24" w16cid:durableId="199170392">
    <w:abstractNumId w:val="27"/>
  </w:num>
  <w:num w:numId="25" w16cid:durableId="1705207439">
    <w:abstractNumId w:val="4"/>
  </w:num>
  <w:num w:numId="26" w16cid:durableId="2138645913">
    <w:abstractNumId w:val="17"/>
  </w:num>
  <w:num w:numId="27" w16cid:durableId="1470366544">
    <w:abstractNumId w:val="21"/>
  </w:num>
  <w:num w:numId="28" w16cid:durableId="202520541">
    <w:abstractNumId w:val="28"/>
  </w:num>
  <w:num w:numId="29" w16cid:durableId="1821578808">
    <w:abstractNumId w:val="25"/>
  </w:num>
  <w:num w:numId="30" w16cid:durableId="1027297344">
    <w:abstractNumId w:val="10"/>
  </w:num>
  <w:num w:numId="31" w16cid:durableId="84615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xNTQxMbAwNjAwNzBX0lEKTi0uzszPAykwqgUA6D50IywAAAA="/>
  </w:docVars>
  <w:rsids>
    <w:rsidRoot w:val="00AA6219"/>
    <w:rsid w:val="00000F8F"/>
    <w:rsid w:val="00030174"/>
    <w:rsid w:val="000415B5"/>
    <w:rsid w:val="0004579C"/>
    <w:rsid w:val="000560FA"/>
    <w:rsid w:val="00064EFF"/>
    <w:rsid w:val="000A47FA"/>
    <w:rsid w:val="000A65D3"/>
    <w:rsid w:val="000A6CDB"/>
    <w:rsid w:val="000B1E33"/>
    <w:rsid w:val="000D689F"/>
    <w:rsid w:val="000E7B7B"/>
    <w:rsid w:val="000E7D62"/>
    <w:rsid w:val="00103357"/>
    <w:rsid w:val="00123C9F"/>
    <w:rsid w:val="00126190"/>
    <w:rsid w:val="00130F17"/>
    <w:rsid w:val="001320BF"/>
    <w:rsid w:val="00150B3B"/>
    <w:rsid w:val="00163BC4"/>
    <w:rsid w:val="00191062"/>
    <w:rsid w:val="00191C33"/>
    <w:rsid w:val="00192B72"/>
    <w:rsid w:val="0019538D"/>
    <w:rsid w:val="001A06F2"/>
    <w:rsid w:val="001A29D8"/>
    <w:rsid w:val="001A5CAA"/>
    <w:rsid w:val="001B0427"/>
    <w:rsid w:val="001B161D"/>
    <w:rsid w:val="001C60C7"/>
    <w:rsid w:val="001D3A51"/>
    <w:rsid w:val="001E10D2"/>
    <w:rsid w:val="001E25B4"/>
    <w:rsid w:val="001E44FE"/>
    <w:rsid w:val="00200595"/>
    <w:rsid w:val="00204835"/>
    <w:rsid w:val="00216E5F"/>
    <w:rsid w:val="00231920"/>
    <w:rsid w:val="0023195C"/>
    <w:rsid w:val="00241812"/>
    <w:rsid w:val="0024282C"/>
    <w:rsid w:val="002460DC"/>
    <w:rsid w:val="00250985"/>
    <w:rsid w:val="002556F6"/>
    <w:rsid w:val="00283105"/>
    <w:rsid w:val="00284C4C"/>
    <w:rsid w:val="00287E68"/>
    <w:rsid w:val="00296529"/>
    <w:rsid w:val="00297482"/>
    <w:rsid w:val="002B27FB"/>
    <w:rsid w:val="002B685A"/>
    <w:rsid w:val="002C0AD3"/>
    <w:rsid w:val="002C57D2"/>
    <w:rsid w:val="002D68CB"/>
    <w:rsid w:val="002E0D56"/>
    <w:rsid w:val="00315186"/>
    <w:rsid w:val="0033343E"/>
    <w:rsid w:val="003512C2"/>
    <w:rsid w:val="00371FB6"/>
    <w:rsid w:val="003763C1"/>
    <w:rsid w:val="00376BBE"/>
    <w:rsid w:val="00384A33"/>
    <w:rsid w:val="0039224F"/>
    <w:rsid w:val="003A43A4"/>
    <w:rsid w:val="003A7E18"/>
    <w:rsid w:val="003B7E13"/>
    <w:rsid w:val="003C20AD"/>
    <w:rsid w:val="003C4C86"/>
    <w:rsid w:val="003C50F7"/>
    <w:rsid w:val="003C6258"/>
    <w:rsid w:val="003D1BE6"/>
    <w:rsid w:val="003D216F"/>
    <w:rsid w:val="003E2904"/>
    <w:rsid w:val="003E2FFE"/>
    <w:rsid w:val="003F3F95"/>
    <w:rsid w:val="00401927"/>
    <w:rsid w:val="0041027F"/>
    <w:rsid w:val="00412475"/>
    <w:rsid w:val="00423789"/>
    <w:rsid w:val="0043006A"/>
    <w:rsid w:val="00440F43"/>
    <w:rsid w:val="00441B6F"/>
    <w:rsid w:val="00442ECC"/>
    <w:rsid w:val="00446221"/>
    <w:rsid w:val="00450E62"/>
    <w:rsid w:val="004539DB"/>
    <w:rsid w:val="004613E1"/>
    <w:rsid w:val="0046704D"/>
    <w:rsid w:val="00471A80"/>
    <w:rsid w:val="004C0E5B"/>
    <w:rsid w:val="004D305E"/>
    <w:rsid w:val="004D4277"/>
    <w:rsid w:val="004E077A"/>
    <w:rsid w:val="004F5433"/>
    <w:rsid w:val="00502516"/>
    <w:rsid w:val="00505F06"/>
    <w:rsid w:val="00506828"/>
    <w:rsid w:val="0053056E"/>
    <w:rsid w:val="00540982"/>
    <w:rsid w:val="00554FDA"/>
    <w:rsid w:val="00556A35"/>
    <w:rsid w:val="00565026"/>
    <w:rsid w:val="005676C6"/>
    <w:rsid w:val="005C784C"/>
    <w:rsid w:val="005D17F6"/>
    <w:rsid w:val="005D2941"/>
    <w:rsid w:val="005E182F"/>
    <w:rsid w:val="005E5539"/>
    <w:rsid w:val="006014FC"/>
    <w:rsid w:val="00602BF5"/>
    <w:rsid w:val="0061733C"/>
    <w:rsid w:val="00617FDD"/>
    <w:rsid w:val="00633614"/>
    <w:rsid w:val="00633F68"/>
    <w:rsid w:val="00636EB2"/>
    <w:rsid w:val="006375B8"/>
    <w:rsid w:val="00640D81"/>
    <w:rsid w:val="0066510A"/>
    <w:rsid w:val="00672FF5"/>
    <w:rsid w:val="00673F9F"/>
    <w:rsid w:val="00686953"/>
    <w:rsid w:val="00687DEA"/>
    <w:rsid w:val="00687E67"/>
    <w:rsid w:val="006967F7"/>
    <w:rsid w:val="006A250C"/>
    <w:rsid w:val="006B21D3"/>
    <w:rsid w:val="006B57D0"/>
    <w:rsid w:val="006B6AF3"/>
    <w:rsid w:val="006C5ED2"/>
    <w:rsid w:val="006D30FF"/>
    <w:rsid w:val="006D6940"/>
    <w:rsid w:val="006F11EC"/>
    <w:rsid w:val="0070082C"/>
    <w:rsid w:val="007369E6"/>
    <w:rsid w:val="00746E59"/>
    <w:rsid w:val="00751823"/>
    <w:rsid w:val="00754C9A"/>
    <w:rsid w:val="0075599A"/>
    <w:rsid w:val="00761D52"/>
    <w:rsid w:val="00775203"/>
    <w:rsid w:val="007766C0"/>
    <w:rsid w:val="0077749E"/>
    <w:rsid w:val="007824D2"/>
    <w:rsid w:val="00785E80"/>
    <w:rsid w:val="00790ADA"/>
    <w:rsid w:val="007A0F57"/>
    <w:rsid w:val="007A289A"/>
    <w:rsid w:val="007A5CB8"/>
    <w:rsid w:val="007D2288"/>
    <w:rsid w:val="007E088F"/>
    <w:rsid w:val="007F43C4"/>
    <w:rsid w:val="007F7B32"/>
    <w:rsid w:val="00804BC2"/>
    <w:rsid w:val="00807066"/>
    <w:rsid w:val="0081431A"/>
    <w:rsid w:val="0083216F"/>
    <w:rsid w:val="00840F85"/>
    <w:rsid w:val="00841E25"/>
    <w:rsid w:val="00860000"/>
    <w:rsid w:val="00860D16"/>
    <w:rsid w:val="00863BD3"/>
    <w:rsid w:val="008641ED"/>
    <w:rsid w:val="00866D66"/>
    <w:rsid w:val="008671C6"/>
    <w:rsid w:val="00875803"/>
    <w:rsid w:val="008A0E71"/>
    <w:rsid w:val="008B459E"/>
    <w:rsid w:val="008B7A3E"/>
    <w:rsid w:val="008E13AE"/>
    <w:rsid w:val="008E1506"/>
    <w:rsid w:val="008E710C"/>
    <w:rsid w:val="008F69D6"/>
    <w:rsid w:val="0090014F"/>
    <w:rsid w:val="00902823"/>
    <w:rsid w:val="00915CA6"/>
    <w:rsid w:val="00927834"/>
    <w:rsid w:val="0093367D"/>
    <w:rsid w:val="009500A6"/>
    <w:rsid w:val="00957C18"/>
    <w:rsid w:val="009659BA"/>
    <w:rsid w:val="00983040"/>
    <w:rsid w:val="009A22AC"/>
    <w:rsid w:val="009B3FB9"/>
    <w:rsid w:val="009B649F"/>
    <w:rsid w:val="009C2465"/>
    <w:rsid w:val="009C49C8"/>
    <w:rsid w:val="009D35A0"/>
    <w:rsid w:val="009D7EB7"/>
    <w:rsid w:val="009E048A"/>
    <w:rsid w:val="009E08E9"/>
    <w:rsid w:val="009E3DB9"/>
    <w:rsid w:val="009E6E35"/>
    <w:rsid w:val="009E6FE7"/>
    <w:rsid w:val="009F0EDA"/>
    <w:rsid w:val="00A03B96"/>
    <w:rsid w:val="00A055DC"/>
    <w:rsid w:val="00A05B19"/>
    <w:rsid w:val="00A1134E"/>
    <w:rsid w:val="00A166D7"/>
    <w:rsid w:val="00A24E7E"/>
    <w:rsid w:val="00A258C3"/>
    <w:rsid w:val="00A347C0"/>
    <w:rsid w:val="00A4531C"/>
    <w:rsid w:val="00A51431"/>
    <w:rsid w:val="00A539AD"/>
    <w:rsid w:val="00A94063"/>
    <w:rsid w:val="00AA6219"/>
    <w:rsid w:val="00AA74E0"/>
    <w:rsid w:val="00AB4DBB"/>
    <w:rsid w:val="00AB703F"/>
    <w:rsid w:val="00AC6BB8"/>
    <w:rsid w:val="00AD7BE6"/>
    <w:rsid w:val="00AD7D3C"/>
    <w:rsid w:val="00AE008F"/>
    <w:rsid w:val="00AF69E4"/>
    <w:rsid w:val="00B01FCD"/>
    <w:rsid w:val="00B07A31"/>
    <w:rsid w:val="00B1776C"/>
    <w:rsid w:val="00B3293A"/>
    <w:rsid w:val="00B52583"/>
    <w:rsid w:val="00B52896"/>
    <w:rsid w:val="00B65453"/>
    <w:rsid w:val="00B833AC"/>
    <w:rsid w:val="00B83D97"/>
    <w:rsid w:val="00B95236"/>
    <w:rsid w:val="00B96BD9"/>
    <w:rsid w:val="00BA1B01"/>
    <w:rsid w:val="00BA2641"/>
    <w:rsid w:val="00BA32B4"/>
    <w:rsid w:val="00BB37AA"/>
    <w:rsid w:val="00BC53A0"/>
    <w:rsid w:val="00BC6CFF"/>
    <w:rsid w:val="00BE42A5"/>
    <w:rsid w:val="00BE62AD"/>
    <w:rsid w:val="00BF121F"/>
    <w:rsid w:val="00BF1F80"/>
    <w:rsid w:val="00C10BB5"/>
    <w:rsid w:val="00C166EF"/>
    <w:rsid w:val="00C17EB0"/>
    <w:rsid w:val="00C27F5F"/>
    <w:rsid w:val="00C30A0F"/>
    <w:rsid w:val="00C37E61"/>
    <w:rsid w:val="00C4794C"/>
    <w:rsid w:val="00C62CAF"/>
    <w:rsid w:val="00C70F1B"/>
    <w:rsid w:val="00C71A47"/>
    <w:rsid w:val="00C7464C"/>
    <w:rsid w:val="00C80B36"/>
    <w:rsid w:val="00C85588"/>
    <w:rsid w:val="00CD4120"/>
    <w:rsid w:val="00CD6755"/>
    <w:rsid w:val="00CD6856"/>
    <w:rsid w:val="00CE0089"/>
    <w:rsid w:val="00CE793C"/>
    <w:rsid w:val="00CF193C"/>
    <w:rsid w:val="00D0659E"/>
    <w:rsid w:val="00D104CC"/>
    <w:rsid w:val="00D173F1"/>
    <w:rsid w:val="00D4147C"/>
    <w:rsid w:val="00D73BCE"/>
    <w:rsid w:val="00D74CB0"/>
    <w:rsid w:val="00D8295D"/>
    <w:rsid w:val="00DB5CDB"/>
    <w:rsid w:val="00DC1C98"/>
    <w:rsid w:val="00DC2A65"/>
    <w:rsid w:val="00DE15F0"/>
    <w:rsid w:val="00DE5663"/>
    <w:rsid w:val="00DE78AA"/>
    <w:rsid w:val="00E0291F"/>
    <w:rsid w:val="00E053D0"/>
    <w:rsid w:val="00E15994"/>
    <w:rsid w:val="00E3114E"/>
    <w:rsid w:val="00E31A70"/>
    <w:rsid w:val="00E35B02"/>
    <w:rsid w:val="00E4225A"/>
    <w:rsid w:val="00E62F20"/>
    <w:rsid w:val="00E66496"/>
    <w:rsid w:val="00E66B35"/>
    <w:rsid w:val="00E66E10"/>
    <w:rsid w:val="00E769F6"/>
    <w:rsid w:val="00E80676"/>
    <w:rsid w:val="00E8407C"/>
    <w:rsid w:val="00E84F3C"/>
    <w:rsid w:val="00EA012C"/>
    <w:rsid w:val="00EC438A"/>
    <w:rsid w:val="00EC6A55"/>
    <w:rsid w:val="00ED0288"/>
    <w:rsid w:val="00ED06CB"/>
    <w:rsid w:val="00EE52CB"/>
    <w:rsid w:val="00EF527E"/>
    <w:rsid w:val="00EF57E1"/>
    <w:rsid w:val="00EF581D"/>
    <w:rsid w:val="00EF7FD8"/>
    <w:rsid w:val="00F06F59"/>
    <w:rsid w:val="00F17988"/>
    <w:rsid w:val="00F212BD"/>
    <w:rsid w:val="00F35990"/>
    <w:rsid w:val="00F42D0B"/>
    <w:rsid w:val="00F451ED"/>
    <w:rsid w:val="00F469F0"/>
    <w:rsid w:val="00F53273"/>
    <w:rsid w:val="00F755E4"/>
    <w:rsid w:val="00F77D02"/>
    <w:rsid w:val="00FB0A77"/>
    <w:rsid w:val="00FB35A1"/>
    <w:rsid w:val="00FB3A86"/>
    <w:rsid w:val="00FB754B"/>
    <w:rsid w:val="00FC3490"/>
    <w:rsid w:val="00FD36C8"/>
    <w:rsid w:val="00FE05BA"/>
    <w:rsid w:val="00FE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1C494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59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359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4063147" TargetMode="External"/><Relationship Id="rId26" Type="http://schemas.openxmlformats.org/officeDocument/2006/relationships/hyperlink" Target="https://doi.org/10.54645/2024172knw-65" TargetMode="External"/><Relationship Id="rId21" Type="http://schemas.openxmlformats.org/officeDocument/2006/relationships/hyperlink" Target="https://doi.org/10.31932/jees.v6i2.2472"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41239-019-0176-8" TargetMode="External"/><Relationship Id="rId25" Type="http://schemas.openxmlformats.org/officeDocument/2006/relationships/hyperlink" Target="https://myjms.mohe.gov.my/index.php/ajress/article/view/14083"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29333/iji.2023.16219a" TargetMode="External"/><Relationship Id="rId20" Type="http://schemas.openxmlformats.org/officeDocument/2006/relationships/hyperlink" Target="https://doi.org/10.46328/ijte.83" TargetMode="External"/><Relationship Id="rId29" Type="http://schemas.openxmlformats.org/officeDocument/2006/relationships/hyperlink" Target="https://doi.org/10.1186/s40723-021-0008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cresq.2019.12.009"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96/ijele.v9i2.18765" TargetMode="External"/><Relationship Id="rId23" Type="http://schemas.openxmlformats.org/officeDocument/2006/relationships/hyperlink" Target="https://doi.org/10.1016/j.ecresq.2019.12.009" TargetMode="External"/><Relationship Id="rId28" Type="http://schemas.openxmlformats.org/officeDocument/2006/relationships/hyperlink" Target="https://doi.org/10.21009/jpud.161.02"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62025/dwijmh.v4i3.171" TargetMode="External"/><Relationship Id="rId31" Type="http://schemas.openxmlformats.org/officeDocument/2006/relationships/hyperlink" Target="https://doi.org/10.7719/jpair.v45i1.6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62025/DWIJMH.V4I3.171" TargetMode="External"/><Relationship Id="rId22" Type="http://schemas.openxmlformats.org/officeDocument/2006/relationships/hyperlink" Target="https://www.ijams-bbp.net/wp-content/uploads/2025/04/GELYN-S.-LABADOR.pdf" TargetMode="External"/><Relationship Id="rId27" Type="http://schemas.openxmlformats.org/officeDocument/2006/relationships/hyperlink" Target="http://dx.doi.org/10.2139/ssrn.5257912" TargetMode="External"/><Relationship Id="rId30" Type="http://schemas.openxmlformats.org/officeDocument/2006/relationships/hyperlink" Target="https://doi.org/10.6007/ijarped/v10-i1/8939"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19BE-318E-41AA-A86A-715DE6AA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348</TotalTime>
  <Pages>9</Pages>
  <Words>4140</Words>
  <Characters>23599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27684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Martin Nobis</cp:lastModifiedBy>
  <cp:revision>30</cp:revision>
  <cp:lastPrinted>1999-07-06T11:00:00Z</cp:lastPrinted>
  <dcterms:created xsi:type="dcterms:W3CDTF">2014-10-25T14:34:00Z</dcterms:created>
  <dcterms:modified xsi:type="dcterms:W3CDTF">2026-03-25T11:40:00Z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50f700be-f1a9-4c17-95fd-ed782e552b1f</vt:lpwstr>
  </property>
</Properties>
</file>