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523C" w14:textId="6CA07484" w:rsidR="00754C9A" w:rsidRDefault="00773CC4" w:rsidP="00773CC4">
      <w:pPr>
        <w:pStyle w:val="Title"/>
        <w:spacing w:after="0"/>
        <w:jc w:val="left"/>
        <w:rPr>
          <w:rFonts w:ascii="Arial" w:hAnsi="Arial" w:cs="Arial"/>
          <w:sz w:val="28"/>
          <w:szCs w:val="16"/>
          <w:u w:val="single"/>
        </w:rPr>
      </w:pPr>
      <w:r w:rsidRPr="00773CC4">
        <w:rPr>
          <w:rFonts w:ascii="Arial" w:hAnsi="Arial" w:cs="Arial"/>
          <w:sz w:val="28"/>
          <w:szCs w:val="16"/>
          <w:u w:val="single"/>
        </w:rPr>
        <w:t>Original Research Article</w:t>
      </w:r>
    </w:p>
    <w:p w14:paraId="62DF480D" w14:textId="77777777" w:rsidR="00773CC4" w:rsidRPr="00773CC4" w:rsidRDefault="00773CC4" w:rsidP="00773CC4">
      <w:pPr>
        <w:pStyle w:val="Title"/>
        <w:spacing w:after="0"/>
        <w:jc w:val="left"/>
        <w:rPr>
          <w:rFonts w:ascii="Arial" w:hAnsi="Arial" w:cs="Arial"/>
          <w:sz w:val="28"/>
          <w:szCs w:val="16"/>
          <w:u w:val="single"/>
        </w:rPr>
      </w:pPr>
    </w:p>
    <w:p w14:paraId="67EBD91B" w14:textId="67822087" w:rsidR="00F242E7" w:rsidRPr="00773CC4" w:rsidRDefault="00773CC4" w:rsidP="00773CC4">
      <w:pPr>
        <w:spacing w:line="240" w:lineRule="exact"/>
        <w:ind w:left="102"/>
        <w:jc w:val="right"/>
        <w:rPr>
          <w:rFonts w:ascii="Times New Roman" w:hAnsi="Times New Roman"/>
          <w:b/>
          <w:bCs/>
          <w:sz w:val="24"/>
          <w:szCs w:val="24"/>
        </w:rPr>
      </w:pPr>
      <w:r w:rsidRPr="00773CC4">
        <w:rPr>
          <w:rFonts w:ascii="Times New Roman" w:hAnsi="Times New Roman"/>
          <w:b/>
          <w:bCs/>
          <w:sz w:val="24"/>
          <w:szCs w:val="24"/>
        </w:rPr>
        <w:t>Wo</w:t>
      </w:r>
      <w:r w:rsidRPr="00773CC4">
        <w:rPr>
          <w:rFonts w:ascii="Times New Roman" w:hAnsi="Times New Roman"/>
          <w:b/>
          <w:bCs/>
          <w:spacing w:val="-1"/>
          <w:sz w:val="24"/>
          <w:szCs w:val="24"/>
        </w:rPr>
        <w:t>m</w:t>
      </w:r>
      <w:r w:rsidRPr="00773CC4">
        <w:rPr>
          <w:rFonts w:ascii="Times New Roman" w:hAnsi="Times New Roman"/>
          <w:b/>
          <w:bCs/>
          <w:sz w:val="24"/>
          <w:szCs w:val="24"/>
        </w:rPr>
        <w:t>en</w:t>
      </w:r>
      <w:r w:rsidRPr="00773CC4">
        <w:rPr>
          <w:rFonts w:ascii="Times New Roman" w:hAnsi="Times New Roman"/>
          <w:b/>
          <w:bCs/>
          <w:spacing w:val="-1"/>
          <w:sz w:val="24"/>
          <w:szCs w:val="24"/>
        </w:rPr>
        <w:t>’</w:t>
      </w:r>
      <w:r w:rsidRPr="00773CC4">
        <w:rPr>
          <w:rFonts w:ascii="Times New Roman" w:hAnsi="Times New Roman"/>
          <w:b/>
          <w:bCs/>
          <w:sz w:val="24"/>
          <w:szCs w:val="24"/>
        </w:rPr>
        <w:t>s A</w:t>
      </w:r>
      <w:r w:rsidRPr="00773CC4">
        <w:rPr>
          <w:rFonts w:ascii="Times New Roman" w:hAnsi="Times New Roman"/>
          <w:b/>
          <w:bCs/>
          <w:spacing w:val="-2"/>
          <w:sz w:val="24"/>
          <w:szCs w:val="24"/>
        </w:rPr>
        <w:t>t</w:t>
      </w:r>
      <w:r w:rsidRPr="00773CC4">
        <w:rPr>
          <w:rFonts w:ascii="Times New Roman" w:hAnsi="Times New Roman"/>
          <w:b/>
          <w:bCs/>
          <w:spacing w:val="1"/>
          <w:sz w:val="24"/>
          <w:szCs w:val="24"/>
        </w:rPr>
        <w:t>t</w:t>
      </w:r>
      <w:r w:rsidRPr="00773CC4">
        <w:rPr>
          <w:rFonts w:ascii="Times New Roman" w:hAnsi="Times New Roman"/>
          <w:b/>
          <w:bCs/>
          <w:spacing w:val="-1"/>
          <w:sz w:val="24"/>
          <w:szCs w:val="24"/>
        </w:rPr>
        <w:t>i</w:t>
      </w:r>
      <w:r w:rsidRPr="00773CC4">
        <w:rPr>
          <w:rFonts w:ascii="Times New Roman" w:hAnsi="Times New Roman"/>
          <w:b/>
          <w:bCs/>
          <w:spacing w:val="1"/>
          <w:sz w:val="24"/>
          <w:szCs w:val="24"/>
        </w:rPr>
        <w:t>t</w:t>
      </w:r>
      <w:r w:rsidRPr="00773CC4">
        <w:rPr>
          <w:rFonts w:ascii="Times New Roman" w:hAnsi="Times New Roman"/>
          <w:b/>
          <w:bCs/>
          <w:sz w:val="24"/>
          <w:szCs w:val="24"/>
        </w:rPr>
        <w:t>ud</w:t>
      </w:r>
      <w:r w:rsidRPr="00773CC4">
        <w:rPr>
          <w:rFonts w:ascii="Times New Roman" w:hAnsi="Times New Roman"/>
          <w:b/>
          <w:bCs/>
          <w:spacing w:val="-2"/>
          <w:sz w:val="24"/>
          <w:szCs w:val="24"/>
        </w:rPr>
        <w:t>e</w:t>
      </w:r>
      <w:r w:rsidRPr="00773CC4">
        <w:rPr>
          <w:rFonts w:ascii="Times New Roman" w:hAnsi="Times New Roman"/>
          <w:b/>
          <w:bCs/>
          <w:sz w:val="24"/>
          <w:szCs w:val="24"/>
        </w:rPr>
        <w:t>s P</w:t>
      </w:r>
      <w:r w:rsidRPr="00773CC4">
        <w:rPr>
          <w:rFonts w:ascii="Times New Roman" w:hAnsi="Times New Roman"/>
          <w:b/>
          <w:bCs/>
          <w:spacing w:val="1"/>
          <w:sz w:val="24"/>
          <w:szCs w:val="24"/>
        </w:rPr>
        <w:t>r</w:t>
      </w:r>
      <w:r w:rsidRPr="00773CC4">
        <w:rPr>
          <w:rFonts w:ascii="Times New Roman" w:hAnsi="Times New Roman"/>
          <w:b/>
          <w:bCs/>
          <w:spacing w:val="-2"/>
          <w:sz w:val="24"/>
          <w:szCs w:val="24"/>
        </w:rPr>
        <w:t>e</w:t>
      </w:r>
      <w:r w:rsidRPr="00773CC4">
        <w:rPr>
          <w:rFonts w:ascii="Times New Roman" w:hAnsi="Times New Roman"/>
          <w:b/>
          <w:bCs/>
          <w:sz w:val="24"/>
          <w:szCs w:val="24"/>
        </w:rPr>
        <w:t>d</w:t>
      </w:r>
      <w:r w:rsidRPr="00773CC4">
        <w:rPr>
          <w:rFonts w:ascii="Times New Roman" w:hAnsi="Times New Roman"/>
          <w:b/>
          <w:bCs/>
          <w:spacing w:val="1"/>
          <w:sz w:val="24"/>
          <w:szCs w:val="24"/>
        </w:rPr>
        <w:t>i</w:t>
      </w:r>
      <w:r w:rsidRPr="00773CC4">
        <w:rPr>
          <w:rFonts w:ascii="Times New Roman" w:hAnsi="Times New Roman"/>
          <w:b/>
          <w:bCs/>
          <w:spacing w:val="-2"/>
          <w:sz w:val="24"/>
          <w:szCs w:val="24"/>
        </w:rPr>
        <w:t>c</w:t>
      </w:r>
      <w:r w:rsidRPr="00773CC4">
        <w:rPr>
          <w:rFonts w:ascii="Times New Roman" w:hAnsi="Times New Roman"/>
          <w:b/>
          <w:bCs/>
          <w:sz w:val="24"/>
          <w:szCs w:val="24"/>
        </w:rPr>
        <w:t>t</w:t>
      </w:r>
      <w:r w:rsidRPr="00773CC4">
        <w:rPr>
          <w:rFonts w:ascii="Times New Roman" w:hAnsi="Times New Roman"/>
          <w:b/>
          <w:bCs/>
          <w:spacing w:val="-1"/>
          <w:sz w:val="24"/>
          <w:szCs w:val="24"/>
        </w:rPr>
        <w:t xml:space="preserve"> H</w:t>
      </w:r>
      <w:r w:rsidRPr="00773CC4">
        <w:rPr>
          <w:rFonts w:ascii="Times New Roman" w:hAnsi="Times New Roman"/>
          <w:b/>
          <w:bCs/>
          <w:sz w:val="24"/>
          <w:szCs w:val="24"/>
        </w:rPr>
        <w:t>ous</w:t>
      </w:r>
      <w:r w:rsidRPr="00773CC4">
        <w:rPr>
          <w:rFonts w:ascii="Times New Roman" w:hAnsi="Times New Roman"/>
          <w:b/>
          <w:bCs/>
          <w:spacing w:val="1"/>
          <w:sz w:val="24"/>
          <w:szCs w:val="24"/>
        </w:rPr>
        <w:t>e</w:t>
      </w:r>
      <w:r w:rsidRPr="00773CC4">
        <w:rPr>
          <w:rFonts w:ascii="Times New Roman" w:hAnsi="Times New Roman"/>
          <w:b/>
          <w:bCs/>
          <w:sz w:val="24"/>
          <w:szCs w:val="24"/>
        </w:rPr>
        <w:t>h</w:t>
      </w:r>
      <w:r w:rsidRPr="00773CC4">
        <w:rPr>
          <w:rFonts w:ascii="Times New Roman" w:hAnsi="Times New Roman"/>
          <w:b/>
          <w:bCs/>
          <w:spacing w:val="-2"/>
          <w:sz w:val="24"/>
          <w:szCs w:val="24"/>
        </w:rPr>
        <w:t>o</w:t>
      </w:r>
      <w:r w:rsidRPr="00773CC4">
        <w:rPr>
          <w:rFonts w:ascii="Times New Roman" w:hAnsi="Times New Roman"/>
          <w:b/>
          <w:bCs/>
          <w:spacing w:val="1"/>
          <w:sz w:val="24"/>
          <w:szCs w:val="24"/>
        </w:rPr>
        <w:t>l</w:t>
      </w:r>
      <w:r w:rsidRPr="00773CC4">
        <w:rPr>
          <w:rFonts w:ascii="Times New Roman" w:hAnsi="Times New Roman"/>
          <w:b/>
          <w:bCs/>
          <w:sz w:val="24"/>
          <w:szCs w:val="24"/>
        </w:rPr>
        <w:t>d P</w:t>
      </w:r>
      <w:r w:rsidRPr="00773CC4">
        <w:rPr>
          <w:rFonts w:ascii="Times New Roman" w:hAnsi="Times New Roman"/>
          <w:b/>
          <w:bCs/>
          <w:spacing w:val="-2"/>
          <w:sz w:val="24"/>
          <w:szCs w:val="24"/>
        </w:rPr>
        <w:t>e</w:t>
      </w:r>
      <w:r w:rsidRPr="00773CC4">
        <w:rPr>
          <w:rFonts w:ascii="Times New Roman" w:hAnsi="Times New Roman"/>
          <w:b/>
          <w:bCs/>
          <w:spacing w:val="1"/>
          <w:sz w:val="24"/>
          <w:szCs w:val="24"/>
        </w:rPr>
        <w:t>rf</w:t>
      </w:r>
      <w:r w:rsidRPr="00773CC4">
        <w:rPr>
          <w:rFonts w:ascii="Times New Roman" w:hAnsi="Times New Roman"/>
          <w:b/>
          <w:bCs/>
          <w:spacing w:val="-2"/>
          <w:sz w:val="24"/>
          <w:szCs w:val="24"/>
        </w:rPr>
        <w:t>o</w:t>
      </w:r>
      <w:r w:rsidRPr="00773CC4">
        <w:rPr>
          <w:rFonts w:ascii="Times New Roman" w:hAnsi="Times New Roman"/>
          <w:b/>
          <w:bCs/>
          <w:spacing w:val="1"/>
          <w:sz w:val="24"/>
          <w:szCs w:val="24"/>
        </w:rPr>
        <w:t>r</w:t>
      </w:r>
      <w:r w:rsidRPr="00773CC4">
        <w:rPr>
          <w:rFonts w:ascii="Times New Roman" w:hAnsi="Times New Roman"/>
          <w:b/>
          <w:bCs/>
          <w:spacing w:val="-1"/>
          <w:sz w:val="24"/>
          <w:szCs w:val="24"/>
        </w:rPr>
        <w:t>m</w:t>
      </w:r>
      <w:r w:rsidRPr="00773CC4">
        <w:rPr>
          <w:rFonts w:ascii="Times New Roman" w:hAnsi="Times New Roman"/>
          <w:b/>
          <w:bCs/>
          <w:sz w:val="24"/>
          <w:szCs w:val="24"/>
        </w:rPr>
        <w:t>an</w:t>
      </w:r>
      <w:r w:rsidRPr="00773CC4">
        <w:rPr>
          <w:rFonts w:ascii="Times New Roman" w:hAnsi="Times New Roman"/>
          <w:b/>
          <w:bCs/>
          <w:spacing w:val="-2"/>
          <w:sz w:val="24"/>
          <w:szCs w:val="24"/>
        </w:rPr>
        <w:t>c</w:t>
      </w:r>
      <w:r w:rsidRPr="00773CC4">
        <w:rPr>
          <w:rFonts w:ascii="Times New Roman" w:hAnsi="Times New Roman"/>
          <w:b/>
          <w:bCs/>
          <w:sz w:val="24"/>
          <w:szCs w:val="24"/>
        </w:rPr>
        <w:t xml:space="preserve">e </w:t>
      </w:r>
      <w:r w:rsidRPr="00773CC4">
        <w:rPr>
          <w:rFonts w:ascii="Times New Roman" w:hAnsi="Times New Roman"/>
          <w:b/>
          <w:bCs/>
          <w:spacing w:val="1"/>
          <w:sz w:val="24"/>
          <w:szCs w:val="24"/>
        </w:rPr>
        <w:t>i</w:t>
      </w:r>
      <w:r w:rsidRPr="00773CC4">
        <w:rPr>
          <w:rFonts w:ascii="Times New Roman" w:hAnsi="Times New Roman"/>
          <w:b/>
          <w:bCs/>
          <w:sz w:val="24"/>
          <w:szCs w:val="24"/>
        </w:rPr>
        <w:t>n</w:t>
      </w:r>
      <w:r w:rsidRPr="00773CC4">
        <w:rPr>
          <w:rFonts w:ascii="Times New Roman" w:hAnsi="Times New Roman"/>
          <w:b/>
          <w:bCs/>
          <w:spacing w:val="-2"/>
          <w:sz w:val="24"/>
          <w:szCs w:val="24"/>
        </w:rPr>
        <w:t xml:space="preserve"> I</w:t>
      </w:r>
      <w:r w:rsidRPr="00773CC4">
        <w:rPr>
          <w:rFonts w:ascii="Times New Roman" w:hAnsi="Times New Roman"/>
          <w:b/>
          <w:bCs/>
          <w:sz w:val="24"/>
          <w:szCs w:val="24"/>
        </w:rPr>
        <w:t>ndone</w:t>
      </w:r>
      <w:r w:rsidRPr="00773CC4">
        <w:rPr>
          <w:rFonts w:ascii="Times New Roman" w:hAnsi="Times New Roman"/>
          <w:b/>
          <w:bCs/>
          <w:spacing w:val="1"/>
          <w:sz w:val="24"/>
          <w:szCs w:val="24"/>
        </w:rPr>
        <w:t>s</w:t>
      </w:r>
      <w:r w:rsidRPr="00773CC4">
        <w:rPr>
          <w:rFonts w:ascii="Times New Roman" w:hAnsi="Times New Roman"/>
          <w:b/>
          <w:bCs/>
          <w:spacing w:val="-1"/>
          <w:sz w:val="24"/>
          <w:szCs w:val="24"/>
        </w:rPr>
        <w:t>i</w:t>
      </w:r>
      <w:r w:rsidRPr="00773CC4">
        <w:rPr>
          <w:rFonts w:ascii="Times New Roman" w:hAnsi="Times New Roman"/>
          <w:b/>
          <w:bCs/>
          <w:sz w:val="24"/>
          <w:szCs w:val="24"/>
        </w:rPr>
        <w:t>a</w:t>
      </w:r>
      <w:r w:rsidRPr="00773CC4">
        <w:rPr>
          <w:rFonts w:ascii="Times New Roman" w:hAnsi="Times New Roman"/>
          <w:b/>
          <w:bCs/>
          <w:spacing w:val="1"/>
          <w:sz w:val="24"/>
          <w:szCs w:val="24"/>
        </w:rPr>
        <w:t>’</w:t>
      </w:r>
      <w:r w:rsidRPr="00773CC4">
        <w:rPr>
          <w:rFonts w:ascii="Times New Roman" w:hAnsi="Times New Roman"/>
          <w:b/>
          <w:bCs/>
          <w:sz w:val="24"/>
          <w:szCs w:val="24"/>
        </w:rPr>
        <w:t xml:space="preserve">s </w:t>
      </w:r>
      <w:r w:rsidRPr="00773CC4">
        <w:rPr>
          <w:rFonts w:ascii="Times New Roman" w:hAnsi="Times New Roman"/>
          <w:b/>
          <w:bCs/>
          <w:spacing w:val="-3"/>
          <w:sz w:val="24"/>
          <w:szCs w:val="24"/>
        </w:rPr>
        <w:t>A</w:t>
      </w:r>
      <w:r w:rsidRPr="00773CC4">
        <w:rPr>
          <w:rFonts w:ascii="Times New Roman" w:hAnsi="Times New Roman"/>
          <w:b/>
          <w:bCs/>
          <w:spacing w:val="4"/>
          <w:sz w:val="24"/>
          <w:szCs w:val="24"/>
        </w:rPr>
        <w:t>t</w:t>
      </w:r>
      <w:r w:rsidRPr="00773CC4">
        <w:rPr>
          <w:rFonts w:ascii="Times New Roman" w:hAnsi="Times New Roman"/>
          <w:b/>
          <w:bCs/>
          <w:spacing w:val="-2"/>
          <w:sz w:val="24"/>
          <w:szCs w:val="24"/>
        </w:rPr>
        <w:t>-</w:t>
      </w:r>
      <w:r w:rsidRPr="00773CC4">
        <w:rPr>
          <w:rFonts w:ascii="Times New Roman" w:hAnsi="Times New Roman"/>
          <w:b/>
          <w:bCs/>
          <w:spacing w:val="-1"/>
          <w:sz w:val="24"/>
          <w:szCs w:val="24"/>
        </w:rPr>
        <w:t>R</w:t>
      </w:r>
      <w:r w:rsidRPr="00773CC4">
        <w:rPr>
          <w:rFonts w:ascii="Times New Roman" w:hAnsi="Times New Roman"/>
          <w:b/>
          <w:bCs/>
          <w:spacing w:val="1"/>
          <w:sz w:val="24"/>
          <w:szCs w:val="24"/>
        </w:rPr>
        <w:t>i</w:t>
      </w:r>
      <w:r w:rsidRPr="00773CC4">
        <w:rPr>
          <w:rFonts w:ascii="Times New Roman" w:hAnsi="Times New Roman"/>
          <w:b/>
          <w:bCs/>
          <w:sz w:val="24"/>
          <w:szCs w:val="24"/>
        </w:rPr>
        <w:t xml:space="preserve">sk </w:t>
      </w:r>
      <w:r w:rsidRPr="00773CC4">
        <w:rPr>
          <w:rFonts w:ascii="Times New Roman" w:hAnsi="Times New Roman"/>
          <w:b/>
          <w:bCs/>
          <w:spacing w:val="-2"/>
          <w:sz w:val="24"/>
          <w:szCs w:val="24"/>
        </w:rPr>
        <w:t>F</w:t>
      </w:r>
      <w:r w:rsidRPr="00773CC4">
        <w:rPr>
          <w:rFonts w:ascii="Times New Roman" w:hAnsi="Times New Roman"/>
          <w:b/>
          <w:bCs/>
          <w:sz w:val="24"/>
          <w:szCs w:val="24"/>
        </w:rPr>
        <w:t>a</w:t>
      </w:r>
      <w:r w:rsidRPr="00773CC4">
        <w:rPr>
          <w:rFonts w:ascii="Times New Roman" w:hAnsi="Times New Roman"/>
          <w:b/>
          <w:bCs/>
          <w:spacing w:val="-1"/>
          <w:sz w:val="24"/>
          <w:szCs w:val="24"/>
        </w:rPr>
        <w:t>m</w:t>
      </w:r>
      <w:r w:rsidRPr="00773CC4">
        <w:rPr>
          <w:rFonts w:ascii="Times New Roman" w:hAnsi="Times New Roman"/>
          <w:b/>
          <w:bCs/>
          <w:spacing w:val="1"/>
          <w:sz w:val="24"/>
          <w:szCs w:val="24"/>
        </w:rPr>
        <w:t>il</w:t>
      </w:r>
      <w:r w:rsidRPr="00773CC4">
        <w:rPr>
          <w:rFonts w:ascii="Times New Roman" w:hAnsi="Times New Roman"/>
          <w:b/>
          <w:bCs/>
          <w:sz w:val="24"/>
          <w:szCs w:val="24"/>
        </w:rPr>
        <w:t>y Stun</w:t>
      </w:r>
      <w:r w:rsidRPr="00773CC4">
        <w:rPr>
          <w:rFonts w:ascii="Times New Roman" w:hAnsi="Times New Roman"/>
          <w:b/>
          <w:bCs/>
          <w:spacing w:val="-1"/>
          <w:sz w:val="24"/>
          <w:szCs w:val="24"/>
        </w:rPr>
        <w:t>t</w:t>
      </w:r>
      <w:r w:rsidRPr="00773CC4">
        <w:rPr>
          <w:rFonts w:ascii="Times New Roman" w:hAnsi="Times New Roman"/>
          <w:b/>
          <w:bCs/>
          <w:spacing w:val="1"/>
          <w:sz w:val="24"/>
          <w:szCs w:val="24"/>
        </w:rPr>
        <w:t>i</w:t>
      </w:r>
      <w:r w:rsidRPr="00773CC4">
        <w:rPr>
          <w:rFonts w:ascii="Times New Roman" w:hAnsi="Times New Roman"/>
          <w:b/>
          <w:bCs/>
          <w:sz w:val="24"/>
          <w:szCs w:val="24"/>
        </w:rPr>
        <w:t>ng</w:t>
      </w:r>
      <w:r w:rsidRPr="00773CC4">
        <w:rPr>
          <w:rFonts w:ascii="Times New Roman" w:hAnsi="Times New Roman"/>
          <w:b/>
          <w:bCs/>
          <w:spacing w:val="-2"/>
          <w:sz w:val="24"/>
          <w:szCs w:val="24"/>
        </w:rPr>
        <w:t>-</w:t>
      </w:r>
      <w:r w:rsidRPr="00773CC4">
        <w:rPr>
          <w:rFonts w:ascii="Times New Roman" w:hAnsi="Times New Roman"/>
          <w:b/>
          <w:bCs/>
          <w:spacing w:val="-1"/>
          <w:sz w:val="24"/>
          <w:szCs w:val="24"/>
        </w:rPr>
        <w:t>R</w:t>
      </w:r>
      <w:r w:rsidRPr="00773CC4">
        <w:rPr>
          <w:rFonts w:ascii="Times New Roman" w:hAnsi="Times New Roman"/>
          <w:b/>
          <w:bCs/>
          <w:sz w:val="24"/>
          <w:szCs w:val="24"/>
        </w:rPr>
        <w:t>ed</w:t>
      </w:r>
      <w:r w:rsidRPr="00773CC4">
        <w:rPr>
          <w:rFonts w:ascii="Times New Roman" w:hAnsi="Times New Roman"/>
          <w:b/>
          <w:bCs/>
          <w:spacing w:val="-2"/>
          <w:sz w:val="24"/>
          <w:szCs w:val="24"/>
        </w:rPr>
        <w:t>u</w:t>
      </w:r>
      <w:r w:rsidRPr="00773CC4">
        <w:rPr>
          <w:rFonts w:ascii="Times New Roman" w:hAnsi="Times New Roman"/>
          <w:b/>
          <w:bCs/>
          <w:sz w:val="24"/>
          <w:szCs w:val="24"/>
        </w:rPr>
        <w:t>c</w:t>
      </w:r>
      <w:r w:rsidRPr="00773CC4">
        <w:rPr>
          <w:rFonts w:ascii="Times New Roman" w:hAnsi="Times New Roman"/>
          <w:b/>
          <w:bCs/>
          <w:spacing w:val="-1"/>
          <w:sz w:val="24"/>
          <w:szCs w:val="24"/>
        </w:rPr>
        <w:t>t</w:t>
      </w:r>
      <w:r w:rsidRPr="00773CC4">
        <w:rPr>
          <w:rFonts w:ascii="Times New Roman" w:hAnsi="Times New Roman"/>
          <w:b/>
          <w:bCs/>
          <w:spacing w:val="1"/>
          <w:sz w:val="24"/>
          <w:szCs w:val="24"/>
        </w:rPr>
        <w:t>i</w:t>
      </w:r>
      <w:r w:rsidRPr="00773CC4">
        <w:rPr>
          <w:rFonts w:ascii="Times New Roman" w:hAnsi="Times New Roman"/>
          <w:b/>
          <w:bCs/>
          <w:sz w:val="24"/>
          <w:szCs w:val="24"/>
        </w:rPr>
        <w:t>on P</w:t>
      </w:r>
      <w:r w:rsidRPr="00773CC4">
        <w:rPr>
          <w:rFonts w:ascii="Times New Roman" w:hAnsi="Times New Roman"/>
          <w:b/>
          <w:bCs/>
          <w:spacing w:val="-2"/>
          <w:sz w:val="24"/>
          <w:szCs w:val="24"/>
        </w:rPr>
        <w:t>r</w:t>
      </w:r>
      <w:r w:rsidRPr="00773CC4">
        <w:rPr>
          <w:rFonts w:ascii="Times New Roman" w:hAnsi="Times New Roman"/>
          <w:b/>
          <w:bCs/>
          <w:sz w:val="24"/>
          <w:szCs w:val="24"/>
        </w:rPr>
        <w:t>og</w:t>
      </w:r>
      <w:r w:rsidRPr="00773CC4">
        <w:rPr>
          <w:rFonts w:ascii="Times New Roman" w:hAnsi="Times New Roman"/>
          <w:b/>
          <w:bCs/>
          <w:spacing w:val="-2"/>
          <w:sz w:val="24"/>
          <w:szCs w:val="24"/>
        </w:rPr>
        <w:t>ra</w:t>
      </w:r>
      <w:r w:rsidRPr="00773CC4">
        <w:rPr>
          <w:rFonts w:ascii="Times New Roman" w:hAnsi="Times New Roman"/>
          <w:b/>
          <w:bCs/>
          <w:sz w:val="24"/>
          <w:szCs w:val="24"/>
        </w:rPr>
        <w:t>m</w:t>
      </w:r>
      <w:r w:rsidRPr="00773CC4">
        <w:rPr>
          <w:rFonts w:ascii="Times New Roman" w:hAnsi="Times New Roman"/>
          <w:b/>
          <w:bCs/>
          <w:spacing w:val="1"/>
          <w:sz w:val="24"/>
          <w:szCs w:val="24"/>
        </w:rPr>
        <w:t xml:space="preserve"> (</w:t>
      </w:r>
      <w:r w:rsidRPr="00773CC4">
        <w:rPr>
          <w:rFonts w:ascii="Times New Roman" w:hAnsi="Times New Roman"/>
          <w:b/>
          <w:bCs/>
          <w:spacing w:val="-1"/>
          <w:sz w:val="24"/>
          <w:szCs w:val="24"/>
        </w:rPr>
        <w:t>KR</w:t>
      </w:r>
      <w:r w:rsidRPr="00773CC4">
        <w:rPr>
          <w:rFonts w:ascii="Times New Roman" w:hAnsi="Times New Roman"/>
          <w:b/>
          <w:bCs/>
          <w:sz w:val="24"/>
          <w:szCs w:val="24"/>
        </w:rPr>
        <w:t>S</w:t>
      </w:r>
      <w:r w:rsidRPr="00773CC4">
        <w:rPr>
          <w:rFonts w:ascii="Times New Roman" w:hAnsi="Times New Roman"/>
          <w:b/>
          <w:bCs/>
          <w:spacing w:val="-2"/>
          <w:sz w:val="24"/>
          <w:szCs w:val="24"/>
        </w:rPr>
        <w:t>)</w:t>
      </w:r>
      <w:r w:rsidRPr="00773CC4">
        <w:rPr>
          <w:rFonts w:ascii="Times New Roman" w:hAnsi="Times New Roman"/>
          <w:b/>
          <w:bCs/>
          <w:sz w:val="24"/>
          <w:szCs w:val="24"/>
        </w:rPr>
        <w:t>:</w:t>
      </w:r>
      <w:r w:rsidRPr="00773CC4">
        <w:rPr>
          <w:rFonts w:ascii="Times New Roman" w:hAnsi="Times New Roman"/>
          <w:b/>
          <w:bCs/>
          <w:spacing w:val="1"/>
          <w:sz w:val="24"/>
          <w:szCs w:val="24"/>
        </w:rPr>
        <w:t xml:space="preserve"> </w:t>
      </w:r>
      <w:r w:rsidRPr="00773CC4">
        <w:rPr>
          <w:rFonts w:ascii="Times New Roman" w:hAnsi="Times New Roman"/>
          <w:b/>
          <w:bCs/>
          <w:sz w:val="24"/>
          <w:szCs w:val="24"/>
        </w:rPr>
        <w:t>A</w:t>
      </w:r>
      <w:r w:rsidRPr="00773CC4">
        <w:rPr>
          <w:rFonts w:ascii="Times New Roman" w:hAnsi="Times New Roman"/>
          <w:b/>
          <w:bCs/>
          <w:spacing w:val="-1"/>
          <w:sz w:val="24"/>
          <w:szCs w:val="24"/>
        </w:rPr>
        <w:t xml:space="preserve"> C</w:t>
      </w:r>
      <w:r w:rsidRPr="00773CC4">
        <w:rPr>
          <w:rFonts w:ascii="Times New Roman" w:hAnsi="Times New Roman"/>
          <w:b/>
          <w:bCs/>
          <w:spacing w:val="1"/>
          <w:sz w:val="24"/>
          <w:szCs w:val="24"/>
        </w:rPr>
        <w:t>r</w:t>
      </w:r>
      <w:r w:rsidRPr="00773CC4">
        <w:rPr>
          <w:rFonts w:ascii="Times New Roman" w:hAnsi="Times New Roman"/>
          <w:b/>
          <w:bCs/>
          <w:spacing w:val="-2"/>
          <w:sz w:val="24"/>
          <w:szCs w:val="24"/>
        </w:rPr>
        <w:t>o</w:t>
      </w:r>
      <w:r w:rsidRPr="00773CC4">
        <w:rPr>
          <w:rFonts w:ascii="Times New Roman" w:hAnsi="Times New Roman"/>
          <w:b/>
          <w:bCs/>
          <w:sz w:val="24"/>
          <w:szCs w:val="24"/>
        </w:rPr>
        <w:t>s</w:t>
      </w:r>
      <w:r w:rsidRPr="00773CC4">
        <w:rPr>
          <w:rFonts w:ascii="Times New Roman" w:hAnsi="Times New Roman"/>
          <w:b/>
          <w:bCs/>
          <w:spacing w:val="3"/>
          <w:sz w:val="24"/>
          <w:szCs w:val="24"/>
        </w:rPr>
        <w:t>s</w:t>
      </w:r>
      <w:r w:rsidRPr="00773CC4">
        <w:rPr>
          <w:rFonts w:ascii="Times New Roman" w:hAnsi="Times New Roman"/>
          <w:b/>
          <w:bCs/>
          <w:spacing w:val="-2"/>
          <w:sz w:val="24"/>
          <w:szCs w:val="24"/>
        </w:rPr>
        <w:t>-</w:t>
      </w:r>
      <w:r w:rsidRPr="00773CC4">
        <w:rPr>
          <w:rFonts w:ascii="Times New Roman" w:hAnsi="Times New Roman"/>
          <w:b/>
          <w:bCs/>
          <w:sz w:val="24"/>
          <w:szCs w:val="24"/>
        </w:rPr>
        <w:t>Se</w:t>
      </w:r>
      <w:r w:rsidRPr="00773CC4">
        <w:rPr>
          <w:rFonts w:ascii="Times New Roman" w:hAnsi="Times New Roman"/>
          <w:b/>
          <w:bCs/>
          <w:spacing w:val="-2"/>
          <w:sz w:val="24"/>
          <w:szCs w:val="24"/>
        </w:rPr>
        <w:t>c</w:t>
      </w:r>
      <w:r w:rsidRPr="00773CC4">
        <w:rPr>
          <w:rFonts w:ascii="Times New Roman" w:hAnsi="Times New Roman"/>
          <w:b/>
          <w:bCs/>
          <w:spacing w:val="1"/>
          <w:sz w:val="24"/>
          <w:szCs w:val="24"/>
        </w:rPr>
        <w:t>ti</w:t>
      </w:r>
      <w:r w:rsidRPr="00773CC4">
        <w:rPr>
          <w:rFonts w:ascii="Times New Roman" w:hAnsi="Times New Roman"/>
          <w:b/>
          <w:bCs/>
          <w:spacing w:val="-2"/>
          <w:sz w:val="24"/>
          <w:szCs w:val="24"/>
        </w:rPr>
        <w:t>on</w:t>
      </w:r>
      <w:r w:rsidRPr="00773CC4">
        <w:rPr>
          <w:rFonts w:ascii="Times New Roman" w:hAnsi="Times New Roman"/>
          <w:b/>
          <w:bCs/>
          <w:sz w:val="24"/>
          <w:szCs w:val="24"/>
        </w:rPr>
        <w:t>al</w:t>
      </w:r>
      <w:r w:rsidRPr="00773CC4">
        <w:rPr>
          <w:rFonts w:ascii="Times New Roman" w:hAnsi="Times New Roman"/>
          <w:b/>
          <w:bCs/>
          <w:spacing w:val="1"/>
          <w:sz w:val="24"/>
          <w:szCs w:val="24"/>
        </w:rPr>
        <w:t xml:space="preserve"> </w:t>
      </w:r>
      <w:r w:rsidRPr="00773CC4">
        <w:rPr>
          <w:rFonts w:ascii="Times New Roman" w:hAnsi="Times New Roman"/>
          <w:b/>
          <w:bCs/>
          <w:sz w:val="24"/>
          <w:szCs w:val="24"/>
        </w:rPr>
        <w:t>S</w:t>
      </w:r>
      <w:r w:rsidRPr="00773CC4">
        <w:rPr>
          <w:rFonts w:ascii="Times New Roman" w:hAnsi="Times New Roman"/>
          <w:b/>
          <w:bCs/>
          <w:spacing w:val="-3"/>
          <w:sz w:val="24"/>
          <w:szCs w:val="24"/>
        </w:rPr>
        <w:t>u</w:t>
      </w:r>
      <w:r w:rsidRPr="00773CC4">
        <w:rPr>
          <w:rFonts w:ascii="Times New Roman" w:hAnsi="Times New Roman"/>
          <w:b/>
          <w:bCs/>
          <w:spacing w:val="1"/>
          <w:sz w:val="24"/>
          <w:szCs w:val="24"/>
        </w:rPr>
        <w:t>r</w:t>
      </w:r>
      <w:r w:rsidRPr="00773CC4">
        <w:rPr>
          <w:rFonts w:ascii="Times New Roman" w:hAnsi="Times New Roman"/>
          <w:b/>
          <w:bCs/>
          <w:sz w:val="24"/>
          <w:szCs w:val="24"/>
        </w:rPr>
        <w:t>vey</w:t>
      </w:r>
      <w:r w:rsidRPr="00773CC4">
        <w:rPr>
          <w:rFonts w:ascii="Times New Roman" w:hAnsi="Times New Roman"/>
          <w:b/>
          <w:bCs/>
          <w:spacing w:val="-2"/>
          <w:sz w:val="24"/>
          <w:szCs w:val="24"/>
        </w:rPr>
        <w:t xml:space="preserve"> </w:t>
      </w:r>
      <w:r w:rsidRPr="00773CC4">
        <w:rPr>
          <w:rFonts w:ascii="Times New Roman" w:hAnsi="Times New Roman"/>
          <w:b/>
          <w:bCs/>
          <w:spacing w:val="1"/>
          <w:sz w:val="24"/>
          <w:szCs w:val="24"/>
        </w:rPr>
        <w:t>i</w:t>
      </w:r>
      <w:r w:rsidRPr="00773CC4">
        <w:rPr>
          <w:rFonts w:ascii="Times New Roman" w:hAnsi="Times New Roman"/>
          <w:b/>
          <w:bCs/>
          <w:sz w:val="24"/>
          <w:szCs w:val="24"/>
        </w:rPr>
        <w:t xml:space="preserve">n </w:t>
      </w:r>
      <w:r w:rsidRPr="00773CC4">
        <w:rPr>
          <w:rFonts w:ascii="Times New Roman" w:hAnsi="Times New Roman"/>
          <w:b/>
          <w:bCs/>
          <w:spacing w:val="-1"/>
          <w:sz w:val="24"/>
          <w:szCs w:val="24"/>
        </w:rPr>
        <w:t>Y</w:t>
      </w:r>
      <w:r w:rsidRPr="00773CC4">
        <w:rPr>
          <w:rFonts w:ascii="Times New Roman" w:hAnsi="Times New Roman"/>
          <w:b/>
          <w:bCs/>
          <w:sz w:val="24"/>
          <w:szCs w:val="24"/>
        </w:rPr>
        <w:t>og</w:t>
      </w:r>
      <w:r w:rsidRPr="00773CC4">
        <w:rPr>
          <w:rFonts w:ascii="Times New Roman" w:hAnsi="Times New Roman"/>
          <w:b/>
          <w:bCs/>
          <w:spacing w:val="-2"/>
          <w:sz w:val="24"/>
          <w:szCs w:val="24"/>
        </w:rPr>
        <w:t>y</w:t>
      </w:r>
      <w:r w:rsidRPr="00773CC4">
        <w:rPr>
          <w:rFonts w:ascii="Times New Roman" w:hAnsi="Times New Roman"/>
          <w:b/>
          <w:bCs/>
          <w:sz w:val="24"/>
          <w:szCs w:val="24"/>
        </w:rPr>
        <w:t>ak</w:t>
      </w:r>
      <w:r w:rsidRPr="00773CC4">
        <w:rPr>
          <w:rFonts w:ascii="Times New Roman" w:hAnsi="Times New Roman"/>
          <w:b/>
          <w:bCs/>
          <w:spacing w:val="-2"/>
          <w:sz w:val="24"/>
          <w:szCs w:val="24"/>
        </w:rPr>
        <w:t>a</w:t>
      </w:r>
      <w:r w:rsidRPr="00773CC4">
        <w:rPr>
          <w:rFonts w:ascii="Times New Roman" w:hAnsi="Times New Roman"/>
          <w:b/>
          <w:bCs/>
          <w:spacing w:val="1"/>
          <w:sz w:val="24"/>
          <w:szCs w:val="24"/>
        </w:rPr>
        <w:t>rt</w:t>
      </w:r>
      <w:r w:rsidRPr="00773CC4">
        <w:rPr>
          <w:rFonts w:ascii="Times New Roman" w:hAnsi="Times New Roman"/>
          <w:b/>
          <w:bCs/>
          <w:sz w:val="24"/>
          <w:szCs w:val="24"/>
        </w:rPr>
        <w:t>a</w:t>
      </w:r>
    </w:p>
    <w:p w14:paraId="292387A6" w14:textId="76D466AA" w:rsidR="00773CC4" w:rsidRPr="00773CC4" w:rsidRDefault="00773CC4" w:rsidP="00615659">
      <w:pPr>
        <w:pStyle w:val="Author"/>
        <w:jc w:val="center"/>
        <w:rPr>
          <w:rFonts w:ascii="Arial" w:hAnsi="Arial" w:cs="Arial"/>
          <w:b w:val="0"/>
          <w:i/>
          <w:sz w:val="16"/>
        </w:rPr>
      </w:pPr>
    </w:p>
    <w:p w14:paraId="2C4F7C2B" w14:textId="6974FF11" w:rsidR="00773CC4" w:rsidRDefault="00773CC4" w:rsidP="00F242E7">
      <w:pPr>
        <w:pStyle w:val="Author"/>
        <w:spacing w:line="240" w:lineRule="auto"/>
        <w:rPr>
          <w:rFonts w:ascii="Arial" w:hAnsi="Arial" w:cs="Arial"/>
          <w:b w:val="0"/>
          <w:i/>
          <w:sz w:val="16"/>
        </w:rPr>
      </w:pPr>
      <w:r>
        <w:rPr>
          <w:rFonts w:ascii="Arial" w:hAnsi="Arial" w:cs="Arial"/>
          <w:b w:val="0"/>
          <w:i/>
          <w:sz w:val="16"/>
        </w:rPr>
        <w:t xml:space="preserve"> </w:t>
      </w:r>
    </w:p>
    <w:p w14:paraId="40B8FFDC" w14:textId="77777777" w:rsidR="00790ADA" w:rsidRDefault="00790ADA" w:rsidP="00441B6F">
      <w:pPr>
        <w:pStyle w:val="Affiliation"/>
        <w:spacing w:after="0" w:line="240" w:lineRule="auto"/>
        <w:jc w:val="both"/>
        <w:rPr>
          <w:rFonts w:ascii="Arial" w:hAnsi="Arial" w:cs="Arial"/>
        </w:rPr>
      </w:pPr>
    </w:p>
    <w:p w14:paraId="143C6D59" w14:textId="77777777" w:rsidR="002C57D2" w:rsidRPr="00FB3A86" w:rsidRDefault="002C57D2" w:rsidP="00441B6F">
      <w:pPr>
        <w:pStyle w:val="Affiliation"/>
        <w:spacing w:after="0" w:line="240" w:lineRule="auto"/>
        <w:jc w:val="both"/>
        <w:rPr>
          <w:rFonts w:ascii="Arial" w:hAnsi="Arial" w:cs="Arial"/>
        </w:rPr>
      </w:pPr>
    </w:p>
    <w:p w14:paraId="6D3B9B50" w14:textId="56769790" w:rsidR="00B01FCD" w:rsidRPr="00FB3A86" w:rsidRDefault="00F81FA2" w:rsidP="00441B6F">
      <w:pPr>
        <w:pStyle w:val="Copyright"/>
        <w:spacing w:after="0" w:line="240" w:lineRule="auto"/>
        <w:jc w:val="both"/>
        <w:rPr>
          <w:rFonts w:ascii="Arial" w:hAnsi="Arial" w:cs="Arial"/>
        </w:rPr>
        <w:sectPr w:rsidR="00B01FCD" w:rsidRPr="00FB3A86" w:rsidSect="00160EF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2F8BD2" wp14:editId="37E4900A">
                <wp:extent cx="5303520" cy="635"/>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3ECD6A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22C23DCE" w14:textId="3A6E6AA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C9D77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242E7" w14:paraId="6BF4E66D" w14:textId="77777777" w:rsidTr="001E44FE">
        <w:tc>
          <w:tcPr>
            <w:tcW w:w="9576" w:type="dxa"/>
            <w:shd w:val="clear" w:color="auto" w:fill="F2F2F2"/>
          </w:tcPr>
          <w:p w14:paraId="6AA4862C" w14:textId="77777777" w:rsidR="004F7C81" w:rsidRPr="004F7C81" w:rsidRDefault="004F7C81" w:rsidP="004F7C81">
            <w:pPr>
              <w:pStyle w:val="NormalWeb"/>
              <w:spacing w:before="0" w:beforeAutospacing="0" w:after="0" w:afterAutospacing="0"/>
              <w:jc w:val="both"/>
              <w:rPr>
                <w:sz w:val="20"/>
                <w:szCs w:val="20"/>
              </w:rPr>
            </w:pPr>
            <w:r w:rsidRPr="004F7C81">
              <w:rPr>
                <w:sz w:val="20"/>
                <w:szCs w:val="20"/>
                <w:highlight w:val="yellow"/>
              </w:rPr>
              <w:t>Aims: To examine whether women’s attitudes, women’s motivation, and women’s role in household practices predict the KRS program performance score among At-Risk Families (Keluarga Berisiko Stunting; KRS) and to identify the most robust predictor in multivariable analysis.</w:t>
            </w:r>
          </w:p>
          <w:p w14:paraId="44BC26F1" w14:textId="77777777" w:rsidR="004F7C81" w:rsidRPr="004F7C81" w:rsidRDefault="004F7C81" w:rsidP="004F7C81">
            <w:pPr>
              <w:pStyle w:val="NormalWeb"/>
              <w:spacing w:before="0" w:beforeAutospacing="0" w:after="0" w:afterAutospacing="0"/>
              <w:jc w:val="both"/>
              <w:rPr>
                <w:sz w:val="20"/>
                <w:szCs w:val="20"/>
              </w:rPr>
            </w:pPr>
            <w:r w:rsidRPr="004F7C81">
              <w:rPr>
                <w:sz w:val="20"/>
                <w:szCs w:val="20"/>
              </w:rPr>
              <w:t>Study design: Quantitative analytical cross-sectional survey.</w:t>
            </w:r>
          </w:p>
          <w:p w14:paraId="012EC70B" w14:textId="77777777" w:rsidR="004F7C81" w:rsidRPr="004F7C81" w:rsidRDefault="004F7C81" w:rsidP="004F7C81">
            <w:pPr>
              <w:pStyle w:val="NormalWeb"/>
              <w:spacing w:before="0" w:beforeAutospacing="0" w:after="0" w:afterAutospacing="0"/>
              <w:jc w:val="both"/>
              <w:rPr>
                <w:sz w:val="20"/>
                <w:szCs w:val="20"/>
              </w:rPr>
            </w:pPr>
            <w:r w:rsidRPr="004F7C81">
              <w:rPr>
                <w:sz w:val="20"/>
                <w:szCs w:val="20"/>
              </w:rPr>
              <w:t>Place and Duration of Study: Special Region of Yogyakarta, Indonesia (Sleman District, Bantul District, and Yogyakarta City), during the study period.</w:t>
            </w:r>
          </w:p>
          <w:p w14:paraId="7A969C27" w14:textId="77777777" w:rsidR="004F7C81" w:rsidRPr="004F7C81" w:rsidRDefault="004F7C81" w:rsidP="004F7C81">
            <w:pPr>
              <w:pStyle w:val="NormalWeb"/>
              <w:spacing w:before="0" w:beforeAutospacing="0" w:after="0" w:afterAutospacing="0"/>
              <w:jc w:val="both"/>
              <w:rPr>
                <w:sz w:val="20"/>
                <w:szCs w:val="20"/>
              </w:rPr>
            </w:pPr>
            <w:r w:rsidRPr="004F7C81">
              <w:rPr>
                <w:sz w:val="20"/>
                <w:szCs w:val="20"/>
                <w:highlight w:val="yellow"/>
              </w:rPr>
              <w:t>Methodology: The target population comprised KRS households (sampling frame: 68,219). Using proportional stratified random sampling by administrative area, 200 households were selected. Enumerators administered a structured questionnaire, and responses were consolidated into composite scores for the KRS program performance score (household involvement/adherence to KRS-aligned stunting-prevention activities) and three predictors: women’s attitude, women’s motivation, and women’s role (covering domestic responsibilities including maternal childcare and household management relevant to child nutrition and health). Multiple linear regression with SPSS Backward elimination was applied (F-to-remove probability ≥ 0.100).</w:t>
            </w:r>
            <w:r w:rsidRPr="004F7C81">
              <w:rPr>
                <w:sz w:val="20"/>
                <w:szCs w:val="20"/>
              </w:rPr>
              <w:t xml:space="preserve"> Assumption checks included residual normality and homoscedasticity using plots, and multicollinearity using tolerance and variance inflation factor (VIF).</w:t>
            </w:r>
          </w:p>
          <w:p w14:paraId="7EF175FB" w14:textId="77777777" w:rsidR="004F7C81" w:rsidRPr="004F7C81" w:rsidRDefault="004F7C81" w:rsidP="004F7C81">
            <w:pPr>
              <w:pStyle w:val="NormalWeb"/>
              <w:spacing w:before="0" w:beforeAutospacing="0" w:after="0" w:afterAutospacing="0"/>
              <w:jc w:val="both"/>
              <w:rPr>
                <w:sz w:val="20"/>
                <w:szCs w:val="20"/>
              </w:rPr>
            </w:pPr>
            <w:r w:rsidRPr="004F7C81">
              <w:rPr>
                <w:sz w:val="20"/>
                <w:szCs w:val="20"/>
              </w:rPr>
              <w:t>Results: The primary regression used complete cases (n = 191). In the final model, women’s attitude was the only significant predictor of the KRS program performance score (B = 2.522; standardized β = 0.560; p &lt; 0.001), explaining 31.4% of the variance (R² = 0.314; F = 86.340; p &lt; 0.001). Women’s motivation (p = 0.197) and women’s role (p = 0.421) were removed during backward selection. Multicollinearity was not indicated (VIF 1.675–1.937).</w:t>
            </w:r>
          </w:p>
          <w:p w14:paraId="104826A2" w14:textId="77777777" w:rsidR="004F7C81" w:rsidRPr="004F7C81" w:rsidRDefault="004F7C81" w:rsidP="004F7C81">
            <w:pPr>
              <w:pStyle w:val="NormalWeb"/>
              <w:spacing w:before="0" w:beforeAutospacing="0" w:after="0" w:afterAutospacing="0"/>
              <w:jc w:val="both"/>
              <w:rPr>
                <w:sz w:val="20"/>
                <w:szCs w:val="20"/>
              </w:rPr>
            </w:pPr>
            <w:r w:rsidRPr="004F7C81">
              <w:rPr>
                <w:sz w:val="20"/>
                <w:szCs w:val="20"/>
                <w:highlight w:val="yellow"/>
              </w:rPr>
              <w:t>Conclusion: In this sample of KRS households in Yogyakarta, women’s attitude was the most significant predictor of household program performance. Stunting-prevention strategies should prioritize attitude-strengthening components that translate endorsement into timely routine actions, while concurrently addressing enabling conditions beyond personal factors.</w:t>
            </w:r>
          </w:p>
          <w:p w14:paraId="1F85D2CE" w14:textId="5374EB59" w:rsidR="00505F06" w:rsidRPr="004F7C81" w:rsidRDefault="00505F06" w:rsidP="004F7C81">
            <w:pPr>
              <w:pStyle w:val="Body"/>
              <w:spacing w:after="0"/>
              <w:rPr>
                <w:rFonts w:ascii="Times New Roman" w:hAnsi="Times New Roman"/>
                <w:lang w:val="id-ID" w:eastAsia="id-ID"/>
              </w:rPr>
            </w:pPr>
          </w:p>
        </w:tc>
      </w:tr>
    </w:tbl>
    <w:p w14:paraId="2D38C947" w14:textId="77777777" w:rsidR="00636EB2" w:rsidRDefault="00636EB2" w:rsidP="00441B6F">
      <w:pPr>
        <w:pStyle w:val="Body"/>
        <w:spacing w:after="0"/>
        <w:rPr>
          <w:rFonts w:ascii="Arial" w:hAnsi="Arial" w:cs="Arial"/>
          <w:i/>
        </w:rPr>
      </w:pPr>
    </w:p>
    <w:p w14:paraId="5AC5BFB1" w14:textId="77777777" w:rsidR="00F242E7" w:rsidRPr="00F242E7" w:rsidRDefault="00F242E7" w:rsidP="00F242E7">
      <w:pPr>
        <w:pStyle w:val="NormalWeb"/>
        <w:jc w:val="both"/>
        <w:rPr>
          <w:rFonts w:ascii="Arial" w:hAnsi="Arial" w:cs="Arial"/>
          <w:i/>
          <w:sz w:val="20"/>
          <w:szCs w:val="20"/>
          <w:lang w:val="en-US" w:eastAsia="en-US"/>
        </w:rPr>
      </w:pPr>
      <w:r w:rsidRPr="00F242E7">
        <w:rPr>
          <w:rFonts w:ascii="Arial" w:hAnsi="Arial" w:cs="Arial"/>
          <w:i/>
          <w:sz w:val="20"/>
          <w:szCs w:val="20"/>
          <w:lang w:val="en-US" w:eastAsia="en-US"/>
        </w:rPr>
        <w:t>Keywords: stunting prevention; At-Risk Families (KRS); women’s attitude; women’s role; household program performance score; Yogyakarta; multiple linear regression; cross-sectional study.</w:t>
      </w:r>
    </w:p>
    <w:p w14:paraId="13864CB2" w14:textId="77777777" w:rsidR="00F242E7" w:rsidRDefault="00F242E7" w:rsidP="00441B6F">
      <w:pPr>
        <w:pStyle w:val="Body"/>
        <w:spacing w:after="0"/>
        <w:rPr>
          <w:rFonts w:ascii="Arial" w:hAnsi="Arial" w:cs="Arial"/>
          <w:i/>
        </w:rPr>
      </w:pPr>
    </w:p>
    <w:p w14:paraId="7EE5E8D7" w14:textId="1C22547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C0FC554" w14:textId="77777777" w:rsidR="00F242E7" w:rsidRDefault="00F242E7" w:rsidP="00441B6F">
      <w:pPr>
        <w:pStyle w:val="AbstHead"/>
        <w:spacing w:after="0"/>
        <w:jc w:val="both"/>
        <w:rPr>
          <w:rFonts w:ascii="Arial" w:hAnsi="Arial" w:cs="Arial"/>
        </w:rPr>
      </w:pPr>
    </w:p>
    <w:p w14:paraId="59A7EF9D" w14:textId="6D9C99CE" w:rsidR="00F242E7" w:rsidRPr="00F242E7" w:rsidRDefault="00F242E7" w:rsidP="00F242E7">
      <w:pPr>
        <w:pStyle w:val="Body"/>
        <w:spacing w:after="0"/>
        <w:ind w:firstLine="720"/>
        <w:rPr>
          <w:rFonts w:ascii="Arial" w:hAnsi="Arial" w:cs="Arial"/>
        </w:rPr>
      </w:pPr>
      <w:r>
        <w:rPr>
          <w:rFonts w:ascii="Arial" w:hAnsi="Arial" w:cs="Arial"/>
        </w:rPr>
        <w:t xml:space="preserve">Child stunting persists as a significant global nutrition and development issue, indicative of enduring limitations in dietary quality, caregiving practices, exposure to infections, and access to appropriate services. Recent estimates indicate a significant prevalence of linear growth halting in children under five, with severe subsequent consequences for human </w:t>
      </w:r>
      <w:r>
        <w:rPr>
          <w:rFonts w:ascii="Arial" w:hAnsi="Arial" w:cs="Arial"/>
        </w:rPr>
        <w:lastRenderedPageBreak/>
        <w:t xml:space="preserve">capital development </w:t>
      </w:r>
      <w:r>
        <w:rPr>
          <w:rFonts w:ascii="Arial" w:hAnsi="Arial" w:cs="Arial"/>
        </w:rPr>
        <w:fldChar w:fldCharType="begin" w:fldLock="1"/>
      </w:r>
      <w:r w:rsidR="00C97C17">
        <w:rPr>
          <w:rFonts w:ascii="Arial" w:hAnsi="Arial" w:cs="Arial"/>
        </w:rPr>
        <w:instrText>ADDIN CSL_CITATION {"citationItems":[{"id":"ITEM-1","itemData":{"DOI":"10.1136/bmjgh-2024-015438","ISSN":"20597908","abstract":"Background Childhood stunting remains common in many low-income settings and is associated with increased morbidity and mortality, as well as impaired child development. Methods The main objective of the study was to assess whether home-installed growth charts as well as small-quantity lipid-based nutrient supplements (SQ-LNS) can reduce growth faltering among infants. All caregivers of infants between 2 and 10 months of age at baseline, and at least 6 months old at the beginning of the interventions, in 282 randomly selected enumeration areas in Choma, Mansa and Lusaka districts in Zambia were invited to participate in the study. Cluster randomisation was stratified by district. A software-generated random number draw was used to assign clusters to one of four arms: (1) no intervention (control); (2) home installation of a wall chart that contained a growth monitoring tool along with key messages on infant and young child feeding and nutrition (growth charts only); (3) 30 sachets of SQLNS delivered each month (SQ-LNS only) or (4) growth charts+SQ LNS. The primary outcomes were children's height-for-age z-score (HAZ) and stunting (HAZ &lt;-2) after 18 months of intervention. Secondary outcomes were haemoglobin (Hb), anaemia (Hb&lt;110.0 g/L), weight-for-height, weight-for-age z-score (WAZ), underweight (WAZ&lt;-2) and child development measured by the Global Scales of Early Development (GSED). Outcomes were analysed intention to treat using adjusted linear and logistic regression models and compared each of the three interventions to the control group. Assessors and analysts were blinded to the treatment-blinding of participating families was not possible. Results A total of 2291 caregiver-child dyads across the 282 study clusters were included in the study. 70 clusters (557 dyads) were assigned to the control group, 70 clusters (643 dyads) to growth charts only, 71 clusters (525 dyads) to SQ-LNS and 71 clusters (566 dyads) to SQ-LNS and growth charts. SQ-LNS improved HAZ by 0.21 SD (95% CI 0.06 to 0.36) and reduced the odds of stunting by 37% (adjusted OR, aOR 0.63, 95% CI (0.46 to 0.87)). No HAZ or stunting impacts were found in the growth charts only or growth charts+SQ LNS arms. SQ-LNS only improved WAZ (mean difference, MD 0.17, 95% CI (0.05 to 0.28). No impacts on WAZ were seen for growth charts and the combined intervention. Child development was higher in the growth charts only (MD 0.18, 95% CI (0.01 to 0.35)) and SQ-LNS only arms (MD 0.28, 95% CI (0.09 …","author":[{"dropping-particle":"","family":"Fink","given":"Günther","non-dropping-particle":"","parse-names":false,"suffix":""},{"dropping-particle":"","family":"Locks","given":"Lindsey M.","non-dropping-particle":"","parse-names":false,"suffix":""},{"dropping-particle":"","family":"Lauer","given":"Jacqueline M.","non-dropping-particle":"","parse-names":false,"suffix":""},{"dropping-particle":"","family":"Chembe","given":"Mpela","non-dropping-particle":"","parse-names":false,"suffix":""},{"dropping-particle":"","family":"Henderson","given":"Savanna","non-dropping-particle":"","parse-names":false,"suffix":""},{"dropping-particle":"","family":"Sikazwe","given":"Dorothy","non-dropping-particle":"","parse-names":false,"suffix":""},{"dropping-particle":"","family":"Billima-Mulenga","given":"Tamara","non-dropping-particle":"","parse-names":false,"suffix":""},{"dropping-particle":"","family":"Parkerson","given":"Doug","non-dropping-particle":"","parse-names":false,"suffix":""},{"dropping-particle":"","family":"Rockers","given":"Peter C.","non-dropping-particle":"","parse-names":false,"suffix":""}],"container-title":"BMJ Global Health","id":"ITEM-1","issue":"8","issued":{"date-parts":[["2024"]]},"page":"1-11","title":"The impact of home-installed growth charts and small-quantity lipid-based nutrient supplements (SQ-LNS) on child growth in Zambia: a four-arm parallel open-label cluster randomised controlled trial","type":"article-journal","volume":"9"},"uris":["http://www.mendeley.com/documents/?uuid=5b8a633e-84e8-4edf-9393-ad167c7d7608"]}],"mendeley":{"formattedCitation":"(Fink et al., 2024)","plainTextFormattedCitation":"(Fink et al., 2024)","previouslyFormattedCitation":"(Fink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(Fink et al., 2024)</w:t>
      </w:r>
      <w:r>
        <w:rPr>
          <w:rFonts w:ascii="Arial" w:hAnsi="Arial" w:cs="Arial"/>
        </w:rPr>
        <w:fldChar w:fldCharType="end"/>
      </w:r>
      <w:r>
        <w:rPr>
          <w:rFonts w:ascii="Arial" w:hAnsi="Arial" w:cs="Arial"/>
        </w:rPr>
        <w:t xml:space="preserve">. In numerous low- and middle-income contexts, the restricted and context-specific efficacy of single-component interventions has strengthened the perspective that reducing stunting necessitates integrated strategies that amalgamate behavior modification with facilitating conditions (e.g., food accessibility, service quality, and infection management) </w:t>
      </w:r>
      <w:r>
        <w:rPr>
          <w:rFonts w:ascii="Arial" w:hAnsi="Arial" w:cs="Arial"/>
        </w:rPr>
        <w:fldChar w:fldCharType="begin" w:fldLock="1"/>
      </w:r>
      <w:r w:rsidR="00C97C17">
        <w:rPr>
          <w:rFonts w:ascii="Arial" w:hAnsi="Arial" w:cs="Arial"/>
        </w:rPr>
        <w:instrText>ADDIN CSL_CITATION {"citationItems":[{"id":"ITEM-1","itemData":{"DOI":"10.1136/bmjgh-2024-015438","ISSN":"20597908","abstract":"Background Childhood stunting remains common in many low-income settings and is associated with increased morbidity and mortality, as well as impaired child development. Methods The main objective of the study was to assess whether home-installed growth charts as well as small-quantity lipid-based nutrient supplements (SQ-LNS) can reduce growth faltering among infants. All caregivers of infants between 2 and 10 months of age at baseline, and at least 6 months old at the beginning of the interventions, in 282 randomly selected enumeration areas in Choma, Mansa and Lusaka districts in Zambia were invited to participate in the study. Cluster randomisation was stratified by district. A software-generated random number draw was used to assign clusters to one of four arms: (1) no intervention (control); (2) home installation of a wall chart that contained a growth monitoring tool along with key messages on infant and young child feeding and nutrition (growth charts only); (3) 30 sachets of SQLNS delivered each month (SQ-LNS only) or (4) growth charts+SQ LNS. The primary outcomes were children's height-for-age z-score (HAZ) and stunting (HAZ &lt;-2) after 18 months of intervention. Secondary outcomes were haemoglobin (Hb), anaemia (Hb&lt;110.0 g/L), weight-for-height, weight-for-age z-score (WAZ), underweight (WAZ&lt;-2) and child development measured by the Global Scales of Early Development (GSED). Outcomes were analysed intention to treat using adjusted linear and logistic regression models and compared each of the three interventions to the control group. Assessors and analysts were blinded to the treatment-blinding of participating families was not possible. Results A total of 2291 caregiver-child dyads across the 282 study clusters were included in the study. 70 clusters (557 dyads) were assigned to the control group, 70 clusters (643 dyads) to growth charts only, 71 clusters (525 dyads) to SQ-LNS and 71 clusters (566 dyads) to SQ-LNS and growth charts. SQ-LNS improved HAZ by 0.21 SD (95% CI 0.06 to 0.36) and reduced the odds of stunting by 37% (adjusted OR, aOR 0.63, 95% CI (0.46 to 0.87)). No HAZ or stunting impacts were found in the growth charts only or growth charts+SQ LNS arms. SQ-LNS only improved WAZ (mean difference, MD 0.17, 95% CI (0.05 to 0.28). No impacts on WAZ were seen for growth charts and the combined intervention. Child development was higher in the growth charts only (MD 0.18, 95% CI (0.01 to 0.35)) and SQ-LNS only arms (MD 0.28, 95% CI (0.09 …","author":[{"dropping-particle":"","family":"Fink","given":"Günther","non-dropping-particle":"","parse-names":false,"suffix":""},{"dropping-particle":"","family":"Locks","given":"Lindsey M.","non-dropping-particle":"","parse-names":false,"suffix":""},{"dropping-particle":"","family":"Lauer","given":"Jacqueline M.","non-dropping-particle":"","parse-names":false,"suffix":""},{"dropping-particle":"","family":"Chembe","given":"Mpela","non-dropping-particle":"","parse-names":false,"suffix":""},{"dropping-particle":"","family":"Henderson","given":"Savanna","non-dropping-particle":"","parse-names":false,"suffix":""},{"dropping-particle":"","family":"Sikazwe","given":"Dorothy","non-dropping-particle":"","parse-names":false,"suffix":""},{"dropping-particle":"","family":"Billima-Mulenga","given":"Tamara","non-dropping-particle":"","parse-names":false,"suffix":""},{"dropping-particle":"","family":"Parkerson","given":"Doug","non-dropping-particle":"","parse-names":false,"suffix":""},{"dropping-particle":"","family":"Rockers","given":"Peter C.","non-dropping-particle":"","parse-names":false,"suffix":""}],"container-title":"BMJ Global Health","id":"ITEM-1","issue":"8","issued":{"date-parts":[["2024"]]},"page":"1-11","title":"The impact of home-installed growth charts and small-quantity lipid-based nutrient supplements (SQ-LNS) on child growth in Zambia: a four-arm parallel open-label cluster randomised controlled trial","type":"article-journal","volume":"9"},"uris":["http://www.mendeley.com/documents/?uuid=5b8a633e-84e8-4edf-9393-ad167c7d7608"]}],"mendeley":{"formattedCitation":"(Fink et al., 2024)","plainTextFormattedCitation":"(Fink et al., 2024)","previouslyFormattedCitation":"(Fink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(Fink et al., 2024)</w:t>
      </w:r>
      <w:r>
        <w:rPr>
          <w:rFonts w:ascii="Arial" w:hAnsi="Arial" w:cs="Arial"/>
        </w:rPr>
        <w:fldChar w:fldCharType="end"/>
      </w:r>
      <w:r>
        <w:rPr>
          <w:rFonts w:ascii="Arial" w:hAnsi="Arial" w:cs="Arial"/>
        </w:rPr>
        <w:t>.</w:t>
      </w:r>
    </w:p>
    <w:p w14:paraId="1AA0432A" w14:textId="3341D611" w:rsidR="00F242E7" w:rsidRDefault="00F242E7" w:rsidP="00F242E7">
      <w:pPr>
        <w:pStyle w:val="Body"/>
        <w:spacing w:after="0"/>
        <w:ind w:firstLine="720"/>
        <w:rPr>
          <w:rFonts w:ascii="Arial" w:hAnsi="Arial" w:cs="Arial"/>
        </w:rPr>
      </w:pPr>
      <w:r>
        <w:rPr>
          <w:rFonts w:ascii="Arial" w:hAnsi="Arial" w:cs="Arial"/>
        </w:rPr>
        <w:t xml:space="preserve">Indonesia is one of the nations where stunting continues to be a critical public health concern. The 2023 Indonesian Health Survey (SKI) indicates a countrywide stunting prevalence of 21.5%, reflecting progress over time although being significantly below government objectives </w:t>
      </w:r>
      <w:r>
        <w:rPr>
          <w:rFonts w:ascii="Arial" w:hAnsi="Arial" w:cs="Arial"/>
        </w:rPr>
        <w:fldChar w:fldCharType="begin" w:fldLock="1"/>
      </w:r>
      <w:r w:rsidR="00C97C17">
        <w:rPr>
          <w:rFonts w:ascii="Arial" w:hAnsi="Arial" w:cs="Arial"/>
        </w:rPr>
        <w:instrText>ADDIN CSL_CITATION {"citationItems":[{"id":"ITEM-1","itemData":{"abstract":"Fact Sheet Survei Kesehatan Indonesia (SKI) 2023","author":[{"dropping-particle":"","family":"Kemenkes RI","given":"","non-dropping-particle":"","parse-names":false,"suffix":""}],"container-title":"Https://Repository.Badankebijakan.Kemkes.Go.Id/","id":"ITEM-1","issued":{"date-parts":[["2023"]]},"page":"1-2","title":"Stunting in Indonesia and Its Determinants","type":"article-journal"},"uris":["http://www.mendeley.com/documents/?uuid=7b5ccd7c-1ec3-4e25-b734-771b65da07b8"]}],"mendeley":{"formattedCitation":"(Kemenkes RI, 2023)","plainTextFormattedCitation":"(Kemenkes RI, 2023)","previouslyFormattedCitation":"(Kemenkes RI, 2023)"},"properties":{"noteIndex":0},"schema":"https://github.com/citation-style-language/schema/raw/master/csl-citation.json"}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(Kemenkes RI, 2023)</w:t>
      </w:r>
      <w:r>
        <w:rPr>
          <w:rFonts w:ascii="Arial" w:hAnsi="Arial" w:cs="Arial"/>
        </w:rPr>
        <w:fldChar w:fldCharType="end"/>
      </w:r>
      <w:r w:rsidRPr="00F242E7">
        <w:rPr>
          <w:rFonts w:ascii="Arial" w:hAnsi="Arial" w:cs="Arial"/>
        </w:rPr>
        <w:t>.</w:t>
      </w:r>
      <w:r>
        <w:rPr>
          <w:rFonts w:ascii="Arial" w:hAnsi="Arial" w:cs="Arial"/>
        </w:rPr>
        <w:t xml:space="preserve"> In this national environment, stunting policy has increasingly focused on targeted home strategies and enhanced community delivery systems to boost early detection, counseling engagement, and continuity of care. Evidence from implementation-oriented research indicates that the efficacy of integrated policies relies not alone on design but also on local execution capacity, coordination, and ongoing household participation </w:t>
      </w:r>
      <w:r>
        <w:rPr>
          <w:rFonts w:ascii="Arial" w:hAnsi="Arial" w:cs="Arial"/>
        </w:rPr>
        <w:fldChar w:fldCharType="begin" w:fldLock="1"/>
      </w:r>
      <w:r w:rsidR="00C97C17">
        <w:rPr>
          <w:rFonts w:ascii="Arial" w:hAnsi="Arial" w:cs="Arial"/>
        </w:rPr>
        <w:instrText>ADDIN CSL_CITATION {"citationItems":[{"id":"ITEM-1","itemData":{"DOI":"10.1136/bmjopen-2024-087432","ISSN":"20446055","PMID":"39581709","abstract":"Objectives The research aims to understand the challenges and opportunities in policy and programme convergence to accelerate interventions for reducing stunting at the district, subdistrict and the 10 focused villages. Design Data were collected through qualitative methods (in-depth interviews and document reviews), and then analysed using thematic processes with NVivo V.11 software, by QSR International The process included coding, categorising and linking to the eight implementation outcome variables (as determined themes), namely acceptability, adoption, appropriateness, feasibility, compliance, implementation cost, coverage and sustainability. The variables of convergence action policies were implemented differently by stakeholders at different layers of governance. Setting Pidie district, Aceh province, Indonesia. Participants 106 respondents from provincial to village levels were selected and interviewed, including leaders and policymakers (n=10); and convergence action implementers from the province to the villages (n=96). Results Stunting reduction policies were generally acceptable to local leaders and policymakers as a policy imperative. Implementation costs were considered sufficient by stakeholders, although focusing only on nutrition-specific interventions. However, in terms of adoption, feasibility, compliance, nutrition-sensitive intervention coverage and sustainability aspects were insufficiently implemented in all the focused villages due to inadequate collaboration between health and non-health sectors and limited experts. Conclusions This study offers key recommendations for policy and practice changes and considerations. The utilisation of methods and findings from this study in other areas in Indonesia or other low- and middle-income countries is important to explore more about the applicability, benefits and weaknesses of this study.","author":[{"dropping-particle":"","family":"Sufri","given":"Sofyan","non-dropping-particle":"","parse-names":false,"suffix":""},{"dropping-particle":"","family":"Iskandar","given":"Iskandar","non-dropping-particle":"","parse-names":false,"suffix":""},{"dropping-particle":"","family":"Nurhasanah","given":"Nurhasanah","non-dropping-particle":"","parse-names":false,"suffix":""},{"dropping-particle":"","family":"Bakri","given":"Saiful","non-dropping-particle":"","parse-names":false,"suffix":""},{"dropping-particle":"","family":"Jannah","given":"Misbahul","non-dropping-particle":"","parse-names":false,"suffix":""},{"dropping-particle":"","family":"Rajuddin","given":"Rajuddin","non-dropping-particle":"","parse-names":false,"suffix":""},{"dropping-particle":"","family":"Nainggolan","given":"Sarah Ika","non-dropping-particle":"","parse-names":false,"suffix":""},{"dropping-particle":"","family":"Sirasa","given":"Fathima","non-dropping-particle":"","parse-names":false,"suffix":""},{"dropping-particle":"","family":"Lassa","given":"Jonatan Anderias","non-dropping-particle":"","parse-names":false,"suffix":""}],"container-title":"BMJ Open","id":"ITEM-1","issue":"11","issued":{"date-parts":[["2024"]]},"title":"Implementation outcomes of convergence action policy to accelerate stunting reduction in Pidie district, Aceh province, Indonesia: a qualitative study","type":"article-journal","volume":"14"},"uris":["http://www.mendeley.com/documents/?uuid=07c73513-6743-47d0-b5e5-ea76df457f58"]}],"mendeley":{"formattedCitation":"(Sufri et al., 2024)","plainTextFormattedCitation":"(Sufri et al., 2024)","previouslyFormattedCitation":"(Sufri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(Sufri et al., 2024)</w:t>
      </w:r>
      <w:r>
        <w:rPr>
          <w:rFonts w:ascii="Arial" w:hAnsi="Arial" w:cs="Arial"/>
        </w:rPr>
        <w:fldChar w:fldCharType="end"/>
      </w:r>
      <w:r w:rsidRPr="00F242E7">
        <w:rPr>
          <w:rFonts w:ascii="Arial" w:hAnsi="Arial" w:cs="Arial"/>
        </w:rPr>
        <w:t>.</w:t>
      </w:r>
    </w:p>
    <w:p w14:paraId="113D4FAB" w14:textId="47F5138D" w:rsidR="00F242E7" w:rsidRDefault="00F242E7" w:rsidP="00F242E7">
      <w:pPr>
        <w:pStyle w:val="Body"/>
        <w:spacing w:after="0"/>
        <w:ind w:firstLine="720"/>
        <w:rPr>
          <w:rFonts w:ascii="Arial" w:hAnsi="Arial" w:cs="Arial"/>
        </w:rPr>
      </w:pPr>
      <w:r>
        <w:rPr>
          <w:rFonts w:ascii="Arial" w:hAnsi="Arial" w:cs="Arial"/>
        </w:rPr>
        <w:t xml:space="preserve">A primary delivery platform in Indonesia is community-oriented growth monitoring and counseling facilitated by frontline community agents and local service points (e.g., monthly assessments, counseling sessions, and follow-ups). Recent assessments emphasize the strategic importance of community health professionals and platforms in linking homes to preventive services, while also noting ongoing limitations that may diminish delivery intensity and consistency </w:t>
      </w:r>
      <w:r>
        <w:rPr>
          <w:rFonts w:ascii="Arial" w:hAnsi="Arial" w:cs="Arial"/>
        </w:rPr>
        <w:fldChar w:fldCharType="begin" w:fldLock="1"/>
      </w:r>
      <w:r w:rsidR="00C97C17">
        <w:rPr>
          <w:rFonts w:ascii="Arial" w:hAnsi="Arial" w:cs="Arial"/>
        </w:rPr>
        <w:instrText>ADDIN CSL_CITATION {"citationItems":[{"id":"ITEM-1","itemData":{"DOI":"10.1002/puh2.108","ISSN":"27692450","abstract":"In Indonesia, home to the fourth-largest children-under-five population globally, the stunting prevalence is among the highest in Asia. The detrimental and irreversible impacts of stunting warranted the government to aim for stunting eradication by 2030, with community health workers (CHWs) at the forefront of the program. With over 1.5 million Indonesian CHWs conducting monthly growth monitoring and counseling, the critical importance and cost-effectiveness of CHWs in stunting management are clear. However, several implementation challenges continue to hinder their maximum potential. This includes unclear recruitment processes, the nonprofessional status of CHWs, unclear incentive schemes, research and funding constraints, and unclear role of stakeholders. This commentary examines the current involvement of CHWs in the Indonesian stunting program, the remaining issues, and recommendations to mitigate the identified challenges. Improvements in the recruitment process, recognition, and incentivization system, as well as cross-sectoral collaboration, particularly in evidence creation and policy-research continuum, are crucial in improving the current program and achieve the goal of stunting eradication.","author":[{"dropping-particle":"","family":"Miranda","given":"Adriana Viola","non-dropping-particle":"","parse-names":false,"suffix":""},{"dropping-particle":"","family":"Sirmareza","given":"Trio","non-dropping-particle":"","parse-names":false,"suffix":""},{"dropping-particle":"","family":"Nugraha","given":"Ryan Rachmad","non-dropping-particle":"","parse-names":false,"suffix":""},{"dropping-particle":"","family":"Rastuti","given":"Maritta","non-dropping-particle":"","parse-names":false,"suffix":""},{"dropping-particle":"","family":"Syahidi","given":"Habibi","non-dropping-particle":"","parse-names":false,"suffix":""},{"dropping-particle":"","family":"Asmara","given":"Rindang","non-dropping-particle":"","parse-names":false,"suffix":""},{"dropping-particle":"","family":"Petersen","given":"Zack","non-dropping-particle":"","parse-names":false,"suffix":""}],"container-title":"Public Health Challenges","id":"ITEM-1","issue":"3","issued":{"date-parts":[["2023"]]},"page":"1-6","title":"Towards stunting eradication in Indonesia: Time to invest in community health workers","type":"article-journal","volume":"2"},"uris":["http://www.mendeley.com/documents/?uuid=f0f5bea3-5006-4d3e-94a3-137c3e1c18cb"]}],"mendeley":{"formattedCitation":"(Miranda et al., 2023)","plainTextFormattedCitation":"(Miranda et al., 2023)","previouslyFormattedCitation":"(Miranda et al., 2023)"},"properties":{"noteIndex":0},"schema":"https://github.com/citation-style-language/schema/raw/master/csl-citation.json"}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(Miranda et al., 2023)</w:t>
      </w:r>
      <w:r>
        <w:rPr>
          <w:rFonts w:ascii="Arial" w:hAnsi="Arial" w:cs="Arial"/>
        </w:rPr>
        <w:fldChar w:fldCharType="end"/>
      </w:r>
      <w:r w:rsidRPr="00F242E7">
        <w:rPr>
          <w:rFonts w:ascii="Arial" w:hAnsi="Arial" w:cs="Arial"/>
        </w:rPr>
        <w:t>.</w:t>
      </w:r>
      <w:r>
        <w:rPr>
          <w:rFonts w:ascii="Arial" w:hAnsi="Arial" w:cs="Arial"/>
        </w:rPr>
        <w:t xml:space="preserve"> These realities are significant because stunting-reduction strategies eventually manifest at the home level: families must consistently participate in growth monitoring, accurately assess risks, implement practical nutritional enhancements, and pursue prompt referrals when necessary.</w:t>
      </w:r>
    </w:p>
    <w:p w14:paraId="73536DA7" w14:textId="10A3D086" w:rsidR="00BD6F94" w:rsidRPr="00BD6F94" w:rsidRDefault="00A056D2" w:rsidP="00BD6F94">
      <w:pPr>
        <w:pStyle w:val="Body"/>
        <w:spacing w:after="0"/>
        <w:ind w:firstLine="720"/>
        <w:rPr>
          <w:rFonts w:ascii="Arial" w:hAnsi="Arial" w:cs="Arial"/>
        </w:rPr>
      </w:pPr>
      <w:r>
        <w:rPr>
          <w:rFonts w:ascii="Arial" w:hAnsi="Arial" w:cs="Arial"/>
          <w:highlight w:val="yellow"/>
        </w:rPr>
        <w:t xml:space="preserve">From a behavioral science perspective, household participation in stunting prevention can be perceived as a sequence of choices influenced by psychological considerations and practical constraints. Attitude is often considered a direct factor linked to risk assessment, perceived advantages, and willingness to consistently participate—especially in habitual behaviors like growth monitoring attendance, compliance with recommended feeding practices, and use of maternal–child health care services. This corresponds with the Theory of Planned Activity framework, which posits that favorable attitudes are expected to enhance intentions and elevate the probability of persistent execution of the desired activity. Recent empirical studies indicate a consistent trend: behavior-change communication can improve caregiver knowledge and specific practices, yet may not result in substantial enhancements in stunting outcomes when limiting conditions persist (e.g., food affordability, time scarcity, infection burden, or service quality) </w:t>
      </w:r>
      <w:r>
        <w:rPr>
          <w:rFonts w:ascii="Arial" w:hAnsi="Arial" w:cs="Arial"/>
          <w:highlight w:val="yellow"/>
        </w:rPr>
        <w:fldChar w:fldCharType="begin" w:fldLock="1"/>
      </w:r>
      <w:r>
        <w:rPr>
          <w:rFonts w:ascii="Arial" w:hAnsi="Arial" w:cs="Arial"/>
          <w:highlight w:val="yellow"/>
        </w:rPr>
        <w:instrText>ADDIN CSL_CITATION {"citationItems":[{"id":"ITEM-1","itemData":{"DOI":"10.1111/mcn.13802","ISSN":"17408709","PMID":"40040346","abstract":"The co-existence of childhood stunting and obesity is a public health problem in Guatemala and Latin America. The objective of this study was to assess the effects of unsweetened small-quantity lipid-based nutrient supplements (SQ-LNS) coupled with a behavior change communication (BCC) strategy on the double burden of malnutrition. We conducted a three-arm randomized-control trial with two-stage cluster sampling of households with children under 4.5 months or a mother in the third trimester of pregnancy at baseline from 76 communities in Baja-Verapaz, Guatemala. Some 1268 households were randomly assigned to SQ-LNS or micronutrient powders (MNPs) paired with a multilevel participatory-ludic BCC strategy, or to MNPs only. Measures of mothers' nutrition knowledge and practices were collected at baseline and endline. Children's height, weight, and hemoglobin concentration were measured at endline. Treatment effects were estimated using regression models. The BCC strategy boosted caregiver nutrition knowledge from 4.2 (95% CI: 2.7, 5.7) to 4.6 percentage points (95% CI: 3.1, 6.1). Significant effects on nutrition practices of 3.0 percentage points (95% CI: 1.2, 4.8) were found only for caregivers with children receiving SQ-LNS. We found no detectable treatment effects on stunting or anemia. However, children exposed to SQ-LNS and the BCC strategy were 2.6 percentage points (95% CI: −5.0, −0.2) less likely to be overweight or obese (54.1% lower than the group receiving MNPs only). An intervention coupling a multilevel participatory-ludic BCC strategy with the use of unsweetened SQ-LNS holds promise for the prevention of childhood overweight and obesity, yet complementary interventions are required to address non-nutritional factors related to stunting in Guatemala.","author":[{"dropping-particle":"","family":"Acero","given":"Carolina Gonzalez","non-dropping-particle":"","parse-names":false,"suffix":""},{"dropping-particle":"","family":"Martinez","given":"Sebastian","non-dropping-particle":"","parse-names":false,"suffix":""},{"dropping-particle":"","family":"Perez-Exposito","given":"Ana","non-dropping-particle":"","parse-names":false,"suffix":""},{"dropping-particle":"","family":"Winters","given":"Solis","non-dropping-particle":"","parse-names":false,"suffix":""}],"container-title":"Maternal and Child Nutrition","id":"ITEM-1","issue":"3","issued":{"date-parts":[["2025"]]},"page":"1-15","title":"Effect of a Behavioral Change Communication Strategy Coupled With Small-Quantity Lipid-Based or Micro-Nutrient Supplements on Stunting and Obesity in Children in Baja Verapaz, Guatemala: Results From a Cluster Randomized Controlled Trial","type":"article-journal","volume":"21"},"uris":["http://www.mendeley.com/documents/?uuid=b3ad4a2c-2fde-49e5-b4e4-f80380c434f0"]}],"mendeley":{"formattedCitation":"(Acero et al., 2025)","plainTextFormattedCitation":"(Acero et al., 2025)"},"properties":{"noteIndex":0},"schema":"https://github.com/citation-style-language/schema/raw/master/csl-citation.json"}</w:instrText>
      </w:r>
      <w:r>
        <w:rPr>
          <w:rFonts w:ascii="Arial" w:hAnsi="Arial" w:cs="Arial"/>
          <w:highlight w:val="yellow"/>
        </w:rPr>
        <w:fldChar w:fldCharType="separate"/>
      </w:r>
      <w:r w:rsidRPr="00A056D2">
        <w:rPr>
          <w:rFonts w:ascii="Arial" w:hAnsi="Arial" w:cs="Arial"/>
          <w:noProof/>
          <w:highlight w:val="yellow"/>
        </w:rPr>
        <w:t>(Acero et al., 2025)</w:t>
      </w:r>
      <w:r>
        <w:rPr>
          <w:rFonts w:ascii="Arial" w:hAnsi="Arial" w:cs="Arial"/>
          <w:highlight w:val="yellow"/>
        </w:rPr>
        <w:fldChar w:fldCharType="end"/>
      </w:r>
      <w:r>
        <w:rPr>
          <w:rFonts w:ascii="Arial" w:hAnsi="Arial" w:cs="Arial"/>
          <w:highlight w:val="yellow"/>
        </w:rPr>
        <w:t>. This underscores the necessity of analyzing psychosocial determinants not as isolated factors, but as elements within an implementation framework that may falter when structural obstacles impede the conversion of intentions into consistent actions.</w:t>
      </w:r>
    </w:p>
    <w:p w14:paraId="062967DA" w14:textId="4797A025" w:rsidR="00F242E7" w:rsidRDefault="00F242E7" w:rsidP="00F242E7">
      <w:pPr>
        <w:pStyle w:val="Body"/>
        <w:spacing w:after="0"/>
        <w:ind w:firstLine="720"/>
        <w:rPr>
          <w:rFonts w:ascii="Arial" w:hAnsi="Arial" w:cs="Arial"/>
        </w:rPr>
      </w:pPr>
      <w:r>
        <w:rPr>
          <w:rFonts w:ascii="Arial" w:hAnsi="Arial" w:cs="Arial"/>
        </w:rPr>
        <w:t xml:space="preserve">In addition to attitude, motivation is often presumed to influence adherence; however, it can be "crowded out" by restrictions such as inconsistent income, restricted access to nutritious food, competing caregiving responsibilities, and inadequate service follow-up. Multi-country analyses demonstrate that comprehensive enabling policies, especially social protection coverage, correlate with decreased child undernutrition outcomes, indicating that household capacity and protection against shocks are crucial for maintaining nutrition-related behaviors </w:t>
      </w:r>
      <w:r>
        <w:rPr>
          <w:rFonts w:ascii="Arial" w:hAnsi="Arial" w:cs="Arial"/>
        </w:rPr>
        <w:fldChar w:fldCharType="begin" w:fldLock="1"/>
      </w:r>
      <w:r w:rsidR="00C97C17">
        <w:rPr>
          <w:rFonts w:ascii="Arial" w:hAnsi="Arial" w:cs="Arial"/>
        </w:rPr>
        <w:instrText>ADDIN CSL_CITATION {"citationItems":[{"id":"ITEM-1","itemData":{"DOI":"10.1016/j.eclinm.2025.103414","ISSN":"25895370","abstract":"Background: Under-5 mortality and malnutrition are major public health challenges in low- and middle-income countries (LMICs), worsened by crises like the COVID-19 pandemic. Evidence on social protection reducing under-5 mortality in LMICs is limited. We examined the impact of social protection coverage, defined as the proportion of the population covered by any form of social protection, on under-5 mortality, stunting, and wasting across 46 LMICs from 2000 to 2021. Methods: Our study analyzed 1012 country-year observations. Outcomes included under-5 mortality (deaths per 1000 live births), prevalence of wasting (weight-for-height Z-scores &lt; −2 SD), and stunting (height-for-age Z-scores &lt; −2 SD). Coverage of social protection was defined as the proportion of the population receiving at least one social protection benefit. We used fixed-effects Poisson models with robust standard errors to estimate associations, adjusting for socioeconomic, healthcare, and gender-related variables. Interaction terms captured social protection mitigation effects during COVID-19, and counterfactual scenarios estimated averted deaths. Analyses were disaggregated by sex and age groups. Findings: Social protection coverage prevented an estimated 3.05 million under-5 deaths overall, including 583,590 during the pandemic. Higher coverage was significantly associated with reductions in under-5 mortality (IRR:0.71,95%CI:0.54–0.96), stunting (IRR:0.75,95%CI:0.60–0.94), and wasting (IRR:0.87,95%CI:0.78–0.98). During the COVID-19 pandemic years, social protection led to additional reductions in under-5 mortality (IRR:0.68,95%CI:0.59–0.79) and stunting (IRR:0.74,95%CI:0.57–0.95). Toddler mortality (1–2 years) showed the greatest reduction effects (IRR:0.62,95%CI:0.41–0.95). Females showed slightly stronger effects. Sensitivity and triangulation analyses validated all results. Interpretation: Social protection coverage strongly reduced child mortality, stunting, and wasting in LMICs, with heightened impact during the pandemic years. Scaling up social protection programs can be crucial for reducing health inequities, building child resilience, and advancing child health targets in the future. Funding: This study was funded by the Rapid Social Response (RSR) Multidonor Trust Fund at the World Bank.","author":[{"dropping-particle":"","family":"Landin Basterra","given":"Elisa","non-dropping-particle":"","parse-names":false,"suffix":""},{"dropping-particle":"","family":"Gentilini","given":"Ugo","non-dropping-particle":"","parse-names":false,"suffix":""},{"dropping-particle":"","family":"Cavalcanti","given":"Daniella Medeiros","non-dropping-particle":"","parse-names":false,"suffix":""},{"dropping-particle":"","family":"Silva","given":"Andrea Ferreira","non-dropping-particle":"da","parse-names":false,"suffix":""},{"dropping-particle":"","family":"Oliveira Ferreira de Sales","given":"Lucas","non-dropping-particle":"de","parse-names":false,"suffix":""},{"dropping-particle":"","family":"Silva","given":"Natanael J.","non-dropping-particle":"","parse-names":false,"suffix":""},{"dropping-particle":"","family":"Rasella","given":"Davide","non-dropping-particle":"","parse-names":false,"suffix":""}],"container-title":"eClinicalMedicine","id":"ITEM-1","issued":{"date-parts":[["2025"]]},"page":"103414","publisher":"The Author(s)","title":"Impact of social protection on child malnutrition and mortality across 46 LMICs: a longitudinal study over two decades with insights from the COVID-19 pandemic","type":"article-journal","volume":"87"},"uris":["http://www.mendeley.com/documents/?uuid=18995f1b-0693-43f6-b100-1d117b84e970"]}],"mendeley":{"formattedCitation":"(Landin Basterra et al., 2025)","plainTextFormattedCitation":"(Landin Basterra et al., 2025)","previouslyFormattedCitation":"(Landin Basterra et al., 2025)"},"properties":{"noteIndex":0},"schema":"https://github.com/citation-style-language/schema/raw/master/csl-citation.json"}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(Landin Basterra et al., 2025)</w:t>
      </w:r>
      <w:r>
        <w:rPr>
          <w:rFonts w:ascii="Arial" w:hAnsi="Arial" w:cs="Arial"/>
        </w:rPr>
        <w:fldChar w:fldCharType="end"/>
      </w:r>
      <w:r w:rsidRPr="00F242E7">
        <w:rPr>
          <w:rFonts w:ascii="Arial" w:hAnsi="Arial" w:cs="Arial"/>
        </w:rPr>
        <w:t>.</w:t>
      </w:r>
      <w:r>
        <w:rPr>
          <w:rFonts w:ascii="Arial" w:hAnsi="Arial" w:cs="Arial"/>
        </w:rPr>
        <w:t xml:space="preserve"> Simultaneously, home food insecurity has been identified as a significant predictor of child stunting risk in cohort studies, suggesting that a positive caregiver attitude may be inadequate when food access and stability are jeopardized </w:t>
      </w:r>
      <w:r>
        <w:rPr>
          <w:rFonts w:ascii="Arial" w:hAnsi="Arial" w:cs="Arial"/>
        </w:rPr>
        <w:fldChar w:fldCharType="begin" w:fldLock="1"/>
      </w:r>
      <w:r w:rsidR="00C97C17">
        <w:rPr>
          <w:rFonts w:ascii="Arial" w:hAnsi="Arial" w:cs="Arial"/>
        </w:rPr>
        <w:instrText>ADDIN CSL_CITATION {"citationItems":[{"id":"ITEM-1","itemData":{"DOI":"10.1111/mcn.13609","ISSN":"1740-8695","PMID":"38196291","abstract":"Household food insecurity (HFI) during childhood is associated with poor dietary diversity and malnutrition, placing children's growth at risk. Children with growth disorders, such as stunting, are more likely to have poor cognition and educational performance, lower economic status, and an increased risk of nutrition</w:instrText>
      </w:r>
      <w:r w:rsidR="00C97C17">
        <w:rPr>
          <w:rFonts w:ascii="Cambria Math" w:hAnsi="Cambria Math" w:cs="Cambria Math"/>
        </w:rPr>
        <w:instrText>‐</w:instrText>
      </w:r>
      <w:r w:rsidR="00C97C17">
        <w:rPr>
          <w:rFonts w:ascii="Arial" w:hAnsi="Arial" w:cs="Arial"/>
        </w:rPr>
        <w:instrText>related chronic diseases in adulthood. Our study aimed to systematically review and conduct a meta</w:instrText>
      </w:r>
      <w:r w:rsidR="00C97C17">
        <w:rPr>
          <w:rFonts w:ascii="Cambria Math" w:hAnsi="Cambria Math" w:cs="Cambria Math"/>
        </w:rPr>
        <w:instrText>‐</w:instrText>
      </w:r>
      <w:r w:rsidR="00C97C17">
        <w:rPr>
          <w:rFonts w:ascii="Arial" w:hAnsi="Arial" w:cs="Arial"/>
        </w:rPr>
        <w:instrText>analysis of cohort studies investigating the association between HFI and stunting in children aged 0−59 months. Peer</w:instrText>
      </w:r>
      <w:r w:rsidR="00C97C17">
        <w:rPr>
          <w:rFonts w:ascii="Cambria Math" w:hAnsi="Cambria Math" w:cs="Cambria Math"/>
        </w:rPr>
        <w:instrText>‐</w:instrText>
      </w:r>
      <w:r w:rsidR="00C97C17">
        <w:rPr>
          <w:rFonts w:ascii="Arial" w:hAnsi="Arial" w:cs="Arial"/>
        </w:rPr>
        <w:instrText>reviewed and grey literature were systematically searched in electronic databases with no language or date restrictions. Two reviewers independently assessed the studies for pre</w:instrText>
      </w:r>
      <w:r w:rsidR="00C97C17">
        <w:rPr>
          <w:rFonts w:ascii="Cambria Math" w:hAnsi="Cambria Math" w:cs="Cambria Math"/>
        </w:rPr>
        <w:instrText>‐</w:instrText>
      </w:r>
      <w:r w:rsidR="00C97C17">
        <w:rPr>
          <w:rFonts w:ascii="Arial" w:hAnsi="Arial" w:cs="Arial"/>
        </w:rPr>
        <w:instrText>established eligibility criteria. Data were extracted using a standard protocol. Random</w:instrText>
      </w:r>
      <w:r w:rsidR="00C97C17">
        <w:rPr>
          <w:rFonts w:ascii="Cambria Math" w:hAnsi="Cambria Math" w:cs="Cambria Math"/>
        </w:rPr>
        <w:instrText>‐</w:instrText>
      </w:r>
      <w:r w:rsidR="00C97C17">
        <w:rPr>
          <w:rFonts w:ascii="Arial" w:hAnsi="Arial" w:cs="Arial"/>
        </w:rPr>
        <w:instrText>effects meta</w:instrText>
      </w:r>
      <w:r w:rsidR="00C97C17">
        <w:rPr>
          <w:rFonts w:ascii="Cambria Math" w:hAnsi="Cambria Math" w:cs="Cambria Math"/>
        </w:rPr>
        <w:instrText>‐</w:instrText>
      </w:r>
      <w:r w:rsidR="00C97C17">
        <w:rPr>
          <w:rFonts w:ascii="Arial" w:hAnsi="Arial" w:cs="Arial"/>
        </w:rPr>
        <w:instrText>analysis models were used, and I 2 &gt; 40% indicated high heterogeneity across studies. We used the Grading of Recommendations Assessment, Development, and Evaluation system to assess the quality of the evidence. Nine cohort studies comprising 46,300 children were included. Approximately 80% ( n = 7) of the studies found a positive association between HFI and stunting. Pooled odds ratio was 1.00 (95% confidence interval [CI]: 0.87−1.14; I 2 : 76.14%). The pooled hazard ratio between moderate and severe HFI and stunting was 1.02 (95% CI: 0.84−1.22; I 2 : 85.96%). Due to high heterogeneity, the quality of evidence was very low. Individual studies showed an association between HFI and stunting in children aged 0–59 months; however, this association was not sustained in the pooled analysis, possibly because of high heterogeneity across studies.","author":[{"dropping-particle":"","family":"Patriota","given":"Érika S. O.","non-dropping-particle":"","parse-names":false,"suffix":""},{"dropping-particle":"","family":"Abrantes","given":"Lívia C. S.","non-dropping-particle":"","parse-names":false,"suffix":""},{"dropping-particle":"","family":"Figueiredo","given":"Ana C. M. G.","non-dropping-particle":"","parse-names":false,"suffix":""},{"dropping-particle":"","family":"Pizato","given":"Nathalia","non-dropping-particle":"","parse-names":false,"suffix":""},{"dropping-particle":"","family":"Buccini","given":"Gabriela","non-dropping-particle":"","parse-names":false,"suffix":""},{"dropping-particle":"","family":"Gonçalves","given":"Vivian S. S.","non-dropping-particle":"","parse-names":false,"suffix":""}],"container-title":"Maternal &amp; Child Nutrition","id":"ITEM-1","issue":"2","issued":{"date-parts":[["2024","4","9"]]},"page":"1-15","title":"Association between household food insecurity and stunting in children aged 0−59 months: Systematic review and meta</w:instrText>
      </w:r>
      <w:r w:rsidR="00C97C17">
        <w:rPr>
          <w:rFonts w:ascii="Cambria Math" w:hAnsi="Cambria Math" w:cs="Cambria Math"/>
        </w:rPr>
        <w:instrText>‐</w:instrText>
      </w:r>
      <w:r w:rsidR="00C97C17">
        <w:rPr>
          <w:rFonts w:ascii="Arial" w:hAnsi="Arial" w:cs="Arial"/>
        </w:rPr>
        <w:instrText>analysis of cohort studies","type":"article-journal","volume":"20"},"uris":["http://www.mendeley.com/documents/?uuid=7f1a0f86-004c-455c-a0b3-f25c8c622905"]}],"mendeley":{"formattedCitation":"(Patriota et al., 2024)","plainTextFormattedCitation":"(Patriota et al., 2024)","previouslyFormattedCitation":"(Patriota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(Patriota et al., 2024)</w:t>
      </w:r>
      <w:r>
        <w:rPr>
          <w:rFonts w:ascii="Arial" w:hAnsi="Arial" w:cs="Arial"/>
        </w:rPr>
        <w:fldChar w:fldCharType="end"/>
      </w:r>
      <w:r w:rsidRPr="00F242E7">
        <w:rPr>
          <w:rFonts w:ascii="Arial" w:hAnsi="Arial" w:cs="Arial"/>
        </w:rPr>
        <w:t>.</w:t>
      </w:r>
      <w:r>
        <w:rPr>
          <w:rFonts w:ascii="Arial" w:hAnsi="Arial" w:cs="Arial"/>
        </w:rPr>
        <w:t xml:space="preserve"> Environmental routes are essential: longitudinal evidence from early-life WASH and IYCF intervention contexts underscores how infection-related processes and early exposures can impede growth responses, despite enhancements in caring inputs </w:t>
      </w:r>
      <w:r>
        <w:rPr>
          <w:rFonts w:ascii="Arial" w:hAnsi="Arial" w:cs="Arial"/>
        </w:rPr>
        <w:fldChar w:fldCharType="begin" w:fldLock="1"/>
      </w:r>
      <w:r w:rsidR="00C97C17">
        <w:rPr>
          <w:rFonts w:ascii="Arial" w:hAnsi="Arial" w:cs="Arial"/>
        </w:rPr>
        <w:instrText>ADDIN CSL_CITATION {"citationItems":[{"id":"ITEM-1","itemData":{"DOI":"10.1016/j.eclinm.2024.102946","ISSN":"25895370","abstract":"Background: Few trials have explored long-term effects of interventions designed to reduce child stunting. We evaluated school-age outcomes in rural Zimbabwean children who received cluster-randomised water, sanitation and hygiene (WASH) and/or infant and young child feeding (IYCF) interventions from pregnancy up to 18 months of age. Methods: The Sanitation Hygiene Infant Nutrition Efficacy (SHINE) trial enrolled pregnant women from two rural Zimbabwean districts (Chirumanzu and Shurugwi) between 2012 and 2015, and cluster-randomised them using a 2 × 2 factorial design to standard-of-care, WASH, IYCF, or combined WASH &amp; IYCF, with a co-primary outcome of height-for-age Z-score and haemoglobin at 18 months (clinicaltrials.gov NCT01824940). Children who were HIV-unexposed, age 7 years, and still living in Shurugwi district were eligible for this follow-up study (registered at PACTR 202201828512110) and measured between 1st April 2021 and 30th September 2022. The primary outcome at 7 years was cognitive function using the Kaufman Assessment Battery for Children (KABC-II). Secondary outcomes were executive function, literacy and numeracy, fine motor skills, socioemotional function, handgrip strength, broad jump distance, shuttle-run test distance, anthropometry, lean mass index, and skinfold thicknesses. Study nurses conducting assessments were blinded to intervention arm. Analysis followed a pre-registered statistical analysis plan. Intention-to-treat analyses using generalized estimating equations were used to assess the long-term effects of WASH and IYCF on each outcome, leveraging the factorial trial design. A pre-specified subgroup analysis by child sex was also performed. Findings: Among 3989 HIV-negative women, 3676 children were assessed at age 18 months; of these, 1002 (510 female) were assessed at mean (SD) age 7.3 (0.2) years. There was no effect of IYCF or WASH on the KABC-II score or secondary cognitive outcomes, except a small improvement in socioemotional function in WASH arms (−0.98 points, 95% CI −1.73, −0.22, p = 0.01). Children in IYCF arms had higher handgrip strength (0.28 Kg, 95% CI 0.02, 0.53, p = 0.03); however, in the pre-specified subgroup analysis, improved handgrip strength was seen only in boys (0.53 Kg, 95% CI 0.19, 0.87 p = 0.002). There were no significant effects of either intervention on other outcomes. Interpretation: Early-life IYCF and WASH led to few functional benefits by school-age. Interventions that are more compreh…","author":[{"dropping-particle":"","family":"Piper","given":"Joe D.","non-dropping-particle":"","parse-names":false,"suffix":""},{"dropping-particle":"","family":"Mazhanga","given":"Clever","non-dropping-particle":"","parse-names":false,"suffix":""},{"dropping-particle":"","family":"Mwapaura","given":"Marian","non-dropping-particle":"","parse-names":false,"suffix":""},{"dropping-particle":"","family":"Mapako","given":"Gloria","non-dropping-particle":"","parse-names":false,"suffix":""},{"dropping-particle":"","family":"Mapurisa","given":"Idah","non-dropping-particle":"","parse-names":false,"suffix":""},{"dropping-particle":"","family":"Mashedze","given":"Tsitsi","non-dropping-particle":"","parse-names":false,"suffix":""},{"dropping-particle":"","family":"Munyama","given":"Eunice","non-dropping-particle":"","parse-names":false,"suffix":""},{"dropping-particle":"","family":"Kuona","given":"Maria","non-dropping-particle":"","parse-names":false,"suffix":""},{"dropping-particle":"","family":"Mashiri","given":"Thombizodwa","non-dropping-particle":"","parse-names":false,"suffix":""},{"dropping-particle":"","family":"Sibanda","given":"Kundai","non-dropping-particle":"","parse-names":false,"suffix":""},{"dropping-particle":"","family":"Matemavi","given":"Dzidzai","non-dropping-particle":"","parse-names":false,"suffix":""},{"dropping-particle":"","family":"Tichagwa","given":"Monica","non-dropping-particle":"","parse-names":false,"suffix":""},{"dropping-particle":"","family":"Nyoni","given":"Soneni","non-dropping-particle":"","parse-names":false,"suffix":""},{"dropping-particle":"","family":"Saidi","given":"Asinje","non-dropping-particle":"","parse-names":false,"suffix":""},{"dropping-particle":"","family":"Mangwende","given":"Manasa","non-dropping-particle":"","parse-names":false,"suffix":""},{"dropping-particle":"","family":"Mbewe","given":"Gabriel","non-dropping-particle":"","parse-names":false,"suffix":""},{"dropping-particle":"","family":"Chidhanguro","given":"Dzivaidzo","non-dropping-particle":"","parse-names":false,"suffix":""},{"dropping-particle":"","family":"Mpofu","given":"Eddington","non-dropping-particle":"","parse-names":false,"suffix":""},{"dropping-particle":"","family":"Tome","given":"Joice","non-dropping-particle":"","parse-names":false,"suffix":""},{"dropping-particle":"","family":"Mutasa","given":"Batsirai","non-dropping-particle":"","parse-names":false,"suffix":""},{"dropping-particle":"","family":"Chasekwa","given":"Bernard","non-dropping-particle":"","parse-names":false,"suffix":""},{"dropping-particle":"","family":"Njovo","given":"Handrea","non-dropping-particle":"","parse-names":false,"suffix":""},{"dropping-particle":"","family":"Nyachowe","given":"Chandiwana","non-dropping-particle":"","parse-names":false,"suffix":""},{"dropping-particle":"","family":"Muchekeza","given":"Mary","non-dropping-particle":"","parse-names":false,"suffix":""},{"dropping-particle":"","family":"Sauramba","given":"Virginia","non-dropping-particle":"","parse-names":false,"suffix":""},{"dropping-particle":"","family":"Gladstone","given":"Melissa J.","non-dropping-particle":"","parse-names":false,"suffix":""},{"dropping-particle":"","family":"Wells","given":"Jonathan C.","non-dropping-particle":"","parse-names":false,"suffix":""},{"dropping-particle":"","family":"Allen","given":"Elizabeth","non-dropping-particle":"","parse-names":false,"suffix":""},{"dropping-particle":"","family":"Moulton","given":"Lawrence H.","non-dropping-particle":"","parse-names":false,"suffix":""},{"dropping-particle":"","family":"Smuk","given":"Melanie","non-dropping-particle":"","parse-names":false,"suffix":""},{"dropping-particle":"","family":"Humphrey","given":"Jean H.","non-dropping-particle":"","parse-names":false,"suffix":""},{"dropping-particle":"","family":"Langhaug","given":"Lisa F.","non-dropping-particle":"","parse-names":false,"suffix":""},{"dropping-particle":"V.","family":"Tavengwa","given":"Naume","non-dropping-particle":"","parse-names":false,"suffix":""},{"dropping-particle":"","family":"Ntozini","given":"Robert","non-dropping-particle":"","parse-names":false,"suffix":""},{"dropping-particle":"","family":"Prendergast","given":"Andrew J.","non-dropping-particle":"","parse-names":false,"suffix":""}],"container-title":"eClinicalMedicine","id":"ITEM-1","issued":{"date-parts":[["2024"]]},"page":"102946","publisher":"The Authors","title":"School-age growth and development following infant feeding and/or water, sanitation, and hygiene interventions in rural Zimbabwe: long-term follow-up of a cluster-randomised trial","type":"article-journal","volume":"78"},"uris":["http://www.mendeley.com/documents/?uuid=9ee6bad7-4a41-4d3f-89f4-fcbc29849e38"]}],"mendeley":{"formattedCitation":"(Piper et al., 2024)","plainTextFormattedCitation":"(Piper et al., 2024)","previouslyFormattedCitation":"(Piper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(Piper et al., 2024)</w:t>
      </w:r>
      <w:r>
        <w:rPr>
          <w:rFonts w:ascii="Arial" w:hAnsi="Arial" w:cs="Arial"/>
        </w:rPr>
        <w:fldChar w:fldCharType="end"/>
      </w:r>
      <w:r w:rsidRPr="00F242E7">
        <w:rPr>
          <w:rFonts w:ascii="Arial" w:hAnsi="Arial" w:cs="Arial"/>
        </w:rPr>
        <w:t>.</w:t>
      </w:r>
    </w:p>
    <w:p w14:paraId="6101D0A5" w14:textId="77777777" w:rsidR="00A658D3" w:rsidRDefault="00A658D3" w:rsidP="00F242E7">
      <w:pPr>
        <w:pStyle w:val="Body"/>
        <w:spacing w:after="0"/>
        <w:ind w:firstLine="720"/>
        <w:rPr>
          <w:rFonts w:ascii="Arial" w:hAnsi="Arial" w:cs="Arial"/>
        </w:rPr>
      </w:pPr>
    </w:p>
    <w:p w14:paraId="7D81CC4A" w14:textId="11EA350C" w:rsidR="00F242E7" w:rsidRDefault="00F242E7" w:rsidP="00F242E7">
      <w:pPr>
        <w:pStyle w:val="Body"/>
        <w:spacing w:after="0"/>
        <w:ind w:firstLine="720"/>
        <w:rPr>
          <w:rFonts w:ascii="Arial" w:hAnsi="Arial" w:cs="Arial"/>
        </w:rPr>
      </w:pPr>
      <w:r>
        <w:rPr>
          <w:rFonts w:ascii="Arial" w:hAnsi="Arial" w:cs="Arial"/>
        </w:rPr>
        <w:lastRenderedPageBreak/>
        <w:t xml:space="preserve">The roles and empowerment of women are significantly associated with child nutrition via mechanisms including decision-making authority, resource control, time management, and caregiving responsibility. However, the actual correlation frequently exhibits heterogeneity across different contexts and assessment methodologies. Cross-national evidence utilizing multidimensional empowerment constructs (e.g., SWPER domains) demonstrates that diminished empowerment correlates with increased likelihood of child stunting, while also suggesting that effects may differ according to the overarching gender-inequality context—reinforcing the notion that women's "role" may function through particular domains or interactions rather than as a consistent main effect </w:t>
      </w:r>
      <w:r>
        <w:rPr>
          <w:rFonts w:ascii="Arial" w:hAnsi="Arial" w:cs="Arial"/>
        </w:rPr>
        <w:fldChar w:fldCharType="begin" w:fldLock="1"/>
      </w:r>
      <w:r w:rsidR="00C97C17">
        <w:rPr>
          <w:rFonts w:ascii="Arial" w:hAnsi="Arial" w:cs="Arial"/>
        </w:rPr>
        <w:instrText>ADDIN CSL_CITATION {"citationItems":[{"id":"ITEM-1","itemData":{"DOI":"10.1016/j.ssmph.2024.101651","ISSN":"23528273","abstract":"Background: Child undernutrition remains a major global health issue, particularly in sub-Saharan Africa (SSA). Given the important role mothers play in early childhood health and development, we examined how individual-level women's empowerment and country-level Gender Inequality Index (GII) are jointly related with child undernutrition in SSA. Methods: We pooled recent Demographic and Health Surveys from 28 SSA countries. For 137,699 children &lt;5 years old, undernutrition was defined using anthropometric failures (stunting, underweight, wasting). Women's empowerment was assessed using three domains of Survey-based Women's EmPowERment (SWPER) index: attitude to violence, social independence, and decision-making; and country-level gender inequality was measured using GII from United Nations Development Programme. Three-level logistic regression was conducted to examine the joint associations of SWPER and GII as well as their interactions with child anthropometric failures, after adjusting for sociodemographic covariates. Results: Overall, 32.85% of children were stunted, 17.63% were underweight, and 6.68% had wasting. Children of mothers with low-level of empowerment for all domains of SWPER had higher odds of stunting (attitude to violence: OR=1.15; 95% CI, 1.11-1.19; social independence: OR=1.21; 95% CI, 1.17-1.25; decision-making: OR=1.16; 95% CI, 1.12-1.20), and consistent results were found for underweight and wasting. Independent of women's empowerment, country-level GII increased the probability of underweight (ranging ORs=1.46; 95% CI, 1.15-1.85 to 1.50; 95% CI, 1.18-1.90) and wasting (ranging ORs=1.56; 95% CI, 1.24-1.97 to 1.61; 95% CI, 1.27-2.03). Significant interaction was found between women's empowerment and country-level GII for stunting and underweight (p&lt;0.05). Conclusions: In SSA countries with greater gender inequality, improving women's social independence and decision-making power in particular can reduce their children's risk of anthropometric failures. Policies and interventions targeted at strengthening women's empowerment should consider the degree of gender inequality in each country.","author":[{"dropping-particle":"","family":"Eom","given":"Yun Jung","non-dropping-particle":"","parse-names":false,"suffix":""},{"dropping-particle":"","family":"Chi","given":"Hyejun","non-dropping-particle":"","parse-names":false,"suffix":""},{"dropping-particle":"","family":"Jung","given":"Sohee","non-dropping-particle":"","parse-names":false,"suffix":""},{"dropping-particle":"","family":"Kim","given":"Jinseo","non-dropping-particle":"","parse-names":false,"suffix":""},{"dropping-particle":"","family":"Jeong","given":"Joshua","non-dropping-particle":"","parse-names":false,"suffix":""},{"dropping-particle":"V.","family":"Subramanian","given":"S.","non-dropping-particle":"","parse-names":false,"suffix":""},{"dropping-particle":"","family":"Kim","given":"Rockli","non-dropping-particle":"","parse-names":false,"suffix":""}],"container-title":"SSM - Population Health","id":"ITEM-1","issue":"March","issued":{"date-parts":[["2024"]]},"page":"101651","publisher":"Elsevier Ltd","title":"Women's empowerment and child anthropometric failures across 28 sub-Saharan African countries: A cross-level interaction by Gender Inequality Index","type":"article-journal","volume":"26"},"uris":["http://www.mendeley.com/documents/?uuid=0d4ab9c0-3401-4e91-b49a-e8259c33a606"]}],"mendeley":{"formattedCitation":"(Eom et al., 2024)","plainTextFormattedCitation":"(Eom et al., 2024)","previouslyFormattedCitation":"(Eom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(Eom et al., 2024)</w:t>
      </w:r>
      <w:r>
        <w:rPr>
          <w:rFonts w:ascii="Arial" w:hAnsi="Arial" w:cs="Arial"/>
        </w:rPr>
        <w:fldChar w:fldCharType="end"/>
      </w:r>
      <w:r w:rsidRPr="00F242E7">
        <w:rPr>
          <w:rFonts w:ascii="Arial" w:hAnsi="Arial" w:cs="Arial"/>
        </w:rPr>
        <w:t xml:space="preserve">. </w:t>
      </w:r>
      <w:r>
        <w:rPr>
          <w:rFonts w:ascii="Arial" w:hAnsi="Arial" w:cs="Arial"/>
        </w:rPr>
        <w:t xml:space="preserve">Recent syntheses of social and behavioral change programming highlight that gender and social norms influence women's dietary and caregiving practices, indicating that interventions should involve household influencers and reference groups, not solely the mother, to effect sustainable behavioral change </w:t>
      </w:r>
      <w:r>
        <w:rPr>
          <w:rFonts w:ascii="Arial" w:hAnsi="Arial" w:cs="Arial"/>
        </w:rPr>
        <w:fldChar w:fldCharType="begin" w:fldLock="1"/>
      </w:r>
      <w:r w:rsidR="00C97C17">
        <w:rPr>
          <w:rFonts w:ascii="Arial" w:hAnsi="Arial" w:cs="Arial"/>
        </w:rPr>
        <w:instrText>ADDIN CSL_CITATION {"citationItems":[{"id":"ITEM-1","itemData":{"DOI":"10.1016/j.cdnut.2024.103772","ISSN":"24752991","abstract":"Healthy dietary practices are highly influenced by social norms, the widely-held expectations about the behaviors that are appropriate or typical within a given group. However, many nutrition programs designed to reduce women's undernutrition in low- and middle-income countries do not address the influence of social and gender norms in their interventions, and therefore, there is limited information about how norms-responsive interventions have been designed and implemented. The objective of this scoping review was to identify and describe social and behavioral change interventions designed to improve women's dietary practices and nutritional intake that integrate the influence of social and gender norms. We systematically searched 4 databases (Scopus, Web of Science, PubMed, and CINAHL) for peer-reviewed articles describing design, implementation, and/or assessment of nutrition interventions in low- or middle-income countries. Results are reported following Preferred Reporting Items for Systematic Reviews and Meta-Analyses guidelines. Our review identified 27 articles from 25 projects or research studies that addressed social or gender norms related to women's dietary practices. The majority focused on the pregnancy and lactation periods, and a few aimed to reach all women of reproductive age. Interventions most often endeavored to shift norms through multiple activities, channels, and platforms, aiming to reach not only the primary participants but also influencers and reference groups. Intervention approaches ranged from home visits and support groups to engage influential family members to community-level outreach with opinion leaders such as religious leaders, health care workers, and peer change agents. Most interventions were delivered through the health sector or were community-based, with some nutrition-sensitive agriculture interventions. There is increasing, although still limited, integration of social and gender norms perspectives in the design, implementation, and assessment of interventions to improve women's diets. This comprehensive review summarizes influential norms and intervention approaches, an important step toward enhancing the effectiveness of social and behavioral change interventions by addressing nutrition-relevant norms. This study was registered at Open Science Framework as JSBF7.","author":[{"dropping-particle":"","family":"Litvin","given":"Kate","non-dropping-particle":"","parse-names":false,"suffix":""},{"dropping-particle":"","family":"Grandner","given":"Gargi W.","non-dropping-particle":"","parse-names":false,"suffix":""},{"dropping-particle":"","family":"Phillips","given":"Erica","non-dropping-particle":"","parse-names":false,"suffix":""},{"dropping-particle":"","family":"Sherburne","given":"Lisa","non-dropping-particle":"","parse-names":false,"suffix":""},{"dropping-particle":"","family":"Craig","given":"Hope C.","non-dropping-particle":"","parse-names":false,"suffix":""},{"dropping-particle":"","family":"Phan","given":"Kieu Anh","non-dropping-particle":"","parse-names":false,"suffix":""},{"dropping-particle":"","family":"Patel","given":"Avni N.","non-dropping-particle":"","parse-names":false,"suffix":""},{"dropping-particle":"","family":"Dickin","given":"Katherine L.","non-dropping-particle":"","parse-names":false,"suffix":""}],"container-title":"Current Developments in Nutrition","id":"ITEM-1","issue":"6","issued":{"date-parts":[["2024"]]},"page":"103772","publisher":"The Authors","title":"How Do Social and Behavioral Change Interventions Respond to Social Norms to Improve Women's Diets in Low- and Middle-Income Countries? A Scoping Review","type":"article-journal","volume":"8"},"uris":["http://www.mendeley.com/documents/?uuid=1eb903bc-144e-4543-9614-fb69bef5f665"]}],"mendeley":{"formattedCitation":"(Litvin et al., 2024)","plainTextFormattedCitation":"(Litvin et al., 2024)","previouslyFormattedCitation":"(Litvin et al., 2024)"},"properties":{"noteIndex":0},"schema":"https://github.com/citation-style-language/schema/raw/master/csl-citation.json"}</w:instrText>
      </w:r>
      <w:r>
        <w:rPr>
          <w:rFonts w:ascii="Arial" w:hAnsi="Arial" w:cs="Arial"/>
        </w:rPr>
        <w:fldChar w:fldCharType="separate"/>
      </w:r>
      <w:r w:rsidR="00F262B6" w:rsidRPr="00F262B6">
        <w:rPr>
          <w:rFonts w:ascii="Arial" w:hAnsi="Arial" w:cs="Arial"/>
          <w:noProof/>
        </w:rPr>
        <w:t>(Litvin et al., 2024)</w:t>
      </w:r>
      <w:r>
        <w:rPr>
          <w:rFonts w:ascii="Arial" w:hAnsi="Arial" w:cs="Arial"/>
        </w:rPr>
        <w:fldChar w:fldCharType="end"/>
      </w:r>
      <w:r w:rsidRPr="00F242E7">
        <w:rPr>
          <w:rFonts w:ascii="Arial" w:hAnsi="Arial" w:cs="Arial"/>
        </w:rPr>
        <w:t>.</w:t>
      </w:r>
    </w:p>
    <w:p w14:paraId="778738A0" w14:textId="77777777" w:rsidR="00F242E7" w:rsidRPr="00F242E7" w:rsidRDefault="00F242E7" w:rsidP="00F242E7">
      <w:pPr>
        <w:pStyle w:val="Body"/>
        <w:spacing w:after="0"/>
        <w:ind w:firstLine="720"/>
        <w:rPr>
          <w:rFonts w:ascii="Arial" w:hAnsi="Arial" w:cs="Arial"/>
        </w:rPr>
      </w:pPr>
      <w:r>
        <w:rPr>
          <w:rFonts w:ascii="Arial" w:hAnsi="Arial" w:cs="Arial"/>
        </w:rPr>
        <w:t>Despite these developments, two gaps remain critical for program optimization in Indonesia. The majority of stunting literature primarily focuses on the drivers of anthropometric outcomes, while fewer studies operationalize and evaluate household-level program performance (e.g., participation/adherence ratings) as an outcome. This signifies a practical intermediate goal for implementers, since it reflects the steady incorporation of preventive measures. Secondly, in at-risk households, it remains unclear which "personal factors" more precisely forecast program participation when assessed simultaneously (e.g., attitude versus motivation versus women's role), particularly in subnational Indonesian contexts where service ecology and social norms may differ. Rectifying these shortcomings can produce more practical recommendations: if a certain psychosocial factor is the primary predictor of home program success, behavior-change design can concentrate on the most effective mechanism while concurrently improving enabling conditions.</w:t>
      </w:r>
    </w:p>
    <w:p w14:paraId="19945B2C" w14:textId="77777777" w:rsidR="00F242E7" w:rsidRDefault="00F242E7" w:rsidP="00F242E7">
      <w:pPr>
        <w:pStyle w:val="Body"/>
        <w:spacing w:after="0"/>
        <w:ind w:firstLine="720"/>
        <w:rPr>
          <w:rFonts w:ascii="Arial" w:hAnsi="Arial" w:cs="Arial"/>
        </w:rPr>
      </w:pPr>
      <w:r>
        <w:rPr>
          <w:rFonts w:ascii="Arial" w:hAnsi="Arial" w:cs="Arial"/>
        </w:rPr>
        <w:t xml:space="preserve">This study investigates the relationship between individual variables and the efficacy of household stunting-reduction programs among At-Risk Families (Keluarga Berisiko Stunting; KRS) in Yogyakarta, Indonesia, employing a cross-sectional analytic survey and multiple linear regression analysis. The dependent variable is a composite score for the KRS stunting-reduction program, whereas the independent factors include attitude, motivation, and the role of women, assessed at the household or caregiver level. </w:t>
      </w:r>
    </w:p>
    <w:p w14:paraId="6B7A6300" w14:textId="586B7D48" w:rsidR="00F242E7" w:rsidRDefault="00F242E7" w:rsidP="00F242E7">
      <w:pPr>
        <w:pStyle w:val="Body"/>
        <w:spacing w:after="0"/>
        <w:ind w:firstLine="720"/>
        <w:rPr>
          <w:rFonts w:ascii="Arial" w:hAnsi="Arial" w:cs="Arial"/>
        </w:rPr>
      </w:pPr>
      <w:r>
        <w:rPr>
          <w:rFonts w:ascii="Arial" w:hAnsi="Arial" w:cs="Arial"/>
        </w:rPr>
        <w:t xml:space="preserve">Research issue. Which personal factors—attitude, motivation, and the role of women—significantly predict the </w:t>
      </w:r>
      <w:r w:rsidR="00CE01C3" w:rsidRPr="00CE01C3">
        <w:rPr>
          <w:rFonts w:ascii="Arial" w:hAnsi="Arial" w:cs="Arial"/>
        </w:rPr>
        <w:t>program performance score</w:t>
      </w:r>
      <w:r w:rsidR="00CE01C3">
        <w:rPr>
          <w:rFonts w:ascii="Arial" w:hAnsi="Arial" w:cs="Arial"/>
        </w:rPr>
        <w:t xml:space="preserve"> </w:t>
      </w:r>
      <w:r>
        <w:rPr>
          <w:rFonts w:ascii="Arial" w:hAnsi="Arial" w:cs="Arial"/>
        </w:rPr>
        <w:t>among KRS households?</w:t>
      </w:r>
    </w:p>
    <w:p w14:paraId="0D7E0B09" w14:textId="77777777" w:rsidR="004F7C81" w:rsidRDefault="00F242E7" w:rsidP="00F242E7">
      <w:pPr>
        <w:pStyle w:val="Body"/>
        <w:spacing w:after="0"/>
        <w:ind w:firstLine="720"/>
        <w:rPr>
          <w:rFonts w:ascii="Arial" w:hAnsi="Arial" w:cs="Arial"/>
        </w:rPr>
      </w:pPr>
      <w:r>
        <w:rPr>
          <w:rFonts w:ascii="Arial" w:hAnsi="Arial" w:cs="Arial"/>
        </w:rPr>
        <w:t xml:space="preserve">Goal. To measure the correlation between attitude, motivation, and women's role with the </w:t>
      </w:r>
      <w:r w:rsidR="004F7C81">
        <w:rPr>
          <w:rFonts w:ascii="Arial" w:hAnsi="Arial" w:cs="Arial"/>
        </w:rPr>
        <w:t xml:space="preserve"> </w:t>
      </w:r>
      <w:r w:rsidR="004F7C81" w:rsidRPr="004F7C81">
        <w:rPr>
          <w:rFonts w:ascii="Arial" w:hAnsi="Arial" w:cs="Arial"/>
        </w:rPr>
        <w:t>KRS program performance score</w:t>
      </w:r>
      <w:r>
        <w:rPr>
          <w:rFonts w:ascii="Arial" w:hAnsi="Arial" w:cs="Arial"/>
        </w:rPr>
        <w:t xml:space="preserve">, and to determine the most reliable predictor by multivariable regression analysis. </w:t>
      </w:r>
      <w:r w:rsidR="004F7C81">
        <w:rPr>
          <w:rFonts w:ascii="Arial" w:hAnsi="Arial" w:cs="Arial"/>
        </w:rPr>
        <w:t xml:space="preserve"> </w:t>
      </w:r>
    </w:p>
    <w:p w14:paraId="7513D90E" w14:textId="3417BB6D" w:rsidR="00F242E7" w:rsidRDefault="00F242E7" w:rsidP="004F7C81">
      <w:pPr>
        <w:pStyle w:val="Body"/>
        <w:spacing w:after="0"/>
        <w:rPr>
          <w:rFonts w:ascii="Arial" w:hAnsi="Arial" w:cs="Arial"/>
        </w:rPr>
      </w:pPr>
      <w:r>
        <w:rPr>
          <w:rFonts w:ascii="Arial" w:hAnsi="Arial" w:cs="Arial"/>
        </w:rPr>
        <w:t xml:space="preserve">Propositions: </w:t>
      </w:r>
    </w:p>
    <w:p w14:paraId="157AE706" w14:textId="5EA60121" w:rsidR="00F242E7" w:rsidRDefault="00F242E7" w:rsidP="00F242E7">
      <w:pPr>
        <w:pStyle w:val="Body"/>
        <w:spacing w:after="0"/>
        <w:rPr>
          <w:rFonts w:ascii="Arial" w:hAnsi="Arial" w:cs="Arial"/>
        </w:rPr>
      </w:pPr>
      <w:r>
        <w:rPr>
          <w:rFonts w:ascii="Arial" w:hAnsi="Arial" w:cs="Arial"/>
        </w:rPr>
        <w:t xml:space="preserve">H1: Attitude is a significant predictor of the </w:t>
      </w:r>
      <w:r w:rsidR="004F7C81" w:rsidRPr="004F7C81">
        <w:rPr>
          <w:rFonts w:ascii="Arial" w:hAnsi="Arial" w:cs="Arial"/>
        </w:rPr>
        <w:t>KRS program performance score</w:t>
      </w:r>
      <w:r>
        <w:rPr>
          <w:rFonts w:ascii="Arial" w:hAnsi="Arial" w:cs="Arial"/>
        </w:rPr>
        <w:t xml:space="preserve">. </w:t>
      </w:r>
    </w:p>
    <w:p w14:paraId="26FD8B40" w14:textId="33D05391" w:rsidR="00F242E7" w:rsidRDefault="00F242E7" w:rsidP="00F242E7">
      <w:pPr>
        <w:pStyle w:val="Body"/>
        <w:spacing w:after="0"/>
        <w:rPr>
          <w:rFonts w:ascii="Arial" w:hAnsi="Arial" w:cs="Arial"/>
        </w:rPr>
      </w:pPr>
      <w:r>
        <w:rPr>
          <w:rFonts w:ascii="Arial" w:hAnsi="Arial" w:cs="Arial"/>
        </w:rPr>
        <w:t xml:space="preserve">H2: Motivation is a significant predictor of the </w:t>
      </w:r>
      <w:r w:rsidR="004F7C81" w:rsidRPr="004F7C81">
        <w:rPr>
          <w:rFonts w:ascii="Arial" w:hAnsi="Arial" w:cs="Arial"/>
        </w:rPr>
        <w:t>KRS program performance score</w:t>
      </w:r>
      <w:r>
        <w:rPr>
          <w:rFonts w:ascii="Arial" w:hAnsi="Arial" w:cs="Arial"/>
        </w:rPr>
        <w:t xml:space="preserve">. </w:t>
      </w:r>
    </w:p>
    <w:p w14:paraId="67D3E752" w14:textId="0010992F" w:rsidR="00F242E7" w:rsidRPr="00F242E7" w:rsidRDefault="00F242E7" w:rsidP="00F242E7">
      <w:pPr>
        <w:pStyle w:val="Body"/>
        <w:spacing w:after="0"/>
        <w:rPr>
          <w:rFonts w:ascii="Arial" w:hAnsi="Arial" w:cs="Arial"/>
        </w:rPr>
      </w:pPr>
      <w:r>
        <w:rPr>
          <w:rFonts w:ascii="Arial" w:hAnsi="Arial" w:cs="Arial"/>
        </w:rPr>
        <w:t xml:space="preserve">H3. The role of women is a strong predictor of the </w:t>
      </w:r>
      <w:r w:rsidR="004F7C81" w:rsidRPr="004F7C81">
        <w:rPr>
          <w:rFonts w:ascii="Arial" w:hAnsi="Arial" w:cs="Arial"/>
        </w:rPr>
        <w:t>KRS program performance score</w:t>
      </w:r>
      <w:r>
        <w:rPr>
          <w:rFonts w:ascii="Arial" w:hAnsi="Arial" w:cs="Arial"/>
        </w:rPr>
        <w:t>.</w:t>
      </w:r>
    </w:p>
    <w:p w14:paraId="37C1E132" w14:textId="77777777" w:rsidR="00F242E7" w:rsidRPr="00FB3A86" w:rsidRDefault="00F242E7" w:rsidP="00441B6F">
      <w:pPr>
        <w:pStyle w:val="AbstHead"/>
        <w:spacing w:after="0"/>
        <w:jc w:val="both"/>
        <w:rPr>
          <w:rFonts w:ascii="Arial" w:hAnsi="Arial" w:cs="Arial"/>
        </w:rPr>
      </w:pPr>
    </w:p>
    <w:p w14:paraId="0C3578AD" w14:textId="77777777" w:rsidR="00790ADA" w:rsidRPr="00FB3A86" w:rsidRDefault="00790ADA" w:rsidP="00441B6F">
      <w:pPr>
        <w:pStyle w:val="Body"/>
        <w:spacing w:after="0"/>
        <w:rPr>
          <w:rFonts w:ascii="Arial" w:hAnsi="Arial" w:cs="Arial"/>
        </w:rPr>
      </w:pPr>
    </w:p>
    <w:p w14:paraId="7A634E46" w14:textId="4F01BF0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BED3EE" w14:textId="77777777" w:rsidR="00790ADA" w:rsidRPr="00FB3A86" w:rsidRDefault="00790ADA" w:rsidP="00441B6F">
      <w:pPr>
        <w:pStyle w:val="AbstHead"/>
        <w:spacing w:after="0"/>
        <w:jc w:val="both"/>
        <w:rPr>
          <w:rFonts w:ascii="Arial" w:hAnsi="Arial" w:cs="Arial"/>
        </w:rPr>
      </w:pPr>
    </w:p>
    <w:p w14:paraId="20500306"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Study design and reporting framework</w:t>
      </w:r>
    </w:p>
    <w:p w14:paraId="3890C543" w14:textId="1DAE2821" w:rsidR="00F242E7" w:rsidRDefault="00F242E7" w:rsidP="00F242E7">
      <w:pPr>
        <w:pStyle w:val="Body"/>
        <w:spacing w:after="0"/>
        <w:ind w:firstLine="567"/>
        <w:rPr>
          <w:rFonts w:ascii="Arial" w:hAnsi="Arial" w:cs="Arial"/>
        </w:rPr>
      </w:pPr>
      <w:r w:rsidRPr="00F242E7">
        <w:rPr>
          <w:rFonts w:ascii="Arial" w:hAnsi="Arial" w:cs="Arial"/>
        </w:rPr>
        <w:t xml:space="preserve">A quantitative analytical survey employing a cross-sectional design was executed. The design, setting, participants, measurement, and statistical analysis were systematically organized to ensure transparent reporting in accordance with current guidelines for observational public health research, including the STROBE-Equity extension, which emphasizes equity-relevant reporting elements in observational studies </w:t>
      </w:r>
      <w:r w:rsidRPr="00F242E7">
        <w:rPr>
          <w:rFonts w:ascii="Arial" w:hAnsi="Arial" w:cs="Arial"/>
        </w:rPr>
        <w:fldChar w:fldCharType="begin" w:fldLock="1"/>
      </w:r>
      <w:r w:rsidR="00C97C17">
        <w:rPr>
          <w:rFonts w:ascii="Arial" w:hAnsi="Arial" w:cs="Arial"/>
        </w:rPr>
        <w:instrText>ADDIN CSL_CITATION {"citationItems":[{"id":"ITEM-1","itemData":{"DOI":"10.1001/jamanetworkopen.2025.32512","ISSN":"25743805","PMID":"40899932","abstract":"Importance: Observational studies can provide valuable insights to inform decisions on health equity. Existing guidelines for reporting such studies, such as the Strengthening the Reporting of Observational Studies in Epidemiology (STROBE) statement, currently lack specific considerations for reporting on health equity. Health equity is defined as the absence of avoidable and unfair differences that may exist across individuals and populations due to structural and systematic inequities in living and working conditions, opportunities, and resources. To address this gap, the research team developed an extension of the STROBE statement (STROBE-Equity) that focuses on reporting health equity data and considerations. Observations: This consensus statement followed steps for developing a consensus- and evidence-based guideline using an integrated knowledge translation approach to ensure engagement of knowledge users from diverse disciplines and perspectives. Selection criteria for the research team and steering committees prioritized diversity across age, gender, and geography. The STROBE checklist was extended to include 10 items specifically aimed at reporting health equity considerations. To develop these items, the research team drew on evidence from empirical studies including a scoping review of the literature, methodological review, key informant interviews, an online survey, and a global consensus meeting of experts. For each of the 10 equity-related items, the statement provides an explanation and example(s) of transparent reporting practices. Conclusions and Relevance: Use of the STROBE-Equity extension alongside the STROBE statement when writing up completed reports of observational studies has the potential to advance the reporting of health equity data and considerations. Improved reporting of this information may help knowledge users better identify and apply evidence relevant to populations experiencing inequities.","author":[{"dropping-particle":"","family":"Dewidar","given":"Omar","non-dropping-particle":"","parse-names":false,"suffix":""},{"dropping-particle":"","family":"Shamseer","given":"Larissa","non-dropping-particle":"","parse-names":false,"suffix":""},{"dropping-particle":"","family":"Melendez-Torres","given":"G. J.","non-dropping-particle":"","parse-names":false,"suffix":""},{"dropping-particle":"","family":"Akl","given":"Elie A.","non-dropping-particle":"","parse-names":false,"suffix":""},{"dropping-particle":"","family":"Ramke","given":"Jacqueline","non-dropping-particle":"","parse-names":false,"suffix":""},{"dropping-particle":"","family":"Wang","given":"Xiaoqin","non-dropping-particle":"","parse-names":false,"suffix":""},{"dropping-particle":"","family":"Oloyede","given":"Oyekola","non-dropping-particle":"","parse-names":false,"suffix":""},{"dropping-particle":"","family":"Young","given":"Taryn","non-dropping-particle":"","parse-names":false,"suffix":""},{"dropping-particle":"","family":"Nicholls","given":"Stuart G.","non-dropping-particle":"","parse-names":false,"suffix":""},{"dropping-particle":"","family":"Marshall","given":"Zack","non-dropping-particle":"","parse-names":false,"suffix":""},{"dropping-particle":"","family":"Kennedy","given":"Michelle","non-dropping-particle":"","parse-names":false,"suffix":""},{"dropping-particle":"","family":"Hardy","given":"Billie Jo","non-dropping-particle":"","parse-names":false,"suffix":""},{"dropping-particle":"","family":"Rizvi","given":"Anita","non-dropping-particle":"","parse-names":false,"suffix":""},{"dropping-particle":"","family":"Ghogomu","given":"Elizabeth","non-dropping-particle":"","parse-names":false,"suffix":""},{"dropping-particle":"","family":"Rader","given":"Tamara","non-dropping-particle":"","parse-names":false,"suffix":""},{"dropping-particle":"","family":"Waddington","given":"Hugh Sharma","non-dropping-particle":"","parse-names":false,"suffix":""},{"dropping-particle":"","family":"Shea","given":"Beverley","non-dropping-particle":"","parse-names":false,"suffix":""},{"dropping-particle":"","family":"Nkangu","given":"Miriam","non-dropping-particle":"","parse-names":false,"suffix":""},{"dropping-particle":"","family":"Ellingwood","given":"Holly","non-dropping-particle":"","parse-names":false,"suffix":""},{"dropping-particle":"","family":"Wolfenden","given":"Luke","non-dropping-particle":"","parse-names":false,"suffix":""},{"dropping-particle":"","family":"Tufte","given":"Janice","non-dropping-particle":"","parse-names":false,"suffix":""},{"dropping-particle":"","family":"Horsley","given":"Tanya","non-dropping-particle":"","parse-names":false,"suffix":""},{"dropping-particle":"","family":"Pottie","given":"Kevin","non-dropping-particle":"","parse-names":false,"suffix":""},{"dropping-particle":"","family":"Cuervo","given":"Luis Gabriel","non-dropping-particle":"","parse-names":false,"suffix":""},{"dropping-particle":"","family":"Juando-Prats","given":"Clara","non-dropping-particle":"","parse-names":false,"suffix":""},{"dropping-particle":"","family":"Feng","given":"Cindy","non-dropping-particle":"","parse-names":false,"suffix":""},{"dropping-particle":"","family":"Sharp","given":"Melissa K.","non-dropping-particle":"","parse-names":false,"suffix":""},{"dropping-particle":"","family":"Little","given":"Julian","non-dropping-particle":"","parse-names":false,"suffix":""},{"dropping-particle":"","family":"Owusu-Addo","given":"Ebenezer","non-dropping-particle":"","parse-names":false,"suffix":""},{"dropping-particle":"","family":"Francis","given":"Damian","non-dropping-particle":"","parse-names":false,"suffix":""},{"dropping-particle":"","family":"Kredo","given":"Tamara","non-dropping-particle":"","parse-names":false,"suffix":""},{"dropping-particle":"","family":"Mahande","given":"Michael Johnson","non-dropping-particle":"","parse-names":false,"suffix":""},{"dropping-particle":"","family":"Chamberlain","given":"Catherine","non-dropping-particle":"","parse-names":false,"suffix":""},{"dropping-particle":"","family":"Pantoja","given":"Tomás","non-dropping-particle":"","parse-names":false,"suffix":""},{"dropping-particle":"","family":"Elm","given":"Erik","non-dropping-particle":"von","parse-names":false,"suffix":""},{"dropping-particle":"","family":"Bhutta","given":"Zulfiqar A.","non-dropping-particle":"","parse-names":false,"suffix":""},{"dropping-particle":"","family":"Tugwell","given":"Peter","non-dropping-particle":"","parse-names":false,"suffix":""},{"dropping-particle":"","family":"Wiysonge","given":"Charles S.","non-dropping-particle":"","parse-names":false,"suffix":""},{"dropping-particle":"","family":"Funnell","given":"Sarah","non-dropping-particle":"","parse-names":false,"suffix":""},{"dropping-particle":"","family":"Jull","given":"Janet","non-dropping-particle":"","parse-names":false,"suffix":""},{"dropping-particle":"","family":"Mbuagbaw","given":"Lawrence","non-dropping-particle":"","parse-names":false,"suffix":""},{"dropping-particle":"","family":"Welch","given":"Vivian","non-dropping-particle":"","parse-names":false,"suffix":""}],"container-title":"JAMA network open","id":"ITEM-1","issue":"9","issued":{"date-parts":[["2025"]]},"page":"e2532512","title":"Improving the Reporting on Health Equity in Observational Research (STROBE-Equity): Extension Checklist and Elaboration","type":"article-journal","volume":"8"},"uris":["http://www.mendeley.com/documents/?uuid=ed2094c1-3523-4c7d-96f2-002a2a280257"]}],"mendeley":{"formattedCitation":"(Dewidar et al., 2025)","plainTextFormattedCitation":"(Dewidar et al., 2025)","previouslyFormattedCitation":"(Dewidar et al., 2025)"},"properties":{"noteIndex":0},"schema":"https://github.com/citation-style-language/schema/raw/master/csl-citation.json"}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(Dewidar et al., 2025)</w:t>
      </w:r>
      <w:r w:rsidRPr="00F242E7">
        <w:rPr>
          <w:rFonts w:ascii="Arial" w:hAnsi="Arial" w:cs="Arial"/>
        </w:rPr>
        <w:fldChar w:fldCharType="end"/>
      </w:r>
      <w:r w:rsidRPr="00F242E7">
        <w:rPr>
          <w:rFonts w:ascii="Arial" w:hAnsi="Arial" w:cs="Arial"/>
        </w:rPr>
        <w:t>.</w:t>
      </w:r>
    </w:p>
    <w:p w14:paraId="3D4639D4" w14:textId="77777777" w:rsidR="00A658D3" w:rsidRPr="00F242E7" w:rsidRDefault="00A658D3" w:rsidP="00F242E7">
      <w:pPr>
        <w:pStyle w:val="Body"/>
        <w:spacing w:after="0"/>
        <w:ind w:firstLine="567"/>
        <w:rPr>
          <w:rFonts w:ascii="Arial" w:hAnsi="Arial" w:cs="Arial"/>
        </w:rPr>
      </w:pPr>
    </w:p>
    <w:p w14:paraId="24EC6B24"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lastRenderedPageBreak/>
        <w:t>Study setting</w:t>
      </w:r>
    </w:p>
    <w:p w14:paraId="1CD708B7" w14:textId="77777777" w:rsidR="00F242E7" w:rsidRPr="00F242E7" w:rsidRDefault="00F242E7" w:rsidP="00F242E7">
      <w:pPr>
        <w:pStyle w:val="Body"/>
        <w:spacing w:after="0"/>
        <w:ind w:firstLine="567"/>
        <w:rPr>
          <w:rFonts w:ascii="Arial" w:hAnsi="Arial" w:cs="Arial"/>
        </w:rPr>
      </w:pPr>
      <w:r w:rsidRPr="00F242E7">
        <w:rPr>
          <w:rFonts w:ascii="Arial" w:hAnsi="Arial" w:cs="Arial"/>
        </w:rPr>
        <w:t>The research was conducted in the Special Region of Yogyakarta, Indonesia, encompassing three administrative divisions: Sleman District, Bantul District, and Yogyakarta City.</w:t>
      </w:r>
    </w:p>
    <w:p w14:paraId="007616A5"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Population, sampling, and study participants</w:t>
      </w:r>
    </w:p>
    <w:p w14:paraId="4424DA96" w14:textId="089632A2" w:rsidR="00AB2721" w:rsidRPr="00AB2721" w:rsidRDefault="00A056D2" w:rsidP="00AB2721">
      <w:pPr>
        <w:pStyle w:val="Body"/>
        <w:spacing w:after="0"/>
        <w:ind w:firstLine="567"/>
        <w:rPr>
          <w:rFonts w:ascii="Arial" w:hAnsi="Arial" w:cs="Arial"/>
        </w:rPr>
      </w:pPr>
      <w:r>
        <w:rPr>
          <w:rFonts w:ascii="Arial" w:hAnsi="Arial" w:cs="Arial"/>
          <w:highlight w:val="yellow"/>
        </w:rPr>
        <w:t>The target group comprised At-Risk Families (Keluarga Berisiko Stunting; KRS) located in the study area, with an estimated population size of 68,219 KRS according to the sampling frame utilized in this research. Two hundred KRS homes were chosen by proportional stratified random sampling, with strata delineated by administrative regions (Sleman District, Bantul District, and Yogyakarta City). Households were randomly chosen from the available sampling list within each stratum. Every selected household participated in the survey, resulting in a response rate of 100%. In the multivariable regression analyses, observations with missing values in any analytical variable were eliminated by complete-case analysis, leading to the inclusion of 191 households in the final regression models.</w:t>
      </w:r>
    </w:p>
    <w:p w14:paraId="200F3E98"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Study variables and operational definitions</w:t>
      </w:r>
    </w:p>
    <w:p w14:paraId="53306843" w14:textId="59E2F773" w:rsidR="00A056D2" w:rsidRDefault="00A056D2" w:rsidP="00954AA4">
      <w:pPr>
        <w:pStyle w:val="Body"/>
        <w:spacing w:after="0"/>
        <w:ind w:firstLine="567"/>
        <w:rPr>
          <w:rFonts w:ascii="Arial" w:hAnsi="Arial" w:cs="Arial"/>
          <w:highlight w:val="yellow"/>
        </w:rPr>
      </w:pPr>
      <w:r>
        <w:rPr>
          <w:rFonts w:ascii="Arial" w:hAnsi="Arial" w:cs="Arial"/>
          <w:highlight w:val="yellow"/>
        </w:rPr>
        <w:t>The dependent variable (Y) was the KRS program performance score, which is a composite index constructed from questionnaire items that measure household engagement and compliance with KRS-related stunting prevention and reduction activities. All components contributing to the program score were coded uniformly so that elevated values signified superior program-aligned performance. Subsequently, item scores were consolidated into an unweighted composite score; hence, greater overall scores denote enhanced home program performance.</w:t>
      </w:r>
    </w:p>
    <w:p w14:paraId="326E682D" w14:textId="1EE073BE" w:rsidR="00954AA4" w:rsidRPr="00954AA4" w:rsidRDefault="00A056D2" w:rsidP="00954AA4">
      <w:pPr>
        <w:pStyle w:val="Body"/>
        <w:spacing w:after="0"/>
        <w:ind w:firstLine="567"/>
        <w:rPr>
          <w:rFonts w:ascii="Arial" w:hAnsi="Arial" w:cs="Arial"/>
          <w:highlight w:val="yellow"/>
        </w:rPr>
      </w:pPr>
      <w:r>
        <w:rPr>
          <w:rFonts w:ascii="Arial" w:hAnsi="Arial" w:cs="Arial"/>
          <w:highlight w:val="yellow"/>
        </w:rPr>
        <w:t>The independent variables included household-level personal factors indicative of maternal/caregiver characteristics: (X1) women's attitudes towards stunting prevention and recommended practices, (X2) women's motivation to participate in preventive measures, and (X3) women's roles in household practices pertinent to child nutrition and health. Each dimension was assessed by multi-item Likert-type questions and consolidated into a composite score, with elevated values signifying a more favorable attitude, enhanced motivation, and a more significant role of women, respectively. The multiple linear regression model is defined as Y = a + b1X1 + b2X2 + b3X3, where Y denotes the KRS program performance score, a represents the intercept (constant), b1–b3 are the regression coefficients, and X1–X3 signify attitude, motivation, and women's role, respectively.</w:t>
      </w:r>
    </w:p>
    <w:p w14:paraId="374BDFEA" w14:textId="77777777" w:rsidR="00954AA4" w:rsidRDefault="00954AA4" w:rsidP="00641056">
      <w:pPr>
        <w:pStyle w:val="Body"/>
        <w:spacing w:after="0"/>
        <w:ind w:firstLine="567"/>
        <w:rPr>
          <w:rFonts w:ascii="Arial" w:hAnsi="Arial" w:cs="Arial"/>
          <w:highlight w:val="yellow"/>
        </w:rPr>
      </w:pPr>
    </w:p>
    <w:p w14:paraId="51276BDC"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Instrument and measurement procedures</w:t>
      </w:r>
    </w:p>
    <w:p w14:paraId="697CEEB2" w14:textId="0A575BCC" w:rsidR="00F242E7" w:rsidRDefault="00A056D2" w:rsidP="00F242E7">
      <w:pPr>
        <w:pStyle w:val="Body"/>
        <w:spacing w:after="0"/>
        <w:ind w:firstLine="567"/>
        <w:rPr>
          <w:rFonts w:ascii="Arial" w:hAnsi="Arial" w:cs="Arial"/>
        </w:rPr>
      </w:pPr>
      <w:r>
        <w:rPr>
          <w:rFonts w:ascii="Arial" w:hAnsi="Arial" w:cs="Arial"/>
          <w:highlight w:val="yellow"/>
        </w:rPr>
        <w:t xml:space="preserve">Data were collected using a standardized, structured questionnaire administered in person by professional enumerators. The instrument quantified four quantitative constructs: attitude toward stunting prevention (X1), motivation to engage in preventive actions (X2), women's influence on household behaviors related to child nutrition and health (X3), and the KRS program performance score (Y). Attitude, motivation, and the position of women were evaluated using Likert-type items, where higher scores indicated more favorable attitudes, enhanced motivation, and a more prominent role for women. Item directionality was standardized prior to scoring, with negatively phrased items reverse-coded to ensure consistent interpretation. Composite scores for X1–X3 were derived as the mean of the corresponding item responses to maintain the original response metric and improve interpretability, while the KRS program score was calculated by aggregating its component questionnaire items that indicate household participation and compliance with KRS-aligned stunting-prevention and reduction activities, with elevated scores indicating enhanced household program performance. Aligned with contemporary observational reporting requirements that emphasize transparent measurement disclosure </w:t>
      </w:r>
      <w:r>
        <w:rPr>
          <w:rFonts w:ascii="Arial" w:hAnsi="Arial" w:cs="Arial"/>
          <w:highlight w:val="yellow"/>
        </w:rPr>
        <w:fldChar w:fldCharType="begin" w:fldLock="1"/>
      </w:r>
      <w:r>
        <w:rPr>
          <w:rFonts w:ascii="Arial" w:hAnsi="Arial" w:cs="Arial"/>
          <w:highlight w:val="yellow"/>
        </w:rPr>
        <w:instrText>ADDIN CSL_CITATION {"citationItems":[{"id":"ITEM-1","itemData":{"DOI":"10.1001/jamanetworkopen.2025.32512","ISSN":"25743805","PMID":"40899932","abstract":"Importance: Observational studies can provide valuable insights to inform decisions on health equity. Existing guidelines for reporting such studies, such as the Strengthening the Reporting of Observational Studies in Epidemiology (STROBE) statement, currently lack specific considerations for reporting on health equity. Health equity is defined as the absence of avoidable and unfair differences that may exist across individuals and populations due to structural and systematic inequities in living and working conditions, opportunities, and resources. To address this gap, the research team developed an extension of the STROBE statement (STROBE-Equity) that focuses on reporting health equity data and considerations. Observations: This consensus statement followed steps for developing a consensus- and evidence-based guideline using an integrated knowledge translation approach to ensure engagement of knowledge users from diverse disciplines and perspectives. Selection criteria for the research team and steering committees prioritized diversity across age, gender, and geography. The STROBE checklist was extended to include 10 items specifically aimed at reporting health equity considerations. To develop these items, the research team drew on evidence from empirical studies including a scoping review of the literature, methodological review, key informant interviews, an online survey, and a global consensus meeting of experts. For each of the 10 equity-related items, the statement provides an explanation and example(s) of transparent reporting practices. Conclusions and Relevance: Use of the STROBE-Equity extension alongside the STROBE statement when writing up completed reports of observational studies has the potential to advance the reporting of health equity data and considerations. Improved reporting of this information may help knowledge users better identify and apply evidence relevant to populations experiencing inequities.","author":[{"dropping-particle":"","family":"Dewidar","given":"Omar","non-dropping-particle":"","parse-names":false,"suffix":""},{"dropping-particle":"","family":"Shamseer","given":"Larissa","non-dropping-particle":"","parse-names":false,"suffix":""},{"dropping-particle":"","family":"Melendez-Torres","given":"G. J.","non-dropping-particle":"","parse-names":false,"suffix":""},{"dropping-particle":"","family":"Akl","given":"Elie A.","non-dropping-particle":"","parse-names":false,"suffix":""},{"dropping-particle":"","family":"Ramke","given":"Jacqueline","non-dropping-particle":"","parse-names":false,"suffix":""},{"dropping-particle":"","family":"Wang","given":"Xiaoqin","non-dropping-particle":"","parse-names":false,"suffix":""},{"dropping-particle":"","family":"Oloyede","given":"Oyekola","non-dropping-particle":"","parse-names":false,"suffix":""},{"dropping-particle":"","family":"Young","given":"Taryn","non-dropping-particle":"","parse-names":false,"suffix":""},{"dropping-particle":"","family":"Nicholls","given":"Stuart G.","non-dropping-particle":"","parse-names":false,"suffix":""},{"dropping-particle":"","family":"Marshall","given":"Zack","non-dropping-particle":"","parse-names":false,"suffix":""},{"dropping-particle":"","family":"Kennedy","given":"Michelle","non-dropping-particle":"","parse-names":false,"suffix":""},{"dropping-particle":"","family":"Hardy","given":"Billie Jo","non-dropping-particle":"","parse-names":false,"suffix":""},{"dropping-particle":"","family":"Rizvi","given":"Anita","non-dropping-particle":"","parse-names":false,"suffix":""},{"dropping-particle":"","family":"Ghogomu","given":"Elizabeth","non-dropping-particle":"","parse-names":false,"suffix":""},{"dropping-particle":"","family":"Rader","given":"Tamara","non-dropping-particle":"","parse-names":false,"suffix":""},{"dropping-particle":"","family":"Waddington","given":"Hugh Sharma","non-dropping-particle":"","parse-names":false,"suffix":""},{"dropping-particle":"","family":"Shea","given":"Beverley","non-dropping-particle":"","parse-names":false,"suffix":""},{"dropping-particle":"","family":"Nkangu","given":"Miriam","non-dropping-particle":"","parse-names":false,"suffix":""},{"dropping-particle":"","family":"Ellingwood","given":"Holly","non-dropping-particle":"","parse-names":false,"suffix":""},{"dropping-particle":"","family":"Wolfenden","given":"Luke","non-dropping-particle":"","parse-names":false,"suffix":""},{"dropping-particle":"","family":"Tufte","given":"Janice","non-dropping-particle":"","parse-names":false,"suffix":""},{"dropping-particle":"","family":"Horsley","given":"Tanya","non-dropping-particle":"","parse-names":false,"suffix":""},{"dropping-particle":"","family":"Pottie","given":"Kevin","non-dropping-particle":"","parse-names":false,"suffix":""},{"dropping-particle":"","family":"Cuervo","given":"Luis Gabriel","non-dropping-particle":"","parse-names":false,"suffix":""},{"dropping-particle":"","family":"Juando-Prats","given":"Clara","non-dropping-particle":"","parse-names":false,"suffix":""},{"dropping-particle":"","family":"Feng","given":"Cindy","non-dropping-particle":"","parse-names":false,"suffix":""},{"dropping-particle":"","family":"Sharp","given":"Melissa K.","non-dropping-particle":"","parse-names":false,"suffix":""},{"dropping-particle":"","family":"Little","given":"Julian","non-dropping-particle":"","parse-names":false,"suffix":""},{"dropping-particle":"","family":"Owusu-Addo","given":"Ebenezer","non-dropping-particle":"","parse-names":false,"suffix":""},{"dropping-particle":"","family":"Francis","given":"Damian","non-dropping-particle":"","parse-names":false,"suffix":""},{"dropping-particle":"","family":"Kredo","given":"Tamara","non-dropping-particle":"","parse-names":false,"suffix":""},{"dropping-particle":"","family":"Mahande","given":"Michael Johnson","non-dropping-particle":"","parse-names":false,"suffix":""},{"dropping-particle":"","family":"Chamberlain","given":"Catherine","non-dropping-particle":"","parse-names":false,"suffix":""},{"dropping-particle":"","family":"Pantoja","given":"Tomás","non-dropping-particle":"","parse-names":false,"suffix":""},{"dropping-particle":"","family":"Elm","given":"Erik","non-dropping-particle":"von","parse-names":false,"suffix":""},{"dropping-particle":"","family":"Bhutta","given":"Zulfiqar A.","non-dropping-particle":"","parse-names":false,"suffix":""},{"dropping-particle":"","family":"Tugwell","given":"Peter","non-dropping-particle":"","parse-names":false,"suffix":""},{"dropping-particle":"","family":"Wiysonge","given":"Charles S.","non-dropping-particle":"","parse-names":false,"suffix":""},{"dropping-particle":"","family":"Funnell","given":"Sarah","non-dropping-particle":"","parse-names":false,"suffix":""},{"dropping-particle":"","family":"Jull","given":"Janet","non-dropping-particle":"","parse-names":false,"suffix":""},{"dropping-particle":"","family":"Mbuagbaw","given":"Lawrence","non-dropping-particle":"","parse-names":false,"suffix":""},{"dropping-particle":"","family":"Welch","given":"Vivian","non-dropping-particle":"","parse-names":false,"suffix":""}],"container-title":"JAMA network open","id":"ITEM-1","issue":"9","issued":{"date-parts":[["2025"]]},"page":"e2532512","title":"Improving the Reporting on Health Equity in Observational Research (STROBE-Equity): Extension Checklist and Elaboration","type":"article-journal","volume":"8"},"uris":["http://www.mendeley.com/documents/?uuid=ed2094c1-3523-4c7d-96f2-002a2a280257"]}],"mendeley":{"formattedCitation":"(Dewidar et al., 2025)","plainTextFormattedCitation":"(Dewidar et al., 2025)","previouslyFormattedCitation":"(Dewidar et al., 2025)"},"properties":{"noteIndex":0},"schema":"https://github.com/citation-style-language/schema/raw/master/csl-citation.json"}</w:instrText>
      </w:r>
      <w:r>
        <w:rPr>
          <w:rFonts w:ascii="Arial" w:hAnsi="Arial" w:cs="Arial"/>
          <w:highlight w:val="yellow"/>
        </w:rPr>
        <w:fldChar w:fldCharType="separate"/>
      </w:r>
      <w:r w:rsidRPr="00A056D2">
        <w:rPr>
          <w:rFonts w:ascii="Arial" w:hAnsi="Arial" w:cs="Arial"/>
          <w:noProof/>
          <w:highlight w:val="yellow"/>
        </w:rPr>
        <w:t>(Dewidar et al., 2025)</w:t>
      </w:r>
      <w:r>
        <w:rPr>
          <w:rFonts w:ascii="Arial" w:hAnsi="Arial" w:cs="Arial"/>
          <w:highlight w:val="yellow"/>
        </w:rPr>
        <w:fldChar w:fldCharType="end"/>
      </w:r>
      <w:r>
        <w:rPr>
          <w:rFonts w:ascii="Arial" w:hAnsi="Arial" w:cs="Arial"/>
          <w:highlight w:val="yellow"/>
        </w:rPr>
        <w:t xml:space="preserve">. The manuscript outlines the item composition, coding methodology, and scoring criteria for each </w:t>
      </w:r>
      <w:r>
        <w:rPr>
          <w:rFonts w:ascii="Arial" w:hAnsi="Arial" w:cs="Arial"/>
          <w:highlight w:val="yellow"/>
        </w:rPr>
        <w:lastRenderedPageBreak/>
        <w:t>composite scale. The internal consistency reliability for all multi-item constructs (X1–X3 and Y) was assessed using Cronbach’s alpha and recorded in the Results section.</w:t>
      </w:r>
    </w:p>
    <w:p w14:paraId="64924F9A" w14:textId="77777777" w:rsidR="000F0462" w:rsidRDefault="000F0462" w:rsidP="00F242E7">
      <w:pPr>
        <w:pStyle w:val="Body"/>
        <w:spacing w:after="0"/>
        <w:ind w:firstLine="567"/>
        <w:rPr>
          <w:rFonts w:ascii="Arial" w:hAnsi="Arial" w:cs="Arial"/>
        </w:rPr>
      </w:pPr>
    </w:p>
    <w:p w14:paraId="72928ECC"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Data collection and quality control</w:t>
      </w:r>
    </w:p>
    <w:p w14:paraId="7B7D1C05" w14:textId="77777777" w:rsidR="00F242E7" w:rsidRPr="00F242E7" w:rsidRDefault="00F242E7" w:rsidP="00F242E7">
      <w:pPr>
        <w:pStyle w:val="Body"/>
        <w:spacing w:after="0"/>
        <w:ind w:firstLine="567"/>
        <w:rPr>
          <w:rFonts w:ascii="Arial" w:hAnsi="Arial" w:cs="Arial"/>
        </w:rPr>
      </w:pPr>
      <w:r w:rsidRPr="00F242E7">
        <w:rPr>
          <w:rFonts w:ascii="Arial" w:hAnsi="Arial" w:cs="Arial"/>
        </w:rPr>
        <w:t>Enumerators directly administered the questionnaire to respondents. Standardized field procedures were employed to elucidate study objectives, secure informed consent, and guarantee uniform item administration. Completed surveys were verified for thoroughness and logical coherence before data entry.</w:t>
      </w:r>
    </w:p>
    <w:p w14:paraId="09A8EC06"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Data analysis and model specification</w:t>
      </w:r>
    </w:p>
    <w:p w14:paraId="0101A06E" w14:textId="77777777" w:rsidR="00AB2721" w:rsidRDefault="00AB2721" w:rsidP="00F242E7">
      <w:pPr>
        <w:pStyle w:val="Body"/>
        <w:spacing w:after="0"/>
        <w:ind w:firstLine="567"/>
        <w:rPr>
          <w:rFonts w:ascii="Arial" w:hAnsi="Arial" w:cs="Arial"/>
        </w:rPr>
      </w:pPr>
    </w:p>
    <w:p w14:paraId="49837060" w14:textId="77777777" w:rsidR="00AB2721" w:rsidRPr="00AB2721" w:rsidRDefault="00AB2721" w:rsidP="00AB2721">
      <w:pPr>
        <w:pStyle w:val="Body"/>
        <w:spacing w:after="0"/>
        <w:ind w:firstLine="567"/>
        <w:rPr>
          <w:rFonts w:ascii="Arial" w:hAnsi="Arial" w:cs="Arial"/>
        </w:rPr>
      </w:pPr>
      <w:r w:rsidRPr="00AB2721">
        <w:rPr>
          <w:rFonts w:ascii="Arial" w:hAnsi="Arial" w:cs="Arial"/>
        </w:rPr>
        <w:t xml:space="preserve">All analyses were conducted using IBM SPSS Statistics. Descriptive statistics were used to summarize the study variables. Inferential analysis applied multiple linear regression to examine the association between household-level personal factors—women’s attitude (X1), women’s motivation (X2), and women’s role (X3)—and the KRS program performance score (Y). Missing data were handled using complete-case (listwise deletion) in the primary regression analyses; therefore, the final analytic sample for regression comprised </w:t>
      </w:r>
      <w:r w:rsidRPr="00AB2721">
        <w:rPr>
          <w:rFonts w:ascii="Arial" w:hAnsi="Arial" w:cs="Arial"/>
          <w:highlight w:val="yellow"/>
        </w:rPr>
        <w:t>191 households.</w:t>
      </w:r>
    </w:p>
    <w:p w14:paraId="789F51FB" w14:textId="21A5C614" w:rsidR="00F242E7" w:rsidRPr="00F242E7" w:rsidRDefault="00A056D2" w:rsidP="00F242E7">
      <w:pPr>
        <w:pStyle w:val="Body"/>
        <w:spacing w:after="0"/>
        <w:ind w:firstLine="567"/>
        <w:rPr>
          <w:rFonts w:ascii="Arial" w:hAnsi="Arial" w:cs="Arial"/>
        </w:rPr>
      </w:pPr>
      <w:r>
        <w:rPr>
          <w:rFonts w:ascii="Arial" w:hAnsi="Arial" w:cs="Arial"/>
          <w:highlight w:val="yellow"/>
        </w:rPr>
        <w:t xml:space="preserve">Predictor selection utilized the SPSS Backward elimination procedure, wherein all predictors are initially included in the model and subsequently eliminated in sequence according to the F statistic's probability, employing a removal criterion of F-to-remove probability ≥ 0.100, as delineated in the SPSS output settings (IBM, 2024a; IBM, 2026). Statistical significance was assessed at α = 0.05 (two-tailed). </w:t>
      </w:r>
      <w:r w:rsidR="00AB2721" w:rsidRPr="00AB2721">
        <w:rPr>
          <w:rFonts w:ascii="Arial" w:hAnsi="Arial" w:cs="Arial"/>
        </w:rPr>
        <w:t xml:space="preserve">Model assumptions were assessed using standard diagnostics: residual normality and homoscedasticity were examined visually using residual plots, and multicollinearity was evaluated using tolerance and variance inflation factor (VIF). Given that backward/stepwise procedures can yield sample-dependent predictor subsets, findings from the final selected model were interpreted cautiously as explanatory within this dataset rather than as definitive causal evidence </w:t>
      </w:r>
      <w:r w:rsidR="00F242E7" w:rsidRPr="00F242E7">
        <w:rPr>
          <w:rFonts w:ascii="Arial" w:hAnsi="Arial" w:cs="Arial"/>
        </w:rPr>
        <w:fldChar w:fldCharType="begin" w:fldLock="1"/>
      </w:r>
      <w:r w:rsidR="00C97C17">
        <w:rPr>
          <w:rFonts w:ascii="Arial" w:hAnsi="Arial" w:cs="Arial"/>
        </w:rPr>
        <w:instrText>ADDIN CSL_CITATION {"citationItems":[{"id":"ITEM-1","itemData":{"DOI":"10.5964/meth.11523","ISSN":"16142241","abstract":"Identifying significant predictors of behavioral outcomes is of great interest in many psychological studies. Lasso regression, as an alternative to stepwise regression for variable selection, has started gaining traction among psychologists. Yet, further investigation is valuable to fully understand its performance across various psychological data conditions. Using a Monte Carlo simulation and an empirical demonstration, we compared Lasso regression to stepwise regression in typical psychological datasets varying in sample size, predictor size, sparsity, and signal-to-noise ratio. We found that: (1) Lasso regression was more accurate in within-sample selection and yielded more consistent out-of-sample prediction accuracy than stepwise regression; (2) Lasso with a harsher shrinkage parameter was more accurate, parsimonious, and robust to sampling variability than the prediction-optimizing Lasso. Finally, we concluded with cautious notes and recommendations in practice on the application of Lasso regression.","author":[{"dropping-particle":"","family":"Zhou","given":"Di Jody","non-dropping-particle":"","parse-names":false,"suffix":""},{"dropping-particle":"","family":"Chahal","given":"Rajpreet","non-dropping-particle":"","parse-names":false,"suffix":""},{"dropping-particle":"","family":"Gotlib","given":"Ian H.","non-dropping-particle":"","parse-names":false,"suffix":""},{"dropping-particle":"","family":"Liu","given":"Siwei","non-dropping-particle":"","parse-names":false,"suffix":""}],"container-title":"Methodology","id":"ITEM-1","issue":"2","issued":{"date-parts":[["2024"]]},"page":"121-143","title":"Comparison of Lasso and Stepwise Regression in Psychological Data","type":"article-journal","volume":"20"},"uris":["http://www.mendeley.com/documents/?uuid=afe32c8e-f048-4348-a364-0fdcd9a76ab8"]},{"id":"ITEM-2","itemData":{"abstract":"This paper shows that the degree of approximate multicollinearity in a linear regression model increases simply by including independent variables, even if these are not highly linearly related. In the current situation where it is relatively easy to find linear models with a large number of independent variables, it is shown that this issue can lead to the erroneous conclusion that there is a worrying problem of approximate multicollinearity. To avoid this situation, an adjusted variance inflation factor is proposed to compensate the presence of a large number of independent variables in the multiple linear regression model. It is shown that this proposal has a direct impact on variable selection models based on influence relationships, which translates into a new decision criterion in the individual significance contrast to be considered in stepwise regression models or even directly in a multiple linear regression model.","author":[{"dropping-particle":"","family":"Gómez","given":"Román Salmerón","non-dropping-particle":"","parse-names":false,"suffix":""},{"dropping-particle":"","family":"García","given":"Catalina García","non-dropping-particle":"","parse-names":false,"suffix":""}],"id":"ITEM-2","issued":{"date-parts":[["2025"]]},"title":"Stepwise regression revisited","type":"article-journal"},"uris":["http://www.mendeley.com/documents/?uuid=d9368425-86dc-4fc7-8c70-2343ef571209"]}],"mendeley":{"formattedCitation":"(Gómez &amp; García, 2025; Zhou et al., 2024)","plainTextFormattedCitation":"(Gómez &amp; García, 2025; Zhou et al., 2024)","previouslyFormattedCitation":"(Gómez &amp; García, 2025; Zhou et al., 2024)"},"properties":{"noteIndex":0},"schema":"https://github.com/citation-style-language/schema/raw/master/csl-citation.json"}</w:instrText>
      </w:r>
      <w:r w:rsidR="00F242E7" w:rsidRPr="00F242E7">
        <w:rPr>
          <w:rFonts w:ascii="Arial" w:hAnsi="Arial" w:cs="Arial"/>
        </w:rPr>
        <w:fldChar w:fldCharType="separate"/>
      </w:r>
      <w:r w:rsidR="00F262B6" w:rsidRPr="00F262B6">
        <w:rPr>
          <w:rFonts w:ascii="Arial" w:hAnsi="Arial" w:cs="Arial"/>
          <w:noProof/>
        </w:rPr>
        <w:t>(Gómez &amp; García, 2025; Zhou et al., 2024)</w:t>
      </w:r>
      <w:r w:rsidR="00F242E7" w:rsidRPr="00F242E7">
        <w:rPr>
          <w:rFonts w:ascii="Arial" w:hAnsi="Arial" w:cs="Arial"/>
        </w:rPr>
        <w:fldChar w:fldCharType="end"/>
      </w:r>
      <w:r w:rsidR="00F242E7" w:rsidRPr="00F242E7">
        <w:rPr>
          <w:rFonts w:ascii="Arial" w:hAnsi="Arial" w:cs="Arial"/>
        </w:rPr>
        <w:t xml:space="preserve">. </w:t>
      </w:r>
    </w:p>
    <w:p w14:paraId="1318F901"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Classical assumption tests (regression diagnostics)</w:t>
      </w:r>
    </w:p>
    <w:p w14:paraId="401567B7" w14:textId="52B5577D" w:rsidR="00F242E7" w:rsidRPr="00F242E7" w:rsidRDefault="00F242E7" w:rsidP="00F242E7">
      <w:pPr>
        <w:pStyle w:val="Body"/>
        <w:spacing w:after="0"/>
        <w:ind w:firstLine="567"/>
        <w:rPr>
          <w:rFonts w:ascii="Arial" w:hAnsi="Arial" w:cs="Arial"/>
        </w:rPr>
      </w:pPr>
      <w:r w:rsidRPr="00F242E7">
        <w:rPr>
          <w:rFonts w:ascii="Arial" w:hAnsi="Arial" w:cs="Arial"/>
        </w:rPr>
        <w:t xml:space="preserve">Prior to evaluating regression coefficients, diagnostic assessments were performed. Residual normality was assessed by the histogram and Normal P–P Plot of standardized residuals, and further analyzed using the Kolmogorov–Smirnov (K–S) test on unstandardized residuals. The K–S test produced a p-value of 0.018 (N = </w:t>
      </w:r>
      <w:r w:rsidR="00A658D3">
        <w:rPr>
          <w:rFonts w:ascii="Arial" w:hAnsi="Arial" w:cs="Arial"/>
        </w:rPr>
        <w:t>191</w:t>
      </w:r>
      <w:r w:rsidRPr="00F242E7">
        <w:rPr>
          <w:rFonts w:ascii="Arial" w:hAnsi="Arial" w:cs="Arial"/>
        </w:rPr>
        <w:t xml:space="preserve">), suggesting a deviation from strict normality; however, recent methodological studies indicate that normality tests can be sensitive to sample size and may detect minor deviations with minimal practical significance for linear regression inference, highlighting the necessity of supplementing tests with visual diagnostics </w:t>
      </w:r>
      <w:r w:rsidRPr="00F242E7">
        <w:rPr>
          <w:rFonts w:ascii="Arial" w:hAnsi="Arial" w:cs="Arial"/>
        </w:rPr>
        <w:fldChar w:fldCharType="begin" w:fldLock="1"/>
      </w:r>
      <w:r w:rsidR="00C97C17">
        <w:rPr>
          <w:rFonts w:ascii="Arial" w:hAnsi="Arial" w:cs="Arial"/>
        </w:rPr>
        <w:instrText>ADDIN CSL_CITATION {"citationItems":[{"id":"ITEM-1","itemData":{"DOI":"10.1098/rsos.241904","ISBN":"0000000332422","ISSN":"20545703","abstract":"This study examines the misuse of normality tests in linear regression within ecology and biology, focusing on common misconceptions. A bibliometric review found that over 70% of ecology papers and 90% of biology papers incorrectly applied normality tests to raw data instead of model residuals. To assess the impact of this error, we simulated datasets with normal, interval, and skewed distributions across various sample and effect sizes. We compared statistical power between two approaches: testing the whole dataset for normality (incorrect) versus testing model residuals (correct) to determine whether to use a parametric (t-test) or nonparametric (Mann-Whitney U test) method. Our results showed minimal differences in statistical power between the approaches, even when normality was incorrectly tested on raw data. However, when residuals violated the normality assumption, using the Mann-Whitney U test increased statistical power by 3–4%. Overall, the study suggests that, while correctly testing residuals for normality enhances model performance, the impact of testing raw data is negligible in terms of power loss, especially with large sample sizes. The findings highlight the need for more awareness of proper statistical practices, especially in evaluating the assumptions of linear models.","author":[{"dropping-particle":"","family":"Midway","given":"Stephen","non-dropping-particle":"","parse-names":false,"suffix":""},{"dropping-particle":"","family":"White","given":"J. Wilson","non-dropping-particle":"","parse-names":false,"suffix":""}],"container-title":"Royal Society Open Science","id":"ITEM-1","issue":"4","issued":{"date-parts":[["2025"]]},"publisher":"The Royal Society","title":"Testing for normality in regression models: mistakes abound (but may not matter)","type":"article-journal","volume":"12"},"uris":["http://www.mendeley.com/documents/?uuid=320b95c7-4ab9-4e5b-b978-1b371a87c26e"]}],"mendeley":{"formattedCitation":"(Midway &amp; White, 2025)","plainTextFormattedCitation":"(Midway &amp; White, 2025)","previouslyFormattedCitation":"(Midway &amp; White, 2025)"},"properties":{"noteIndex":0},"schema":"https://github.com/citation-style-language/schema/raw/master/csl-citation.json"}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(Midway &amp; White, 2025)</w:t>
      </w:r>
      <w:r w:rsidRPr="00F242E7">
        <w:rPr>
          <w:rFonts w:ascii="Arial" w:hAnsi="Arial" w:cs="Arial"/>
        </w:rPr>
        <w:fldChar w:fldCharType="end"/>
      </w:r>
      <w:r w:rsidRPr="00F242E7">
        <w:rPr>
          <w:rFonts w:ascii="Arial" w:hAnsi="Arial" w:cs="Arial"/>
        </w:rPr>
        <w:t>.</w:t>
      </w:r>
    </w:p>
    <w:p w14:paraId="1038B4D8" w14:textId="2C8D99C8" w:rsidR="00F242E7" w:rsidRPr="00F242E7" w:rsidRDefault="00F242E7" w:rsidP="00F242E7">
      <w:pPr>
        <w:pStyle w:val="Body"/>
        <w:spacing w:after="0"/>
        <w:ind w:firstLine="567"/>
        <w:rPr>
          <w:rFonts w:ascii="Arial" w:hAnsi="Arial" w:cs="Arial"/>
        </w:rPr>
      </w:pPr>
      <w:r w:rsidRPr="00F242E7">
        <w:rPr>
          <w:rFonts w:ascii="Arial" w:hAnsi="Arial" w:cs="Arial"/>
        </w:rPr>
        <w:t xml:space="preserve">Multicollinearity was evaluated by Tolerance and Variance Inflation Factor (VIF), interpreted according to standard screening criteria (Tolerance &gt; 0.10; VIF &lt; 10). All predictors satisfied these requirements (Attitude: Tolerance = 0.529, VIF = 1.889; Motivation: Tolerance = 0.516, VIF = 1.937; Women’s role: Tolerance = 0.597, VIF = 1.675). Consistent with recent methodological critiques, VIF thresholds were regarded as heuristics rather than definitive cut-offs </w:t>
      </w:r>
      <w:r w:rsidRPr="00F242E7">
        <w:rPr>
          <w:rFonts w:ascii="Arial" w:hAnsi="Arial" w:cs="Arial"/>
        </w:rPr>
        <w:fldChar w:fldCharType="begin" w:fldLock="1"/>
      </w:r>
      <w:r w:rsidR="00C97C17">
        <w:rPr>
          <w:rFonts w:ascii="Arial" w:hAnsi="Arial" w:cs="Arial"/>
        </w:rPr>
        <w:instrText>ADDIN CSL_CITATION {"citationItems":[{"id":"ITEM-1","itemData":{"DOI":"10.1177/10944281231216381","ISSN":"1094-4281","abstract":"Variance inflation factors (VIF scores) are regression diagnostics commonly invoked throughout the social sciences. Researchers typically take the perspective that VIF scores below a numerical rule-of-thumb threshold act as a “silver bullet” to dismiss any and all multicollinearity concerns. Yet, no valid logical basis exists for using VIF thresholds to reject the possibility of multicollinearity-induced type 1 errors. Reporting VIF scores below a threshold does not in any way add to the credibility of statistically significant results among correlated variables. In contrast to this “threshold perspective,” our analysis expands the scope of a perspective that has considered multicollinearity and misspecification. We demonstrate analytically that a regression omitting a relevant variable correlated with included variables that exhibit multicollinearity is susceptible to endogeneity-induced bias inflation and beta polarization, leading to the possible co-existence of type 1 errors and low VIF scores. Further, omitting variables explicitly reduces VIF scores. We conclude that the threshold perspective not only lacks any logical basis but also is fundamentally misleading as a rule-of-thumb. Instrumental variables represent one clear remedy for endogeneity-induced bias inflation. If exogenous instruments are unavailable, we encourage researchers to test only straightforward, unambiguous theory when using variables that exhibit multicollinearity, and to ensure that correlated co-variates exhibit the expected signs.","author":[{"dropping-particle":"","family":"Kalnins","given":"Arturs","non-dropping-particle":"","parse-names":false,"suffix":""},{"dropping-particle":"","family":"Praitis Hill","given":"Kendall","non-dropping-particle":"","parse-names":false,"suffix":""}],"container-title":"Organizational Research Methods","id":"ITEM-1","issue":"1","issued":{"date-parts":[["2025","1","13"]]},"page":"58-75","title":"The VIF Score. What is it Good For? Absolutely Nothing","type":"article-journal","volume":"28"},"uris":["http://www.mendeley.com/documents/?uuid=7e3c9257-b264-42bd-8fb4-5bb9010df8ac"]}],"mendeley":{"formattedCitation":"(Kalnins &amp; Praitis Hill, 2025)","plainTextFormattedCitation":"(Kalnins &amp; Praitis Hill, 2025)","previouslyFormattedCitation":"(Kalnins &amp; Praitis Hill, 2025)"},"properties":{"noteIndex":0},"schema":"https://github.com/citation-style-language/schema/raw/master/csl-citation.json"}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(Kalnins &amp; Praitis Hill, 2025)</w:t>
      </w:r>
      <w:r w:rsidRPr="00F242E7">
        <w:rPr>
          <w:rFonts w:ascii="Arial" w:hAnsi="Arial" w:cs="Arial"/>
        </w:rPr>
        <w:fldChar w:fldCharType="end"/>
      </w:r>
      <w:r w:rsidRPr="00F242E7">
        <w:rPr>
          <w:rFonts w:ascii="Arial" w:hAnsi="Arial" w:cs="Arial"/>
        </w:rPr>
        <w:t>.</w:t>
      </w:r>
    </w:p>
    <w:p w14:paraId="6A7E8261" w14:textId="4A254A90" w:rsidR="00F242E7" w:rsidRDefault="00F242E7" w:rsidP="00F242E7">
      <w:pPr>
        <w:pStyle w:val="Body"/>
        <w:spacing w:after="0"/>
        <w:ind w:firstLine="567"/>
        <w:rPr>
          <w:rFonts w:ascii="Arial" w:hAnsi="Arial" w:cs="Arial"/>
        </w:rPr>
      </w:pPr>
      <w:r w:rsidRPr="00F242E7">
        <w:rPr>
          <w:rFonts w:ascii="Arial" w:hAnsi="Arial" w:cs="Arial"/>
        </w:rPr>
        <w:t xml:space="preserve">Homoscedasticity was assessed by examining the scatterplot of standardized predicted values (ZPRED) versus studentized residuals (ZRESID). When violations are detected, new guidance advises employing heteroskedasticity-robust inference as a sensitivity analysis to enhance reliability in the presence of non-normal or heteroskedastic error distributions </w:t>
      </w:r>
      <w:r w:rsidRPr="00F242E7">
        <w:rPr>
          <w:rFonts w:ascii="Arial" w:hAnsi="Arial" w:cs="Arial"/>
        </w:rPr>
        <w:fldChar w:fldCharType="begin" w:fldLock="1"/>
      </w:r>
      <w:r w:rsidR="00C97C17">
        <w:rPr>
          <w:rFonts w:ascii="Arial" w:hAnsi="Arial" w:cs="Arial"/>
        </w:rPr>
        <w:instrText>ADDIN CSL_CITATION {"citationItems":[{"id":"ITEM-1","itemData":{"DOI":"10.3758/s13428-025-02801-4","ISBN":"1342802502801","ISSN":"15543528","PMID":"41214373","abstract":"Selecting an appropriate statistical method is a challenge frequently encountered by applied researchers, especially if assumptions for classical, parametric approaches are violated. To provide some guidelines and support, we compared classical hypothesis tests with their typical distributional assumptions of normality and homoskedasticity with common and easily accessible alternative inference methods (HC3, HC4, and six bootstrap methods) in the framework of ordinary least squares (OLS) regression. The method’s performance was assessed for four different regression models with varying levels of non-normality and heteroskedasticity of errors, and for five different sample sizes ranging from 25 to 500 cases. For each scenario, 10,000 samples of observations were generated. Type I error and coverage rates, power, and standard error bias were examined to assess the methods’ performance. No method considered here performed satisfactorily on all accounts. Using HC3 or HC4 standard errors, or a wild bootstrap procedure with percentile confidence intervals, could yield reliable results in many, but not all, scenarios. We suppose that, in the case of assumption violations, researchers might refer to a method that performed best in a scenario most similar to their data situation. To aid the selection of an appropriate method, we provide tables comparing relative performances in all considered scenarios.","author":[{"dropping-particle":"","family":"Rajh-Weber","given":"Hanna","non-dropping-particle":"","parse-names":false,"suffix":""},{"dropping-particle":"","family":"Huber","given":"Stefan Ernest","non-dropping-particle":"","parse-names":false,"suffix":""},{"dropping-particle":"","family":"Arendasy","given":"Martin","non-dropping-particle":"","parse-names":false,"suffix":""}],"container-title":"Behavior Research Methods","id":"ITEM-1","issue":"12","issued":{"date-parts":[["2025"]]},"page":"1-28","publisher":"Springer US","title":"A practice-oriented guide to statistical inference in linear modeling for non-normal or heteroskedastic error distributions","type":"article-journal","volume":"57"},"uris":["http://www.mendeley.com/documents/?uuid=60b2ae29-0c2c-4037-a7f2-ec74bc750292"]}],"mendeley":{"formattedCitation":"(Rajh-Weber et al., 2025)","plainTextFormattedCitation":"(Rajh-Weber et al., 2025)","previouslyFormattedCitation":"(Rajh-Weber et al., 2025)"},"properties":{"noteIndex":0},"schema":"https://github.com/citation-style-language/schema/raw/master/csl-citation.json"}</w:instrText>
      </w:r>
      <w:r w:rsidRPr="00F242E7">
        <w:rPr>
          <w:rFonts w:ascii="Arial" w:hAnsi="Arial" w:cs="Arial"/>
        </w:rPr>
        <w:fldChar w:fldCharType="separate"/>
      </w:r>
      <w:r w:rsidR="00F262B6" w:rsidRPr="00F262B6">
        <w:rPr>
          <w:rFonts w:ascii="Arial" w:hAnsi="Arial" w:cs="Arial"/>
          <w:noProof/>
        </w:rPr>
        <w:t>(Rajh-Weber et al., 2025)</w:t>
      </w:r>
      <w:r w:rsidRPr="00F242E7">
        <w:rPr>
          <w:rFonts w:ascii="Arial" w:hAnsi="Arial" w:cs="Arial"/>
        </w:rPr>
        <w:fldChar w:fldCharType="end"/>
      </w:r>
      <w:r w:rsidRPr="00F242E7">
        <w:rPr>
          <w:rFonts w:ascii="Arial" w:hAnsi="Arial" w:cs="Arial"/>
        </w:rPr>
        <w:t>.</w:t>
      </w:r>
    </w:p>
    <w:p w14:paraId="13AA5A45" w14:textId="0955C862" w:rsidR="00A658D3" w:rsidRDefault="00A658D3" w:rsidP="00F242E7">
      <w:pPr>
        <w:pStyle w:val="Body"/>
        <w:spacing w:after="0"/>
        <w:ind w:firstLine="567"/>
        <w:rPr>
          <w:rFonts w:ascii="Arial" w:hAnsi="Arial" w:cs="Arial"/>
        </w:rPr>
      </w:pPr>
    </w:p>
    <w:p w14:paraId="3AF51DBC" w14:textId="68828FBC" w:rsidR="00A658D3" w:rsidRDefault="00A658D3" w:rsidP="00F242E7">
      <w:pPr>
        <w:pStyle w:val="Body"/>
        <w:spacing w:after="0"/>
        <w:ind w:firstLine="567"/>
        <w:rPr>
          <w:rFonts w:ascii="Arial" w:hAnsi="Arial" w:cs="Arial"/>
        </w:rPr>
      </w:pPr>
    </w:p>
    <w:p w14:paraId="73D10259" w14:textId="77777777" w:rsidR="00A658D3" w:rsidRPr="00F242E7" w:rsidRDefault="00A658D3" w:rsidP="00F242E7">
      <w:pPr>
        <w:pStyle w:val="Body"/>
        <w:spacing w:after="0"/>
        <w:ind w:firstLine="567"/>
        <w:rPr>
          <w:rFonts w:ascii="Arial" w:hAnsi="Arial" w:cs="Arial"/>
        </w:rPr>
      </w:pPr>
    </w:p>
    <w:p w14:paraId="125CC11F" w14:textId="77777777" w:rsidR="00F242E7" w:rsidRPr="00995832" w:rsidRDefault="00F242E7" w:rsidP="00F242E7">
      <w:pPr>
        <w:pStyle w:val="ListParagraph"/>
        <w:numPr>
          <w:ilvl w:val="0"/>
          <w:numId w:val="31"/>
        </w:numPr>
        <w:spacing w:before="120" w:after="80" w:line="240" w:lineRule="auto"/>
        <w:ind w:left="567" w:hanging="493"/>
        <w:jc w:val="both"/>
        <w:rPr>
          <w:rFonts w:ascii="Arial" w:hAnsi="Arial" w:cs="Arial"/>
          <w:bCs/>
          <w:sz w:val="22"/>
        </w:rPr>
      </w:pPr>
      <w:r w:rsidRPr="00995832">
        <w:rPr>
          <w:rFonts w:ascii="Arial" w:hAnsi="Arial" w:cs="Arial"/>
          <w:bCs/>
          <w:sz w:val="22"/>
        </w:rPr>
        <w:t>Ethical considerations</w:t>
      </w:r>
    </w:p>
    <w:p w14:paraId="7C981D3A" w14:textId="77777777" w:rsidR="000E66CA" w:rsidRPr="000E66CA" w:rsidRDefault="000E66CA" w:rsidP="000E66CA">
      <w:pPr>
        <w:pStyle w:val="Body"/>
        <w:spacing w:after="0"/>
        <w:ind w:firstLine="567"/>
        <w:rPr>
          <w:rFonts w:ascii="Arial" w:hAnsi="Arial" w:cs="Arial"/>
        </w:rPr>
      </w:pPr>
      <w:r w:rsidRPr="000E66CA">
        <w:rPr>
          <w:rFonts w:ascii="Arial" w:hAnsi="Arial" w:cs="Arial"/>
        </w:rPr>
        <w:t xml:space="preserve">The study protocol received approval from the Research Ethics Committee of the Academic Hospital of Universitas Gadjah Mada (RSA UGM), Yogyakarta, Indonesia (ethical clearance number: 030/RSA/KEP/EC/2026; approval date: 20 February 2026). Before participation, all eligible individuals were informed about the study's objectives, procedures, confidentiality measures, and the voluntary nature of their involvement, and they supplied written informed consent before to the commencement of data collection. The reporting of ethical approval and informed consent adheres to recognized guidelines for the transparent documentation of observational public health research </w:t>
      </w:r>
      <w:r w:rsidRPr="000E66CA">
        <w:rPr>
          <w:rFonts w:ascii="Arial" w:hAnsi="Arial" w:cs="Arial"/>
        </w:rPr>
        <w:fldChar w:fldCharType="begin" w:fldLock="1"/>
      </w:r>
      <w:r w:rsidRPr="000E66CA">
        <w:rPr>
          <w:rFonts w:ascii="Arial" w:hAnsi="Arial" w:cs="Arial"/>
        </w:rPr>
        <w:instrText>ADDIN CSL_CITATION {"citationItems":[{"id":"ITEM-1","itemData":{"DOI":"10.1001/jamanetworkopen.2025.32512","ISSN":"25743805","PMID":"40899932","abstract":"Importance: Observational studies can provide valuable insights to inform decisions on health equity. Existing guidelines for reporting such studies, such as the Strengthening the Reporting of Observational Studies in Epidemiology (STROBE) statement, currently lack specific considerations for reporting on health equity. Health equity is defined as the absence of avoidable and unfair differences that may exist across individuals and populations due to structural and systematic inequities in living and working conditions, opportunities, and resources. To address this gap, the research team developed an extension of the STROBE statement (STROBE-Equity) that focuses on reporting health equity data and considerations. Observations: This consensus statement followed steps for developing a consensus- and evidence-based guideline using an integrated knowledge translation approach to ensure engagement of knowledge users from diverse disciplines and perspectives. Selection criteria for the research team and steering committees prioritized diversity across age, gender, and geography. The STROBE checklist was extended to include 10 items specifically aimed at reporting health equity considerations. To develop these items, the research team drew on evidence from empirical studies including a scoping review of the literature, methodological review, key informant interviews, an online survey, and a global consensus meeting of experts. For each of the 10 equity-related items, the statement provides an explanation and example(s) of transparent reporting practices. Conclusions and Relevance: Use of the STROBE-Equity extension alongside the STROBE statement when writing up completed reports of observational studies has the potential to advance the reporting of health equity data and considerations. Improved reporting of this information may help knowledge users better identify and apply evidence relevant to populations experiencing inequities.","author":[{"dropping-particle":"","family":"Dewidar","given":"Omar","non-dropping-particle":"","parse-names":false,"suffix":""},{"dropping-particle":"","family":"Shamseer","given":"Larissa","non-dropping-particle":"","parse-names":false,"suffix":""},{"dropping-particle":"","family":"Melendez-Torres","given":"G. J.","non-dropping-particle":"","parse-names":false,"suffix":""},{"dropping-particle":"","family":"Akl","given":"Elie A.","non-dropping-particle":"","parse-names":false,"suffix":""},{"dropping-particle":"","family":"Ramke","given":"Jacqueline","non-dropping-particle":"","parse-names":false,"suffix":""},{"dropping-particle":"","family":"Wang","given":"Xiaoqin","non-dropping-particle":"","parse-names":false,"suffix":""},{"dropping-particle":"","family":"Oloyede","given":"Oyekola","non-dropping-particle":"","parse-names":false,"suffix":""},{"dropping-particle":"","family":"Young","given":"Taryn","non-dropping-particle":"","parse-names":false,"suffix":""},{"dropping-particle":"","family":"Nicholls","given":"Stuart G.","non-dropping-particle":"","parse-names":false,"suffix":""},{"dropping-particle":"","family":"Marshall","given":"Zack","non-dropping-particle":"","parse-names":false,"suffix":""},{"dropping-particle":"","family":"Kennedy","given":"Michelle","non-dropping-particle":"","parse-names":false,"suffix":""},{"dropping-particle":"","family":"Hardy","given":"Billie Jo","non-dropping-particle":"","parse-names":false,"suffix":""},{"dropping-particle":"","family":"Rizvi","given":"Anita","non-dropping-particle":"","parse-names":false,"suffix":""},{"dropping-particle":"","family":"Ghogomu","given":"Elizabeth","non-dropping-particle":"","parse-names":false,"suffix":""},{"dropping-particle":"","family":"Rader","given":"Tamara","non-dropping-particle":"","parse-names":false,"suffix":""},{"dropping-particle":"","family":"Waddington","given":"Hugh Sharma","non-dropping-particle":"","parse-names":false,"suffix":""},{"dropping-particle":"","family":"Shea","given":"Beverley","non-dropping-particle":"","parse-names":false,"suffix":""},{"dropping-particle":"","family":"Nkangu","given":"Miriam","non-dropping-particle":"","parse-names":false,"suffix":""},{"dropping-particle":"","family":"Ellingwood","given":"Holly","non-dropping-particle":"","parse-names":false,"suffix":""},{"dropping-particle":"","family":"Wolfenden","given":"Luke","non-dropping-particle":"","parse-names":false,"suffix":""},{"dropping-particle":"","family":"Tufte","given":"Janice","non-dropping-particle":"","parse-names":false,"suffix":""},{"dropping-particle":"","family":"Horsley","given":"Tanya","non-dropping-particle":"","parse-names":false,"suffix":""},{"dropping-particle":"","family":"Pottie","given":"Kevin","non-dropping-particle":"","parse-names":false,"suffix":""},{"dropping-particle":"","family":"Cuervo","given":"Luis Gabriel","non-dropping-particle":"","parse-names":false,"suffix":""},{"dropping-particle":"","family":"Juando-Prats","given":"Clara","non-dropping-particle":"","parse-names":false,"suffix":""},{"dropping-particle":"","family":"Feng","given":"Cindy","non-dropping-particle":"","parse-names":false,"suffix":""},{"dropping-particle":"","family":"Sharp","given":"Melissa K.","non-dropping-particle":"","parse-names":false,"suffix":""},{"dropping-particle":"","family":"Little","given":"Julian","non-dropping-particle":"","parse-names":false,"suffix":""},{"dropping-particle":"","family":"Owusu-Addo","given":"Ebenezer","non-dropping-particle":"","parse-names":false,"suffix":""},{"dropping-particle":"","family":"Francis","given":"Damian","non-dropping-particle":"","parse-names":false,"suffix":""},{"dropping-particle":"","family":"Kredo","given":"Tamara","non-dropping-particle":"","parse-names":false,"suffix":""},{"dropping-particle":"","family":"Mahande","given":"Michael Johnson","non-dropping-particle":"","parse-names":false,"suffix":""},{"dropping-particle":"","family":"Chamberlain","given":"Catherine","non-dropping-particle":"","parse-names":false,"suffix":""},{"dropping-particle":"","family":"Pantoja","given":"Tomás","non-dropping-particle":"","parse-names":false,"suffix":""},{"dropping-particle":"","family":"Elm","given":"Erik","non-dropping-particle":"von","parse-names":false,"suffix":""},{"dropping-particle":"","family":"Bhutta","given":"Zulfiqar A.","non-dropping-particle":"","parse-names":false,"suffix":""},{"dropping-particle":"","family":"Tugwell","given":"Peter","non-dropping-particle":"","parse-names":false,"suffix":""},{"dropping-particle":"","family":"Wiysonge","given":"Charles S.","non-dropping-particle":"","parse-names":false,"suffix":""},{"dropping-particle":"","family":"Funnell","given":"Sarah","non-dropping-particle":"","parse-names":false,"suffix":""},{"dropping-particle":"","family":"Jull","given":"Janet","non-dropping-particle":"","parse-names":false,"suffix":""},{"dropping-particle":"","family":"Mbuagbaw","given":"Lawrence","non-dropping-particle":"","parse-names":false,"suffix":""},{"dropping-particle":"","family":"Welch","given":"Vivian","non-dropping-particle":"","parse-names":false,"suffix":""}],"container-title":"JAMA network open","id":"ITEM-1","issue":"9","issued":{"date-parts":[["2025"]]},"page":"e2532512","title":"Improving the Reporting on Health Equity in Observational Research (STROBE-Equity): Extension Checklist and Elaboration","type":"article-journal","volume":"8"},"uris":["http://www.mendeley.com/documents/?uuid=ed2094c1-3523-4c7d-96f2-002a2a280257"]}],"mendeley":{"formattedCitation":"(Dewidar et al., 2025)","plainTextFormattedCitation":"(Dewidar et al., 2025)","previouslyFormattedCitation":"(Dewidar et al., 2025)"},"properties":{"noteIndex":0},"schema":"https://github.com/citation-style-language/schema/raw/master/csl-citation.json"}</w:instrText>
      </w:r>
      <w:r w:rsidRPr="000E66CA">
        <w:rPr>
          <w:rFonts w:ascii="Arial" w:hAnsi="Arial" w:cs="Arial"/>
        </w:rPr>
        <w:fldChar w:fldCharType="separate"/>
      </w:r>
      <w:r w:rsidRPr="000E66CA">
        <w:rPr>
          <w:rFonts w:ascii="Arial" w:hAnsi="Arial" w:cs="Arial"/>
          <w:noProof/>
        </w:rPr>
        <w:t>(Dewidar et al., 2025)</w:t>
      </w:r>
      <w:r w:rsidRPr="000E66CA">
        <w:rPr>
          <w:rFonts w:ascii="Arial" w:hAnsi="Arial" w:cs="Arial"/>
        </w:rPr>
        <w:fldChar w:fldCharType="end"/>
      </w:r>
      <w:r w:rsidRPr="000E66CA">
        <w:rPr>
          <w:rFonts w:ascii="Arial" w:hAnsi="Arial" w:cs="Arial"/>
        </w:rPr>
        <w:t>.</w:t>
      </w:r>
    </w:p>
    <w:p w14:paraId="54E1D880" w14:textId="77777777" w:rsidR="00790ADA" w:rsidRDefault="00790ADA" w:rsidP="00441B6F">
      <w:pPr>
        <w:pStyle w:val="Body"/>
        <w:spacing w:after="0"/>
        <w:rPr>
          <w:rFonts w:ascii="Arial" w:hAnsi="Arial" w:cs="Arial"/>
        </w:rPr>
      </w:pPr>
    </w:p>
    <w:p w14:paraId="168EA5C9" w14:textId="77777777" w:rsidR="00790ADA" w:rsidRPr="00FB3A86" w:rsidRDefault="00790ADA" w:rsidP="00441B6F">
      <w:pPr>
        <w:pStyle w:val="Body"/>
        <w:spacing w:after="0"/>
        <w:rPr>
          <w:rFonts w:ascii="Arial" w:hAnsi="Arial" w:cs="Arial"/>
        </w:rPr>
      </w:pPr>
    </w:p>
    <w:p w14:paraId="797ABEEC" w14:textId="6963BB10" w:rsidR="00902823" w:rsidRDefault="00000F8F" w:rsidP="00F81FA2">
      <w:pPr>
        <w:pStyle w:val="Head1"/>
        <w:spacing w:after="0"/>
        <w:ind w:left="-142"/>
        <w:jc w:val="both"/>
        <w:rPr>
          <w:rFonts w:ascii="Arial" w:hAnsi="Arial" w:cs="Arial"/>
        </w:rPr>
      </w:pPr>
      <w:r>
        <w:rPr>
          <w:rFonts w:ascii="Arial" w:hAnsi="Arial" w:cs="Arial"/>
        </w:rPr>
        <w:t>3</w:t>
      </w:r>
      <w:r w:rsidR="00902823">
        <w:rPr>
          <w:rFonts w:ascii="Arial" w:hAnsi="Arial" w:cs="Arial"/>
        </w:rPr>
        <w:t xml:space="preserve">. </w:t>
      </w:r>
      <w:r w:rsidR="00E22D7B">
        <w:rPr>
          <w:rFonts w:ascii="Arial" w:hAnsi="Arial" w:cs="Arial"/>
          <w:caps w:val="0"/>
        </w:rPr>
        <w:t>Results and Discussion</w:t>
      </w:r>
    </w:p>
    <w:p w14:paraId="098AF556" w14:textId="7DCEDF8F" w:rsidR="00F81FA2" w:rsidRDefault="00E22D7B" w:rsidP="00F81FA2">
      <w:pPr>
        <w:pStyle w:val="Head1"/>
        <w:numPr>
          <w:ilvl w:val="0"/>
          <w:numId w:val="39"/>
        </w:numPr>
        <w:spacing w:after="0"/>
        <w:ind w:left="284" w:firstLine="0"/>
        <w:jc w:val="both"/>
        <w:rPr>
          <w:rFonts w:ascii="Arial" w:hAnsi="Arial" w:cs="Arial"/>
        </w:rPr>
      </w:pPr>
      <w:r>
        <w:rPr>
          <w:rFonts w:ascii="Arial" w:hAnsi="Arial" w:cs="Arial"/>
          <w:caps w:val="0"/>
        </w:rPr>
        <w:t>Results</w:t>
      </w:r>
    </w:p>
    <w:p w14:paraId="69FDCE5A"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Regression Model and Hypotheses</w:t>
      </w:r>
    </w:p>
    <w:p w14:paraId="2E6D3A50" w14:textId="1F9DF732" w:rsidR="004C4C75" w:rsidRPr="00984D07" w:rsidRDefault="00A056D2" w:rsidP="004C4C75">
      <w:pPr>
        <w:pStyle w:val="Body"/>
        <w:spacing w:after="0"/>
        <w:ind w:firstLine="567"/>
        <w:rPr>
          <w:rFonts w:ascii="Arial" w:hAnsi="Arial" w:cs="Arial"/>
          <w:bCs/>
          <w:highlight w:val="yellow"/>
        </w:rPr>
      </w:pPr>
      <w:r>
        <w:rPr>
          <w:rFonts w:ascii="Arial" w:hAnsi="Arial" w:cs="Arial"/>
          <w:bCs/>
          <w:highlight w:val="yellow"/>
        </w:rPr>
        <w:t>This section delineates the regression model and hypotheses employed to assess whether household-level personal factors—women's attitude (X1), women's motivation (X2), and women's role (X3)—predict the KRS program success score (Y). The multiple linear regression model was defined as:</w:t>
      </w:r>
    </w:p>
    <w:p w14:paraId="214C508C" w14:textId="77777777" w:rsidR="004C4C75" w:rsidRPr="00984D07" w:rsidRDefault="004C4C75" w:rsidP="00995832">
      <w:pPr>
        <w:pStyle w:val="Body"/>
        <w:spacing w:after="0"/>
        <w:ind w:firstLine="567"/>
        <w:rPr>
          <w:rFonts w:ascii="Arial" w:hAnsi="Arial" w:cs="Arial"/>
          <w:bCs/>
          <w:highlight w:val="yellow"/>
        </w:rPr>
      </w:pPr>
    </w:p>
    <w:p w14:paraId="29998102" w14:textId="1A96447B" w:rsidR="00995832" w:rsidRPr="00984D07" w:rsidRDefault="00995832" w:rsidP="00995832">
      <w:pPr>
        <w:spacing w:after="120"/>
        <w:jc w:val="center"/>
        <w:rPr>
          <w:rFonts w:ascii="Arial" w:hAnsi="Arial" w:cs="Arial"/>
          <w:highlight w:val="yellow"/>
        </w:rPr>
      </w:pPr>
      <w:r w:rsidRPr="00984D07">
        <w:rPr>
          <w:rFonts w:ascii="Arial" w:hAnsi="Arial" w:cs="Arial"/>
          <w:highlight w:val="yellow"/>
        </w:rPr>
        <w:t>Y = a + b1X1 + b2X2 + b3X3</w:t>
      </w:r>
    </w:p>
    <w:p w14:paraId="11CDD962" w14:textId="076476A5" w:rsidR="004C4C75" w:rsidRPr="004C4C75" w:rsidRDefault="00A056D2" w:rsidP="004C4C75">
      <w:pPr>
        <w:pStyle w:val="Body"/>
        <w:spacing w:after="0"/>
        <w:ind w:firstLine="567"/>
        <w:rPr>
          <w:rFonts w:ascii="Arial" w:hAnsi="Arial" w:cs="Arial"/>
          <w:bCs/>
        </w:rPr>
      </w:pPr>
      <w:r>
        <w:rPr>
          <w:rFonts w:ascii="Arial" w:hAnsi="Arial" w:cs="Arial"/>
          <w:bCs/>
          <w:highlight w:val="yellow"/>
        </w:rPr>
        <w:t>In this equation, Y denotes the KRS program performance score, a signifies the intercept (constant), b1–b3 are the regression coefficients, and X1–X3 correspond to women's attitude, women's motivation, and women's role, respectively. The hypotheses of the study were: The attitude of women (X1) significantly predicts the performance score of the KRS program (Y). H2: Women's motivation (X2) is a substantial predictor of the KRS program performance score (Y). The involvement of women (X3) is a significant predictor of the KRS program performance score (Y).</w:t>
      </w:r>
    </w:p>
    <w:p w14:paraId="3A1599BA"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Classical Assumption Tests (Regression Diagnostics)</w:t>
      </w:r>
    </w:p>
    <w:p w14:paraId="50998D73" w14:textId="3FAA0905" w:rsidR="00AB2721" w:rsidRDefault="00AB2721" w:rsidP="00AB2721">
      <w:pPr>
        <w:pStyle w:val="Body"/>
        <w:spacing w:after="0"/>
        <w:ind w:firstLine="567"/>
        <w:rPr>
          <w:rFonts w:ascii="Arial" w:hAnsi="Arial" w:cs="Arial"/>
          <w:bCs/>
        </w:rPr>
      </w:pPr>
      <w:r w:rsidRPr="00AB2721">
        <w:rPr>
          <w:rFonts w:ascii="Arial" w:hAnsi="Arial" w:cs="Arial"/>
          <w:bCs/>
        </w:rPr>
        <w:t xml:space="preserve">Before interpreting the regression coefficients, standard regression diagnostics were performed on the </w:t>
      </w:r>
      <w:r w:rsidRPr="00AB2721">
        <w:rPr>
          <w:rFonts w:ascii="Arial" w:hAnsi="Arial" w:cs="Arial"/>
          <w:bCs/>
          <w:highlight w:val="yellow"/>
        </w:rPr>
        <w:t>complete-case analytic sample (N = 191)</w:t>
      </w:r>
      <w:r w:rsidRPr="00AB2721">
        <w:rPr>
          <w:rFonts w:ascii="Arial" w:hAnsi="Arial" w:cs="Arial"/>
          <w:bCs/>
        </w:rPr>
        <w:t xml:space="preserve"> used in the primary models. Residual normality was assessed using the distribution of standardized residuals (rather than the raw variables) and visual inspection of normal probability plots. Multicollinearity was evaluated using Tolerance and the Variance Inflation Factor (VIF). Homoscedasticity was examined through a scatterplot of standardized predicted values (ZPRED) versus studentized residuals (ZRESID).</w:t>
      </w:r>
    </w:p>
    <w:p w14:paraId="7928E300" w14:textId="30995D34" w:rsidR="00AB2721" w:rsidRDefault="00AB2721" w:rsidP="00AB2721">
      <w:pPr>
        <w:pStyle w:val="Body"/>
        <w:spacing w:after="0"/>
        <w:ind w:firstLine="567"/>
        <w:rPr>
          <w:rFonts w:ascii="Arial" w:hAnsi="Arial" w:cs="Arial"/>
          <w:bCs/>
        </w:rPr>
      </w:pPr>
    </w:p>
    <w:p w14:paraId="3570A489"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Residual Normality</w:t>
      </w:r>
    </w:p>
    <w:p w14:paraId="548058C0" w14:textId="42629EBB" w:rsidR="00AA6F14" w:rsidRDefault="00A056D2" w:rsidP="00AA6F14">
      <w:pPr>
        <w:pStyle w:val="Body"/>
        <w:spacing w:after="0"/>
        <w:ind w:firstLine="567"/>
        <w:rPr>
          <w:rFonts w:ascii="Arial" w:hAnsi="Arial" w:cs="Arial"/>
          <w:bCs/>
          <w:highlight w:val="yellow"/>
        </w:rPr>
      </w:pPr>
      <w:r>
        <w:rPr>
          <w:rFonts w:ascii="Arial" w:hAnsi="Arial" w:cs="Arial"/>
          <w:bCs/>
          <w:highlight w:val="yellow"/>
        </w:rPr>
        <w:t>Residual normality was evaluated by the histogram and normal P–P plot of standardized residuals, complemented by a one-sample Kolmogorov–Smirnov (K–S) test conducted on the unstandardized residuals from the final regression model utilizing the complete-case analytic sample (N = 191). Considering that formal normality tests might be influenced by sample size and may indicate trivial deviations with minimal practical significance for linear regression, visual diagnostics were emphasized to assess practical normality.</w:t>
      </w:r>
    </w:p>
    <w:p w14:paraId="18C8E0FC" w14:textId="6D6BDA18" w:rsidR="00A658D3" w:rsidRDefault="00A658D3" w:rsidP="00AA6F14">
      <w:pPr>
        <w:pStyle w:val="Body"/>
        <w:spacing w:after="0"/>
        <w:ind w:firstLine="567"/>
        <w:rPr>
          <w:rFonts w:ascii="Arial" w:hAnsi="Arial" w:cs="Arial"/>
          <w:bCs/>
          <w:highlight w:val="yellow"/>
        </w:rPr>
      </w:pPr>
    </w:p>
    <w:p w14:paraId="5D9AAD8C" w14:textId="1200C42E" w:rsidR="00A658D3" w:rsidRDefault="00A658D3" w:rsidP="00AA6F14">
      <w:pPr>
        <w:pStyle w:val="Body"/>
        <w:spacing w:after="0"/>
        <w:ind w:firstLine="567"/>
        <w:rPr>
          <w:rFonts w:ascii="Arial" w:hAnsi="Arial" w:cs="Arial"/>
          <w:bCs/>
          <w:highlight w:val="yellow"/>
        </w:rPr>
      </w:pPr>
    </w:p>
    <w:p w14:paraId="4272D6E7" w14:textId="4AAB2C9E" w:rsidR="00A658D3" w:rsidRDefault="00A658D3" w:rsidP="00AA6F14">
      <w:pPr>
        <w:pStyle w:val="Body"/>
        <w:spacing w:after="0"/>
        <w:ind w:firstLine="567"/>
        <w:rPr>
          <w:rFonts w:ascii="Arial" w:hAnsi="Arial" w:cs="Arial"/>
          <w:bCs/>
          <w:highlight w:val="yellow"/>
        </w:rPr>
      </w:pPr>
    </w:p>
    <w:p w14:paraId="23DB74EE" w14:textId="35218589" w:rsidR="00A658D3" w:rsidRDefault="00A658D3" w:rsidP="00AA6F14">
      <w:pPr>
        <w:pStyle w:val="Body"/>
        <w:spacing w:after="0"/>
        <w:ind w:firstLine="567"/>
        <w:rPr>
          <w:rFonts w:ascii="Arial" w:hAnsi="Arial" w:cs="Arial"/>
          <w:bCs/>
          <w:highlight w:val="yellow"/>
        </w:rPr>
      </w:pPr>
    </w:p>
    <w:p w14:paraId="620C9FA6" w14:textId="19559D11" w:rsidR="00A658D3" w:rsidRDefault="00A658D3" w:rsidP="00AA6F14">
      <w:pPr>
        <w:pStyle w:val="Body"/>
        <w:spacing w:after="0"/>
        <w:ind w:firstLine="567"/>
        <w:rPr>
          <w:rFonts w:ascii="Arial" w:hAnsi="Arial" w:cs="Arial"/>
          <w:bCs/>
          <w:highlight w:val="yellow"/>
        </w:rPr>
      </w:pPr>
    </w:p>
    <w:p w14:paraId="04774F06" w14:textId="77777777" w:rsidR="00A658D3" w:rsidRPr="00AA6F14" w:rsidRDefault="00A658D3" w:rsidP="00AA6F14">
      <w:pPr>
        <w:pStyle w:val="Body"/>
        <w:spacing w:after="0"/>
        <w:ind w:firstLine="567"/>
        <w:rPr>
          <w:rFonts w:ascii="Arial" w:hAnsi="Arial" w:cs="Arial"/>
          <w:bCs/>
          <w:highlight w:val="yellow"/>
        </w:rPr>
      </w:pPr>
    </w:p>
    <w:p w14:paraId="03FA592E" w14:textId="77777777" w:rsidR="00AA6F14" w:rsidRPr="004F215B" w:rsidRDefault="00AA6F14" w:rsidP="004F215B">
      <w:pPr>
        <w:pStyle w:val="Body"/>
        <w:spacing w:after="0"/>
        <w:ind w:firstLine="567"/>
        <w:rPr>
          <w:rFonts w:ascii="Arial" w:hAnsi="Arial" w:cs="Arial"/>
          <w:bCs/>
        </w:rPr>
      </w:pPr>
    </w:p>
    <w:p w14:paraId="66238859" w14:textId="4CAEF352" w:rsidR="00995832" w:rsidRPr="00201300" w:rsidRDefault="00995832" w:rsidP="00995832">
      <w:pPr>
        <w:spacing w:after="80"/>
        <w:ind w:left="284"/>
        <w:jc w:val="both"/>
        <w:rPr>
          <w:rFonts w:ascii="Arial" w:hAnsi="Arial" w:cs="Arial"/>
          <w:bCs/>
        </w:rPr>
      </w:pPr>
      <w:r w:rsidRPr="00201300">
        <w:rPr>
          <w:rFonts w:ascii="Arial" w:hAnsi="Arial" w:cs="Arial"/>
          <w:bCs/>
        </w:rPr>
        <w:t>Table 1. One-Sample Kolmogorov–Smirnov test for the unstandardized residuals.</w:t>
      </w:r>
    </w:p>
    <w:tbl>
      <w:tblPr>
        <w:tblStyle w:val="TableGrid"/>
        <w:tblW w:w="0" w:type="auto"/>
        <w:tblInd w:w="39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234"/>
      </w:tblGrid>
      <w:tr w:rsidR="00995832" w:rsidRPr="00201300" w14:paraId="337A197F" w14:textId="77777777" w:rsidTr="00897248">
        <w:tc>
          <w:tcPr>
            <w:tcW w:w="4320" w:type="dxa"/>
            <w:tcBorders>
              <w:top w:val="single" w:sz="4" w:space="0" w:color="auto"/>
              <w:bottom w:val="single" w:sz="4" w:space="0" w:color="auto"/>
            </w:tcBorders>
          </w:tcPr>
          <w:p w14:paraId="7C32B910" w14:textId="77777777" w:rsidR="00995832" w:rsidRPr="00201300" w:rsidRDefault="00995832" w:rsidP="000C3E14">
            <w:pPr>
              <w:rPr>
                <w:rFonts w:ascii="Arial" w:hAnsi="Arial" w:cs="Arial"/>
                <w:bCs/>
              </w:rPr>
            </w:pPr>
            <w:r w:rsidRPr="00201300">
              <w:rPr>
                <w:rFonts w:ascii="Arial" w:hAnsi="Arial" w:cs="Arial"/>
                <w:bCs/>
              </w:rPr>
              <w:t>Component</w:t>
            </w:r>
          </w:p>
        </w:tc>
        <w:tc>
          <w:tcPr>
            <w:tcW w:w="2234" w:type="dxa"/>
            <w:tcBorders>
              <w:top w:val="single" w:sz="4" w:space="0" w:color="auto"/>
              <w:bottom w:val="single" w:sz="4" w:space="0" w:color="auto"/>
            </w:tcBorders>
          </w:tcPr>
          <w:p w14:paraId="40F288E2" w14:textId="77777777" w:rsidR="00995832" w:rsidRPr="00201300" w:rsidRDefault="00995832" w:rsidP="000C3E14">
            <w:pPr>
              <w:rPr>
                <w:rFonts w:ascii="Arial" w:hAnsi="Arial" w:cs="Arial"/>
                <w:bCs/>
              </w:rPr>
            </w:pPr>
            <w:r w:rsidRPr="00201300">
              <w:rPr>
                <w:rFonts w:ascii="Arial" w:hAnsi="Arial" w:cs="Arial"/>
                <w:bCs/>
              </w:rPr>
              <w:t>Value</w:t>
            </w:r>
          </w:p>
        </w:tc>
      </w:tr>
      <w:tr w:rsidR="00995832" w:rsidRPr="00201300" w14:paraId="448431F2" w14:textId="77777777" w:rsidTr="00897248">
        <w:tc>
          <w:tcPr>
            <w:tcW w:w="4320" w:type="dxa"/>
            <w:tcBorders>
              <w:top w:val="single" w:sz="4" w:space="0" w:color="auto"/>
            </w:tcBorders>
          </w:tcPr>
          <w:p w14:paraId="6E30FD58" w14:textId="77777777" w:rsidR="00995832" w:rsidRPr="00201300" w:rsidRDefault="00995832" w:rsidP="000C3E14">
            <w:pPr>
              <w:rPr>
                <w:rFonts w:ascii="Arial" w:hAnsi="Arial" w:cs="Arial"/>
                <w:bCs/>
              </w:rPr>
            </w:pPr>
            <w:r w:rsidRPr="00201300">
              <w:rPr>
                <w:rFonts w:ascii="Arial" w:hAnsi="Arial" w:cs="Arial"/>
                <w:bCs/>
              </w:rPr>
              <w:t>N</w:t>
            </w:r>
          </w:p>
        </w:tc>
        <w:tc>
          <w:tcPr>
            <w:tcW w:w="2234" w:type="dxa"/>
            <w:tcBorders>
              <w:top w:val="single" w:sz="4" w:space="0" w:color="auto"/>
            </w:tcBorders>
          </w:tcPr>
          <w:p w14:paraId="6873FB7F" w14:textId="14F1A777" w:rsidR="00995832" w:rsidRPr="00201300" w:rsidRDefault="004F215B" w:rsidP="000C3E14">
            <w:pPr>
              <w:rPr>
                <w:rFonts w:ascii="Arial" w:hAnsi="Arial" w:cs="Arial"/>
                <w:bCs/>
              </w:rPr>
            </w:pPr>
            <w:r>
              <w:rPr>
                <w:rFonts w:ascii="Arial" w:hAnsi="Arial" w:cs="Arial"/>
                <w:bCs/>
              </w:rPr>
              <w:t>191</w:t>
            </w:r>
          </w:p>
        </w:tc>
      </w:tr>
      <w:tr w:rsidR="00995832" w:rsidRPr="00201300" w14:paraId="3B3CB9B3" w14:textId="77777777" w:rsidTr="00897248">
        <w:tc>
          <w:tcPr>
            <w:tcW w:w="4320" w:type="dxa"/>
          </w:tcPr>
          <w:p w14:paraId="1E7CDF97" w14:textId="77777777" w:rsidR="00995832" w:rsidRPr="00201300" w:rsidRDefault="00995832" w:rsidP="000C3E14">
            <w:pPr>
              <w:rPr>
                <w:rFonts w:ascii="Arial" w:hAnsi="Arial" w:cs="Arial"/>
                <w:bCs/>
              </w:rPr>
            </w:pPr>
            <w:r w:rsidRPr="00201300">
              <w:rPr>
                <w:rFonts w:ascii="Arial" w:hAnsi="Arial" w:cs="Arial"/>
                <w:bCs/>
              </w:rPr>
              <w:t>Mean</w:t>
            </w:r>
          </w:p>
        </w:tc>
        <w:tc>
          <w:tcPr>
            <w:tcW w:w="2234" w:type="dxa"/>
          </w:tcPr>
          <w:p w14:paraId="379A730E" w14:textId="77777777" w:rsidR="00995832" w:rsidRPr="00201300" w:rsidRDefault="00995832" w:rsidP="000C3E14">
            <w:pPr>
              <w:rPr>
                <w:rFonts w:ascii="Arial" w:hAnsi="Arial" w:cs="Arial"/>
                <w:bCs/>
              </w:rPr>
            </w:pPr>
            <w:r w:rsidRPr="00201300">
              <w:rPr>
                <w:rFonts w:ascii="Arial" w:hAnsi="Arial" w:cs="Arial"/>
                <w:bCs/>
              </w:rPr>
              <w:t>0.0000000</w:t>
            </w:r>
          </w:p>
        </w:tc>
      </w:tr>
      <w:tr w:rsidR="00995832" w:rsidRPr="00201300" w14:paraId="4010149F" w14:textId="77777777" w:rsidTr="00897248">
        <w:tc>
          <w:tcPr>
            <w:tcW w:w="4320" w:type="dxa"/>
          </w:tcPr>
          <w:p w14:paraId="23ACEB29" w14:textId="77777777" w:rsidR="00995832" w:rsidRPr="00201300" w:rsidRDefault="00995832" w:rsidP="000C3E14">
            <w:pPr>
              <w:rPr>
                <w:rFonts w:ascii="Arial" w:hAnsi="Arial" w:cs="Arial"/>
                <w:bCs/>
              </w:rPr>
            </w:pPr>
            <w:r w:rsidRPr="00201300">
              <w:rPr>
                <w:rFonts w:ascii="Arial" w:hAnsi="Arial" w:cs="Arial"/>
                <w:bCs/>
              </w:rPr>
              <w:t>Std. Deviation</w:t>
            </w:r>
          </w:p>
        </w:tc>
        <w:tc>
          <w:tcPr>
            <w:tcW w:w="2234" w:type="dxa"/>
          </w:tcPr>
          <w:p w14:paraId="3BC64349" w14:textId="77777777" w:rsidR="00995832" w:rsidRPr="00201300" w:rsidRDefault="00995832" w:rsidP="000C3E14">
            <w:pPr>
              <w:rPr>
                <w:rFonts w:ascii="Arial" w:hAnsi="Arial" w:cs="Arial"/>
                <w:bCs/>
              </w:rPr>
            </w:pPr>
            <w:r w:rsidRPr="00201300">
              <w:rPr>
                <w:rFonts w:ascii="Arial" w:hAnsi="Arial" w:cs="Arial"/>
                <w:bCs/>
              </w:rPr>
              <w:t>18.06153027</w:t>
            </w:r>
          </w:p>
        </w:tc>
      </w:tr>
      <w:tr w:rsidR="00995832" w:rsidRPr="00201300" w14:paraId="4EB47FED" w14:textId="77777777" w:rsidTr="00897248">
        <w:tc>
          <w:tcPr>
            <w:tcW w:w="4320" w:type="dxa"/>
          </w:tcPr>
          <w:p w14:paraId="43F3EE14" w14:textId="77777777" w:rsidR="00995832" w:rsidRPr="00201300" w:rsidRDefault="00995832" w:rsidP="000C3E14">
            <w:pPr>
              <w:rPr>
                <w:rFonts w:ascii="Arial" w:hAnsi="Arial" w:cs="Arial"/>
                <w:bCs/>
              </w:rPr>
            </w:pPr>
            <w:r w:rsidRPr="00201300">
              <w:rPr>
                <w:rFonts w:ascii="Arial" w:hAnsi="Arial" w:cs="Arial"/>
                <w:bCs/>
              </w:rPr>
              <w:t>Most Extreme Differences (Absolute)</w:t>
            </w:r>
          </w:p>
        </w:tc>
        <w:tc>
          <w:tcPr>
            <w:tcW w:w="2234" w:type="dxa"/>
          </w:tcPr>
          <w:p w14:paraId="000158B3" w14:textId="77777777" w:rsidR="00995832" w:rsidRPr="00201300" w:rsidRDefault="00995832" w:rsidP="000C3E14">
            <w:pPr>
              <w:rPr>
                <w:rFonts w:ascii="Arial" w:hAnsi="Arial" w:cs="Arial"/>
                <w:bCs/>
              </w:rPr>
            </w:pPr>
            <w:r w:rsidRPr="00201300">
              <w:rPr>
                <w:rFonts w:ascii="Arial" w:hAnsi="Arial" w:cs="Arial"/>
                <w:bCs/>
              </w:rPr>
              <w:t>0.070</w:t>
            </w:r>
          </w:p>
        </w:tc>
      </w:tr>
      <w:tr w:rsidR="00995832" w:rsidRPr="00201300" w14:paraId="7399381E" w14:textId="77777777" w:rsidTr="00897248">
        <w:tc>
          <w:tcPr>
            <w:tcW w:w="4320" w:type="dxa"/>
          </w:tcPr>
          <w:p w14:paraId="7D9C8A13" w14:textId="77777777" w:rsidR="00995832" w:rsidRPr="00201300" w:rsidRDefault="00995832" w:rsidP="000C3E14">
            <w:pPr>
              <w:rPr>
                <w:rFonts w:ascii="Arial" w:hAnsi="Arial" w:cs="Arial"/>
                <w:bCs/>
              </w:rPr>
            </w:pPr>
            <w:r w:rsidRPr="00201300">
              <w:rPr>
                <w:rFonts w:ascii="Arial" w:hAnsi="Arial" w:cs="Arial"/>
                <w:bCs/>
              </w:rPr>
              <w:t>Most Extreme Differences (Positive)</w:t>
            </w:r>
          </w:p>
        </w:tc>
        <w:tc>
          <w:tcPr>
            <w:tcW w:w="2234" w:type="dxa"/>
          </w:tcPr>
          <w:p w14:paraId="796A06F1" w14:textId="77777777" w:rsidR="00995832" w:rsidRPr="00201300" w:rsidRDefault="00995832" w:rsidP="000C3E14">
            <w:pPr>
              <w:rPr>
                <w:rFonts w:ascii="Arial" w:hAnsi="Arial" w:cs="Arial"/>
                <w:bCs/>
              </w:rPr>
            </w:pPr>
            <w:r w:rsidRPr="00201300">
              <w:rPr>
                <w:rFonts w:ascii="Arial" w:hAnsi="Arial" w:cs="Arial"/>
                <w:bCs/>
              </w:rPr>
              <w:t>0.033</w:t>
            </w:r>
          </w:p>
        </w:tc>
      </w:tr>
      <w:tr w:rsidR="00995832" w:rsidRPr="00201300" w14:paraId="659CB301" w14:textId="77777777" w:rsidTr="00897248">
        <w:tc>
          <w:tcPr>
            <w:tcW w:w="4320" w:type="dxa"/>
          </w:tcPr>
          <w:p w14:paraId="580ADEBE" w14:textId="77777777" w:rsidR="00995832" w:rsidRPr="00201300" w:rsidRDefault="00995832" w:rsidP="000C3E14">
            <w:pPr>
              <w:rPr>
                <w:rFonts w:ascii="Arial" w:hAnsi="Arial" w:cs="Arial"/>
                <w:bCs/>
              </w:rPr>
            </w:pPr>
            <w:r w:rsidRPr="00201300">
              <w:rPr>
                <w:rFonts w:ascii="Arial" w:hAnsi="Arial" w:cs="Arial"/>
                <w:bCs/>
              </w:rPr>
              <w:t>Most Extreme Differences (Negative)</w:t>
            </w:r>
          </w:p>
        </w:tc>
        <w:tc>
          <w:tcPr>
            <w:tcW w:w="2234" w:type="dxa"/>
          </w:tcPr>
          <w:p w14:paraId="34100500" w14:textId="77777777" w:rsidR="00995832" w:rsidRPr="00201300" w:rsidRDefault="00995832" w:rsidP="000C3E14">
            <w:pPr>
              <w:rPr>
                <w:rFonts w:ascii="Arial" w:hAnsi="Arial" w:cs="Arial"/>
                <w:bCs/>
              </w:rPr>
            </w:pPr>
            <w:r w:rsidRPr="00201300">
              <w:rPr>
                <w:rFonts w:ascii="Arial" w:hAnsi="Arial" w:cs="Arial"/>
                <w:bCs/>
              </w:rPr>
              <w:t>-0.070</w:t>
            </w:r>
          </w:p>
        </w:tc>
      </w:tr>
      <w:tr w:rsidR="00995832" w:rsidRPr="00201300" w14:paraId="0267AFE8" w14:textId="77777777" w:rsidTr="00897248">
        <w:tc>
          <w:tcPr>
            <w:tcW w:w="4320" w:type="dxa"/>
          </w:tcPr>
          <w:p w14:paraId="478C1DAE" w14:textId="77777777" w:rsidR="00995832" w:rsidRPr="00201300" w:rsidRDefault="00995832" w:rsidP="000C3E14">
            <w:pPr>
              <w:rPr>
                <w:rFonts w:ascii="Arial" w:hAnsi="Arial" w:cs="Arial"/>
                <w:bCs/>
              </w:rPr>
            </w:pPr>
            <w:r w:rsidRPr="00201300">
              <w:rPr>
                <w:rFonts w:ascii="Arial" w:hAnsi="Arial" w:cs="Arial"/>
                <w:bCs/>
              </w:rPr>
              <w:t>Test Statistic</w:t>
            </w:r>
          </w:p>
        </w:tc>
        <w:tc>
          <w:tcPr>
            <w:tcW w:w="2234" w:type="dxa"/>
          </w:tcPr>
          <w:p w14:paraId="655B80C3" w14:textId="77777777" w:rsidR="00995832" w:rsidRPr="00201300" w:rsidRDefault="00995832" w:rsidP="000C3E14">
            <w:pPr>
              <w:rPr>
                <w:rFonts w:ascii="Arial" w:hAnsi="Arial" w:cs="Arial"/>
                <w:bCs/>
              </w:rPr>
            </w:pPr>
            <w:r w:rsidRPr="00201300">
              <w:rPr>
                <w:rFonts w:ascii="Arial" w:hAnsi="Arial" w:cs="Arial"/>
                <w:bCs/>
              </w:rPr>
              <w:t>0.070</w:t>
            </w:r>
          </w:p>
        </w:tc>
      </w:tr>
      <w:tr w:rsidR="00995832" w:rsidRPr="00201300" w14:paraId="60774F14" w14:textId="77777777" w:rsidTr="00897248">
        <w:tc>
          <w:tcPr>
            <w:tcW w:w="4320" w:type="dxa"/>
          </w:tcPr>
          <w:p w14:paraId="5ED3FC72" w14:textId="77777777" w:rsidR="00995832" w:rsidRPr="00201300" w:rsidRDefault="00995832" w:rsidP="000C3E14">
            <w:pPr>
              <w:rPr>
                <w:rFonts w:ascii="Arial" w:hAnsi="Arial" w:cs="Arial"/>
                <w:bCs/>
              </w:rPr>
            </w:pPr>
            <w:r w:rsidRPr="00201300">
              <w:rPr>
                <w:rFonts w:ascii="Arial" w:hAnsi="Arial" w:cs="Arial"/>
                <w:bCs/>
              </w:rPr>
              <w:t>Asymp. Sig. (2-tailed)</w:t>
            </w:r>
          </w:p>
        </w:tc>
        <w:tc>
          <w:tcPr>
            <w:tcW w:w="2234" w:type="dxa"/>
          </w:tcPr>
          <w:p w14:paraId="05887EDB" w14:textId="77777777" w:rsidR="00995832" w:rsidRPr="00201300" w:rsidRDefault="00995832" w:rsidP="000C3E14">
            <w:pPr>
              <w:rPr>
                <w:rFonts w:ascii="Arial" w:hAnsi="Arial" w:cs="Arial"/>
                <w:bCs/>
              </w:rPr>
            </w:pPr>
            <w:r w:rsidRPr="00201300">
              <w:rPr>
                <w:rFonts w:ascii="Arial" w:hAnsi="Arial" w:cs="Arial"/>
                <w:bCs/>
              </w:rPr>
              <w:t>0.018</w:t>
            </w:r>
          </w:p>
        </w:tc>
      </w:tr>
    </w:tbl>
    <w:p w14:paraId="43AA82E8" w14:textId="77777777" w:rsidR="00960C86" w:rsidRPr="00960C86" w:rsidRDefault="00960C86" w:rsidP="00960C86">
      <w:pPr>
        <w:ind w:left="284"/>
        <w:jc w:val="both"/>
        <w:rPr>
          <w:rFonts w:ascii="Arial" w:hAnsi="Arial" w:cs="Arial"/>
          <w:bCs/>
          <w:szCs w:val="18"/>
        </w:rPr>
      </w:pPr>
      <w:r w:rsidRPr="00960C86">
        <w:rPr>
          <w:rFonts w:ascii="Arial" w:hAnsi="Arial" w:cs="Arial"/>
          <w:bCs/>
          <w:szCs w:val="18"/>
          <w:highlight w:val="yellow"/>
        </w:rPr>
        <w:t>Note: The K–S test is reported as a supplementary check on unstandardized residuals. Because normality tests may be sensitive to sample size, the histogram and Normal P–P plot were also used to judge practical normality.</w:t>
      </w:r>
    </w:p>
    <w:p w14:paraId="0E16E865" w14:textId="77777777" w:rsidR="00960C86" w:rsidRDefault="00960C86" w:rsidP="00995832">
      <w:pPr>
        <w:ind w:left="284"/>
        <w:jc w:val="both"/>
        <w:rPr>
          <w:rFonts w:ascii="Arial" w:hAnsi="Arial" w:cs="Arial"/>
          <w:bCs/>
          <w:szCs w:val="18"/>
        </w:rPr>
      </w:pPr>
    </w:p>
    <w:p w14:paraId="25ABD151" w14:textId="77777777" w:rsidR="004F215B" w:rsidRPr="00206917" w:rsidRDefault="004F215B" w:rsidP="00995832">
      <w:pPr>
        <w:ind w:left="284"/>
        <w:jc w:val="both"/>
        <w:rPr>
          <w:rFonts w:ascii="Arial" w:hAnsi="Arial" w:cs="Arial"/>
          <w:bCs/>
          <w:szCs w:val="18"/>
        </w:rPr>
      </w:pPr>
    </w:p>
    <w:p w14:paraId="1175720A" w14:textId="77777777" w:rsidR="00995832" w:rsidRDefault="00995832" w:rsidP="00995832">
      <w:pPr>
        <w:rPr>
          <w:rFonts w:ascii="Arial" w:hAnsi="Arial" w:cs="Arial"/>
        </w:rPr>
      </w:pPr>
      <w:r w:rsidRPr="0049383A">
        <w:rPr>
          <w:noProof/>
          <w:lang w:val="en-ID"/>
        </w:rPr>
        <w:drawing>
          <wp:inline distT="0" distB="0" distL="0" distR="0" wp14:anchorId="737AB393" wp14:editId="4547F13C">
            <wp:extent cx="4985385" cy="2492310"/>
            <wp:effectExtent l="0" t="0" r="5715" b="3810"/>
            <wp:docPr id="1565686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12930" r="13002"/>
                    <a:stretch/>
                  </pic:blipFill>
                  <pic:spPr bwMode="auto">
                    <a:xfrm>
                      <a:off x="0" y="0"/>
                      <a:ext cx="4988703" cy="2493969"/>
                    </a:xfrm>
                    <a:prstGeom prst="rect">
                      <a:avLst/>
                    </a:prstGeom>
                    <a:noFill/>
                    <a:ln>
                      <a:noFill/>
                    </a:ln>
                    <a:extLst>
                      <a:ext uri="{53640926-AAD7-44D8-BBD7-CCE9431645EC}">
                        <a14:shadowObscured xmlns:a14="http://schemas.microsoft.com/office/drawing/2010/main"/>
                      </a:ext>
                    </a:extLst>
                  </pic:spPr>
                </pic:pic>
              </a:graphicData>
            </a:graphic>
          </wp:inline>
        </w:drawing>
      </w:r>
    </w:p>
    <w:p w14:paraId="7F3426EE" w14:textId="77777777" w:rsidR="004F215B" w:rsidRDefault="004F215B" w:rsidP="004F215B">
      <w:pPr>
        <w:pStyle w:val="ListParagraph"/>
      </w:pPr>
      <w:r w:rsidRPr="004F215B">
        <w:rPr>
          <w:highlight w:val="yellow"/>
        </w:rPr>
        <w:t>Figure 1. Normal P–P plot of standardized regression residuals (complete-case sample, N = 191) used to assess the normality assumption.</w:t>
      </w:r>
    </w:p>
    <w:p w14:paraId="47E87576" w14:textId="77777777" w:rsidR="004F215B" w:rsidRDefault="004F215B" w:rsidP="00995832">
      <w:pPr>
        <w:pStyle w:val="ListParagraph"/>
      </w:pPr>
    </w:p>
    <w:p w14:paraId="5224B640" w14:textId="77777777" w:rsidR="004F215B" w:rsidRDefault="004F215B" w:rsidP="00995832">
      <w:pPr>
        <w:jc w:val="center"/>
        <w:rPr>
          <w:rFonts w:ascii="Arial" w:hAnsi="Arial" w:cs="Arial"/>
        </w:rPr>
      </w:pPr>
    </w:p>
    <w:p w14:paraId="04769DFA" w14:textId="0F58864B" w:rsidR="00995832" w:rsidRDefault="00995832" w:rsidP="00995832">
      <w:pPr>
        <w:jc w:val="center"/>
        <w:rPr>
          <w:rFonts w:ascii="Arial" w:hAnsi="Arial" w:cs="Arial"/>
        </w:rPr>
      </w:pPr>
      <w:r w:rsidRPr="0049383A">
        <w:rPr>
          <w:noProof/>
          <w:lang w:val="en-ID"/>
        </w:rPr>
        <w:lastRenderedPageBreak/>
        <w:drawing>
          <wp:inline distT="0" distB="0" distL="0" distR="0" wp14:anchorId="73FE54C0" wp14:editId="7F062E4D">
            <wp:extent cx="3276328" cy="3374194"/>
            <wp:effectExtent l="0" t="0" r="635" b="0"/>
            <wp:docPr id="310110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a:extLst>
                        <a:ext uri="{28A0092B-C50C-407E-A947-70E740481C1C}">
                          <a14:useLocalDpi xmlns:a14="http://schemas.microsoft.com/office/drawing/2010/main" val="0"/>
                        </a:ext>
                      </a:extLst>
                    </a:blip>
                    <a:srcRect l="24502" r="18331"/>
                    <a:stretch/>
                  </pic:blipFill>
                  <pic:spPr bwMode="auto">
                    <a:xfrm>
                      <a:off x="0" y="0"/>
                      <a:ext cx="3276518" cy="3374390"/>
                    </a:xfrm>
                    <a:prstGeom prst="rect">
                      <a:avLst/>
                    </a:prstGeom>
                    <a:noFill/>
                    <a:ln>
                      <a:noFill/>
                    </a:ln>
                    <a:extLst>
                      <a:ext uri="{53640926-AAD7-44D8-BBD7-CCE9431645EC}">
                        <a14:shadowObscured xmlns:a14="http://schemas.microsoft.com/office/drawing/2010/main"/>
                      </a:ext>
                    </a:extLst>
                  </pic:spPr>
                </pic:pic>
              </a:graphicData>
            </a:graphic>
          </wp:inline>
        </w:drawing>
      </w:r>
    </w:p>
    <w:p w14:paraId="6EA83CDA" w14:textId="77777777" w:rsidR="004F215B" w:rsidRPr="004F215B" w:rsidRDefault="004F215B" w:rsidP="004F215B">
      <w:pPr>
        <w:jc w:val="center"/>
        <w:rPr>
          <w:rFonts w:ascii="Arial" w:hAnsi="Arial" w:cs="Arial"/>
        </w:rPr>
      </w:pPr>
      <w:r w:rsidRPr="004F215B">
        <w:rPr>
          <w:rFonts w:ascii="Arial" w:hAnsi="Arial" w:cs="Arial"/>
          <w:highlight w:val="yellow"/>
        </w:rPr>
        <w:t>Figure 2. Histogram and Normal P–P plot of standardized regression residuals (complete-case sample, N = 191) used to visually assess residual distribution and practical normality.</w:t>
      </w:r>
    </w:p>
    <w:p w14:paraId="227E3478" w14:textId="77777777" w:rsidR="00995832" w:rsidRDefault="00995832" w:rsidP="00995832">
      <w:pPr>
        <w:jc w:val="center"/>
        <w:rPr>
          <w:rFonts w:ascii="Arial" w:hAnsi="Arial" w:cs="Arial"/>
        </w:rPr>
      </w:pPr>
    </w:p>
    <w:p w14:paraId="6AF762DB"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Multicollinearity</w:t>
      </w:r>
    </w:p>
    <w:p w14:paraId="2F986DC9" w14:textId="0689A8C4" w:rsidR="00995832" w:rsidRDefault="00995832" w:rsidP="00995832">
      <w:pPr>
        <w:pStyle w:val="Body"/>
        <w:spacing w:after="0"/>
        <w:ind w:firstLine="567"/>
        <w:rPr>
          <w:rFonts w:ascii="Arial" w:hAnsi="Arial" w:cs="Arial"/>
          <w:bCs/>
        </w:rPr>
      </w:pPr>
      <w:r w:rsidRPr="00995832">
        <w:rPr>
          <w:rFonts w:ascii="Arial" w:hAnsi="Arial" w:cs="Arial"/>
          <w:bCs/>
        </w:rPr>
        <w:t>Multicollinearity was evaluated by Tolerance and Variance Inflation Factor (VIF) values. The established criteria were Tolerance &gt; 0.10 and VIF &lt; 10, signifying the lack of significant multicollinearity.</w:t>
      </w:r>
    </w:p>
    <w:p w14:paraId="6A1C0B17" w14:textId="0519F059" w:rsidR="00995832" w:rsidRDefault="00995832" w:rsidP="00995832">
      <w:pPr>
        <w:pStyle w:val="Body"/>
        <w:spacing w:after="0"/>
        <w:ind w:firstLine="567"/>
        <w:rPr>
          <w:rFonts w:ascii="Arial" w:hAnsi="Arial" w:cs="Arial"/>
          <w:bCs/>
        </w:rPr>
      </w:pPr>
    </w:p>
    <w:p w14:paraId="05B8862C" w14:textId="6C3A49E6" w:rsidR="00995832" w:rsidRPr="001F287C" w:rsidRDefault="00995832" w:rsidP="00995832">
      <w:pPr>
        <w:spacing w:after="80"/>
        <w:ind w:left="426"/>
        <w:rPr>
          <w:rFonts w:ascii="Arial" w:hAnsi="Arial" w:cs="Arial"/>
          <w:bCs/>
        </w:rPr>
      </w:pPr>
      <w:r w:rsidRPr="001F287C">
        <w:rPr>
          <w:rFonts w:ascii="Arial" w:hAnsi="Arial" w:cs="Arial"/>
          <w:bCs/>
        </w:rPr>
        <w:t>Table 2. Multicollinearity diagnostics (Tolerance and VIF).</w:t>
      </w:r>
    </w:p>
    <w:tbl>
      <w:tblPr>
        <w:tblStyle w:val="TableGrid"/>
        <w:tblW w:w="0" w:type="auto"/>
        <w:tblInd w:w="5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1861"/>
      </w:tblGrid>
      <w:tr w:rsidR="00995832" w:rsidRPr="001F287C" w14:paraId="4E2FA9BE" w14:textId="77777777" w:rsidTr="000C3E14">
        <w:tc>
          <w:tcPr>
            <w:tcW w:w="2880" w:type="dxa"/>
            <w:tcBorders>
              <w:top w:val="single" w:sz="4" w:space="0" w:color="auto"/>
              <w:bottom w:val="single" w:sz="4" w:space="0" w:color="auto"/>
            </w:tcBorders>
          </w:tcPr>
          <w:p w14:paraId="13000AC6" w14:textId="77777777" w:rsidR="00995832" w:rsidRPr="001F287C" w:rsidRDefault="00995832" w:rsidP="000C3E14">
            <w:pPr>
              <w:rPr>
                <w:rFonts w:ascii="Arial" w:hAnsi="Arial" w:cs="Arial"/>
                <w:bCs/>
              </w:rPr>
            </w:pPr>
            <w:r w:rsidRPr="001F287C">
              <w:rPr>
                <w:rFonts w:ascii="Arial" w:hAnsi="Arial" w:cs="Arial"/>
                <w:bCs/>
              </w:rPr>
              <w:t>Predictor</w:t>
            </w:r>
          </w:p>
        </w:tc>
        <w:tc>
          <w:tcPr>
            <w:tcW w:w="2880" w:type="dxa"/>
            <w:tcBorders>
              <w:top w:val="single" w:sz="4" w:space="0" w:color="auto"/>
              <w:bottom w:val="single" w:sz="4" w:space="0" w:color="auto"/>
            </w:tcBorders>
          </w:tcPr>
          <w:p w14:paraId="03A9F7AB" w14:textId="77777777" w:rsidR="00995832" w:rsidRPr="001F287C" w:rsidRDefault="00995832" w:rsidP="000C3E14">
            <w:pPr>
              <w:rPr>
                <w:rFonts w:ascii="Arial" w:hAnsi="Arial" w:cs="Arial"/>
                <w:bCs/>
              </w:rPr>
            </w:pPr>
            <w:r w:rsidRPr="001F287C">
              <w:rPr>
                <w:rFonts w:ascii="Arial" w:hAnsi="Arial" w:cs="Arial"/>
                <w:bCs/>
              </w:rPr>
              <w:t>Tolerance</w:t>
            </w:r>
          </w:p>
        </w:tc>
        <w:tc>
          <w:tcPr>
            <w:tcW w:w="1861" w:type="dxa"/>
            <w:tcBorders>
              <w:top w:val="single" w:sz="4" w:space="0" w:color="auto"/>
              <w:bottom w:val="single" w:sz="4" w:space="0" w:color="auto"/>
            </w:tcBorders>
          </w:tcPr>
          <w:p w14:paraId="2A8F1544" w14:textId="77777777" w:rsidR="00995832" w:rsidRPr="001F287C" w:rsidRDefault="00995832" w:rsidP="000C3E14">
            <w:pPr>
              <w:rPr>
                <w:rFonts w:ascii="Arial" w:hAnsi="Arial" w:cs="Arial"/>
                <w:bCs/>
              </w:rPr>
            </w:pPr>
            <w:r w:rsidRPr="001F287C">
              <w:rPr>
                <w:rFonts w:ascii="Arial" w:hAnsi="Arial" w:cs="Arial"/>
                <w:bCs/>
              </w:rPr>
              <w:t>VIF</w:t>
            </w:r>
          </w:p>
        </w:tc>
      </w:tr>
      <w:tr w:rsidR="00995832" w:rsidRPr="001F287C" w14:paraId="43101753" w14:textId="77777777" w:rsidTr="000C3E14">
        <w:tc>
          <w:tcPr>
            <w:tcW w:w="2880" w:type="dxa"/>
            <w:tcBorders>
              <w:top w:val="single" w:sz="4" w:space="0" w:color="auto"/>
            </w:tcBorders>
          </w:tcPr>
          <w:p w14:paraId="158FC846" w14:textId="77777777" w:rsidR="00995832" w:rsidRPr="001F287C" w:rsidRDefault="00995832" w:rsidP="000C3E14">
            <w:pPr>
              <w:rPr>
                <w:rFonts w:ascii="Arial" w:hAnsi="Arial" w:cs="Arial"/>
                <w:bCs/>
              </w:rPr>
            </w:pPr>
            <w:r w:rsidRPr="001F287C">
              <w:rPr>
                <w:rFonts w:ascii="Arial" w:hAnsi="Arial" w:cs="Arial"/>
                <w:bCs/>
              </w:rPr>
              <w:t>Attitude (X1)</w:t>
            </w:r>
          </w:p>
        </w:tc>
        <w:tc>
          <w:tcPr>
            <w:tcW w:w="2880" w:type="dxa"/>
            <w:tcBorders>
              <w:top w:val="single" w:sz="4" w:space="0" w:color="auto"/>
            </w:tcBorders>
          </w:tcPr>
          <w:p w14:paraId="4802EEA2" w14:textId="77777777" w:rsidR="00995832" w:rsidRPr="001F287C" w:rsidRDefault="00995832" w:rsidP="000C3E14">
            <w:pPr>
              <w:rPr>
                <w:rFonts w:ascii="Arial" w:hAnsi="Arial" w:cs="Arial"/>
                <w:bCs/>
              </w:rPr>
            </w:pPr>
            <w:r w:rsidRPr="001F287C">
              <w:rPr>
                <w:rFonts w:ascii="Arial" w:hAnsi="Arial" w:cs="Arial"/>
                <w:bCs/>
              </w:rPr>
              <w:t>0.529</w:t>
            </w:r>
          </w:p>
        </w:tc>
        <w:tc>
          <w:tcPr>
            <w:tcW w:w="1861" w:type="dxa"/>
            <w:tcBorders>
              <w:top w:val="single" w:sz="4" w:space="0" w:color="auto"/>
            </w:tcBorders>
          </w:tcPr>
          <w:p w14:paraId="3389A873" w14:textId="77777777" w:rsidR="00995832" w:rsidRPr="001F287C" w:rsidRDefault="00995832" w:rsidP="000C3E14">
            <w:pPr>
              <w:rPr>
                <w:rFonts w:ascii="Arial" w:hAnsi="Arial" w:cs="Arial"/>
                <w:bCs/>
              </w:rPr>
            </w:pPr>
            <w:r w:rsidRPr="001F287C">
              <w:rPr>
                <w:rFonts w:ascii="Arial" w:hAnsi="Arial" w:cs="Arial"/>
                <w:bCs/>
              </w:rPr>
              <w:t>1.889</w:t>
            </w:r>
          </w:p>
        </w:tc>
      </w:tr>
      <w:tr w:rsidR="00995832" w:rsidRPr="001F287C" w14:paraId="026063B3" w14:textId="77777777" w:rsidTr="000C3E14">
        <w:tc>
          <w:tcPr>
            <w:tcW w:w="2880" w:type="dxa"/>
          </w:tcPr>
          <w:p w14:paraId="5B5B92EF" w14:textId="77777777" w:rsidR="00995832" w:rsidRPr="001F287C" w:rsidRDefault="00995832" w:rsidP="000C3E14">
            <w:pPr>
              <w:rPr>
                <w:rFonts w:ascii="Arial" w:hAnsi="Arial" w:cs="Arial"/>
                <w:bCs/>
              </w:rPr>
            </w:pPr>
            <w:r w:rsidRPr="001F287C">
              <w:rPr>
                <w:rFonts w:ascii="Arial" w:hAnsi="Arial" w:cs="Arial"/>
                <w:bCs/>
              </w:rPr>
              <w:t>Motivation (X2)</w:t>
            </w:r>
          </w:p>
        </w:tc>
        <w:tc>
          <w:tcPr>
            <w:tcW w:w="2880" w:type="dxa"/>
          </w:tcPr>
          <w:p w14:paraId="6320B51C" w14:textId="77777777" w:rsidR="00995832" w:rsidRPr="001F287C" w:rsidRDefault="00995832" w:rsidP="000C3E14">
            <w:pPr>
              <w:rPr>
                <w:rFonts w:ascii="Arial" w:hAnsi="Arial" w:cs="Arial"/>
                <w:bCs/>
              </w:rPr>
            </w:pPr>
            <w:r w:rsidRPr="001F287C">
              <w:rPr>
                <w:rFonts w:ascii="Arial" w:hAnsi="Arial" w:cs="Arial"/>
                <w:bCs/>
              </w:rPr>
              <w:t>0.516</w:t>
            </w:r>
          </w:p>
        </w:tc>
        <w:tc>
          <w:tcPr>
            <w:tcW w:w="1861" w:type="dxa"/>
          </w:tcPr>
          <w:p w14:paraId="78D0EEA7" w14:textId="62C652F7" w:rsidR="00995832" w:rsidRPr="001F287C" w:rsidRDefault="00897248" w:rsidP="000C3E14">
            <w:pPr>
              <w:rPr>
                <w:rFonts w:ascii="Arial" w:hAnsi="Arial" w:cs="Arial"/>
                <w:bCs/>
              </w:rPr>
            </w:pPr>
            <w:r w:rsidRPr="001F287C">
              <w:rPr>
                <w:rFonts w:ascii="Arial" w:hAnsi="Arial" w:cs="Arial"/>
                <w:bCs/>
              </w:rPr>
              <w:t>1.937</w:t>
            </w:r>
          </w:p>
        </w:tc>
      </w:tr>
      <w:tr w:rsidR="00995832" w:rsidRPr="001F287C" w14:paraId="2A5C1646" w14:textId="77777777" w:rsidTr="000C3E14">
        <w:tc>
          <w:tcPr>
            <w:tcW w:w="2880" w:type="dxa"/>
          </w:tcPr>
          <w:p w14:paraId="46DD7436" w14:textId="77777777" w:rsidR="00995832" w:rsidRPr="001F287C" w:rsidRDefault="00995832" w:rsidP="000C3E14">
            <w:pPr>
              <w:rPr>
                <w:rFonts w:ascii="Arial" w:hAnsi="Arial" w:cs="Arial"/>
                <w:bCs/>
              </w:rPr>
            </w:pPr>
            <w:r w:rsidRPr="001F287C">
              <w:rPr>
                <w:rFonts w:ascii="Arial" w:hAnsi="Arial" w:cs="Arial"/>
                <w:bCs/>
              </w:rPr>
              <w:t>Women’s role (X3)</w:t>
            </w:r>
          </w:p>
        </w:tc>
        <w:tc>
          <w:tcPr>
            <w:tcW w:w="2880" w:type="dxa"/>
          </w:tcPr>
          <w:p w14:paraId="38C01F93" w14:textId="77777777" w:rsidR="00995832" w:rsidRPr="001F287C" w:rsidRDefault="00995832" w:rsidP="000C3E14">
            <w:pPr>
              <w:rPr>
                <w:rFonts w:ascii="Arial" w:hAnsi="Arial" w:cs="Arial"/>
                <w:bCs/>
              </w:rPr>
            </w:pPr>
            <w:r w:rsidRPr="001F287C">
              <w:rPr>
                <w:rFonts w:ascii="Arial" w:hAnsi="Arial" w:cs="Arial"/>
                <w:bCs/>
              </w:rPr>
              <w:t>0.597</w:t>
            </w:r>
          </w:p>
        </w:tc>
        <w:tc>
          <w:tcPr>
            <w:tcW w:w="1861" w:type="dxa"/>
          </w:tcPr>
          <w:p w14:paraId="3D8820B8" w14:textId="77777777" w:rsidR="00995832" w:rsidRPr="001F287C" w:rsidRDefault="00995832" w:rsidP="000C3E14">
            <w:pPr>
              <w:rPr>
                <w:rFonts w:ascii="Arial" w:hAnsi="Arial" w:cs="Arial"/>
                <w:bCs/>
              </w:rPr>
            </w:pPr>
            <w:r w:rsidRPr="001F287C">
              <w:rPr>
                <w:rFonts w:ascii="Arial" w:hAnsi="Arial" w:cs="Arial"/>
                <w:bCs/>
              </w:rPr>
              <w:t>1.675</w:t>
            </w:r>
          </w:p>
        </w:tc>
      </w:tr>
    </w:tbl>
    <w:p w14:paraId="29CF56B2" w14:textId="77777777" w:rsidR="00995832" w:rsidRPr="001F287C" w:rsidRDefault="00995832" w:rsidP="00995832">
      <w:pPr>
        <w:ind w:left="426"/>
        <w:rPr>
          <w:rFonts w:ascii="Arial" w:hAnsi="Arial" w:cs="Arial"/>
          <w:bCs/>
        </w:rPr>
      </w:pPr>
      <w:r w:rsidRPr="001F287C">
        <w:rPr>
          <w:rFonts w:ascii="Arial" w:hAnsi="Arial" w:cs="Arial"/>
          <w:bCs/>
        </w:rPr>
        <w:t>Note: All VIF values are well below 10 and all Tolerance values exceed 0.10, indicating no multicollinearity concerns.</w:t>
      </w:r>
    </w:p>
    <w:p w14:paraId="123DA749"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Heteroscedasticity</w:t>
      </w:r>
    </w:p>
    <w:p w14:paraId="62474CF8" w14:textId="77777777" w:rsidR="00995832" w:rsidRPr="00995832" w:rsidRDefault="00995832" w:rsidP="00995832">
      <w:pPr>
        <w:pStyle w:val="Body"/>
        <w:spacing w:after="0"/>
        <w:ind w:firstLine="567"/>
        <w:rPr>
          <w:rFonts w:ascii="Arial" w:hAnsi="Arial" w:cs="Arial"/>
          <w:bCs/>
        </w:rPr>
      </w:pPr>
      <w:r w:rsidRPr="00995832">
        <w:rPr>
          <w:rFonts w:ascii="Arial" w:hAnsi="Arial" w:cs="Arial"/>
          <w:bCs/>
        </w:rPr>
        <w:t>Heteroscedasticity was assessed by examining the scatterplot of ZPRED against ZRESID. An arbitrary distribution of points lacking a recognizable funnel or systematic arrangement indicates homoscedasticity.</w:t>
      </w:r>
    </w:p>
    <w:p w14:paraId="6460C1CC" w14:textId="77777777" w:rsidR="00995832" w:rsidRPr="00DA7307" w:rsidRDefault="00995832" w:rsidP="00995832">
      <w:pPr>
        <w:spacing w:after="120" w:line="360" w:lineRule="auto"/>
        <w:ind w:firstLine="720"/>
        <w:jc w:val="both"/>
        <w:rPr>
          <w:rFonts w:ascii="Arial" w:hAnsi="Arial" w:cs="Arial"/>
        </w:rPr>
      </w:pPr>
      <w:r w:rsidRPr="0049383A">
        <w:rPr>
          <w:noProof/>
          <w:lang w:val="en-ID"/>
        </w:rPr>
        <w:lastRenderedPageBreak/>
        <w:drawing>
          <wp:anchor distT="0" distB="0" distL="114300" distR="114300" simplePos="0" relativeHeight="251658752" behindDoc="0" locked="0" layoutInCell="1" allowOverlap="1" wp14:anchorId="2B2B372F" wp14:editId="33F0DF9D">
            <wp:simplePos x="0" y="0"/>
            <wp:positionH relativeFrom="column">
              <wp:posOffset>522333</wp:posOffset>
            </wp:positionH>
            <wp:positionV relativeFrom="paragraph">
              <wp:posOffset>281940</wp:posOffset>
            </wp:positionV>
            <wp:extent cx="4201795" cy="2473325"/>
            <wp:effectExtent l="0" t="0" r="8255" b="3175"/>
            <wp:wrapTopAndBottom/>
            <wp:docPr id="8445539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795" cy="2473325"/>
                    </a:xfrm>
                    <a:prstGeom prst="rect">
                      <a:avLst/>
                    </a:prstGeom>
                    <a:noFill/>
                    <a:ln>
                      <a:noFill/>
                    </a:ln>
                  </pic:spPr>
                </pic:pic>
              </a:graphicData>
            </a:graphic>
          </wp:anchor>
        </w:drawing>
      </w:r>
    </w:p>
    <w:p w14:paraId="7F019125" w14:textId="61DD25EE" w:rsidR="004F215B" w:rsidRDefault="004F215B" w:rsidP="00995832">
      <w:pPr>
        <w:jc w:val="center"/>
        <w:rPr>
          <w:rFonts w:ascii="Arial" w:hAnsi="Arial" w:cs="Arial"/>
        </w:rPr>
      </w:pPr>
      <w:r w:rsidRPr="004F215B">
        <w:rPr>
          <w:rFonts w:ascii="Arial" w:hAnsi="Arial" w:cs="Arial"/>
          <w:b/>
          <w:bCs/>
          <w:highlight w:val="yellow"/>
        </w:rPr>
        <w:t>Figure 3.</w:t>
      </w:r>
      <w:r w:rsidRPr="004F215B">
        <w:rPr>
          <w:rFonts w:ascii="Arial" w:hAnsi="Arial" w:cs="Arial"/>
          <w:highlight w:val="yellow"/>
        </w:rPr>
        <w:t xml:space="preserve"> Scatterplot of standardized predicted values (ZPRED) versus studentized residuals (ZRESID) (complete-case sample, </w:t>
      </w:r>
      <w:r w:rsidRPr="004F215B">
        <w:rPr>
          <w:rFonts w:ascii="Arial" w:hAnsi="Arial" w:cs="Arial"/>
          <w:i/>
          <w:iCs/>
          <w:highlight w:val="yellow"/>
        </w:rPr>
        <w:t>N</w:t>
      </w:r>
      <w:r w:rsidRPr="004F215B">
        <w:rPr>
          <w:rFonts w:ascii="Arial" w:hAnsi="Arial" w:cs="Arial"/>
          <w:highlight w:val="yellow"/>
        </w:rPr>
        <w:t xml:space="preserve"> = 191) used to assess homoscedasticity (constant error variance).</w:t>
      </w:r>
    </w:p>
    <w:p w14:paraId="42FF4A57" w14:textId="77777777" w:rsidR="004F215B" w:rsidRDefault="004F215B" w:rsidP="00995832">
      <w:pPr>
        <w:jc w:val="center"/>
        <w:rPr>
          <w:rFonts w:ascii="Arial" w:hAnsi="Arial" w:cs="Arial"/>
        </w:rPr>
      </w:pPr>
    </w:p>
    <w:p w14:paraId="2E69891B" w14:textId="77777777" w:rsidR="00995832" w:rsidRPr="00995832" w:rsidRDefault="00995832" w:rsidP="00995832">
      <w:pPr>
        <w:pStyle w:val="Body"/>
        <w:spacing w:after="0"/>
        <w:ind w:firstLine="567"/>
        <w:rPr>
          <w:rFonts w:ascii="Arial" w:hAnsi="Arial" w:cs="Arial"/>
          <w:bCs/>
        </w:rPr>
      </w:pPr>
      <w:r w:rsidRPr="00995832">
        <w:rPr>
          <w:rFonts w:ascii="Arial" w:hAnsi="Arial" w:cs="Arial"/>
          <w:bCs/>
        </w:rPr>
        <w:t>The scatterplot exhibits a nearly random distribution of dots without a discernible pattern, indicating the absence of significant heteroscedasticity.</w:t>
      </w:r>
    </w:p>
    <w:p w14:paraId="21BDAEFF" w14:textId="46484DA1"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 xml:space="preserve">Multiple Linear Regression Results </w:t>
      </w:r>
    </w:p>
    <w:p w14:paraId="04EF2C7B" w14:textId="22FC7266" w:rsidR="00995832" w:rsidRDefault="00995832" w:rsidP="00995832">
      <w:pPr>
        <w:pStyle w:val="Body"/>
        <w:spacing w:after="0"/>
        <w:ind w:firstLine="567"/>
        <w:rPr>
          <w:rFonts w:ascii="Arial" w:hAnsi="Arial" w:cs="Arial"/>
          <w:bCs/>
        </w:rPr>
      </w:pPr>
      <w:r w:rsidRPr="00995832">
        <w:rPr>
          <w:rFonts w:ascii="Arial" w:hAnsi="Arial" w:cs="Arial"/>
          <w:bCs/>
        </w:rPr>
        <w:t>Multiple linear regression was computed with the Backward elimination approach (criterion: Probability of F-to-remove ≥ 0.100). All predictors (attitude, motivation, and women's role) were initially included in the model and then systematically eliminated depending on their contribution to the model.</w:t>
      </w:r>
    </w:p>
    <w:p w14:paraId="7FD97629" w14:textId="77777777" w:rsidR="00206917" w:rsidRDefault="00206917" w:rsidP="00995832">
      <w:pPr>
        <w:pStyle w:val="Body"/>
        <w:spacing w:after="0"/>
        <w:ind w:firstLine="567"/>
        <w:rPr>
          <w:rFonts w:ascii="Arial" w:hAnsi="Arial" w:cs="Arial"/>
          <w:bCs/>
        </w:rPr>
      </w:pPr>
    </w:p>
    <w:p w14:paraId="668A14DE" w14:textId="4C2DA7E4" w:rsidR="00995832" w:rsidRPr="00201300" w:rsidRDefault="00995832" w:rsidP="00995832">
      <w:pPr>
        <w:spacing w:after="80"/>
        <w:rPr>
          <w:rFonts w:ascii="Arial" w:hAnsi="Arial" w:cs="Arial"/>
        </w:rPr>
      </w:pPr>
      <w:r w:rsidRPr="00201300">
        <w:rPr>
          <w:rFonts w:ascii="Arial" w:hAnsi="Arial" w:cs="Arial"/>
        </w:rPr>
        <w:t>Table 3. Variables entered/removed (Backward selection).</w:t>
      </w:r>
    </w:p>
    <w:tbl>
      <w:tblPr>
        <w:tblStyle w:val="TableGrid"/>
        <w:tblW w:w="9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694"/>
        <w:gridCol w:w="2160"/>
        <w:gridCol w:w="3193"/>
      </w:tblGrid>
      <w:tr w:rsidR="00995832" w:rsidRPr="00201300" w14:paraId="10B594A4" w14:textId="77777777" w:rsidTr="000C3E14">
        <w:tc>
          <w:tcPr>
            <w:tcW w:w="1242" w:type="dxa"/>
            <w:tcBorders>
              <w:top w:val="single" w:sz="4" w:space="0" w:color="auto"/>
              <w:bottom w:val="single" w:sz="4" w:space="0" w:color="auto"/>
            </w:tcBorders>
          </w:tcPr>
          <w:p w14:paraId="5A4F6C9A" w14:textId="77777777" w:rsidR="00995832" w:rsidRPr="00201300" w:rsidRDefault="00995832" w:rsidP="000C3E14">
            <w:pPr>
              <w:rPr>
                <w:rFonts w:ascii="Arial" w:hAnsi="Arial" w:cs="Arial"/>
              </w:rPr>
            </w:pPr>
            <w:r w:rsidRPr="00201300">
              <w:rPr>
                <w:rFonts w:ascii="Arial" w:hAnsi="Arial" w:cs="Arial"/>
              </w:rPr>
              <w:t>Model</w:t>
            </w:r>
          </w:p>
        </w:tc>
        <w:tc>
          <w:tcPr>
            <w:tcW w:w="2694" w:type="dxa"/>
            <w:tcBorders>
              <w:top w:val="single" w:sz="4" w:space="0" w:color="auto"/>
              <w:bottom w:val="single" w:sz="4" w:space="0" w:color="auto"/>
            </w:tcBorders>
          </w:tcPr>
          <w:p w14:paraId="340635A0" w14:textId="77777777" w:rsidR="00995832" w:rsidRPr="00201300" w:rsidRDefault="00995832" w:rsidP="000C3E14">
            <w:pPr>
              <w:rPr>
                <w:rFonts w:ascii="Arial" w:hAnsi="Arial" w:cs="Arial"/>
              </w:rPr>
            </w:pPr>
            <w:r w:rsidRPr="00201300">
              <w:rPr>
                <w:rFonts w:ascii="Arial" w:hAnsi="Arial" w:cs="Arial"/>
              </w:rPr>
              <w:t>Variables Entered</w:t>
            </w:r>
          </w:p>
        </w:tc>
        <w:tc>
          <w:tcPr>
            <w:tcW w:w="2160" w:type="dxa"/>
            <w:tcBorders>
              <w:top w:val="single" w:sz="4" w:space="0" w:color="auto"/>
              <w:bottom w:val="single" w:sz="4" w:space="0" w:color="auto"/>
            </w:tcBorders>
          </w:tcPr>
          <w:p w14:paraId="6D440141" w14:textId="77777777" w:rsidR="00995832" w:rsidRPr="00201300" w:rsidRDefault="00995832" w:rsidP="000C3E14">
            <w:pPr>
              <w:rPr>
                <w:rFonts w:ascii="Arial" w:hAnsi="Arial" w:cs="Arial"/>
              </w:rPr>
            </w:pPr>
            <w:r w:rsidRPr="00201300">
              <w:rPr>
                <w:rFonts w:ascii="Arial" w:hAnsi="Arial" w:cs="Arial"/>
              </w:rPr>
              <w:t>Variables Removed</w:t>
            </w:r>
          </w:p>
        </w:tc>
        <w:tc>
          <w:tcPr>
            <w:tcW w:w="3193" w:type="dxa"/>
            <w:tcBorders>
              <w:top w:val="single" w:sz="4" w:space="0" w:color="auto"/>
              <w:bottom w:val="single" w:sz="4" w:space="0" w:color="auto"/>
            </w:tcBorders>
          </w:tcPr>
          <w:p w14:paraId="64F11B6A" w14:textId="77777777" w:rsidR="00995832" w:rsidRPr="00201300" w:rsidRDefault="00995832" w:rsidP="000C3E14">
            <w:pPr>
              <w:rPr>
                <w:rFonts w:ascii="Arial" w:hAnsi="Arial" w:cs="Arial"/>
              </w:rPr>
            </w:pPr>
            <w:r w:rsidRPr="00201300">
              <w:rPr>
                <w:rFonts w:ascii="Arial" w:hAnsi="Arial" w:cs="Arial"/>
              </w:rPr>
              <w:t>Method</w:t>
            </w:r>
          </w:p>
        </w:tc>
      </w:tr>
      <w:tr w:rsidR="00995832" w:rsidRPr="00201300" w14:paraId="08C9BACD" w14:textId="77777777" w:rsidTr="000C3E14">
        <w:tc>
          <w:tcPr>
            <w:tcW w:w="1242" w:type="dxa"/>
            <w:tcBorders>
              <w:top w:val="single" w:sz="4" w:space="0" w:color="auto"/>
            </w:tcBorders>
          </w:tcPr>
          <w:p w14:paraId="211416F8" w14:textId="77777777" w:rsidR="00995832" w:rsidRPr="00201300" w:rsidRDefault="00995832" w:rsidP="000C3E14">
            <w:pPr>
              <w:rPr>
                <w:rFonts w:ascii="Arial" w:hAnsi="Arial" w:cs="Arial"/>
              </w:rPr>
            </w:pPr>
            <w:r w:rsidRPr="00201300">
              <w:rPr>
                <w:rFonts w:ascii="Arial" w:hAnsi="Arial" w:cs="Arial"/>
              </w:rPr>
              <w:t>1</w:t>
            </w:r>
          </w:p>
        </w:tc>
        <w:tc>
          <w:tcPr>
            <w:tcW w:w="2694" w:type="dxa"/>
            <w:tcBorders>
              <w:top w:val="single" w:sz="4" w:space="0" w:color="auto"/>
            </w:tcBorders>
          </w:tcPr>
          <w:p w14:paraId="1AC1F533" w14:textId="77777777" w:rsidR="00995832" w:rsidRPr="00201300" w:rsidRDefault="00995832" w:rsidP="000C3E14">
            <w:pPr>
              <w:rPr>
                <w:rFonts w:ascii="Arial" w:hAnsi="Arial" w:cs="Arial"/>
              </w:rPr>
            </w:pPr>
            <w:r w:rsidRPr="00201300">
              <w:rPr>
                <w:rFonts w:ascii="Arial" w:hAnsi="Arial" w:cs="Arial"/>
              </w:rPr>
              <w:t>Women’s role, Attitude, Motivation</w:t>
            </w:r>
          </w:p>
        </w:tc>
        <w:tc>
          <w:tcPr>
            <w:tcW w:w="2160" w:type="dxa"/>
            <w:tcBorders>
              <w:top w:val="single" w:sz="4" w:space="0" w:color="auto"/>
            </w:tcBorders>
          </w:tcPr>
          <w:p w14:paraId="1DE8557C" w14:textId="77777777" w:rsidR="00995832" w:rsidRPr="00201300" w:rsidRDefault="00995832" w:rsidP="000C3E14">
            <w:pPr>
              <w:rPr>
                <w:rFonts w:ascii="Arial" w:hAnsi="Arial" w:cs="Arial"/>
              </w:rPr>
            </w:pPr>
            <w:r w:rsidRPr="00201300">
              <w:rPr>
                <w:rFonts w:ascii="Arial" w:hAnsi="Arial" w:cs="Arial"/>
              </w:rPr>
              <w:t>—</w:t>
            </w:r>
          </w:p>
        </w:tc>
        <w:tc>
          <w:tcPr>
            <w:tcW w:w="3193" w:type="dxa"/>
            <w:tcBorders>
              <w:top w:val="single" w:sz="4" w:space="0" w:color="auto"/>
            </w:tcBorders>
          </w:tcPr>
          <w:p w14:paraId="7524331C" w14:textId="77777777" w:rsidR="00995832" w:rsidRPr="00201300" w:rsidRDefault="00995832" w:rsidP="000C3E14">
            <w:pPr>
              <w:rPr>
                <w:rFonts w:ascii="Arial" w:hAnsi="Arial" w:cs="Arial"/>
              </w:rPr>
            </w:pPr>
            <w:r w:rsidRPr="00201300">
              <w:rPr>
                <w:rFonts w:ascii="Arial" w:hAnsi="Arial" w:cs="Arial"/>
              </w:rPr>
              <w:t>Enter</w:t>
            </w:r>
          </w:p>
        </w:tc>
      </w:tr>
      <w:tr w:rsidR="00995832" w:rsidRPr="00201300" w14:paraId="7057B8D7" w14:textId="77777777" w:rsidTr="000C3E14">
        <w:tc>
          <w:tcPr>
            <w:tcW w:w="1242" w:type="dxa"/>
          </w:tcPr>
          <w:p w14:paraId="3E10073D" w14:textId="77777777" w:rsidR="00995832" w:rsidRPr="00201300" w:rsidRDefault="00995832" w:rsidP="000C3E14">
            <w:pPr>
              <w:rPr>
                <w:rFonts w:ascii="Arial" w:hAnsi="Arial" w:cs="Arial"/>
              </w:rPr>
            </w:pPr>
            <w:r w:rsidRPr="00201300">
              <w:rPr>
                <w:rFonts w:ascii="Arial" w:hAnsi="Arial" w:cs="Arial"/>
              </w:rPr>
              <w:t>2</w:t>
            </w:r>
          </w:p>
        </w:tc>
        <w:tc>
          <w:tcPr>
            <w:tcW w:w="2694" w:type="dxa"/>
          </w:tcPr>
          <w:p w14:paraId="07F294EB" w14:textId="77777777" w:rsidR="00995832" w:rsidRPr="00201300" w:rsidRDefault="00995832" w:rsidP="000C3E14">
            <w:pPr>
              <w:rPr>
                <w:rFonts w:ascii="Arial" w:hAnsi="Arial" w:cs="Arial"/>
              </w:rPr>
            </w:pPr>
            <w:r w:rsidRPr="00201300">
              <w:rPr>
                <w:rFonts w:ascii="Arial" w:hAnsi="Arial" w:cs="Arial"/>
              </w:rPr>
              <w:t>—</w:t>
            </w:r>
          </w:p>
        </w:tc>
        <w:tc>
          <w:tcPr>
            <w:tcW w:w="2160" w:type="dxa"/>
          </w:tcPr>
          <w:p w14:paraId="0047A21D" w14:textId="77777777" w:rsidR="00995832" w:rsidRPr="00201300" w:rsidRDefault="00995832" w:rsidP="000C3E14">
            <w:pPr>
              <w:rPr>
                <w:rFonts w:ascii="Arial" w:hAnsi="Arial" w:cs="Arial"/>
              </w:rPr>
            </w:pPr>
            <w:r w:rsidRPr="00201300">
              <w:rPr>
                <w:rFonts w:ascii="Arial" w:hAnsi="Arial" w:cs="Arial"/>
              </w:rPr>
              <w:t>Women’s role</w:t>
            </w:r>
          </w:p>
        </w:tc>
        <w:tc>
          <w:tcPr>
            <w:tcW w:w="3193" w:type="dxa"/>
          </w:tcPr>
          <w:p w14:paraId="5722E27D" w14:textId="77777777" w:rsidR="00995832" w:rsidRPr="00201300" w:rsidRDefault="00995832" w:rsidP="000C3E14">
            <w:pPr>
              <w:rPr>
                <w:rFonts w:ascii="Arial" w:hAnsi="Arial" w:cs="Arial"/>
              </w:rPr>
            </w:pPr>
            <w:r w:rsidRPr="00201300">
              <w:rPr>
                <w:rFonts w:ascii="Arial" w:hAnsi="Arial" w:cs="Arial"/>
              </w:rPr>
              <w:t>Backward (Prob. of F-to-remove ≥ 0.100)</w:t>
            </w:r>
          </w:p>
        </w:tc>
      </w:tr>
      <w:tr w:rsidR="00995832" w:rsidRPr="00201300" w14:paraId="4161184B" w14:textId="77777777" w:rsidTr="000C3E14">
        <w:tc>
          <w:tcPr>
            <w:tcW w:w="1242" w:type="dxa"/>
          </w:tcPr>
          <w:p w14:paraId="705AF9C0" w14:textId="77777777" w:rsidR="00995832" w:rsidRPr="00201300" w:rsidRDefault="00995832" w:rsidP="000C3E14">
            <w:pPr>
              <w:rPr>
                <w:rFonts w:ascii="Arial" w:hAnsi="Arial" w:cs="Arial"/>
              </w:rPr>
            </w:pPr>
            <w:r w:rsidRPr="00201300">
              <w:rPr>
                <w:rFonts w:ascii="Arial" w:hAnsi="Arial" w:cs="Arial"/>
              </w:rPr>
              <w:t>3</w:t>
            </w:r>
          </w:p>
        </w:tc>
        <w:tc>
          <w:tcPr>
            <w:tcW w:w="2694" w:type="dxa"/>
          </w:tcPr>
          <w:p w14:paraId="6D2C3F72" w14:textId="77777777" w:rsidR="00995832" w:rsidRPr="00201300" w:rsidRDefault="00995832" w:rsidP="000C3E14">
            <w:pPr>
              <w:rPr>
                <w:rFonts w:ascii="Arial" w:hAnsi="Arial" w:cs="Arial"/>
              </w:rPr>
            </w:pPr>
            <w:r w:rsidRPr="00201300">
              <w:rPr>
                <w:rFonts w:ascii="Arial" w:hAnsi="Arial" w:cs="Arial"/>
              </w:rPr>
              <w:t>—</w:t>
            </w:r>
          </w:p>
        </w:tc>
        <w:tc>
          <w:tcPr>
            <w:tcW w:w="2160" w:type="dxa"/>
          </w:tcPr>
          <w:p w14:paraId="558AECA0" w14:textId="77777777" w:rsidR="00995832" w:rsidRPr="00201300" w:rsidRDefault="00995832" w:rsidP="000C3E14">
            <w:pPr>
              <w:rPr>
                <w:rFonts w:ascii="Arial" w:hAnsi="Arial" w:cs="Arial"/>
              </w:rPr>
            </w:pPr>
            <w:r w:rsidRPr="00201300">
              <w:rPr>
                <w:rFonts w:ascii="Arial" w:hAnsi="Arial" w:cs="Arial"/>
              </w:rPr>
              <w:t>Motivation</w:t>
            </w:r>
          </w:p>
        </w:tc>
        <w:tc>
          <w:tcPr>
            <w:tcW w:w="3193" w:type="dxa"/>
          </w:tcPr>
          <w:p w14:paraId="4DA4ABD6" w14:textId="77777777" w:rsidR="00995832" w:rsidRPr="00201300" w:rsidRDefault="00995832" w:rsidP="000C3E14">
            <w:pPr>
              <w:rPr>
                <w:rFonts w:ascii="Arial" w:hAnsi="Arial" w:cs="Arial"/>
              </w:rPr>
            </w:pPr>
            <w:r w:rsidRPr="00201300">
              <w:rPr>
                <w:rFonts w:ascii="Arial" w:hAnsi="Arial" w:cs="Arial"/>
              </w:rPr>
              <w:t>Backward (Prob. of F-to-remove ≥ 0.100)</w:t>
            </w:r>
          </w:p>
        </w:tc>
      </w:tr>
    </w:tbl>
    <w:p w14:paraId="44EDD022" w14:textId="77777777" w:rsidR="00995832" w:rsidRPr="00201300" w:rsidRDefault="00995832" w:rsidP="00995832">
      <w:pPr>
        <w:rPr>
          <w:rFonts w:ascii="Arial" w:hAnsi="Arial" w:cs="Arial"/>
        </w:rPr>
      </w:pPr>
      <w:r w:rsidRPr="004F215B">
        <w:rPr>
          <w:rFonts w:ascii="Arial" w:hAnsi="Arial" w:cs="Arial"/>
          <w:highlight w:val="yellow"/>
        </w:rPr>
        <w:t>Note: Women’s role was removed first (p = 0.421), followed by motivation (p = 0.197), leaving attitude as the sole predictor in the final model.</w:t>
      </w:r>
    </w:p>
    <w:p w14:paraId="72568EDA" w14:textId="77777777" w:rsidR="00995832" w:rsidRPr="00995832" w:rsidRDefault="00995832" w:rsidP="00995832">
      <w:pPr>
        <w:pStyle w:val="ListParagraph"/>
        <w:numPr>
          <w:ilvl w:val="0"/>
          <w:numId w:val="35"/>
        </w:numPr>
        <w:spacing w:before="120" w:after="120" w:line="240" w:lineRule="auto"/>
        <w:ind w:left="567" w:hanging="624"/>
        <w:contextualSpacing w:val="0"/>
        <w:rPr>
          <w:rFonts w:ascii="Arial" w:hAnsi="Arial" w:cs="Arial"/>
          <w:bCs/>
          <w:sz w:val="20"/>
          <w:szCs w:val="20"/>
        </w:rPr>
      </w:pPr>
      <w:r w:rsidRPr="00995832">
        <w:rPr>
          <w:rFonts w:ascii="Arial" w:hAnsi="Arial" w:cs="Arial"/>
          <w:bCs/>
          <w:sz w:val="20"/>
          <w:szCs w:val="20"/>
        </w:rPr>
        <w:t>Model Fit (Model Summary)</w:t>
      </w:r>
    </w:p>
    <w:p w14:paraId="7DB32D9D" w14:textId="4D73724E" w:rsidR="00995832" w:rsidRDefault="00995832" w:rsidP="00995832">
      <w:pPr>
        <w:pStyle w:val="Body"/>
        <w:spacing w:after="0"/>
        <w:ind w:firstLine="567"/>
        <w:rPr>
          <w:rFonts w:ascii="Arial" w:hAnsi="Arial" w:cs="Arial"/>
          <w:bCs/>
        </w:rPr>
      </w:pPr>
      <w:r w:rsidRPr="00995832">
        <w:rPr>
          <w:rFonts w:ascii="Arial" w:hAnsi="Arial" w:cs="Arial"/>
          <w:bCs/>
        </w:rPr>
        <w:t>Table 4 presents the model summary for each stage. The multiple correlation coefficient (R) signifies the strength of the linear relationship between the predictors and the dependent variable, while R-squared (R²) denotes the proportion of variation in Y elucidated by the model.</w:t>
      </w:r>
    </w:p>
    <w:p w14:paraId="60F4FF90" w14:textId="31FD205D" w:rsidR="00523E91" w:rsidRDefault="00523E91" w:rsidP="00995832">
      <w:pPr>
        <w:pStyle w:val="Body"/>
        <w:spacing w:after="0"/>
        <w:ind w:firstLine="567"/>
        <w:rPr>
          <w:rFonts w:ascii="Arial" w:hAnsi="Arial" w:cs="Arial"/>
          <w:bCs/>
        </w:rPr>
      </w:pPr>
    </w:p>
    <w:p w14:paraId="56CF5C96" w14:textId="6C1FC74C" w:rsidR="00523E91" w:rsidRDefault="00523E91" w:rsidP="00995832">
      <w:pPr>
        <w:pStyle w:val="Body"/>
        <w:spacing w:after="0"/>
        <w:ind w:firstLine="567"/>
        <w:rPr>
          <w:rFonts w:ascii="Arial" w:hAnsi="Arial" w:cs="Arial"/>
          <w:bCs/>
        </w:rPr>
      </w:pPr>
    </w:p>
    <w:p w14:paraId="1A2DA287" w14:textId="63C0C884" w:rsidR="00523E91" w:rsidRDefault="00523E91" w:rsidP="00995832">
      <w:pPr>
        <w:pStyle w:val="Body"/>
        <w:spacing w:after="0"/>
        <w:ind w:firstLine="567"/>
        <w:rPr>
          <w:rFonts w:ascii="Arial" w:hAnsi="Arial" w:cs="Arial"/>
          <w:bCs/>
        </w:rPr>
      </w:pPr>
    </w:p>
    <w:p w14:paraId="75D967FC" w14:textId="77777777" w:rsidR="00523E91" w:rsidRDefault="00523E91" w:rsidP="00995832">
      <w:pPr>
        <w:pStyle w:val="Body"/>
        <w:spacing w:after="0"/>
        <w:ind w:firstLine="567"/>
        <w:rPr>
          <w:rFonts w:ascii="Arial" w:hAnsi="Arial" w:cs="Arial"/>
          <w:bCs/>
        </w:rPr>
      </w:pPr>
    </w:p>
    <w:p w14:paraId="794B4F9B" w14:textId="77777777" w:rsidR="00206917" w:rsidRPr="00995832" w:rsidRDefault="00206917" w:rsidP="00995832">
      <w:pPr>
        <w:pStyle w:val="Body"/>
        <w:spacing w:after="0"/>
        <w:ind w:firstLine="567"/>
        <w:rPr>
          <w:rFonts w:ascii="Arial" w:hAnsi="Arial" w:cs="Arial"/>
          <w:bCs/>
        </w:rPr>
      </w:pPr>
    </w:p>
    <w:p w14:paraId="5DE9D9F1" w14:textId="3CBF5FC1" w:rsidR="00995832" w:rsidRPr="00201300" w:rsidRDefault="00995832" w:rsidP="00995832">
      <w:pPr>
        <w:spacing w:after="80"/>
        <w:rPr>
          <w:rFonts w:ascii="Arial" w:hAnsi="Arial" w:cs="Arial"/>
          <w:bCs/>
        </w:rPr>
      </w:pPr>
      <w:r w:rsidRPr="00201300">
        <w:rPr>
          <w:rFonts w:ascii="Arial" w:hAnsi="Arial" w:cs="Arial"/>
          <w:bCs/>
        </w:rPr>
        <w:lastRenderedPageBreak/>
        <w:t>Table 4. Model summary across Backward steps.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622"/>
        <w:gridCol w:w="1640"/>
        <w:gridCol w:w="1656"/>
        <w:gridCol w:w="1663"/>
      </w:tblGrid>
      <w:tr w:rsidR="00995832" w:rsidRPr="00201300" w14:paraId="65BC548A" w14:textId="77777777" w:rsidTr="009F12D4">
        <w:tc>
          <w:tcPr>
            <w:tcW w:w="1627" w:type="dxa"/>
            <w:tcBorders>
              <w:top w:val="single" w:sz="4" w:space="0" w:color="auto"/>
              <w:bottom w:val="single" w:sz="4" w:space="0" w:color="auto"/>
            </w:tcBorders>
          </w:tcPr>
          <w:p w14:paraId="6F5AE0C5" w14:textId="77777777" w:rsidR="00995832" w:rsidRPr="00201300" w:rsidRDefault="00995832" w:rsidP="000C3E14">
            <w:pPr>
              <w:rPr>
                <w:rFonts w:ascii="Arial" w:hAnsi="Arial" w:cs="Arial"/>
                <w:bCs/>
              </w:rPr>
            </w:pPr>
            <w:r w:rsidRPr="00201300">
              <w:rPr>
                <w:rFonts w:ascii="Arial" w:hAnsi="Arial" w:cs="Arial"/>
                <w:bCs/>
              </w:rPr>
              <w:t>Model</w:t>
            </w:r>
          </w:p>
        </w:tc>
        <w:tc>
          <w:tcPr>
            <w:tcW w:w="1622" w:type="dxa"/>
            <w:tcBorders>
              <w:top w:val="single" w:sz="4" w:space="0" w:color="auto"/>
              <w:bottom w:val="single" w:sz="4" w:space="0" w:color="auto"/>
            </w:tcBorders>
          </w:tcPr>
          <w:p w14:paraId="0C6DC6D4" w14:textId="77777777" w:rsidR="00995832" w:rsidRPr="00201300" w:rsidRDefault="00995832" w:rsidP="000C3E14">
            <w:pPr>
              <w:rPr>
                <w:rFonts w:ascii="Arial" w:hAnsi="Arial" w:cs="Arial"/>
                <w:bCs/>
              </w:rPr>
            </w:pPr>
            <w:r w:rsidRPr="00201300">
              <w:rPr>
                <w:rFonts w:ascii="Arial" w:hAnsi="Arial" w:cs="Arial"/>
                <w:bCs/>
              </w:rPr>
              <w:t>R</w:t>
            </w:r>
          </w:p>
        </w:tc>
        <w:tc>
          <w:tcPr>
            <w:tcW w:w="1640" w:type="dxa"/>
            <w:tcBorders>
              <w:top w:val="single" w:sz="4" w:space="0" w:color="auto"/>
              <w:bottom w:val="single" w:sz="4" w:space="0" w:color="auto"/>
            </w:tcBorders>
          </w:tcPr>
          <w:p w14:paraId="6A715DCC" w14:textId="77777777" w:rsidR="00995832" w:rsidRPr="00201300" w:rsidRDefault="00995832" w:rsidP="000C3E14">
            <w:pPr>
              <w:rPr>
                <w:rFonts w:ascii="Arial" w:hAnsi="Arial" w:cs="Arial"/>
                <w:bCs/>
              </w:rPr>
            </w:pPr>
            <w:r w:rsidRPr="00201300">
              <w:rPr>
                <w:rFonts w:ascii="Arial" w:hAnsi="Arial" w:cs="Arial"/>
                <w:bCs/>
              </w:rPr>
              <w:t>R Square</w:t>
            </w:r>
          </w:p>
        </w:tc>
        <w:tc>
          <w:tcPr>
            <w:tcW w:w="1656" w:type="dxa"/>
            <w:tcBorders>
              <w:top w:val="single" w:sz="4" w:space="0" w:color="auto"/>
              <w:bottom w:val="single" w:sz="4" w:space="0" w:color="auto"/>
            </w:tcBorders>
          </w:tcPr>
          <w:p w14:paraId="1A285073" w14:textId="77777777" w:rsidR="00995832" w:rsidRPr="00201300" w:rsidRDefault="00995832" w:rsidP="000C3E14">
            <w:pPr>
              <w:rPr>
                <w:rFonts w:ascii="Arial" w:hAnsi="Arial" w:cs="Arial"/>
                <w:bCs/>
              </w:rPr>
            </w:pPr>
            <w:r w:rsidRPr="00201300">
              <w:rPr>
                <w:rFonts w:ascii="Arial" w:hAnsi="Arial" w:cs="Arial"/>
                <w:bCs/>
              </w:rPr>
              <w:t>Adjusted R Square</w:t>
            </w:r>
          </w:p>
        </w:tc>
        <w:tc>
          <w:tcPr>
            <w:tcW w:w="1663" w:type="dxa"/>
            <w:tcBorders>
              <w:top w:val="single" w:sz="4" w:space="0" w:color="auto"/>
              <w:bottom w:val="single" w:sz="4" w:space="0" w:color="auto"/>
            </w:tcBorders>
          </w:tcPr>
          <w:p w14:paraId="17A3107D" w14:textId="77777777" w:rsidR="00995832" w:rsidRPr="00201300" w:rsidRDefault="00995832" w:rsidP="000C3E14">
            <w:pPr>
              <w:rPr>
                <w:rFonts w:ascii="Arial" w:hAnsi="Arial" w:cs="Arial"/>
                <w:bCs/>
              </w:rPr>
            </w:pPr>
            <w:r w:rsidRPr="00201300">
              <w:rPr>
                <w:rFonts w:ascii="Arial" w:hAnsi="Arial" w:cs="Arial"/>
                <w:bCs/>
              </w:rPr>
              <w:t>Std. Error of the Estimate</w:t>
            </w:r>
          </w:p>
        </w:tc>
      </w:tr>
      <w:tr w:rsidR="00995832" w:rsidRPr="00201300" w14:paraId="10A98921" w14:textId="77777777" w:rsidTr="009F12D4">
        <w:tc>
          <w:tcPr>
            <w:tcW w:w="1627" w:type="dxa"/>
            <w:tcBorders>
              <w:top w:val="single" w:sz="4" w:space="0" w:color="auto"/>
            </w:tcBorders>
          </w:tcPr>
          <w:p w14:paraId="050416C4" w14:textId="77777777" w:rsidR="00995832" w:rsidRPr="00201300" w:rsidRDefault="00995832" w:rsidP="000C3E14">
            <w:pPr>
              <w:rPr>
                <w:rFonts w:ascii="Arial" w:hAnsi="Arial" w:cs="Arial"/>
                <w:bCs/>
              </w:rPr>
            </w:pPr>
            <w:r w:rsidRPr="00201300">
              <w:rPr>
                <w:rFonts w:ascii="Arial" w:hAnsi="Arial" w:cs="Arial"/>
                <w:bCs/>
              </w:rPr>
              <w:t>1</w:t>
            </w:r>
          </w:p>
        </w:tc>
        <w:tc>
          <w:tcPr>
            <w:tcW w:w="1622" w:type="dxa"/>
            <w:tcBorders>
              <w:top w:val="single" w:sz="4" w:space="0" w:color="auto"/>
            </w:tcBorders>
          </w:tcPr>
          <w:p w14:paraId="08EA0E82" w14:textId="77777777" w:rsidR="00995832" w:rsidRPr="00201300" w:rsidRDefault="00995832" w:rsidP="000C3E14">
            <w:pPr>
              <w:rPr>
                <w:rFonts w:ascii="Arial" w:hAnsi="Arial" w:cs="Arial"/>
                <w:bCs/>
              </w:rPr>
            </w:pPr>
            <w:r w:rsidRPr="00201300">
              <w:rPr>
                <w:rFonts w:ascii="Arial" w:hAnsi="Arial" w:cs="Arial"/>
                <w:bCs/>
              </w:rPr>
              <w:t>0.567</w:t>
            </w:r>
          </w:p>
        </w:tc>
        <w:tc>
          <w:tcPr>
            <w:tcW w:w="1640" w:type="dxa"/>
            <w:tcBorders>
              <w:top w:val="single" w:sz="4" w:space="0" w:color="auto"/>
            </w:tcBorders>
          </w:tcPr>
          <w:p w14:paraId="163B58A3" w14:textId="77777777" w:rsidR="00995832" w:rsidRPr="00201300" w:rsidRDefault="00995832" w:rsidP="000C3E14">
            <w:pPr>
              <w:rPr>
                <w:rFonts w:ascii="Arial" w:hAnsi="Arial" w:cs="Arial"/>
                <w:bCs/>
              </w:rPr>
            </w:pPr>
            <w:r w:rsidRPr="00201300">
              <w:rPr>
                <w:rFonts w:ascii="Arial" w:hAnsi="Arial" w:cs="Arial"/>
                <w:bCs/>
              </w:rPr>
              <w:t>0.322</w:t>
            </w:r>
          </w:p>
        </w:tc>
        <w:tc>
          <w:tcPr>
            <w:tcW w:w="1656" w:type="dxa"/>
            <w:tcBorders>
              <w:top w:val="single" w:sz="4" w:space="0" w:color="auto"/>
            </w:tcBorders>
          </w:tcPr>
          <w:p w14:paraId="7DC41CA9" w14:textId="77777777" w:rsidR="00995832" w:rsidRPr="00201300" w:rsidRDefault="00995832" w:rsidP="000C3E14">
            <w:pPr>
              <w:rPr>
                <w:rFonts w:ascii="Arial" w:hAnsi="Arial" w:cs="Arial"/>
                <w:bCs/>
              </w:rPr>
            </w:pPr>
            <w:r w:rsidRPr="00201300">
              <w:rPr>
                <w:rFonts w:ascii="Arial" w:hAnsi="Arial" w:cs="Arial"/>
                <w:bCs/>
              </w:rPr>
              <w:t>0.311</w:t>
            </w:r>
          </w:p>
        </w:tc>
        <w:tc>
          <w:tcPr>
            <w:tcW w:w="1663" w:type="dxa"/>
            <w:tcBorders>
              <w:top w:val="single" w:sz="4" w:space="0" w:color="auto"/>
            </w:tcBorders>
          </w:tcPr>
          <w:p w14:paraId="678C691E" w14:textId="77777777" w:rsidR="00995832" w:rsidRPr="00201300" w:rsidRDefault="00995832" w:rsidP="000C3E14">
            <w:pPr>
              <w:rPr>
                <w:rFonts w:ascii="Arial" w:hAnsi="Arial" w:cs="Arial"/>
                <w:bCs/>
              </w:rPr>
            </w:pPr>
            <w:r w:rsidRPr="00201300">
              <w:rPr>
                <w:rFonts w:ascii="Arial" w:hAnsi="Arial" w:cs="Arial"/>
                <w:bCs/>
              </w:rPr>
              <w:t>21.01703</w:t>
            </w:r>
          </w:p>
        </w:tc>
      </w:tr>
      <w:tr w:rsidR="00995832" w:rsidRPr="00201300" w14:paraId="060CF72F" w14:textId="77777777" w:rsidTr="009F12D4">
        <w:tc>
          <w:tcPr>
            <w:tcW w:w="1627" w:type="dxa"/>
          </w:tcPr>
          <w:p w14:paraId="52FE79AC" w14:textId="77777777" w:rsidR="00995832" w:rsidRPr="00201300" w:rsidRDefault="00995832" w:rsidP="000C3E14">
            <w:pPr>
              <w:rPr>
                <w:rFonts w:ascii="Arial" w:hAnsi="Arial" w:cs="Arial"/>
                <w:bCs/>
              </w:rPr>
            </w:pPr>
            <w:r w:rsidRPr="00201300">
              <w:rPr>
                <w:rFonts w:ascii="Arial" w:hAnsi="Arial" w:cs="Arial"/>
                <w:bCs/>
              </w:rPr>
              <w:t>2</w:t>
            </w:r>
          </w:p>
        </w:tc>
        <w:tc>
          <w:tcPr>
            <w:tcW w:w="1622" w:type="dxa"/>
          </w:tcPr>
          <w:p w14:paraId="078EAEA7" w14:textId="77777777" w:rsidR="00995832" w:rsidRPr="00201300" w:rsidRDefault="00995832" w:rsidP="000C3E14">
            <w:pPr>
              <w:rPr>
                <w:rFonts w:ascii="Arial" w:hAnsi="Arial" w:cs="Arial"/>
                <w:bCs/>
              </w:rPr>
            </w:pPr>
            <w:r w:rsidRPr="00201300">
              <w:rPr>
                <w:rFonts w:ascii="Arial" w:hAnsi="Arial" w:cs="Arial"/>
                <w:bCs/>
              </w:rPr>
              <w:t>0.565</w:t>
            </w:r>
          </w:p>
        </w:tc>
        <w:tc>
          <w:tcPr>
            <w:tcW w:w="1640" w:type="dxa"/>
          </w:tcPr>
          <w:p w14:paraId="07CEF71E" w14:textId="77777777" w:rsidR="00995832" w:rsidRPr="00201300" w:rsidRDefault="00995832" w:rsidP="000C3E14">
            <w:pPr>
              <w:rPr>
                <w:rFonts w:ascii="Arial" w:hAnsi="Arial" w:cs="Arial"/>
                <w:bCs/>
              </w:rPr>
            </w:pPr>
            <w:r w:rsidRPr="00201300">
              <w:rPr>
                <w:rFonts w:ascii="Arial" w:hAnsi="Arial" w:cs="Arial"/>
                <w:bCs/>
              </w:rPr>
              <w:t>0.320</w:t>
            </w:r>
          </w:p>
        </w:tc>
        <w:tc>
          <w:tcPr>
            <w:tcW w:w="1656" w:type="dxa"/>
          </w:tcPr>
          <w:p w14:paraId="29EAE116" w14:textId="77777777" w:rsidR="00995832" w:rsidRPr="00201300" w:rsidRDefault="00995832" w:rsidP="000C3E14">
            <w:pPr>
              <w:rPr>
                <w:rFonts w:ascii="Arial" w:hAnsi="Arial" w:cs="Arial"/>
                <w:bCs/>
              </w:rPr>
            </w:pPr>
            <w:r w:rsidRPr="00201300">
              <w:rPr>
                <w:rFonts w:ascii="Arial" w:hAnsi="Arial" w:cs="Arial"/>
                <w:bCs/>
              </w:rPr>
              <w:t>0.312</w:t>
            </w:r>
          </w:p>
        </w:tc>
        <w:tc>
          <w:tcPr>
            <w:tcW w:w="1663" w:type="dxa"/>
          </w:tcPr>
          <w:p w14:paraId="32C9E2C2" w14:textId="77777777" w:rsidR="00995832" w:rsidRPr="00201300" w:rsidRDefault="00995832" w:rsidP="000C3E14">
            <w:pPr>
              <w:rPr>
                <w:rFonts w:ascii="Arial" w:hAnsi="Arial" w:cs="Arial"/>
                <w:bCs/>
              </w:rPr>
            </w:pPr>
            <w:r w:rsidRPr="00201300">
              <w:rPr>
                <w:rFonts w:ascii="Arial" w:hAnsi="Arial" w:cs="Arial"/>
                <w:bCs/>
              </w:rPr>
              <w:t>20.99751</w:t>
            </w:r>
          </w:p>
        </w:tc>
      </w:tr>
      <w:tr w:rsidR="00995832" w:rsidRPr="00201300" w14:paraId="6A7CAABC" w14:textId="77777777" w:rsidTr="009F12D4">
        <w:tc>
          <w:tcPr>
            <w:tcW w:w="1627" w:type="dxa"/>
          </w:tcPr>
          <w:p w14:paraId="3A737D39" w14:textId="77777777" w:rsidR="00995832" w:rsidRPr="00201300" w:rsidRDefault="00995832" w:rsidP="000C3E14">
            <w:pPr>
              <w:rPr>
                <w:rFonts w:ascii="Arial" w:hAnsi="Arial" w:cs="Arial"/>
                <w:bCs/>
              </w:rPr>
            </w:pPr>
            <w:r w:rsidRPr="00201300">
              <w:rPr>
                <w:rFonts w:ascii="Arial" w:hAnsi="Arial" w:cs="Arial"/>
                <w:bCs/>
              </w:rPr>
              <w:t>3 (final)</w:t>
            </w:r>
          </w:p>
        </w:tc>
        <w:tc>
          <w:tcPr>
            <w:tcW w:w="1622" w:type="dxa"/>
          </w:tcPr>
          <w:p w14:paraId="7B97C18E" w14:textId="77777777" w:rsidR="00995832" w:rsidRPr="00201300" w:rsidRDefault="00995832" w:rsidP="000C3E14">
            <w:pPr>
              <w:rPr>
                <w:rFonts w:ascii="Arial" w:hAnsi="Arial" w:cs="Arial"/>
                <w:bCs/>
              </w:rPr>
            </w:pPr>
            <w:r w:rsidRPr="00201300">
              <w:rPr>
                <w:rFonts w:ascii="Arial" w:hAnsi="Arial" w:cs="Arial"/>
                <w:bCs/>
              </w:rPr>
              <w:t>0.560</w:t>
            </w:r>
          </w:p>
        </w:tc>
        <w:tc>
          <w:tcPr>
            <w:tcW w:w="1640" w:type="dxa"/>
          </w:tcPr>
          <w:p w14:paraId="07E95A3A" w14:textId="77777777" w:rsidR="00995832" w:rsidRPr="00201300" w:rsidRDefault="00995832" w:rsidP="000C3E14">
            <w:pPr>
              <w:rPr>
                <w:rFonts w:ascii="Arial" w:hAnsi="Arial" w:cs="Arial"/>
                <w:bCs/>
              </w:rPr>
            </w:pPr>
            <w:r w:rsidRPr="00201300">
              <w:rPr>
                <w:rFonts w:ascii="Arial" w:hAnsi="Arial" w:cs="Arial"/>
                <w:bCs/>
              </w:rPr>
              <w:t>0.314</w:t>
            </w:r>
          </w:p>
        </w:tc>
        <w:tc>
          <w:tcPr>
            <w:tcW w:w="1656" w:type="dxa"/>
          </w:tcPr>
          <w:p w14:paraId="1E371D71" w14:textId="77777777" w:rsidR="00995832" w:rsidRPr="00201300" w:rsidRDefault="00995832" w:rsidP="000C3E14">
            <w:pPr>
              <w:rPr>
                <w:rFonts w:ascii="Arial" w:hAnsi="Arial" w:cs="Arial"/>
                <w:bCs/>
              </w:rPr>
            </w:pPr>
            <w:r w:rsidRPr="00201300">
              <w:rPr>
                <w:rFonts w:ascii="Arial" w:hAnsi="Arial" w:cs="Arial"/>
                <w:bCs/>
              </w:rPr>
              <w:t>0.310</w:t>
            </w:r>
          </w:p>
        </w:tc>
        <w:tc>
          <w:tcPr>
            <w:tcW w:w="1663" w:type="dxa"/>
          </w:tcPr>
          <w:p w14:paraId="43713EA2" w14:textId="77777777" w:rsidR="00995832" w:rsidRPr="00201300" w:rsidRDefault="00995832" w:rsidP="000C3E14">
            <w:pPr>
              <w:rPr>
                <w:rFonts w:ascii="Arial" w:hAnsi="Arial" w:cs="Arial"/>
                <w:bCs/>
              </w:rPr>
            </w:pPr>
            <w:r w:rsidRPr="00201300">
              <w:rPr>
                <w:rFonts w:ascii="Arial" w:hAnsi="Arial" w:cs="Arial"/>
                <w:bCs/>
              </w:rPr>
              <w:t>21.03516</w:t>
            </w:r>
          </w:p>
        </w:tc>
      </w:tr>
    </w:tbl>
    <w:p w14:paraId="43596489" w14:textId="32721CB3" w:rsidR="009F12D4" w:rsidRPr="009F12D4" w:rsidRDefault="00A056D2" w:rsidP="009F12D4">
      <w:pPr>
        <w:jc w:val="both"/>
        <w:rPr>
          <w:rFonts w:ascii="Arial" w:hAnsi="Arial" w:cs="Arial"/>
          <w:bCs/>
          <w:highlight w:val="yellow"/>
        </w:rPr>
      </w:pPr>
      <w:r>
        <w:rPr>
          <w:rFonts w:ascii="Arial" w:hAnsi="Arial" w:cs="Arial"/>
          <w:bCs/>
          <w:highlight w:val="yellow"/>
        </w:rPr>
        <w:t>In the final model, R = 0.560 signifies a moderate positive linear correlation between attitude and the program score. R² = 0.314 signifies that the model explains 31.4% of the variance in the program score, whereas 68.6% remains unaccounted for and may pertain to additional factors excluded from the analysis.</w:t>
      </w:r>
    </w:p>
    <w:p w14:paraId="1CD473AC" w14:textId="77777777" w:rsidR="009F12D4" w:rsidRDefault="009F12D4" w:rsidP="004F215B">
      <w:pPr>
        <w:jc w:val="both"/>
        <w:rPr>
          <w:rFonts w:ascii="Arial" w:hAnsi="Arial" w:cs="Arial"/>
          <w:bCs/>
          <w:highlight w:val="yellow"/>
        </w:rPr>
      </w:pPr>
    </w:p>
    <w:p w14:paraId="000C5FD2" w14:textId="77777777" w:rsidR="00995832" w:rsidRPr="00995832" w:rsidRDefault="00995832" w:rsidP="00995832">
      <w:pPr>
        <w:pStyle w:val="ListParagraph"/>
        <w:numPr>
          <w:ilvl w:val="0"/>
          <w:numId w:val="35"/>
        </w:numPr>
        <w:spacing w:before="120" w:after="120" w:line="240" w:lineRule="auto"/>
        <w:ind w:left="567" w:hanging="624"/>
        <w:contextualSpacing w:val="0"/>
        <w:rPr>
          <w:rFonts w:ascii="Arial" w:hAnsi="Arial" w:cs="Arial"/>
          <w:bCs/>
          <w:sz w:val="20"/>
          <w:szCs w:val="20"/>
        </w:rPr>
      </w:pPr>
      <w:r w:rsidRPr="00995832">
        <w:rPr>
          <w:rFonts w:ascii="Arial" w:hAnsi="Arial" w:cs="Arial"/>
          <w:bCs/>
          <w:sz w:val="20"/>
          <w:szCs w:val="20"/>
        </w:rPr>
        <w:t>Overall Model Significance (ANOVA / F-test)</w:t>
      </w:r>
    </w:p>
    <w:p w14:paraId="75C4A7DE" w14:textId="3BCC0C75" w:rsidR="00995832" w:rsidRDefault="00995832" w:rsidP="00995832">
      <w:pPr>
        <w:pStyle w:val="Body"/>
        <w:spacing w:after="0"/>
        <w:ind w:firstLine="567"/>
        <w:rPr>
          <w:rFonts w:ascii="Arial" w:hAnsi="Arial" w:cs="Arial"/>
          <w:bCs/>
        </w:rPr>
      </w:pPr>
      <w:r w:rsidRPr="00995832">
        <w:rPr>
          <w:rFonts w:ascii="Arial" w:hAnsi="Arial" w:cs="Arial"/>
          <w:bCs/>
        </w:rPr>
        <w:t>The F-test assesses whether the regression model substantially enhances the prediction of Y compared to a null model devoid of predictors. Table 5 displays the results of the ANOVA analysis.</w:t>
      </w:r>
    </w:p>
    <w:p w14:paraId="1E06AB17" w14:textId="77777777" w:rsidR="00206917" w:rsidRPr="00995832" w:rsidRDefault="00206917" w:rsidP="00995832">
      <w:pPr>
        <w:pStyle w:val="Body"/>
        <w:spacing w:after="0"/>
        <w:ind w:firstLine="567"/>
        <w:rPr>
          <w:rFonts w:ascii="Arial" w:hAnsi="Arial" w:cs="Arial"/>
          <w:bCs/>
        </w:rPr>
      </w:pPr>
    </w:p>
    <w:p w14:paraId="1468F2C7" w14:textId="42810E59" w:rsidR="00995832" w:rsidRPr="00201300" w:rsidRDefault="00995832" w:rsidP="00995832">
      <w:pPr>
        <w:spacing w:after="80"/>
        <w:rPr>
          <w:rFonts w:ascii="Arial" w:hAnsi="Arial" w:cs="Arial"/>
          <w:bCs/>
        </w:rPr>
      </w:pPr>
      <w:r w:rsidRPr="00201300">
        <w:rPr>
          <w:rFonts w:ascii="Arial" w:hAnsi="Arial" w:cs="Arial"/>
          <w:bCs/>
        </w:rPr>
        <w:t>Table 5. ANOVA (F-test) for the Backward regression models.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425"/>
        <w:gridCol w:w="1299"/>
        <w:gridCol w:w="1415"/>
        <w:gridCol w:w="1365"/>
        <w:gridCol w:w="1349"/>
      </w:tblGrid>
      <w:tr w:rsidR="00995832" w:rsidRPr="00201300" w14:paraId="25DD94B6" w14:textId="77777777" w:rsidTr="000C3E14">
        <w:tc>
          <w:tcPr>
            <w:tcW w:w="1440" w:type="dxa"/>
            <w:tcBorders>
              <w:top w:val="single" w:sz="4" w:space="0" w:color="auto"/>
              <w:bottom w:val="single" w:sz="4" w:space="0" w:color="auto"/>
            </w:tcBorders>
          </w:tcPr>
          <w:p w14:paraId="1936789D" w14:textId="77777777" w:rsidR="00995832" w:rsidRPr="00201300" w:rsidRDefault="00995832" w:rsidP="000C3E14">
            <w:pPr>
              <w:rPr>
                <w:rFonts w:ascii="Arial" w:hAnsi="Arial" w:cs="Arial"/>
                <w:bCs/>
              </w:rPr>
            </w:pPr>
            <w:r w:rsidRPr="00201300">
              <w:rPr>
                <w:rFonts w:ascii="Arial" w:hAnsi="Arial" w:cs="Arial"/>
                <w:bCs/>
              </w:rPr>
              <w:t>Model</w:t>
            </w:r>
          </w:p>
        </w:tc>
        <w:tc>
          <w:tcPr>
            <w:tcW w:w="1440" w:type="dxa"/>
            <w:tcBorders>
              <w:top w:val="single" w:sz="4" w:space="0" w:color="auto"/>
              <w:bottom w:val="single" w:sz="4" w:space="0" w:color="auto"/>
            </w:tcBorders>
          </w:tcPr>
          <w:p w14:paraId="59BDDAFA" w14:textId="77777777" w:rsidR="00995832" w:rsidRPr="00201300" w:rsidRDefault="00995832" w:rsidP="000C3E14">
            <w:pPr>
              <w:rPr>
                <w:rFonts w:ascii="Arial" w:hAnsi="Arial" w:cs="Arial"/>
                <w:bCs/>
              </w:rPr>
            </w:pPr>
            <w:r w:rsidRPr="00201300">
              <w:rPr>
                <w:rFonts w:ascii="Arial" w:hAnsi="Arial" w:cs="Arial"/>
                <w:bCs/>
              </w:rPr>
              <w:t>Regression SS</w:t>
            </w:r>
          </w:p>
        </w:tc>
        <w:tc>
          <w:tcPr>
            <w:tcW w:w="1440" w:type="dxa"/>
            <w:tcBorders>
              <w:top w:val="single" w:sz="4" w:space="0" w:color="auto"/>
              <w:bottom w:val="single" w:sz="4" w:space="0" w:color="auto"/>
            </w:tcBorders>
          </w:tcPr>
          <w:p w14:paraId="63868EA5" w14:textId="77777777" w:rsidR="00995832" w:rsidRPr="00201300" w:rsidRDefault="00995832" w:rsidP="000C3E14">
            <w:pPr>
              <w:rPr>
                <w:rFonts w:ascii="Arial" w:hAnsi="Arial" w:cs="Arial"/>
                <w:bCs/>
              </w:rPr>
            </w:pPr>
            <w:r w:rsidRPr="00201300">
              <w:rPr>
                <w:rFonts w:ascii="Arial" w:hAnsi="Arial" w:cs="Arial"/>
                <w:bCs/>
              </w:rPr>
              <w:t>df</w:t>
            </w:r>
          </w:p>
        </w:tc>
        <w:tc>
          <w:tcPr>
            <w:tcW w:w="1440" w:type="dxa"/>
            <w:tcBorders>
              <w:top w:val="single" w:sz="4" w:space="0" w:color="auto"/>
              <w:bottom w:val="single" w:sz="4" w:space="0" w:color="auto"/>
            </w:tcBorders>
          </w:tcPr>
          <w:p w14:paraId="3C1B4A60" w14:textId="77777777" w:rsidR="00995832" w:rsidRPr="00201300" w:rsidRDefault="00995832" w:rsidP="000C3E14">
            <w:pPr>
              <w:rPr>
                <w:rFonts w:ascii="Arial" w:hAnsi="Arial" w:cs="Arial"/>
                <w:bCs/>
              </w:rPr>
            </w:pPr>
            <w:r w:rsidRPr="00201300">
              <w:rPr>
                <w:rFonts w:ascii="Arial" w:hAnsi="Arial" w:cs="Arial"/>
                <w:bCs/>
              </w:rPr>
              <w:t>Mean Square</w:t>
            </w:r>
          </w:p>
        </w:tc>
        <w:tc>
          <w:tcPr>
            <w:tcW w:w="1440" w:type="dxa"/>
            <w:tcBorders>
              <w:top w:val="single" w:sz="4" w:space="0" w:color="auto"/>
              <w:bottom w:val="single" w:sz="4" w:space="0" w:color="auto"/>
            </w:tcBorders>
          </w:tcPr>
          <w:p w14:paraId="7E011711" w14:textId="77777777" w:rsidR="00995832" w:rsidRPr="00201300" w:rsidRDefault="00995832" w:rsidP="000C3E14">
            <w:pPr>
              <w:rPr>
                <w:rFonts w:ascii="Arial" w:hAnsi="Arial" w:cs="Arial"/>
                <w:bCs/>
              </w:rPr>
            </w:pPr>
            <w:r w:rsidRPr="00201300">
              <w:rPr>
                <w:rFonts w:ascii="Arial" w:hAnsi="Arial" w:cs="Arial"/>
                <w:bCs/>
              </w:rPr>
              <w:t>F</w:t>
            </w:r>
          </w:p>
        </w:tc>
        <w:tc>
          <w:tcPr>
            <w:tcW w:w="1440" w:type="dxa"/>
            <w:tcBorders>
              <w:top w:val="single" w:sz="4" w:space="0" w:color="auto"/>
              <w:bottom w:val="single" w:sz="4" w:space="0" w:color="auto"/>
            </w:tcBorders>
          </w:tcPr>
          <w:p w14:paraId="0ADEF159" w14:textId="77777777" w:rsidR="00995832" w:rsidRPr="00201300" w:rsidRDefault="00995832" w:rsidP="000C3E14">
            <w:pPr>
              <w:rPr>
                <w:rFonts w:ascii="Arial" w:hAnsi="Arial" w:cs="Arial"/>
                <w:bCs/>
              </w:rPr>
            </w:pPr>
            <w:r w:rsidRPr="00201300">
              <w:rPr>
                <w:rFonts w:ascii="Arial" w:hAnsi="Arial" w:cs="Arial"/>
                <w:bCs/>
              </w:rPr>
              <w:t>Sig.</w:t>
            </w:r>
          </w:p>
        </w:tc>
      </w:tr>
      <w:tr w:rsidR="00995832" w:rsidRPr="00201300" w14:paraId="2F70838A" w14:textId="77777777" w:rsidTr="000C3E14">
        <w:tc>
          <w:tcPr>
            <w:tcW w:w="1440" w:type="dxa"/>
            <w:tcBorders>
              <w:top w:val="single" w:sz="4" w:space="0" w:color="auto"/>
            </w:tcBorders>
          </w:tcPr>
          <w:p w14:paraId="409ED87E" w14:textId="77777777" w:rsidR="00995832" w:rsidRPr="00201300" w:rsidRDefault="00995832" w:rsidP="000C3E14">
            <w:pPr>
              <w:rPr>
                <w:rFonts w:ascii="Arial" w:hAnsi="Arial" w:cs="Arial"/>
                <w:bCs/>
              </w:rPr>
            </w:pPr>
            <w:r w:rsidRPr="00201300">
              <w:rPr>
                <w:rFonts w:ascii="Arial" w:hAnsi="Arial" w:cs="Arial"/>
                <w:bCs/>
              </w:rPr>
              <w:t>1</w:t>
            </w:r>
          </w:p>
        </w:tc>
        <w:tc>
          <w:tcPr>
            <w:tcW w:w="1440" w:type="dxa"/>
            <w:tcBorders>
              <w:top w:val="single" w:sz="4" w:space="0" w:color="auto"/>
            </w:tcBorders>
          </w:tcPr>
          <w:p w14:paraId="28E43377" w14:textId="77777777" w:rsidR="00995832" w:rsidRPr="00201300" w:rsidRDefault="00995832" w:rsidP="000C3E14">
            <w:pPr>
              <w:rPr>
                <w:rFonts w:ascii="Arial" w:hAnsi="Arial" w:cs="Arial"/>
                <w:bCs/>
              </w:rPr>
            </w:pPr>
            <w:r w:rsidRPr="00201300">
              <w:rPr>
                <w:rFonts w:ascii="Arial" w:hAnsi="Arial" w:cs="Arial"/>
                <w:bCs/>
              </w:rPr>
              <w:t>39231.014</w:t>
            </w:r>
          </w:p>
        </w:tc>
        <w:tc>
          <w:tcPr>
            <w:tcW w:w="1440" w:type="dxa"/>
            <w:tcBorders>
              <w:top w:val="single" w:sz="4" w:space="0" w:color="auto"/>
            </w:tcBorders>
          </w:tcPr>
          <w:p w14:paraId="55971FF7" w14:textId="77777777" w:rsidR="00995832" w:rsidRPr="00201300" w:rsidRDefault="00995832" w:rsidP="000C3E14">
            <w:pPr>
              <w:rPr>
                <w:rFonts w:ascii="Arial" w:hAnsi="Arial" w:cs="Arial"/>
                <w:bCs/>
              </w:rPr>
            </w:pPr>
            <w:r w:rsidRPr="00201300">
              <w:rPr>
                <w:rFonts w:ascii="Arial" w:hAnsi="Arial" w:cs="Arial"/>
                <w:bCs/>
              </w:rPr>
              <w:t>3</w:t>
            </w:r>
          </w:p>
        </w:tc>
        <w:tc>
          <w:tcPr>
            <w:tcW w:w="1440" w:type="dxa"/>
            <w:tcBorders>
              <w:top w:val="single" w:sz="4" w:space="0" w:color="auto"/>
            </w:tcBorders>
          </w:tcPr>
          <w:p w14:paraId="21B2285D" w14:textId="77777777" w:rsidR="00995832" w:rsidRPr="00201300" w:rsidRDefault="00995832" w:rsidP="000C3E14">
            <w:pPr>
              <w:rPr>
                <w:rFonts w:ascii="Arial" w:hAnsi="Arial" w:cs="Arial"/>
                <w:bCs/>
              </w:rPr>
            </w:pPr>
            <w:r w:rsidRPr="00201300">
              <w:rPr>
                <w:rFonts w:ascii="Arial" w:hAnsi="Arial" w:cs="Arial"/>
                <w:bCs/>
              </w:rPr>
              <w:t>13077.005</w:t>
            </w:r>
          </w:p>
        </w:tc>
        <w:tc>
          <w:tcPr>
            <w:tcW w:w="1440" w:type="dxa"/>
            <w:tcBorders>
              <w:top w:val="single" w:sz="4" w:space="0" w:color="auto"/>
            </w:tcBorders>
          </w:tcPr>
          <w:p w14:paraId="4AC34543" w14:textId="77777777" w:rsidR="00995832" w:rsidRPr="00201300" w:rsidRDefault="00995832" w:rsidP="000C3E14">
            <w:pPr>
              <w:rPr>
                <w:rFonts w:ascii="Arial" w:hAnsi="Arial" w:cs="Arial"/>
                <w:bCs/>
              </w:rPr>
            </w:pPr>
            <w:r w:rsidRPr="00201300">
              <w:rPr>
                <w:rFonts w:ascii="Arial" w:hAnsi="Arial" w:cs="Arial"/>
                <w:bCs/>
              </w:rPr>
              <w:t>29.605</w:t>
            </w:r>
          </w:p>
        </w:tc>
        <w:tc>
          <w:tcPr>
            <w:tcW w:w="1440" w:type="dxa"/>
            <w:tcBorders>
              <w:top w:val="single" w:sz="4" w:space="0" w:color="auto"/>
            </w:tcBorders>
          </w:tcPr>
          <w:p w14:paraId="4044EE23" w14:textId="77777777" w:rsidR="00995832" w:rsidRPr="00201300" w:rsidRDefault="00995832" w:rsidP="000C3E14">
            <w:pPr>
              <w:rPr>
                <w:rFonts w:ascii="Arial" w:hAnsi="Arial" w:cs="Arial"/>
                <w:bCs/>
              </w:rPr>
            </w:pPr>
            <w:r w:rsidRPr="00201300">
              <w:rPr>
                <w:rFonts w:ascii="Arial" w:hAnsi="Arial" w:cs="Arial"/>
                <w:bCs/>
              </w:rPr>
              <w:t>&lt; 0.001</w:t>
            </w:r>
          </w:p>
        </w:tc>
      </w:tr>
      <w:tr w:rsidR="00995832" w:rsidRPr="00201300" w14:paraId="56BC1F73" w14:textId="77777777" w:rsidTr="000C3E14">
        <w:tc>
          <w:tcPr>
            <w:tcW w:w="1440" w:type="dxa"/>
          </w:tcPr>
          <w:p w14:paraId="0A732246" w14:textId="77777777" w:rsidR="00995832" w:rsidRPr="00201300" w:rsidRDefault="00995832" w:rsidP="000C3E14">
            <w:pPr>
              <w:rPr>
                <w:rFonts w:ascii="Arial" w:hAnsi="Arial" w:cs="Arial"/>
                <w:bCs/>
              </w:rPr>
            </w:pPr>
            <w:r w:rsidRPr="00201300">
              <w:rPr>
                <w:rFonts w:ascii="Arial" w:hAnsi="Arial" w:cs="Arial"/>
                <w:bCs/>
              </w:rPr>
              <w:t>2</w:t>
            </w:r>
          </w:p>
        </w:tc>
        <w:tc>
          <w:tcPr>
            <w:tcW w:w="1440" w:type="dxa"/>
          </w:tcPr>
          <w:p w14:paraId="7DF6826F" w14:textId="77777777" w:rsidR="00995832" w:rsidRPr="00201300" w:rsidRDefault="00995832" w:rsidP="000C3E14">
            <w:pPr>
              <w:rPr>
                <w:rFonts w:ascii="Arial" w:hAnsi="Arial" w:cs="Arial"/>
                <w:bCs/>
              </w:rPr>
            </w:pPr>
            <w:r w:rsidRPr="00201300">
              <w:rPr>
                <w:rFonts w:ascii="Arial" w:hAnsi="Arial" w:cs="Arial"/>
                <w:bCs/>
              </w:rPr>
              <w:t>38943.475</w:t>
            </w:r>
          </w:p>
        </w:tc>
        <w:tc>
          <w:tcPr>
            <w:tcW w:w="1440" w:type="dxa"/>
          </w:tcPr>
          <w:p w14:paraId="74F6E690" w14:textId="77777777" w:rsidR="00995832" w:rsidRPr="00201300" w:rsidRDefault="00995832" w:rsidP="000C3E14">
            <w:pPr>
              <w:rPr>
                <w:rFonts w:ascii="Arial" w:hAnsi="Arial" w:cs="Arial"/>
                <w:bCs/>
              </w:rPr>
            </w:pPr>
            <w:r w:rsidRPr="00201300">
              <w:rPr>
                <w:rFonts w:ascii="Arial" w:hAnsi="Arial" w:cs="Arial"/>
                <w:bCs/>
              </w:rPr>
              <w:t>2</w:t>
            </w:r>
          </w:p>
        </w:tc>
        <w:tc>
          <w:tcPr>
            <w:tcW w:w="1440" w:type="dxa"/>
          </w:tcPr>
          <w:p w14:paraId="3EF82776" w14:textId="77777777" w:rsidR="00995832" w:rsidRPr="00201300" w:rsidRDefault="00995832" w:rsidP="000C3E14">
            <w:pPr>
              <w:rPr>
                <w:rFonts w:ascii="Arial" w:hAnsi="Arial" w:cs="Arial"/>
                <w:bCs/>
              </w:rPr>
            </w:pPr>
            <w:r w:rsidRPr="00201300">
              <w:rPr>
                <w:rFonts w:ascii="Arial" w:hAnsi="Arial" w:cs="Arial"/>
                <w:bCs/>
              </w:rPr>
              <w:t>19471.738</w:t>
            </w:r>
          </w:p>
        </w:tc>
        <w:tc>
          <w:tcPr>
            <w:tcW w:w="1440" w:type="dxa"/>
          </w:tcPr>
          <w:p w14:paraId="510EAB2A" w14:textId="77777777" w:rsidR="00995832" w:rsidRPr="00201300" w:rsidRDefault="00995832" w:rsidP="000C3E14">
            <w:pPr>
              <w:rPr>
                <w:rFonts w:ascii="Arial" w:hAnsi="Arial" w:cs="Arial"/>
                <w:bCs/>
              </w:rPr>
            </w:pPr>
            <w:r w:rsidRPr="00201300">
              <w:rPr>
                <w:rFonts w:ascii="Arial" w:hAnsi="Arial" w:cs="Arial"/>
                <w:bCs/>
              </w:rPr>
              <w:t>44.164</w:t>
            </w:r>
          </w:p>
        </w:tc>
        <w:tc>
          <w:tcPr>
            <w:tcW w:w="1440" w:type="dxa"/>
          </w:tcPr>
          <w:p w14:paraId="3AC9472B" w14:textId="77777777" w:rsidR="00995832" w:rsidRPr="00201300" w:rsidRDefault="00995832" w:rsidP="000C3E14">
            <w:pPr>
              <w:rPr>
                <w:rFonts w:ascii="Arial" w:hAnsi="Arial" w:cs="Arial"/>
                <w:bCs/>
              </w:rPr>
            </w:pPr>
            <w:r w:rsidRPr="00201300">
              <w:rPr>
                <w:rFonts w:ascii="Arial" w:hAnsi="Arial" w:cs="Arial"/>
                <w:bCs/>
              </w:rPr>
              <w:t>&lt; 0.001</w:t>
            </w:r>
          </w:p>
        </w:tc>
      </w:tr>
      <w:tr w:rsidR="00995832" w:rsidRPr="00201300" w14:paraId="52A57DEF" w14:textId="77777777" w:rsidTr="000C3E14">
        <w:tc>
          <w:tcPr>
            <w:tcW w:w="1440" w:type="dxa"/>
          </w:tcPr>
          <w:p w14:paraId="0A0F6F06" w14:textId="77777777" w:rsidR="00995832" w:rsidRPr="00201300" w:rsidRDefault="00995832" w:rsidP="000C3E14">
            <w:pPr>
              <w:rPr>
                <w:rFonts w:ascii="Arial" w:hAnsi="Arial" w:cs="Arial"/>
                <w:bCs/>
              </w:rPr>
            </w:pPr>
            <w:r w:rsidRPr="00201300">
              <w:rPr>
                <w:rFonts w:ascii="Arial" w:hAnsi="Arial" w:cs="Arial"/>
                <w:bCs/>
              </w:rPr>
              <w:t>3 (final)</w:t>
            </w:r>
          </w:p>
        </w:tc>
        <w:tc>
          <w:tcPr>
            <w:tcW w:w="1440" w:type="dxa"/>
          </w:tcPr>
          <w:p w14:paraId="0D22F068" w14:textId="77777777" w:rsidR="00995832" w:rsidRPr="00201300" w:rsidRDefault="00995832" w:rsidP="000C3E14">
            <w:pPr>
              <w:rPr>
                <w:rFonts w:ascii="Arial" w:hAnsi="Arial" w:cs="Arial"/>
                <w:bCs/>
              </w:rPr>
            </w:pPr>
            <w:r w:rsidRPr="00201300">
              <w:rPr>
                <w:rFonts w:ascii="Arial" w:hAnsi="Arial" w:cs="Arial"/>
                <w:bCs/>
              </w:rPr>
              <w:t>38203.492</w:t>
            </w:r>
          </w:p>
        </w:tc>
        <w:tc>
          <w:tcPr>
            <w:tcW w:w="1440" w:type="dxa"/>
          </w:tcPr>
          <w:p w14:paraId="106D743D" w14:textId="77777777" w:rsidR="00995832" w:rsidRPr="00201300" w:rsidRDefault="00995832" w:rsidP="000C3E14">
            <w:pPr>
              <w:rPr>
                <w:rFonts w:ascii="Arial" w:hAnsi="Arial" w:cs="Arial"/>
                <w:bCs/>
              </w:rPr>
            </w:pPr>
            <w:r w:rsidRPr="00201300">
              <w:rPr>
                <w:rFonts w:ascii="Arial" w:hAnsi="Arial" w:cs="Arial"/>
                <w:bCs/>
              </w:rPr>
              <w:t>1</w:t>
            </w:r>
          </w:p>
        </w:tc>
        <w:tc>
          <w:tcPr>
            <w:tcW w:w="1440" w:type="dxa"/>
          </w:tcPr>
          <w:p w14:paraId="52111350" w14:textId="77777777" w:rsidR="00995832" w:rsidRPr="00201300" w:rsidRDefault="00995832" w:rsidP="000C3E14">
            <w:pPr>
              <w:rPr>
                <w:rFonts w:ascii="Arial" w:hAnsi="Arial" w:cs="Arial"/>
                <w:bCs/>
              </w:rPr>
            </w:pPr>
            <w:r w:rsidRPr="00201300">
              <w:rPr>
                <w:rFonts w:ascii="Arial" w:hAnsi="Arial" w:cs="Arial"/>
                <w:bCs/>
              </w:rPr>
              <w:t>38203.492</w:t>
            </w:r>
          </w:p>
        </w:tc>
        <w:tc>
          <w:tcPr>
            <w:tcW w:w="1440" w:type="dxa"/>
          </w:tcPr>
          <w:p w14:paraId="741EC504" w14:textId="77777777" w:rsidR="00995832" w:rsidRPr="00201300" w:rsidRDefault="00995832" w:rsidP="000C3E14">
            <w:pPr>
              <w:rPr>
                <w:rFonts w:ascii="Arial" w:hAnsi="Arial" w:cs="Arial"/>
                <w:bCs/>
              </w:rPr>
            </w:pPr>
            <w:r w:rsidRPr="00201300">
              <w:rPr>
                <w:rFonts w:ascii="Arial" w:hAnsi="Arial" w:cs="Arial"/>
                <w:bCs/>
              </w:rPr>
              <w:t>86.340</w:t>
            </w:r>
          </w:p>
        </w:tc>
        <w:tc>
          <w:tcPr>
            <w:tcW w:w="1440" w:type="dxa"/>
          </w:tcPr>
          <w:p w14:paraId="5B792C4D" w14:textId="77777777" w:rsidR="00995832" w:rsidRPr="00201300" w:rsidRDefault="00995832" w:rsidP="000C3E14">
            <w:pPr>
              <w:rPr>
                <w:rFonts w:ascii="Arial" w:hAnsi="Arial" w:cs="Arial"/>
                <w:bCs/>
              </w:rPr>
            </w:pPr>
            <w:r w:rsidRPr="00201300">
              <w:rPr>
                <w:rFonts w:ascii="Arial" w:hAnsi="Arial" w:cs="Arial"/>
                <w:bCs/>
              </w:rPr>
              <w:t>&lt; 0.001</w:t>
            </w:r>
          </w:p>
        </w:tc>
      </w:tr>
    </w:tbl>
    <w:p w14:paraId="51B6A156" w14:textId="67C60BEE" w:rsidR="004F215B" w:rsidRPr="004F215B" w:rsidRDefault="00A056D2" w:rsidP="004F215B">
      <w:pPr>
        <w:rPr>
          <w:rFonts w:ascii="Arial" w:hAnsi="Arial" w:cs="Arial"/>
          <w:bCs/>
        </w:rPr>
      </w:pPr>
      <w:r>
        <w:rPr>
          <w:rFonts w:ascii="Arial" w:hAnsi="Arial" w:cs="Arial"/>
          <w:bCs/>
          <w:highlight w:val="yellow"/>
        </w:rPr>
        <w:t>Note: N = 191 (complete-case sample size). Dependent variable: KRS program performance metric. Models align with the SPSS Backward elimination criteria (F-to-remove probability ≥ 0.100). SS denotes the sum of squares; df represents degrees of freedom; Mean Square is calculated as SS divided by df; F signifies the overall model F-test that contrasts the fitted model with the intercept-only model; Sig. indicates the p-value.</w:t>
      </w:r>
    </w:p>
    <w:p w14:paraId="260924DF" w14:textId="77777777" w:rsidR="00206917" w:rsidRPr="00201300" w:rsidRDefault="00206917" w:rsidP="00995832">
      <w:pPr>
        <w:rPr>
          <w:rFonts w:ascii="Arial" w:hAnsi="Arial" w:cs="Arial"/>
          <w:bCs/>
        </w:rPr>
      </w:pPr>
    </w:p>
    <w:p w14:paraId="082B9F3D" w14:textId="77777777" w:rsidR="00995832" w:rsidRPr="00995832" w:rsidRDefault="00995832" w:rsidP="00995832">
      <w:pPr>
        <w:pStyle w:val="ListParagraph"/>
        <w:numPr>
          <w:ilvl w:val="0"/>
          <w:numId w:val="35"/>
        </w:numPr>
        <w:spacing w:before="120" w:after="120" w:line="240" w:lineRule="auto"/>
        <w:ind w:left="567" w:hanging="624"/>
        <w:contextualSpacing w:val="0"/>
        <w:rPr>
          <w:rFonts w:ascii="Arial" w:hAnsi="Arial" w:cs="Arial"/>
          <w:bCs/>
          <w:sz w:val="20"/>
          <w:szCs w:val="20"/>
        </w:rPr>
      </w:pPr>
      <w:r>
        <w:rPr>
          <w:rFonts w:ascii="Arial" w:hAnsi="Arial" w:cs="Arial"/>
          <w:bCs/>
        </w:rPr>
        <w:t xml:space="preserve"> </w:t>
      </w:r>
      <w:r w:rsidRPr="00995832">
        <w:rPr>
          <w:rFonts w:ascii="Arial" w:hAnsi="Arial" w:cs="Arial"/>
          <w:bCs/>
          <w:sz w:val="20"/>
          <w:szCs w:val="20"/>
        </w:rPr>
        <w:t>Regression Coefficients (t-tests)</w:t>
      </w:r>
    </w:p>
    <w:p w14:paraId="0C888C2E" w14:textId="28D35D57" w:rsidR="00995832" w:rsidRDefault="00995832" w:rsidP="00995832">
      <w:pPr>
        <w:pStyle w:val="Body"/>
        <w:spacing w:after="0"/>
        <w:ind w:firstLine="567"/>
        <w:rPr>
          <w:rFonts w:ascii="Arial" w:hAnsi="Arial" w:cs="Arial"/>
          <w:bCs/>
        </w:rPr>
      </w:pPr>
      <w:r w:rsidRPr="00995832">
        <w:rPr>
          <w:rFonts w:ascii="Arial" w:hAnsi="Arial" w:cs="Arial"/>
          <w:bCs/>
        </w:rPr>
        <w:t>Table 6 presents the unstandardized coefficients (B), standard errors, standardized coefficients (Beta), and t-tests for each predictor across the Backward steps.</w:t>
      </w:r>
    </w:p>
    <w:p w14:paraId="4FB09B36" w14:textId="44AD7106" w:rsidR="00206917" w:rsidRDefault="00206917" w:rsidP="00995832">
      <w:pPr>
        <w:pStyle w:val="Body"/>
        <w:spacing w:after="0"/>
        <w:ind w:firstLine="567"/>
        <w:rPr>
          <w:rFonts w:ascii="Arial" w:hAnsi="Arial" w:cs="Arial"/>
          <w:bCs/>
        </w:rPr>
      </w:pPr>
    </w:p>
    <w:p w14:paraId="6D7669D8" w14:textId="5B9772A5" w:rsidR="00995832" w:rsidRPr="00201300" w:rsidRDefault="00995832" w:rsidP="00995832">
      <w:pPr>
        <w:spacing w:after="80"/>
        <w:rPr>
          <w:rFonts w:ascii="Arial" w:hAnsi="Arial" w:cs="Arial"/>
          <w:bCs/>
        </w:rPr>
      </w:pPr>
      <w:r w:rsidRPr="00201300">
        <w:rPr>
          <w:rFonts w:ascii="Arial" w:hAnsi="Arial" w:cs="Arial"/>
          <w:bCs/>
        </w:rPr>
        <w:t>Table 6. Regression coefficients across Backward steps (dependent variable: KRS program score).</w:t>
      </w:r>
    </w:p>
    <w:tbl>
      <w:tblPr>
        <w:tblStyle w:val="TableGrid"/>
        <w:tblW w:w="85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268"/>
        <w:gridCol w:w="984"/>
        <w:gridCol w:w="1025"/>
        <w:gridCol w:w="925"/>
        <w:gridCol w:w="967"/>
        <w:gridCol w:w="1234"/>
      </w:tblGrid>
      <w:tr w:rsidR="00995832" w:rsidRPr="00F81FA2" w14:paraId="1294B96C" w14:textId="77777777" w:rsidTr="000C3E14">
        <w:tc>
          <w:tcPr>
            <w:tcW w:w="1101" w:type="dxa"/>
            <w:tcBorders>
              <w:top w:val="single" w:sz="4" w:space="0" w:color="auto"/>
              <w:bottom w:val="single" w:sz="4" w:space="0" w:color="auto"/>
            </w:tcBorders>
          </w:tcPr>
          <w:p w14:paraId="72C778F4"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Model</w:t>
            </w:r>
          </w:p>
        </w:tc>
        <w:tc>
          <w:tcPr>
            <w:tcW w:w="2268" w:type="dxa"/>
            <w:tcBorders>
              <w:top w:val="single" w:sz="4" w:space="0" w:color="auto"/>
              <w:bottom w:val="single" w:sz="4" w:space="0" w:color="auto"/>
            </w:tcBorders>
          </w:tcPr>
          <w:p w14:paraId="697821A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Predictor</w:t>
            </w:r>
          </w:p>
        </w:tc>
        <w:tc>
          <w:tcPr>
            <w:tcW w:w="984" w:type="dxa"/>
            <w:tcBorders>
              <w:top w:val="single" w:sz="4" w:space="0" w:color="auto"/>
              <w:bottom w:val="single" w:sz="4" w:space="0" w:color="auto"/>
            </w:tcBorders>
          </w:tcPr>
          <w:p w14:paraId="40AFC4A2"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B</w:t>
            </w:r>
          </w:p>
        </w:tc>
        <w:tc>
          <w:tcPr>
            <w:tcW w:w="1025" w:type="dxa"/>
            <w:tcBorders>
              <w:top w:val="single" w:sz="4" w:space="0" w:color="auto"/>
              <w:bottom w:val="single" w:sz="4" w:space="0" w:color="auto"/>
            </w:tcBorders>
          </w:tcPr>
          <w:p w14:paraId="321740D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Std. Error</w:t>
            </w:r>
          </w:p>
        </w:tc>
        <w:tc>
          <w:tcPr>
            <w:tcW w:w="925" w:type="dxa"/>
            <w:tcBorders>
              <w:top w:val="single" w:sz="4" w:space="0" w:color="auto"/>
              <w:bottom w:val="single" w:sz="4" w:space="0" w:color="auto"/>
            </w:tcBorders>
          </w:tcPr>
          <w:p w14:paraId="411F1E3F"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Beta</w:t>
            </w:r>
          </w:p>
        </w:tc>
        <w:tc>
          <w:tcPr>
            <w:tcW w:w="967" w:type="dxa"/>
            <w:tcBorders>
              <w:top w:val="single" w:sz="4" w:space="0" w:color="auto"/>
              <w:bottom w:val="single" w:sz="4" w:space="0" w:color="auto"/>
            </w:tcBorders>
          </w:tcPr>
          <w:p w14:paraId="61D81BD2"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t</w:t>
            </w:r>
          </w:p>
        </w:tc>
        <w:tc>
          <w:tcPr>
            <w:tcW w:w="1234" w:type="dxa"/>
            <w:tcBorders>
              <w:top w:val="single" w:sz="4" w:space="0" w:color="auto"/>
              <w:bottom w:val="single" w:sz="4" w:space="0" w:color="auto"/>
            </w:tcBorders>
          </w:tcPr>
          <w:p w14:paraId="3AB02553"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Sig.</w:t>
            </w:r>
          </w:p>
        </w:tc>
      </w:tr>
      <w:tr w:rsidR="00995832" w:rsidRPr="00F81FA2" w14:paraId="6009D469" w14:textId="77777777" w:rsidTr="000C3E14">
        <w:tc>
          <w:tcPr>
            <w:tcW w:w="1101" w:type="dxa"/>
            <w:tcBorders>
              <w:top w:val="single" w:sz="4" w:space="0" w:color="auto"/>
            </w:tcBorders>
          </w:tcPr>
          <w:p w14:paraId="6E9A16A9"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w:t>
            </w:r>
          </w:p>
        </w:tc>
        <w:tc>
          <w:tcPr>
            <w:tcW w:w="2268" w:type="dxa"/>
            <w:tcBorders>
              <w:top w:val="single" w:sz="4" w:space="0" w:color="auto"/>
            </w:tcBorders>
          </w:tcPr>
          <w:p w14:paraId="2864349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Constant</w:t>
            </w:r>
          </w:p>
        </w:tc>
        <w:tc>
          <w:tcPr>
            <w:tcW w:w="984" w:type="dxa"/>
            <w:tcBorders>
              <w:top w:val="single" w:sz="4" w:space="0" w:color="auto"/>
            </w:tcBorders>
          </w:tcPr>
          <w:p w14:paraId="2742BE4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12.082</w:t>
            </w:r>
          </w:p>
        </w:tc>
        <w:tc>
          <w:tcPr>
            <w:tcW w:w="1025" w:type="dxa"/>
            <w:tcBorders>
              <w:top w:val="single" w:sz="4" w:space="0" w:color="auto"/>
            </w:tcBorders>
          </w:tcPr>
          <w:p w14:paraId="468B7F51"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17.940</w:t>
            </w:r>
          </w:p>
        </w:tc>
        <w:tc>
          <w:tcPr>
            <w:tcW w:w="925" w:type="dxa"/>
            <w:tcBorders>
              <w:top w:val="single" w:sz="4" w:space="0" w:color="auto"/>
            </w:tcBorders>
          </w:tcPr>
          <w:p w14:paraId="70A01D1D"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w:t>
            </w:r>
          </w:p>
        </w:tc>
        <w:tc>
          <w:tcPr>
            <w:tcW w:w="967" w:type="dxa"/>
            <w:tcBorders>
              <w:top w:val="single" w:sz="4" w:space="0" w:color="auto"/>
            </w:tcBorders>
          </w:tcPr>
          <w:p w14:paraId="4989E7C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0.673</w:t>
            </w:r>
          </w:p>
        </w:tc>
        <w:tc>
          <w:tcPr>
            <w:tcW w:w="1234" w:type="dxa"/>
            <w:tcBorders>
              <w:top w:val="single" w:sz="4" w:space="0" w:color="auto"/>
            </w:tcBorders>
          </w:tcPr>
          <w:p w14:paraId="4A8EB6DB"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0.501</w:t>
            </w:r>
          </w:p>
        </w:tc>
      </w:tr>
      <w:tr w:rsidR="00995832" w:rsidRPr="00F81FA2" w14:paraId="71EE71DA" w14:textId="77777777" w:rsidTr="000C3E14">
        <w:tc>
          <w:tcPr>
            <w:tcW w:w="1101" w:type="dxa"/>
          </w:tcPr>
          <w:p w14:paraId="7426ACB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w:t>
            </w:r>
          </w:p>
        </w:tc>
        <w:tc>
          <w:tcPr>
            <w:tcW w:w="2268" w:type="dxa"/>
          </w:tcPr>
          <w:p w14:paraId="0ABCC9E4"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Attitude (X1)</w:t>
            </w:r>
          </w:p>
        </w:tc>
        <w:tc>
          <w:tcPr>
            <w:tcW w:w="984" w:type="dxa"/>
          </w:tcPr>
          <w:p w14:paraId="0799E86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2.489</w:t>
            </w:r>
          </w:p>
        </w:tc>
        <w:tc>
          <w:tcPr>
            <w:tcW w:w="1025" w:type="dxa"/>
          </w:tcPr>
          <w:p w14:paraId="3675703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0.274</w:t>
            </w:r>
          </w:p>
        </w:tc>
        <w:tc>
          <w:tcPr>
            <w:tcW w:w="925" w:type="dxa"/>
          </w:tcPr>
          <w:p w14:paraId="525EBBA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0.553</w:t>
            </w:r>
          </w:p>
        </w:tc>
        <w:tc>
          <w:tcPr>
            <w:tcW w:w="967" w:type="dxa"/>
          </w:tcPr>
          <w:p w14:paraId="1752E9E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9.069</w:t>
            </w:r>
          </w:p>
        </w:tc>
        <w:tc>
          <w:tcPr>
            <w:tcW w:w="1234" w:type="dxa"/>
          </w:tcPr>
          <w:p w14:paraId="62E4787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&lt; 0.001</w:t>
            </w:r>
          </w:p>
        </w:tc>
      </w:tr>
      <w:tr w:rsidR="00995832" w:rsidRPr="00F81FA2" w14:paraId="59B445A9" w14:textId="77777777" w:rsidTr="000C3E14">
        <w:tc>
          <w:tcPr>
            <w:tcW w:w="1101" w:type="dxa"/>
          </w:tcPr>
          <w:p w14:paraId="6392A55D"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w:t>
            </w:r>
          </w:p>
        </w:tc>
        <w:tc>
          <w:tcPr>
            <w:tcW w:w="2268" w:type="dxa"/>
          </w:tcPr>
          <w:p w14:paraId="0BDED3A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Motivation (X2)</w:t>
            </w:r>
          </w:p>
        </w:tc>
        <w:tc>
          <w:tcPr>
            <w:tcW w:w="984" w:type="dxa"/>
          </w:tcPr>
          <w:p w14:paraId="7E6A7299"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0.254</w:t>
            </w:r>
          </w:p>
        </w:tc>
        <w:tc>
          <w:tcPr>
            <w:tcW w:w="1025" w:type="dxa"/>
          </w:tcPr>
          <w:p w14:paraId="54BB5BFB"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0.167</w:t>
            </w:r>
          </w:p>
        </w:tc>
        <w:tc>
          <w:tcPr>
            <w:tcW w:w="925" w:type="dxa"/>
          </w:tcPr>
          <w:p w14:paraId="32C4848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0.113</w:t>
            </w:r>
          </w:p>
        </w:tc>
        <w:tc>
          <w:tcPr>
            <w:tcW w:w="967" w:type="dxa"/>
          </w:tcPr>
          <w:p w14:paraId="381CE87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1.522</w:t>
            </w:r>
          </w:p>
        </w:tc>
        <w:tc>
          <w:tcPr>
            <w:tcW w:w="1234" w:type="dxa"/>
          </w:tcPr>
          <w:p w14:paraId="480DEFC5"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0.130</w:t>
            </w:r>
          </w:p>
        </w:tc>
      </w:tr>
      <w:tr w:rsidR="00995832" w:rsidRPr="00F81FA2" w14:paraId="071D6FC4" w14:textId="77777777" w:rsidTr="000C3E14">
        <w:tc>
          <w:tcPr>
            <w:tcW w:w="1101" w:type="dxa"/>
          </w:tcPr>
          <w:p w14:paraId="73E1503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w:t>
            </w:r>
          </w:p>
        </w:tc>
        <w:tc>
          <w:tcPr>
            <w:tcW w:w="2268" w:type="dxa"/>
          </w:tcPr>
          <w:p w14:paraId="25CF366F"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Women’s role (X3)</w:t>
            </w:r>
          </w:p>
        </w:tc>
        <w:tc>
          <w:tcPr>
            <w:tcW w:w="984" w:type="dxa"/>
          </w:tcPr>
          <w:p w14:paraId="1967FBE5"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-0.165</w:t>
            </w:r>
          </w:p>
        </w:tc>
        <w:tc>
          <w:tcPr>
            <w:tcW w:w="1025" w:type="dxa"/>
          </w:tcPr>
          <w:p w14:paraId="4537432D"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0.204</w:t>
            </w:r>
          </w:p>
        </w:tc>
        <w:tc>
          <w:tcPr>
            <w:tcW w:w="925" w:type="dxa"/>
          </w:tcPr>
          <w:p w14:paraId="7418FE05"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-0.060</w:t>
            </w:r>
          </w:p>
        </w:tc>
        <w:tc>
          <w:tcPr>
            <w:tcW w:w="967" w:type="dxa"/>
          </w:tcPr>
          <w:p w14:paraId="7DD5FC8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-0.807</w:t>
            </w:r>
          </w:p>
        </w:tc>
        <w:tc>
          <w:tcPr>
            <w:tcW w:w="1234" w:type="dxa"/>
          </w:tcPr>
          <w:p w14:paraId="1544AFE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0.421</w:t>
            </w:r>
          </w:p>
        </w:tc>
      </w:tr>
      <w:tr w:rsidR="00995832" w:rsidRPr="00F81FA2" w14:paraId="5E90F9FF" w14:textId="77777777" w:rsidTr="000C3E14">
        <w:tc>
          <w:tcPr>
            <w:tcW w:w="1101" w:type="dxa"/>
          </w:tcPr>
          <w:p w14:paraId="0F5557D2"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w:t>
            </w:r>
          </w:p>
        </w:tc>
        <w:tc>
          <w:tcPr>
            <w:tcW w:w="2268" w:type="dxa"/>
          </w:tcPr>
          <w:p w14:paraId="5816CDCF"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Constant</w:t>
            </w:r>
          </w:p>
        </w:tc>
        <w:tc>
          <w:tcPr>
            <w:tcW w:w="984" w:type="dxa"/>
          </w:tcPr>
          <w:p w14:paraId="7DE252B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7.236</w:t>
            </w:r>
          </w:p>
        </w:tc>
        <w:tc>
          <w:tcPr>
            <w:tcW w:w="1025" w:type="dxa"/>
          </w:tcPr>
          <w:p w14:paraId="6E8C327C"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16.889</w:t>
            </w:r>
          </w:p>
        </w:tc>
        <w:tc>
          <w:tcPr>
            <w:tcW w:w="925" w:type="dxa"/>
          </w:tcPr>
          <w:p w14:paraId="1379B091"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w:t>
            </w:r>
          </w:p>
        </w:tc>
        <w:tc>
          <w:tcPr>
            <w:tcW w:w="967" w:type="dxa"/>
          </w:tcPr>
          <w:p w14:paraId="3E77655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0.428</w:t>
            </w:r>
          </w:p>
        </w:tc>
        <w:tc>
          <w:tcPr>
            <w:tcW w:w="1234" w:type="dxa"/>
          </w:tcPr>
          <w:p w14:paraId="0577C36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0.669</w:t>
            </w:r>
          </w:p>
        </w:tc>
      </w:tr>
      <w:tr w:rsidR="00995832" w:rsidRPr="00F81FA2" w14:paraId="0DC79155" w14:textId="77777777" w:rsidTr="000C3E14">
        <w:tc>
          <w:tcPr>
            <w:tcW w:w="1101" w:type="dxa"/>
          </w:tcPr>
          <w:p w14:paraId="7AD39DD3"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w:t>
            </w:r>
          </w:p>
        </w:tc>
        <w:tc>
          <w:tcPr>
            <w:tcW w:w="2268" w:type="dxa"/>
          </w:tcPr>
          <w:p w14:paraId="235AA0F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Attitude (X1)</w:t>
            </w:r>
          </w:p>
        </w:tc>
        <w:tc>
          <w:tcPr>
            <w:tcW w:w="984" w:type="dxa"/>
          </w:tcPr>
          <w:p w14:paraId="66DDDA34"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2.523</w:t>
            </w:r>
          </w:p>
        </w:tc>
        <w:tc>
          <w:tcPr>
            <w:tcW w:w="1025" w:type="dxa"/>
          </w:tcPr>
          <w:p w14:paraId="6808D8C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0.271</w:t>
            </w:r>
          </w:p>
        </w:tc>
        <w:tc>
          <w:tcPr>
            <w:tcW w:w="925" w:type="dxa"/>
          </w:tcPr>
          <w:p w14:paraId="3670321D"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0.560</w:t>
            </w:r>
          </w:p>
        </w:tc>
        <w:tc>
          <w:tcPr>
            <w:tcW w:w="967" w:type="dxa"/>
          </w:tcPr>
          <w:p w14:paraId="093F5FC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9.311</w:t>
            </w:r>
          </w:p>
        </w:tc>
        <w:tc>
          <w:tcPr>
            <w:tcW w:w="1234" w:type="dxa"/>
          </w:tcPr>
          <w:p w14:paraId="5F48FAB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&lt; 0.001</w:t>
            </w:r>
          </w:p>
        </w:tc>
      </w:tr>
      <w:tr w:rsidR="00995832" w:rsidRPr="00F81FA2" w14:paraId="2955F37D" w14:textId="77777777" w:rsidTr="000C3E14">
        <w:tc>
          <w:tcPr>
            <w:tcW w:w="1101" w:type="dxa"/>
          </w:tcPr>
          <w:p w14:paraId="3C1F229A"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w:t>
            </w:r>
          </w:p>
        </w:tc>
        <w:tc>
          <w:tcPr>
            <w:tcW w:w="2268" w:type="dxa"/>
          </w:tcPr>
          <w:p w14:paraId="117F34A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Motivation (X2)</w:t>
            </w:r>
          </w:p>
        </w:tc>
        <w:tc>
          <w:tcPr>
            <w:tcW w:w="984" w:type="dxa"/>
          </w:tcPr>
          <w:p w14:paraId="5814BCAB"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0.175</w:t>
            </w:r>
          </w:p>
        </w:tc>
        <w:tc>
          <w:tcPr>
            <w:tcW w:w="1025" w:type="dxa"/>
          </w:tcPr>
          <w:p w14:paraId="2E96D493"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0.135</w:t>
            </w:r>
          </w:p>
        </w:tc>
        <w:tc>
          <w:tcPr>
            <w:tcW w:w="925" w:type="dxa"/>
          </w:tcPr>
          <w:p w14:paraId="6B65C6D1"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0.078</w:t>
            </w:r>
          </w:p>
        </w:tc>
        <w:tc>
          <w:tcPr>
            <w:tcW w:w="967" w:type="dxa"/>
          </w:tcPr>
          <w:p w14:paraId="3A8941B4"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1.296</w:t>
            </w:r>
          </w:p>
        </w:tc>
        <w:tc>
          <w:tcPr>
            <w:tcW w:w="1234" w:type="dxa"/>
          </w:tcPr>
          <w:p w14:paraId="3EAA60F2"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0.197</w:t>
            </w:r>
          </w:p>
        </w:tc>
      </w:tr>
      <w:tr w:rsidR="00995832" w:rsidRPr="00F81FA2" w14:paraId="089C3881" w14:textId="77777777" w:rsidTr="000C3E14">
        <w:tc>
          <w:tcPr>
            <w:tcW w:w="1101" w:type="dxa"/>
          </w:tcPr>
          <w:p w14:paraId="616AD88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3 (final)</w:t>
            </w:r>
          </w:p>
        </w:tc>
        <w:tc>
          <w:tcPr>
            <w:tcW w:w="2268" w:type="dxa"/>
          </w:tcPr>
          <w:p w14:paraId="5B009B63"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Constant</w:t>
            </w:r>
          </w:p>
        </w:tc>
        <w:tc>
          <w:tcPr>
            <w:tcW w:w="984" w:type="dxa"/>
          </w:tcPr>
          <w:p w14:paraId="41560C9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21.288</w:t>
            </w:r>
          </w:p>
        </w:tc>
        <w:tc>
          <w:tcPr>
            <w:tcW w:w="1025" w:type="dxa"/>
          </w:tcPr>
          <w:p w14:paraId="1D2DDEB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12.970</w:t>
            </w:r>
          </w:p>
        </w:tc>
        <w:tc>
          <w:tcPr>
            <w:tcW w:w="925" w:type="dxa"/>
          </w:tcPr>
          <w:p w14:paraId="03C5CE81"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w:t>
            </w:r>
          </w:p>
        </w:tc>
        <w:tc>
          <w:tcPr>
            <w:tcW w:w="967" w:type="dxa"/>
          </w:tcPr>
          <w:p w14:paraId="568FCAEE"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1.641</w:t>
            </w:r>
          </w:p>
        </w:tc>
        <w:tc>
          <w:tcPr>
            <w:tcW w:w="1234" w:type="dxa"/>
          </w:tcPr>
          <w:p w14:paraId="656902C5"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0.102</w:t>
            </w:r>
          </w:p>
        </w:tc>
      </w:tr>
      <w:tr w:rsidR="00995832" w:rsidRPr="00F81FA2" w14:paraId="79671BEE" w14:textId="77777777" w:rsidTr="000C3E14">
        <w:tc>
          <w:tcPr>
            <w:tcW w:w="1101" w:type="dxa"/>
          </w:tcPr>
          <w:p w14:paraId="6C3066C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3 (final)</w:t>
            </w:r>
          </w:p>
        </w:tc>
        <w:tc>
          <w:tcPr>
            <w:tcW w:w="2268" w:type="dxa"/>
          </w:tcPr>
          <w:p w14:paraId="17E3F02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Attitude (X1)</w:t>
            </w:r>
          </w:p>
        </w:tc>
        <w:tc>
          <w:tcPr>
            <w:tcW w:w="984" w:type="dxa"/>
          </w:tcPr>
          <w:p w14:paraId="1E80FEC8"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2.522</w:t>
            </w:r>
          </w:p>
        </w:tc>
        <w:tc>
          <w:tcPr>
            <w:tcW w:w="1025" w:type="dxa"/>
          </w:tcPr>
          <w:p w14:paraId="55BB06BC"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0.271</w:t>
            </w:r>
          </w:p>
        </w:tc>
        <w:tc>
          <w:tcPr>
            <w:tcW w:w="925" w:type="dxa"/>
          </w:tcPr>
          <w:p w14:paraId="02FE5076"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0.560</w:t>
            </w:r>
          </w:p>
        </w:tc>
        <w:tc>
          <w:tcPr>
            <w:tcW w:w="967" w:type="dxa"/>
          </w:tcPr>
          <w:p w14:paraId="71618380"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9.292</w:t>
            </w:r>
          </w:p>
        </w:tc>
        <w:tc>
          <w:tcPr>
            <w:tcW w:w="1234" w:type="dxa"/>
          </w:tcPr>
          <w:p w14:paraId="44FEAE07" w14:textId="77777777" w:rsidR="00995832" w:rsidRPr="00F81FA2" w:rsidRDefault="00995832" w:rsidP="000C3E14">
            <w:pPr>
              <w:rPr>
                <w:rFonts w:ascii="Arial" w:hAnsi="Arial" w:cs="Arial"/>
                <w:bCs/>
                <w:sz w:val="20"/>
                <w:szCs w:val="20"/>
              </w:rPr>
            </w:pPr>
            <w:r w:rsidRPr="00F81FA2">
              <w:rPr>
                <w:rFonts w:ascii="Arial" w:hAnsi="Arial" w:cs="Arial"/>
                <w:bCs/>
                <w:sz w:val="20"/>
                <w:szCs w:val="20"/>
              </w:rPr>
              <w:t>&lt; 0.001</w:t>
            </w:r>
          </w:p>
        </w:tc>
      </w:tr>
    </w:tbl>
    <w:p w14:paraId="19CBB5AB" w14:textId="4F53F201" w:rsidR="004F215B" w:rsidRPr="004F215B" w:rsidRDefault="00A056D2" w:rsidP="004F215B">
      <w:pPr>
        <w:jc w:val="both"/>
        <w:rPr>
          <w:rFonts w:ascii="Arial" w:hAnsi="Arial" w:cs="Arial"/>
          <w:bCs/>
        </w:rPr>
      </w:pPr>
      <w:r>
        <w:rPr>
          <w:rFonts w:ascii="Arial" w:hAnsi="Arial" w:cs="Arial"/>
          <w:bCs/>
          <w:highlight w:val="yellow"/>
        </w:rPr>
        <w:t xml:space="preserve">Note: N = 191 (complete-case sample). Dependent variable: KRS program performance metric. B represents the unstandardized regression coefficient; Std. Error denotes the standard error of B; Beta indicates the standardized coefficient; t signifies the t-statistic for testing B ≠ 0; Sig. refers to the p-value (SPSS may present 0.000, which is reported as p &lt; </w:t>
      </w:r>
      <w:r>
        <w:rPr>
          <w:rFonts w:ascii="Arial" w:hAnsi="Arial" w:cs="Arial"/>
          <w:bCs/>
          <w:highlight w:val="yellow"/>
        </w:rPr>
        <w:lastRenderedPageBreak/>
        <w:t>0.001). “Constant” signifies the intercept. Models align with SPSS Backward elimination criteria (F-to-remove probability ≥ 0.100); the final model includes only those predictors that maintain statistical significance following backward selection.</w:t>
      </w:r>
    </w:p>
    <w:p w14:paraId="0A6330A3" w14:textId="77777777" w:rsidR="004F215B" w:rsidRDefault="004F215B" w:rsidP="00995832">
      <w:pPr>
        <w:jc w:val="both"/>
        <w:rPr>
          <w:rFonts w:ascii="Arial" w:hAnsi="Arial" w:cs="Arial"/>
          <w:bCs/>
        </w:rPr>
      </w:pPr>
    </w:p>
    <w:p w14:paraId="4935B47A" w14:textId="77777777" w:rsidR="00995832" w:rsidRPr="00995832" w:rsidRDefault="00995832" w:rsidP="00995832">
      <w:pPr>
        <w:pStyle w:val="Body"/>
        <w:spacing w:after="0"/>
        <w:rPr>
          <w:rFonts w:ascii="Arial" w:hAnsi="Arial" w:cs="Arial"/>
          <w:bCs/>
        </w:rPr>
      </w:pPr>
      <w:r w:rsidRPr="00995832">
        <w:rPr>
          <w:rFonts w:ascii="Arial" w:hAnsi="Arial" w:cs="Arial"/>
          <w:bCs/>
        </w:rPr>
        <w:t>The final regression equation is:</w:t>
      </w:r>
    </w:p>
    <w:p w14:paraId="2C59784D" w14:textId="77777777" w:rsidR="00995832" w:rsidRPr="00995832" w:rsidRDefault="00995832" w:rsidP="00F81FA2">
      <w:pPr>
        <w:pStyle w:val="Body"/>
        <w:spacing w:after="0"/>
        <w:jc w:val="center"/>
        <w:rPr>
          <w:rFonts w:ascii="Arial" w:hAnsi="Arial" w:cs="Arial"/>
          <w:bCs/>
        </w:rPr>
      </w:pPr>
      <w:r w:rsidRPr="00995832">
        <w:rPr>
          <w:rFonts w:ascii="Arial" w:hAnsi="Arial" w:cs="Arial"/>
          <w:bCs/>
        </w:rPr>
        <w:t>Y = 21.288 + 2.522(X1)</w:t>
      </w:r>
    </w:p>
    <w:p w14:paraId="0D362EE9" w14:textId="7166B82B" w:rsidR="00BD6F94" w:rsidRPr="00BD6F94" w:rsidRDefault="00A056D2" w:rsidP="00BD6F94">
      <w:pPr>
        <w:pStyle w:val="Body"/>
        <w:spacing w:after="0"/>
        <w:ind w:firstLine="567"/>
        <w:rPr>
          <w:rFonts w:ascii="Arial" w:hAnsi="Arial" w:cs="Arial"/>
          <w:bCs/>
        </w:rPr>
      </w:pPr>
      <w:r>
        <w:rPr>
          <w:rFonts w:ascii="Arial" w:hAnsi="Arial" w:cs="Arial"/>
          <w:bCs/>
          <w:highlight w:val="yellow"/>
        </w:rPr>
        <w:t>The unstandardized coefficient for attitude (B = 2.522) signifies that a one-unit increase in the attitude score correlates with an average rise of 2.522 points in the expected KRS program score. The standardized coefficient (β = 0.560) signifies that attitude is the most robust standardized predictor included in the final model and retains statistical significance.</w:t>
      </w:r>
    </w:p>
    <w:p w14:paraId="53331E0E" w14:textId="77777777" w:rsidR="00BD6F94" w:rsidRDefault="00BD6F94" w:rsidP="00995832">
      <w:pPr>
        <w:pStyle w:val="Body"/>
        <w:spacing w:after="0"/>
        <w:ind w:firstLine="567"/>
        <w:rPr>
          <w:rFonts w:ascii="Arial" w:hAnsi="Arial" w:cs="Arial"/>
          <w:bCs/>
        </w:rPr>
      </w:pPr>
    </w:p>
    <w:p w14:paraId="4261ECE4" w14:textId="77777777" w:rsidR="00995832" w:rsidRPr="00995832" w:rsidRDefault="00995832" w:rsidP="00995832">
      <w:pPr>
        <w:pStyle w:val="ListParagraph"/>
        <w:numPr>
          <w:ilvl w:val="0"/>
          <w:numId w:val="33"/>
        </w:numPr>
        <w:spacing w:before="120" w:after="120" w:line="240" w:lineRule="auto"/>
        <w:ind w:left="493" w:hanging="493"/>
        <w:contextualSpacing w:val="0"/>
        <w:rPr>
          <w:rFonts w:ascii="Arial" w:hAnsi="Arial" w:cs="Arial"/>
          <w:bCs/>
          <w:sz w:val="22"/>
        </w:rPr>
      </w:pPr>
      <w:r w:rsidRPr="00995832">
        <w:rPr>
          <w:rFonts w:ascii="Arial" w:hAnsi="Arial" w:cs="Arial"/>
          <w:bCs/>
          <w:sz w:val="22"/>
        </w:rPr>
        <w:t>Hypothesis Testing Decisions</w:t>
      </w:r>
    </w:p>
    <w:p w14:paraId="016EAED4" w14:textId="433CBD54" w:rsidR="00984D07" w:rsidRPr="00984D07" w:rsidRDefault="00A056D2" w:rsidP="00984D07">
      <w:pPr>
        <w:pStyle w:val="Body"/>
        <w:spacing w:after="0"/>
        <w:ind w:firstLine="567"/>
        <w:rPr>
          <w:rFonts w:ascii="Arial" w:hAnsi="Arial" w:cs="Arial"/>
          <w:bCs/>
        </w:rPr>
      </w:pPr>
      <w:r>
        <w:rPr>
          <w:rFonts w:ascii="Arial" w:hAnsi="Arial" w:cs="Arial"/>
          <w:bCs/>
          <w:highlight w:val="yellow"/>
        </w:rPr>
        <w:t>The hypothesis testing was conducted using the final backward regression model. Hypothesis 1 was validated: women's attitude (X1) significantly predicted the performance score of the KRS program (Y). H2 and H3 were unsupported: women's motivation (X2) and women's role (X3) were not statistically significant predictors and were eliminated throughout the backward selection process.</w:t>
      </w:r>
    </w:p>
    <w:p w14:paraId="49C9AEE6" w14:textId="77777777" w:rsidR="00984D07" w:rsidRDefault="00984D07" w:rsidP="00995832">
      <w:pPr>
        <w:pStyle w:val="Body"/>
        <w:spacing w:after="0"/>
        <w:ind w:firstLine="567"/>
        <w:rPr>
          <w:rFonts w:ascii="Arial" w:hAnsi="Arial" w:cs="Arial"/>
          <w:bCs/>
        </w:rPr>
      </w:pPr>
    </w:p>
    <w:p w14:paraId="4DD6178A" w14:textId="530A88B6" w:rsidR="00995832" w:rsidRPr="00F81FA2" w:rsidRDefault="00995832" w:rsidP="003E1629">
      <w:pPr>
        <w:pStyle w:val="Head1"/>
        <w:numPr>
          <w:ilvl w:val="0"/>
          <w:numId w:val="39"/>
        </w:numPr>
        <w:spacing w:after="0" w:line="360" w:lineRule="auto"/>
        <w:ind w:left="180" w:firstLine="0"/>
        <w:jc w:val="both"/>
        <w:rPr>
          <w:rFonts w:ascii="Arial" w:hAnsi="Arial" w:cs="Arial"/>
          <w:szCs w:val="24"/>
        </w:rPr>
      </w:pPr>
      <w:r w:rsidRPr="00F81FA2">
        <w:rPr>
          <w:rFonts w:ascii="Arial" w:hAnsi="Arial" w:cs="Arial"/>
          <w:szCs w:val="24"/>
        </w:rPr>
        <w:t>DISCUSSION</w:t>
      </w:r>
    </w:p>
    <w:p w14:paraId="2951FAE0" w14:textId="7158E060" w:rsidR="00995832" w:rsidRPr="00F81FA2" w:rsidRDefault="00A056D2" w:rsidP="000377B1">
      <w:pPr>
        <w:pStyle w:val="Body"/>
        <w:spacing w:after="0"/>
        <w:ind w:firstLine="567"/>
        <w:rPr>
          <w:rFonts w:ascii="Arial" w:hAnsi="Arial" w:cs="Arial"/>
          <w:bCs/>
        </w:rPr>
      </w:pPr>
      <w:r>
        <w:rPr>
          <w:rFonts w:ascii="Arial" w:hAnsi="Arial" w:cs="Arial"/>
          <w:bCs/>
          <w:highlight w:val="yellow"/>
        </w:rPr>
        <w:t xml:space="preserve">The principal finding of this study indicates that women's attitudes were the most substantial predictor of the KRS program performance score in this sample, while motivation and women's roles were excluded as important predictors in the final backward-regression model. This pattern is credible, as attitudes are intricately connected to daily caring decisions—affecting risk assessment, perceived advantages, and willingness to engage (e.g., involvement in growth monitoring, alteration of feeding methods, and utilization of maternal–child health services). Recent experimental evidence indicates that caregiver-centered communication can enhance knowledge and specific practices; however, these advancements do not automatically result in increases in linear growth when other limitations remain. A cluster randomized trial in Guatemala demonstrated that a behavior change communication (BCC) strategy enhanced caregiver nutrition knowledge and specific practices; however, it did not significantly reduce stunting, indicating that improved behavioral readiness may be inadequate without supportive enabling conditions </w:t>
      </w:r>
      <w:r w:rsidR="00995832" w:rsidRPr="000377B1">
        <w:rPr>
          <w:rFonts w:ascii="Arial" w:hAnsi="Arial" w:cs="Arial"/>
          <w:bCs/>
          <w:highlight w:val="yellow"/>
        </w:rPr>
        <w:fldChar w:fldCharType="begin" w:fldLock="1"/>
      </w:r>
      <w:r w:rsidR="00C97C17" w:rsidRPr="000377B1">
        <w:rPr>
          <w:rFonts w:ascii="Arial" w:hAnsi="Arial" w:cs="Arial"/>
          <w:bCs/>
          <w:highlight w:val="yellow"/>
        </w:rPr>
        <w:instrText>ADDIN CSL_CITATION {"citationItems":[{"id":"ITEM-1","itemData":{"DOI":"10.1111/mcn.13802","ISSN":"17408709","PMID":"40040346","abstract":"The co-existence of childhood stunting and obesity is a public health problem in Guatemala and Latin America. The objective of this study was to assess the effects of unsweetened small-quantity lipid-based nutrient supplements (SQ-LNS) coupled with a behavior change communication (BCC) strategy on the double burden of malnutrition. We conducted a three-arm randomized-control trial with two-stage cluster sampling of households with children under 4.5 months or a mother in the third trimester of pregnancy at baseline from 76 communities in Baja-Verapaz, Guatemala. Some 1268 households were randomly assigned to SQ-LNS or micronutrient powders (MNPs) paired with a multilevel participatory-ludic BCC strategy, or to MNPs only. Measures of mothers' nutrition knowledge and practices were collected at baseline and endline. Children's height, weight, and hemoglobin concentration were measured at endline. Treatment effects were estimated using regression models. The BCC strategy boosted caregiver nutrition knowledge from 4.2 (95% CI: 2.7, 5.7) to 4.6 percentage points (95% CI: 3.1, 6.1). Significant effects on nutrition practices of 3.0 percentage points (95% CI: 1.2, 4.8) were found only for caregivers with children receiving SQ-LNS. We found no detectable treatment effects on stunting or anemia. However, children exposed to SQ-LNS and the BCC strategy were 2.6 percentage points (95% CI: −5.0, −0.2) less likely to be overweight or obese (54.1% lower than the group receiving MNPs only). An intervention coupling a multilevel participatory-ludic BCC strategy with the use of unsweetened SQ-LNS holds promise for the prevention of childhood overweight and obesity, yet complementary interventions are required to address non-nutritional factors related to stunting in Guatemala.","author":[{"dropping-particle":"","family":"Acero","given":"Carolina Gonzalez","non-dropping-particle":"","parse-names":false,"suffix":""},{"dropping-particle":"","family":"Martinez","given":"Sebastian","non-dropping-particle":"","parse-names":false,"suffix":""},{"dropping-particle":"","family":"Perez-Exposito","given":"Ana","non-dropping-particle":"","parse-names":false,"suffix":""},{"dropping-particle":"","family":"Winters","given":"Solis","non-dropping-particle":"","parse-names":false,"suffix":""}],"container-title":"Maternal and Child Nutrition","id":"ITEM-1","issue":"3","issued":{"date-parts":[["2025"]]},"page":"1-15","title":"Effect of a Behavioral Change Communication Strategy Coupled With Small-Quantity Lipid-Based or Micro-Nutrient Supplements on Stunting and Obesity in Children in Baja Verapaz, Guatemala: Results From a Cluster Randomized Controlled Trial","type":"article-journal","volume":"21"},"uris":["http://www.mendeley.com/documents/?uuid=b3ad4a2c-2fde-49e5-b4e4-f80380c434f0"]}],"mendeley":{"formattedCitation":"(Acero et al., 2025)","plainTextFormattedCitation":"(Acero et al., 2025)","previouslyFormattedCitation":"(Acero et al., 2025)"},"properties":{"noteIndex":0},"schema":"https://github.com/citation-style-language/schema/raw/master/csl-citation.json"}</w:instrText>
      </w:r>
      <w:r w:rsidR="00995832" w:rsidRPr="000377B1">
        <w:rPr>
          <w:rFonts w:ascii="Arial" w:hAnsi="Arial" w:cs="Arial"/>
          <w:bCs/>
          <w:highlight w:val="yellow"/>
        </w:rPr>
        <w:fldChar w:fldCharType="separate"/>
      </w:r>
      <w:r w:rsidR="00F262B6" w:rsidRPr="000377B1">
        <w:rPr>
          <w:rFonts w:ascii="Arial" w:hAnsi="Arial" w:cs="Arial"/>
          <w:bCs/>
          <w:noProof/>
          <w:highlight w:val="yellow"/>
        </w:rPr>
        <w:t>(Acero et al., 2025)</w:t>
      </w:r>
      <w:r w:rsidR="00995832" w:rsidRPr="000377B1">
        <w:rPr>
          <w:rFonts w:ascii="Arial" w:hAnsi="Arial" w:cs="Arial"/>
          <w:bCs/>
          <w:highlight w:val="yellow"/>
        </w:rPr>
        <w:fldChar w:fldCharType="end"/>
      </w:r>
      <w:r w:rsidR="00995832" w:rsidRPr="000377B1">
        <w:rPr>
          <w:rFonts w:ascii="Arial" w:hAnsi="Arial" w:cs="Arial"/>
          <w:bCs/>
          <w:highlight w:val="yellow"/>
        </w:rPr>
        <w:t>.</w:t>
      </w:r>
    </w:p>
    <w:p w14:paraId="491232E0" w14:textId="64FAA79A" w:rsidR="00995832" w:rsidRDefault="00C06A87" w:rsidP="000377B1">
      <w:pPr>
        <w:pStyle w:val="Body"/>
        <w:spacing w:after="0"/>
        <w:ind w:firstLine="567"/>
        <w:rPr>
          <w:rFonts w:ascii="Arial" w:hAnsi="Arial" w:cs="Arial"/>
          <w:bCs/>
        </w:rPr>
      </w:pPr>
      <w:r>
        <w:t>The prominence of attitude can also be interpreted through the lens of implementation fidelity at the household level: even when services are available, program effectiveness depends on caregivers’ perceptions of urgency, credibility, and personal relevance. Awareness-raising interventions may shift parental behaviors, but their effects on growth can remain limited if intentions are not converted into sustained improvements in diet quality, infection prevention, and healthcare utilization. This interpretation aligns with findings from the ZamCharts trial in Zambia, which evaluated home-installed growth charts to increase parental awareness; while some caregiver behaviors and child development indicators improved, average growth outcomes did not change significantly in that context, underscoring the importance of upstream supportive inputs</w:t>
      </w:r>
      <w:r>
        <w:t xml:space="preserve"> </w:t>
      </w:r>
      <w:r w:rsidR="00995832" w:rsidRPr="00F81FA2">
        <w:rPr>
          <w:rFonts w:ascii="Arial" w:hAnsi="Arial" w:cs="Arial"/>
          <w:bCs/>
        </w:rPr>
        <w:fldChar w:fldCharType="begin" w:fldLock="1"/>
      </w:r>
      <w:r w:rsidR="00C97C17">
        <w:rPr>
          <w:rFonts w:ascii="Arial" w:hAnsi="Arial" w:cs="Arial"/>
          <w:bCs/>
        </w:rPr>
        <w:instrText>ADDIN CSL_CITATION {"citationItems":[{"id":"ITEM-1","itemData":{"DOI":"10.1136/bmjgh-2024-015438","ISSN":"20597908","abstract":"Background Childhood stunting remains common in many low-income settings and is associated with increased morbidity and mortality, as well as impaired child development. Methods The main objective of the study was to assess whether home-installed growth charts as well as small-quantity lipid-based nutrient supplements (SQ-LNS) can reduce growth faltering among infants. All caregivers of infants between 2 and 10 months of age at baseline, and at least 6 months old at the beginning of the interventions, in 282 randomly selected enumeration areas in Choma, Mansa and Lusaka districts in Zambia were invited to participate in the study. Cluster randomisation was stratified by district. A software-generated random number draw was used to assign clusters to one of four arms: (1) no intervention (control); (2) home installation of a wall chart that contained a growth monitoring tool along with key messages on infant and young child feeding and nutrition (growth charts only); (3) 30 sachets of SQLNS delivered each month (SQ-LNS only) or (4) growth charts+SQ LNS. The primary outcomes were children's height-for-age z-score (HAZ) and stunting (HAZ &lt;-2) after 18 months of intervention. Secondary outcomes were haemoglobin (Hb), anaemia (Hb&lt;110.0 g/L), weight-for-height, weight-for-age z-score (WAZ), underweight (WAZ&lt;-2) and child development measured by the Global Scales of Early Development (GSED). Outcomes were analysed intention to treat using adjusted linear and logistic regression models and compared each of the three interventions to the control group. Assessors and analysts were blinded to the treatment-blinding of participating families was not possible. Results A total of 2291 caregiver-child dyads across the 282 study clusters were included in the study. 70 clusters (557 dyads) were assigned to the control group, 70 clusters (643 dyads) to growth charts only, 71 clusters (525 dyads) to SQ-LNS and 71 clusters (566 dyads) to SQ-LNS and growth charts. SQ-LNS improved HAZ by 0.21 SD (95% CI 0.06 to 0.36) and reduced the odds of stunting by 37% (adjusted OR, aOR 0.63, 95% CI (0.46 to 0.87)). No HAZ or stunting impacts were found in the growth charts only or growth charts+SQ LNS arms. SQ-LNS only improved WAZ (mean difference, MD 0.17, 95% CI (0.05 to 0.28). No impacts on WAZ were seen for growth charts and the combined intervention. Child development was higher in the growth charts only (MD 0.18, 95% CI (0.01 to 0.35)) and SQ-LNS only arms (MD 0.28, 95% CI (0.09 …","author":[{"dropping-particle":"","family":"Fink","given":"Günther","non-dropping-particle":"","parse-names":false,"suffix":""},{"dropping-particle":"","family":"Locks","given":"Lindsey M.","non-dropping-particle":"","parse-names":false,"suffix":""},{"dropping-particle":"","family":"Lauer","given":"Jacqueline M.","non-dropping-particle":"","parse-names":false,"suffix":""},{"dropping-particle":"","family":"Chembe","given":"Mpela","non-dropping-particle":"","parse-names":false,"suffix":""},{"dropping-particle":"","family":"Henderson","given":"Savanna","non-dropping-particle":"","parse-names":false,"suffix":""},{"dropping-particle":"","family":"Sikazwe","given":"Dorothy","non-dropping-particle":"","parse-names":false,"suffix":""},{"dropping-particle":"","family":"Billima-Mulenga","given":"Tamara","non-dropping-particle":"","parse-names":false,"suffix":""},{"dropping-particle":"","family":"Parkerson","given":"Doug","non-dropping-particle":"","parse-names":false,"suffix":""},{"dropping-particle":"","family":"Rockers","given":"Peter C.","non-dropping-particle":"","parse-names":false,"suffix":""}],"container-title":"BMJ Global Health","id":"ITEM-1","issue":"8","issued":{"date-parts":[["2024"]]},"page":"1-11","title":"The impact of home-installed growth charts and small-quantity lipid-based nutrient supplements (SQ-LNS) on child growth in Zambia: a four-arm parallel open-label cluster randomised controlled trial","type":"article-journal","volume":"9"},"uris":["http://www.mendeley.com/documents/?uuid=5b8a633e-84e8-4edf-9393-ad167c7d7608"]}],"mendeley":{"formattedCitation":"(Fink et al., 2024)","plainTextFormattedCitation":"(Fink et al., 2024)","previouslyFormattedCitation":"(Fink et al., 2024)"},"properties":{"noteIndex":0},"schema":"https://github.com/citation-style-language/schema/raw/master/csl-citation.json"}</w:instrText>
      </w:r>
      <w:r w:rsidR="00995832" w:rsidRPr="00F81FA2">
        <w:rPr>
          <w:rFonts w:ascii="Arial" w:hAnsi="Arial" w:cs="Arial"/>
          <w:bCs/>
        </w:rPr>
        <w:fldChar w:fldCharType="separate"/>
      </w:r>
      <w:r w:rsidR="00F262B6" w:rsidRPr="00F262B6">
        <w:rPr>
          <w:rFonts w:ascii="Arial" w:hAnsi="Arial" w:cs="Arial"/>
          <w:bCs/>
          <w:noProof/>
        </w:rPr>
        <w:t>(Fink et al., 2024)</w:t>
      </w:r>
      <w:r w:rsidR="00995832" w:rsidRPr="00F81FA2">
        <w:rPr>
          <w:rFonts w:ascii="Arial" w:hAnsi="Arial" w:cs="Arial"/>
          <w:bCs/>
        </w:rPr>
        <w:fldChar w:fldCharType="end"/>
      </w:r>
      <w:r w:rsidR="00995832" w:rsidRPr="00F81FA2">
        <w:rPr>
          <w:rFonts w:ascii="Arial" w:hAnsi="Arial" w:cs="Arial"/>
          <w:bCs/>
        </w:rPr>
        <w:t>.</w:t>
      </w:r>
    </w:p>
    <w:p w14:paraId="5A368A7F" w14:textId="1104AEF6" w:rsidR="00995832" w:rsidRDefault="00C06A87" w:rsidP="000377B1">
      <w:pPr>
        <w:pStyle w:val="Body"/>
        <w:spacing w:after="0"/>
        <w:ind w:firstLine="567"/>
        <w:rPr>
          <w:rFonts w:ascii="Arial" w:hAnsi="Arial" w:cs="Arial"/>
          <w:bCs/>
        </w:rPr>
      </w:pPr>
      <w:r>
        <w:t>The non-significance of motivation in the final model likely reflects the well-documented intention–action gap under structural constraints. In many low-resource settings, higher motivation can be overridden by time scarcity, unstable income, food price volatility, and limited access to quality services—conditions that impede consistent implementation of recommended nutrition, hygiene, and follow-up practices. This interpretation is supported by cross-country longitudinal evidence indicating that enabling policies matter: expanded social protection coverage in LMICs has been associated with reductions in stunting, including during crises, implying that household capacity and resources (not willingness alone) are critical for sustained nutritional improvement</w:t>
      </w:r>
      <w:r>
        <w:t xml:space="preserve">  </w:t>
      </w:r>
      <w:r w:rsidR="00995832" w:rsidRPr="00F81FA2">
        <w:rPr>
          <w:rFonts w:ascii="Arial" w:hAnsi="Arial" w:cs="Arial"/>
          <w:bCs/>
        </w:rPr>
        <w:fldChar w:fldCharType="begin" w:fldLock="1"/>
      </w:r>
      <w:r w:rsidR="00C97C17">
        <w:rPr>
          <w:rFonts w:ascii="Arial" w:hAnsi="Arial" w:cs="Arial"/>
          <w:bCs/>
        </w:rPr>
        <w:instrText>ADDIN CSL_CITATION {"citationItems":[{"id":"ITEM-1","itemData":{"DOI":"10.1016/j.eclinm.2025.103414","ISSN":"25895370","abstract":"Background: Under-5 mortality and malnutrition are major public health challenges in low- and middle-income countries (LMICs), worsened by crises like the COVID-19 pandemic. Evidence on social protection reducing under-5 mortality in LMICs is limited. We examined the impact of social protection coverage, defined as the proportion of the population covered by any form of social protection, on under-5 mortality, stunting, and wasting across 46 LMICs from 2000 to 2021. Methods: Our study analyzed 1012 country-year observations. Outcomes included under-5 mortality (deaths per 1000 live births), prevalence of wasting (weight-for-height Z-scores &lt; −2 SD), and stunting (height-for-age Z-scores &lt; −2 SD). Coverage of social protection was defined as the proportion of the population receiving at least one social protection benefit. We used fixed-effects Poisson models with robust standard errors to estimate associations, adjusting for socioeconomic, healthcare, and gender-related variables. Interaction terms captured social protection mitigation effects during COVID-19, and counterfactual scenarios estimated averted deaths. Analyses were disaggregated by sex and age groups. Findings: Social protection coverage prevented an estimated 3.05 million under-5 deaths overall, including 583,590 during the pandemic. Higher coverage was significantly associated with reductions in under-5 mortality (IRR:0.71,95%CI:0.54–0.96), stunting (IRR:0.75,95%CI:0.60–0.94), and wasting (IRR:0.87,95%CI:0.78–0.98). During the COVID-19 pandemic years, social protection led to additional reductions in under-5 mortality (IRR:0.68,95%CI:0.59–0.79) and stunting (IRR:0.74,95%CI:0.57–0.95). Toddler mortality (1–2 years) showed the greatest reduction effects (IRR:0.62,95%CI:0.41–0.95). Females showed slightly stronger effects. Sensitivity and triangulation analyses validated all results. Interpretation: Social protection coverage strongly reduced child mortality, stunting, and wasting in LMICs, with heightened impact during the pandemic years. Scaling up social protection programs can be crucial for reducing health inequities, building child resilience, and advancing child health targets in the future. Funding: This study was funded by the Rapid Social Response (RSR) Multidonor Trust Fund at the World Bank.","author":[{"dropping-particle":"","family":"Landin Basterra","given":"Elisa","non-dropping-particle":"","parse-names":false,"suffix":""},{"dropping-particle":"","family":"Gentilini","given":"Ugo","non-dropping-particle":"","parse-names":false,"suffix":""},{"dropping-particle":"","family":"Cavalcanti","given":"Daniella Medeiros","non-dropping-particle":"","parse-names":false,"suffix":""},{"dropping-particle":"","family":"Silva","given":"Andrea Ferreira","non-dropping-particle":"da","parse-names":false,"suffix":""},{"dropping-particle":"","family":"Oliveira Ferreira de Sales","given":"Lucas","non-dropping-particle":"de","parse-names":false,"suffix":""},{"dropping-particle":"","family":"Silva","given":"Natanael J.","non-dropping-particle":"","parse-names":false,"suffix":""},{"dropping-particle":"","family":"Rasella","given":"Davide","non-dropping-particle":"","parse-names":false,"suffix":""}],"container-title":"eClinicalMedicine","id":"ITEM-1","issued":{"date-parts":[["2025"]]},"page":"103414","publisher":"The Author(s)","title":"Impact of social protection on child malnutrition and mortality across 46 LMICs: a longitudinal study over two decades with insights from the COVID-19 pandemic","type":"article-journal","volume":"87"},"uris":["http://www.mendeley.com/documents/?uuid=18995f1b-0693-43f6-b100-1d117b84e970"]}],"mendeley":{"formattedCitation":"(Landin Basterra et al., 2025)","plainTextFormattedCitation":"(Landin Basterra et al., 2025)","previouslyFormattedCitation":"(Landin Basterra et al., 2025)"},"properties":{"noteIndex":0},"schema":"https://github.com/citation-style-language/schema/raw/master/csl-citation.json"}</w:instrText>
      </w:r>
      <w:r w:rsidR="00995832" w:rsidRPr="00F81FA2">
        <w:rPr>
          <w:rFonts w:ascii="Arial" w:hAnsi="Arial" w:cs="Arial"/>
          <w:bCs/>
        </w:rPr>
        <w:fldChar w:fldCharType="separate"/>
      </w:r>
      <w:r w:rsidR="00F262B6" w:rsidRPr="00F262B6">
        <w:rPr>
          <w:rFonts w:ascii="Arial" w:hAnsi="Arial" w:cs="Arial"/>
          <w:bCs/>
          <w:noProof/>
        </w:rPr>
        <w:t>(Landin Basterra et al., 2025)</w:t>
      </w:r>
      <w:r w:rsidR="00995832" w:rsidRPr="00F81FA2">
        <w:rPr>
          <w:rFonts w:ascii="Arial" w:hAnsi="Arial" w:cs="Arial"/>
          <w:bCs/>
        </w:rPr>
        <w:fldChar w:fldCharType="end"/>
      </w:r>
      <w:r w:rsidR="00995832" w:rsidRPr="00F81FA2">
        <w:rPr>
          <w:rFonts w:ascii="Arial" w:hAnsi="Arial" w:cs="Arial"/>
          <w:bCs/>
        </w:rPr>
        <w:t>.</w:t>
      </w:r>
    </w:p>
    <w:p w14:paraId="67380E45" w14:textId="77777777" w:rsidR="00523E91" w:rsidRDefault="00523E91" w:rsidP="000377B1">
      <w:pPr>
        <w:pStyle w:val="Body"/>
        <w:spacing w:after="0"/>
        <w:ind w:firstLine="567"/>
      </w:pPr>
    </w:p>
    <w:p w14:paraId="796C2325" w14:textId="30772E4D" w:rsidR="00995832" w:rsidRDefault="00C06A87" w:rsidP="000377B1">
      <w:pPr>
        <w:pStyle w:val="Body"/>
        <w:spacing w:after="0"/>
        <w:ind w:firstLine="567"/>
        <w:rPr>
          <w:rFonts w:ascii="Arial" w:hAnsi="Arial" w:cs="Arial"/>
          <w:bCs/>
        </w:rPr>
      </w:pPr>
      <w:r>
        <w:lastRenderedPageBreak/>
        <w:t>The absence of an independent effect for women’s role in the final model should not be interpreted as indicating that women’s roles are unimportant. Rather, it may reflect (i) the multidimensionality of empowerment and gender roles, (ii) variation in how “role” is measured and operationalized, and (iii) context-specific pathways that operate through particular empowerment domains or interact with structural conditions. Multi-country evidence using SWPER domains suggests that different empowerment components (e.g., attitudes toward violence, social independence, and decision-making) relate to child anthropometric outcomes in ways that vary with broader gender-inequality contexts, implying that “women’s role” may operate through specific domains or effect modification rather than appearing as a uniform main effect in a single-site regression</w:t>
      </w:r>
      <w:r>
        <w:t xml:space="preserve"> </w:t>
      </w:r>
      <w:r w:rsidR="00995832" w:rsidRPr="00F81FA2">
        <w:rPr>
          <w:rFonts w:ascii="Arial" w:hAnsi="Arial" w:cs="Arial"/>
          <w:bCs/>
        </w:rPr>
        <w:fldChar w:fldCharType="begin" w:fldLock="1"/>
      </w:r>
      <w:r w:rsidR="00C97C17">
        <w:rPr>
          <w:rFonts w:ascii="Arial" w:hAnsi="Arial" w:cs="Arial"/>
          <w:bCs/>
        </w:rPr>
        <w:instrText>ADDIN CSL_CITATION {"citationItems":[{"id":"ITEM-1","itemData":{"DOI":"10.1016/j.ssmph.2024.101651","ISSN":"23528273","abstract":"Background: Child undernutrition remains a major global health issue, particularly in sub-Saharan Africa (SSA). Given the important role mothers play in early childhood health and development, we examined how individual-level women's empowerment and country-level Gender Inequality Index (GII) are jointly related with child undernutrition in SSA. Methods: We pooled recent Demographic and Health Surveys from 28 SSA countries. For 137,699 children &lt;5 years old, undernutrition was defined using anthropometric failures (stunting, underweight, wasting). Women's empowerment was assessed using three domains of Survey-based Women's EmPowERment (SWPER) index: attitude to violence, social independence, and decision-making; and country-level gender inequality was measured using GII from United Nations Development Programme. Three-level logistic regression was conducted to examine the joint associations of SWPER and GII as well as their interactions with child anthropometric failures, after adjusting for sociodemographic covariates. Results: Overall, 32.85% of children were stunted, 17.63% were underweight, and 6.68% had wasting. Children of mothers with low-level of empowerment for all domains of SWPER had higher odds of stunting (attitude to violence: OR=1.15; 95% CI, 1.11-1.19; social independence: OR=1.21; 95% CI, 1.17-1.25; decision-making: OR=1.16; 95% CI, 1.12-1.20), and consistent results were found for underweight and wasting. Independent of women's empowerment, country-level GII increased the probability of underweight (ranging ORs=1.46; 95% CI, 1.15-1.85 to 1.50; 95% CI, 1.18-1.90) and wasting (ranging ORs=1.56; 95% CI, 1.24-1.97 to 1.61; 95% CI, 1.27-2.03). Significant interaction was found between women's empowerment and country-level GII for stunting and underweight (p&lt;0.05). Conclusions: In SSA countries with greater gender inequality, improving women's social independence and decision-making power in particular can reduce their children's risk of anthropometric failures. Policies and interventions targeted at strengthening women's empowerment should consider the degree of gender inequality in each country.","author":[{"dropping-particle":"","family":"Eom","given":"Yun Jung","non-dropping-particle":"","parse-names":false,"suffix":""},{"dropping-particle":"","family":"Chi","given":"Hyejun","non-dropping-particle":"","parse-names":false,"suffix":""},{"dropping-particle":"","family":"Jung","given":"Sohee","non-dropping-particle":"","parse-names":false,"suffix":""},{"dropping-particle":"","family":"Kim","given":"Jinseo","non-dropping-particle":"","parse-names":false,"suffix":""},{"dropping-particle":"","family":"Jeong","given":"Joshua","non-dropping-particle":"","parse-names":false,"suffix":""},{"dropping-particle":"V.","family":"Subramanian","given":"S.","non-dropping-particle":"","parse-names":false,"suffix":""},{"dropping-particle":"","family":"Kim","given":"Rockli","non-dropping-particle":"","parse-names":false,"suffix":""}],"container-title":"SSM - Population Health","id":"ITEM-1","issue":"March","issued":{"date-parts":[["2024"]]},"page":"101651","publisher":"Elsevier Ltd","title":"Women's empowerment and child anthropometric failures across 28 sub-Saharan African countries: A cross-level interaction by Gender Inequality Index","type":"article-journal","volume":"26"},"uris":["http://www.mendeley.com/documents/?uuid=0d4ab9c0-3401-4e91-b49a-e8259c33a606"]}],"mendeley":{"formattedCitation":"(Eom et al., 2024)","plainTextFormattedCitation":"(Eom et al., 2024)","previouslyFormattedCitation":"(Eom et al., 2024)"},"properties":{"noteIndex":0},"schema":"https://github.com/citation-style-language/schema/raw/master/csl-citation.json"}</w:instrText>
      </w:r>
      <w:r w:rsidR="00995832" w:rsidRPr="00F81FA2">
        <w:rPr>
          <w:rFonts w:ascii="Arial" w:hAnsi="Arial" w:cs="Arial"/>
          <w:bCs/>
        </w:rPr>
        <w:fldChar w:fldCharType="separate"/>
      </w:r>
      <w:r w:rsidR="00F262B6" w:rsidRPr="00F262B6">
        <w:rPr>
          <w:rFonts w:ascii="Arial" w:hAnsi="Arial" w:cs="Arial"/>
          <w:bCs/>
          <w:noProof/>
        </w:rPr>
        <w:t>(Eom et al., 2024)</w:t>
      </w:r>
      <w:r w:rsidR="00995832" w:rsidRPr="00F81FA2">
        <w:rPr>
          <w:rFonts w:ascii="Arial" w:hAnsi="Arial" w:cs="Arial"/>
          <w:bCs/>
        </w:rPr>
        <w:fldChar w:fldCharType="end"/>
      </w:r>
      <w:r w:rsidR="00995832" w:rsidRPr="00F81FA2">
        <w:rPr>
          <w:rFonts w:ascii="Arial" w:hAnsi="Arial" w:cs="Arial"/>
          <w:bCs/>
        </w:rPr>
        <w:t>.</w:t>
      </w:r>
    </w:p>
    <w:p w14:paraId="3EA0017B" w14:textId="21F6E190" w:rsidR="00C06A87" w:rsidRDefault="00C06A87" w:rsidP="000377B1">
      <w:pPr>
        <w:pStyle w:val="Body"/>
        <w:spacing w:after="0"/>
        <w:ind w:firstLine="567"/>
        <w:rPr>
          <w:rFonts w:ascii="Arial" w:hAnsi="Arial" w:cs="Arial"/>
          <w:bCs/>
        </w:rPr>
      </w:pPr>
      <w:r>
        <w:t xml:space="preserve">The model’s R² = 0.314 indicates that substantial variation in the program score is explained by factors beyond the personal factors examined here. Several additional domains are plausibly relevant. First, household food security and dietary constraints: evidence syntheses indicate that food insecurity is frequently associated with stunting risk in cohort studies, although pooled estimates can vary across contexts—suggesting that food access and stability may condition whether positive attitudes can be enacted as consistent feeding practices </w:t>
      </w:r>
      <w:r w:rsidR="000377B1" w:rsidRPr="00F81FA2">
        <w:rPr>
          <w:rFonts w:ascii="Arial" w:hAnsi="Arial" w:cs="Arial"/>
          <w:bCs/>
        </w:rPr>
        <w:fldChar w:fldCharType="begin" w:fldLock="1"/>
      </w:r>
      <w:r w:rsidR="000377B1">
        <w:rPr>
          <w:rFonts w:ascii="Arial" w:hAnsi="Arial" w:cs="Arial"/>
          <w:bCs/>
        </w:rPr>
        <w:instrText>ADDIN CSL_CITATION {"citationItems":[{"id":"ITEM-1","itemData":{"DOI":"10.1111/mcn.13609","ISSN":"1740-8695","PMID":"38196291","abstract":"Household food insecurity (HFI) during childhood is associated with poor dietary diversity and malnutrition, placing children's growth at risk. Children with growth disorders, such as stunting, are more likely to have poor cognition and educational performance, lower economic status, and an increased risk of nutrition</w:instrText>
      </w:r>
      <w:r w:rsidR="000377B1">
        <w:rPr>
          <w:rFonts w:ascii="Cambria Math" w:hAnsi="Cambria Math" w:cs="Cambria Math"/>
          <w:bCs/>
        </w:rPr>
        <w:instrText>‐</w:instrText>
      </w:r>
      <w:r w:rsidR="000377B1">
        <w:rPr>
          <w:rFonts w:ascii="Arial" w:hAnsi="Arial" w:cs="Arial"/>
          <w:bCs/>
        </w:rPr>
        <w:instrText>related chronic diseases in adulthood. Our study aimed to systematically review and conduct a meta</w:instrText>
      </w:r>
      <w:r w:rsidR="000377B1">
        <w:rPr>
          <w:rFonts w:ascii="Cambria Math" w:hAnsi="Cambria Math" w:cs="Cambria Math"/>
          <w:bCs/>
        </w:rPr>
        <w:instrText>‐</w:instrText>
      </w:r>
      <w:r w:rsidR="000377B1">
        <w:rPr>
          <w:rFonts w:ascii="Arial" w:hAnsi="Arial" w:cs="Arial"/>
          <w:bCs/>
        </w:rPr>
        <w:instrText>analysis of cohort studies investigating the association between HFI and stunting in children aged 0−59 months. Peer</w:instrText>
      </w:r>
      <w:r w:rsidR="000377B1">
        <w:rPr>
          <w:rFonts w:ascii="Cambria Math" w:hAnsi="Cambria Math" w:cs="Cambria Math"/>
          <w:bCs/>
        </w:rPr>
        <w:instrText>‐</w:instrText>
      </w:r>
      <w:r w:rsidR="000377B1">
        <w:rPr>
          <w:rFonts w:ascii="Arial" w:hAnsi="Arial" w:cs="Arial"/>
          <w:bCs/>
        </w:rPr>
        <w:instrText>reviewed and grey literature were systematically searched in electronic databases with no language or date restrictions. Two reviewers independently assessed the studies for pre</w:instrText>
      </w:r>
      <w:r w:rsidR="000377B1">
        <w:rPr>
          <w:rFonts w:ascii="Cambria Math" w:hAnsi="Cambria Math" w:cs="Cambria Math"/>
          <w:bCs/>
        </w:rPr>
        <w:instrText>‐</w:instrText>
      </w:r>
      <w:r w:rsidR="000377B1">
        <w:rPr>
          <w:rFonts w:ascii="Arial" w:hAnsi="Arial" w:cs="Arial"/>
          <w:bCs/>
        </w:rPr>
        <w:instrText>established eligibility criteria. Data were extracted using a standard protocol. Random</w:instrText>
      </w:r>
      <w:r w:rsidR="000377B1">
        <w:rPr>
          <w:rFonts w:ascii="Cambria Math" w:hAnsi="Cambria Math" w:cs="Cambria Math"/>
          <w:bCs/>
        </w:rPr>
        <w:instrText>‐</w:instrText>
      </w:r>
      <w:r w:rsidR="000377B1">
        <w:rPr>
          <w:rFonts w:ascii="Arial" w:hAnsi="Arial" w:cs="Arial"/>
          <w:bCs/>
        </w:rPr>
        <w:instrText>effects meta</w:instrText>
      </w:r>
      <w:r w:rsidR="000377B1">
        <w:rPr>
          <w:rFonts w:ascii="Cambria Math" w:hAnsi="Cambria Math" w:cs="Cambria Math"/>
          <w:bCs/>
        </w:rPr>
        <w:instrText>‐</w:instrText>
      </w:r>
      <w:r w:rsidR="000377B1">
        <w:rPr>
          <w:rFonts w:ascii="Arial" w:hAnsi="Arial" w:cs="Arial"/>
          <w:bCs/>
        </w:rPr>
        <w:instrText>analysis models were used, and I 2 &gt; 40% indicated high heterogeneity across studies. We used the Grading of Recommendations Assessment, Development, and Evaluation system to assess the quality of the evidence. Nine cohort studies comprising 46,300 children were included. Approximately 80% ( n = 7) of the studies found a positive association between HFI and stunting. Pooled odds ratio was 1.00 (95% confidence interval [CI]: 0.87−1.14; I 2 : 76.14%). The pooled hazard ratio between moderate and severe HFI and stunting was 1.02 (95% CI: 0.84−1.22; I 2 : 85.96%). Due to high heterogeneity, the quality of evidence was very low. Individual studies showed an association between HFI and stunting in children aged 0–59 months; however, this association was not sustained in the pooled analysis, possibly because of high heterogeneity across studies.","author":[{"dropping-particle":"","family":"Patriota","given":"Érika S. O.","non-dropping-particle":"","parse-names":false,"suffix":""},{"dropping-particle":"","family":"Abrantes","given":"Lívia C. S.","non-dropping-particle":"","parse-names":false,"suffix":""},{"dropping-particle":"","family":"Figueiredo","given":"Ana C. M. G.","non-dropping-particle":"","parse-names":false,"suffix":""},{"dropping-particle":"","family":"Pizato","given":"Nathalia","non-dropping-particle":"","parse-names":false,"suffix":""},{"dropping-particle":"","family":"Buccini","given":"Gabriela","non-dropping-particle":"","parse-names":false,"suffix":""},{"dropping-particle":"","family":"Gonçalves","given":"Vivian S. S.","non-dropping-particle":"","parse-names":false,"suffix":""}],"container-title":"Maternal &amp; Child Nutrition","id":"ITEM-1","issue":"2","issued":{"date-parts":[["2024","4","9"]]},"page":"1-15","title":"Association between household food insecurity and stunting in children aged 0−59 months: Systematic review and meta</w:instrText>
      </w:r>
      <w:r w:rsidR="000377B1">
        <w:rPr>
          <w:rFonts w:ascii="Cambria Math" w:hAnsi="Cambria Math" w:cs="Cambria Math"/>
          <w:bCs/>
        </w:rPr>
        <w:instrText>‐</w:instrText>
      </w:r>
      <w:r w:rsidR="000377B1">
        <w:rPr>
          <w:rFonts w:ascii="Arial" w:hAnsi="Arial" w:cs="Arial"/>
          <w:bCs/>
        </w:rPr>
        <w:instrText>analysis of cohort studies","type":"article-journal","volume":"20"},"uris":["http://www.mendeley.com/documents/?uuid=7f1a0f86-004c-455c-a0b3-f25c8c622905"]}],"mendeley":{"formattedCitation":"(Patriota et al., 2024)","plainTextFormattedCitation":"(Patriota et al., 2024)","previouslyFormattedCitation":"(Patriota et al., 2024)"},"properties":{"noteIndex":0},"schema":"https://github.com/citation-style-language/schema/raw/master/csl-citation.json"}</w:instrText>
      </w:r>
      <w:r w:rsidR="000377B1" w:rsidRPr="00F81FA2">
        <w:rPr>
          <w:rFonts w:ascii="Arial" w:hAnsi="Arial" w:cs="Arial"/>
          <w:bCs/>
        </w:rPr>
        <w:fldChar w:fldCharType="separate"/>
      </w:r>
      <w:r w:rsidR="000377B1" w:rsidRPr="00F262B6">
        <w:rPr>
          <w:rFonts w:ascii="Arial" w:hAnsi="Arial" w:cs="Arial"/>
          <w:bCs/>
          <w:noProof/>
        </w:rPr>
        <w:t>(Patriota et al., 2024)</w:t>
      </w:r>
      <w:r w:rsidR="000377B1" w:rsidRPr="00F81FA2">
        <w:rPr>
          <w:rFonts w:ascii="Arial" w:hAnsi="Arial" w:cs="Arial"/>
          <w:bCs/>
        </w:rPr>
        <w:fldChar w:fldCharType="end"/>
      </w:r>
      <w:r>
        <w:t xml:space="preserve">. Second, WASH and infection-related pathways may blunt growth responses even when feeding improves; long-term follow-up from the SHINE program highlights the importance and complexity of early-life WASH/IYCF pathways for later child outcomes </w:t>
      </w:r>
      <w:r w:rsidR="000377B1" w:rsidRPr="00F81FA2">
        <w:rPr>
          <w:rFonts w:ascii="Arial" w:hAnsi="Arial" w:cs="Arial"/>
          <w:bCs/>
        </w:rPr>
        <w:fldChar w:fldCharType="begin" w:fldLock="1"/>
      </w:r>
      <w:r w:rsidR="000377B1">
        <w:rPr>
          <w:rFonts w:ascii="Arial" w:hAnsi="Arial" w:cs="Arial"/>
          <w:bCs/>
        </w:rPr>
        <w:instrText>ADDIN CSL_CITATION {"citationItems":[{"id":"ITEM-1","itemData":{"DOI":"10.1016/j.eclinm.2024.102946","ISSN":"25895370","abstract":"Background: Few trials have explored long-term effects of interventions designed to reduce child stunting. We evaluated school-age outcomes in rural Zimbabwean children who received cluster-randomised water, sanitation and hygiene (WASH) and/or infant and young child feeding (IYCF) interventions from pregnancy up to 18 months of age. Methods: The Sanitation Hygiene Infant Nutrition Efficacy (SHINE) trial enrolled pregnant women from two rural Zimbabwean districts (Chirumanzu and Shurugwi) between 2012 and 2015, and cluster-randomised them using a 2 × 2 factorial design to standard-of-care, WASH, IYCF, or combined WASH &amp; IYCF, with a co-primary outcome of height-for-age Z-score and haemoglobin at 18 months (clinicaltrials.gov NCT01824940). Children who were HIV-unexposed, age 7 years, and still living in Shurugwi district were eligible for this follow-up study (registered at PACTR 202201828512110) and measured between 1st April 2021 and 30th September 2022. The primary outcome at 7 years was cognitive function using the Kaufman Assessment Battery for Children (KABC-II). Secondary outcomes were executive function, literacy and numeracy, fine motor skills, socioemotional function, handgrip strength, broad jump distance, shuttle-run test distance, anthropometry, lean mass index, and skinfold thicknesses. Study nurses conducting assessments were blinded to intervention arm. Analysis followed a pre-registered statistical analysis plan. Intention-to-treat analyses using generalized estimating equations were used to assess the long-term effects of WASH and IYCF on each outcome, leveraging the factorial trial design. A pre-specified subgroup analysis by child sex was also performed. Findings: Among 3989 HIV-negative women, 3676 children were assessed at age 18 months; of these, 1002 (510 female) were assessed at mean (SD) age 7.3 (0.2) years. There was no effect of IYCF or WASH on the KABC-II score or secondary cognitive outcomes, except a small improvement in socioemotional function in WASH arms (−0.98 points, 95% CI −1.73, −0.22, p = 0.01). Children in IYCF arms had higher handgrip strength (0.28 Kg, 95% CI 0.02, 0.53, p = 0.03); however, in the pre-specified subgroup analysis, improved handgrip strength was seen only in boys (0.53 Kg, 95% CI 0.19, 0.87 p = 0.002). There were no significant effects of either intervention on other outcomes. Interpretation: Early-life IYCF and WASH led to few functional benefits by school-age. Interventions that are more compreh…","author":[{"dropping-particle":"","family":"Piper","given":"Joe D.","non-dropping-particle":"","parse-names":false,"suffix":""},{"dropping-particle":"","family":"Mazhanga","given":"Clever","non-dropping-particle":"","parse-names":false,"suffix":""},{"dropping-particle":"","family":"Mwapaura","given":"Marian","non-dropping-particle":"","parse-names":false,"suffix":""},{"dropping-particle":"","family":"Mapako","given":"Gloria","non-dropping-particle":"","parse-names":false,"suffix":""},{"dropping-particle":"","family":"Mapurisa","given":"Idah","non-dropping-particle":"","parse-names":false,"suffix":""},{"dropping-particle":"","family":"Mashedze","given":"Tsitsi","non-dropping-particle":"","parse-names":false,"suffix":""},{"dropping-particle":"","family":"Munyama","given":"Eunice","non-dropping-particle":"","parse-names":false,"suffix":""},{"dropping-particle":"","family":"Kuona","given":"Maria","non-dropping-particle":"","parse-names":false,"suffix":""},{"dropping-particle":"","family":"Mashiri","given":"Thombizodwa","non-dropping-particle":"","parse-names":false,"suffix":""},{"dropping-particle":"","family":"Sibanda","given":"Kundai","non-dropping-particle":"","parse-names":false,"suffix":""},{"dropping-particle":"","family":"Matemavi","given":"Dzidzai","non-dropping-particle":"","parse-names":false,"suffix":""},{"dropping-particle":"","family":"Tichagwa","given":"Monica","non-dropping-particle":"","parse-names":false,"suffix":""},{"dropping-particle":"","family":"Nyoni","given":"Soneni","non-dropping-particle":"","parse-names":false,"suffix":""},{"dropping-particle":"","family":"Saidi","given":"Asinje","non-dropping-particle":"","parse-names":false,"suffix":""},{"dropping-particle":"","family":"Mangwende","given":"Manasa","non-dropping-particle":"","parse-names":false,"suffix":""},{"dropping-particle":"","family":"Mbewe","given":"Gabriel","non-dropping-particle":"","parse-names":false,"suffix":""},{"dropping-particle":"","family":"Chidhanguro","given":"Dzivaidzo","non-dropping-particle":"","parse-names":false,"suffix":""},{"dropping-particle":"","family":"Mpofu","given":"Eddington","non-dropping-particle":"","parse-names":false,"suffix":""},{"dropping-particle":"","family":"Tome","given":"Joice","non-dropping-particle":"","parse-names":false,"suffix":""},{"dropping-particle":"","family":"Mutasa","given":"Batsirai","non-dropping-particle":"","parse-names":false,"suffix":""},{"dropping-particle":"","family":"Chasekwa","given":"Bernard","non-dropping-particle":"","parse-names":false,"suffix":""},{"dropping-particle":"","family":"Njovo","given":"Handrea","non-dropping-particle":"","parse-names":false,"suffix":""},{"dropping-particle":"","family":"Nyachowe","given":"Chandiwana","non-dropping-particle":"","parse-names":false,"suffix":""},{"dropping-particle":"","family":"Muchekeza","given":"Mary","non-dropping-particle":"","parse-names":false,"suffix":""},{"dropping-particle":"","family":"Sauramba","given":"Virginia","non-dropping-particle":"","parse-names":false,"suffix":""},{"dropping-particle":"","family":"Gladstone","given":"Melissa J.","non-dropping-particle":"","parse-names":false,"suffix":""},{"dropping-particle":"","family":"Wells","given":"Jonathan C.","non-dropping-particle":"","parse-names":false,"suffix":""},{"dropping-particle":"","family":"Allen","given":"Elizabeth","non-dropping-particle":"","parse-names":false,"suffix":""},{"dropping-particle":"","family":"Moulton","given":"Lawrence H.","non-dropping-particle":"","parse-names":false,"suffix":""},{"dropping-particle":"","family":"Smuk","given":"Melanie","non-dropping-particle":"","parse-names":false,"suffix":""},{"dropping-particle":"","family":"Humphrey","given":"Jean H.","non-dropping-particle":"","parse-names":false,"suffix":""},{"dropping-particle":"","family":"Langhaug","given":"Lisa F.","non-dropping-particle":"","parse-names":false,"suffix":""},{"dropping-particle":"V.","family":"Tavengwa","given":"Naume","non-dropping-particle":"","parse-names":false,"suffix":""},{"dropping-particle":"","family":"Ntozini","given":"Robert","non-dropping-particle":"","parse-names":false,"suffix":""},{"dropping-particle":"","family":"Prendergast","given":"Andrew J.","non-dropping-particle":"","parse-names":false,"suffix":""}],"container-title":"eClinicalMedicine","id":"ITEM-1","issued":{"date-parts":[["2024"]]},"page":"102946","publisher":"The Authors","title":"School-age growth and development following infant feeding and/or water, sanitation, and hygiene interventions in rural Zimbabwe: long-term follow-up of a cluster-randomised trial","type":"article-journal","volume":"78"},"uris":["http://www.mendeley.com/documents/?uuid=9ee6bad7-4a41-4d3f-89f4-fcbc29849e38"]}],"mendeley":{"formattedCitation":"(Piper et al., 2024)","plainTextFormattedCitation":"(Piper et al., 2024)","previouslyFormattedCitation":"(Piper et al., 2024)"},"properties":{"noteIndex":0},"schema":"https://github.com/citation-style-language/schema/raw/master/csl-citation.json"}</w:instrText>
      </w:r>
      <w:r w:rsidR="000377B1" w:rsidRPr="00F81FA2">
        <w:rPr>
          <w:rFonts w:ascii="Arial" w:hAnsi="Arial" w:cs="Arial"/>
          <w:bCs/>
        </w:rPr>
        <w:fldChar w:fldCharType="separate"/>
      </w:r>
      <w:r w:rsidR="000377B1" w:rsidRPr="00F262B6">
        <w:rPr>
          <w:rFonts w:ascii="Arial" w:hAnsi="Arial" w:cs="Arial"/>
          <w:bCs/>
          <w:noProof/>
        </w:rPr>
        <w:t>(Piper et al., 2024)</w:t>
      </w:r>
      <w:r w:rsidR="000377B1" w:rsidRPr="00F81FA2">
        <w:rPr>
          <w:rFonts w:ascii="Arial" w:hAnsi="Arial" w:cs="Arial"/>
          <w:bCs/>
        </w:rPr>
        <w:fldChar w:fldCharType="end"/>
      </w:r>
      <w:r w:rsidR="000377B1" w:rsidRPr="00F81FA2">
        <w:rPr>
          <w:rFonts w:ascii="Arial" w:hAnsi="Arial" w:cs="Arial"/>
          <w:bCs/>
        </w:rPr>
        <w:t xml:space="preserve">. </w:t>
      </w:r>
      <w:r>
        <w:t>Third, service quality and continuity (e.g., counseling intensity, follow-up mechanisms, and referral responsiveness) likely shape whether favorable attitudes are reinforced into stable routines.</w:t>
      </w:r>
    </w:p>
    <w:p w14:paraId="768550D3" w14:textId="77DD3022" w:rsidR="00995832" w:rsidRDefault="000377B1" w:rsidP="000377B1">
      <w:pPr>
        <w:pStyle w:val="Body"/>
        <w:spacing w:after="0"/>
        <w:ind w:firstLine="567"/>
        <w:rPr>
          <w:rFonts w:ascii="Arial" w:hAnsi="Arial" w:cs="Arial"/>
          <w:sz w:val="24"/>
          <w:szCs w:val="24"/>
        </w:rPr>
      </w:pPr>
      <w:r>
        <w:t>Taken together, the findings suggest that strengthening attitude remains a relevant target for behavior-change efforts, but it should be framed as capability-oriented rather than purely informational. Practical components may include: (1) cognitive elements—raising risk awareness and clarifying concrete next steps; (2) affective elements—building relevance through empathetic, context-appropriate communication; and (3) implementation supports—converting readiness into routine action through reminders, micro-plans, and reduced access barriers (e.g., feasible scheduling for growth monitoring, locally viable menu alternatives, and clear referral cues). At the same time, contemporary trials showing improvements in knowledge and practices without corresponding growth effects caution against overreliance on communication alone; integrating behavior-change strategies with enabling supports (e.g., improved food access, service-quality strengthening, and infection prevention/WASH inputs) is more consistent with the current evidence base</w:t>
      </w:r>
      <w:r>
        <w:t xml:space="preserve"> </w:t>
      </w:r>
      <w:r w:rsidR="00C97C17" w:rsidRPr="00317A5C">
        <w:rPr>
          <w:rFonts w:ascii="Arial" w:hAnsi="Arial" w:cs="Arial"/>
        </w:rPr>
        <w:fldChar w:fldCharType="begin" w:fldLock="1"/>
      </w:r>
      <w:r w:rsidR="00C97C17" w:rsidRPr="00317A5C">
        <w:rPr>
          <w:rFonts w:ascii="Arial" w:hAnsi="Arial" w:cs="Arial"/>
        </w:rPr>
        <w:instrText>ADDIN CSL_CITATION {"citationItems":[{"id":"ITEM-1","itemData":{"DOI":"10.1111/mcn.13802","ISSN":"17408709","PMID":"40040346","abstract":"The co-existence of childhood stunting and obesity is a public health problem in Guatemala and Latin America. The objective of this study was to assess the effects of unsweetened small-quantity lipid-based nutrient supplements (SQ-LNS) coupled with a behavior change communication (BCC) strategy on the double burden of malnutrition. We conducted a three-arm randomized-control trial with two-stage cluster sampling of households with children under 4.5 months or a mother in the third trimester of pregnancy at baseline from 76 communities in Baja-Verapaz, Guatemala. Some 1268 households were randomly assigned to SQ-LNS or micronutrient powders (MNPs) paired with a multilevel participatory-ludic BCC strategy, or to MNPs only. Measures of mothers' nutrition knowledge and practices were collected at baseline and endline. Children's height, weight, and hemoglobin concentration were measured at endline. Treatment effects were estimated using regression models. The BCC strategy boosted caregiver nutrition knowledge from 4.2 (95% CI: 2.7, 5.7) to 4.6 percentage points (95% CI: 3.1, 6.1). Significant effects on nutrition practices of 3.0 percentage points (95% CI: 1.2, 4.8) were found only for caregivers with children receiving SQ-LNS. We found no detectable treatment effects on stunting or anemia. However, children exposed to SQ-LNS and the BCC strategy were 2.6 percentage points (95% CI: −5.0, −0.2) less likely to be overweight or obese (54.1% lower than the group receiving MNPs only). An intervention coupling a multilevel participatory-ludic BCC strategy with the use of unsweetened SQ-LNS holds promise for the prevention of childhood overweight and obesity, yet complementary interventions are required to address non-nutritional factors related to stunting in Guatemala.","author":[{"dropping-particle":"","family":"Acero","given":"Carolina Gonzalez","non-dropping-particle":"","parse-names":false,"suffix":""},{"dropping-particle":"","family":"Martinez","given":"Sebastian","non-dropping-particle":"","parse-names":false,"suffix":""},{"dropping-particle":"","family":"Perez-Exposito","given":"Ana","non-dropping-particle":"","parse-names":false,"suffix":""},{"dropping-particle":"","family":"Winters","given":"Solis","non-dropping-particle":"","parse-names":false,"suffix":""}],"container-title":"Maternal and Child Nutrition","id":"ITEM-1","issue":"3","issued":{"date-parts":[["2025"]]},"page":"1-15","title":"Effect of a Behavioral Change Communication Strategy Coupled With Small-Quantity Lipid-Based or Micro-Nutrient Supplements on Stunting and Obesity in Children in Baja Verapaz, Guatemala: Results From a Cluster Randomized Controlled Trial","type":"article-journal","volume":"21"},"uris":["http://www.mendeley.com/documents/?uuid=b3ad4a2c-2fde-49e5-b4e4-f80380c434f0"]}],"mendeley":{"formattedCitation":"(Acero et al., 2025)","plainTextFormattedCitation":"(Acero et al., 2025)","previouslyFormattedCitation":"(Acero et al., 2025)"},"properties":{"noteIndex":0},"schema":"https://github.com/citation-style-language/schema/raw/master/csl-citation.json"}</w:instrText>
      </w:r>
      <w:r w:rsidR="00C97C17" w:rsidRPr="00317A5C">
        <w:rPr>
          <w:rFonts w:ascii="Arial" w:hAnsi="Arial" w:cs="Arial"/>
        </w:rPr>
        <w:fldChar w:fldCharType="separate"/>
      </w:r>
      <w:r w:rsidR="00C97C17" w:rsidRPr="00317A5C">
        <w:rPr>
          <w:rFonts w:ascii="Arial" w:hAnsi="Arial" w:cs="Arial"/>
          <w:noProof/>
        </w:rPr>
        <w:t>(Acero et al., 2025)</w:t>
      </w:r>
      <w:r w:rsidR="00C97C17" w:rsidRPr="00317A5C">
        <w:rPr>
          <w:rFonts w:ascii="Arial" w:hAnsi="Arial" w:cs="Arial"/>
        </w:rPr>
        <w:fldChar w:fldCharType="end"/>
      </w:r>
      <w:r w:rsidR="00C97C17" w:rsidRPr="00317A5C">
        <w:rPr>
          <w:rFonts w:ascii="Arial" w:hAnsi="Arial" w:cs="Arial"/>
        </w:rPr>
        <w:t>.</w:t>
      </w:r>
    </w:p>
    <w:p w14:paraId="69767D88" w14:textId="000BE91F" w:rsidR="00995832" w:rsidRDefault="00995832" w:rsidP="00441B6F">
      <w:pPr>
        <w:pStyle w:val="Head1"/>
        <w:spacing w:after="0"/>
        <w:jc w:val="both"/>
        <w:rPr>
          <w:rFonts w:ascii="Arial" w:hAnsi="Arial" w:cs="Arial"/>
        </w:rPr>
      </w:pPr>
    </w:p>
    <w:p w14:paraId="23094DC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9FEE6" w14:textId="77777777" w:rsidR="00790ADA" w:rsidRPr="00FB3A86" w:rsidRDefault="00790ADA" w:rsidP="00441B6F">
      <w:pPr>
        <w:pStyle w:val="ConcHead"/>
        <w:spacing w:after="0"/>
        <w:jc w:val="both"/>
        <w:rPr>
          <w:rFonts w:ascii="Arial" w:hAnsi="Arial" w:cs="Arial"/>
        </w:rPr>
      </w:pPr>
    </w:p>
    <w:p w14:paraId="7D0AECA8" w14:textId="6017880C" w:rsidR="00F81FA2" w:rsidRDefault="00F81FA2" w:rsidP="00F81FA2">
      <w:pPr>
        <w:pStyle w:val="Body"/>
        <w:spacing w:after="0"/>
        <w:ind w:firstLine="720"/>
        <w:rPr>
          <w:rFonts w:ascii="Arial" w:hAnsi="Arial" w:cs="Arial"/>
        </w:rPr>
      </w:pPr>
      <w:r>
        <w:rPr>
          <w:rFonts w:ascii="Arial" w:hAnsi="Arial" w:cs="Arial"/>
        </w:rPr>
        <w:t xml:space="preserve">This study investigated the personal characteristics that predict the </w:t>
      </w:r>
      <w:r w:rsidR="00CE01C3">
        <w:t>program performance score</w:t>
      </w:r>
      <w:r w:rsidR="00CE01C3">
        <w:t xml:space="preserve"> </w:t>
      </w:r>
      <w:r>
        <w:rPr>
          <w:rFonts w:ascii="Arial" w:hAnsi="Arial" w:cs="Arial"/>
        </w:rPr>
        <w:t>among At-Risk Families (Keluarga Berisiko Stunting; KRS) in Yogyakarta, Indonesia. Employing multiple linear regression with backward elimination, attitude was identified as the sole statistically significant predictor of the KRS program score (B = 2.522; β = 0.560; p &lt; 0.001), accounting for 31.4% of the variance (R² = 0.314). Conversely, motivation and the role of women lost relevance when analyzed together, indicating that desire or role-related characteristics may be inadequate to consistently influence program-related behaviors in the presence of competing limitations and contextual impediments.</w:t>
      </w:r>
    </w:p>
    <w:p w14:paraId="2725EBB5" w14:textId="77777777" w:rsidR="00F81FA2" w:rsidRPr="00496D3F" w:rsidRDefault="00F81FA2" w:rsidP="00F81FA2">
      <w:pPr>
        <w:pStyle w:val="Body"/>
        <w:spacing w:after="0"/>
        <w:ind w:firstLine="720"/>
        <w:rPr>
          <w:rFonts w:ascii="Arial" w:hAnsi="Arial" w:cs="Arial"/>
        </w:rPr>
      </w:pPr>
      <w:r>
        <w:rPr>
          <w:rFonts w:ascii="Arial" w:hAnsi="Arial" w:cs="Arial"/>
        </w:rPr>
        <w:t>These findings suggest that enhancing caregiver attitudes should be a primary focus of behavior-change strategies, specifically by refining risk assessment, perceived advantages, and preparedness for regular preventive actions (e.g., attendance at growth monitoring, timely counseling engagement, and adaptive feeding modifications). The moderate R² suggests that a significant portion of household program performance is influenced by factors beyond individual characteristics, highlighting the necessity of combining attitude-oriented strategies with supportive conditions like service continuity, effective follow-up mechanisms, and household capacity enhancements.</w:t>
      </w:r>
    </w:p>
    <w:p w14:paraId="3AA2D796" w14:textId="144C00D3" w:rsidR="00790ADA" w:rsidRDefault="00790ADA" w:rsidP="00441B6F">
      <w:pPr>
        <w:pStyle w:val="Body"/>
        <w:spacing w:after="0"/>
        <w:rPr>
          <w:rFonts w:ascii="Arial" w:hAnsi="Arial" w:cs="Arial"/>
        </w:rPr>
      </w:pPr>
    </w:p>
    <w:p w14:paraId="0C9B0AED" w14:textId="77777777" w:rsidR="00523E91" w:rsidRPr="00523E91" w:rsidRDefault="00523E91" w:rsidP="00523E91">
      <w:pPr>
        <w:rPr>
          <w:rFonts w:ascii="Arial" w:hAnsi="Arial" w:cs="Arial"/>
          <w:bCs/>
          <w:sz w:val="22"/>
        </w:rPr>
      </w:pPr>
      <w:bookmarkStart w:id="0" w:name="_Hlk219125673"/>
      <w:r w:rsidRPr="00523E91">
        <w:rPr>
          <w:rFonts w:ascii="Arial" w:hAnsi="Arial" w:cs="Arial"/>
          <w:bCs/>
          <w:sz w:val="22"/>
        </w:rPr>
        <w:t>Disclaimer (Artificial Intelligence)</w:t>
      </w:r>
    </w:p>
    <w:p w14:paraId="32FEDCF2" w14:textId="77777777" w:rsidR="00523E91" w:rsidRPr="00523E91" w:rsidRDefault="00523E91" w:rsidP="00523E91">
      <w:pPr>
        <w:pStyle w:val="Body"/>
        <w:spacing w:after="0"/>
        <w:rPr>
          <w:rFonts w:ascii="Arial" w:hAnsi="Arial" w:cs="Arial"/>
        </w:rPr>
      </w:pPr>
      <w:r w:rsidRPr="00523E91">
        <w:rPr>
          <w:rFonts w:ascii="Arial" w:hAnsi="Arial" w:cs="Arial"/>
        </w:rPr>
        <w:t>The author(s) hereby declare that no generative AI technologies (including large language models such as ChatGPT, Copilot, or similar tools, and text-to-image generators) were used in the writing or editing of this manuscript.</w:t>
      </w:r>
    </w:p>
    <w:bookmarkEnd w:id="0"/>
    <w:p w14:paraId="6E1D716F" w14:textId="77777777" w:rsidR="008778D3" w:rsidRPr="00FB3A86" w:rsidRDefault="008778D3" w:rsidP="00441B6F">
      <w:pPr>
        <w:pStyle w:val="Body"/>
        <w:spacing w:after="0"/>
        <w:rPr>
          <w:rFonts w:ascii="Arial" w:hAnsi="Arial" w:cs="Arial"/>
        </w:rPr>
      </w:pPr>
    </w:p>
    <w:p w14:paraId="35542120" w14:textId="77777777" w:rsidR="00D821A2" w:rsidRDefault="00D821A2" w:rsidP="00441B6F">
      <w:pPr>
        <w:pStyle w:val="ReferHead"/>
        <w:spacing w:after="0"/>
        <w:jc w:val="both"/>
        <w:rPr>
          <w:rFonts w:ascii="Arial" w:hAnsi="Arial" w:cs="Arial"/>
        </w:rPr>
      </w:pPr>
    </w:p>
    <w:p w14:paraId="43B35587" w14:textId="6E906A8A" w:rsidR="00B01FCD" w:rsidRDefault="00B01FCD" w:rsidP="00441B6F">
      <w:pPr>
        <w:pStyle w:val="ReferHead"/>
        <w:spacing w:after="0"/>
        <w:jc w:val="both"/>
        <w:rPr>
          <w:rFonts w:ascii="Arial" w:hAnsi="Arial" w:cs="Arial"/>
        </w:rPr>
      </w:pPr>
      <w:r w:rsidRPr="00FB3A86">
        <w:rPr>
          <w:rFonts w:ascii="Arial" w:hAnsi="Arial" w:cs="Arial"/>
        </w:rPr>
        <w:t>References</w:t>
      </w:r>
    </w:p>
    <w:p w14:paraId="7F8D612A" w14:textId="67B18786" w:rsidR="00A056D2" w:rsidRPr="008B2B3A" w:rsidRDefault="002C5B95"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rPr>
        <w:fldChar w:fldCharType="begin" w:fldLock="1"/>
      </w:r>
      <w:r w:rsidRPr="008B2B3A">
        <w:rPr>
          <w:rFonts w:ascii="Times New Roman" w:hAnsi="Times New Roman"/>
        </w:rPr>
        <w:instrText xml:space="preserve">ADDIN Mendeley Bibliography CSL_BIBLIOGRAPHY </w:instrText>
      </w:r>
      <w:r w:rsidRPr="008B2B3A">
        <w:rPr>
          <w:rFonts w:ascii="Times New Roman" w:hAnsi="Times New Roman"/>
        </w:rPr>
        <w:fldChar w:fldCharType="separate"/>
      </w:r>
      <w:r w:rsidR="00A056D2" w:rsidRPr="008B2B3A">
        <w:rPr>
          <w:rFonts w:ascii="Times New Roman" w:hAnsi="Times New Roman"/>
          <w:noProof/>
          <w:szCs w:val="24"/>
        </w:rPr>
        <w:t xml:space="preserve">Acero, C. G., Martinez, S., Perez-Exposito, A., &amp; Winters, S. (2025). Effect of a Behavioral Change Communication Strategy Coupled With Small-Quantity Lipid-Based or Micro-Nutrient Supplements on Stunting and Obesity in Children in Baja Verapaz, Guatemala: Results From a Cluster Randomized Controlled Trial. </w:t>
      </w:r>
      <w:r w:rsidR="00A056D2" w:rsidRPr="008B2B3A">
        <w:rPr>
          <w:rFonts w:ascii="Times New Roman" w:hAnsi="Times New Roman"/>
          <w:i/>
          <w:iCs/>
          <w:noProof/>
          <w:szCs w:val="24"/>
        </w:rPr>
        <w:t>Maternal and Child Nutrition</w:t>
      </w:r>
      <w:r w:rsidR="00A056D2" w:rsidRPr="008B2B3A">
        <w:rPr>
          <w:rFonts w:ascii="Times New Roman" w:hAnsi="Times New Roman"/>
          <w:noProof/>
          <w:szCs w:val="24"/>
        </w:rPr>
        <w:t xml:space="preserve">, </w:t>
      </w:r>
      <w:r w:rsidR="00A056D2" w:rsidRPr="008B2B3A">
        <w:rPr>
          <w:rFonts w:ascii="Times New Roman" w:hAnsi="Times New Roman"/>
          <w:i/>
          <w:iCs/>
          <w:noProof/>
          <w:szCs w:val="24"/>
        </w:rPr>
        <w:t>21</w:t>
      </w:r>
      <w:r w:rsidR="00A056D2" w:rsidRPr="008B2B3A">
        <w:rPr>
          <w:rFonts w:ascii="Times New Roman" w:hAnsi="Times New Roman"/>
          <w:noProof/>
          <w:szCs w:val="24"/>
        </w:rPr>
        <w:t>(3), 1–15. https://doi.org/10.1111/mcn.13802</w:t>
      </w:r>
    </w:p>
    <w:p w14:paraId="6DD58396"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Dewidar, O., Shamseer, L., Melendez-Torres, G. J., Akl, E. A., Ramke, J., Wang, X., Oloyede, O., Young, T., Nicholls, S. G., Marshall, Z., Kennedy, M., Hardy, B. J., Rizvi, A., Ghogomu, E., Rader, T., Waddington, H. S., Shea, B., Nkangu, M., Ellingwood, H., … Welch, V. (2025). Improving the Reporting on Health Equity in Observational Research (STROBE-Equity): Extension Checklist and Elaboration. </w:t>
      </w:r>
      <w:r w:rsidRPr="008B2B3A">
        <w:rPr>
          <w:rFonts w:ascii="Times New Roman" w:hAnsi="Times New Roman"/>
          <w:i/>
          <w:iCs/>
          <w:noProof/>
          <w:szCs w:val="24"/>
        </w:rPr>
        <w:t>JAMA Network Open</w:t>
      </w:r>
      <w:r w:rsidRPr="008B2B3A">
        <w:rPr>
          <w:rFonts w:ascii="Times New Roman" w:hAnsi="Times New Roman"/>
          <w:noProof/>
          <w:szCs w:val="24"/>
        </w:rPr>
        <w:t xml:space="preserve">, </w:t>
      </w:r>
      <w:r w:rsidRPr="008B2B3A">
        <w:rPr>
          <w:rFonts w:ascii="Times New Roman" w:hAnsi="Times New Roman"/>
          <w:i/>
          <w:iCs/>
          <w:noProof/>
          <w:szCs w:val="24"/>
        </w:rPr>
        <w:t>8</w:t>
      </w:r>
      <w:r w:rsidRPr="008B2B3A">
        <w:rPr>
          <w:rFonts w:ascii="Times New Roman" w:hAnsi="Times New Roman"/>
          <w:noProof/>
          <w:szCs w:val="24"/>
        </w:rPr>
        <w:t>(9), e2532512. https://doi.org/10.1001/jamanetworkopen.2025.32512</w:t>
      </w:r>
    </w:p>
    <w:p w14:paraId="33261119"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Eom, Y. J., Chi, H., Jung, S., Kim, J., Jeong, J., Subramanian, S. V., &amp; Kim, R. (2024). Women’s empowerment and child anthropometric failures across 28 sub-Saharan African countries: A cross-level interaction by Gender Inequality Index. </w:t>
      </w:r>
      <w:r w:rsidRPr="008B2B3A">
        <w:rPr>
          <w:rFonts w:ascii="Times New Roman" w:hAnsi="Times New Roman"/>
          <w:i/>
          <w:iCs/>
          <w:noProof/>
          <w:szCs w:val="24"/>
        </w:rPr>
        <w:t>SSM - Population Health</w:t>
      </w:r>
      <w:r w:rsidRPr="008B2B3A">
        <w:rPr>
          <w:rFonts w:ascii="Times New Roman" w:hAnsi="Times New Roman"/>
          <w:noProof/>
          <w:szCs w:val="24"/>
        </w:rPr>
        <w:t xml:space="preserve">, </w:t>
      </w:r>
      <w:r w:rsidRPr="008B2B3A">
        <w:rPr>
          <w:rFonts w:ascii="Times New Roman" w:hAnsi="Times New Roman"/>
          <w:i/>
          <w:iCs/>
          <w:noProof/>
          <w:szCs w:val="24"/>
        </w:rPr>
        <w:t>26</w:t>
      </w:r>
      <w:r w:rsidRPr="008B2B3A">
        <w:rPr>
          <w:rFonts w:ascii="Times New Roman" w:hAnsi="Times New Roman"/>
          <w:noProof/>
          <w:szCs w:val="24"/>
        </w:rPr>
        <w:t>(March), 101651. https://doi.org/10.1016/j.ssmph.2024.101651</w:t>
      </w:r>
    </w:p>
    <w:p w14:paraId="566AAC72"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Fink, G., Locks, L. M., Lauer, J. M., Chembe, M., Henderson, S., Sikazwe, D., Billima-Mulenga, T., Parkerson, D., &amp; Rockers, P. C. (2024). The impact of home-installed growth charts and small-quantity lipid-based nutrient supplements (SQ-LNS) on child growth in Zambia: a four-arm parallel open-label cluster randomised controlled trial. </w:t>
      </w:r>
      <w:r w:rsidRPr="008B2B3A">
        <w:rPr>
          <w:rFonts w:ascii="Times New Roman" w:hAnsi="Times New Roman"/>
          <w:i/>
          <w:iCs/>
          <w:noProof/>
          <w:szCs w:val="24"/>
        </w:rPr>
        <w:t>BMJ Global Health</w:t>
      </w:r>
      <w:r w:rsidRPr="008B2B3A">
        <w:rPr>
          <w:rFonts w:ascii="Times New Roman" w:hAnsi="Times New Roman"/>
          <w:noProof/>
          <w:szCs w:val="24"/>
        </w:rPr>
        <w:t xml:space="preserve">, </w:t>
      </w:r>
      <w:r w:rsidRPr="008B2B3A">
        <w:rPr>
          <w:rFonts w:ascii="Times New Roman" w:hAnsi="Times New Roman"/>
          <w:i/>
          <w:iCs/>
          <w:noProof/>
          <w:szCs w:val="24"/>
        </w:rPr>
        <w:t>9</w:t>
      </w:r>
      <w:r w:rsidRPr="008B2B3A">
        <w:rPr>
          <w:rFonts w:ascii="Times New Roman" w:hAnsi="Times New Roman"/>
          <w:noProof/>
          <w:szCs w:val="24"/>
        </w:rPr>
        <w:t>(8), 1–11. https://doi.org/10.1136/bmjgh-2024-015438</w:t>
      </w:r>
    </w:p>
    <w:p w14:paraId="55666C60"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Gómez, R. S., &amp; García, C. G. (2025). </w:t>
      </w:r>
      <w:r w:rsidRPr="008B2B3A">
        <w:rPr>
          <w:rFonts w:ascii="Times New Roman" w:hAnsi="Times New Roman"/>
          <w:i/>
          <w:iCs/>
          <w:noProof/>
          <w:szCs w:val="24"/>
        </w:rPr>
        <w:t>Stepwise regression revisited</w:t>
      </w:r>
      <w:r w:rsidRPr="008B2B3A">
        <w:rPr>
          <w:rFonts w:ascii="Times New Roman" w:hAnsi="Times New Roman"/>
          <w:noProof/>
          <w:szCs w:val="24"/>
        </w:rPr>
        <w:t>. http://arxiv.org/abs/2503.04330</w:t>
      </w:r>
    </w:p>
    <w:p w14:paraId="55588C58"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Kalnins, A., &amp; Praitis Hill, K. (2025). The VIF Score. What is it Good For? Absolutely Nothing. </w:t>
      </w:r>
      <w:r w:rsidRPr="008B2B3A">
        <w:rPr>
          <w:rFonts w:ascii="Times New Roman" w:hAnsi="Times New Roman"/>
          <w:i/>
          <w:iCs/>
          <w:noProof/>
          <w:szCs w:val="24"/>
        </w:rPr>
        <w:t>Organizational Research Methods</w:t>
      </w:r>
      <w:r w:rsidRPr="008B2B3A">
        <w:rPr>
          <w:rFonts w:ascii="Times New Roman" w:hAnsi="Times New Roman"/>
          <w:noProof/>
          <w:szCs w:val="24"/>
        </w:rPr>
        <w:t xml:space="preserve">, </w:t>
      </w:r>
      <w:r w:rsidRPr="008B2B3A">
        <w:rPr>
          <w:rFonts w:ascii="Times New Roman" w:hAnsi="Times New Roman"/>
          <w:i/>
          <w:iCs/>
          <w:noProof/>
          <w:szCs w:val="24"/>
        </w:rPr>
        <w:t>28</w:t>
      </w:r>
      <w:r w:rsidRPr="008B2B3A">
        <w:rPr>
          <w:rFonts w:ascii="Times New Roman" w:hAnsi="Times New Roman"/>
          <w:noProof/>
          <w:szCs w:val="24"/>
        </w:rPr>
        <w:t>(1), 58–75. https://doi.org/10.1177/10944281231216381</w:t>
      </w:r>
    </w:p>
    <w:p w14:paraId="410CF445"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Kemenkes RI. (2023). Stunting in Indonesia and Its Determinants. </w:t>
      </w:r>
      <w:r w:rsidRPr="008B2B3A">
        <w:rPr>
          <w:rFonts w:ascii="Times New Roman" w:hAnsi="Times New Roman"/>
          <w:i/>
          <w:iCs/>
          <w:noProof/>
          <w:szCs w:val="24"/>
        </w:rPr>
        <w:t>Https://Repository.Badankebijakan.Kemkes.Go.Id/</w:t>
      </w:r>
      <w:r w:rsidRPr="008B2B3A">
        <w:rPr>
          <w:rFonts w:ascii="Times New Roman" w:hAnsi="Times New Roman"/>
          <w:noProof/>
          <w:szCs w:val="24"/>
        </w:rPr>
        <w:t>, 1–2. https://repository.badankebijakan.kemkes.go.id/id/eprint/5530/1/06 factsheet Gizi SKI_English.pdf</w:t>
      </w:r>
    </w:p>
    <w:p w14:paraId="2903CEEA"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Landin Basterra, E., Gentilini, U., Cavalcanti, D. M., da Silva, A. F., de Oliveira Ferreira de Sales, L., Silva, N. J., &amp; Rasella, D. (2025). Impact of social protection on child malnutrition and mortality across 46 LMICs: a longitudinal study over two decades with insights from the COVID-19 pandemic. </w:t>
      </w:r>
      <w:r w:rsidRPr="008B2B3A">
        <w:rPr>
          <w:rFonts w:ascii="Times New Roman" w:hAnsi="Times New Roman"/>
          <w:i/>
          <w:iCs/>
          <w:noProof/>
          <w:szCs w:val="24"/>
        </w:rPr>
        <w:t>EClinicalMedicine</w:t>
      </w:r>
      <w:r w:rsidRPr="008B2B3A">
        <w:rPr>
          <w:rFonts w:ascii="Times New Roman" w:hAnsi="Times New Roman"/>
          <w:noProof/>
          <w:szCs w:val="24"/>
        </w:rPr>
        <w:t xml:space="preserve">, </w:t>
      </w:r>
      <w:r w:rsidRPr="008B2B3A">
        <w:rPr>
          <w:rFonts w:ascii="Times New Roman" w:hAnsi="Times New Roman"/>
          <w:i/>
          <w:iCs/>
          <w:noProof/>
          <w:szCs w:val="24"/>
        </w:rPr>
        <w:t>87</w:t>
      </w:r>
      <w:r w:rsidRPr="008B2B3A">
        <w:rPr>
          <w:rFonts w:ascii="Times New Roman" w:hAnsi="Times New Roman"/>
          <w:noProof/>
          <w:szCs w:val="24"/>
        </w:rPr>
        <w:t>, 103414. https://doi.org/10.1016/j.eclinm.2025.103414</w:t>
      </w:r>
    </w:p>
    <w:p w14:paraId="1225A44D"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Litvin, K., Grandner, G. W., Phillips, E., Sherburne, L., Craig, H. C., Phan, K. A., Patel, A. N., &amp; Dickin, K. L. (2024). How Do Social and Behavioral Change Interventions Respond to Social Norms to Improve Women’s Diets in Low- and Middle-Income Countries? A Scoping Review. </w:t>
      </w:r>
      <w:r w:rsidRPr="008B2B3A">
        <w:rPr>
          <w:rFonts w:ascii="Times New Roman" w:hAnsi="Times New Roman"/>
          <w:i/>
          <w:iCs/>
          <w:noProof/>
          <w:szCs w:val="24"/>
        </w:rPr>
        <w:t>Current Developments in Nutrition</w:t>
      </w:r>
      <w:r w:rsidRPr="008B2B3A">
        <w:rPr>
          <w:rFonts w:ascii="Times New Roman" w:hAnsi="Times New Roman"/>
          <w:noProof/>
          <w:szCs w:val="24"/>
        </w:rPr>
        <w:t xml:space="preserve">, </w:t>
      </w:r>
      <w:r w:rsidRPr="008B2B3A">
        <w:rPr>
          <w:rFonts w:ascii="Times New Roman" w:hAnsi="Times New Roman"/>
          <w:i/>
          <w:iCs/>
          <w:noProof/>
          <w:szCs w:val="24"/>
        </w:rPr>
        <w:t>8</w:t>
      </w:r>
      <w:r w:rsidRPr="008B2B3A">
        <w:rPr>
          <w:rFonts w:ascii="Times New Roman" w:hAnsi="Times New Roman"/>
          <w:noProof/>
          <w:szCs w:val="24"/>
        </w:rPr>
        <w:t>(6), 103772. https://doi.org/10.1016/j.cdnut.2024.103772</w:t>
      </w:r>
    </w:p>
    <w:p w14:paraId="491CE7C7"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Midway, S., &amp; White, J. W. (2025). Testing for normality in regression models: mistakes abound (but may not matter). </w:t>
      </w:r>
      <w:r w:rsidRPr="008B2B3A">
        <w:rPr>
          <w:rFonts w:ascii="Times New Roman" w:hAnsi="Times New Roman"/>
          <w:i/>
          <w:iCs/>
          <w:noProof/>
          <w:szCs w:val="24"/>
        </w:rPr>
        <w:t>Royal Society Open Science</w:t>
      </w:r>
      <w:r w:rsidRPr="008B2B3A">
        <w:rPr>
          <w:rFonts w:ascii="Times New Roman" w:hAnsi="Times New Roman"/>
          <w:noProof/>
          <w:szCs w:val="24"/>
        </w:rPr>
        <w:t xml:space="preserve">, </w:t>
      </w:r>
      <w:r w:rsidRPr="008B2B3A">
        <w:rPr>
          <w:rFonts w:ascii="Times New Roman" w:hAnsi="Times New Roman"/>
          <w:i/>
          <w:iCs/>
          <w:noProof/>
          <w:szCs w:val="24"/>
        </w:rPr>
        <w:t>12</w:t>
      </w:r>
      <w:r w:rsidRPr="008B2B3A">
        <w:rPr>
          <w:rFonts w:ascii="Times New Roman" w:hAnsi="Times New Roman"/>
          <w:noProof/>
          <w:szCs w:val="24"/>
        </w:rPr>
        <w:t>(4). https://doi.org/10.1098/rsos.241904</w:t>
      </w:r>
    </w:p>
    <w:p w14:paraId="74F493E8"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Miranda, A. V., Sirmareza, T., Nugraha, R. R., Rastuti, M., Syahidi, H., Asmara, R., &amp; Petersen, Z. (2023). Towards stunting eradication in Indonesia: Time to invest in community health workers. </w:t>
      </w:r>
      <w:r w:rsidRPr="008B2B3A">
        <w:rPr>
          <w:rFonts w:ascii="Times New Roman" w:hAnsi="Times New Roman"/>
          <w:i/>
          <w:iCs/>
          <w:noProof/>
          <w:szCs w:val="24"/>
        </w:rPr>
        <w:lastRenderedPageBreak/>
        <w:t>Public Health Challenges</w:t>
      </w:r>
      <w:r w:rsidRPr="008B2B3A">
        <w:rPr>
          <w:rFonts w:ascii="Times New Roman" w:hAnsi="Times New Roman"/>
          <w:noProof/>
          <w:szCs w:val="24"/>
        </w:rPr>
        <w:t xml:space="preserve">, </w:t>
      </w:r>
      <w:r w:rsidRPr="008B2B3A">
        <w:rPr>
          <w:rFonts w:ascii="Times New Roman" w:hAnsi="Times New Roman"/>
          <w:i/>
          <w:iCs/>
          <w:noProof/>
          <w:szCs w:val="24"/>
        </w:rPr>
        <w:t>2</w:t>
      </w:r>
      <w:r w:rsidRPr="008B2B3A">
        <w:rPr>
          <w:rFonts w:ascii="Times New Roman" w:hAnsi="Times New Roman"/>
          <w:noProof/>
          <w:szCs w:val="24"/>
        </w:rPr>
        <w:t>(3), 1–6. https://doi.org/10.1002/puh2.108</w:t>
      </w:r>
    </w:p>
    <w:p w14:paraId="65DB2A95"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Patriota, É. S. O., Abrantes, L. C. S., Figueiredo, A. C. M. G., Pizato, N., Buccini, G., &amp; Gonçalves, V. S. S. (2024). Association between household food insecurity and stunting in children aged 0−59 months: Systematic review and meta‐analysis of cohort studies. </w:t>
      </w:r>
      <w:r w:rsidRPr="008B2B3A">
        <w:rPr>
          <w:rFonts w:ascii="Times New Roman" w:hAnsi="Times New Roman"/>
          <w:i/>
          <w:iCs/>
          <w:noProof/>
          <w:szCs w:val="24"/>
        </w:rPr>
        <w:t>Maternal &amp; Child Nutrition</w:t>
      </w:r>
      <w:r w:rsidRPr="008B2B3A">
        <w:rPr>
          <w:rFonts w:ascii="Times New Roman" w:hAnsi="Times New Roman"/>
          <w:noProof/>
          <w:szCs w:val="24"/>
        </w:rPr>
        <w:t xml:space="preserve">, </w:t>
      </w:r>
      <w:r w:rsidRPr="008B2B3A">
        <w:rPr>
          <w:rFonts w:ascii="Times New Roman" w:hAnsi="Times New Roman"/>
          <w:i/>
          <w:iCs/>
          <w:noProof/>
          <w:szCs w:val="24"/>
        </w:rPr>
        <w:t>20</w:t>
      </w:r>
      <w:r w:rsidRPr="008B2B3A">
        <w:rPr>
          <w:rFonts w:ascii="Times New Roman" w:hAnsi="Times New Roman"/>
          <w:noProof/>
          <w:szCs w:val="24"/>
        </w:rPr>
        <w:t>(2), 1–15. https://doi.org/10.1111/mcn.13609</w:t>
      </w:r>
    </w:p>
    <w:p w14:paraId="23FD8759"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Piper, J. D., Mazhanga, C., Mwapaura, M., Mapako, G., Mapurisa, I., Mashedze, T., Munyama, E., Kuona, M., Mashiri, T., Sibanda, K., Matemavi, D., Tichagwa, M., Nyoni, S., Saidi, A., Mangwende, M., Mbewe, G., Chidhanguro, D., Mpofu, E., Tome, J., … Prendergast, A. J. (2024). School-age growth and development following infant feeding and/or water, sanitation, and hygiene interventions in rural Zimbabwe: long-term follow-up of a cluster-randomised trial. </w:t>
      </w:r>
      <w:r w:rsidRPr="008B2B3A">
        <w:rPr>
          <w:rFonts w:ascii="Times New Roman" w:hAnsi="Times New Roman"/>
          <w:i/>
          <w:iCs/>
          <w:noProof/>
          <w:szCs w:val="24"/>
        </w:rPr>
        <w:t>EClinicalMedicine</w:t>
      </w:r>
      <w:r w:rsidRPr="008B2B3A">
        <w:rPr>
          <w:rFonts w:ascii="Times New Roman" w:hAnsi="Times New Roman"/>
          <w:noProof/>
          <w:szCs w:val="24"/>
        </w:rPr>
        <w:t xml:space="preserve">, </w:t>
      </w:r>
      <w:r w:rsidRPr="008B2B3A">
        <w:rPr>
          <w:rFonts w:ascii="Times New Roman" w:hAnsi="Times New Roman"/>
          <w:i/>
          <w:iCs/>
          <w:noProof/>
          <w:szCs w:val="24"/>
        </w:rPr>
        <w:t>78</w:t>
      </w:r>
      <w:r w:rsidRPr="008B2B3A">
        <w:rPr>
          <w:rFonts w:ascii="Times New Roman" w:hAnsi="Times New Roman"/>
          <w:noProof/>
          <w:szCs w:val="24"/>
        </w:rPr>
        <w:t>, 102946. https://doi.org/10.1016/j.eclinm.2024.102946</w:t>
      </w:r>
    </w:p>
    <w:p w14:paraId="503E266A"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Rajh-Weber, H., Huber, S. E., &amp; Arendasy, M. (2025). A practice-oriented guide to statistical inference in linear modeling for non-normal or heteroskedastic error distributions. </w:t>
      </w:r>
      <w:r w:rsidRPr="008B2B3A">
        <w:rPr>
          <w:rFonts w:ascii="Times New Roman" w:hAnsi="Times New Roman"/>
          <w:i/>
          <w:iCs/>
          <w:noProof/>
          <w:szCs w:val="24"/>
        </w:rPr>
        <w:t>Behavior Research Methods</w:t>
      </w:r>
      <w:r w:rsidRPr="008B2B3A">
        <w:rPr>
          <w:rFonts w:ascii="Times New Roman" w:hAnsi="Times New Roman"/>
          <w:noProof/>
          <w:szCs w:val="24"/>
        </w:rPr>
        <w:t xml:space="preserve">, </w:t>
      </w:r>
      <w:r w:rsidRPr="008B2B3A">
        <w:rPr>
          <w:rFonts w:ascii="Times New Roman" w:hAnsi="Times New Roman"/>
          <w:i/>
          <w:iCs/>
          <w:noProof/>
          <w:szCs w:val="24"/>
        </w:rPr>
        <w:t>57</w:t>
      </w:r>
      <w:r w:rsidRPr="008B2B3A">
        <w:rPr>
          <w:rFonts w:ascii="Times New Roman" w:hAnsi="Times New Roman"/>
          <w:noProof/>
          <w:szCs w:val="24"/>
        </w:rPr>
        <w:t>(12), 1–28. https://doi.org/10.3758/s13428-025-02801-4</w:t>
      </w:r>
    </w:p>
    <w:p w14:paraId="7B549C7A"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szCs w:val="24"/>
        </w:rPr>
      </w:pPr>
      <w:r w:rsidRPr="008B2B3A">
        <w:rPr>
          <w:rFonts w:ascii="Times New Roman" w:hAnsi="Times New Roman"/>
          <w:noProof/>
          <w:szCs w:val="24"/>
        </w:rPr>
        <w:t xml:space="preserve">Sufri, S., Iskandar, I., Nurhasanah, N., Bakri, S., Jannah, M., Rajuddin, R., Nainggolan, S. I., Sirasa, F., &amp; Lassa, J. A. (2024). Implementation outcomes of convergence action policy to accelerate stunting reduction in Pidie district, Aceh province, Indonesia: a qualitative study. </w:t>
      </w:r>
      <w:r w:rsidRPr="008B2B3A">
        <w:rPr>
          <w:rFonts w:ascii="Times New Roman" w:hAnsi="Times New Roman"/>
          <w:i/>
          <w:iCs/>
          <w:noProof/>
          <w:szCs w:val="24"/>
        </w:rPr>
        <w:t>BMJ Open</w:t>
      </w:r>
      <w:r w:rsidRPr="008B2B3A">
        <w:rPr>
          <w:rFonts w:ascii="Times New Roman" w:hAnsi="Times New Roman"/>
          <w:noProof/>
          <w:szCs w:val="24"/>
        </w:rPr>
        <w:t xml:space="preserve">, </w:t>
      </w:r>
      <w:r w:rsidRPr="008B2B3A">
        <w:rPr>
          <w:rFonts w:ascii="Times New Roman" w:hAnsi="Times New Roman"/>
          <w:i/>
          <w:iCs/>
          <w:noProof/>
          <w:szCs w:val="24"/>
        </w:rPr>
        <w:t>14</w:t>
      </w:r>
      <w:r w:rsidRPr="008B2B3A">
        <w:rPr>
          <w:rFonts w:ascii="Times New Roman" w:hAnsi="Times New Roman"/>
          <w:noProof/>
          <w:szCs w:val="24"/>
        </w:rPr>
        <w:t>(11). https://doi.org/10.1136/bmjopen-2024-087432</w:t>
      </w:r>
    </w:p>
    <w:p w14:paraId="7803EAB4" w14:textId="77777777" w:rsidR="00A056D2" w:rsidRPr="008B2B3A" w:rsidRDefault="00A056D2" w:rsidP="008B2B3A">
      <w:pPr>
        <w:widowControl w:val="0"/>
        <w:autoSpaceDE w:val="0"/>
        <w:autoSpaceDN w:val="0"/>
        <w:adjustRightInd w:val="0"/>
        <w:spacing w:before="120" w:after="120"/>
        <w:ind w:left="480" w:hanging="480"/>
        <w:jc w:val="both"/>
        <w:rPr>
          <w:rFonts w:ascii="Times New Roman" w:hAnsi="Times New Roman"/>
          <w:noProof/>
        </w:rPr>
      </w:pPr>
      <w:r w:rsidRPr="008B2B3A">
        <w:rPr>
          <w:rFonts w:ascii="Times New Roman" w:hAnsi="Times New Roman"/>
          <w:noProof/>
          <w:szCs w:val="24"/>
        </w:rPr>
        <w:t xml:space="preserve">Zhou, D. J., Chahal, R., Gotlib, I. H., &amp; Liu, S. (2024). Comparison of Lasso and Stepwise Regression in Psychological Data. </w:t>
      </w:r>
      <w:r w:rsidRPr="008B2B3A">
        <w:rPr>
          <w:rFonts w:ascii="Times New Roman" w:hAnsi="Times New Roman"/>
          <w:i/>
          <w:iCs/>
          <w:noProof/>
          <w:szCs w:val="24"/>
        </w:rPr>
        <w:t>Methodology</w:t>
      </w:r>
      <w:r w:rsidRPr="008B2B3A">
        <w:rPr>
          <w:rFonts w:ascii="Times New Roman" w:hAnsi="Times New Roman"/>
          <w:noProof/>
          <w:szCs w:val="24"/>
        </w:rPr>
        <w:t xml:space="preserve">, </w:t>
      </w:r>
      <w:r w:rsidRPr="008B2B3A">
        <w:rPr>
          <w:rFonts w:ascii="Times New Roman" w:hAnsi="Times New Roman"/>
          <w:i/>
          <w:iCs/>
          <w:noProof/>
          <w:szCs w:val="24"/>
        </w:rPr>
        <w:t>20</w:t>
      </w:r>
      <w:r w:rsidRPr="008B2B3A">
        <w:rPr>
          <w:rFonts w:ascii="Times New Roman" w:hAnsi="Times New Roman"/>
          <w:noProof/>
          <w:szCs w:val="24"/>
        </w:rPr>
        <w:t>(2), 121–143. https://doi.org/10.5964/meth.11523</w:t>
      </w:r>
    </w:p>
    <w:p w14:paraId="01E9699C" w14:textId="77777777" w:rsidR="002C5B95" w:rsidRPr="008B2B3A" w:rsidRDefault="002C5B95" w:rsidP="008B2B3A">
      <w:pPr>
        <w:spacing w:before="120" w:after="120"/>
        <w:ind w:firstLine="720"/>
        <w:jc w:val="both"/>
        <w:rPr>
          <w:rFonts w:ascii="Times New Roman" w:hAnsi="Times New Roman"/>
        </w:rPr>
      </w:pPr>
      <w:r w:rsidRPr="008B2B3A">
        <w:rPr>
          <w:rFonts w:ascii="Times New Roman" w:hAnsi="Times New Roman"/>
        </w:rPr>
        <w:fldChar w:fldCharType="end"/>
      </w:r>
    </w:p>
    <w:p w14:paraId="6D62BF9B" w14:textId="493B7210" w:rsidR="002C5B95" w:rsidRDefault="002C5B95" w:rsidP="00441B6F">
      <w:pPr>
        <w:pStyle w:val="ReferHead"/>
        <w:spacing w:after="0"/>
        <w:jc w:val="both"/>
        <w:rPr>
          <w:rFonts w:ascii="Arial" w:hAnsi="Arial" w:cs="Arial"/>
        </w:rPr>
      </w:pPr>
    </w:p>
    <w:sectPr w:rsidR="002C5B95" w:rsidSect="00160EF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503B" w14:textId="77777777" w:rsidR="000E026D" w:rsidRDefault="000E026D" w:rsidP="00C37E61">
      <w:r>
        <w:separator/>
      </w:r>
    </w:p>
  </w:endnote>
  <w:endnote w:type="continuationSeparator" w:id="0">
    <w:p w14:paraId="32526E2C" w14:textId="77777777" w:rsidR="000E026D" w:rsidRDefault="000E02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B3E0" w14:textId="77777777" w:rsidR="009E048A" w:rsidRDefault="009E048A">
    <w:pPr>
      <w:pStyle w:val="Footer"/>
      <w:rPr>
        <w:rFonts w:ascii="Arial" w:hAnsi="Arial" w:cs="Arial"/>
        <w:sz w:val="16"/>
      </w:rPr>
    </w:pPr>
  </w:p>
  <w:p w14:paraId="242291B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D3BC356" w14:textId="77777777" w:rsidR="009E048A" w:rsidRDefault="009E048A">
    <w:pPr>
      <w:pStyle w:val="Footer"/>
      <w:rPr>
        <w:rFonts w:ascii="Arial" w:hAnsi="Arial" w:cs="Arial"/>
        <w:sz w:val="16"/>
      </w:rPr>
    </w:pPr>
  </w:p>
  <w:p w14:paraId="58C18F22" w14:textId="1B3DC279"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FCBE" w14:textId="77777777" w:rsidR="000E026D" w:rsidRDefault="000E026D" w:rsidP="00C37E61">
      <w:r>
        <w:separator/>
      </w:r>
    </w:p>
  </w:footnote>
  <w:footnote w:type="continuationSeparator" w:id="0">
    <w:p w14:paraId="06960937" w14:textId="77777777" w:rsidR="000E026D" w:rsidRDefault="000E02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FBA4" w14:textId="2837F420" w:rsidR="00DD3C8A" w:rsidRDefault="000E026D">
    <w:pPr>
      <w:pStyle w:val="Header"/>
    </w:pPr>
    <w:r>
      <w:rPr>
        <w:noProof/>
      </w:rPr>
      <w:pict w14:anchorId="3DDED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107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941C" w14:textId="76ABFD59" w:rsidR="00DD3C8A" w:rsidRDefault="000E026D">
    <w:pPr>
      <w:pStyle w:val="Header"/>
    </w:pPr>
    <w:r>
      <w:rPr>
        <w:noProof/>
      </w:rPr>
      <w:pict w14:anchorId="1B4D1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107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E0F9" w14:textId="2088FE28" w:rsidR="00296529" w:rsidRPr="00296529" w:rsidRDefault="000E026D" w:rsidP="00296529">
    <w:pPr>
      <w:ind w:left="2160"/>
      <w:jc w:val="center"/>
      <w:rPr>
        <w:rFonts w:ascii="Times New Roman" w:eastAsia="Calibri" w:hAnsi="Times New Roman"/>
        <w:i/>
        <w:sz w:val="18"/>
        <w:szCs w:val="22"/>
      </w:rPr>
    </w:pPr>
    <w:r>
      <w:rPr>
        <w:noProof/>
      </w:rPr>
      <w:pict w14:anchorId="6987F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107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DC63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E15A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50FB2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C106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1201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DA2B9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5209"/>
    <w:multiLevelType w:val="hybridMultilevel"/>
    <w:tmpl w:val="AE1E321C"/>
    <w:lvl w:ilvl="0" w:tplc="217C0120">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AD7FE7"/>
    <w:multiLevelType w:val="hybridMultilevel"/>
    <w:tmpl w:val="2C9E292A"/>
    <w:lvl w:ilvl="0" w:tplc="63505180">
      <w:start w:val="1"/>
      <w:numFmt w:val="decimal"/>
      <w:lvlText w:val="3.%1."/>
      <w:lvlJc w:val="right"/>
      <w:pPr>
        <w:ind w:left="72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16B5E"/>
    <w:multiLevelType w:val="multilevel"/>
    <w:tmpl w:val="291C9DAC"/>
    <w:styleLink w:val="CurrentList3"/>
    <w:lvl w:ilvl="0">
      <w:start w:val="1"/>
      <w:numFmt w:val="decimal"/>
      <w:lvlText w:val="3.6.%1."/>
      <w:lvlJc w:val="left"/>
      <w:pPr>
        <w:ind w:left="163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5FD59F2"/>
    <w:multiLevelType w:val="multilevel"/>
    <w:tmpl w:val="8490FC16"/>
    <w:styleLink w:val="CurrentList1"/>
    <w:lvl w:ilvl="0">
      <w:start w:val="1"/>
      <w:numFmt w:val="decimal"/>
      <w:lvlText w:val="3.3.%1."/>
      <w:lvlJc w:val="left"/>
      <w:pPr>
        <w:ind w:left="163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47B7151"/>
    <w:multiLevelType w:val="multilevel"/>
    <w:tmpl w:val="326268E0"/>
    <w:styleLink w:val="CurrentList2"/>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108"/>
    <w:multiLevelType w:val="hybridMultilevel"/>
    <w:tmpl w:val="E5D84312"/>
    <w:lvl w:ilvl="0" w:tplc="E526A628">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C8E383F"/>
    <w:multiLevelType w:val="hybridMultilevel"/>
    <w:tmpl w:val="04BE70F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3318A"/>
    <w:multiLevelType w:val="hybridMultilevel"/>
    <w:tmpl w:val="A7B6869C"/>
    <w:lvl w:ilvl="0" w:tplc="A63CFD34">
      <w:start w:val="1"/>
      <w:numFmt w:val="decimal"/>
      <w:lvlText w:val="%1."/>
      <w:lvlJc w:val="right"/>
      <w:pPr>
        <w:ind w:left="720" w:hanging="18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83B2901"/>
    <w:multiLevelType w:val="hybridMultilevel"/>
    <w:tmpl w:val="92160268"/>
    <w:lvl w:ilvl="0" w:tplc="82AA4F7A">
      <w:start w:val="1"/>
      <w:numFmt w:val="decimal"/>
      <w:lvlText w:val="3.1.6.%1."/>
      <w:lvlJc w:val="left"/>
      <w:pPr>
        <w:ind w:left="1636"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0D64B9D"/>
    <w:multiLevelType w:val="multilevel"/>
    <w:tmpl w:val="291C9DAC"/>
    <w:styleLink w:val="CurrentList4"/>
    <w:lvl w:ilvl="0">
      <w:start w:val="1"/>
      <w:numFmt w:val="decimal"/>
      <w:lvlText w:val="3.6.%1."/>
      <w:lvlJc w:val="left"/>
      <w:pPr>
        <w:ind w:left="163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96469"/>
    <w:multiLevelType w:val="hybridMultilevel"/>
    <w:tmpl w:val="4DBCBEA8"/>
    <w:lvl w:ilvl="0" w:tplc="DA743C72">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6"/>
  </w:num>
  <w:num w:numId="10">
    <w:abstractNumId w:val="3"/>
  </w:num>
  <w:num w:numId="11">
    <w:abstractNumId w:val="28"/>
  </w:num>
  <w:num w:numId="12">
    <w:abstractNumId w:val="4"/>
  </w:num>
  <w:num w:numId="13">
    <w:abstractNumId w:val="26"/>
  </w:num>
  <w:num w:numId="14">
    <w:abstractNumId w:val="10"/>
  </w:num>
  <w:num w:numId="15">
    <w:abstractNumId w:val="31"/>
  </w:num>
  <w:num w:numId="16">
    <w:abstractNumId w:val="6"/>
  </w:num>
  <w:num w:numId="17">
    <w:abstractNumId w:val="32"/>
  </w:num>
  <w:num w:numId="18">
    <w:abstractNumId w:val="17"/>
  </w:num>
  <w:num w:numId="19">
    <w:abstractNumId w:val="39"/>
  </w:num>
  <w:num w:numId="20">
    <w:abstractNumId w:val="14"/>
  </w:num>
  <w:num w:numId="21">
    <w:abstractNumId w:val="11"/>
  </w:num>
  <w:num w:numId="22">
    <w:abstractNumId w:val="16"/>
  </w:num>
  <w:num w:numId="23">
    <w:abstractNumId w:val="29"/>
  </w:num>
  <w:num w:numId="24">
    <w:abstractNumId w:val="37"/>
  </w:num>
  <w:num w:numId="25">
    <w:abstractNumId w:val="5"/>
  </w:num>
  <w:num w:numId="26">
    <w:abstractNumId w:val="23"/>
  </w:num>
  <w:num w:numId="27">
    <w:abstractNumId w:val="30"/>
  </w:num>
  <w:num w:numId="28">
    <w:abstractNumId w:val="38"/>
  </w:num>
  <w:num w:numId="29">
    <w:abstractNumId w:val="34"/>
  </w:num>
  <w:num w:numId="30">
    <w:abstractNumId w:val="12"/>
  </w:num>
  <w:num w:numId="31">
    <w:abstractNumId w:val="1"/>
  </w:num>
  <w:num w:numId="32">
    <w:abstractNumId w:val="22"/>
  </w:num>
  <w:num w:numId="33">
    <w:abstractNumId w:val="20"/>
  </w:num>
  <w:num w:numId="34">
    <w:abstractNumId w:val="35"/>
  </w:num>
  <w:num w:numId="35">
    <w:abstractNumId w:val="25"/>
  </w:num>
  <w:num w:numId="36">
    <w:abstractNumId w:val="24"/>
  </w:num>
  <w:num w:numId="37">
    <w:abstractNumId w:val="18"/>
  </w:num>
  <w:num w:numId="38">
    <w:abstractNumId w:val="19"/>
  </w:num>
  <w:num w:numId="39">
    <w:abstractNumId w:val="7"/>
  </w:num>
  <w:num w:numId="40">
    <w:abstractNumId w:val="1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8C1"/>
    <w:rsid w:val="00030174"/>
    <w:rsid w:val="000377B1"/>
    <w:rsid w:val="0004579C"/>
    <w:rsid w:val="000A47FA"/>
    <w:rsid w:val="000A65D3"/>
    <w:rsid w:val="000B1E33"/>
    <w:rsid w:val="000C287A"/>
    <w:rsid w:val="000D689F"/>
    <w:rsid w:val="000E026D"/>
    <w:rsid w:val="000E66CA"/>
    <w:rsid w:val="000E7B7B"/>
    <w:rsid w:val="000E7D62"/>
    <w:rsid w:val="000F0462"/>
    <w:rsid w:val="00103357"/>
    <w:rsid w:val="00123C9F"/>
    <w:rsid w:val="00125AC1"/>
    <w:rsid w:val="00126190"/>
    <w:rsid w:val="00130F17"/>
    <w:rsid w:val="001320BF"/>
    <w:rsid w:val="00160EF3"/>
    <w:rsid w:val="00163BC4"/>
    <w:rsid w:val="001752A8"/>
    <w:rsid w:val="00191062"/>
    <w:rsid w:val="00192B72"/>
    <w:rsid w:val="00196185"/>
    <w:rsid w:val="001A29D8"/>
    <w:rsid w:val="001A5CAA"/>
    <w:rsid w:val="001B0427"/>
    <w:rsid w:val="001C189E"/>
    <w:rsid w:val="001D3A51"/>
    <w:rsid w:val="001E10D2"/>
    <w:rsid w:val="001E25B4"/>
    <w:rsid w:val="001E44FE"/>
    <w:rsid w:val="00200595"/>
    <w:rsid w:val="00204835"/>
    <w:rsid w:val="00206917"/>
    <w:rsid w:val="00231920"/>
    <w:rsid w:val="0023195C"/>
    <w:rsid w:val="0024282C"/>
    <w:rsid w:val="002460DC"/>
    <w:rsid w:val="00250985"/>
    <w:rsid w:val="002556F6"/>
    <w:rsid w:val="00283105"/>
    <w:rsid w:val="00284C4C"/>
    <w:rsid w:val="00287E68"/>
    <w:rsid w:val="00296529"/>
    <w:rsid w:val="002B27FB"/>
    <w:rsid w:val="002B685A"/>
    <w:rsid w:val="002C57D2"/>
    <w:rsid w:val="002C5B95"/>
    <w:rsid w:val="002E0D56"/>
    <w:rsid w:val="00315186"/>
    <w:rsid w:val="00317A5C"/>
    <w:rsid w:val="0033343E"/>
    <w:rsid w:val="003444D5"/>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5CAA"/>
    <w:rsid w:val="004C2EB7"/>
    <w:rsid w:val="004C4C75"/>
    <w:rsid w:val="004D305E"/>
    <w:rsid w:val="004D4277"/>
    <w:rsid w:val="004D558D"/>
    <w:rsid w:val="004F215B"/>
    <w:rsid w:val="004F7C81"/>
    <w:rsid w:val="00502516"/>
    <w:rsid w:val="00505F06"/>
    <w:rsid w:val="00506828"/>
    <w:rsid w:val="00523E91"/>
    <w:rsid w:val="0053056E"/>
    <w:rsid w:val="00554FDA"/>
    <w:rsid w:val="00567D84"/>
    <w:rsid w:val="0058251A"/>
    <w:rsid w:val="005C784C"/>
    <w:rsid w:val="005D17F6"/>
    <w:rsid w:val="005E5539"/>
    <w:rsid w:val="00602BF5"/>
    <w:rsid w:val="00615659"/>
    <w:rsid w:val="00617FDD"/>
    <w:rsid w:val="00633614"/>
    <w:rsid w:val="00633F68"/>
    <w:rsid w:val="00636EB2"/>
    <w:rsid w:val="006375B8"/>
    <w:rsid w:val="0064064F"/>
    <w:rsid w:val="00641056"/>
    <w:rsid w:val="0066510A"/>
    <w:rsid w:val="00673F9F"/>
    <w:rsid w:val="00686953"/>
    <w:rsid w:val="00687DEA"/>
    <w:rsid w:val="00687E67"/>
    <w:rsid w:val="006967F7"/>
    <w:rsid w:val="006A250C"/>
    <w:rsid w:val="006B21D3"/>
    <w:rsid w:val="006B57D0"/>
    <w:rsid w:val="006D30FF"/>
    <w:rsid w:val="006D6940"/>
    <w:rsid w:val="006E32C1"/>
    <w:rsid w:val="006F11EC"/>
    <w:rsid w:val="0070082C"/>
    <w:rsid w:val="00721CD9"/>
    <w:rsid w:val="007369E6"/>
    <w:rsid w:val="00746E59"/>
    <w:rsid w:val="00754C9A"/>
    <w:rsid w:val="0075599A"/>
    <w:rsid w:val="00761D52"/>
    <w:rsid w:val="00773CC4"/>
    <w:rsid w:val="0077749E"/>
    <w:rsid w:val="00790ADA"/>
    <w:rsid w:val="007B6259"/>
    <w:rsid w:val="007D2288"/>
    <w:rsid w:val="007E088F"/>
    <w:rsid w:val="007F7B32"/>
    <w:rsid w:val="00804BC2"/>
    <w:rsid w:val="0081431A"/>
    <w:rsid w:val="0083216F"/>
    <w:rsid w:val="00832BCA"/>
    <w:rsid w:val="00860000"/>
    <w:rsid w:val="00863BD3"/>
    <w:rsid w:val="008641ED"/>
    <w:rsid w:val="00866D66"/>
    <w:rsid w:val="008671C6"/>
    <w:rsid w:val="00875803"/>
    <w:rsid w:val="008778D3"/>
    <w:rsid w:val="00897248"/>
    <w:rsid w:val="008B2B3A"/>
    <w:rsid w:val="008B459E"/>
    <w:rsid w:val="008E13AE"/>
    <w:rsid w:val="008E1506"/>
    <w:rsid w:val="008E710C"/>
    <w:rsid w:val="008F69D6"/>
    <w:rsid w:val="00902823"/>
    <w:rsid w:val="00910630"/>
    <w:rsid w:val="00915CA6"/>
    <w:rsid w:val="00927834"/>
    <w:rsid w:val="009500A6"/>
    <w:rsid w:val="00953BD1"/>
    <w:rsid w:val="00954AA4"/>
    <w:rsid w:val="00957C18"/>
    <w:rsid w:val="00960C86"/>
    <w:rsid w:val="009659BA"/>
    <w:rsid w:val="00983040"/>
    <w:rsid w:val="00984D07"/>
    <w:rsid w:val="00995832"/>
    <w:rsid w:val="009B3FB9"/>
    <w:rsid w:val="009C2465"/>
    <w:rsid w:val="009D35A0"/>
    <w:rsid w:val="009D7EB7"/>
    <w:rsid w:val="009E048A"/>
    <w:rsid w:val="009E08E9"/>
    <w:rsid w:val="009E3DB9"/>
    <w:rsid w:val="009E6E35"/>
    <w:rsid w:val="009F0EDA"/>
    <w:rsid w:val="009F12D4"/>
    <w:rsid w:val="00A03B96"/>
    <w:rsid w:val="00A056D2"/>
    <w:rsid w:val="00A05B19"/>
    <w:rsid w:val="00A1134E"/>
    <w:rsid w:val="00A24E7E"/>
    <w:rsid w:val="00A258C3"/>
    <w:rsid w:val="00A347C0"/>
    <w:rsid w:val="00A461DB"/>
    <w:rsid w:val="00A51431"/>
    <w:rsid w:val="00A539AD"/>
    <w:rsid w:val="00A658D3"/>
    <w:rsid w:val="00A81E5F"/>
    <w:rsid w:val="00A94063"/>
    <w:rsid w:val="00AA6219"/>
    <w:rsid w:val="00AA6F14"/>
    <w:rsid w:val="00AA74E0"/>
    <w:rsid w:val="00AB2721"/>
    <w:rsid w:val="00AB5567"/>
    <w:rsid w:val="00AB703F"/>
    <w:rsid w:val="00AC6BB8"/>
    <w:rsid w:val="00AE008F"/>
    <w:rsid w:val="00B01FCD"/>
    <w:rsid w:val="00B1776C"/>
    <w:rsid w:val="00B52583"/>
    <w:rsid w:val="00B52896"/>
    <w:rsid w:val="00B70173"/>
    <w:rsid w:val="00B95236"/>
    <w:rsid w:val="00B96BD9"/>
    <w:rsid w:val="00BA1B01"/>
    <w:rsid w:val="00BA2641"/>
    <w:rsid w:val="00BB37AA"/>
    <w:rsid w:val="00BC53A0"/>
    <w:rsid w:val="00BD6F94"/>
    <w:rsid w:val="00BE62AD"/>
    <w:rsid w:val="00BF121F"/>
    <w:rsid w:val="00BF1F80"/>
    <w:rsid w:val="00C06A87"/>
    <w:rsid w:val="00C166EF"/>
    <w:rsid w:val="00C17EB0"/>
    <w:rsid w:val="00C27F5F"/>
    <w:rsid w:val="00C30A0F"/>
    <w:rsid w:val="00C37E61"/>
    <w:rsid w:val="00C70F1B"/>
    <w:rsid w:val="00C71A47"/>
    <w:rsid w:val="00C7464C"/>
    <w:rsid w:val="00C80C24"/>
    <w:rsid w:val="00C85588"/>
    <w:rsid w:val="00C97C17"/>
    <w:rsid w:val="00CD6755"/>
    <w:rsid w:val="00CD6856"/>
    <w:rsid w:val="00CE0089"/>
    <w:rsid w:val="00CE01C3"/>
    <w:rsid w:val="00CE6F3F"/>
    <w:rsid w:val="00CE793C"/>
    <w:rsid w:val="00CF193C"/>
    <w:rsid w:val="00D173F1"/>
    <w:rsid w:val="00D61ACD"/>
    <w:rsid w:val="00D74CB0"/>
    <w:rsid w:val="00D821A2"/>
    <w:rsid w:val="00D8295D"/>
    <w:rsid w:val="00DA344F"/>
    <w:rsid w:val="00DC2A65"/>
    <w:rsid w:val="00DD3C8A"/>
    <w:rsid w:val="00DE15F0"/>
    <w:rsid w:val="00DE5663"/>
    <w:rsid w:val="00DE78AA"/>
    <w:rsid w:val="00E053D0"/>
    <w:rsid w:val="00E15994"/>
    <w:rsid w:val="00E22D7B"/>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07ACB"/>
    <w:rsid w:val="00F17988"/>
    <w:rsid w:val="00F242E7"/>
    <w:rsid w:val="00F262B6"/>
    <w:rsid w:val="00F469F0"/>
    <w:rsid w:val="00F53273"/>
    <w:rsid w:val="00F755E4"/>
    <w:rsid w:val="00F77D02"/>
    <w:rsid w:val="00F81FA2"/>
    <w:rsid w:val="00FB3A86"/>
    <w:rsid w:val="00FC1B0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9DE3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E66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F242E7"/>
    <w:rPr>
      <w:rFonts w:ascii="Helvetica" w:hAnsi="Helvetica"/>
    </w:rPr>
  </w:style>
  <w:style w:type="character" w:styleId="Strong">
    <w:name w:val="Strong"/>
    <w:basedOn w:val="DefaultParagraphFont"/>
    <w:uiPriority w:val="22"/>
    <w:qFormat/>
    <w:rsid w:val="00F242E7"/>
    <w:rPr>
      <w:b/>
      <w:bCs/>
    </w:rPr>
  </w:style>
  <w:style w:type="paragraph" w:styleId="NormalWeb">
    <w:name w:val="Normal (Web)"/>
    <w:basedOn w:val="Normal"/>
    <w:uiPriority w:val="99"/>
    <w:semiHidden/>
    <w:unhideWhenUsed/>
    <w:rsid w:val="00F242E7"/>
    <w:pPr>
      <w:spacing w:before="100" w:beforeAutospacing="1" w:after="100" w:afterAutospacing="1"/>
    </w:pPr>
    <w:rPr>
      <w:rFonts w:ascii="Times New Roman" w:hAnsi="Times New Roman"/>
      <w:sz w:val="24"/>
      <w:szCs w:val="24"/>
      <w:lang w:val="id-ID" w:eastAsia="id-ID"/>
    </w:rPr>
  </w:style>
  <w:style w:type="character" w:customStyle="1" w:styleId="relative">
    <w:name w:val="relative"/>
    <w:basedOn w:val="DefaultParagraphFont"/>
    <w:rsid w:val="00F242E7"/>
  </w:style>
  <w:style w:type="paragraph" w:styleId="ListParagraph">
    <w:name w:val="List Paragraph"/>
    <w:basedOn w:val="Normal"/>
    <w:uiPriority w:val="34"/>
    <w:qFormat/>
    <w:rsid w:val="00F242E7"/>
    <w:pPr>
      <w:spacing w:after="200" w:line="276" w:lineRule="auto"/>
      <w:ind w:left="720"/>
      <w:contextualSpacing/>
    </w:pPr>
    <w:rPr>
      <w:rFonts w:ascii="Times New Roman" w:hAnsi="Times New Roman" w:cstheme="minorBidi"/>
      <w:sz w:val="24"/>
      <w:szCs w:val="22"/>
    </w:rPr>
  </w:style>
  <w:style w:type="numbering" w:customStyle="1" w:styleId="CurrentList1">
    <w:name w:val="Current List1"/>
    <w:uiPriority w:val="99"/>
    <w:rsid w:val="00995832"/>
    <w:pPr>
      <w:numPr>
        <w:numId w:val="37"/>
      </w:numPr>
    </w:pPr>
  </w:style>
  <w:style w:type="numbering" w:customStyle="1" w:styleId="CurrentList2">
    <w:name w:val="Current List2"/>
    <w:uiPriority w:val="99"/>
    <w:rsid w:val="00F81FA2"/>
    <w:pPr>
      <w:numPr>
        <w:numId w:val="38"/>
      </w:numPr>
    </w:pPr>
  </w:style>
  <w:style w:type="numbering" w:customStyle="1" w:styleId="CurrentList3">
    <w:name w:val="Current List3"/>
    <w:uiPriority w:val="99"/>
    <w:rsid w:val="00F81FA2"/>
    <w:pPr>
      <w:numPr>
        <w:numId w:val="40"/>
      </w:numPr>
    </w:pPr>
  </w:style>
  <w:style w:type="numbering" w:customStyle="1" w:styleId="CurrentList4">
    <w:name w:val="Current List4"/>
    <w:uiPriority w:val="99"/>
    <w:rsid w:val="00F81FA2"/>
    <w:pPr>
      <w:numPr>
        <w:numId w:val="41"/>
      </w:numPr>
    </w:pPr>
  </w:style>
  <w:style w:type="character" w:customStyle="1" w:styleId="Heading1Char">
    <w:name w:val="Heading 1 Char"/>
    <w:basedOn w:val="DefaultParagraphFont"/>
    <w:link w:val="Heading1"/>
    <w:uiPriority w:val="9"/>
    <w:rsid w:val="002C5B95"/>
    <w:rPr>
      <w:rFonts w:ascii="Arial" w:hAnsi="Arial"/>
      <w:b/>
      <w:kern w:val="28"/>
      <w:sz w:val="28"/>
    </w:rPr>
  </w:style>
  <w:style w:type="character" w:customStyle="1" w:styleId="Heading3Char">
    <w:name w:val="Heading 3 Char"/>
    <w:basedOn w:val="DefaultParagraphFont"/>
    <w:link w:val="Heading3"/>
    <w:semiHidden/>
    <w:rsid w:val="000E66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633994">
      <w:bodyDiv w:val="1"/>
      <w:marLeft w:val="0"/>
      <w:marRight w:val="0"/>
      <w:marTop w:val="0"/>
      <w:marBottom w:val="0"/>
      <w:divBdr>
        <w:top w:val="none" w:sz="0" w:space="0" w:color="auto"/>
        <w:left w:val="none" w:sz="0" w:space="0" w:color="auto"/>
        <w:bottom w:val="none" w:sz="0" w:space="0" w:color="auto"/>
        <w:right w:val="none" w:sz="0" w:space="0" w:color="auto"/>
      </w:divBdr>
    </w:div>
    <w:div w:id="19863021">
      <w:bodyDiv w:val="1"/>
      <w:marLeft w:val="0"/>
      <w:marRight w:val="0"/>
      <w:marTop w:val="0"/>
      <w:marBottom w:val="0"/>
      <w:divBdr>
        <w:top w:val="none" w:sz="0" w:space="0" w:color="auto"/>
        <w:left w:val="none" w:sz="0" w:space="0" w:color="auto"/>
        <w:bottom w:val="none" w:sz="0" w:space="0" w:color="auto"/>
        <w:right w:val="none" w:sz="0" w:space="0" w:color="auto"/>
      </w:divBdr>
    </w:div>
    <w:div w:id="70738487">
      <w:bodyDiv w:val="1"/>
      <w:marLeft w:val="0"/>
      <w:marRight w:val="0"/>
      <w:marTop w:val="0"/>
      <w:marBottom w:val="0"/>
      <w:divBdr>
        <w:top w:val="none" w:sz="0" w:space="0" w:color="auto"/>
        <w:left w:val="none" w:sz="0" w:space="0" w:color="auto"/>
        <w:bottom w:val="none" w:sz="0" w:space="0" w:color="auto"/>
        <w:right w:val="none" w:sz="0" w:space="0" w:color="auto"/>
      </w:divBdr>
    </w:div>
    <w:div w:id="10905775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9624210">
      <w:bodyDiv w:val="1"/>
      <w:marLeft w:val="0"/>
      <w:marRight w:val="0"/>
      <w:marTop w:val="0"/>
      <w:marBottom w:val="0"/>
      <w:divBdr>
        <w:top w:val="none" w:sz="0" w:space="0" w:color="auto"/>
        <w:left w:val="none" w:sz="0" w:space="0" w:color="auto"/>
        <w:bottom w:val="none" w:sz="0" w:space="0" w:color="auto"/>
        <w:right w:val="none" w:sz="0" w:space="0" w:color="auto"/>
      </w:divBdr>
    </w:div>
    <w:div w:id="350452738">
      <w:bodyDiv w:val="1"/>
      <w:marLeft w:val="0"/>
      <w:marRight w:val="0"/>
      <w:marTop w:val="0"/>
      <w:marBottom w:val="0"/>
      <w:divBdr>
        <w:top w:val="none" w:sz="0" w:space="0" w:color="auto"/>
        <w:left w:val="none" w:sz="0" w:space="0" w:color="auto"/>
        <w:bottom w:val="none" w:sz="0" w:space="0" w:color="auto"/>
        <w:right w:val="none" w:sz="0" w:space="0" w:color="auto"/>
      </w:divBdr>
    </w:div>
    <w:div w:id="385489151">
      <w:bodyDiv w:val="1"/>
      <w:marLeft w:val="0"/>
      <w:marRight w:val="0"/>
      <w:marTop w:val="0"/>
      <w:marBottom w:val="0"/>
      <w:divBdr>
        <w:top w:val="none" w:sz="0" w:space="0" w:color="auto"/>
        <w:left w:val="none" w:sz="0" w:space="0" w:color="auto"/>
        <w:bottom w:val="none" w:sz="0" w:space="0" w:color="auto"/>
        <w:right w:val="none" w:sz="0" w:space="0" w:color="auto"/>
      </w:divBdr>
    </w:div>
    <w:div w:id="423962433">
      <w:bodyDiv w:val="1"/>
      <w:marLeft w:val="0"/>
      <w:marRight w:val="0"/>
      <w:marTop w:val="0"/>
      <w:marBottom w:val="0"/>
      <w:divBdr>
        <w:top w:val="none" w:sz="0" w:space="0" w:color="auto"/>
        <w:left w:val="none" w:sz="0" w:space="0" w:color="auto"/>
        <w:bottom w:val="none" w:sz="0" w:space="0" w:color="auto"/>
        <w:right w:val="none" w:sz="0" w:space="0" w:color="auto"/>
      </w:divBdr>
    </w:div>
    <w:div w:id="5235157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4166359">
      <w:bodyDiv w:val="1"/>
      <w:marLeft w:val="0"/>
      <w:marRight w:val="0"/>
      <w:marTop w:val="0"/>
      <w:marBottom w:val="0"/>
      <w:divBdr>
        <w:top w:val="none" w:sz="0" w:space="0" w:color="auto"/>
        <w:left w:val="none" w:sz="0" w:space="0" w:color="auto"/>
        <w:bottom w:val="none" w:sz="0" w:space="0" w:color="auto"/>
        <w:right w:val="none" w:sz="0" w:space="0" w:color="auto"/>
      </w:divBdr>
    </w:div>
    <w:div w:id="668211235">
      <w:bodyDiv w:val="1"/>
      <w:marLeft w:val="0"/>
      <w:marRight w:val="0"/>
      <w:marTop w:val="0"/>
      <w:marBottom w:val="0"/>
      <w:divBdr>
        <w:top w:val="none" w:sz="0" w:space="0" w:color="auto"/>
        <w:left w:val="none" w:sz="0" w:space="0" w:color="auto"/>
        <w:bottom w:val="none" w:sz="0" w:space="0" w:color="auto"/>
        <w:right w:val="none" w:sz="0" w:space="0" w:color="auto"/>
      </w:divBdr>
    </w:div>
    <w:div w:id="718438271">
      <w:bodyDiv w:val="1"/>
      <w:marLeft w:val="0"/>
      <w:marRight w:val="0"/>
      <w:marTop w:val="0"/>
      <w:marBottom w:val="0"/>
      <w:divBdr>
        <w:top w:val="none" w:sz="0" w:space="0" w:color="auto"/>
        <w:left w:val="none" w:sz="0" w:space="0" w:color="auto"/>
        <w:bottom w:val="none" w:sz="0" w:space="0" w:color="auto"/>
        <w:right w:val="none" w:sz="0" w:space="0" w:color="auto"/>
      </w:divBdr>
    </w:div>
    <w:div w:id="796490615">
      <w:bodyDiv w:val="1"/>
      <w:marLeft w:val="0"/>
      <w:marRight w:val="0"/>
      <w:marTop w:val="0"/>
      <w:marBottom w:val="0"/>
      <w:divBdr>
        <w:top w:val="none" w:sz="0" w:space="0" w:color="auto"/>
        <w:left w:val="none" w:sz="0" w:space="0" w:color="auto"/>
        <w:bottom w:val="none" w:sz="0" w:space="0" w:color="auto"/>
        <w:right w:val="none" w:sz="0" w:space="0" w:color="auto"/>
      </w:divBdr>
    </w:div>
    <w:div w:id="877740769">
      <w:bodyDiv w:val="1"/>
      <w:marLeft w:val="0"/>
      <w:marRight w:val="0"/>
      <w:marTop w:val="0"/>
      <w:marBottom w:val="0"/>
      <w:divBdr>
        <w:top w:val="none" w:sz="0" w:space="0" w:color="auto"/>
        <w:left w:val="none" w:sz="0" w:space="0" w:color="auto"/>
        <w:bottom w:val="none" w:sz="0" w:space="0" w:color="auto"/>
        <w:right w:val="none" w:sz="0" w:space="0" w:color="auto"/>
      </w:divBdr>
    </w:div>
    <w:div w:id="9728275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409246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1749288">
      <w:bodyDiv w:val="1"/>
      <w:marLeft w:val="0"/>
      <w:marRight w:val="0"/>
      <w:marTop w:val="0"/>
      <w:marBottom w:val="0"/>
      <w:divBdr>
        <w:top w:val="none" w:sz="0" w:space="0" w:color="auto"/>
        <w:left w:val="none" w:sz="0" w:space="0" w:color="auto"/>
        <w:bottom w:val="none" w:sz="0" w:space="0" w:color="auto"/>
        <w:right w:val="none" w:sz="0" w:space="0" w:color="auto"/>
      </w:divBdr>
    </w:div>
    <w:div w:id="1224826969">
      <w:bodyDiv w:val="1"/>
      <w:marLeft w:val="0"/>
      <w:marRight w:val="0"/>
      <w:marTop w:val="0"/>
      <w:marBottom w:val="0"/>
      <w:divBdr>
        <w:top w:val="none" w:sz="0" w:space="0" w:color="auto"/>
        <w:left w:val="none" w:sz="0" w:space="0" w:color="auto"/>
        <w:bottom w:val="none" w:sz="0" w:space="0" w:color="auto"/>
        <w:right w:val="none" w:sz="0" w:space="0" w:color="auto"/>
      </w:divBdr>
    </w:div>
    <w:div w:id="1242058769">
      <w:bodyDiv w:val="1"/>
      <w:marLeft w:val="0"/>
      <w:marRight w:val="0"/>
      <w:marTop w:val="0"/>
      <w:marBottom w:val="0"/>
      <w:divBdr>
        <w:top w:val="none" w:sz="0" w:space="0" w:color="auto"/>
        <w:left w:val="none" w:sz="0" w:space="0" w:color="auto"/>
        <w:bottom w:val="none" w:sz="0" w:space="0" w:color="auto"/>
        <w:right w:val="none" w:sz="0" w:space="0" w:color="auto"/>
      </w:divBdr>
    </w:div>
    <w:div w:id="1244221805">
      <w:bodyDiv w:val="1"/>
      <w:marLeft w:val="0"/>
      <w:marRight w:val="0"/>
      <w:marTop w:val="0"/>
      <w:marBottom w:val="0"/>
      <w:divBdr>
        <w:top w:val="none" w:sz="0" w:space="0" w:color="auto"/>
        <w:left w:val="none" w:sz="0" w:space="0" w:color="auto"/>
        <w:bottom w:val="none" w:sz="0" w:space="0" w:color="auto"/>
        <w:right w:val="none" w:sz="0" w:space="0" w:color="auto"/>
      </w:divBdr>
    </w:div>
    <w:div w:id="1349059519">
      <w:bodyDiv w:val="1"/>
      <w:marLeft w:val="0"/>
      <w:marRight w:val="0"/>
      <w:marTop w:val="0"/>
      <w:marBottom w:val="0"/>
      <w:divBdr>
        <w:top w:val="none" w:sz="0" w:space="0" w:color="auto"/>
        <w:left w:val="none" w:sz="0" w:space="0" w:color="auto"/>
        <w:bottom w:val="none" w:sz="0" w:space="0" w:color="auto"/>
        <w:right w:val="none" w:sz="0" w:space="0" w:color="auto"/>
      </w:divBdr>
    </w:div>
    <w:div w:id="1431896146">
      <w:bodyDiv w:val="1"/>
      <w:marLeft w:val="0"/>
      <w:marRight w:val="0"/>
      <w:marTop w:val="0"/>
      <w:marBottom w:val="0"/>
      <w:divBdr>
        <w:top w:val="none" w:sz="0" w:space="0" w:color="auto"/>
        <w:left w:val="none" w:sz="0" w:space="0" w:color="auto"/>
        <w:bottom w:val="none" w:sz="0" w:space="0" w:color="auto"/>
        <w:right w:val="none" w:sz="0" w:space="0" w:color="auto"/>
      </w:divBdr>
    </w:div>
    <w:div w:id="1471901857">
      <w:bodyDiv w:val="1"/>
      <w:marLeft w:val="0"/>
      <w:marRight w:val="0"/>
      <w:marTop w:val="0"/>
      <w:marBottom w:val="0"/>
      <w:divBdr>
        <w:top w:val="none" w:sz="0" w:space="0" w:color="auto"/>
        <w:left w:val="none" w:sz="0" w:space="0" w:color="auto"/>
        <w:bottom w:val="none" w:sz="0" w:space="0" w:color="auto"/>
        <w:right w:val="none" w:sz="0" w:space="0" w:color="auto"/>
      </w:divBdr>
    </w:div>
    <w:div w:id="1489400191">
      <w:bodyDiv w:val="1"/>
      <w:marLeft w:val="0"/>
      <w:marRight w:val="0"/>
      <w:marTop w:val="0"/>
      <w:marBottom w:val="0"/>
      <w:divBdr>
        <w:top w:val="none" w:sz="0" w:space="0" w:color="auto"/>
        <w:left w:val="none" w:sz="0" w:space="0" w:color="auto"/>
        <w:bottom w:val="none" w:sz="0" w:space="0" w:color="auto"/>
        <w:right w:val="none" w:sz="0" w:space="0" w:color="auto"/>
      </w:divBdr>
    </w:div>
    <w:div w:id="15415475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43804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4638905">
      <w:bodyDiv w:val="1"/>
      <w:marLeft w:val="0"/>
      <w:marRight w:val="0"/>
      <w:marTop w:val="0"/>
      <w:marBottom w:val="0"/>
      <w:divBdr>
        <w:top w:val="none" w:sz="0" w:space="0" w:color="auto"/>
        <w:left w:val="none" w:sz="0" w:space="0" w:color="auto"/>
        <w:bottom w:val="none" w:sz="0" w:space="0" w:color="auto"/>
        <w:right w:val="none" w:sz="0" w:space="0" w:color="auto"/>
      </w:divBdr>
    </w:div>
    <w:div w:id="21109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 dockstate="right" visibility="0" width="438"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DDCA41-DCE3-4C65-AA9D-866D0E1B0DB9}">
  <we:reference id="wa104382081" version="1.55.1.0" store="id-ID" storeType="OMEX"/>
  <we:alternateReferences>
    <we:reference id="WA104382081" version="1.55.1.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7B6F3D-D667-4FB6-8DEA-6FFDB982CC7B}">
  <we:reference id="wa200000368" version="1.0.0.0" store="en-US" storeType="OMEX"/>
  <we:alternateReferences>
    <we:reference id="WA200000368" version="1.0.0.0" store="" storeType="OMEX"/>
  </we:alternateReferences>
  <we:properties>
    <we:property name="documentId" value="&quot;4be0247ed92ef08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0A56-F3EC-49BE-9053-CCA0240A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233</TotalTime>
  <Pages>14</Pages>
  <Words>22058</Words>
  <Characters>125734</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147498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Musa Banunaek</cp:lastModifiedBy>
  <cp:revision>35</cp:revision>
  <cp:lastPrinted>2026-02-27T04:55:00Z</cp:lastPrinted>
  <dcterms:created xsi:type="dcterms:W3CDTF">2026-02-21T04:29:00Z</dcterms:created>
  <dcterms:modified xsi:type="dcterms:W3CDTF">2026-02-27T05:23:00Z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https://csl.mendeley.com/styles/21371271/Jurnal-Agrikultura</vt:lpwstr>
  </property>
  <property fmtid="{D5CDD505-2E9C-101B-9397-08002B2CF9AE}" pid="17" name="Mendeley Recent Style Name 7_1">
    <vt:lpwstr>Jurnal Agrikultura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http://csl.mendeley.com/styles/754235221/vancouver</vt:lpwstr>
  </property>
  <property fmtid="{D5CDD505-2E9C-101B-9397-08002B2CF9AE}" pid="21" name="Mendeley Recent Style Name 9_1">
    <vt:lpwstr>Vancouver - Musa  Banunaek</vt:lpwstr>
  </property>
  <property fmtid="{D5CDD505-2E9C-101B-9397-08002B2CF9AE}" pid="22" name="Mendeley Document_1">
    <vt:lpwstr>True</vt:lpwstr>
  </property>
  <property fmtid="{D5CDD505-2E9C-101B-9397-08002B2CF9AE}" pid="23" name="Mendeley Unique User Id_1">
    <vt:lpwstr>c133c00e-4a55-3e52-afa7-f7dbcd81b28c</vt:lpwstr>
  </property>
  <property fmtid="{D5CDD505-2E9C-101B-9397-08002B2CF9AE}" pid="24" name="Mendeley Citation Style_1">
    <vt:lpwstr>http://www.zotero.org/styles/apa</vt:lpwstr>
  </property>
</Properties>
</file>