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837F" w14:textId="77777777" w:rsidR="007E02E3" w:rsidRPr="007E02E3" w:rsidRDefault="007E02E3" w:rsidP="007E02E3">
      <w:pPr>
        <w:rPr>
          <w:rFonts w:ascii="Arial" w:hAnsi="Arial" w:cs="Arial"/>
          <w:b/>
          <w:bCs/>
          <w:i/>
          <w:iCs/>
          <w:u w:val="single"/>
          <w:lang w:val="en-US"/>
        </w:rPr>
      </w:pPr>
      <w:r w:rsidRPr="007E02E3">
        <w:rPr>
          <w:rFonts w:ascii="Arial" w:hAnsi="Arial" w:cs="Arial"/>
          <w:b/>
          <w:bCs/>
          <w:i/>
          <w:iCs/>
          <w:u w:val="single"/>
          <w:lang w:val="en-US"/>
        </w:rPr>
        <w:t>Original Research Article</w:t>
      </w:r>
    </w:p>
    <w:p w14:paraId="64651AA6" w14:textId="11ED6FCE" w:rsidR="00FE1D1A" w:rsidRPr="0039650C" w:rsidRDefault="00FE1D1A">
      <w:pPr>
        <w:rPr>
          <w:rFonts w:ascii="Arial" w:hAnsi="Arial" w:cs="Arial"/>
          <w:b/>
        </w:rPr>
      </w:pPr>
      <w:r w:rsidRPr="0039650C">
        <w:rPr>
          <w:rFonts w:ascii="Arial" w:hAnsi="Arial" w:cs="Arial"/>
          <w:b/>
        </w:rPr>
        <w:t>GC-</w:t>
      </w:r>
      <w:r w:rsidR="00056584" w:rsidRPr="0039650C">
        <w:rPr>
          <w:rFonts w:ascii="Arial" w:hAnsi="Arial" w:cs="Arial"/>
          <w:b/>
        </w:rPr>
        <w:t>MS ANALYSIS</w:t>
      </w:r>
      <w:r w:rsidRPr="0039650C">
        <w:rPr>
          <w:rFonts w:ascii="Arial" w:hAnsi="Arial" w:cs="Arial"/>
          <w:b/>
        </w:rPr>
        <w:t xml:space="preserve"> OF BIOACTIVE COMPONENTS OF</w:t>
      </w:r>
      <w:r w:rsidR="00FE2D56" w:rsidRPr="00FE2D56">
        <w:rPr>
          <w:rFonts w:ascii="Arial" w:hAnsi="Arial" w:cs="Arial"/>
          <w:sz w:val="20"/>
          <w:szCs w:val="20"/>
        </w:rPr>
        <w:t xml:space="preserve"> </w:t>
      </w:r>
      <w:r w:rsidR="00FE2D56" w:rsidRPr="00FE2D56">
        <w:rPr>
          <w:rFonts w:ascii="Arial" w:hAnsi="Arial" w:cs="Arial"/>
          <w:b/>
          <w:sz w:val="20"/>
          <w:szCs w:val="20"/>
        </w:rPr>
        <w:t>AQUEOUS</w:t>
      </w:r>
      <w:r w:rsidR="00FE2D56" w:rsidRPr="0039650C">
        <w:rPr>
          <w:rFonts w:ascii="Arial" w:hAnsi="Arial" w:cs="Arial"/>
          <w:b/>
          <w:lang w:val="en-US"/>
        </w:rPr>
        <w:t xml:space="preserve"> </w:t>
      </w:r>
      <w:r w:rsidRPr="0039650C">
        <w:rPr>
          <w:rFonts w:ascii="Arial" w:hAnsi="Arial" w:cs="Arial"/>
          <w:b/>
          <w:lang w:val="en-US"/>
        </w:rPr>
        <w:t>LE</w:t>
      </w:r>
      <w:r w:rsidR="003D5FE4">
        <w:rPr>
          <w:rFonts w:ascii="Arial" w:hAnsi="Arial" w:cs="Arial"/>
          <w:b/>
          <w:lang w:val="en-US"/>
        </w:rPr>
        <w:t>AF</w:t>
      </w:r>
      <w:r w:rsidRPr="0039650C">
        <w:rPr>
          <w:rFonts w:ascii="Arial" w:hAnsi="Arial" w:cs="Arial"/>
          <w:b/>
          <w:lang w:val="en-US"/>
        </w:rPr>
        <w:t xml:space="preserve"> </w:t>
      </w:r>
      <w:r w:rsidRPr="0039650C">
        <w:rPr>
          <w:rFonts w:ascii="Arial" w:hAnsi="Arial" w:cs="Arial"/>
          <w:b/>
        </w:rPr>
        <w:t xml:space="preserve">EXTRACT OF </w:t>
      </w:r>
      <w:bookmarkStart w:id="0" w:name="_Hlk224203322"/>
      <w:r w:rsidRPr="0039650C">
        <w:rPr>
          <w:rFonts w:ascii="Arial" w:hAnsi="Arial" w:cs="Arial"/>
          <w:b/>
          <w:i/>
        </w:rPr>
        <w:t xml:space="preserve">AMARANTHUS SPINOSUS </w:t>
      </w:r>
      <w:bookmarkEnd w:id="0"/>
    </w:p>
    <w:p w14:paraId="15BC4E9D" w14:textId="77777777" w:rsidR="00FE1D1A" w:rsidRPr="0039650C" w:rsidRDefault="00FE1D1A">
      <w:pPr>
        <w:rPr>
          <w:rFonts w:ascii="Arial" w:hAnsi="Arial" w:cs="Arial"/>
          <w:sz w:val="20"/>
          <w:szCs w:val="20"/>
        </w:rPr>
      </w:pPr>
    </w:p>
    <w:p w14:paraId="2FEF2D5E" w14:textId="77777777" w:rsidR="004707B2" w:rsidRPr="0039650C" w:rsidRDefault="004707B2">
      <w:pPr>
        <w:rPr>
          <w:rFonts w:ascii="Arial" w:hAnsi="Arial" w:cs="Arial"/>
          <w:sz w:val="20"/>
          <w:szCs w:val="20"/>
        </w:rPr>
      </w:pPr>
    </w:p>
    <w:p w14:paraId="05AC3A61" w14:textId="77777777" w:rsidR="00FE1D1A" w:rsidRDefault="00FE1D1A" w:rsidP="00FE1D1A">
      <w:pPr>
        <w:jc w:val="both"/>
        <w:rPr>
          <w:rFonts w:ascii="Arial" w:hAnsi="Arial" w:cs="Arial"/>
          <w:b/>
          <w:sz w:val="20"/>
          <w:szCs w:val="20"/>
        </w:rPr>
      </w:pPr>
      <w:r w:rsidRPr="0039650C">
        <w:rPr>
          <w:rFonts w:ascii="Arial" w:hAnsi="Arial" w:cs="Arial"/>
          <w:b/>
          <w:sz w:val="20"/>
          <w:szCs w:val="20"/>
        </w:rPr>
        <w:t>ABSTRACT</w:t>
      </w:r>
    </w:p>
    <w:p w14:paraId="3B485CCD" w14:textId="78777163" w:rsidR="00873AE6" w:rsidRDefault="00873AE6" w:rsidP="00873AE6">
      <w:pPr>
        <w:jc w:val="both"/>
        <w:rPr>
          <w:rFonts w:ascii="Arial" w:hAnsi="Arial" w:cs="Arial"/>
          <w:b/>
          <w:sz w:val="20"/>
          <w:szCs w:val="20"/>
        </w:rPr>
      </w:pPr>
      <w:r w:rsidRPr="0039650C">
        <w:rPr>
          <w:rFonts w:ascii="Arial" w:hAnsi="Arial" w:cs="Arial"/>
          <w:b/>
          <w:sz w:val="20"/>
          <w:szCs w:val="20"/>
        </w:rPr>
        <w:t>Background:</w:t>
      </w:r>
      <w:r w:rsidRPr="0039650C">
        <w:rPr>
          <w:rFonts w:ascii="Arial" w:hAnsi="Arial" w:cs="Arial"/>
          <w:sz w:val="20"/>
          <w:szCs w:val="20"/>
        </w:rPr>
        <w:t xml:space="preserve"> </w:t>
      </w:r>
      <w:r w:rsidR="0032299D" w:rsidRPr="0032299D">
        <w:rPr>
          <w:rFonts w:ascii="Arial" w:hAnsi="Arial" w:cs="Arial"/>
          <w:sz w:val="20"/>
          <w:szCs w:val="20"/>
        </w:rPr>
        <w:t xml:space="preserve">Medicinal plants remain an important source of biologically active compounds used in modern drug discovery. This study investigated the phytochemical constituents of Amaranthus </w:t>
      </w:r>
      <w:proofErr w:type="spellStart"/>
      <w:r w:rsidR="0032299D" w:rsidRPr="0032299D">
        <w:rPr>
          <w:rFonts w:ascii="Arial" w:hAnsi="Arial" w:cs="Arial"/>
          <w:sz w:val="20"/>
          <w:szCs w:val="20"/>
        </w:rPr>
        <w:t>spinosus</w:t>
      </w:r>
      <w:proofErr w:type="spellEnd"/>
      <w:r w:rsidR="0032299D" w:rsidRPr="0032299D">
        <w:rPr>
          <w:rFonts w:ascii="Arial" w:hAnsi="Arial" w:cs="Arial"/>
          <w:sz w:val="20"/>
          <w:szCs w:val="20"/>
        </w:rPr>
        <w:t xml:space="preserve"> leaf extract using Gas Chromatography–Mass Spectrometry (GC–MS) to identify potential bioactive compounds responsible for its pharmacological properties.</w:t>
      </w:r>
    </w:p>
    <w:p w14:paraId="7BAC256B" w14:textId="77777777" w:rsidR="0032299D" w:rsidRDefault="00873AE6" w:rsidP="00873AE6">
      <w:pPr>
        <w:jc w:val="both"/>
        <w:rPr>
          <w:rFonts w:ascii="Arial" w:hAnsi="Arial" w:cs="Arial"/>
          <w:sz w:val="20"/>
          <w:szCs w:val="20"/>
        </w:rPr>
      </w:pPr>
      <w:r w:rsidRPr="0039650C">
        <w:rPr>
          <w:rFonts w:ascii="Arial" w:hAnsi="Arial" w:cs="Arial"/>
          <w:b/>
          <w:sz w:val="20"/>
          <w:szCs w:val="20"/>
        </w:rPr>
        <w:t>Materials and Method:</w:t>
      </w:r>
      <w:r w:rsidRPr="0039650C">
        <w:rPr>
          <w:rFonts w:ascii="Arial" w:hAnsi="Arial" w:cs="Arial"/>
          <w:sz w:val="20"/>
          <w:szCs w:val="20"/>
        </w:rPr>
        <w:t xml:space="preserve"> </w:t>
      </w:r>
      <w:proofErr w:type="spellStart"/>
      <w:r w:rsidR="0032299D" w:rsidRPr="0032299D">
        <w:rPr>
          <w:rFonts w:ascii="Arial" w:hAnsi="Arial" w:cs="Arial"/>
          <w:sz w:val="20"/>
          <w:szCs w:val="20"/>
        </w:rPr>
        <w:t>resh</w:t>
      </w:r>
      <w:proofErr w:type="spellEnd"/>
      <w:r w:rsidR="0032299D" w:rsidRPr="0032299D">
        <w:rPr>
          <w:rFonts w:ascii="Arial" w:hAnsi="Arial" w:cs="Arial"/>
          <w:sz w:val="20"/>
          <w:szCs w:val="20"/>
        </w:rPr>
        <w:t xml:space="preserve"> leaves of Amaranthus </w:t>
      </w:r>
      <w:proofErr w:type="spellStart"/>
      <w:r w:rsidR="0032299D" w:rsidRPr="0032299D">
        <w:rPr>
          <w:rFonts w:ascii="Arial" w:hAnsi="Arial" w:cs="Arial"/>
          <w:sz w:val="20"/>
          <w:szCs w:val="20"/>
        </w:rPr>
        <w:t>spinosus</w:t>
      </w:r>
      <w:proofErr w:type="spellEnd"/>
      <w:r w:rsidR="0032299D" w:rsidRPr="0032299D">
        <w:rPr>
          <w:rFonts w:ascii="Arial" w:hAnsi="Arial" w:cs="Arial"/>
          <w:sz w:val="20"/>
          <w:szCs w:val="20"/>
        </w:rPr>
        <w:t xml:space="preserve"> were collected, shade-dried, pulverized, and extracted using aqueous extraction methods. The crude extract was subsequently </w:t>
      </w:r>
      <w:proofErr w:type="spellStart"/>
      <w:r w:rsidR="0032299D" w:rsidRPr="0032299D">
        <w:rPr>
          <w:rFonts w:ascii="Arial" w:hAnsi="Arial" w:cs="Arial"/>
          <w:sz w:val="20"/>
          <w:szCs w:val="20"/>
        </w:rPr>
        <w:t>analyzed</w:t>
      </w:r>
      <w:proofErr w:type="spellEnd"/>
      <w:r w:rsidR="0032299D" w:rsidRPr="0032299D">
        <w:rPr>
          <w:rFonts w:ascii="Arial" w:hAnsi="Arial" w:cs="Arial"/>
          <w:sz w:val="20"/>
          <w:szCs w:val="20"/>
        </w:rPr>
        <w:t xml:space="preserve"> by GC–MS, and the compounds were identified based on retention time, molecular weight, molecular formula, and comparison of mass spectra with the database of the National Institute of Standards and Technology (NIST).</w:t>
      </w:r>
    </w:p>
    <w:p w14:paraId="0CF63901" w14:textId="74B0E586" w:rsidR="00873AE6" w:rsidRPr="0085744E" w:rsidRDefault="0085744E" w:rsidP="00873AE6">
      <w:pPr>
        <w:jc w:val="both"/>
        <w:rPr>
          <w:rFonts w:ascii="Arial" w:hAnsi="Arial" w:cs="Arial"/>
          <w:sz w:val="20"/>
          <w:szCs w:val="20"/>
        </w:rPr>
      </w:pPr>
      <w:r w:rsidRPr="0039650C">
        <w:rPr>
          <w:rFonts w:ascii="Arial" w:hAnsi="Arial" w:cs="Arial"/>
          <w:b/>
          <w:sz w:val="20"/>
          <w:szCs w:val="20"/>
        </w:rPr>
        <w:t>Results:</w:t>
      </w:r>
      <w:r>
        <w:rPr>
          <w:rFonts w:ascii="Arial" w:hAnsi="Arial" w:cs="Arial"/>
          <w:sz w:val="20"/>
          <w:szCs w:val="20"/>
          <w:lang w:val="en-US"/>
        </w:rPr>
        <w:t xml:space="preserve"> </w:t>
      </w:r>
      <w:r w:rsidR="0032299D" w:rsidRPr="0032299D">
        <w:rPr>
          <w:rFonts w:ascii="Arial" w:hAnsi="Arial" w:cs="Arial"/>
          <w:sz w:val="20"/>
          <w:szCs w:val="20"/>
        </w:rPr>
        <w:t xml:space="preserve">The GC–MS analysis revealed the presence of twenty-four phytochemical compounds with retention times ranging from 1.422 to 22.795 minutes. The identified constituents belonged to several chemical classes, including esters, lactones, fatty acid derivatives, terpenoids, aromatic compounds, and nitrogen-containing heterocyclic compounds. Among the detected compounds, 4-Methoxy-6-methyl-6,7-dihydro-4H-furo[3,2-c]pyran showed the highest relative abundance (11.78%), followed by 3,4-Di-O-methyl-2-deoxy-D-ribono-1,5-lactone (10.00%), </w:t>
      </w:r>
      <w:proofErr w:type="spellStart"/>
      <w:r w:rsidR="0032299D" w:rsidRPr="0032299D">
        <w:rPr>
          <w:rFonts w:ascii="Arial" w:hAnsi="Arial" w:cs="Arial"/>
          <w:sz w:val="20"/>
          <w:szCs w:val="20"/>
        </w:rPr>
        <w:t>Cyclohexanemethyl</w:t>
      </w:r>
      <w:proofErr w:type="spellEnd"/>
      <w:r w:rsidR="0032299D" w:rsidRPr="0032299D">
        <w:rPr>
          <w:rFonts w:ascii="Arial" w:hAnsi="Arial" w:cs="Arial"/>
          <w:sz w:val="20"/>
          <w:szCs w:val="20"/>
        </w:rPr>
        <w:t xml:space="preserve"> propanoate (6.08%), 1-Propanone, 1-[5-ethyl-3-(5-nitro-2-furanyl)-1H-1,2,4-triazol-1-yl] (5.72%), and 2-Naphthalenemethanol derivatives (5.26%). Other notable compounds included </w:t>
      </w:r>
      <w:proofErr w:type="spellStart"/>
      <w:r w:rsidR="0032299D" w:rsidRPr="0032299D">
        <w:rPr>
          <w:rFonts w:ascii="Arial" w:hAnsi="Arial" w:cs="Arial"/>
          <w:sz w:val="20"/>
          <w:szCs w:val="20"/>
        </w:rPr>
        <w:t>Hexadecanoic</w:t>
      </w:r>
      <w:proofErr w:type="spellEnd"/>
      <w:r w:rsidR="0032299D" w:rsidRPr="0032299D">
        <w:rPr>
          <w:rFonts w:ascii="Arial" w:hAnsi="Arial" w:cs="Arial"/>
          <w:sz w:val="20"/>
          <w:szCs w:val="20"/>
        </w:rPr>
        <w:t xml:space="preserve"> acid methyl ester, 1,3,8-p-menthatriene, and several </w:t>
      </w:r>
      <w:proofErr w:type="gramStart"/>
      <w:r w:rsidR="0032299D" w:rsidRPr="0032299D">
        <w:rPr>
          <w:rFonts w:ascii="Arial" w:hAnsi="Arial" w:cs="Arial"/>
          <w:sz w:val="20"/>
          <w:szCs w:val="20"/>
        </w:rPr>
        <w:t>pyrrole</w:t>
      </w:r>
      <w:proofErr w:type="gramEnd"/>
      <w:r w:rsidR="0032299D" w:rsidRPr="0032299D">
        <w:rPr>
          <w:rFonts w:ascii="Arial" w:hAnsi="Arial" w:cs="Arial"/>
          <w:sz w:val="20"/>
          <w:szCs w:val="20"/>
        </w:rPr>
        <w:t xml:space="preserve">, pyridine, and triazole derivatives. Many of the identified compounds have previously been reported to possess important biological activities such as antioxidant, antimicrobial, anti-inflammatory, antiviral, and anticancer properties. The presence of these diverse phytochemical constituents supports the traditional medicinal uses of Amaranthus </w:t>
      </w:r>
      <w:proofErr w:type="spellStart"/>
      <w:r w:rsidR="0032299D" w:rsidRPr="0032299D">
        <w:rPr>
          <w:rFonts w:ascii="Arial" w:hAnsi="Arial" w:cs="Arial"/>
          <w:sz w:val="20"/>
          <w:szCs w:val="20"/>
        </w:rPr>
        <w:t>spinosus</w:t>
      </w:r>
      <w:proofErr w:type="spellEnd"/>
      <w:r w:rsidR="0032299D" w:rsidRPr="0032299D">
        <w:rPr>
          <w:rFonts w:ascii="Arial" w:hAnsi="Arial" w:cs="Arial"/>
          <w:sz w:val="20"/>
          <w:szCs w:val="20"/>
        </w:rPr>
        <w:t xml:space="preserve"> and suggests that the plant may exert its therapeutic effects through synergistic interactions among multiple bioactive molecules</w:t>
      </w:r>
      <w:r w:rsidR="00873AE6" w:rsidRPr="0085744E">
        <w:rPr>
          <w:rFonts w:ascii="Arial" w:hAnsi="Arial" w:cs="Arial"/>
          <w:sz w:val="20"/>
          <w:szCs w:val="20"/>
        </w:rPr>
        <w:t>.</w:t>
      </w:r>
    </w:p>
    <w:p w14:paraId="5CF5A34B" w14:textId="1DFE03BA" w:rsidR="00873AE6" w:rsidRPr="0085744E" w:rsidRDefault="0085744E" w:rsidP="00873AE6">
      <w:pPr>
        <w:jc w:val="both"/>
        <w:rPr>
          <w:rFonts w:ascii="Arial" w:hAnsi="Arial" w:cs="Arial"/>
          <w:sz w:val="20"/>
          <w:szCs w:val="20"/>
        </w:rPr>
      </w:pPr>
      <w:r w:rsidRPr="0039650C">
        <w:rPr>
          <w:rFonts w:ascii="Arial" w:hAnsi="Arial" w:cs="Arial"/>
          <w:b/>
          <w:sz w:val="20"/>
          <w:szCs w:val="20"/>
        </w:rPr>
        <w:t>Conclusion:</w:t>
      </w:r>
      <w:r w:rsidRPr="0039650C">
        <w:rPr>
          <w:rFonts w:ascii="Arial" w:hAnsi="Arial" w:cs="Arial"/>
          <w:sz w:val="20"/>
          <w:szCs w:val="20"/>
        </w:rPr>
        <w:t xml:space="preserve"> </w:t>
      </w:r>
      <w:r w:rsidR="00873AE6" w:rsidRPr="0085744E">
        <w:rPr>
          <w:rFonts w:ascii="Arial" w:hAnsi="Arial" w:cs="Arial"/>
          <w:sz w:val="20"/>
          <w:szCs w:val="20"/>
        </w:rPr>
        <w:t xml:space="preserve">the GC–MS profiling of </w:t>
      </w:r>
      <w:r w:rsidR="00873AE6" w:rsidRPr="0085744E">
        <w:rPr>
          <w:rFonts w:ascii="Arial" w:hAnsi="Arial" w:cs="Arial"/>
          <w:i/>
          <w:sz w:val="20"/>
          <w:szCs w:val="20"/>
        </w:rPr>
        <w:t xml:space="preserve">Amaranthus </w:t>
      </w:r>
      <w:proofErr w:type="spellStart"/>
      <w:r w:rsidR="00873AE6" w:rsidRPr="0085744E">
        <w:rPr>
          <w:rFonts w:ascii="Arial" w:hAnsi="Arial" w:cs="Arial"/>
          <w:i/>
          <w:sz w:val="20"/>
          <w:szCs w:val="20"/>
        </w:rPr>
        <w:t>spinosus</w:t>
      </w:r>
      <w:proofErr w:type="spellEnd"/>
      <w:r w:rsidR="00873AE6" w:rsidRPr="0085744E">
        <w:rPr>
          <w:rFonts w:ascii="Arial" w:hAnsi="Arial" w:cs="Arial"/>
          <w:sz w:val="20"/>
          <w:szCs w:val="20"/>
        </w:rPr>
        <w:t xml:space="preserve"> leaves</w:t>
      </w:r>
      <w:r w:rsidR="00E51CA4">
        <w:rPr>
          <w:rFonts w:ascii="Arial" w:hAnsi="Arial" w:cs="Arial"/>
          <w:sz w:val="20"/>
          <w:szCs w:val="20"/>
        </w:rPr>
        <w:t xml:space="preserve"> showed that it is a </w:t>
      </w:r>
      <w:r w:rsidR="00873AE6" w:rsidRPr="0085744E">
        <w:rPr>
          <w:rFonts w:ascii="Arial" w:hAnsi="Arial" w:cs="Arial"/>
          <w:sz w:val="20"/>
          <w:szCs w:val="20"/>
        </w:rPr>
        <w:t>rich source of pharmacologically relevan</w:t>
      </w:r>
      <w:r w:rsidR="00E51CA4">
        <w:rPr>
          <w:rFonts w:ascii="Arial" w:hAnsi="Arial" w:cs="Arial"/>
          <w:sz w:val="20"/>
          <w:szCs w:val="20"/>
        </w:rPr>
        <w:t xml:space="preserve">ce. The Plant has the </w:t>
      </w:r>
      <w:r w:rsidR="00873AE6" w:rsidRPr="0085744E">
        <w:rPr>
          <w:rFonts w:ascii="Arial" w:hAnsi="Arial" w:cs="Arial"/>
          <w:sz w:val="20"/>
          <w:szCs w:val="20"/>
        </w:rPr>
        <w:t>potential in drug discovery</w:t>
      </w:r>
      <w:r w:rsidR="00E51CA4">
        <w:rPr>
          <w:rFonts w:ascii="Arial" w:hAnsi="Arial" w:cs="Arial"/>
          <w:sz w:val="20"/>
          <w:szCs w:val="20"/>
        </w:rPr>
        <w:t>, development and discovery</w:t>
      </w:r>
      <w:r w:rsidR="00873AE6" w:rsidRPr="0085744E">
        <w:rPr>
          <w:rFonts w:ascii="Arial" w:hAnsi="Arial" w:cs="Arial"/>
          <w:sz w:val="20"/>
          <w:szCs w:val="20"/>
        </w:rPr>
        <w:t>. Further studies focusing on the isolation, purification, and biological evaluation of the identified compounds are recommended to fully elucidate their therapeutic potential.</w:t>
      </w:r>
    </w:p>
    <w:p w14:paraId="56865C78" w14:textId="77777777" w:rsidR="00873AE6" w:rsidRDefault="00873AE6" w:rsidP="00FE1D1A">
      <w:pPr>
        <w:jc w:val="both"/>
        <w:rPr>
          <w:rFonts w:ascii="Arial" w:hAnsi="Arial" w:cs="Arial"/>
          <w:b/>
          <w:sz w:val="20"/>
          <w:szCs w:val="20"/>
        </w:rPr>
      </w:pPr>
    </w:p>
    <w:p w14:paraId="7B965AD5" w14:textId="77777777" w:rsidR="00873AE6" w:rsidRPr="0039650C" w:rsidRDefault="00873AE6" w:rsidP="00FE1D1A">
      <w:pPr>
        <w:jc w:val="both"/>
        <w:rPr>
          <w:rFonts w:ascii="Arial" w:hAnsi="Arial" w:cs="Arial"/>
          <w:b/>
          <w:sz w:val="20"/>
          <w:szCs w:val="20"/>
        </w:rPr>
      </w:pPr>
    </w:p>
    <w:p w14:paraId="52278527" w14:textId="77777777" w:rsidR="00FE1D1A" w:rsidRPr="0039650C" w:rsidRDefault="00FE1D1A" w:rsidP="00FE1D1A">
      <w:pPr>
        <w:jc w:val="both"/>
        <w:rPr>
          <w:rFonts w:ascii="Arial" w:hAnsi="Arial" w:cs="Arial"/>
          <w:sz w:val="20"/>
          <w:szCs w:val="20"/>
        </w:rPr>
      </w:pPr>
    </w:p>
    <w:p w14:paraId="512C1909" w14:textId="77777777" w:rsidR="00FE1D1A" w:rsidRPr="0039650C" w:rsidRDefault="00FE1D1A" w:rsidP="00FE1D1A">
      <w:pPr>
        <w:jc w:val="both"/>
        <w:rPr>
          <w:rFonts w:ascii="Arial" w:hAnsi="Arial" w:cs="Arial"/>
          <w:sz w:val="20"/>
          <w:szCs w:val="20"/>
        </w:rPr>
      </w:pPr>
    </w:p>
    <w:p w14:paraId="23C94F61" w14:textId="77777777" w:rsidR="00FE1D1A" w:rsidRPr="0039650C" w:rsidRDefault="00FE1D1A" w:rsidP="00FE1D1A">
      <w:pPr>
        <w:jc w:val="both"/>
        <w:rPr>
          <w:rFonts w:ascii="Arial" w:hAnsi="Arial" w:cs="Arial"/>
          <w:sz w:val="20"/>
          <w:szCs w:val="20"/>
        </w:rPr>
      </w:pPr>
    </w:p>
    <w:p w14:paraId="7CF6FF4C" w14:textId="77777777" w:rsidR="00FE1D1A" w:rsidRPr="0039650C" w:rsidRDefault="00FE1D1A" w:rsidP="00FE1D1A">
      <w:pPr>
        <w:jc w:val="both"/>
        <w:rPr>
          <w:rFonts w:ascii="Arial" w:hAnsi="Arial" w:cs="Arial"/>
          <w:sz w:val="20"/>
          <w:szCs w:val="20"/>
        </w:rPr>
      </w:pPr>
    </w:p>
    <w:p w14:paraId="2AACF641" w14:textId="77777777" w:rsidR="00FE1D1A" w:rsidRPr="0039650C" w:rsidRDefault="00FE1D1A" w:rsidP="00FE1D1A">
      <w:pPr>
        <w:jc w:val="both"/>
        <w:rPr>
          <w:rFonts w:ascii="Arial" w:hAnsi="Arial" w:cs="Arial"/>
          <w:sz w:val="20"/>
          <w:szCs w:val="20"/>
        </w:rPr>
      </w:pPr>
    </w:p>
    <w:p w14:paraId="486FE7F7" w14:textId="77777777" w:rsidR="00FE1D1A" w:rsidRPr="0039650C" w:rsidRDefault="00FE1D1A" w:rsidP="00FE1D1A">
      <w:pPr>
        <w:jc w:val="both"/>
        <w:rPr>
          <w:rFonts w:ascii="Arial" w:hAnsi="Arial" w:cs="Arial"/>
          <w:sz w:val="20"/>
          <w:szCs w:val="20"/>
        </w:rPr>
      </w:pPr>
    </w:p>
    <w:p w14:paraId="0822CC18" w14:textId="77777777" w:rsidR="00FE1D1A" w:rsidRPr="0039650C" w:rsidRDefault="00FE1D1A" w:rsidP="00FE1D1A">
      <w:pPr>
        <w:jc w:val="both"/>
        <w:rPr>
          <w:rFonts w:ascii="Arial" w:hAnsi="Arial" w:cs="Arial"/>
          <w:sz w:val="20"/>
          <w:szCs w:val="20"/>
        </w:rPr>
      </w:pPr>
    </w:p>
    <w:p w14:paraId="39FC74A2" w14:textId="77777777" w:rsidR="00FE1D1A" w:rsidRPr="0039650C" w:rsidRDefault="00FE1D1A" w:rsidP="00FE1D1A">
      <w:pPr>
        <w:jc w:val="both"/>
        <w:rPr>
          <w:rFonts w:ascii="Arial" w:hAnsi="Arial" w:cs="Arial"/>
          <w:sz w:val="20"/>
          <w:szCs w:val="20"/>
        </w:rPr>
      </w:pPr>
    </w:p>
    <w:p w14:paraId="101D428E" w14:textId="77777777" w:rsidR="00FE1D1A" w:rsidRPr="0039650C" w:rsidRDefault="00FE1D1A">
      <w:pPr>
        <w:rPr>
          <w:rFonts w:ascii="Arial" w:hAnsi="Arial" w:cs="Arial"/>
          <w:b/>
          <w:lang w:val="en-US"/>
        </w:rPr>
      </w:pPr>
      <w:r w:rsidRPr="0039650C">
        <w:rPr>
          <w:rFonts w:ascii="Arial" w:hAnsi="Arial" w:cs="Arial"/>
          <w:b/>
          <w:lang w:val="en-US"/>
        </w:rPr>
        <w:lastRenderedPageBreak/>
        <w:t>INTRODUCTION</w:t>
      </w:r>
    </w:p>
    <w:p w14:paraId="4D8EE926"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For centuries, plants have served as an essential source of therapeutic agents used in the treatment and prevention of numerous human and animal diseases</w:t>
      </w:r>
      <w:r w:rsidR="004A230A">
        <w:rPr>
          <w:rFonts w:ascii="Arial" w:hAnsi="Arial" w:cs="Arial"/>
          <w:sz w:val="20"/>
          <w:szCs w:val="20"/>
        </w:rPr>
        <w:fldChar w:fldCharType="begin" w:fldLock="1"/>
      </w:r>
      <w:r w:rsidR="003B5973">
        <w:rPr>
          <w:rFonts w:ascii="Arial" w:hAnsi="Arial" w:cs="Arial"/>
          <w:sz w:val="20"/>
          <w:szCs w:val="20"/>
        </w:rPr>
        <w:instrText>ADDIN CSL_CITATION {"citationItems":[{"id":"ITEM-1","itemData":{"DOI":"10.3390/ddc3010011","author":[{"dropping-particle":"","family":"Chaachouay","given":"Noureddine","non-dropping-particle":"","parse-names":false,"suffix":""},{"dropping-particle":"","family":"Zidane","given":"Lahcen","non-dropping-particle":"","parse-names":false,"suffix":""}],"container-title":"Drugs and Drug Candidates","id":"ITEM-1","issue":"1","issued":{"date-parts":[["2024","2","19"]]},"page":"184-207","publisher":"MDPI AG","title":"Plant-Derived Natural Products: A Source for Drug Discovery and Development","type":"article-journal","volume":"3"},"uris":["http://www.mendeley.com/documents/?uuid=57203efa-97c5-3c6e-90e0-e598767ac2d6"]}],"mendeley":{"formattedCitation":"(Chaachouay &amp; Zidane, 2024)","plainTextFormattedCitation":"(Chaachouay &amp; Zidane, 2024)","previouslyFormattedCitation":"(Chaachouay &amp; Zidane, 2024)"},"properties":{"noteIndex":0},"schema":"https://github.com/citation-style-language/schema/raw/master/csl-citation.json"}</w:instrText>
      </w:r>
      <w:r w:rsidR="004A230A">
        <w:rPr>
          <w:rFonts w:ascii="Arial" w:hAnsi="Arial" w:cs="Arial"/>
          <w:sz w:val="20"/>
          <w:szCs w:val="20"/>
        </w:rPr>
        <w:fldChar w:fldCharType="separate"/>
      </w:r>
      <w:r w:rsidR="004A230A" w:rsidRPr="004A230A">
        <w:rPr>
          <w:rFonts w:ascii="Arial" w:hAnsi="Arial" w:cs="Arial"/>
          <w:noProof/>
          <w:sz w:val="20"/>
          <w:szCs w:val="20"/>
        </w:rPr>
        <w:t>(Chaachouay &amp; Zidane, 2024)</w:t>
      </w:r>
      <w:r w:rsidR="004A230A">
        <w:rPr>
          <w:rFonts w:ascii="Arial" w:hAnsi="Arial" w:cs="Arial"/>
          <w:sz w:val="20"/>
          <w:szCs w:val="20"/>
        </w:rPr>
        <w:fldChar w:fldCharType="end"/>
      </w:r>
      <w:r w:rsidRPr="0039650C">
        <w:rPr>
          <w:rFonts w:ascii="Arial" w:hAnsi="Arial" w:cs="Arial"/>
          <w:sz w:val="20"/>
          <w:szCs w:val="20"/>
        </w:rPr>
        <w:t>. A significant proportion of pharmaceutical compounds currently used in modern medicine are derived directly or indirectly from natural products, particularly plant metabolites</w:t>
      </w:r>
      <w:r w:rsidR="003B5973">
        <w:rPr>
          <w:rFonts w:ascii="Arial" w:hAnsi="Arial" w:cs="Arial"/>
          <w:sz w:val="20"/>
          <w:szCs w:val="20"/>
        </w:rPr>
        <w:fldChar w:fldCharType="begin" w:fldLock="1"/>
      </w:r>
      <w:r w:rsidR="00C236A8">
        <w:rPr>
          <w:rFonts w:ascii="Arial" w:hAnsi="Arial" w:cs="Arial"/>
          <w:sz w:val="20"/>
          <w:szCs w:val="20"/>
        </w:rPr>
        <w:instrText>ADDIN CSL_CITATION {"citationItems":[{"id":"ITEM-1","itemData":{"DOI":"10.1007/s11101-014-9367-z","ISSN":"1572980X","abstract":"Owing to the high diversity of terrestrial and marine organisms, natural products (secondary metabolites) are some of the most successful source of drug leads for the treatment of many diseases and illnesses. In the 1990s, advancements in automation [high-throughput screening (HTS)] and isolation technologies resulted in the surge in research towards natural products both in the fields of human health and agriculture. These strategies and techniques generated a substantial shift towards this ‘green Eldorado’, a real ‘Green Rush’ between 1990 and 2000. However, in the early 2000s most of the big Pharmas terminated their HTS and bioprospecting endeavours but to date, the low productivity of combichem and rational drug design is silently positioning pharmacognosy back on the rails and natural product discovery is remerging as a reputable source of current drugs on the market. Meanwhile, the World Health Organization has come to the realisation of the importance of biodiversity which would be able to offer affordable, therapeutic solutions to the majority of the world population. The preservation of the world’s biodiversity and its access is a critical issue which could hamper a serene utilisation of natural products in the developing world with herbal-based phytopharmaceuticals representing a significant share of the total world pharmaceutical market. This review presents an industrial perspective discussing natural product drug discovery, lead research, botanicals, pro-drugs, synergy effects, drugs interactions with botanicals, traditional medicines, reverse pharmacognosy and presents the difficulties in accessing biodiversity.","author":[{"dropping-particle":"","family":"David","given":"Bruno","non-dropping-particle":"","parse-names":false,"suffix":""},{"dropping-particle":"","family":"Wolfender","given":"Jean Luc","non-dropping-particle":"","parse-names":false,"suffix":""},{"dropping-particle":"","family":"Dias","given":"Daniel A.","non-dropping-particle":"","parse-names":false,"suffix":""}],"container-title":"Phytochemistry Reviews","id":"ITEM-1","issued":{"date-parts":[["2015","4"]]},"page":"299-315","publisher":"Kluwer Academic Publishers","title":"The pharmaceutical industry and natural products: historical status and new trends","type":"article","volume":"14"},"uris":["http://www.mendeley.com/documents/?uuid=e740cdf8-3814-3fba-9c2b-ac5bb4e0b652"]},{"id":"ITEM-2","itemData":{"DOI":"10.3390/ddc3010011","author":[{"dropping-particle":"","family":"Chaachouay","given":"Noureddine","non-dropping-particle":"","parse-names":false,"suffix":""},{"dropping-particle":"","family":"Zidane","given":"Lahcen","non-dropping-particle":"","parse-names":false,"suffix":""}],"container-title":"Drugs and Drug Candidates","id":"ITEM-2","issue":"1","issued":{"date-parts":[["2024","2","19"]]},"page":"184-207","publisher":"MDPI AG","title":"Plant-Derived Natural Products: A Source for Drug Discovery and Development","type":"article-journal","volume":"3"},"uris":["http://www.mendeley.com/documents/?uuid=57203efa-97c5-3c6e-90e0-e598767ac2d6"]}],"mendeley":{"formattedCitation":"(Chaachouay &amp; Zidane, 2024; David et al., 2015)","plainTextFormattedCitation":"(Chaachouay &amp; Zidane, 2024; David et al., 2015)","previouslyFormattedCitation":"(Chaachouay &amp; Zidane, 2024; David et al., 2015)"},"properties":{"noteIndex":0},"schema":"https://github.com/citation-style-language/schema/raw/master/csl-citation.json"}</w:instrText>
      </w:r>
      <w:r w:rsidR="003B5973">
        <w:rPr>
          <w:rFonts w:ascii="Arial" w:hAnsi="Arial" w:cs="Arial"/>
          <w:sz w:val="20"/>
          <w:szCs w:val="20"/>
        </w:rPr>
        <w:fldChar w:fldCharType="separate"/>
      </w:r>
      <w:r w:rsidR="003B5973" w:rsidRPr="003B5973">
        <w:rPr>
          <w:rFonts w:ascii="Arial" w:hAnsi="Arial" w:cs="Arial"/>
          <w:noProof/>
          <w:sz w:val="20"/>
          <w:szCs w:val="20"/>
        </w:rPr>
        <w:t>(Chaachouay &amp; Zidane, 2024; David et al., 2015)</w:t>
      </w:r>
      <w:r w:rsidR="003B5973">
        <w:rPr>
          <w:rFonts w:ascii="Arial" w:hAnsi="Arial" w:cs="Arial"/>
          <w:sz w:val="20"/>
          <w:szCs w:val="20"/>
        </w:rPr>
        <w:fldChar w:fldCharType="end"/>
      </w:r>
      <w:r w:rsidRPr="0039650C">
        <w:rPr>
          <w:rFonts w:ascii="Arial" w:hAnsi="Arial" w:cs="Arial"/>
          <w:sz w:val="20"/>
          <w:szCs w:val="20"/>
        </w:rPr>
        <w:t>. Historically, early humans discovered the medicinal or toxic properties of plants through trial and observation during food gathering and consumption. Over generations, knowledge of medicinal plants was preserved and transmitted through traditional practices</w:t>
      </w:r>
      <w:r w:rsidR="00C236A8">
        <w:rPr>
          <w:rFonts w:ascii="Arial" w:hAnsi="Arial" w:cs="Arial"/>
          <w:sz w:val="20"/>
          <w:szCs w:val="20"/>
        </w:rPr>
        <w:fldChar w:fldCharType="begin" w:fldLock="1"/>
      </w:r>
      <w:r w:rsidR="00C236A8">
        <w:rPr>
          <w:rFonts w:ascii="Arial" w:hAnsi="Arial" w:cs="Arial"/>
          <w:sz w:val="20"/>
          <w:szCs w:val="20"/>
        </w:rPr>
        <w:instrText>ADDIN CSL_CITATION {"citationItems":[{"id":"ITEM-1","itemData":{"DOI":"10.1007/s11101-025-10194-7","ISSN":"1572980X","abstract":"Medicinal plants continue to serve as a vital source of structurally diverse bioactive compounds with broad therapeutic potential. This review synthesizes recent advances in the field, emphasizing how modern technologies are reshaping natural product research and translational applications. Omics platforms—including genomics, metabolomics, proteomics, and spatial omics—enable comprehensive mapping of biosynthetic pathways, regulatory networks, and spatial chemical distributions, accelerating the discovery and characterization of bioactive compounds. Artificial intelligence-driven approaches in predictive modeling, automated metabolite annotation, and optimized cultivation strategies are examined as transformative tools for improving research efficiency and reproducibility. In parallel, nanotechnology-based drug delivery systems are highlighted for their ability to enhance bioavailability, target specificity, and therapeutic efficacy, particularly against complex diseases such as cancer and neurodegeneration. The review also addresses critical challenges, including biodiversity conservation, contamination and adulteration of herbal products, and gaps in regulatory oversight. Finally, we discuss future perspectives where integrative, multidisciplinary strategies are poised to advance personalized medicine, promote sustainable harvesting, and drive innovative phytopharmaceutical development. By bridging traditional knowledge with state-of-the-art technologies, this review underscores the evolving role of medicinal plants in next-generation healthcare solutions and their transformative potential for global health.","author":[{"dropping-particle":"","family":"Latif","given":"Riffat","non-dropping-particle":"","parse-names":false,"suffix":""},{"dropping-particle":"","family":"Nawaz","given":"Taufiq","non-dropping-particle":"","parse-names":false,"suffix":""}],"container-title":"Phytochemistry Reviews","id":"ITEM-1","issued":{"date-parts":[["2025"]]},"publisher":"Springer Science and Business Media B.V.","title":"Medicinal plants and human health: a comprehensive review of bioactive compounds, therapeutic effects, and applications","type":"article"},"uris":["http://www.mendeley.com/documents/?uuid=528c02dc-b153-37a4-a08a-40c7b0380164"]}],"mendeley":{"formattedCitation":"(Latif &amp; Nawaz, 2025)","plainTextFormattedCitation":"(Latif &amp; Nawaz, 2025)","previouslyFormattedCitation":"(Latif &amp; Nawaz, 2025)"},"properties":{"noteIndex":0},"schema":"https://github.com/citation-style-language/schema/raw/master/csl-citation.json"}</w:instrText>
      </w:r>
      <w:r w:rsidR="00C236A8">
        <w:rPr>
          <w:rFonts w:ascii="Arial" w:hAnsi="Arial" w:cs="Arial"/>
          <w:sz w:val="20"/>
          <w:szCs w:val="20"/>
        </w:rPr>
        <w:fldChar w:fldCharType="separate"/>
      </w:r>
      <w:r w:rsidR="00C236A8" w:rsidRPr="00C236A8">
        <w:rPr>
          <w:rFonts w:ascii="Arial" w:hAnsi="Arial" w:cs="Arial"/>
          <w:noProof/>
          <w:sz w:val="20"/>
          <w:szCs w:val="20"/>
        </w:rPr>
        <w:t>(Latif &amp; Nawaz, 2025)</w:t>
      </w:r>
      <w:r w:rsidR="00C236A8">
        <w:rPr>
          <w:rFonts w:ascii="Arial" w:hAnsi="Arial" w:cs="Arial"/>
          <w:sz w:val="20"/>
          <w:szCs w:val="20"/>
        </w:rPr>
        <w:fldChar w:fldCharType="end"/>
      </w:r>
      <w:r w:rsidRPr="0039650C">
        <w:rPr>
          <w:rFonts w:ascii="Arial" w:hAnsi="Arial" w:cs="Arial"/>
          <w:sz w:val="20"/>
          <w:szCs w:val="20"/>
        </w:rPr>
        <w:t>, forming the foundation of ethnomedicine and pharmacognosy.</w:t>
      </w:r>
      <w:r w:rsidR="003B5973" w:rsidRPr="0039650C">
        <w:rPr>
          <w:rFonts w:ascii="Arial" w:hAnsi="Arial" w:cs="Arial"/>
          <w:sz w:val="20"/>
          <w:szCs w:val="20"/>
        </w:rPr>
        <w:t xml:space="preserve"> </w:t>
      </w:r>
    </w:p>
    <w:p w14:paraId="7E932D0B"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According to the World Health Organization, traditional medicine continues to play an important role in global healthcare systems</w:t>
      </w:r>
      <w:r w:rsidR="00C236A8">
        <w:rPr>
          <w:rFonts w:ascii="Arial" w:hAnsi="Arial" w:cs="Arial"/>
          <w:sz w:val="20"/>
          <w:szCs w:val="20"/>
        </w:rPr>
        <w:fldChar w:fldCharType="begin" w:fldLock="1"/>
      </w:r>
      <w:r w:rsidR="00DF05BF">
        <w:rPr>
          <w:rFonts w:ascii="Arial" w:hAnsi="Arial" w:cs="Arial"/>
          <w:sz w:val="20"/>
          <w:szCs w:val="20"/>
        </w:rPr>
        <w:instrText>ADDIN CSL_CITATION {"citationItems":[{"id":"ITEM-1","itemData":{"URL":"https://www.who.int/news-room/feature-stories/detail/traditional-medicine-has-a-long-history-of-contributing-to-conventional-medicine-and-continues-to-hold-promise","accessed":{"date-parts":[["2026","3","12"]]},"author":[{"dropping-particle":"","family":"WHO","given":"","non-dropping-particle":"","parse-names":false,"suffix":""}],"container-title":"Traditional medicine has a long history of contributing to conventional medicine and continues to hold promise","id":"ITEM-1","issued":{"date-parts":[["2023"]]},"title":"Traditional medicine has a long history of contributing to conventional medicine and continues to hold promise","type":"webpage"},"uris":["http://www.mendeley.com/documents/?uuid=f38b4758-700e-37c0-b281-e5075b526f04"]}],"mendeley":{"formattedCitation":"(WHO, 2023)","plainTextFormattedCitation":"(WHO, 2023)","previouslyFormattedCitation":"(WHO, 2023)"},"properties":{"noteIndex":0},"schema":"https://github.com/citation-style-language/schema/raw/master/csl-citation.json"}</w:instrText>
      </w:r>
      <w:r w:rsidR="00C236A8">
        <w:rPr>
          <w:rFonts w:ascii="Arial" w:hAnsi="Arial" w:cs="Arial"/>
          <w:sz w:val="20"/>
          <w:szCs w:val="20"/>
        </w:rPr>
        <w:fldChar w:fldCharType="separate"/>
      </w:r>
      <w:r w:rsidR="00C236A8" w:rsidRPr="00C236A8">
        <w:rPr>
          <w:rFonts w:ascii="Arial" w:hAnsi="Arial" w:cs="Arial"/>
          <w:noProof/>
          <w:sz w:val="20"/>
          <w:szCs w:val="20"/>
        </w:rPr>
        <w:t>(WHO, 2023)</w:t>
      </w:r>
      <w:r w:rsidR="00C236A8">
        <w:rPr>
          <w:rFonts w:ascii="Arial" w:hAnsi="Arial" w:cs="Arial"/>
          <w:sz w:val="20"/>
          <w:szCs w:val="20"/>
        </w:rPr>
        <w:fldChar w:fldCharType="end"/>
      </w:r>
      <w:r w:rsidRPr="0039650C">
        <w:rPr>
          <w:rFonts w:ascii="Arial" w:hAnsi="Arial" w:cs="Arial"/>
          <w:sz w:val="20"/>
          <w:szCs w:val="20"/>
        </w:rPr>
        <w:t>. Recent reports indicate that approximately 88% of countries incorporate traditional or complementary medicine practices such as herbal medicine, acupuncture, and indigenous therapies within their healthcare frameworks</w:t>
      </w:r>
      <w:r w:rsidR="00DF05BF">
        <w:rPr>
          <w:rFonts w:ascii="Arial" w:hAnsi="Arial" w:cs="Arial"/>
          <w:sz w:val="20"/>
          <w:szCs w:val="20"/>
        </w:rPr>
        <w:fldChar w:fldCharType="begin" w:fldLock="1"/>
      </w:r>
      <w:r w:rsidR="003608C7">
        <w:rPr>
          <w:rFonts w:ascii="Arial" w:hAnsi="Arial" w:cs="Arial"/>
          <w:sz w:val="20"/>
          <w:szCs w:val="20"/>
        </w:rPr>
        <w:instrText>ADDIN CSL_CITATION {"citationItems":[{"id":"ITEM-1","itemData":{"URL":"https://www.who.int/news-room/questions-and-answers/item/traditional-medicine","accessed":{"date-parts":[["2026","3","12"]]},"author":[{"dropping-particle":"","family":"WHO","given":"","non-dropping-particle":"","parse-names":false,"suffix":""}],"container-title":"Traditional medicine, Newsroom","id":"ITEM-1","issued":{"date-parts":[["2025"]]},"title":"Why Is WHO working onTraditional medicine","type":"webpage"},"uris":["http://www.mendeley.com/documents/?uuid=ead2fd3f-95bc-33b7-bb9e-e5d7a0c520d9"]}],"mendeley":{"formattedCitation":"(WHO, 2025)","plainTextFormattedCitation":"(WHO, 2025)","previouslyFormattedCitation":"(WHO, 2025)"},"properties":{"noteIndex":0},"schema":"https://github.com/citation-style-language/schema/raw/master/csl-citation.json"}</w:instrText>
      </w:r>
      <w:r w:rsidR="00DF05BF">
        <w:rPr>
          <w:rFonts w:ascii="Arial" w:hAnsi="Arial" w:cs="Arial"/>
          <w:sz w:val="20"/>
          <w:szCs w:val="20"/>
        </w:rPr>
        <w:fldChar w:fldCharType="separate"/>
      </w:r>
      <w:r w:rsidR="00DF05BF" w:rsidRPr="00DF05BF">
        <w:rPr>
          <w:rFonts w:ascii="Arial" w:hAnsi="Arial" w:cs="Arial"/>
          <w:noProof/>
          <w:sz w:val="20"/>
          <w:szCs w:val="20"/>
        </w:rPr>
        <w:t>(WHO, 2025)</w:t>
      </w:r>
      <w:r w:rsidR="00DF05BF">
        <w:rPr>
          <w:rFonts w:ascii="Arial" w:hAnsi="Arial" w:cs="Arial"/>
          <w:sz w:val="20"/>
          <w:szCs w:val="20"/>
        </w:rPr>
        <w:fldChar w:fldCharType="end"/>
      </w:r>
      <w:r w:rsidRPr="0039650C">
        <w:rPr>
          <w:rFonts w:ascii="Arial" w:hAnsi="Arial" w:cs="Arial"/>
          <w:sz w:val="20"/>
          <w:szCs w:val="20"/>
        </w:rPr>
        <w:t>. In many developing regions, plant-based remedies remain the primary source of healthcare for a large portion of the population due to their accessibility, affordability, and perceived safety.</w:t>
      </w:r>
    </w:p>
    <w:p w14:paraId="6F3401D1"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Natural products have significantly contributed to drug discovery and development. It has been estimated that more than 50% of currently approved drugs are derived from or inspired by natural compounds</w:t>
      </w:r>
      <w:r w:rsidR="003608C7">
        <w:rPr>
          <w:rFonts w:ascii="Arial" w:hAnsi="Arial" w:cs="Arial"/>
          <w:sz w:val="20"/>
          <w:szCs w:val="20"/>
        </w:rPr>
        <w:fldChar w:fldCharType="begin" w:fldLock="1"/>
      </w:r>
      <w:r w:rsidR="003608C7">
        <w:rPr>
          <w:rFonts w:ascii="Arial" w:hAnsi="Arial" w:cs="Arial"/>
          <w:sz w:val="20"/>
          <w:szCs w:val="20"/>
        </w:rPr>
        <w:instrText>ADDIN CSL_CITATION {"citationItems":[{"id":"ITEM-1","itemData":{"DOI":"10.1007/s00210-024-03622-6","ISSN":"14321912","PMID":"39621089","abstract":"Natural products have been pivotal in drug discovery, offering a wealth of bioactive compounds that significantly contribute to therapeutic developments. Despite the rise of synthetic chemistry, natural products continue to play a crucial role due to their unique chemical structures and diverse biological activities. This study reviews and evaluates the potential of natural products in drug discovery and development, emphasizing the integration of traditional knowledge with modern drug discovery methodologies and addressing the associated challenges. A comprehensive literature search was conducted across PubMed/MedLine, Scopus, Web of Science, Google Scholar, and Cochrane Library, covering publications from 2000 to 2023. Inclusion criteria focused on studies related to natural products, bioactive compounds, medicinal plants, phytochemistry, and AI applications in drug discovery. Data were categorized into source, extraction methods, bioactivity assays, and technological advances. The current review underscores the historical and ongoing importance of natural products in drug discovery. Technological advancements in chromatographic and spectroscopic techniques have improved the isolation and structural elucidation of bioactive compounds. AI and machine learning have streamlined the identification and optimization of natural product leads. Challenges such as biodiversity sustainability and development complexities are discussed, alongside innovative approaches like biosynthetic engineering and metagenomics. Natural products remain a vital source of novel therapeutic agents, providing unique chemical diversity and specific biological activities. Integrating traditional knowledge with modern scientific methods is essential for maximizing the potential of natural products in drug discovery. Despite existing challenges, ongoing research and technological advancements are expected to enhance the efficiency and success of natural product-based drug development.","author":[{"dropping-particle":"","family":"Singh","given":"Kuldeep","non-dropping-particle":"","parse-names":false,"suffix":""},{"dropping-particle":"","family":"Gupta","given":"Jeetendra Kumar","non-dropping-particle":"","parse-names":false,"suffix":""},{"dropping-particle":"","family":"Chanchal","given":"Dilip Kumar","non-dropping-particle":"","parse-names":false,"suffix":""},{"dropping-particle":"","family":"Shinde","given":"Manoj Gangadhar","non-dropping-particle":"","parse-names":false,"suffix":""},{"dropping-particle":"","family":"Kumar","given":"Shivendra","non-dropping-particle":"","parse-names":false,"suffix":""},{"dropping-particle":"","family":"Jain","given":"Divya","non-dropping-particle":"","parse-names":false,"suffix":""},{"dropping-particle":"","family":"Almarhoon","given":"Zainab M.","non-dropping-particle":"","parse-names":false,"suffix":""},{"dropping-particle":"","family":"Alshahrani","given":"Asma M.","non-dropping-particle":"","parse-names":false,"suffix":""},{"dropping-particle":"","family":"Calina","given":"Daniela","non-dropping-particle":"","parse-names":false,"suffix":""},{"dropping-particle":"","family":"Sharifi-Rad","given":"Javad","non-dropping-particle":"","parse-names":false,"suffix":""},{"dropping-particle":"","family":"Tripathi","given":"Anjali","non-dropping-particle":"","parse-names":false,"suffix":""}],"container-title":"Naunyn-Schmiedeberg's Archives of Pharmacology","id":"ITEM-1","issued":{"date-parts":[["2025","5"]]},"page":"4673-4687","publisher":"Springer Science and Business Media Deutschland GmbH","title":"Natural products as drug leads: exploring their potential in drug discovery and development","type":"article","volume":"398"},"uris":["http://www.mendeley.com/documents/?uuid=1936a439-3a01-3f7b-a4eb-9a791d0f80e2"]}],"mendeley":{"formattedCitation":"(Singh et al., 2025)","plainTextFormattedCitation":"(Singh et al., 2025)","previouslyFormattedCitation":"(Singh et al., 2025)"},"properties":{"noteIndex":0},"schema":"https://github.com/citation-style-language/schema/raw/master/csl-citation.json"}</w:instrText>
      </w:r>
      <w:r w:rsidR="003608C7">
        <w:rPr>
          <w:rFonts w:ascii="Arial" w:hAnsi="Arial" w:cs="Arial"/>
          <w:sz w:val="20"/>
          <w:szCs w:val="20"/>
        </w:rPr>
        <w:fldChar w:fldCharType="separate"/>
      </w:r>
      <w:r w:rsidR="003608C7" w:rsidRPr="003608C7">
        <w:rPr>
          <w:rFonts w:ascii="Arial" w:hAnsi="Arial" w:cs="Arial"/>
          <w:noProof/>
          <w:sz w:val="20"/>
          <w:szCs w:val="20"/>
        </w:rPr>
        <w:t>(Singh et al., 2025)</w:t>
      </w:r>
      <w:r w:rsidR="003608C7">
        <w:rPr>
          <w:rFonts w:ascii="Arial" w:hAnsi="Arial" w:cs="Arial"/>
          <w:sz w:val="20"/>
          <w:szCs w:val="20"/>
        </w:rPr>
        <w:fldChar w:fldCharType="end"/>
      </w:r>
      <w:r w:rsidRPr="0039650C">
        <w:rPr>
          <w:rFonts w:ascii="Arial" w:hAnsi="Arial" w:cs="Arial"/>
          <w:sz w:val="20"/>
          <w:szCs w:val="20"/>
        </w:rPr>
        <w:t>. Medicinal plants are particularly rich in secondary metabolites including alkaloids, flavonoids, glycosides, tannins, terpenoids, and phenolic compounds</w:t>
      </w:r>
      <w:r w:rsidR="003608C7">
        <w:rPr>
          <w:rFonts w:ascii="Arial" w:hAnsi="Arial" w:cs="Arial"/>
          <w:sz w:val="20"/>
          <w:szCs w:val="20"/>
        </w:rPr>
        <w:fldChar w:fldCharType="begin" w:fldLock="1"/>
      </w:r>
      <w:r w:rsidR="003608C7">
        <w:rPr>
          <w:rFonts w:ascii="Arial" w:hAnsi="Arial" w:cs="Arial"/>
          <w:sz w:val="20"/>
          <w:szCs w:val="20"/>
        </w:rPr>
        <w:instrText>ADDIN CSL_CITATION {"citationItems":[{"id":"ITEM-1","itemData":{"DOI":"10.1007/978-981-99-5736-1_33","author":[{"dropping-particle":"","family":"Bhatla","given":"Satish C.","non-dropping-particle":"","parse-names":false,"suffix":""},{"dropping-particle":"","family":"Lal","given":"Manju A.","non-dropping-particle":"","parse-names":false,"suffix":""}],"container-title":"Plant Physiology, Development and Metabolism","id":"ITEM-1","issued":{"date-parts":[["2023"]]},"page":"765-808","publisher":"Springer Nature Singapore","title":"Secondary Metabolites","type":"chapter"},"uris":["http://www.mendeley.com/documents/?uuid=e7d8f88b-ddc7-37ae-b7f4-ec6df72a9b67"]},{"id":"ITEM-2","itemData":{"DOI":"10.1186/s42269-022-00770-8","abstract":"This review of relevant medicinal plants is based on the fundamental knowledge accumulated by indigenous people of Ethiopia and to identify which types of selected medicinal plants for phytochemical analysis were analyzed and which one is not analyzed at Ethiopian levels. In this review, the most traditional medicinal plant species found and used in Ethiopia are chosen. The qualitative phytochemical analysis, some of which are the most important phytochemicals such as phenolic, tannins, alkaloids, saponins, cardiac glycosides, steroids, terpenoids, flavonoids, phlobatannins, anthraquinones, and reducing sugars are studied by the researcher. Most studies have revealed that some phytochemicals are present in some medicinal plants while some are absent. The phytochemical properties of some species were studied like Artemisia afra (Ariti), Aloe Vera (Erret), Yzygium guineense (Dokuma), Ruta chalepensis (Tenadam), Ocimum grattissimum (Damakese), Nigella sativa (Tikur Azmud), Lepidium sativum (Feto), Hagenia abyssinica (Kosso), Croton macrostachyus (Bisana), and Rhamnus prinoides (Gesho). This review has shown that traditional medicinal plants whose phytochemical properties are not studied have various medicinal purposes like treating mastitis, preventing boils, hemorrhoids, congestion, headache, hepatitis, liver, vertigo, stomatitis, kidneys, liver, and vision for treating anemia, hemorrhoid coughs, fluxes, and stomatitis in most animals and human beings. So that identifying the plants based on the investigation and analysis of phytochemical properties of such plant species are more important than Ethiopian levels.","author":[{"dropping-particle":"","family":"Agidew","given":"Misganaw Gedlu","non-dropping-particle":"","parse-names":false,"suffix":""}],"container-title":"Bulletin of the National Research Centre","id":"ITEM-2","issued":{"date-parts":[["2022","4"]]},"publisher":"Springer Science and Business Media LLC","title":"Phytochemical analysis of some selected traditional medicinal plants in Ethiopia","type":"article-journal","volume":"46"},"uris":["http://www.mendeley.com/documents/?uuid=c88d9d0c-878b-3d37-974b-7f08a77d3d03"]}],"mendeley":{"formattedCitation":"(Agidew, 2022; Bhatla &amp; Lal, 2023)","plainTextFormattedCitation":"(Agidew, 2022; Bhatla &amp; Lal, 2023)","previouslyFormattedCitation":"(Agidew, 2022; Bhatla &amp; Lal, 2023)"},"properties":{"noteIndex":0},"schema":"https://github.com/citation-style-language/schema/raw/master/csl-citation.json"}</w:instrText>
      </w:r>
      <w:r w:rsidR="003608C7">
        <w:rPr>
          <w:rFonts w:ascii="Arial" w:hAnsi="Arial" w:cs="Arial"/>
          <w:sz w:val="20"/>
          <w:szCs w:val="20"/>
        </w:rPr>
        <w:fldChar w:fldCharType="separate"/>
      </w:r>
      <w:r w:rsidR="003608C7" w:rsidRPr="003608C7">
        <w:rPr>
          <w:rFonts w:ascii="Arial" w:hAnsi="Arial" w:cs="Arial"/>
          <w:noProof/>
          <w:sz w:val="20"/>
          <w:szCs w:val="20"/>
        </w:rPr>
        <w:t>(Agidew, 2022; Bhatla &amp; Lal, 2023)</w:t>
      </w:r>
      <w:r w:rsidR="003608C7">
        <w:rPr>
          <w:rFonts w:ascii="Arial" w:hAnsi="Arial" w:cs="Arial"/>
          <w:sz w:val="20"/>
          <w:szCs w:val="20"/>
        </w:rPr>
        <w:fldChar w:fldCharType="end"/>
      </w:r>
      <w:r w:rsidRPr="0039650C">
        <w:rPr>
          <w:rFonts w:ascii="Arial" w:hAnsi="Arial" w:cs="Arial"/>
          <w:sz w:val="20"/>
          <w:szCs w:val="20"/>
        </w:rPr>
        <w:t xml:space="preserve">. These phytochemicals are largely responsible for the diverse pharmacological activities observed in plant extracts, such as antioxidant, antimicrobial, anti-inflammatory, hepatoprotective, and anticancer </w:t>
      </w:r>
      <w:r w:rsidR="00FD478C">
        <w:rPr>
          <w:rFonts w:ascii="Arial" w:hAnsi="Arial" w:cs="Arial"/>
          <w:sz w:val="20"/>
          <w:szCs w:val="20"/>
          <w:lang w:val="en-US"/>
        </w:rPr>
        <w:t xml:space="preserve">with regulatory biomarker for ovarian problems </w:t>
      </w:r>
      <w:r w:rsidR="003608C7">
        <w:rPr>
          <w:rFonts w:ascii="Arial" w:hAnsi="Arial" w:cs="Arial"/>
          <w:sz w:val="20"/>
          <w:szCs w:val="20"/>
        </w:rPr>
        <w:fldChar w:fldCharType="begin" w:fldLock="1"/>
      </w:r>
      <w:r w:rsidR="00FD478C">
        <w:rPr>
          <w:rFonts w:ascii="Arial" w:hAnsi="Arial" w:cs="Arial"/>
          <w:sz w:val="20"/>
          <w:szCs w:val="20"/>
        </w:rPr>
        <w:instrText>ADDIN CSL_CITATION {"citationItems":[{"id":"ITEM-1","itemData":{"DOI":"10.1080/10942912.2022.2157425","ISSN":"15322386","abstract":"Oxidation is an integral part of aerobic processes of life. It involves the transfer of electrons or hydrogen via a chemical reaction from a substance to an oxidizing agent leading to the production of free radicals. These free radicals which are highly reactive in turn initiate a chain of reactions that lead to cellular damage. The etiology of plethora diseases has been linked to the generation of free radicals beyond the body’s antioxidant capacity, leading to oxidative stress. Consequently, the focus of research has tilted toward plants which provide natural products rich in antioxidants capable of scavenging and distrupting the harmful effects of these free radicals. A large group of compounds produced by plants referred to as phytochemicals possessing high antioxidant properties have been seen to be helpful in tackling numerous diseases. This review covered the antioxidant potential of some plants with medicinal properties beneficial to people, industries, and health institutions who desire their potential benefits. A total of two hundred and fifty plants from the following families; Asteraceae, Combretaceae, Euphorbiaceae, Fabaceae, Lamiaceae, Moraceae and Malvaceae were reviewed. These plants exert important biological properties, such as anti-inflammatory, antioxidant, immunomodulatory, anticancer, and antimicrobial properties, among others.","author":[{"dropping-particle":"","family":"Nwozo","given":"Onyenibe Sarah","non-dropping-particle":"","parse-names":false,"suffix":""},{"dropping-particle":"","family":"Effiong","given":"Enor Magdalene","non-dropping-particle":"","parse-names":false,"suffix":""},{"dropping-particle":"","family":"Aja","given":"Patrick Maduabuchi","non-dropping-particle":"","parse-names":false,"suffix":""},{"dropping-particle":"","family":"Awuchi","given":"Chinaza Godswill","non-dropping-particle":"","parse-names":false,"suffix":""}],"container-title":"International Journal of Food Properties","id":"ITEM-1","issued":{"date-parts":[["2023"]]},"page":"359-388","publisher":"Taylor and Francis Ltd.","title":"Antioxidant, phytochemical, and therapeutic properties of medicinal plants: a review","type":"article","volume":"26"},"uris":["http://www.mendeley.com/documents/?uuid=6e80faf7-417f-30c1-99f4-4cbcea472c5b"]},{"id":"ITEM-2","itemData":{"DOI":"10.1515/znc-2024-0116","ISSN":"18657125","PMID":"39291928","abstract":"Medicinal plants and their derivatives represent a promising reservoir of remedies for various ailments. Especially secondary metabolites of these plants, including alkaloids, flavonoids, phenolic compounds, terpenoids, steroids, saponins, tannins, and anthraquinones, play crucial roles in hepatoprotection. Studies have identified several prominent phytoconstituents, such as silymarin, quercetin, luteolin, glycyrrhizin, curcumin, gallic acid, chebulic acid, catechin, aloin, emodin, liquiritin, liquiritigenin, cudraflavone B, and karaviloside, as effective agents for addressing hepatotoxicity. The mechanisms underlying their efficacy include antioxidant, anti-inflammatory, free radical scavenging, and the ability to block oxidative stress, cytokine production, and stabilize liver cell membranes. The application of natural products derived from medicinal plants in treating liver injuries is rooted in their efficacy, cost-effectiveness, and safety profile, contributing to their popularity. Many studies, encompassing in vitro, in vivo, preclinical, and clinical investigations, have demonstrated that the extracts of medicinal plants mitigate chemical-induced liver damage using animal models. However, intensive research efforts regarding the safety, regulatory standard, and quality control issues for using medicinal plants as hepatoprotective agents remain the strong task of scholars. The primary focus of this systematic review is to analyze the current state of the literature regarding treating liver ailments using extracts from medicinal plants, examining their phytochemical composition, and addressing associated safety considerations.","author":[{"dropping-particle":"","family":"Gonfa","given":"Yilma Hunde","non-dropping-particle":"","parse-names":false,"suffix":""},{"dropping-particle":"","family":"Bachheti","given":"Archana","non-dropping-particle":"","parse-names":false,"suffix":""},{"dropping-particle":"","family":"Semwal","given":"Prabhakar","non-dropping-particle":"","parse-names":false,"suffix":""},{"dropping-particle":"","family":"Rai","given":"Nishant","non-dropping-particle":"","parse-names":false,"suffix":""},{"dropping-particle":"","family":"Singab","given":"Abdel Nasser","non-dropping-particle":"","parse-names":false,"suffix":""},{"dropping-particle":"","family":"Bachheti","given":"Rakesh Kumar","non-dropping-particle":"","parse-names":false,"suffix":""}],"container-title":"Zeitschrift fur Naturforschung - Section C Journal of Biosciences","id":"ITEM-2","issued":{"date-parts":[["2025","3"]]},"page":"61-73","publisher":"Walter de Gruyter GmbH","title":"Hepatoprotective activity of medicinal plants, their phytochemistry, and safety concerns: A systematic review","type":"article","volume":"80"},"uris":["http://www.mendeley.com/documents/?uuid=2d80513a-6a85-372a-8bf9-6349406fed1e"]},{"id":"ITEM-3","itemData":{"DOI":"10.9734/ajrb/2026/v16i1471","ISSN":"2582-0516","abstract":"&lt;p&gt;Background: Alcohol-induced liver injury is a major global health concern, characterized by oxidative stress, dyslipidemia, hepatocellular injury, and altered liver function. The present study evaluated the hepatoprotective and lipid-modulating effects of Amaranthus spinosus aqueous extract against ethanol-induced liver injury in Wistar rats.&amp;#13; Materials and Method: Forty-nine (49) rats were divided into groups; normal control, standard control (silymarin 50mg/kg), alcohol-exposed groups, and treatment group at 250 mg/kg and 500 mg/kg doses of the extract, with or without continued alcohol administration, over 42 days. Liver function markers (ALT, AST, total protein, albumin, bilirubin), lipid profiles (total cholesterol, triglycerides, HDL-C, LDL-C, VLDL-C), and oxidative stress indicators (SOD, GSH, MDA, LDH) were assessed. Histopathological analysis was conducted to evaluate structural liver changes.&amp;#13; Results: Alcohol administration significantly elevated serum ALT, AST, bilirubin, total cholesterol, triglycerides, LDL-C, and VLDL-C, while reducing HDL-C, total protein, albumin, SOD, and GSH, alongside increased MDA and LDH levels, indicating hepatocellular injury, oxidative stress, and dyslipidemia. Treatment with A. spinosus extract ameliorated these biochemical alterations in a dose- and treatment-dependent manner, restoring antioxidant enzyme activity, reducing lipid peroxidation, normalizing lipid profiles, and improving hepatic synthetic function. Histopathological examination confirmed attenuation of alcohol-induced steatosis, necrosis, and architectural distortion, particularly in rats receiving high-dose extract.&amp;#13; Conclusion: These findings suggest that Amaranthus spinosus exerts significant hepatoprotective, antioxidant, and lipid-modulating effects, highlighting its potential as a natural therapeutic agent against alcohol-induced liver injury. Further studies are warranted to elucidate the molecular mechanisms underlying these protective effects.&lt;/p&gt;","author":[{"dropping-particle":"","family":"Mbazurike","given":"Anozie Maduabuchi","non-dropping-particle":"","parse-names":false,"suffix":""},{"dropping-particle":"","family":"Okereke","given":"J.N","non-dropping-particle":"","parse-names":false,"suffix":""},{"dropping-particle":"","family":"Nwabunnia","given":"I.E","non-dropping-particle":"","parse-names":false,"suffix":""},{"dropping-particle":"","family":"Okechi","given":"R.N","non-dropping-particle":"","parse-names":false,"suffix":""},{"dropping-particle":"","family":"Ibeh","given":"R.C","non-dropping-particle":"","parse-names":false,"suffix":""},{"dropping-particle":"","family":"Chibueze","given":"Nnamdi Moses","non-dropping-particle":"","parse-names":false,"suffix":""}],"container-title":"Asian Journal of Research in Biochemistry","id":"ITEM-3","issued":{"date-parts":[["2026","2"]]},"page":"83-104","title":"Hepatoprotective Effects of Amaranthus Spinosus Extract against Alcohol-induced Liver Injury in Wistar Rats: Modulation of Lipid Profile and Liver Function Markers","type":"article-journal","volume":"16"},"uris":["http://www.mendeley.com/documents/?uuid=7904b033-c7a1-353f-961a-943a5d234b44"]},{"id":"ITEM-4","itemData":{"DOI":"10.1002/fsn3.70314","ISSN":"20487177","PMID":"40395717","abstract":"Amaranthus species, including A. spinosus Linn, are well-known vegetables whose leaves, shoots, fragile stems, and grains are commonly utilized as herbs in soups or sauces, aside from traditional uses to treat a wide range of illnesses. Ovarian hyperthecosis is a common syndrome associated with metabolomics and endocrinology that lowers female fertility. The investigation of novel biomarkers and targeted therapies for the detection and treatment of ovarian hyperthecosis is of interest. Types of noncoding RNAs known as circular RNAs (circRNAs) have covalently closed cyclic structures, are widely distributed, and exhibit expression patterns that are particular to different stages of development. Ovarian hyperthecosis was induced in rats via dehydroepiandrosterone (DHEA) followed by 1 month of treatment with 50 and 100 mg/kg of the A. spinosus EtOH extract. Further, oxidative stress biomarkers including GSH and MDA were investigated in addition to hormonal biomarkers, such as Luteinizing hormone and testosterone hormone, a metabolomics approach modeled using orthogonal partial least squares discriminant analysis (OPLS-DA), and circRNA (hsa-circ-0001577). Furthermore, UHPLC-ESI-Orbitrap-MS analysis was used for metabolites profiling to identify active agents in the plant extract. Results revealed a significant improvement in these biomarkers in the DHEA group treated with A. spinosus, especially at high doses, and further confirmed via histopathological assays. Multivariate data analyses of serum metabolome indicated significant variations in serum profiles among normal, disease, and treated groups. Variable importance in the projection (VIP) values guided the selection of differentiated metabolites, revealing significant changes in metabolite concentrations. UHPLC-ESI-Orbitrap-MS analysis identified 72 bioactive metabolites belonging to phenolics, triterpenoidal saponins, and pyridines In conclusion, A. spinosus could be a management approach for ovarian hyperthecosis therapy via regulating circRNA (hsa-circ-0001577), disturbed hormonal balance, and metabolomics biomarkers based assays.","author":[{"dropping-particle":"","family":"Ammar","given":"Naglaa M.","non-dropping-particle":"","parse-names":false,"suffix":""},{"dropping-particle":"","family":"Kadry","given":"Mai O.","non-dropping-particle":"","parse-names":false,"suffix":""},{"dropping-particle":"","family":"Abd Elkarim","given":"Asmaa S.","non-dropping-particle":"","parse-names":false,"suffix":""},{"dropping-particle":"","family":"Ibrahim","given":"Reham S.","non-dropping-particle":"","parse-names":false,"suffix":""},{"dropping-particle":"","family":"Sallam","given":"Ibrahim E.","non-dropping-particle":"","parse-names":false,"suffix":""},{"dropping-particle":"","family":"Gendy","given":"Abd El Nasser G.","non-dropping-particle":"El","parse-names":false,"suffix":""},{"dropping-particle":"","family":"Afifi","given":"Sherif M.","non-dropping-particle":"","parse-names":false,"suffix":""},{"dropping-particle":"","family":"Esatbeyoglu","given":"Tuba","non-dropping-particle":"","parse-names":false,"suffix":""},{"dropping-particle":"","family":"Farag","given":"Mohamed A.","non-dropping-particle":"","parse-names":false,"suffix":""},{"dropping-particle":"","family":"Elshamy","given":"Abdelsamed I.","non-dropping-particle":"","parse-names":false,"suffix":""}],"container-title":"Food Science &amp; Nutrition","id":"ITEM-4","issue":"5","issued":{"date-parts":[["2025","5","1"]]},"page":"e70314","publisher":"John Wiley and Sons Inc","title":"Amaranthus spinosus Linn. Extract as an Innovative Strategy to Regulate Biomarkers for Ovarian Hyperthecosis via Circular RNA (hsa</w:instrText>
      </w:r>
      <w:r w:rsidR="00FD478C">
        <w:rPr>
          <w:rFonts w:ascii="Cambria Math" w:hAnsi="Cambria Math" w:cs="Cambria Math"/>
          <w:sz w:val="20"/>
          <w:szCs w:val="20"/>
        </w:rPr>
        <w:instrText>‐</w:instrText>
      </w:r>
      <w:r w:rsidR="00FD478C">
        <w:rPr>
          <w:rFonts w:ascii="Arial" w:hAnsi="Arial" w:cs="Arial"/>
          <w:sz w:val="20"/>
          <w:szCs w:val="20"/>
        </w:rPr>
        <w:instrText>circ</w:instrText>
      </w:r>
      <w:r w:rsidR="00FD478C">
        <w:rPr>
          <w:rFonts w:ascii="Cambria Math" w:hAnsi="Cambria Math" w:cs="Cambria Math"/>
          <w:sz w:val="20"/>
          <w:szCs w:val="20"/>
        </w:rPr>
        <w:instrText>‐</w:instrText>
      </w:r>
      <w:r w:rsidR="00FD478C">
        <w:rPr>
          <w:rFonts w:ascii="Arial" w:hAnsi="Arial" w:cs="Arial"/>
          <w:sz w:val="20"/>
          <w:szCs w:val="20"/>
        </w:rPr>
        <w:instrText>0001577): Evidence From Biochemical, Metabolomics, Histological, and Phytochemical Profiling","type":"article-journal","volume":"13"},"uris":["http://www.mendeley.com/documents/?uuid=21645260-4c17-3462-a342-b65f624692a4"]}],"mendeley":{"formattedCitation":"(Ammar et al., 2025; Gonfa et al., 2025; Mbazurike et al., 2026; Nwozo et al., 2023)","plainTextFormattedCitation":"(Ammar et al., 2025; Gonfa et al., 2025; Mbazurike et al., 2026; Nwozo et al., 2023)","previouslyFormattedCitation":"(Ammar et al., 2025; Gonfa et al., 2025; Mbazurike et al., 2026; Nwozo et al., 2023)"},"properties":{"noteIndex":0},"schema":"https://github.com/citation-style-language/schema/raw/master/csl-citation.json"}</w:instrText>
      </w:r>
      <w:r w:rsidR="003608C7">
        <w:rPr>
          <w:rFonts w:ascii="Arial" w:hAnsi="Arial" w:cs="Arial"/>
          <w:sz w:val="20"/>
          <w:szCs w:val="20"/>
        </w:rPr>
        <w:fldChar w:fldCharType="separate"/>
      </w:r>
      <w:r w:rsidR="00FD478C" w:rsidRPr="00FD478C">
        <w:rPr>
          <w:rFonts w:ascii="Arial" w:hAnsi="Arial" w:cs="Arial"/>
          <w:noProof/>
          <w:sz w:val="20"/>
          <w:szCs w:val="20"/>
        </w:rPr>
        <w:t>(Ammar et al., 2025; Gonfa et al., 2025; Mbazurike et al., 2026; Nwozo et al., 2023)</w:t>
      </w:r>
      <w:r w:rsidR="003608C7">
        <w:rPr>
          <w:rFonts w:ascii="Arial" w:hAnsi="Arial" w:cs="Arial"/>
          <w:sz w:val="20"/>
          <w:szCs w:val="20"/>
        </w:rPr>
        <w:fldChar w:fldCharType="end"/>
      </w:r>
      <w:r w:rsidRPr="0039650C">
        <w:rPr>
          <w:rFonts w:ascii="Arial" w:hAnsi="Arial" w:cs="Arial"/>
          <w:sz w:val="20"/>
          <w:szCs w:val="20"/>
        </w:rPr>
        <w:t>.</w:t>
      </w:r>
    </w:p>
    <w:p w14:paraId="3936B4D3"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Among medicinal plants of increasing scientific interest is </w:t>
      </w:r>
      <w:r w:rsidRPr="0039650C">
        <w:rPr>
          <w:rFonts w:ascii="Arial" w:hAnsi="Arial" w:cs="Arial"/>
          <w:i/>
          <w:iCs/>
          <w:sz w:val="20"/>
          <w:szCs w:val="20"/>
        </w:rPr>
        <w:t>Amaranthus spinosus</w:t>
      </w:r>
      <w:r w:rsidRPr="0039650C">
        <w:rPr>
          <w:rFonts w:ascii="Arial" w:hAnsi="Arial" w:cs="Arial"/>
          <w:sz w:val="20"/>
          <w:szCs w:val="20"/>
        </w:rPr>
        <w:t>, a widely distributed species belonging to the family Amaranthaceae.</w:t>
      </w:r>
      <w:r w:rsidR="00FD478C">
        <w:rPr>
          <w:rFonts w:ascii="Arial" w:hAnsi="Arial" w:cs="Arial"/>
          <w:sz w:val="20"/>
          <w:szCs w:val="20"/>
        </w:rPr>
        <w:fldChar w:fldCharType="begin" w:fldLock="1"/>
      </w:r>
      <w:r w:rsidR="00E51857">
        <w:rPr>
          <w:rFonts w:ascii="Arial" w:hAnsi="Arial" w:cs="Arial"/>
          <w:sz w:val="20"/>
          <w:szCs w:val="20"/>
        </w:rPr>
        <w:instrText>ADDIN CSL_CITATION {"citationItems":[{"id":"ITEM-1","itemData":{"DOI":"10.1016/j.sajb.2020.07.003","ISSN":"02546299","abstract":"Background: Reactive oxygen species (ROS) have been implicated in the pathogenesis of many degenerative diseases. Antioxidant compounds can potentially be derived from plant sources. Consequently, investigations are been focused on plants as potential sources of treatments for oxidants-induced diseases. Some class of compounds that have been reported in many medicinal plants includes phenolics, alkaloids, saponins, tannins and terpenoids. Amaranthus belong to a more complex Amaranthaceae family and are widely used as leaf vegetables around the world. Interest has grown towards the search of Amaranthus species as potential sources of antioxidants. Hypothesis: Compounds that can break the chain reaction initiated by reactive oxygen species are vital in treating and preventing disease caused by ROS. Method: In this review, we did a comprehensive literature search on research articles published on the antioxidant activity of some Amaranthus species and in-vitro antioxidant assays. Results: To establish the antioxidant potential of a plant, researchers customarily used more than a single evaluation method. Remarkable success has however been made using different evaluation methods in establishing the radical scavenging and antioxidant activities of some Amaranthus species. Some of the conventional methods enumerated in this write-up assessed the antioxidant activity by monitoring the radical scavenging activity of the plant extracts. Conclusions: The antioxidant activity of the Amaranthus family has been reported to contribute largely to the various medicinal values. This review further outlined the antioxidant properties of Amaranthus species vis-à-vis their health benefits.","author":[{"dropping-particle":"","family":"Adegbola","given":"Peter Ifeoluwa","non-dropping-particle":"","parse-names":false,"suffix":""},{"dropping-particle":"","family":"Adetutu","given":"Adewale","non-dropping-particle":"","parse-names":false,"suffix":""},{"dropping-particle":"","family":"Olaniyi","given":"Temitope Deborah","non-dropping-particle":"","parse-names":false,"suffix":""}],"container-title":"South African Journal of Botany","id":"ITEM-1","issued":{"date-parts":[["2020","9"]]},"page":"111-117","publisher":"Elsevier B.V.","title":"Antioxidant activity of Amaranthus species from the Amaranthaceae family – A review","type":"article","volume":"133"},"uris":["http://www.mendeley.com/documents/?uuid=2287aafb-1250-36bd-965b-7f28e8c82246"]}],"mendeley":{"formattedCitation":"(Adegbola et al., 2020)","plainTextFormattedCitation":"(Adegbola et al., 2020)","previouslyFormattedCitation":"(Adegbola et al., 2020)"},"properties":{"noteIndex":0},"schema":"https://github.com/citation-style-language/schema/raw/master/csl-citation.json"}</w:instrText>
      </w:r>
      <w:r w:rsidR="00FD478C">
        <w:rPr>
          <w:rFonts w:ascii="Arial" w:hAnsi="Arial" w:cs="Arial"/>
          <w:sz w:val="20"/>
          <w:szCs w:val="20"/>
        </w:rPr>
        <w:fldChar w:fldCharType="separate"/>
      </w:r>
      <w:r w:rsidR="00FD478C" w:rsidRPr="00FD478C">
        <w:rPr>
          <w:rFonts w:ascii="Arial" w:hAnsi="Arial" w:cs="Arial"/>
          <w:noProof/>
          <w:sz w:val="20"/>
          <w:szCs w:val="20"/>
        </w:rPr>
        <w:t>(Adegbola et al., 2020)</w:t>
      </w:r>
      <w:r w:rsidR="00FD478C">
        <w:rPr>
          <w:rFonts w:ascii="Arial" w:hAnsi="Arial" w:cs="Arial"/>
          <w:sz w:val="20"/>
          <w:szCs w:val="20"/>
        </w:rPr>
        <w:fldChar w:fldCharType="end"/>
      </w:r>
      <w:r w:rsidRPr="0039650C">
        <w:rPr>
          <w:rFonts w:ascii="Arial" w:hAnsi="Arial" w:cs="Arial"/>
          <w:sz w:val="20"/>
          <w:szCs w:val="20"/>
        </w:rPr>
        <w:t xml:space="preserve"> The plant is known for its remarkable adaptability to harsh environmental conditions, including drought and nutrient-poor soils. Due to its resilience, rapid growth rate, and minimal requirement for fertilizers or pesticides, </w:t>
      </w:r>
      <w:r w:rsidRPr="0039650C">
        <w:rPr>
          <w:rFonts w:ascii="Arial" w:hAnsi="Arial" w:cs="Arial"/>
          <w:i/>
          <w:iCs/>
          <w:sz w:val="20"/>
          <w:szCs w:val="20"/>
        </w:rPr>
        <w:t>A. spinosus</w:t>
      </w:r>
      <w:r w:rsidRPr="0039650C">
        <w:rPr>
          <w:rFonts w:ascii="Arial" w:hAnsi="Arial" w:cs="Arial"/>
          <w:sz w:val="20"/>
          <w:szCs w:val="20"/>
        </w:rPr>
        <w:t xml:space="preserve"> can thrive in agro-ecological zones where conventional crops fail to grow effectively</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{"citationItems":[{"id":"ITEM-1","itemData":{"abstract":"This study aimed to evaluate the effective management strategies of Albugo candida, a pathogen of white rust disease in red amaranth (Amaranthus tricolor L.), accountable for the reduction of seed production. The study was performed during the Rabi season of 2018 and the Kharif season of 2019 at Sher-e-Bangla Agricultural University in Bangladesh. Eight treatments, including chemical, botanical, and biopesticide treatments such as Ridomil Gold 68 WG, Autostin 50 WP, Dithane M 45, Goldton 50 WP, the Bordeaux mixture, G-Derma, Garlic bulb extract, and Allamanda leaf extract, were evaluated. Four foliar sprays were applied at seven-day intervals after disease symptom onset. The field experiments followed a randomized complete block design with three replications. A microscopic study confirmed that Albugo candida was the causal organism. In both seasons, Ridomil Gold demonstrated superior efficacy in reducing disease incidence in plants, disease incidence in leaves, and disease severity, which were 63.07%, 62.78.5, and 84.31%, respectively, in Rabi and 69.73%, 65.71%, and 88.41%, respectively, in the Kharif season. Allamanda leaf extract also had statistically similar results, while Autostin exhibited promising effectiveness. Furthermore, compared with the other treatments, the combination of Ridomil Gold and Allamanda leaf extract significantly enhanced the growth parameters and seed yield in both seasons. Assessing the collective effectiveness of the treatments, Ridomil Gold demonstrated the most efficient control of white rust disease. Consequently, Ridomil Gold holds promise for application in red amaranth seed production. Additionally, the use of Allamanda leaf extract is an environmentally friendly approach to white rust disease management and promotes safer crop production practices. This study offers significant guidance to practitioners seeking optimal disease management strategies.","author":[{"dropping-particle":"","family":"Ahmmed","given":"Abu Noman Faruq","non-dropping-particle":"","parse-names":false,"suffix":""},{"dropping-particle":"","family":"Islam","given":"MD. Zahidul","non-dropping-particle":"","parse-names":false,"suffix":""},{"dropping-particle":"","family":"Ferdous","given":"Raihan","non-dropping-particle":"","parse-names":false,"suffix":""}],"id":"ITEM-1","issued":{"date-parts":[["2024","9"]]},"title":"Effective management of white rust disease in red amaranth: a field study in Dhaka, Bangladesh","type":"article-journal"},"uris":["http://www.mendeley.com/documents/?uuid=527991a0-5549-3d87-afb6-997dae0fa172"]}],"mendeley":{"formattedCitation":"(Ahmmed et al., 2024)","plainTextFormattedCitation":"(Ahmmed et al., 2024)","previouslyFormattedCitation":"(Ahmmed et al., 2024)"},"properties":{"noteIndex":0},"schema":"https://github.com/citation-style-language/schema/raw/master/csl-citation.json"}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(Ahmmed et al., 2024)</w:t>
      </w:r>
      <w:r w:rsidR="00E51857">
        <w:rPr>
          <w:rFonts w:ascii="Arial" w:hAnsi="Arial" w:cs="Arial"/>
          <w:sz w:val="20"/>
          <w:szCs w:val="20"/>
        </w:rPr>
        <w:fldChar w:fldCharType="end"/>
      </w:r>
      <w:r w:rsidRPr="0039650C">
        <w:rPr>
          <w:rFonts w:ascii="Arial" w:hAnsi="Arial" w:cs="Arial"/>
          <w:sz w:val="20"/>
          <w:szCs w:val="20"/>
        </w:rPr>
        <w:t>.</w:t>
      </w:r>
      <w:r w:rsidR="00E51857">
        <w:rPr>
          <w:rFonts w:ascii="Arial" w:hAnsi="Arial" w:cs="Arial"/>
          <w:sz w:val="20"/>
          <w:szCs w:val="20"/>
          <w:lang w:val="en-US"/>
        </w:rPr>
        <w:t xml:space="preserve"> One of the unique features are the C4 class of </w:t>
      </w:r>
      <w:r w:rsidRPr="0039650C">
        <w:rPr>
          <w:rFonts w:ascii="Arial" w:hAnsi="Arial" w:cs="Arial"/>
          <w:i/>
          <w:iCs/>
          <w:sz w:val="20"/>
          <w:szCs w:val="20"/>
        </w:rPr>
        <w:t>Amaranthus</w:t>
      </w:r>
      <w:r w:rsidRPr="0039650C">
        <w:rPr>
          <w:rFonts w:ascii="Arial" w:hAnsi="Arial" w:cs="Arial"/>
          <w:sz w:val="20"/>
          <w:szCs w:val="20"/>
        </w:rPr>
        <w:t xml:space="preserve"> species plants, possessing a specialized photosynthetic pathway that enhances carbon fixation efficiency while minimizing photorespiration</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{"citationItems":[{"id":"ITEM-1","itemData":{"DOI":"10.1186/s12870-025-07022-7","ISSN":"14712229","PMID":"40926199","abstract":"Drought stress affects plant growth and production. To cope with drought stress, plants induced physiological and metabolic changes, serving as a protective approach under drought-stress conditions. The response to drought can vary based on plant type (C3 vs. C4) and the intensity of the stress. Therefore, here we aimed to investigate the different responses of wheat C3-Triticum aestivum and C4-Amaranthus caudatus plants to drought stress. To this end, the growth, photosynthetic parameters, oxidative stress, total antioxidant capacity, primary metabolites (amino acids and organic and fatty acids) and secondary metabolites (polyamines) were analyzed. Drought stress reduced growth, biomass, relative water content, water potential, and photosynthesis in both plants, with more severe effects observed in wheat. Drought-induced reduction in photosynthesis was linked to lower stomatal conductance, reduced photosynthetic enzyme activity, and decreased Fv/Fm, indicating impaired PSII function, effects that were more pronounced in wheat than in amaranth. This was accompanied by increased oxidative damage, as indicated by elevated levels of lipid peroxidation. To cope with drought stress, both plants accumulated metabolites involved in antioxidant defense and osmoregulation, including total antioxidant capacity, soluble sugars, proline, polyamines, organic acids, and fatty acids. This response was more pronounced in wheat, indicating its active deployment of defenses to cope with significant stress, in contrast to Amaranthus' greater physiological resilience.","author":[{"dropping-particle":"","family":"Khamis","given":"Galal","non-dropping-particle":"","parse-names":false,"suffix":""},{"dropping-particle":"","family":"Alsherif","given":"Emad A.","non-dropping-particle":"","parse-names":false,"suffix":""},{"dropping-particle":"","family":"Korany","given":"Shereen Magdy","non-dropping-particle":"","parse-names":false,"suffix":""},{"dropping-particle":"","family":"Aldailami","given":"Danyah A.","non-dropping-particle":"","parse-names":false,"suffix":""},{"dropping-particle":"","family":"Aloufi","given":"Abeer S.","non-dropping-particle":"","parse-names":false,"suffix":""},{"dropping-particle":"","family":"Khalaf","given":"Maha H.","non-dropping-particle":"","parse-names":false,"suffix":""},{"dropping-particle":"","family":"Hamed","given":"Seham M.","non-dropping-particle":"","parse-names":false,"suffix":""},{"dropping-particle":"","family":"Maridueña-Zavala","given":"Maria Gabriela","non-dropping-particle":"","parse-names":false,"suffix":""},{"dropping-particle":"","family":"Jaouni","given":"Soad K.","non-dropping-particle":"Al","parse-names":false,"suffix":""},{"dropping-particle":"","family":"Selim","given":"Samy","non-dropping-particle":"","parse-names":false,"suffix":""}],"container-title":"BMC Plant Biology","id":"ITEM-1","issued":{"date-parts":[["2025","12"]]},"publisher":"BioMed Central Ltd","title":"Drought stress differentially influences growth, physiology, and metabolite accumulation in Triticum aestivum (C3) and Amaranthus caudatus (C4) plants","type":"article-journal","volume":"25"},"uris":["http://www.mendeley.com/documents/?uuid=b8967139-8854-3944-8c07-49b7fd10925b"]}],"mendeley":{"formattedCitation":"(Khamis et al., 2025)","plainTextFormattedCitation":"(Khamis et al., 2025)","previouslyFormattedCitation":"(Khamis et al., 2025)"},"properties":{"noteIndex":0},"schema":"https://github.com/citation-style-language/schema/raw/master/csl-citation.json"}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(Khamis et al., 2025)</w:t>
      </w:r>
      <w:r w:rsidR="00E51857">
        <w:rPr>
          <w:rFonts w:ascii="Arial" w:hAnsi="Arial" w:cs="Arial"/>
          <w:sz w:val="20"/>
          <w:szCs w:val="20"/>
        </w:rPr>
        <w:fldChar w:fldCharType="end"/>
      </w:r>
      <w:r w:rsidRPr="0039650C">
        <w:rPr>
          <w:rFonts w:ascii="Arial" w:hAnsi="Arial" w:cs="Arial"/>
          <w:sz w:val="20"/>
          <w:szCs w:val="20"/>
        </w:rPr>
        <w:t xml:space="preserve">. This physiological adaptation enables the plant to maintain productivity under high temperatures and arid conditions, typically thriving at daytime temperatures above 25 °C and nighttime temperatures not lower than 15 °C. Consequently, </w:t>
      </w:r>
      <w:r w:rsidRPr="0039650C">
        <w:rPr>
          <w:rFonts w:ascii="Arial" w:hAnsi="Arial" w:cs="Arial"/>
          <w:i/>
          <w:iCs/>
          <w:sz w:val="20"/>
          <w:szCs w:val="20"/>
        </w:rPr>
        <w:t>Amaranthus</w:t>
      </w:r>
      <w:r w:rsidRPr="0039650C">
        <w:rPr>
          <w:rFonts w:ascii="Arial" w:hAnsi="Arial" w:cs="Arial"/>
          <w:sz w:val="20"/>
          <w:szCs w:val="20"/>
        </w:rPr>
        <w:t xml:space="preserve"> species have gained attention as potential crops for sustainable agriculture in regions experiencing climatic stress</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{"citationItems":[{"id":"ITEM-1","itemData":{"DOI":"10.3390/agriculture11100994","ISSN":"20770472","abstract":"Amaranth (Amaranthus tricolor), an underutilized climate smart crop, is highly nutritious and possesses diverse drought tolerance traits, making it an ideal crop to thrive in a rapidly changing climate. Despite considerable studies on the growth and physiology of plants subjected to drought stress, a precise trait phenotyping strategy for drought tolerance in vegetable amaranth is still not well documented. In this study, two drought screening trials were carried out on 44 A. tricolor accessions in order to identify potential drought-tolerant A. tricolor germplasm and to discern their physiological responses to drought stress. The findings revealed that a change in stem biomass was most likely the main mechanism of drought adaptation for stress recovery, and dark-adapted quantum yield (Fv/Fm) could be a useful parameter for identifying drought tolerance in amaranth. Three drought tolerance indices: geometric mean productivity (GMP), mean productivity (MP) and stress tolerance index (STI) identified eight drought-tolerant accessions with stable performance across the two screening trials. The highly significant genotypic differences observed in several physiological traits among the amaranth accessions indicate that the amaranth panel used in this study could be a rich source of genetic diversity for breeding purposes for drought tolerance traits.","author":[{"dropping-particle":"","family":"Jamalluddin","given":"Norain","non-dropping-particle":"","parse-names":false,"suffix":""},{"dropping-particle":"","family":"Massawe","given":"Festo J.","non-dropping-particle":"","parse-names":false,"suffix":""},{"dropping-particle":"","family":"Mayes","given":"Sean","non-dropping-particle":"","parse-names":false,"suffix":""},{"dropping-particle":"","family":"Ho","given":"Wai Kuan","non-dropping-particle":"","parse-names":false,"suffix":""},{"dropping-particle":"","family":"Singh","given":"Ajit","non-dropping-particle":"","parse-names":false,"suffix":""},{"dropping-particle":"","family":"Symonds","given":"Rachael C.","non-dropping-particle":"","parse-names":false,"suffix":""}],"container-title":"Agriculture (Switzerland)","id":"ITEM-1","issued":{"date-parts":[["2021","10"]]},"publisher":"MDPI","title":"Physiological screening for drought tolerance traits in vegetable amaranth (Amaranthus tricolor) germplasm","type":"article-journal","volume":"11"},"uris":["http://www.mendeley.com/documents/?uuid=62f8540e-feb2-3872-96d4-6bb856d827aa"]}],"mendeley":{"formattedCitation":"(Jamalluddin et al., 2021)","plainTextFormattedCitation":"(Jamalluddin et al., 2021)","previouslyFormattedCitation":"(Jamalluddin et al., 2021)"},"properties":{"noteIndex":0},"schema":"https://github.com/citation-style-language/schema/raw/master/csl-citation.json"}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(Jamalluddin et al., 2021)</w:t>
      </w:r>
      <w:r w:rsidR="00E51857">
        <w:rPr>
          <w:rFonts w:ascii="Arial" w:hAnsi="Arial" w:cs="Arial"/>
          <w:sz w:val="20"/>
          <w:szCs w:val="20"/>
        </w:rPr>
        <w:fldChar w:fldCharType="end"/>
      </w:r>
      <w:r w:rsidRPr="0039650C">
        <w:rPr>
          <w:rFonts w:ascii="Arial" w:hAnsi="Arial" w:cs="Arial"/>
          <w:sz w:val="20"/>
          <w:szCs w:val="20"/>
        </w:rPr>
        <w:t>.</w:t>
      </w:r>
      <w:r w:rsidR="00E51857">
        <w:rPr>
          <w:rFonts w:ascii="Arial" w:hAnsi="Arial" w:cs="Arial"/>
          <w:sz w:val="20"/>
          <w:szCs w:val="20"/>
          <w:lang w:val="en-US"/>
        </w:rPr>
        <w:t xml:space="preserve"> </w:t>
      </w:r>
      <w:r w:rsidRPr="0039650C">
        <w:rPr>
          <w:rFonts w:ascii="Arial" w:hAnsi="Arial" w:cs="Arial"/>
          <w:sz w:val="20"/>
          <w:szCs w:val="20"/>
        </w:rPr>
        <w:t xml:space="preserve">Nutritionally, the leaves of </w:t>
      </w:r>
      <w:r w:rsidRPr="0039650C">
        <w:rPr>
          <w:rFonts w:ascii="Arial" w:hAnsi="Arial" w:cs="Arial"/>
          <w:i/>
          <w:iCs/>
          <w:sz w:val="20"/>
          <w:szCs w:val="20"/>
        </w:rPr>
        <w:t>Amaranthus spinosus</w:t>
      </w:r>
      <w:r w:rsidRPr="0039650C">
        <w:rPr>
          <w:rFonts w:ascii="Arial" w:hAnsi="Arial" w:cs="Arial"/>
          <w:sz w:val="20"/>
          <w:szCs w:val="20"/>
        </w:rPr>
        <w:t xml:space="preserve"> are rich in essential nutrients, including proteins, calcium, iron, and vitamins such as A, C, K, riboflavin (B2), niacin (B3), vitamin B6, and folate (B9). Due to this high nutrient density, the plant is widely consumed in many African and Asian communities as a leafy vegetable and has been recommended as a dietary supplement to combat micronutrient deficiencies and malnutrition</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297590">
        <w:rPr>
          <w:rFonts w:ascii="Arial" w:hAnsi="Arial" w:cs="Arial"/>
          <w:sz w:val="20"/>
          <w:szCs w:val="20"/>
        </w:rPr>
        <w:instrText>ADDIN CSL_CITATION {"citationItems":[{"id":"ITEM-1","itemData":{"DOI":"10.3390/app11156879","ISSN":"20763417","abstract":"Amaranthus is a C4 plant tolerant to drought, and plant diseases and a suitable option for climate change. This plant could form part of every region’s cultural heritage and can be transferred to the next generation. Moreover, Amaranthus is a multipurpose plant that has been identified as a traditional edible vegetable endowed with nutritional value, besides its fodder, medicinal, nutraceutical, industrial, and ornamental potentials. In recent decade Amaranthus has received increased research interest. Despite its endowment, there is a dearth of awareness of its numerous potential benefits hence, it is being underutilized. Suitable cultivation systems, innovative processing, and value-adding techniques to promote its utilization are scarce. However, a food-based approach has been suggested as a sustainable measure that tackles food-related problem, especially in harsh weather. Thus, in this review, a literature search for updated progress and potential uses of Amaranthus from online databases of peer-reviewed articles and books was conducted. In addition, the nomenclature, nutritional, and nutraceutical value, was reviewed. The species of focus highlighted in the review include, A. blitum, A. caudatus, A. cruentus, A. dubius, A. hypochondriacus, A. spinosus, A. thunbergii, A. tricolor, and A. viridis.","author":[{"dropping-particle":"","family":"Ruth","given":"Olusanya N.","non-dropping-particle":"","parse-names":false,"suffix":""},{"dropping-particle":"","family":"Unathi","given":"Kolanisi","non-dropping-particle":"","parse-names":false,"suffix":""},{"dropping-particle":"","family":"Nomali","given":"Ngobese","non-dropping-particle":"","parse-names":false,"suffix":""},{"dropping-particle":"","family":"Chinsamy","given":"Mayashree","non-dropping-particle":"","parse-names":false,"suffix":""}],"container-title":"Applied Sciences (Switzerland)","id":"ITEM-1","issued":{"date-parts":[["2021","8"]]},"publisher":"MDPI AG","title":"Underutilization versus nutritional-nutraceutical potential of the amaranthus food plant: A mini-review","type":"article","volume":"11"},"uris":["http://www.mendeley.com/documents/?uuid=0055bbe5-fe3c-355b-8374-4bc080da19e5"]}],"mendeley":{"formattedCitation":"(Ruth et al., 2021)","plainTextFormattedCitation":"(Ruth et al., 2021)","previouslyFormattedCitation":"(Ruth et al., 2021)"},"properties":{"noteIndex":0},"schema":"https://github.com/citation-style-language/schema/raw/master/csl-citation.json"}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(Ruth et al., 2021)</w:t>
      </w:r>
      <w:r w:rsidR="00E51857">
        <w:rPr>
          <w:rFonts w:ascii="Arial" w:hAnsi="Arial" w:cs="Arial"/>
          <w:sz w:val="20"/>
          <w:szCs w:val="20"/>
        </w:rPr>
        <w:fldChar w:fldCharType="end"/>
      </w:r>
      <w:r w:rsidRPr="0039650C">
        <w:rPr>
          <w:rFonts w:ascii="Arial" w:hAnsi="Arial" w:cs="Arial"/>
          <w:sz w:val="20"/>
          <w:szCs w:val="20"/>
        </w:rPr>
        <w:t>.</w:t>
      </w:r>
    </w:p>
    <w:p w14:paraId="02C3CCE9"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Beyond its nutritional value, several pharmacological studies have reported important biological activities associated with extracts of </w:t>
      </w:r>
      <w:r w:rsidRPr="0039650C">
        <w:rPr>
          <w:rFonts w:ascii="Arial" w:hAnsi="Arial" w:cs="Arial"/>
          <w:i/>
          <w:iCs/>
          <w:sz w:val="20"/>
          <w:szCs w:val="20"/>
        </w:rPr>
        <w:t>A. spinosus</w:t>
      </w:r>
      <w:r w:rsidRPr="0039650C">
        <w:rPr>
          <w:rFonts w:ascii="Arial" w:hAnsi="Arial" w:cs="Arial"/>
          <w:sz w:val="20"/>
          <w:szCs w:val="20"/>
        </w:rPr>
        <w:t>. Previous investigations have demonstrated antimalarial properties, hepatoprotective effects, hematological benefits, and significant antioxidant activity</w:t>
      </w:r>
      <w:r w:rsidR="00297590">
        <w:rPr>
          <w:rFonts w:ascii="Arial" w:hAnsi="Arial" w:cs="Arial"/>
          <w:sz w:val="20"/>
          <w:szCs w:val="20"/>
        </w:rPr>
        <w:fldChar w:fldCharType="begin" w:fldLock="1"/>
      </w:r>
      <w:r w:rsidR="00FD61A0">
        <w:rPr>
          <w:rFonts w:ascii="Arial" w:hAnsi="Arial" w:cs="Arial"/>
          <w:sz w:val="20"/>
          <w:szCs w:val="20"/>
        </w:rPr>
        <w:instrText>ADDIN CSL_CITATION {"citationItems":[{"id":"ITEM-1","itemData":{"DOI":"10.1007/s11686-025-01162-4","ISSN":"18961851","PMID":"41239029","abstract":"Background: Malaria drug resistance remains a significant global health challenge, necessitating the continuous search for effective and affordable treatment options. This study evaluated the antimalarial potential, antioxidant, and hepatoprotective activities of Blighia sapida ethanolic leaf extract using an in vivo approach. Methods: Peter’s 4-day suppressive test and Rane’s curative test were used to determine the antimalarial activity of varying doses (50 mg/kg, 200 mg/kg, 400 mg/kg, and 800 mg/kg body weight) of the ethanol extract of B. sapida in Swiss mice inoculated intravenously with chloroquine-resistant ANKA. Piperaquine/dihydroartemisinin (18/4 mg/kg) was used as a positive control. Parasitological outcomes, antioxidant status, and biochemical markers of the treatments were evaluated. Results: The extract was non-toxic up to 5000 mg/kg. It produced dose-dependent antiplasmodial effects, with maximum suppressive and curative activities of 77.02% and 71.94%, respectively, at 800 mg/kg. Hepatoprotective effects were statistically significant across doses, with the 400 mg/kg dose showing the strongest effect, as evidenced by markedly reduced serum AST (84.93 U/L) and ALT (68.48 U/L) compared to the negative control (133.88 and 93.92 U/L). Antioxidant status was also improved, with significant (p &lt; 0.05) reductions in liver MDA and nitrite levels, particularly at 800 mg/kg (MDA: 0.22 nmol/mg protein; nitrite: 3.79 µmol/mg protein). Conclusion: These findings highlight the promising antimalarial, antioxidant, and hepatoprotective properties of B. sapida and provide insights into its bioactive compounds, supporting its potential for developing novel antimalarial therapeutics. Further studies can be done to isolate and characterize the active compounds responsible for these effects.","author":[{"dropping-particle":"","family":"Akinyemi","given":"Deborah O.","non-dropping-particle":"","parse-names":false,"suffix":""},{"dropping-particle":"","family":"Olorunfemi","given":"Adedolapo B.","non-dropping-particle":"","parse-names":false,"suffix":""},{"dropping-particle":"","family":"Akinola","given":"Olugbenga","non-dropping-particle":"","parse-names":false,"suffix":""},{"dropping-particle":"","family":"Abiodun","given":"Oyindamola O.","non-dropping-particle":"","parse-names":false,"suffix":""},{"dropping-particle":"","family":"Afolabi","given":"Olusegun K.","non-dropping-particle":"","parse-names":false,"suffix":""},{"dropping-particle":"","family":"Thomas","given":"Bolaji N.","non-dropping-particle":"","parse-names":false,"suffix":""},{"dropping-particle":"","family":"Gbotosho","given":"Grace O.","non-dropping-particle":"","parse-names":false,"suffix":""},{"dropping-particle":"","family":"Ojurongbe","given":"Olusola","non-dropping-particle":"","parse-names":false,"suffix":""}],"container-title":"Acta Parasitologica","id":"ITEM-1","issued":{"date-parts":[["2025","12"]]},"publisher":"Springer Science and Business Media Deutschland GmbH","title":"Antimalarial, Antioxidant and Hepatoprotective Activities of Ethanol Extract of Blighia sapida K.D. Koenig (Sapindaceae) in Plasmodium berghei-infected Mice","type":"article-journal","volume":"70"},"uris":["http://www.mendeley.com/documents/?uuid=02150fa7-f2c5-38a0-916f-a825f39a09e2"]}],"mendeley":{"formattedCitation":"(Akinyemi et al., 2025)","plainTextFormattedCitation":"(Akinyemi et al., 2025)","previouslyFormattedCitation":"(Akinyemi et al., 2025)"},"properties":{"noteIndex":0},"schema":"https://github.com/citation-style-language/schema/raw/master/csl-citation.json"}</w:instrText>
      </w:r>
      <w:r w:rsidR="00297590">
        <w:rPr>
          <w:rFonts w:ascii="Arial" w:hAnsi="Arial" w:cs="Arial"/>
          <w:sz w:val="20"/>
          <w:szCs w:val="20"/>
        </w:rPr>
        <w:fldChar w:fldCharType="separate"/>
      </w:r>
      <w:r w:rsidR="00297590" w:rsidRPr="00297590">
        <w:rPr>
          <w:rFonts w:ascii="Arial" w:hAnsi="Arial" w:cs="Arial"/>
          <w:noProof/>
          <w:sz w:val="20"/>
          <w:szCs w:val="20"/>
        </w:rPr>
        <w:t>(Akinyemi et al., 2025)</w:t>
      </w:r>
      <w:r w:rsidR="00297590">
        <w:rPr>
          <w:rFonts w:ascii="Arial" w:hAnsi="Arial" w:cs="Arial"/>
          <w:sz w:val="20"/>
          <w:szCs w:val="20"/>
        </w:rPr>
        <w:fldChar w:fldCharType="end"/>
      </w:r>
      <w:r w:rsidRPr="0039650C">
        <w:rPr>
          <w:rFonts w:ascii="Arial" w:hAnsi="Arial" w:cs="Arial"/>
          <w:sz w:val="20"/>
          <w:szCs w:val="20"/>
        </w:rPr>
        <w:t xml:space="preserve">. In addition, antimicrobial studies have shown that different parts of the plant, including roots, stems, leaves, and flowers, exhibit inhibitory effects against several bacterial and fungal pathogens such as </w:t>
      </w:r>
      <w:r w:rsidRPr="0039650C">
        <w:rPr>
          <w:rFonts w:ascii="Arial" w:hAnsi="Arial" w:cs="Arial"/>
          <w:i/>
          <w:iCs/>
          <w:sz w:val="20"/>
          <w:szCs w:val="20"/>
        </w:rPr>
        <w:t>Staphylococcus</w:t>
      </w:r>
      <w:r w:rsidRPr="0039650C">
        <w:rPr>
          <w:rFonts w:ascii="Arial" w:hAnsi="Arial" w:cs="Arial"/>
          <w:sz w:val="20"/>
          <w:szCs w:val="20"/>
        </w:rPr>
        <w:t xml:space="preserve">, </w:t>
      </w:r>
      <w:r w:rsidRPr="0039650C">
        <w:rPr>
          <w:rFonts w:ascii="Arial" w:hAnsi="Arial" w:cs="Arial"/>
          <w:i/>
          <w:iCs/>
          <w:sz w:val="20"/>
          <w:szCs w:val="20"/>
        </w:rPr>
        <w:t>Escherichia coli</w:t>
      </w:r>
      <w:r w:rsidRPr="0039650C">
        <w:rPr>
          <w:rFonts w:ascii="Arial" w:hAnsi="Arial" w:cs="Arial"/>
          <w:sz w:val="20"/>
          <w:szCs w:val="20"/>
        </w:rPr>
        <w:t xml:space="preserve">, </w:t>
      </w:r>
      <w:r w:rsidRPr="0039650C">
        <w:rPr>
          <w:rFonts w:ascii="Arial" w:hAnsi="Arial" w:cs="Arial"/>
          <w:i/>
          <w:iCs/>
          <w:sz w:val="20"/>
          <w:szCs w:val="20"/>
        </w:rPr>
        <w:t>Pseudomonas</w:t>
      </w:r>
      <w:r w:rsidRPr="0039650C">
        <w:rPr>
          <w:rFonts w:ascii="Arial" w:hAnsi="Arial" w:cs="Arial"/>
          <w:sz w:val="20"/>
          <w:szCs w:val="20"/>
        </w:rPr>
        <w:t xml:space="preserve">, </w:t>
      </w:r>
      <w:r w:rsidRPr="0039650C">
        <w:rPr>
          <w:rFonts w:ascii="Arial" w:hAnsi="Arial" w:cs="Arial"/>
          <w:i/>
          <w:iCs/>
          <w:sz w:val="20"/>
          <w:szCs w:val="20"/>
        </w:rPr>
        <w:t>Klebsiella</w:t>
      </w:r>
      <w:r w:rsidRPr="0039650C">
        <w:rPr>
          <w:rFonts w:ascii="Arial" w:hAnsi="Arial" w:cs="Arial"/>
          <w:sz w:val="20"/>
          <w:szCs w:val="20"/>
        </w:rPr>
        <w:t xml:space="preserve">, </w:t>
      </w:r>
      <w:r w:rsidRPr="0039650C">
        <w:rPr>
          <w:rFonts w:ascii="Arial" w:hAnsi="Arial" w:cs="Arial"/>
          <w:i/>
          <w:iCs/>
          <w:sz w:val="20"/>
          <w:szCs w:val="20"/>
        </w:rPr>
        <w:t>Fusarium</w:t>
      </w:r>
      <w:r w:rsidRPr="0039650C">
        <w:rPr>
          <w:rFonts w:ascii="Arial" w:hAnsi="Arial" w:cs="Arial"/>
          <w:sz w:val="20"/>
          <w:szCs w:val="20"/>
        </w:rPr>
        <w:t xml:space="preserve">, </w:t>
      </w:r>
      <w:r w:rsidRPr="0039650C">
        <w:rPr>
          <w:rFonts w:ascii="Arial" w:hAnsi="Arial" w:cs="Arial"/>
          <w:i/>
          <w:iCs/>
          <w:sz w:val="20"/>
          <w:szCs w:val="20"/>
        </w:rPr>
        <w:t>Aspergillus</w:t>
      </w:r>
      <w:r w:rsidRPr="0039650C">
        <w:rPr>
          <w:rFonts w:ascii="Arial" w:hAnsi="Arial" w:cs="Arial"/>
          <w:sz w:val="20"/>
          <w:szCs w:val="20"/>
        </w:rPr>
        <w:t xml:space="preserve">, and </w:t>
      </w:r>
      <w:r w:rsidRPr="0039650C">
        <w:rPr>
          <w:rFonts w:ascii="Arial" w:hAnsi="Arial" w:cs="Arial"/>
          <w:i/>
          <w:iCs/>
          <w:sz w:val="20"/>
          <w:szCs w:val="20"/>
        </w:rPr>
        <w:t>Alternaria</w:t>
      </w:r>
      <w:r w:rsidRPr="0039650C">
        <w:rPr>
          <w:rFonts w:ascii="Arial" w:hAnsi="Arial" w:cs="Arial"/>
          <w:sz w:val="20"/>
          <w:szCs w:val="20"/>
        </w:rPr>
        <w:t xml:space="preserve"> species</w:t>
      </w:r>
      <w:r w:rsidR="00394294">
        <w:rPr>
          <w:rFonts w:ascii="Arial" w:hAnsi="Arial" w:cs="Arial"/>
          <w:sz w:val="20"/>
          <w:szCs w:val="20"/>
          <w:lang w:val="en-US"/>
        </w:rPr>
        <w:t xml:space="preserve"> </w:t>
      </w:r>
      <w:r w:rsidR="00FD61A0">
        <w:rPr>
          <w:rFonts w:ascii="Arial" w:hAnsi="Arial" w:cs="Arial"/>
          <w:sz w:val="20"/>
          <w:szCs w:val="20"/>
        </w:rPr>
        <w:fldChar w:fldCharType="begin" w:fldLock="1"/>
      </w:r>
      <w:r w:rsidR="00394294">
        <w:rPr>
          <w:rFonts w:ascii="Arial" w:hAnsi="Arial" w:cs="Arial"/>
          <w:sz w:val="20"/>
          <w:szCs w:val="20"/>
        </w:rPr>
        <w:instrText>ADDIN CSL_CITATION {"citationItems":[{"id":"ITEM-1","itemData":{"DOI":"10.3390/microbiolres16010026","ISSN":"20367481","abstract":"With the rising incidence of drug-resistant pathogens, focus should be placed on biologically active compounds derived from plant species used in herbal medicine, as these compounds may provide a new source of antifungal and antibacterial activities. The aim of this study was to evaluate the antifungal and antibacterial activity of ethanol and aqueous extracts from different parts of Rosa rugosa. In order to evaluate the antimicrobial activity of the extracts of R. rugosa rose hips, flowers, petals, leaves, stems, and roots, a laboratory microbiological test was performed using the well diffusion method in agar. A rotary evaporator was used for extract concentration and extractant removal. Antimicrobial activity was tested against one fungus, four Gram-positive, and four Gram-negative bacteria. The leaf extracts exhibited the strongest antimicrobial activity, followed by the extracts from the petals and rose hips, while weaker activity was observed in the root extracts. The extracts from the stems and rose hips showed the weakest effect. Ethanol extracts were more effective than water extracts. Aqueous and ethanolic extracts of R. rugosa parts demonstrated antifungal activity against Candida albicans, with ethanol extracts proving to be more effective. Among all the R. rugosa parts analyzed, the petals exhibited the strongest antifungal activity.","author":[{"dropping-particle":"","family":"Maželienė","given":"Žaneta","non-dropping-particle":"","parse-names":false,"suffix":""},{"dropping-particle":"","family":"Kirvaitienė","given":"Jolita","non-dropping-particle":"","parse-names":false,"suffix":""},{"dropping-particle":"","family":"Kaklauskienė","given":"Kamilė","non-dropping-particle":"","parse-names":false,"suffix":""},{"dropping-particle":"","family":"Volskienė","given":"Rasa","non-dropping-particle":"","parse-names":false,"suffix":""},{"dropping-particle":"","family":"Aleksandravičienė","given":"Asta","non-dropping-particle":"","parse-names":false,"suffix":""}],"container-title":"Microbiology Research","id":"ITEM-1","issued":{"date-parts":[["2025","1"]]},"publisher":"Multidisciplinary Digital Publishing Institute (MDPI)","title":"Antifungal and Antibacterial Activity of Aqueous and Ethanolic Extracts of Different Rosa rugosa Parts","type":"article-journal","volume":"16"},"uris":["http://www.mendeley.com/documents/?uuid=47d866b9-edbf-388e-ac55-8d33e38a7f8e"]}],"mendeley":{"formattedCitation":"(Maželienė et al., 2025)","plainTextFormattedCitation":"(Maželienė et al., 2025)","previouslyFormattedCitation":"(Maželienė et al., 2025)"},"properties":{"noteIndex":0},"schema":"https://github.com/citation-style-language/schema/raw/master/csl-citation.json"}</w:instrText>
      </w:r>
      <w:r w:rsidR="00FD61A0">
        <w:rPr>
          <w:rFonts w:ascii="Arial" w:hAnsi="Arial" w:cs="Arial"/>
          <w:sz w:val="20"/>
          <w:szCs w:val="20"/>
        </w:rPr>
        <w:fldChar w:fldCharType="separate"/>
      </w:r>
      <w:r w:rsidR="00FD61A0" w:rsidRPr="00FD61A0">
        <w:rPr>
          <w:rFonts w:ascii="Arial" w:hAnsi="Arial" w:cs="Arial"/>
          <w:noProof/>
          <w:sz w:val="20"/>
          <w:szCs w:val="20"/>
        </w:rPr>
        <w:t>(Maželienė et al., 2025)</w:t>
      </w:r>
      <w:r w:rsidR="00FD61A0">
        <w:rPr>
          <w:rFonts w:ascii="Arial" w:hAnsi="Arial" w:cs="Arial"/>
          <w:sz w:val="20"/>
          <w:szCs w:val="20"/>
        </w:rPr>
        <w:fldChar w:fldCharType="end"/>
      </w:r>
      <w:r w:rsidRPr="0039650C">
        <w:rPr>
          <w:rFonts w:ascii="Arial" w:hAnsi="Arial" w:cs="Arial"/>
          <w:sz w:val="20"/>
          <w:szCs w:val="20"/>
        </w:rPr>
        <w:t>.</w:t>
      </w:r>
    </w:p>
    <w:p w14:paraId="2C98BA59"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Further toxicological and pharmacological investigations have also suggested that leaf extracts of </w:t>
      </w:r>
      <w:r w:rsidRPr="0039650C">
        <w:rPr>
          <w:rFonts w:ascii="Arial" w:hAnsi="Arial" w:cs="Arial"/>
          <w:i/>
          <w:iCs/>
          <w:sz w:val="20"/>
          <w:szCs w:val="20"/>
        </w:rPr>
        <w:t>A. spinosus</w:t>
      </w:r>
      <w:r w:rsidRPr="0039650C">
        <w:rPr>
          <w:rFonts w:ascii="Arial" w:hAnsi="Arial" w:cs="Arial"/>
          <w:sz w:val="20"/>
          <w:szCs w:val="20"/>
        </w:rPr>
        <w:t xml:space="preserve"> may influence biochemical parameters related to liver and kidney function</w:t>
      </w:r>
      <w:r w:rsidR="00394294">
        <w:rPr>
          <w:rFonts w:ascii="Arial" w:hAnsi="Arial" w:cs="Arial"/>
          <w:sz w:val="20"/>
          <w:szCs w:val="20"/>
        </w:rPr>
        <w:fldChar w:fldCharType="begin" w:fldLock="1"/>
      </w:r>
      <w:r w:rsidR="00694596">
        <w:rPr>
          <w:rFonts w:ascii="Arial" w:hAnsi="Arial" w:cs="Arial"/>
          <w:sz w:val="20"/>
          <w:szCs w:val="20"/>
        </w:rPr>
        <w:instrText>ADDIN CSL_CITATION {"citationItems":[{"id":"ITEM-1","itemData":{"DOI":"10.1155/2023/6624040","ISSN":"26334690","abstract":"Drug resistance remains a significant problem that threatens antimalarial drug treatment. Hence, the challenge is to find new effective antimalarial drugs. Based on our previous study, aqueous extracts of trisamo (TSM) and jatu-phala-tiga (JPT) had good in vitro antimalarial activities, and these recipes contain multiple beneficial pharmacological effects that could be useful for malaria therapy. Therefore, this study aimed to investigate the antimalarial activity and toxicity of the aqueous extracts of TSM and JPT in mouse models. The aqueous extractions were carried out using the decoction method. Compound identification was conducted using LC-QTOF-MS analysis. The antimalarial activities of TSM and JPT at doses 200, 400, and 600 mg/kg were evaluated against Plasmodium berghei ANKA infection using a four-day suppressive test. The toxic effects of oral administration of the extracts at 2 g/kg dose were determined using an acute toxicity test. The chemical constituents of TSM contained 83 compounds, whereas JPT contained 84 compounds. All doses of the extracts exhibited a significant suppression (p&lt;0.05) of the parasite compared to the negative control in a four-day test. The maximum activities were observed at 600 mg/kg dose with 67.02% suppression for TSM and 79.34% for JPT, followed by 400 mg/kg dose (57.63% for TSM and 64.79% for JPT) and then 200 mg/kg dose (52.35% for TSM and 54.46% for JPT). In addition, there were no significant differences (p&lt;0.05) in the RBC, MCV, and MCH levels of mice receiving JPT extract compared to the uninfected control. The WBC level of mice receiving 400 and 600 mg/kg of TSM, and 200 and 400 mg/kg of JPT, was significantly (p&lt;0.05) lower than the infected control, and the extracts did not significantly prevent the loss of platelets. For the acute toxicity test, there were no signs of toxicity or deaths in mice, and there were no differences in the histology, weight, or enzyme biochemistry of the liver and kidney between the extract and vehicle groups. However, the platelet count in the extract-treated mice was significantly higher than that in the control group. In conclusion, this study suggests that aqueous extracts of TSM and JPT have potent antimalarial activities and could be promising as new candidates for antimalarial drug development.","author":[{"dropping-particle":"","family":"Phuwajaroanpong","given":"Arisara","non-dropping-particle":"","parse-names":false,"suffix":""},{"dropping-particle":"","family":"Chaniad","given":"Prapaporn","non-dropping-particle":"","parse-names":false,"suffix":""},{"dropping-particle":"","family":"Plirat","given":"Walaiporn","non-dropping-particle":"","parse-names":false,"suffix":""},{"dropping-particle":"","family":"Konyanee","given":"Atthaphon","non-dropping-particle":"","parse-names":false,"suffix":""},{"dropping-particle":"","family":"Septama","given":"Abdi Wira","non-dropping-particle":"","parse-names":false,"suffix":""},{"dropping-particle":"","family":"Punsawad","given":"Chuchard","non-dropping-particle":"","parse-names":false,"suffix":""}],"container-title":"Advances in Pharmacological and Pharmaceutical Sciences","id":"ITEM-1","issued":{"date-parts":[["2023"]]},"publisher":"Hindawi Limited","title":"Phytochemical Analysis, Antimalarial Properties, and Acute Toxicity of Aqueous Extracts of Trisamo and Jatu-Phala-Tiga Recipes","type":"article-journal","volume":"2023"},"uris":["http://www.mendeley.com/documents/?uuid=9a3a2bbf-1f73-37bb-8d80-5a9448931a71"]}],"mendeley":{"formattedCitation":"(Phuwajaroanpong et al., 2023)","plainTextFormattedCitation":"(Phuwajaroanpong et al., 2023)","previouslyFormattedCitation":"(Phuwajaroanpong et al., 2023)"},"properties":{"noteIndex":0},"schema":"https://github.com/citation-style-language/schema/raw/master/csl-citation.json"}</w:instrText>
      </w:r>
      <w:r w:rsidR="00394294">
        <w:rPr>
          <w:rFonts w:ascii="Arial" w:hAnsi="Arial" w:cs="Arial"/>
          <w:sz w:val="20"/>
          <w:szCs w:val="20"/>
        </w:rPr>
        <w:fldChar w:fldCharType="separate"/>
      </w:r>
      <w:r w:rsidR="00394294" w:rsidRPr="00394294">
        <w:rPr>
          <w:rFonts w:ascii="Arial" w:hAnsi="Arial" w:cs="Arial"/>
          <w:noProof/>
          <w:sz w:val="20"/>
          <w:szCs w:val="20"/>
        </w:rPr>
        <w:t>(Phuwajaroanpong et al., 2023)</w:t>
      </w:r>
      <w:r w:rsidR="00394294">
        <w:rPr>
          <w:rFonts w:ascii="Arial" w:hAnsi="Arial" w:cs="Arial"/>
          <w:sz w:val="20"/>
          <w:szCs w:val="20"/>
        </w:rPr>
        <w:fldChar w:fldCharType="end"/>
      </w:r>
      <w:r w:rsidRPr="0039650C">
        <w:rPr>
          <w:rFonts w:ascii="Arial" w:hAnsi="Arial" w:cs="Arial"/>
          <w:sz w:val="20"/>
          <w:szCs w:val="20"/>
        </w:rPr>
        <w:t>. Experimental studies involving phenylhydrazine-induced anaemic Wistar rats demonstrated alterations in liver enzyme markers including alkaline phosphatase (ALP), alanine aminotransferase (ALT), and aspartate aminotransferase (AST)</w:t>
      </w:r>
      <w:r w:rsidR="00694596">
        <w:rPr>
          <w:rFonts w:ascii="Arial" w:hAnsi="Arial" w:cs="Arial"/>
          <w:sz w:val="20"/>
          <w:szCs w:val="20"/>
        </w:rPr>
        <w:fldChar w:fldCharType="begin" w:fldLock="1"/>
      </w:r>
      <w:r w:rsidR="004E6AA3">
        <w:rPr>
          <w:rFonts w:ascii="Arial" w:hAnsi="Arial" w:cs="Arial"/>
          <w:sz w:val="20"/>
          <w:szCs w:val="20"/>
        </w:rPr>
        <w:instrText>ADDIN CSL_CITATION {"citationItems":[{"id":"ITEM-1","itemData":{"DOI":"10.18502/pbr.v5i4.2397","ISSN":"2423-4486","abstract":"Background: Artichoke (Cynara scolymus) possesses bioactive components with antioxidant effects. This plant has been widely used in traditional medicine.\r Objectives: The current study aimed to examine the protective activity of Hydroethanolic Extract of Cynara scolymus (HECS) against experimentally-induced hemolytic anemia in rats.\r Methods: Hemolytic anemia was induced by intraperitoneal injection of Phenylhydrazine (PHZ) 40 mg/kg for 2 days. PHZ induces oxidative stress and reactive oxygen species formation, which causes hemolytic anemia. Thirty male Wistar rats were divided into 5 groups (n=6 for each group). Group 1 (normal control) was injected with normal saline. Group 2 (anemic control) received only PHZ. Groups 3 to 5 were injected with 100, 200, 400 mg/kg of the HECS by gavage, respectively, daily from day 2 to day 15 after PHZ administration. At the end of the treatment period, their blood and liver samples were collected for biochemical and histopathological analysis.\r Results: The results indicated that serum Alkaline Phosphatase (ALP), alanine aminotransferase (ALT), Aspartate Aminotransferase (AST), and Lactate Dehydrogenase (LDH) levels in the PHZ (anemic) group were significantly higher than those in the control group (P&lt;0.05). A significant decrease in serum liver enzymes was determined in rats treated with HECS at different doses compared with the untreated anemic rats (P&lt;0.05). Also, HECS significantly attenuated body weight loss in the PHZ group (P&lt;0.05). Besides, based on the histopathological evaluation, HECS improved disarrangements of the liver parenchyma due to PHZ-induced hepatotoxicity.\r Conclusion: HECS has hepatoprotective effects against PHZ-induced toxicity presumably by its antioxidative activity.","author":[{"dropping-particle":"","family":"Allahmoradi","given":"Milad","non-dropping-particle":"","parse-names":false,"suffix":""},{"dropping-particle":"","family":"Alimohammadi","given":"Samad","non-dropping-particle":"","parse-names":false,"suffix":""},{"dropping-particle":"","family":"Cheraghi","given":"Hadi","non-dropping-particle":"","parse-names":false,"suffix":""}],"container-title":"Pharmaceutical and Biomedical Research","id":"ITEM-1","issued":{"date-parts":[["2020","2"]]},"publisher":"Negah Scientific Publisher","title":"Protective Effect of Cynara scolymus L. on Blood Biochemical Parameters and Liver Histopathological Changes in Phenylhydrazine-Induced Hemolytic Anemia in Rats","type":"article-journal"},"uris":["http://www.mendeley.com/documents/?uuid=45fcd415-0658-3055-a582-139f720072c6"]}],"mendeley":{"formattedCitation":"(Allahmoradi et al., 2020)","plainTextFormattedCitation":"(Allahmoradi et al., 2020)","previouslyFormattedCitation":"(Allahmoradi et al., 2020)"},"properties":{"noteIndex":0},"schema":"https://github.com/citation-style-language/schema/raw/master/csl-citation.json"}</w:instrText>
      </w:r>
      <w:r w:rsidR="00694596">
        <w:rPr>
          <w:rFonts w:ascii="Arial" w:hAnsi="Arial" w:cs="Arial"/>
          <w:sz w:val="20"/>
          <w:szCs w:val="20"/>
        </w:rPr>
        <w:fldChar w:fldCharType="separate"/>
      </w:r>
      <w:r w:rsidR="00694596" w:rsidRPr="00694596">
        <w:rPr>
          <w:rFonts w:ascii="Arial" w:hAnsi="Arial" w:cs="Arial"/>
          <w:noProof/>
          <w:sz w:val="20"/>
          <w:szCs w:val="20"/>
        </w:rPr>
        <w:t>(Allahmoradi et al., 2020)</w:t>
      </w:r>
      <w:r w:rsidR="00694596">
        <w:rPr>
          <w:rFonts w:ascii="Arial" w:hAnsi="Arial" w:cs="Arial"/>
          <w:sz w:val="20"/>
          <w:szCs w:val="20"/>
        </w:rPr>
        <w:fldChar w:fldCharType="end"/>
      </w:r>
      <w:r w:rsidRPr="0039650C">
        <w:rPr>
          <w:rFonts w:ascii="Arial" w:hAnsi="Arial" w:cs="Arial"/>
          <w:sz w:val="20"/>
          <w:szCs w:val="20"/>
        </w:rPr>
        <w:t xml:space="preserve">. These </w:t>
      </w:r>
      <w:r w:rsidRPr="0039650C">
        <w:rPr>
          <w:rFonts w:ascii="Arial" w:hAnsi="Arial" w:cs="Arial"/>
          <w:sz w:val="20"/>
          <w:szCs w:val="20"/>
        </w:rPr>
        <w:lastRenderedPageBreak/>
        <w:t>findings suggest that the plant extract may possess potential therapeutic properties with minimal toxicity when used appropriately.</w:t>
      </w:r>
    </w:p>
    <w:p w14:paraId="7A31A88B"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Despite the growing interest in </w:t>
      </w:r>
      <w:r w:rsidRPr="0039650C">
        <w:rPr>
          <w:rFonts w:ascii="Arial" w:hAnsi="Arial" w:cs="Arial"/>
          <w:i/>
          <w:iCs/>
          <w:sz w:val="20"/>
          <w:szCs w:val="20"/>
        </w:rPr>
        <w:t>Amaranthus spinosus</w:t>
      </w:r>
      <w:r w:rsidRPr="0039650C">
        <w:rPr>
          <w:rFonts w:ascii="Arial" w:hAnsi="Arial" w:cs="Arial"/>
          <w:sz w:val="20"/>
          <w:szCs w:val="20"/>
        </w:rPr>
        <w:t>, there is still limited comprehensive characterization of its bioactive chemical constituents using advanced analytical techniques. Modern chromatographic methods such as Gas Chromatography–Mass Spectrometry (GC–MS) provide powerful tools for identifying and quantifying phytochemical compounds present in plant extracts. These techniques allow detailed profiling of volatile and non-volatile metabolites responsible for the biological activities of medicinal plants.</w:t>
      </w:r>
      <w:r w:rsidR="00206B56" w:rsidRPr="0039650C">
        <w:rPr>
          <w:rFonts w:ascii="Arial" w:hAnsi="Arial" w:cs="Arial"/>
          <w:sz w:val="20"/>
          <w:szCs w:val="20"/>
          <w:lang w:val="en-US"/>
        </w:rPr>
        <w:t xml:space="preserve"> T</w:t>
      </w:r>
      <w:r w:rsidRPr="0039650C">
        <w:rPr>
          <w:rFonts w:ascii="Arial" w:hAnsi="Arial" w:cs="Arial"/>
          <w:sz w:val="20"/>
          <w:szCs w:val="20"/>
        </w:rPr>
        <w:t xml:space="preserve">he present study aimed to investigate the bioactive chemical constituents present in the leaf extract of </w:t>
      </w:r>
      <w:r w:rsidRPr="0039650C">
        <w:rPr>
          <w:rFonts w:ascii="Arial" w:hAnsi="Arial" w:cs="Arial"/>
          <w:i/>
          <w:iCs/>
          <w:sz w:val="20"/>
          <w:szCs w:val="20"/>
        </w:rPr>
        <w:t xml:space="preserve">Amaranthus </w:t>
      </w:r>
      <w:proofErr w:type="spellStart"/>
      <w:r w:rsidRPr="0039650C">
        <w:rPr>
          <w:rFonts w:ascii="Arial" w:hAnsi="Arial" w:cs="Arial"/>
          <w:i/>
          <w:iCs/>
          <w:sz w:val="20"/>
          <w:szCs w:val="20"/>
        </w:rPr>
        <w:t>spinosus</w:t>
      </w:r>
      <w:proofErr w:type="spellEnd"/>
      <w:r w:rsidRPr="0039650C">
        <w:rPr>
          <w:rFonts w:ascii="Arial" w:hAnsi="Arial" w:cs="Arial"/>
          <w:sz w:val="20"/>
          <w:szCs w:val="20"/>
        </w:rPr>
        <w:t xml:space="preserve"> using GC–MS an</w:t>
      </w:r>
      <w:proofErr w:type="spellStart"/>
      <w:r w:rsidR="004A230A">
        <w:rPr>
          <w:rFonts w:ascii="Arial" w:hAnsi="Arial" w:cs="Arial"/>
          <w:sz w:val="20"/>
          <w:szCs w:val="20"/>
          <w:lang w:val="en-US"/>
        </w:rPr>
        <w:t>alysis</w:t>
      </w:r>
      <w:proofErr w:type="spellEnd"/>
      <w:r w:rsidRPr="0039650C">
        <w:rPr>
          <w:rFonts w:ascii="Arial" w:hAnsi="Arial" w:cs="Arial"/>
          <w:sz w:val="20"/>
          <w:szCs w:val="20"/>
        </w:rPr>
        <w:t>. Identification of these compounds will contribute to understanding the phytochemical composition of the plant and provide a scientific basis for its traditional medicinal use.</w:t>
      </w:r>
    </w:p>
    <w:p w14:paraId="5E1BE6E3" w14:textId="77777777" w:rsidR="00521EEB" w:rsidRPr="0039650C" w:rsidRDefault="00521EEB" w:rsidP="003213E0">
      <w:pPr>
        <w:jc w:val="both"/>
        <w:rPr>
          <w:rFonts w:ascii="Arial" w:hAnsi="Arial" w:cs="Arial"/>
          <w:sz w:val="20"/>
          <w:szCs w:val="20"/>
          <w:lang w:val="en-US"/>
        </w:rPr>
      </w:pPr>
    </w:p>
    <w:p w14:paraId="6F757F2F" w14:textId="77777777" w:rsidR="00521EEB" w:rsidRPr="0039650C" w:rsidRDefault="00521EEB" w:rsidP="003213E0">
      <w:pPr>
        <w:jc w:val="both"/>
        <w:rPr>
          <w:rFonts w:ascii="Arial" w:hAnsi="Arial" w:cs="Arial"/>
          <w:b/>
          <w:lang w:val="en-US"/>
        </w:rPr>
      </w:pPr>
      <w:r w:rsidRPr="0039650C">
        <w:rPr>
          <w:rFonts w:ascii="Arial" w:hAnsi="Arial" w:cs="Arial"/>
          <w:b/>
          <w:lang w:val="en-US"/>
        </w:rPr>
        <w:t>MATERIAL AND METHOD</w:t>
      </w:r>
    </w:p>
    <w:p w14:paraId="099D1D6C" w14:textId="77777777" w:rsidR="00521EEB" w:rsidRPr="0039650C" w:rsidRDefault="00521EEB" w:rsidP="003213E0">
      <w:pPr>
        <w:jc w:val="both"/>
        <w:rPr>
          <w:rFonts w:ascii="Arial" w:hAnsi="Arial" w:cs="Arial"/>
          <w:b/>
          <w:sz w:val="20"/>
          <w:szCs w:val="20"/>
        </w:rPr>
      </w:pPr>
      <w:r w:rsidRPr="0039650C">
        <w:rPr>
          <w:rFonts w:ascii="Arial" w:hAnsi="Arial" w:cs="Arial"/>
          <w:b/>
          <w:sz w:val="20"/>
          <w:szCs w:val="20"/>
          <w:lang w:val="en-US"/>
        </w:rPr>
        <w:t>C</w:t>
      </w:r>
      <w:r w:rsidRPr="0039650C">
        <w:rPr>
          <w:rFonts w:ascii="Arial" w:hAnsi="Arial" w:cs="Arial"/>
          <w:b/>
          <w:sz w:val="20"/>
          <w:szCs w:val="20"/>
        </w:rPr>
        <w:t>ollection, Identification and authentification of the plant materials</w:t>
      </w:r>
    </w:p>
    <w:p w14:paraId="6B7E68B6" w14:textId="77777777" w:rsidR="00206B56" w:rsidRPr="0039650C" w:rsidRDefault="00206B56">
      <w:pPr>
        <w:jc w:val="both"/>
        <w:rPr>
          <w:rFonts w:ascii="Arial" w:hAnsi="Arial" w:cs="Arial"/>
          <w:sz w:val="20"/>
          <w:szCs w:val="20"/>
        </w:rPr>
      </w:pPr>
      <w:r w:rsidRPr="0039650C">
        <w:rPr>
          <w:rFonts w:ascii="Arial" w:hAnsi="Arial" w:cs="Arial"/>
          <w:sz w:val="20"/>
          <w:szCs w:val="20"/>
        </w:rPr>
        <w:t xml:space="preserve">Fresh leaves of </w:t>
      </w:r>
      <w:r w:rsidRPr="0039650C">
        <w:rPr>
          <w:rFonts w:ascii="Arial" w:hAnsi="Arial" w:cs="Arial"/>
          <w:i/>
          <w:iCs/>
          <w:sz w:val="20"/>
          <w:szCs w:val="20"/>
        </w:rPr>
        <w:t>Amaranthus spinosus</w:t>
      </w:r>
      <w:r w:rsidRPr="0039650C">
        <w:rPr>
          <w:rFonts w:ascii="Arial" w:hAnsi="Arial" w:cs="Arial"/>
          <w:sz w:val="20"/>
          <w:szCs w:val="20"/>
        </w:rPr>
        <w:t xml:space="preserve"> were collected during the dry season in </w:t>
      </w:r>
      <w:r w:rsidR="003B794A">
        <w:rPr>
          <w:rFonts w:ascii="Arial" w:hAnsi="Arial" w:cs="Arial"/>
          <w:sz w:val="20"/>
          <w:szCs w:val="20"/>
          <w:lang w:val="en-US"/>
        </w:rPr>
        <w:t>November</w:t>
      </w:r>
      <w:r w:rsidRPr="0039650C">
        <w:rPr>
          <w:rFonts w:ascii="Arial" w:hAnsi="Arial" w:cs="Arial"/>
          <w:sz w:val="20"/>
          <w:szCs w:val="20"/>
        </w:rPr>
        <w:t xml:space="preserve"> 202</w:t>
      </w:r>
      <w:r w:rsidR="003B794A">
        <w:rPr>
          <w:rFonts w:ascii="Arial" w:hAnsi="Arial" w:cs="Arial"/>
          <w:sz w:val="20"/>
          <w:szCs w:val="20"/>
          <w:lang w:val="en-US"/>
        </w:rPr>
        <w:t>3</w:t>
      </w:r>
      <w:r w:rsidRPr="0039650C">
        <w:rPr>
          <w:rFonts w:ascii="Arial" w:hAnsi="Arial" w:cs="Arial"/>
          <w:sz w:val="20"/>
          <w:szCs w:val="20"/>
        </w:rPr>
        <w:t xml:space="preserve"> from a natural habitat. The plant material was carefully harvested using sterile tools to prevent contamination. Botanical identification and authentication of the specimen were conducted by a taxonomist in the Department of Forestry and Wildlife, Federal University of Technology Owerri, Nigeria. </w:t>
      </w:r>
    </w:p>
    <w:p w14:paraId="6B83FBF6" w14:textId="77777777" w:rsidR="00521EEB" w:rsidRPr="0039650C" w:rsidRDefault="00206B56">
      <w:pPr>
        <w:jc w:val="both"/>
        <w:rPr>
          <w:rFonts w:ascii="Arial" w:hAnsi="Arial" w:cs="Arial"/>
          <w:b/>
          <w:sz w:val="20"/>
          <w:szCs w:val="20"/>
        </w:rPr>
      </w:pPr>
      <w:r w:rsidRPr="0039650C">
        <w:rPr>
          <w:rFonts w:ascii="Arial" w:hAnsi="Arial" w:cs="Arial"/>
          <w:b/>
          <w:sz w:val="20"/>
          <w:szCs w:val="20"/>
          <w:lang w:val="en-US"/>
        </w:rPr>
        <w:t>P</w:t>
      </w:r>
      <w:r w:rsidR="00521EEB" w:rsidRPr="0039650C">
        <w:rPr>
          <w:rFonts w:ascii="Arial" w:hAnsi="Arial" w:cs="Arial"/>
          <w:b/>
          <w:sz w:val="20"/>
          <w:szCs w:val="20"/>
        </w:rPr>
        <w:t>reparation of powder and extract</w:t>
      </w:r>
    </w:p>
    <w:p w14:paraId="4165F14C"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The collected leaves were thoroughly washed with distilled water to remove soil particles and other contaminants. The plant material was subsequently air-dried under shade at room temperature to prevent degradation of heat-sensitive phytochemicals. After complete drying, the leaves were ground into fine powder using an electric blender.</w:t>
      </w:r>
    </w:p>
    <w:p w14:paraId="7EE6BDDB"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Approximately 300 g of the powdered plant material was weighed using an analytical electronic balance and macerated in 2000 mL of distilled water. The mixture was allowed to stand overnight at room temperature with continuous agitation using a magnetic stirrer to facilitate extraction of soluble phytochemicals.</w:t>
      </w:r>
    </w:p>
    <w:p w14:paraId="750E852C"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The suspension was then filtered using Whatman No. 1 filter paper to remove insoluble residues. The resulting filtrate was concentrated using a rotary evaporator at 50 °C to obtain the crude aqueous extract, which was subsequently stored in airtight containers for further analysis.</w:t>
      </w:r>
    </w:p>
    <w:p w14:paraId="4917EAAF" w14:textId="77777777" w:rsidR="00CA0890" w:rsidRPr="0039650C" w:rsidRDefault="00CA0890" w:rsidP="00521EEB">
      <w:pPr>
        <w:jc w:val="both"/>
        <w:rPr>
          <w:rFonts w:ascii="Arial" w:hAnsi="Arial" w:cs="Arial"/>
          <w:sz w:val="20"/>
          <w:szCs w:val="20"/>
          <w:lang w:val="en-US"/>
        </w:rPr>
      </w:pPr>
    </w:p>
    <w:p w14:paraId="35932599" w14:textId="77777777" w:rsidR="00CA0890" w:rsidRPr="0039650C" w:rsidRDefault="00CA0890" w:rsidP="00CA0890">
      <w:pPr>
        <w:jc w:val="both"/>
        <w:rPr>
          <w:rFonts w:ascii="Arial" w:hAnsi="Arial" w:cs="Arial"/>
          <w:b/>
          <w:sz w:val="20"/>
          <w:szCs w:val="20"/>
          <w:lang w:val="en-US"/>
        </w:rPr>
      </w:pPr>
      <w:r w:rsidRPr="0039650C">
        <w:rPr>
          <w:rFonts w:ascii="Arial" w:hAnsi="Arial" w:cs="Arial"/>
          <w:b/>
          <w:sz w:val="20"/>
          <w:szCs w:val="20"/>
          <w:lang w:val="en-US"/>
        </w:rPr>
        <w:t xml:space="preserve">Gas Chromatography Mass Spectrometry (GC-MS) Analysis </w:t>
      </w:r>
    </w:p>
    <w:p w14:paraId="6916393E" w14:textId="487C881E"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GC–MS analysis of the aqueous fractions of Amaranthus spinosus extracts was carried out at the Department of Chemistry, Yobe State University, Damaturu, Nigeria. The analysis was performed using a Shimadzu GC–MS instrument (Model QP-2010 Plus, Japan).</w:t>
      </w:r>
    </w:p>
    <w:p w14:paraId="149EF77D"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The instrument was equipped with a VF-5ms fused silica capillary column (30 m length × 0.25 mm internal diameter × 0.25 µm film thickness). The oven temperature was programmed from 80 °C to 280 °C at a rate of 2°C per minute.</w:t>
      </w:r>
    </w:p>
    <w:p w14:paraId="31892278"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Electron impact ionization was used at an energy level of 70 eV. The injector temperature was maintained at 250 °C while the detector temperature was set at 200 °C. Helium gas with a purity of 99.9995% served as the carrier gas at a constant flow rate of 1.5 mL/min.</w:t>
      </w:r>
    </w:p>
    <w:p w14:paraId="74FC27F0"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A sample volume of 1 µL was injected manually using a Hamilton syringe in split injection mode. The mass spectrometer was operated within a scanning range of 40–1000 m/z at a scanning rate of 3 scans per second. The total run time for each analysis was 27 minutes. The relative concentration of each detected compound was calculated based on peak area normalization in the total ion chromatogram (TIC).</w:t>
      </w:r>
    </w:p>
    <w:p w14:paraId="089513EF" w14:textId="77777777" w:rsidR="00CA0890" w:rsidRPr="0039650C" w:rsidRDefault="00CA0890" w:rsidP="00206B56">
      <w:pPr>
        <w:jc w:val="both"/>
        <w:rPr>
          <w:rFonts w:ascii="Arial" w:hAnsi="Arial" w:cs="Arial"/>
          <w:b/>
          <w:sz w:val="20"/>
          <w:szCs w:val="20"/>
          <w:lang w:val="en-US"/>
        </w:rPr>
      </w:pPr>
      <w:r w:rsidRPr="0039650C">
        <w:rPr>
          <w:rFonts w:ascii="Arial" w:hAnsi="Arial" w:cs="Arial"/>
          <w:b/>
          <w:sz w:val="20"/>
          <w:szCs w:val="20"/>
          <w:lang w:val="en-US"/>
        </w:rPr>
        <w:lastRenderedPageBreak/>
        <w:t>Identification of component</w:t>
      </w:r>
    </w:p>
    <w:p w14:paraId="5A2A611C" w14:textId="77777777" w:rsidR="00CA0890" w:rsidRPr="0039650C" w:rsidRDefault="00206B56" w:rsidP="00CA0890">
      <w:pPr>
        <w:jc w:val="both"/>
        <w:rPr>
          <w:rFonts w:ascii="Arial" w:hAnsi="Arial" w:cs="Arial"/>
          <w:sz w:val="20"/>
          <w:szCs w:val="20"/>
        </w:rPr>
      </w:pPr>
      <w:r w:rsidRPr="0039650C">
        <w:rPr>
          <w:rFonts w:ascii="Arial" w:hAnsi="Arial" w:cs="Arial"/>
          <w:sz w:val="20"/>
          <w:szCs w:val="20"/>
        </w:rPr>
        <w:t>Identification of chemical constituents present in the plant extracts was achieved by comparing the obtained mass spectra with reference spectra available in the National Institute of Standards and Technology (NIST) mass spectral database. Additionally, the Fatty Acid Methyl Ester (FAME) library version 1.0 was used to confirm compound identities.</w:t>
      </w:r>
      <w:r w:rsidRPr="0039650C">
        <w:rPr>
          <w:rFonts w:ascii="Arial" w:hAnsi="Arial" w:cs="Arial"/>
          <w:sz w:val="20"/>
          <w:szCs w:val="20"/>
          <w:lang w:val="en-US"/>
        </w:rPr>
        <w:t xml:space="preserve"> </w:t>
      </w:r>
      <w:r w:rsidRPr="0039650C">
        <w:rPr>
          <w:rFonts w:ascii="Arial" w:hAnsi="Arial" w:cs="Arial"/>
          <w:sz w:val="20"/>
          <w:szCs w:val="20"/>
        </w:rPr>
        <w:t>Parameters such as retention time, molecular weight, molecular formula, and spectral similarity indices were used to confirm the identity of the detected compounds.</w:t>
      </w:r>
    </w:p>
    <w:p w14:paraId="26DC4C3C" w14:textId="77777777" w:rsidR="006C75DA" w:rsidRDefault="006C75DA" w:rsidP="00CA0890">
      <w:pPr>
        <w:jc w:val="both"/>
        <w:rPr>
          <w:rFonts w:ascii="Arial" w:hAnsi="Arial" w:cs="Arial"/>
          <w:lang w:val="en-US"/>
        </w:rPr>
      </w:pPr>
    </w:p>
    <w:p w14:paraId="6C656433" w14:textId="77777777" w:rsidR="00694596" w:rsidRPr="0039650C" w:rsidRDefault="00694596" w:rsidP="00CA0890">
      <w:pPr>
        <w:jc w:val="both"/>
        <w:rPr>
          <w:rFonts w:ascii="Arial" w:hAnsi="Arial" w:cs="Arial"/>
          <w:lang w:val="en-US"/>
        </w:rPr>
      </w:pPr>
    </w:p>
    <w:p w14:paraId="08C1E088" w14:textId="77777777" w:rsidR="0039650C" w:rsidRPr="0039650C" w:rsidRDefault="0039650C" w:rsidP="0039650C">
      <w:pPr>
        <w:jc w:val="both"/>
        <w:rPr>
          <w:rFonts w:ascii="Arial" w:hAnsi="Arial" w:cs="Arial"/>
          <w:b/>
          <w:lang w:val="en-US"/>
        </w:rPr>
      </w:pPr>
      <w:r w:rsidRPr="0039650C">
        <w:rPr>
          <w:rFonts w:ascii="Arial" w:hAnsi="Arial" w:cs="Arial"/>
          <w:b/>
          <w:lang w:val="en-US"/>
        </w:rPr>
        <w:t>RESULT AND DISCUSSION</w:t>
      </w:r>
    </w:p>
    <w:p w14:paraId="10CF7962" w14:textId="05004B27" w:rsidR="006C75DA" w:rsidRPr="0039650C" w:rsidRDefault="009A264D" w:rsidP="00CA0890">
      <w:pPr>
        <w:jc w:val="both"/>
        <w:rPr>
          <w:rFonts w:ascii="Arial" w:hAnsi="Arial" w:cs="Arial"/>
          <w:b/>
          <w:sz w:val="20"/>
          <w:szCs w:val="20"/>
          <w:lang w:val="en-US"/>
        </w:rPr>
      </w:pPr>
      <w:r>
        <w:rPr>
          <w:rFonts w:ascii="Arial" w:hAnsi="Arial" w:cs="Arial"/>
          <w:b/>
          <w:sz w:val="20"/>
          <w:szCs w:val="20"/>
        </w:rPr>
        <w:t xml:space="preserve">Table </w:t>
      </w:r>
      <w:proofErr w:type="gramStart"/>
      <w:r>
        <w:rPr>
          <w:rFonts w:ascii="Arial" w:hAnsi="Arial" w:cs="Arial"/>
          <w:b/>
          <w:sz w:val="20"/>
          <w:szCs w:val="20"/>
        </w:rPr>
        <w:t>1 :</w:t>
      </w:r>
      <w:proofErr w:type="gramEnd"/>
      <w:r>
        <w:rPr>
          <w:rFonts w:ascii="Arial" w:hAnsi="Arial" w:cs="Arial"/>
          <w:b/>
          <w:sz w:val="20"/>
          <w:szCs w:val="20"/>
        </w:rPr>
        <w:t xml:space="preserve"> </w:t>
      </w:r>
      <w:r w:rsidR="0039650C" w:rsidRPr="0039650C">
        <w:rPr>
          <w:rFonts w:ascii="Arial" w:hAnsi="Arial" w:cs="Arial"/>
          <w:b/>
          <w:sz w:val="20"/>
          <w:szCs w:val="20"/>
        </w:rPr>
        <w:t xml:space="preserve">Phytochemicals from </w:t>
      </w:r>
      <w:r w:rsidR="0039650C" w:rsidRPr="0039650C">
        <w:rPr>
          <w:rFonts w:ascii="Arial" w:hAnsi="Arial" w:cs="Arial"/>
          <w:b/>
          <w:sz w:val="20"/>
          <w:szCs w:val="20"/>
          <w:lang w:val="en-US"/>
        </w:rPr>
        <w:t>Ethanol</w:t>
      </w:r>
      <w:r w:rsidR="0039650C" w:rsidRPr="0039650C">
        <w:rPr>
          <w:rFonts w:ascii="Arial" w:hAnsi="Arial" w:cs="Arial"/>
          <w:b/>
          <w:sz w:val="20"/>
          <w:szCs w:val="20"/>
        </w:rPr>
        <w:t xml:space="preserve"> fraction extract of A. </w:t>
      </w:r>
      <w:r w:rsidR="0039650C" w:rsidRPr="0039650C">
        <w:rPr>
          <w:rFonts w:ascii="Arial" w:hAnsi="Arial" w:cs="Arial"/>
          <w:b/>
          <w:sz w:val="20"/>
          <w:szCs w:val="20"/>
          <w:lang w:val="en-US"/>
        </w:rPr>
        <w:t>spinous</w:t>
      </w:r>
      <w:r w:rsidR="0039650C" w:rsidRPr="0039650C">
        <w:rPr>
          <w:rFonts w:ascii="Arial" w:hAnsi="Arial" w:cs="Arial"/>
          <w:b/>
          <w:sz w:val="20"/>
          <w:szCs w:val="20"/>
        </w:rPr>
        <w:t xml:space="preserve"> by GC-MS Analysi</w:t>
      </w:r>
      <w:r w:rsidR="0039650C" w:rsidRPr="0039650C">
        <w:rPr>
          <w:rFonts w:ascii="Arial" w:hAnsi="Arial" w:cs="Arial"/>
          <w:b/>
          <w:sz w:val="20"/>
          <w:szCs w:val="20"/>
          <w:lang w:val="en-US"/>
        </w:rPr>
        <w:t>s</w:t>
      </w:r>
    </w:p>
    <w:tbl>
      <w:tblPr>
        <w:tblStyle w:val="TableGrid"/>
        <w:tblW w:w="11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654"/>
        <w:gridCol w:w="3132"/>
        <w:gridCol w:w="1294"/>
        <w:gridCol w:w="1667"/>
        <w:gridCol w:w="1825"/>
      </w:tblGrid>
      <w:tr w:rsidR="00056584" w:rsidRPr="0039650C" w14:paraId="4BC40B5C" w14:textId="77777777" w:rsidTr="00C77E40">
        <w:trPr>
          <w:trHeight w:val="267"/>
          <w:jc w:val="center"/>
        </w:trPr>
        <w:tc>
          <w:tcPr>
            <w:tcW w:w="1442" w:type="dxa"/>
            <w:tcBorders>
              <w:top w:val="single" w:sz="4" w:space="0" w:color="auto"/>
              <w:bottom w:val="single" w:sz="4" w:space="0" w:color="auto"/>
            </w:tcBorders>
            <w:noWrap/>
            <w:hideMark/>
          </w:tcPr>
          <w:p w14:paraId="02704C05" w14:textId="77777777" w:rsidR="00056584" w:rsidRPr="00056584" w:rsidRDefault="00056584" w:rsidP="00C77E40">
            <w:pPr>
              <w:jc w:val="both"/>
              <w:rPr>
                <w:rFonts w:ascii="Arial" w:hAnsi="Arial" w:cs="Arial"/>
                <w:b/>
                <w:sz w:val="20"/>
                <w:szCs w:val="20"/>
              </w:rPr>
            </w:pPr>
            <w:bookmarkStart w:id="1" w:name="_GoBack"/>
            <w:r w:rsidRPr="00056584">
              <w:rPr>
                <w:rFonts w:ascii="Arial" w:hAnsi="Arial" w:cs="Arial"/>
                <w:b/>
                <w:sz w:val="20"/>
                <w:szCs w:val="20"/>
              </w:rPr>
              <w:t>Peak Number</w:t>
            </w:r>
          </w:p>
        </w:tc>
        <w:tc>
          <w:tcPr>
            <w:tcW w:w="1654" w:type="dxa"/>
            <w:tcBorders>
              <w:top w:val="single" w:sz="4" w:space="0" w:color="auto"/>
              <w:bottom w:val="single" w:sz="4" w:space="0" w:color="auto"/>
            </w:tcBorders>
            <w:noWrap/>
            <w:hideMark/>
          </w:tcPr>
          <w:p w14:paraId="2920FDC3" w14:textId="77777777" w:rsidR="00056584" w:rsidRPr="00056584" w:rsidRDefault="00056584" w:rsidP="00C77E40">
            <w:pPr>
              <w:jc w:val="both"/>
              <w:rPr>
                <w:rFonts w:ascii="Arial" w:hAnsi="Arial" w:cs="Arial"/>
                <w:b/>
                <w:sz w:val="20"/>
                <w:szCs w:val="20"/>
              </w:rPr>
            </w:pPr>
            <w:r w:rsidRPr="00056584">
              <w:rPr>
                <w:rFonts w:ascii="Arial" w:hAnsi="Arial" w:cs="Arial"/>
                <w:b/>
                <w:sz w:val="20"/>
                <w:szCs w:val="20"/>
              </w:rPr>
              <w:t>Retention Time (RT, min)</w:t>
            </w:r>
          </w:p>
        </w:tc>
        <w:tc>
          <w:tcPr>
            <w:tcW w:w="3132" w:type="dxa"/>
            <w:tcBorders>
              <w:top w:val="single" w:sz="4" w:space="0" w:color="auto"/>
              <w:bottom w:val="single" w:sz="4" w:space="0" w:color="auto"/>
            </w:tcBorders>
          </w:tcPr>
          <w:p w14:paraId="71B3E02E"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 xml:space="preserve">Compound name </w:t>
            </w:r>
          </w:p>
        </w:tc>
        <w:tc>
          <w:tcPr>
            <w:tcW w:w="1294" w:type="dxa"/>
            <w:tcBorders>
              <w:top w:val="single" w:sz="4" w:space="0" w:color="auto"/>
              <w:bottom w:val="single" w:sz="4" w:space="0" w:color="auto"/>
            </w:tcBorders>
          </w:tcPr>
          <w:p w14:paraId="1CAC3A5A"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M</w:t>
            </w:r>
            <w:r w:rsidRPr="00056584">
              <w:rPr>
                <w:rFonts w:ascii="Arial" w:hAnsi="Arial" w:cs="Arial"/>
                <w:b/>
                <w:sz w:val="20"/>
                <w:szCs w:val="20"/>
              </w:rPr>
              <w:t>olecular weight</w:t>
            </w:r>
          </w:p>
        </w:tc>
        <w:tc>
          <w:tcPr>
            <w:tcW w:w="1667" w:type="dxa"/>
            <w:tcBorders>
              <w:top w:val="single" w:sz="4" w:space="0" w:color="auto"/>
              <w:bottom w:val="single" w:sz="4" w:space="0" w:color="auto"/>
            </w:tcBorders>
          </w:tcPr>
          <w:p w14:paraId="16474911"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M</w:t>
            </w:r>
            <w:r w:rsidRPr="00056584">
              <w:rPr>
                <w:rFonts w:ascii="Arial" w:hAnsi="Arial" w:cs="Arial"/>
                <w:b/>
                <w:sz w:val="20"/>
                <w:szCs w:val="20"/>
              </w:rPr>
              <w:t>olecular formula</w:t>
            </w:r>
          </w:p>
        </w:tc>
        <w:tc>
          <w:tcPr>
            <w:tcW w:w="1825" w:type="dxa"/>
            <w:tcBorders>
              <w:top w:val="single" w:sz="4" w:space="0" w:color="auto"/>
              <w:bottom w:val="single" w:sz="4" w:space="0" w:color="auto"/>
            </w:tcBorders>
            <w:noWrap/>
            <w:hideMark/>
          </w:tcPr>
          <w:p w14:paraId="47CAD7C2" w14:textId="77777777" w:rsidR="00056584" w:rsidRPr="00056584" w:rsidRDefault="00056584" w:rsidP="00C77E40">
            <w:pPr>
              <w:jc w:val="both"/>
              <w:rPr>
                <w:rFonts w:ascii="Arial" w:hAnsi="Arial" w:cs="Arial"/>
                <w:b/>
                <w:sz w:val="20"/>
                <w:szCs w:val="20"/>
              </w:rPr>
            </w:pPr>
            <w:r w:rsidRPr="00056584">
              <w:rPr>
                <w:rFonts w:ascii="Arial" w:hAnsi="Arial" w:cs="Arial"/>
                <w:b/>
                <w:sz w:val="20"/>
                <w:szCs w:val="20"/>
              </w:rPr>
              <w:t>Area Percentage (%)</w:t>
            </w:r>
          </w:p>
        </w:tc>
      </w:tr>
      <w:tr w:rsidR="00056584" w:rsidRPr="0039650C" w14:paraId="745E89A8" w14:textId="77777777" w:rsidTr="00C77E40">
        <w:trPr>
          <w:trHeight w:val="267"/>
          <w:jc w:val="center"/>
        </w:trPr>
        <w:tc>
          <w:tcPr>
            <w:tcW w:w="1442" w:type="dxa"/>
            <w:tcBorders>
              <w:top w:val="single" w:sz="4" w:space="0" w:color="auto"/>
            </w:tcBorders>
            <w:noWrap/>
            <w:hideMark/>
          </w:tcPr>
          <w:p w14:paraId="3AF4B91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w:t>
            </w:r>
          </w:p>
        </w:tc>
        <w:tc>
          <w:tcPr>
            <w:tcW w:w="1654" w:type="dxa"/>
            <w:tcBorders>
              <w:top w:val="single" w:sz="4" w:space="0" w:color="auto"/>
            </w:tcBorders>
            <w:noWrap/>
            <w:hideMark/>
          </w:tcPr>
          <w:p w14:paraId="596E6E9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1.422</w:t>
            </w:r>
          </w:p>
        </w:tc>
        <w:tc>
          <w:tcPr>
            <w:tcW w:w="3132" w:type="dxa"/>
            <w:tcBorders>
              <w:top w:val="single" w:sz="4" w:space="0" w:color="auto"/>
            </w:tcBorders>
          </w:tcPr>
          <w:p w14:paraId="7C94932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Cyclohexanemethyl propanoate</w:t>
            </w:r>
          </w:p>
        </w:tc>
        <w:tc>
          <w:tcPr>
            <w:tcW w:w="1294" w:type="dxa"/>
            <w:tcBorders>
              <w:top w:val="single" w:sz="4" w:space="0" w:color="auto"/>
            </w:tcBorders>
          </w:tcPr>
          <w:p w14:paraId="6ADD4CC0" w14:textId="77777777" w:rsidR="00056584" w:rsidRPr="0039650C" w:rsidRDefault="00056584" w:rsidP="00C77E40">
            <w:pPr>
              <w:jc w:val="both"/>
              <w:rPr>
                <w:rFonts w:ascii="Arial" w:hAnsi="Arial" w:cs="Arial"/>
                <w:sz w:val="20"/>
                <w:szCs w:val="20"/>
              </w:rPr>
            </w:pPr>
            <w:r w:rsidRPr="0039650C">
              <w:rPr>
                <w:rFonts w:ascii="Arial" w:hAnsi="Arial" w:cs="Arial"/>
                <w:sz w:val="20"/>
                <w:szCs w:val="20"/>
                <w:lang w:val="en-US"/>
              </w:rPr>
              <w:t>1</w:t>
            </w:r>
            <w:r w:rsidRPr="0039650C">
              <w:rPr>
                <w:rFonts w:ascii="Arial" w:hAnsi="Arial" w:cs="Arial"/>
                <w:sz w:val="20"/>
                <w:szCs w:val="20"/>
              </w:rPr>
              <w:t>70</w:t>
            </w:r>
          </w:p>
        </w:tc>
        <w:tc>
          <w:tcPr>
            <w:tcW w:w="1667" w:type="dxa"/>
            <w:tcBorders>
              <w:top w:val="single" w:sz="4" w:space="0" w:color="auto"/>
            </w:tcBorders>
          </w:tcPr>
          <w:p w14:paraId="46D65404" w14:textId="77777777" w:rsidR="00056584" w:rsidRPr="0039650C" w:rsidRDefault="00056584" w:rsidP="00C77E40">
            <w:pPr>
              <w:jc w:val="both"/>
              <w:rPr>
                <w:rFonts w:ascii="Arial" w:hAnsi="Arial" w:cs="Arial"/>
                <w:sz w:val="20"/>
                <w:szCs w:val="20"/>
              </w:rPr>
            </w:pPr>
            <w:r w:rsidRPr="0039650C">
              <w:rPr>
                <w:rFonts w:ascii="Arial" w:hAnsi="Arial" w:cs="Arial"/>
                <w:sz w:val="20"/>
                <w:szCs w:val="20"/>
                <w:lang w:val="en-US"/>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18</w:t>
            </w:r>
            <w:r w:rsidRPr="0039650C">
              <w:rPr>
                <w:rFonts w:ascii="Arial" w:hAnsi="Arial" w:cs="Arial"/>
                <w:sz w:val="20"/>
                <w:szCs w:val="20"/>
              </w:rPr>
              <w:t>O</w:t>
            </w:r>
            <w:r w:rsidRPr="00056584">
              <w:rPr>
                <w:rFonts w:ascii="Arial" w:hAnsi="Arial" w:cs="Arial"/>
                <w:sz w:val="20"/>
                <w:szCs w:val="20"/>
                <w:vertAlign w:val="subscript"/>
              </w:rPr>
              <w:t>2</w:t>
            </w:r>
          </w:p>
        </w:tc>
        <w:tc>
          <w:tcPr>
            <w:tcW w:w="1825" w:type="dxa"/>
            <w:tcBorders>
              <w:top w:val="single" w:sz="4" w:space="0" w:color="auto"/>
            </w:tcBorders>
            <w:noWrap/>
            <w:hideMark/>
          </w:tcPr>
          <w:p w14:paraId="2761F77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6.08</w:t>
            </w:r>
          </w:p>
        </w:tc>
      </w:tr>
      <w:tr w:rsidR="00056584" w:rsidRPr="0039650C" w14:paraId="20F29D88" w14:textId="77777777" w:rsidTr="00C77E40">
        <w:trPr>
          <w:trHeight w:val="267"/>
          <w:jc w:val="center"/>
        </w:trPr>
        <w:tc>
          <w:tcPr>
            <w:tcW w:w="1442" w:type="dxa"/>
            <w:noWrap/>
            <w:hideMark/>
          </w:tcPr>
          <w:p w14:paraId="69D3E98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w:t>
            </w:r>
          </w:p>
        </w:tc>
        <w:tc>
          <w:tcPr>
            <w:tcW w:w="1654" w:type="dxa"/>
            <w:noWrap/>
            <w:hideMark/>
          </w:tcPr>
          <w:p w14:paraId="01B3488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2.022</w:t>
            </w:r>
          </w:p>
        </w:tc>
        <w:tc>
          <w:tcPr>
            <w:tcW w:w="3132" w:type="dxa"/>
          </w:tcPr>
          <w:p w14:paraId="55F2EE8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-3,4-Di-O-methyl-2-deoxy-D-ribono-1,5-lactone</w:t>
            </w:r>
          </w:p>
        </w:tc>
        <w:tc>
          <w:tcPr>
            <w:tcW w:w="1294" w:type="dxa"/>
          </w:tcPr>
          <w:p w14:paraId="63B5E924"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160</w:t>
            </w:r>
          </w:p>
        </w:tc>
        <w:tc>
          <w:tcPr>
            <w:tcW w:w="1667" w:type="dxa"/>
          </w:tcPr>
          <w:p w14:paraId="54BE061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7</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4</w:t>
            </w:r>
          </w:p>
        </w:tc>
        <w:tc>
          <w:tcPr>
            <w:tcW w:w="1825" w:type="dxa"/>
            <w:noWrap/>
            <w:hideMark/>
          </w:tcPr>
          <w:p w14:paraId="18FC451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w:t>
            </w:r>
          </w:p>
        </w:tc>
      </w:tr>
      <w:tr w:rsidR="00056584" w:rsidRPr="0039650C" w14:paraId="429FFF9D" w14:textId="77777777" w:rsidTr="00C77E40">
        <w:trPr>
          <w:trHeight w:val="267"/>
          <w:jc w:val="center"/>
        </w:trPr>
        <w:tc>
          <w:tcPr>
            <w:tcW w:w="1442" w:type="dxa"/>
            <w:noWrap/>
            <w:hideMark/>
          </w:tcPr>
          <w:p w14:paraId="169223A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w:t>
            </w:r>
          </w:p>
        </w:tc>
        <w:tc>
          <w:tcPr>
            <w:tcW w:w="1654" w:type="dxa"/>
            <w:noWrap/>
            <w:hideMark/>
          </w:tcPr>
          <w:p w14:paraId="7F6E8ED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3.201</w:t>
            </w:r>
          </w:p>
        </w:tc>
        <w:tc>
          <w:tcPr>
            <w:tcW w:w="3132" w:type="dxa"/>
          </w:tcPr>
          <w:p w14:paraId="4F69B6E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4-Methoxy-6-methyl-6,7-dihydro-4H-furo[3,2-c]pyran</w:t>
            </w:r>
          </w:p>
        </w:tc>
        <w:tc>
          <w:tcPr>
            <w:tcW w:w="1294" w:type="dxa"/>
          </w:tcPr>
          <w:p w14:paraId="259A80C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168</w:t>
            </w:r>
          </w:p>
        </w:tc>
        <w:tc>
          <w:tcPr>
            <w:tcW w:w="1667" w:type="dxa"/>
          </w:tcPr>
          <w:p w14:paraId="334B295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3</w:t>
            </w:r>
          </w:p>
        </w:tc>
        <w:tc>
          <w:tcPr>
            <w:tcW w:w="1825" w:type="dxa"/>
            <w:noWrap/>
            <w:hideMark/>
          </w:tcPr>
          <w:p w14:paraId="657E8A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11.78</w:t>
            </w:r>
          </w:p>
        </w:tc>
      </w:tr>
      <w:tr w:rsidR="00056584" w:rsidRPr="0039650C" w14:paraId="3E3B63A2" w14:textId="77777777" w:rsidTr="00C77E40">
        <w:trPr>
          <w:trHeight w:val="267"/>
          <w:jc w:val="center"/>
        </w:trPr>
        <w:tc>
          <w:tcPr>
            <w:tcW w:w="1442" w:type="dxa"/>
            <w:noWrap/>
            <w:hideMark/>
          </w:tcPr>
          <w:p w14:paraId="0F1E10C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w:t>
            </w:r>
          </w:p>
        </w:tc>
        <w:tc>
          <w:tcPr>
            <w:tcW w:w="1654" w:type="dxa"/>
            <w:noWrap/>
            <w:hideMark/>
          </w:tcPr>
          <w:p w14:paraId="0F75E3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3.684</w:t>
            </w:r>
          </w:p>
        </w:tc>
        <w:tc>
          <w:tcPr>
            <w:tcW w:w="3132" w:type="dxa"/>
          </w:tcPr>
          <w:p w14:paraId="38B11CF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Formaldehyde, methyl(2-propenyl)hydrazone</w:t>
            </w:r>
          </w:p>
        </w:tc>
        <w:tc>
          <w:tcPr>
            <w:tcW w:w="1294" w:type="dxa"/>
          </w:tcPr>
          <w:p w14:paraId="7DB031D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98</w:t>
            </w:r>
          </w:p>
        </w:tc>
        <w:tc>
          <w:tcPr>
            <w:tcW w:w="1667" w:type="dxa"/>
          </w:tcPr>
          <w:p w14:paraId="6B754C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5</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N</w:t>
            </w:r>
            <w:r w:rsidRPr="00056584">
              <w:rPr>
                <w:rFonts w:ascii="Arial" w:hAnsi="Arial" w:cs="Arial"/>
                <w:sz w:val="20"/>
                <w:szCs w:val="20"/>
                <w:vertAlign w:val="subscript"/>
              </w:rPr>
              <w:t>2</w:t>
            </w:r>
          </w:p>
        </w:tc>
        <w:tc>
          <w:tcPr>
            <w:tcW w:w="1825" w:type="dxa"/>
            <w:noWrap/>
            <w:hideMark/>
          </w:tcPr>
          <w:p w14:paraId="0DF2FF5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2.68</w:t>
            </w:r>
          </w:p>
        </w:tc>
      </w:tr>
      <w:tr w:rsidR="00056584" w:rsidRPr="0039650C" w14:paraId="7A42D1A5" w14:textId="77777777" w:rsidTr="00C77E40">
        <w:trPr>
          <w:trHeight w:val="267"/>
          <w:jc w:val="center"/>
        </w:trPr>
        <w:tc>
          <w:tcPr>
            <w:tcW w:w="1442" w:type="dxa"/>
            <w:noWrap/>
            <w:hideMark/>
          </w:tcPr>
          <w:p w14:paraId="076A175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w:t>
            </w:r>
          </w:p>
        </w:tc>
        <w:tc>
          <w:tcPr>
            <w:tcW w:w="1654" w:type="dxa"/>
            <w:noWrap/>
            <w:hideMark/>
          </w:tcPr>
          <w:p w14:paraId="0C0D539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5.412</w:t>
            </w:r>
          </w:p>
        </w:tc>
        <w:tc>
          <w:tcPr>
            <w:tcW w:w="3132" w:type="dxa"/>
          </w:tcPr>
          <w:p w14:paraId="764DC26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2(5H)-Furanone, 3-chloro-5-((dimethylamino)methyl)-4,5-dimethyl</w:t>
            </w:r>
          </w:p>
        </w:tc>
        <w:tc>
          <w:tcPr>
            <w:tcW w:w="1294" w:type="dxa"/>
          </w:tcPr>
          <w:p w14:paraId="2027690C"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203</w:t>
            </w:r>
          </w:p>
        </w:tc>
        <w:tc>
          <w:tcPr>
            <w:tcW w:w="1667" w:type="dxa"/>
          </w:tcPr>
          <w:p w14:paraId="22F5A86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14</w:t>
            </w:r>
            <w:r w:rsidRPr="0039650C">
              <w:rPr>
                <w:rFonts w:ascii="Arial" w:hAnsi="Arial" w:cs="Arial"/>
                <w:sz w:val="20"/>
                <w:szCs w:val="20"/>
              </w:rPr>
              <w:t>ClNO</w:t>
            </w:r>
            <w:r w:rsidRPr="00056584">
              <w:rPr>
                <w:rFonts w:ascii="Arial" w:hAnsi="Arial" w:cs="Arial"/>
                <w:sz w:val="20"/>
                <w:szCs w:val="20"/>
                <w:vertAlign w:val="subscript"/>
              </w:rPr>
              <w:t>2</w:t>
            </w:r>
          </w:p>
        </w:tc>
        <w:tc>
          <w:tcPr>
            <w:tcW w:w="1825" w:type="dxa"/>
            <w:noWrap/>
            <w:hideMark/>
          </w:tcPr>
          <w:p w14:paraId="454B713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3.22</w:t>
            </w:r>
          </w:p>
        </w:tc>
      </w:tr>
      <w:tr w:rsidR="00056584" w:rsidRPr="0039650C" w14:paraId="357AEF3A" w14:textId="77777777" w:rsidTr="00C77E40">
        <w:trPr>
          <w:trHeight w:val="267"/>
          <w:jc w:val="center"/>
        </w:trPr>
        <w:tc>
          <w:tcPr>
            <w:tcW w:w="1442" w:type="dxa"/>
            <w:noWrap/>
            <w:hideMark/>
          </w:tcPr>
          <w:p w14:paraId="7071AD8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w:t>
            </w:r>
          </w:p>
        </w:tc>
        <w:tc>
          <w:tcPr>
            <w:tcW w:w="1654" w:type="dxa"/>
            <w:noWrap/>
            <w:hideMark/>
          </w:tcPr>
          <w:p w14:paraId="541A5D1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6.262</w:t>
            </w:r>
          </w:p>
        </w:tc>
        <w:tc>
          <w:tcPr>
            <w:tcW w:w="3132" w:type="dxa"/>
          </w:tcPr>
          <w:p w14:paraId="127342B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DL-Ephedrine</w:t>
            </w:r>
          </w:p>
        </w:tc>
        <w:tc>
          <w:tcPr>
            <w:tcW w:w="1294" w:type="dxa"/>
          </w:tcPr>
          <w:p w14:paraId="6AD2E86D"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165</w:t>
            </w:r>
          </w:p>
        </w:tc>
        <w:tc>
          <w:tcPr>
            <w:tcW w:w="1667" w:type="dxa"/>
          </w:tcPr>
          <w:p w14:paraId="382B932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15</w:t>
            </w:r>
            <w:r w:rsidRPr="0039650C">
              <w:rPr>
                <w:rFonts w:ascii="Arial" w:hAnsi="Arial" w:cs="Arial"/>
                <w:sz w:val="20"/>
                <w:szCs w:val="20"/>
              </w:rPr>
              <w:t>NO</w:t>
            </w:r>
          </w:p>
        </w:tc>
        <w:tc>
          <w:tcPr>
            <w:tcW w:w="1825" w:type="dxa"/>
            <w:noWrap/>
            <w:hideMark/>
          </w:tcPr>
          <w:p w14:paraId="7AB9659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w:t>
            </w:r>
          </w:p>
        </w:tc>
      </w:tr>
      <w:tr w:rsidR="00056584" w:rsidRPr="0039650C" w14:paraId="7C1F7401" w14:textId="77777777" w:rsidTr="00C77E40">
        <w:trPr>
          <w:trHeight w:val="267"/>
          <w:jc w:val="center"/>
        </w:trPr>
        <w:tc>
          <w:tcPr>
            <w:tcW w:w="1442" w:type="dxa"/>
            <w:noWrap/>
            <w:hideMark/>
          </w:tcPr>
          <w:p w14:paraId="483865B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w:t>
            </w:r>
          </w:p>
        </w:tc>
        <w:tc>
          <w:tcPr>
            <w:tcW w:w="1654" w:type="dxa"/>
            <w:noWrap/>
            <w:hideMark/>
          </w:tcPr>
          <w:p w14:paraId="36A277D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7.345</w:t>
            </w:r>
          </w:p>
        </w:tc>
        <w:tc>
          <w:tcPr>
            <w:tcW w:w="3132" w:type="dxa"/>
          </w:tcPr>
          <w:p w14:paraId="11DD527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2,3,4,5Tetrahydropyridazine</w:t>
            </w:r>
          </w:p>
        </w:tc>
        <w:tc>
          <w:tcPr>
            <w:tcW w:w="1294" w:type="dxa"/>
          </w:tcPr>
          <w:p w14:paraId="72B0AE3C"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84</w:t>
            </w:r>
          </w:p>
        </w:tc>
        <w:tc>
          <w:tcPr>
            <w:tcW w:w="1667" w:type="dxa"/>
          </w:tcPr>
          <w:p w14:paraId="7F19374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4</w:t>
            </w:r>
            <w:r w:rsidRPr="0039650C">
              <w:rPr>
                <w:rFonts w:ascii="Arial" w:hAnsi="Arial" w:cs="Arial"/>
                <w:sz w:val="20"/>
                <w:szCs w:val="20"/>
              </w:rPr>
              <w:t>H</w:t>
            </w:r>
            <w:r w:rsidRPr="00056584">
              <w:rPr>
                <w:rFonts w:ascii="Arial" w:hAnsi="Arial" w:cs="Arial"/>
                <w:sz w:val="20"/>
                <w:szCs w:val="20"/>
                <w:vertAlign w:val="subscript"/>
              </w:rPr>
              <w:t>8</w:t>
            </w:r>
            <w:r w:rsidRPr="0039650C">
              <w:rPr>
                <w:rFonts w:ascii="Arial" w:hAnsi="Arial" w:cs="Arial"/>
                <w:sz w:val="20"/>
                <w:szCs w:val="20"/>
              </w:rPr>
              <w:t>N</w:t>
            </w:r>
            <w:r w:rsidRPr="00056584">
              <w:rPr>
                <w:rFonts w:ascii="Arial" w:hAnsi="Arial" w:cs="Arial"/>
                <w:sz w:val="20"/>
                <w:szCs w:val="20"/>
                <w:vertAlign w:val="subscript"/>
              </w:rPr>
              <w:t>2</w:t>
            </w:r>
          </w:p>
        </w:tc>
        <w:tc>
          <w:tcPr>
            <w:tcW w:w="1825" w:type="dxa"/>
            <w:noWrap/>
            <w:hideMark/>
          </w:tcPr>
          <w:p w14:paraId="056B300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3.54</w:t>
            </w:r>
          </w:p>
        </w:tc>
      </w:tr>
      <w:tr w:rsidR="00056584" w:rsidRPr="0039650C" w14:paraId="0E4CF622" w14:textId="77777777" w:rsidTr="00C77E40">
        <w:trPr>
          <w:trHeight w:val="267"/>
          <w:jc w:val="center"/>
        </w:trPr>
        <w:tc>
          <w:tcPr>
            <w:tcW w:w="1442" w:type="dxa"/>
            <w:noWrap/>
            <w:hideMark/>
          </w:tcPr>
          <w:p w14:paraId="5DB2524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w:t>
            </w:r>
          </w:p>
        </w:tc>
        <w:tc>
          <w:tcPr>
            <w:tcW w:w="1654" w:type="dxa"/>
            <w:noWrap/>
            <w:hideMark/>
          </w:tcPr>
          <w:p w14:paraId="1D0B812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7.836</w:t>
            </w:r>
          </w:p>
        </w:tc>
        <w:tc>
          <w:tcPr>
            <w:tcW w:w="3132" w:type="dxa"/>
          </w:tcPr>
          <w:p w14:paraId="5D67803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3-Selenetanol, 3-(4-methoxyphenyl)-</w:t>
            </w:r>
          </w:p>
        </w:tc>
        <w:tc>
          <w:tcPr>
            <w:tcW w:w="1294" w:type="dxa"/>
          </w:tcPr>
          <w:p w14:paraId="66AE1119"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244</w:t>
            </w:r>
          </w:p>
        </w:tc>
        <w:tc>
          <w:tcPr>
            <w:tcW w:w="1667" w:type="dxa"/>
          </w:tcPr>
          <w:p w14:paraId="3ED2CD7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2</w:t>
            </w:r>
            <w:r w:rsidRPr="0039650C">
              <w:rPr>
                <w:rFonts w:ascii="Arial" w:hAnsi="Arial" w:cs="Arial"/>
                <w:sz w:val="20"/>
                <w:szCs w:val="20"/>
              </w:rPr>
              <w:t>Se</w:t>
            </w:r>
          </w:p>
        </w:tc>
        <w:tc>
          <w:tcPr>
            <w:tcW w:w="1825" w:type="dxa"/>
            <w:noWrap/>
            <w:hideMark/>
          </w:tcPr>
          <w:p w14:paraId="3822135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1.77</w:t>
            </w:r>
          </w:p>
        </w:tc>
      </w:tr>
      <w:tr w:rsidR="00056584" w:rsidRPr="0039650C" w14:paraId="2468DC02" w14:textId="77777777" w:rsidTr="00C77E40">
        <w:trPr>
          <w:trHeight w:val="267"/>
          <w:jc w:val="center"/>
        </w:trPr>
        <w:tc>
          <w:tcPr>
            <w:tcW w:w="1442" w:type="dxa"/>
            <w:noWrap/>
            <w:hideMark/>
          </w:tcPr>
          <w:p w14:paraId="398B1DB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9</w:t>
            </w:r>
          </w:p>
        </w:tc>
        <w:tc>
          <w:tcPr>
            <w:tcW w:w="1654" w:type="dxa"/>
            <w:noWrap/>
            <w:hideMark/>
          </w:tcPr>
          <w:p w14:paraId="28FED0A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8.143</w:t>
            </w:r>
          </w:p>
        </w:tc>
        <w:tc>
          <w:tcPr>
            <w:tcW w:w="3132" w:type="dxa"/>
          </w:tcPr>
          <w:p w14:paraId="5296E6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4-Acetoxy-3-methoxystyrene</w:t>
            </w:r>
          </w:p>
        </w:tc>
        <w:tc>
          <w:tcPr>
            <w:tcW w:w="1294" w:type="dxa"/>
          </w:tcPr>
          <w:p w14:paraId="0203EBE6"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192</w:t>
            </w:r>
          </w:p>
        </w:tc>
        <w:tc>
          <w:tcPr>
            <w:tcW w:w="1667" w:type="dxa"/>
          </w:tcPr>
          <w:p w14:paraId="6B7D76F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11</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3</w:t>
            </w:r>
          </w:p>
        </w:tc>
        <w:tc>
          <w:tcPr>
            <w:tcW w:w="1825" w:type="dxa"/>
            <w:noWrap/>
            <w:hideMark/>
          </w:tcPr>
          <w:p w14:paraId="474B076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3.81</w:t>
            </w:r>
          </w:p>
        </w:tc>
      </w:tr>
      <w:tr w:rsidR="00056584" w:rsidRPr="0039650C" w14:paraId="69EFA293" w14:textId="77777777" w:rsidTr="00C77E40">
        <w:trPr>
          <w:trHeight w:val="267"/>
          <w:jc w:val="center"/>
        </w:trPr>
        <w:tc>
          <w:tcPr>
            <w:tcW w:w="1442" w:type="dxa"/>
            <w:noWrap/>
            <w:hideMark/>
          </w:tcPr>
          <w:p w14:paraId="65CCF26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w:t>
            </w:r>
          </w:p>
        </w:tc>
        <w:tc>
          <w:tcPr>
            <w:tcW w:w="1654" w:type="dxa"/>
            <w:noWrap/>
            <w:hideMark/>
          </w:tcPr>
          <w:p w14:paraId="027CED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8.597</w:t>
            </w:r>
          </w:p>
        </w:tc>
        <w:tc>
          <w:tcPr>
            <w:tcW w:w="3132" w:type="dxa"/>
          </w:tcPr>
          <w:p w14:paraId="0DBCBAA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3-Methoxyacetophenone</w:t>
            </w:r>
          </w:p>
        </w:tc>
        <w:tc>
          <w:tcPr>
            <w:tcW w:w="1294" w:type="dxa"/>
          </w:tcPr>
          <w:p w14:paraId="1C507973"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150</w:t>
            </w:r>
          </w:p>
        </w:tc>
        <w:tc>
          <w:tcPr>
            <w:tcW w:w="1667" w:type="dxa"/>
          </w:tcPr>
          <w:p w14:paraId="564FFBC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O</w:t>
            </w:r>
            <w:r w:rsidRPr="00056584">
              <w:rPr>
                <w:rFonts w:ascii="Arial" w:hAnsi="Arial" w:cs="Arial"/>
                <w:sz w:val="20"/>
                <w:szCs w:val="20"/>
                <w:vertAlign w:val="subscript"/>
              </w:rPr>
              <w:t>2</w:t>
            </w:r>
          </w:p>
        </w:tc>
        <w:tc>
          <w:tcPr>
            <w:tcW w:w="1825" w:type="dxa"/>
            <w:noWrap/>
            <w:hideMark/>
          </w:tcPr>
          <w:p w14:paraId="557AFAA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1.32</w:t>
            </w:r>
          </w:p>
        </w:tc>
      </w:tr>
      <w:tr w:rsidR="00056584" w:rsidRPr="0039650C" w14:paraId="36CB2DB2" w14:textId="77777777" w:rsidTr="00C77E40">
        <w:trPr>
          <w:trHeight w:val="267"/>
          <w:jc w:val="center"/>
        </w:trPr>
        <w:tc>
          <w:tcPr>
            <w:tcW w:w="1442" w:type="dxa"/>
            <w:noWrap/>
            <w:hideMark/>
          </w:tcPr>
          <w:p w14:paraId="293CD88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w:t>
            </w:r>
          </w:p>
        </w:tc>
        <w:tc>
          <w:tcPr>
            <w:tcW w:w="1654" w:type="dxa"/>
            <w:noWrap/>
            <w:hideMark/>
          </w:tcPr>
          <w:p w14:paraId="1E4BF8A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8.846</w:t>
            </w:r>
          </w:p>
        </w:tc>
        <w:tc>
          <w:tcPr>
            <w:tcW w:w="3132" w:type="dxa"/>
          </w:tcPr>
          <w:p w14:paraId="638E11C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6H-Furo[2',3':4,5]oxazolo[3,2-a]pyrimidine-6-thione, 2,3,3a,9a-tetrahydro-3-hydroxy-2-(hydroxymethyl)-, [2R- (2α,3β,3aβ,9aβ)]-</w:t>
            </w:r>
          </w:p>
        </w:tc>
        <w:tc>
          <w:tcPr>
            <w:tcW w:w="1294" w:type="dxa"/>
          </w:tcPr>
          <w:p w14:paraId="5C4DD31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242</w:t>
            </w:r>
          </w:p>
        </w:tc>
        <w:tc>
          <w:tcPr>
            <w:tcW w:w="1667" w:type="dxa"/>
          </w:tcPr>
          <w:p w14:paraId="30A80F9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N</w:t>
            </w:r>
            <w:r w:rsidRPr="00056584">
              <w:rPr>
                <w:rFonts w:ascii="Arial" w:hAnsi="Arial" w:cs="Arial"/>
                <w:sz w:val="20"/>
                <w:szCs w:val="20"/>
                <w:vertAlign w:val="subscript"/>
              </w:rPr>
              <w:t>2</w:t>
            </w:r>
            <w:r w:rsidRPr="0039650C">
              <w:rPr>
                <w:rFonts w:ascii="Arial" w:hAnsi="Arial" w:cs="Arial"/>
                <w:sz w:val="20"/>
                <w:szCs w:val="20"/>
              </w:rPr>
              <w:t>O</w:t>
            </w:r>
            <w:r w:rsidRPr="00056584">
              <w:rPr>
                <w:rFonts w:ascii="Arial" w:hAnsi="Arial" w:cs="Arial"/>
                <w:sz w:val="20"/>
                <w:szCs w:val="20"/>
                <w:vertAlign w:val="subscript"/>
              </w:rPr>
              <w:t>4</w:t>
            </w:r>
            <w:r w:rsidRPr="0039650C">
              <w:rPr>
                <w:rFonts w:ascii="Arial" w:hAnsi="Arial" w:cs="Arial"/>
                <w:sz w:val="20"/>
                <w:szCs w:val="20"/>
              </w:rPr>
              <w:t>S</w:t>
            </w:r>
          </w:p>
        </w:tc>
        <w:tc>
          <w:tcPr>
            <w:tcW w:w="1825" w:type="dxa"/>
            <w:noWrap/>
            <w:hideMark/>
          </w:tcPr>
          <w:p w14:paraId="3A6B05D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2.01</w:t>
            </w:r>
          </w:p>
        </w:tc>
      </w:tr>
      <w:tr w:rsidR="00056584" w:rsidRPr="0039650C" w14:paraId="2B26365E" w14:textId="77777777" w:rsidTr="00C77E40">
        <w:trPr>
          <w:trHeight w:val="267"/>
          <w:jc w:val="center"/>
        </w:trPr>
        <w:tc>
          <w:tcPr>
            <w:tcW w:w="1442" w:type="dxa"/>
            <w:noWrap/>
            <w:hideMark/>
          </w:tcPr>
          <w:p w14:paraId="2BA4C8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w:t>
            </w:r>
          </w:p>
        </w:tc>
        <w:tc>
          <w:tcPr>
            <w:tcW w:w="1654" w:type="dxa"/>
            <w:noWrap/>
            <w:hideMark/>
          </w:tcPr>
          <w:p w14:paraId="6BA9D15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8.956</w:t>
            </w:r>
          </w:p>
        </w:tc>
        <w:tc>
          <w:tcPr>
            <w:tcW w:w="3132" w:type="dxa"/>
          </w:tcPr>
          <w:p w14:paraId="6CD1DF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1,3,8-p-Menthatriene</w:t>
            </w:r>
          </w:p>
        </w:tc>
        <w:tc>
          <w:tcPr>
            <w:tcW w:w="1294" w:type="dxa"/>
          </w:tcPr>
          <w:p w14:paraId="4A84E2BE"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134</w:t>
            </w:r>
          </w:p>
        </w:tc>
        <w:tc>
          <w:tcPr>
            <w:tcW w:w="1667" w:type="dxa"/>
          </w:tcPr>
          <w:p w14:paraId="66FB704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10</w:t>
            </w:r>
            <w:r w:rsidRPr="0039650C">
              <w:rPr>
                <w:rFonts w:ascii="Arial" w:hAnsi="Arial" w:cs="Arial"/>
                <w:sz w:val="20"/>
                <w:szCs w:val="20"/>
              </w:rPr>
              <w:t>H</w:t>
            </w:r>
            <w:r w:rsidRPr="004A230A">
              <w:rPr>
                <w:rFonts w:ascii="Arial" w:hAnsi="Arial" w:cs="Arial"/>
                <w:sz w:val="20"/>
                <w:szCs w:val="20"/>
                <w:vertAlign w:val="subscript"/>
              </w:rPr>
              <w:t>14</w:t>
            </w:r>
          </w:p>
        </w:tc>
        <w:tc>
          <w:tcPr>
            <w:tcW w:w="1825" w:type="dxa"/>
            <w:noWrap/>
            <w:hideMark/>
          </w:tcPr>
          <w:p w14:paraId="5710660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1.46</w:t>
            </w:r>
          </w:p>
        </w:tc>
      </w:tr>
      <w:tr w:rsidR="00056584" w:rsidRPr="0039650C" w14:paraId="3FE449D3" w14:textId="77777777" w:rsidTr="00C77E40">
        <w:trPr>
          <w:trHeight w:val="267"/>
          <w:jc w:val="center"/>
        </w:trPr>
        <w:tc>
          <w:tcPr>
            <w:tcW w:w="1442" w:type="dxa"/>
            <w:noWrap/>
            <w:hideMark/>
          </w:tcPr>
          <w:p w14:paraId="74006D3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w:t>
            </w:r>
          </w:p>
        </w:tc>
        <w:tc>
          <w:tcPr>
            <w:tcW w:w="1654" w:type="dxa"/>
            <w:noWrap/>
            <w:hideMark/>
          </w:tcPr>
          <w:p w14:paraId="4F6BCD1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10.677</w:t>
            </w:r>
          </w:p>
        </w:tc>
        <w:tc>
          <w:tcPr>
            <w:tcW w:w="3132" w:type="dxa"/>
          </w:tcPr>
          <w:p w14:paraId="75A80F5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1,3-Benzenediol, O,O'-di(2-methylbenzoyl)-</w:t>
            </w:r>
          </w:p>
        </w:tc>
        <w:tc>
          <w:tcPr>
            <w:tcW w:w="1294" w:type="dxa"/>
          </w:tcPr>
          <w:p w14:paraId="4B62A0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346</w:t>
            </w:r>
          </w:p>
        </w:tc>
        <w:tc>
          <w:tcPr>
            <w:tcW w:w="1667" w:type="dxa"/>
          </w:tcPr>
          <w:p w14:paraId="21BFCAE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22</w:t>
            </w:r>
            <w:r w:rsidRPr="0039650C">
              <w:rPr>
                <w:rFonts w:ascii="Arial" w:hAnsi="Arial" w:cs="Arial"/>
                <w:sz w:val="20"/>
                <w:szCs w:val="20"/>
              </w:rPr>
              <w:t>H</w:t>
            </w:r>
            <w:r w:rsidRPr="004A230A">
              <w:rPr>
                <w:rFonts w:ascii="Arial" w:hAnsi="Arial" w:cs="Arial"/>
                <w:sz w:val="20"/>
                <w:szCs w:val="20"/>
                <w:vertAlign w:val="subscript"/>
              </w:rPr>
              <w:t>18</w:t>
            </w:r>
            <w:r w:rsidRPr="0039650C">
              <w:rPr>
                <w:rFonts w:ascii="Arial" w:hAnsi="Arial" w:cs="Arial"/>
                <w:sz w:val="20"/>
                <w:szCs w:val="20"/>
              </w:rPr>
              <w:t>O</w:t>
            </w:r>
            <w:r w:rsidRPr="004A230A">
              <w:rPr>
                <w:rFonts w:ascii="Arial" w:hAnsi="Arial" w:cs="Arial"/>
                <w:sz w:val="20"/>
                <w:szCs w:val="20"/>
                <w:vertAlign w:val="subscript"/>
              </w:rPr>
              <w:t>4</w:t>
            </w:r>
          </w:p>
        </w:tc>
        <w:tc>
          <w:tcPr>
            <w:tcW w:w="1825" w:type="dxa"/>
            <w:noWrap/>
            <w:hideMark/>
          </w:tcPr>
          <w:p w14:paraId="55D74E5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4.69</w:t>
            </w:r>
          </w:p>
        </w:tc>
      </w:tr>
      <w:tr w:rsidR="00056584" w:rsidRPr="0039650C" w14:paraId="21A5E1C0" w14:textId="77777777" w:rsidTr="00C77E40">
        <w:trPr>
          <w:trHeight w:val="267"/>
          <w:jc w:val="center"/>
        </w:trPr>
        <w:tc>
          <w:tcPr>
            <w:tcW w:w="1442" w:type="dxa"/>
            <w:noWrap/>
            <w:hideMark/>
          </w:tcPr>
          <w:p w14:paraId="33F0F9A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w:t>
            </w:r>
          </w:p>
        </w:tc>
        <w:tc>
          <w:tcPr>
            <w:tcW w:w="1654" w:type="dxa"/>
            <w:noWrap/>
            <w:hideMark/>
          </w:tcPr>
          <w:p w14:paraId="3EA7030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10.845</w:t>
            </w:r>
          </w:p>
        </w:tc>
        <w:tc>
          <w:tcPr>
            <w:tcW w:w="3132" w:type="dxa"/>
          </w:tcPr>
          <w:p w14:paraId="282C826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3-Methylbenzoic acid, 2,5-dichlorophenyl ester</w:t>
            </w:r>
          </w:p>
        </w:tc>
        <w:tc>
          <w:tcPr>
            <w:tcW w:w="1294" w:type="dxa"/>
          </w:tcPr>
          <w:p w14:paraId="4E92A4B8"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280</w:t>
            </w:r>
          </w:p>
        </w:tc>
        <w:tc>
          <w:tcPr>
            <w:tcW w:w="1667" w:type="dxa"/>
          </w:tcPr>
          <w:p w14:paraId="6AC60CB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14</w:t>
            </w:r>
            <w:r w:rsidRPr="0039650C">
              <w:rPr>
                <w:rFonts w:ascii="Arial" w:hAnsi="Arial" w:cs="Arial"/>
                <w:sz w:val="20"/>
                <w:szCs w:val="20"/>
              </w:rPr>
              <w:t>H</w:t>
            </w:r>
            <w:r w:rsidRPr="004A230A">
              <w:rPr>
                <w:rFonts w:ascii="Arial" w:hAnsi="Arial" w:cs="Arial"/>
                <w:sz w:val="20"/>
                <w:szCs w:val="20"/>
                <w:vertAlign w:val="subscript"/>
              </w:rPr>
              <w:t>10</w:t>
            </w:r>
            <w:r w:rsidRPr="0039650C">
              <w:rPr>
                <w:rFonts w:ascii="Arial" w:hAnsi="Arial" w:cs="Arial"/>
                <w:sz w:val="20"/>
                <w:szCs w:val="20"/>
              </w:rPr>
              <w:t>Cl</w:t>
            </w:r>
            <w:r w:rsidRPr="004A230A">
              <w:rPr>
                <w:rFonts w:ascii="Arial" w:hAnsi="Arial" w:cs="Arial"/>
                <w:sz w:val="20"/>
                <w:szCs w:val="20"/>
                <w:vertAlign w:val="subscript"/>
              </w:rPr>
              <w:t>2</w:t>
            </w:r>
            <w:r w:rsidRPr="0039650C">
              <w:rPr>
                <w:rFonts w:ascii="Arial" w:hAnsi="Arial" w:cs="Arial"/>
                <w:sz w:val="20"/>
                <w:szCs w:val="20"/>
              </w:rPr>
              <w:t>O</w:t>
            </w:r>
            <w:r w:rsidRPr="004A230A">
              <w:rPr>
                <w:rFonts w:ascii="Arial" w:hAnsi="Arial" w:cs="Arial"/>
                <w:sz w:val="20"/>
                <w:szCs w:val="20"/>
                <w:vertAlign w:val="subscript"/>
              </w:rPr>
              <w:t>2</w:t>
            </w:r>
          </w:p>
        </w:tc>
        <w:tc>
          <w:tcPr>
            <w:tcW w:w="1825" w:type="dxa"/>
            <w:noWrap/>
            <w:hideMark/>
          </w:tcPr>
          <w:p w14:paraId="4AE3D6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1.31</w:t>
            </w:r>
          </w:p>
        </w:tc>
      </w:tr>
      <w:tr w:rsidR="00056584" w:rsidRPr="0039650C" w14:paraId="41E5AEF6" w14:textId="77777777" w:rsidTr="00C77E40">
        <w:trPr>
          <w:trHeight w:val="267"/>
          <w:jc w:val="center"/>
        </w:trPr>
        <w:tc>
          <w:tcPr>
            <w:tcW w:w="1442" w:type="dxa"/>
            <w:noWrap/>
            <w:hideMark/>
          </w:tcPr>
          <w:p w14:paraId="73D2478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w:t>
            </w:r>
          </w:p>
        </w:tc>
        <w:tc>
          <w:tcPr>
            <w:tcW w:w="1654" w:type="dxa"/>
            <w:noWrap/>
            <w:hideMark/>
          </w:tcPr>
          <w:p w14:paraId="650F22D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11.284</w:t>
            </w:r>
          </w:p>
        </w:tc>
        <w:tc>
          <w:tcPr>
            <w:tcW w:w="3132" w:type="dxa"/>
          </w:tcPr>
          <w:p w14:paraId="10B97F3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Pyrrole, 2-methyl-5-phenyl</w:t>
            </w:r>
          </w:p>
        </w:tc>
        <w:tc>
          <w:tcPr>
            <w:tcW w:w="1294" w:type="dxa"/>
          </w:tcPr>
          <w:p w14:paraId="3752D972"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157</w:t>
            </w:r>
          </w:p>
        </w:tc>
        <w:tc>
          <w:tcPr>
            <w:tcW w:w="1667" w:type="dxa"/>
          </w:tcPr>
          <w:p w14:paraId="006CAA2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11</w:t>
            </w:r>
            <w:r w:rsidRPr="0039650C">
              <w:rPr>
                <w:rFonts w:ascii="Arial" w:hAnsi="Arial" w:cs="Arial"/>
                <w:sz w:val="20"/>
                <w:szCs w:val="20"/>
              </w:rPr>
              <w:t>N</w:t>
            </w:r>
          </w:p>
        </w:tc>
        <w:tc>
          <w:tcPr>
            <w:tcW w:w="1825" w:type="dxa"/>
            <w:noWrap/>
            <w:hideMark/>
          </w:tcPr>
          <w:p w14:paraId="63C9704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1.59</w:t>
            </w:r>
          </w:p>
        </w:tc>
      </w:tr>
      <w:tr w:rsidR="00056584" w:rsidRPr="0039650C" w14:paraId="64350071" w14:textId="77777777" w:rsidTr="00C77E40">
        <w:trPr>
          <w:trHeight w:val="267"/>
          <w:jc w:val="center"/>
        </w:trPr>
        <w:tc>
          <w:tcPr>
            <w:tcW w:w="1442" w:type="dxa"/>
            <w:noWrap/>
            <w:hideMark/>
          </w:tcPr>
          <w:p w14:paraId="2375DDC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w:t>
            </w:r>
          </w:p>
        </w:tc>
        <w:tc>
          <w:tcPr>
            <w:tcW w:w="1654" w:type="dxa"/>
            <w:noWrap/>
            <w:hideMark/>
          </w:tcPr>
          <w:p w14:paraId="7BC9B69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11.372</w:t>
            </w:r>
          </w:p>
        </w:tc>
        <w:tc>
          <w:tcPr>
            <w:tcW w:w="3132" w:type="dxa"/>
          </w:tcPr>
          <w:p w14:paraId="046DB70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6-(3-Methyl-3-cyclohexenyl)-2-methyl-2,6-heptadienol</w:t>
            </w:r>
          </w:p>
        </w:tc>
        <w:tc>
          <w:tcPr>
            <w:tcW w:w="1294" w:type="dxa"/>
          </w:tcPr>
          <w:p w14:paraId="0012BBF2"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220</w:t>
            </w:r>
          </w:p>
        </w:tc>
        <w:tc>
          <w:tcPr>
            <w:tcW w:w="1667" w:type="dxa"/>
          </w:tcPr>
          <w:p w14:paraId="69C0DBD3" w14:textId="77777777" w:rsidR="00056584" w:rsidRPr="0039650C" w:rsidRDefault="004A230A" w:rsidP="00C77E40">
            <w:pPr>
              <w:jc w:val="both"/>
              <w:rPr>
                <w:rFonts w:ascii="Arial" w:hAnsi="Arial" w:cs="Arial"/>
                <w:sz w:val="20"/>
                <w:szCs w:val="20"/>
              </w:rPr>
            </w:pPr>
            <w:r>
              <w:rPr>
                <w:rFonts w:ascii="Arial" w:hAnsi="Arial" w:cs="Arial"/>
                <w:sz w:val="20"/>
                <w:szCs w:val="20"/>
                <w:lang w:val="en-US"/>
              </w:rPr>
              <w:t>C</w:t>
            </w:r>
            <w:r w:rsidR="00056584" w:rsidRPr="004A230A">
              <w:rPr>
                <w:rFonts w:ascii="Arial" w:hAnsi="Arial" w:cs="Arial"/>
                <w:sz w:val="20"/>
                <w:szCs w:val="20"/>
                <w:vertAlign w:val="subscript"/>
              </w:rPr>
              <w:t>15</w:t>
            </w:r>
            <w:r w:rsidR="00056584" w:rsidRPr="0039650C">
              <w:rPr>
                <w:rFonts w:ascii="Arial" w:hAnsi="Arial" w:cs="Arial"/>
                <w:sz w:val="20"/>
                <w:szCs w:val="20"/>
              </w:rPr>
              <w:t>H</w:t>
            </w:r>
            <w:r w:rsidR="00056584" w:rsidRPr="004A230A">
              <w:rPr>
                <w:rFonts w:ascii="Arial" w:hAnsi="Arial" w:cs="Arial"/>
                <w:sz w:val="20"/>
                <w:szCs w:val="20"/>
                <w:vertAlign w:val="subscript"/>
              </w:rPr>
              <w:t>24</w:t>
            </w:r>
            <w:r w:rsidR="00056584" w:rsidRPr="0039650C">
              <w:rPr>
                <w:rFonts w:ascii="Arial" w:hAnsi="Arial" w:cs="Arial"/>
                <w:sz w:val="20"/>
                <w:szCs w:val="20"/>
              </w:rPr>
              <w:t>O</w:t>
            </w:r>
          </w:p>
        </w:tc>
        <w:tc>
          <w:tcPr>
            <w:tcW w:w="1825" w:type="dxa"/>
            <w:noWrap/>
            <w:hideMark/>
          </w:tcPr>
          <w:p w14:paraId="26BE0E3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w:t>
            </w:r>
          </w:p>
        </w:tc>
      </w:tr>
      <w:tr w:rsidR="00056584" w:rsidRPr="0039650C" w14:paraId="6C7B8479" w14:textId="77777777" w:rsidTr="00C77E40">
        <w:trPr>
          <w:trHeight w:val="267"/>
          <w:jc w:val="center"/>
        </w:trPr>
        <w:tc>
          <w:tcPr>
            <w:tcW w:w="1442" w:type="dxa"/>
            <w:noWrap/>
            <w:hideMark/>
          </w:tcPr>
          <w:p w14:paraId="605ED7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17</w:t>
            </w:r>
          </w:p>
        </w:tc>
        <w:tc>
          <w:tcPr>
            <w:tcW w:w="1654" w:type="dxa"/>
            <w:noWrap/>
            <w:hideMark/>
          </w:tcPr>
          <w:p w14:paraId="317B4B6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11.775</w:t>
            </w:r>
          </w:p>
        </w:tc>
        <w:tc>
          <w:tcPr>
            <w:tcW w:w="3132" w:type="dxa"/>
          </w:tcPr>
          <w:p w14:paraId="6208DAA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2,6,10-Dodecatrien-1-ol, 3,7,11-trimethyl-9-(phenylsulfonyl)-, (E,E)-</w:t>
            </w:r>
          </w:p>
        </w:tc>
        <w:tc>
          <w:tcPr>
            <w:tcW w:w="1294" w:type="dxa"/>
          </w:tcPr>
          <w:p w14:paraId="08BA0F65"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362</w:t>
            </w:r>
          </w:p>
        </w:tc>
        <w:tc>
          <w:tcPr>
            <w:tcW w:w="1667" w:type="dxa"/>
          </w:tcPr>
          <w:p w14:paraId="64ED426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21</w:t>
            </w:r>
            <w:r w:rsidRPr="0039650C">
              <w:rPr>
                <w:rFonts w:ascii="Arial" w:hAnsi="Arial" w:cs="Arial"/>
                <w:sz w:val="20"/>
                <w:szCs w:val="20"/>
              </w:rPr>
              <w:t>H</w:t>
            </w:r>
            <w:r w:rsidRPr="004A230A">
              <w:rPr>
                <w:rFonts w:ascii="Arial" w:hAnsi="Arial" w:cs="Arial"/>
                <w:sz w:val="20"/>
                <w:szCs w:val="20"/>
                <w:vertAlign w:val="subscript"/>
              </w:rPr>
              <w:t>30</w:t>
            </w:r>
            <w:r w:rsidRPr="0039650C">
              <w:rPr>
                <w:rFonts w:ascii="Arial" w:hAnsi="Arial" w:cs="Arial"/>
                <w:sz w:val="20"/>
                <w:szCs w:val="20"/>
              </w:rPr>
              <w:t>O</w:t>
            </w:r>
            <w:r w:rsidRPr="004A230A">
              <w:rPr>
                <w:rFonts w:ascii="Arial" w:hAnsi="Arial" w:cs="Arial"/>
                <w:sz w:val="20"/>
                <w:szCs w:val="20"/>
                <w:vertAlign w:val="subscript"/>
              </w:rPr>
              <w:t>3</w:t>
            </w:r>
            <w:r w:rsidRPr="0039650C">
              <w:rPr>
                <w:rFonts w:ascii="Arial" w:hAnsi="Arial" w:cs="Arial"/>
                <w:sz w:val="20"/>
                <w:szCs w:val="20"/>
              </w:rPr>
              <w:t>S</w:t>
            </w:r>
          </w:p>
        </w:tc>
        <w:tc>
          <w:tcPr>
            <w:tcW w:w="1825" w:type="dxa"/>
            <w:noWrap/>
            <w:hideMark/>
          </w:tcPr>
          <w:p w14:paraId="7D1A13E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3.96</w:t>
            </w:r>
          </w:p>
        </w:tc>
      </w:tr>
      <w:tr w:rsidR="00056584" w:rsidRPr="0039650C" w14:paraId="2053576E" w14:textId="77777777" w:rsidTr="00C77E40">
        <w:trPr>
          <w:trHeight w:val="267"/>
          <w:jc w:val="center"/>
        </w:trPr>
        <w:tc>
          <w:tcPr>
            <w:tcW w:w="1442" w:type="dxa"/>
            <w:noWrap/>
            <w:hideMark/>
          </w:tcPr>
          <w:p w14:paraId="59960F4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18</w:t>
            </w:r>
          </w:p>
        </w:tc>
        <w:tc>
          <w:tcPr>
            <w:tcW w:w="1654" w:type="dxa"/>
            <w:noWrap/>
            <w:hideMark/>
          </w:tcPr>
          <w:p w14:paraId="6CD4808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12.075</w:t>
            </w:r>
          </w:p>
        </w:tc>
        <w:tc>
          <w:tcPr>
            <w:tcW w:w="3132" w:type="dxa"/>
          </w:tcPr>
          <w:p w14:paraId="2F5409F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1,2-Pentanediol, 5-(6-bromodecahydro-2-hydroxy-2,5,5a,8a-tetramethyl-1-naphthalenyl)-3-methylene</w:t>
            </w:r>
          </w:p>
        </w:tc>
        <w:tc>
          <w:tcPr>
            <w:tcW w:w="1294" w:type="dxa"/>
          </w:tcPr>
          <w:p w14:paraId="461049C9"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402</w:t>
            </w:r>
          </w:p>
        </w:tc>
        <w:tc>
          <w:tcPr>
            <w:tcW w:w="1667" w:type="dxa"/>
          </w:tcPr>
          <w:p w14:paraId="79EB8F2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20</w:t>
            </w:r>
            <w:r w:rsidRPr="0039650C">
              <w:rPr>
                <w:rFonts w:ascii="Arial" w:hAnsi="Arial" w:cs="Arial"/>
                <w:sz w:val="20"/>
                <w:szCs w:val="20"/>
              </w:rPr>
              <w:t>H</w:t>
            </w:r>
            <w:r w:rsidRPr="004A230A">
              <w:rPr>
                <w:rFonts w:ascii="Arial" w:hAnsi="Arial" w:cs="Arial"/>
                <w:sz w:val="20"/>
                <w:szCs w:val="20"/>
                <w:vertAlign w:val="subscript"/>
              </w:rPr>
              <w:t>35</w:t>
            </w:r>
            <w:r w:rsidRPr="0039650C">
              <w:rPr>
                <w:rFonts w:ascii="Arial" w:hAnsi="Arial" w:cs="Arial"/>
                <w:sz w:val="20"/>
                <w:szCs w:val="20"/>
              </w:rPr>
              <w:t>BrO</w:t>
            </w:r>
            <w:r w:rsidRPr="004A230A">
              <w:rPr>
                <w:rFonts w:ascii="Arial" w:hAnsi="Arial" w:cs="Arial"/>
                <w:sz w:val="20"/>
                <w:szCs w:val="20"/>
                <w:vertAlign w:val="subscript"/>
              </w:rPr>
              <w:t>3</w:t>
            </w:r>
          </w:p>
        </w:tc>
        <w:tc>
          <w:tcPr>
            <w:tcW w:w="1825" w:type="dxa"/>
            <w:noWrap/>
            <w:hideMark/>
          </w:tcPr>
          <w:p w14:paraId="5CE034B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1.03</w:t>
            </w:r>
          </w:p>
        </w:tc>
      </w:tr>
      <w:tr w:rsidR="00056584" w:rsidRPr="0039650C" w14:paraId="66F501BB" w14:textId="77777777" w:rsidTr="00C77E40">
        <w:trPr>
          <w:trHeight w:val="267"/>
          <w:jc w:val="center"/>
        </w:trPr>
        <w:tc>
          <w:tcPr>
            <w:tcW w:w="1442" w:type="dxa"/>
            <w:noWrap/>
            <w:hideMark/>
          </w:tcPr>
          <w:p w14:paraId="384DCF9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19</w:t>
            </w:r>
          </w:p>
        </w:tc>
        <w:tc>
          <w:tcPr>
            <w:tcW w:w="1654" w:type="dxa"/>
            <w:noWrap/>
            <w:hideMark/>
          </w:tcPr>
          <w:p w14:paraId="1C22537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12.939</w:t>
            </w:r>
          </w:p>
        </w:tc>
        <w:tc>
          <w:tcPr>
            <w:tcW w:w="3132" w:type="dxa"/>
          </w:tcPr>
          <w:p w14:paraId="6BE7B94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6,10-Dimethyl-3-(1-methylethylidene)-1-cyclodecene</w:t>
            </w:r>
          </w:p>
        </w:tc>
        <w:tc>
          <w:tcPr>
            <w:tcW w:w="1294" w:type="dxa"/>
          </w:tcPr>
          <w:p w14:paraId="33BB4DC8"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206</w:t>
            </w:r>
          </w:p>
        </w:tc>
        <w:tc>
          <w:tcPr>
            <w:tcW w:w="1667" w:type="dxa"/>
          </w:tcPr>
          <w:p w14:paraId="33A3B0A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15</w:t>
            </w:r>
            <w:r w:rsidRPr="0039650C">
              <w:rPr>
                <w:rFonts w:ascii="Arial" w:hAnsi="Arial" w:cs="Arial"/>
                <w:sz w:val="20"/>
                <w:szCs w:val="20"/>
              </w:rPr>
              <w:t>H</w:t>
            </w:r>
            <w:r w:rsidRPr="004A230A">
              <w:rPr>
                <w:rFonts w:ascii="Arial" w:hAnsi="Arial" w:cs="Arial"/>
                <w:sz w:val="20"/>
                <w:szCs w:val="20"/>
                <w:vertAlign w:val="subscript"/>
              </w:rPr>
              <w:t>26</w:t>
            </w:r>
          </w:p>
        </w:tc>
        <w:tc>
          <w:tcPr>
            <w:tcW w:w="1825" w:type="dxa"/>
            <w:noWrap/>
            <w:hideMark/>
          </w:tcPr>
          <w:p w14:paraId="29BD871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2.23</w:t>
            </w:r>
          </w:p>
        </w:tc>
      </w:tr>
      <w:tr w:rsidR="00056584" w:rsidRPr="0039650C" w14:paraId="63B223EC" w14:textId="77777777" w:rsidTr="00C77E40">
        <w:trPr>
          <w:trHeight w:val="267"/>
          <w:jc w:val="center"/>
        </w:trPr>
        <w:tc>
          <w:tcPr>
            <w:tcW w:w="1442" w:type="dxa"/>
            <w:noWrap/>
            <w:hideMark/>
          </w:tcPr>
          <w:p w14:paraId="6050447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lastRenderedPageBreak/>
              <w:t>20</w:t>
            </w:r>
          </w:p>
        </w:tc>
        <w:tc>
          <w:tcPr>
            <w:tcW w:w="1654" w:type="dxa"/>
            <w:noWrap/>
            <w:hideMark/>
          </w:tcPr>
          <w:p w14:paraId="02605C4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13.84</w:t>
            </w:r>
          </w:p>
        </w:tc>
        <w:tc>
          <w:tcPr>
            <w:tcW w:w="3132" w:type="dxa"/>
          </w:tcPr>
          <w:p w14:paraId="45C10D1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4-(1-Methylethylamino)pyrido[3,2-c]pyridazine</w:t>
            </w:r>
          </w:p>
        </w:tc>
        <w:tc>
          <w:tcPr>
            <w:tcW w:w="1294" w:type="dxa"/>
          </w:tcPr>
          <w:p w14:paraId="1A1F605B"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188</w:t>
            </w:r>
          </w:p>
        </w:tc>
        <w:tc>
          <w:tcPr>
            <w:tcW w:w="1667" w:type="dxa"/>
          </w:tcPr>
          <w:p w14:paraId="40C0545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10</w:t>
            </w:r>
            <w:r w:rsidRPr="0039650C">
              <w:rPr>
                <w:rFonts w:ascii="Arial" w:hAnsi="Arial" w:cs="Arial"/>
                <w:sz w:val="20"/>
                <w:szCs w:val="20"/>
              </w:rPr>
              <w:t>H</w:t>
            </w:r>
            <w:r w:rsidRPr="004A230A">
              <w:rPr>
                <w:rFonts w:ascii="Arial" w:hAnsi="Arial" w:cs="Arial"/>
                <w:sz w:val="20"/>
                <w:szCs w:val="20"/>
                <w:vertAlign w:val="subscript"/>
              </w:rPr>
              <w:t>12</w:t>
            </w:r>
            <w:r w:rsidRPr="0039650C">
              <w:rPr>
                <w:rFonts w:ascii="Arial" w:hAnsi="Arial" w:cs="Arial"/>
                <w:sz w:val="20"/>
                <w:szCs w:val="20"/>
              </w:rPr>
              <w:t>N</w:t>
            </w:r>
            <w:r w:rsidRPr="004A230A">
              <w:rPr>
                <w:rFonts w:ascii="Arial" w:hAnsi="Arial" w:cs="Arial"/>
                <w:sz w:val="20"/>
                <w:szCs w:val="20"/>
                <w:vertAlign w:val="subscript"/>
              </w:rPr>
              <w:t>4</w:t>
            </w:r>
          </w:p>
        </w:tc>
        <w:tc>
          <w:tcPr>
            <w:tcW w:w="1825" w:type="dxa"/>
            <w:noWrap/>
            <w:hideMark/>
          </w:tcPr>
          <w:p w14:paraId="2D7103F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w:t>
            </w:r>
          </w:p>
        </w:tc>
      </w:tr>
      <w:tr w:rsidR="00056584" w:rsidRPr="0039650C" w14:paraId="6BB532C8" w14:textId="77777777" w:rsidTr="00C77E40">
        <w:trPr>
          <w:trHeight w:val="267"/>
          <w:jc w:val="center"/>
        </w:trPr>
        <w:tc>
          <w:tcPr>
            <w:tcW w:w="1442" w:type="dxa"/>
            <w:noWrap/>
            <w:hideMark/>
          </w:tcPr>
          <w:p w14:paraId="441904F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21</w:t>
            </w:r>
          </w:p>
        </w:tc>
        <w:tc>
          <w:tcPr>
            <w:tcW w:w="1654" w:type="dxa"/>
            <w:noWrap/>
            <w:hideMark/>
          </w:tcPr>
          <w:p w14:paraId="0EE0C86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14.338</w:t>
            </w:r>
          </w:p>
        </w:tc>
        <w:tc>
          <w:tcPr>
            <w:tcW w:w="3132" w:type="dxa"/>
          </w:tcPr>
          <w:p w14:paraId="6075129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2-Naphthalenemethanol, 8-ethenyl-3,4,4a,5,6,7,8,8a-octahydro-5-methylene</w:t>
            </w:r>
          </w:p>
        </w:tc>
        <w:tc>
          <w:tcPr>
            <w:tcW w:w="1294" w:type="dxa"/>
          </w:tcPr>
          <w:p w14:paraId="0657691A"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204</w:t>
            </w:r>
          </w:p>
        </w:tc>
        <w:tc>
          <w:tcPr>
            <w:tcW w:w="1667" w:type="dxa"/>
          </w:tcPr>
          <w:p w14:paraId="6267C5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14</w:t>
            </w:r>
            <w:r w:rsidRPr="0039650C">
              <w:rPr>
                <w:rFonts w:ascii="Arial" w:hAnsi="Arial" w:cs="Arial"/>
                <w:sz w:val="20"/>
                <w:szCs w:val="20"/>
              </w:rPr>
              <w:t>H</w:t>
            </w:r>
            <w:r w:rsidRPr="004A230A">
              <w:rPr>
                <w:rFonts w:ascii="Arial" w:hAnsi="Arial" w:cs="Arial"/>
                <w:sz w:val="20"/>
                <w:szCs w:val="20"/>
                <w:vertAlign w:val="subscript"/>
              </w:rPr>
              <w:t>20</w:t>
            </w:r>
            <w:r w:rsidRPr="0039650C">
              <w:rPr>
                <w:rFonts w:ascii="Arial" w:hAnsi="Arial" w:cs="Arial"/>
                <w:sz w:val="20"/>
                <w:szCs w:val="20"/>
              </w:rPr>
              <w:t>O</w:t>
            </w:r>
          </w:p>
        </w:tc>
        <w:tc>
          <w:tcPr>
            <w:tcW w:w="1825" w:type="dxa"/>
            <w:noWrap/>
            <w:hideMark/>
          </w:tcPr>
          <w:p w14:paraId="41FEEC1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5.26</w:t>
            </w:r>
          </w:p>
        </w:tc>
      </w:tr>
      <w:tr w:rsidR="00056584" w:rsidRPr="0039650C" w14:paraId="173DF564" w14:textId="77777777" w:rsidTr="00C77E40">
        <w:trPr>
          <w:trHeight w:val="267"/>
          <w:jc w:val="center"/>
        </w:trPr>
        <w:tc>
          <w:tcPr>
            <w:tcW w:w="1442" w:type="dxa"/>
            <w:noWrap/>
            <w:hideMark/>
          </w:tcPr>
          <w:p w14:paraId="216A147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w:t>
            </w:r>
          </w:p>
        </w:tc>
        <w:tc>
          <w:tcPr>
            <w:tcW w:w="1654" w:type="dxa"/>
            <w:noWrap/>
            <w:hideMark/>
          </w:tcPr>
          <w:p w14:paraId="7DA03C7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16.066</w:t>
            </w:r>
          </w:p>
        </w:tc>
        <w:tc>
          <w:tcPr>
            <w:tcW w:w="3132" w:type="dxa"/>
          </w:tcPr>
          <w:p w14:paraId="073DCC7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2,4-Dimethyl-6-(2-furyl)pyridine</w:t>
            </w:r>
          </w:p>
        </w:tc>
        <w:tc>
          <w:tcPr>
            <w:tcW w:w="1294" w:type="dxa"/>
          </w:tcPr>
          <w:p w14:paraId="68DA0D01"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173</w:t>
            </w:r>
          </w:p>
        </w:tc>
        <w:tc>
          <w:tcPr>
            <w:tcW w:w="1667" w:type="dxa"/>
          </w:tcPr>
          <w:p w14:paraId="1031D16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11</w:t>
            </w:r>
            <w:r w:rsidRPr="0039650C">
              <w:rPr>
                <w:rFonts w:ascii="Arial" w:hAnsi="Arial" w:cs="Arial"/>
                <w:sz w:val="20"/>
                <w:szCs w:val="20"/>
              </w:rPr>
              <w:t>NO</w:t>
            </w:r>
          </w:p>
        </w:tc>
        <w:tc>
          <w:tcPr>
            <w:tcW w:w="1825" w:type="dxa"/>
            <w:noWrap/>
            <w:hideMark/>
          </w:tcPr>
          <w:p w14:paraId="623B47C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4.92</w:t>
            </w:r>
          </w:p>
        </w:tc>
      </w:tr>
      <w:tr w:rsidR="00056584" w:rsidRPr="0039650C" w14:paraId="4AEBA0A0" w14:textId="77777777" w:rsidTr="00C77E40">
        <w:trPr>
          <w:trHeight w:val="267"/>
          <w:jc w:val="center"/>
        </w:trPr>
        <w:tc>
          <w:tcPr>
            <w:tcW w:w="1442" w:type="dxa"/>
            <w:noWrap/>
            <w:hideMark/>
          </w:tcPr>
          <w:p w14:paraId="3EFBAB1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23</w:t>
            </w:r>
          </w:p>
        </w:tc>
        <w:tc>
          <w:tcPr>
            <w:tcW w:w="1654" w:type="dxa"/>
            <w:noWrap/>
            <w:hideMark/>
          </w:tcPr>
          <w:p w14:paraId="57E02A5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16.219</w:t>
            </w:r>
          </w:p>
        </w:tc>
        <w:tc>
          <w:tcPr>
            <w:tcW w:w="3132" w:type="dxa"/>
          </w:tcPr>
          <w:p w14:paraId="4DC504E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Hexadecanoic acid, methyl ester</w:t>
            </w:r>
          </w:p>
        </w:tc>
        <w:tc>
          <w:tcPr>
            <w:tcW w:w="1294" w:type="dxa"/>
          </w:tcPr>
          <w:p w14:paraId="1A5AD03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270</w:t>
            </w:r>
          </w:p>
        </w:tc>
        <w:tc>
          <w:tcPr>
            <w:tcW w:w="1667" w:type="dxa"/>
          </w:tcPr>
          <w:p w14:paraId="28F298D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17</w:t>
            </w:r>
            <w:r w:rsidRPr="0039650C">
              <w:rPr>
                <w:rFonts w:ascii="Arial" w:hAnsi="Arial" w:cs="Arial"/>
                <w:sz w:val="20"/>
                <w:szCs w:val="20"/>
              </w:rPr>
              <w:t>H</w:t>
            </w:r>
            <w:r w:rsidRPr="004A230A">
              <w:rPr>
                <w:rFonts w:ascii="Arial" w:hAnsi="Arial" w:cs="Arial"/>
                <w:sz w:val="20"/>
                <w:szCs w:val="20"/>
                <w:vertAlign w:val="subscript"/>
              </w:rPr>
              <w:t>34</w:t>
            </w:r>
            <w:r w:rsidRPr="0039650C">
              <w:rPr>
                <w:rFonts w:ascii="Arial" w:hAnsi="Arial" w:cs="Arial"/>
                <w:sz w:val="20"/>
                <w:szCs w:val="20"/>
              </w:rPr>
              <w:t>O</w:t>
            </w:r>
            <w:r w:rsidRPr="004A230A">
              <w:rPr>
                <w:rFonts w:ascii="Arial" w:hAnsi="Arial" w:cs="Arial"/>
                <w:sz w:val="20"/>
                <w:szCs w:val="20"/>
                <w:vertAlign w:val="subscript"/>
              </w:rPr>
              <w:t>2</w:t>
            </w:r>
          </w:p>
        </w:tc>
        <w:tc>
          <w:tcPr>
            <w:tcW w:w="1825" w:type="dxa"/>
            <w:noWrap/>
            <w:hideMark/>
          </w:tcPr>
          <w:p w14:paraId="7DDE0ED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1.24</w:t>
            </w:r>
          </w:p>
        </w:tc>
      </w:tr>
      <w:tr w:rsidR="00056584" w:rsidRPr="0039650C" w14:paraId="0D21F74A" w14:textId="77777777" w:rsidTr="00C77E40">
        <w:trPr>
          <w:trHeight w:val="267"/>
          <w:jc w:val="center"/>
        </w:trPr>
        <w:tc>
          <w:tcPr>
            <w:tcW w:w="1442" w:type="dxa"/>
            <w:tcBorders>
              <w:bottom w:val="single" w:sz="4" w:space="0" w:color="auto"/>
            </w:tcBorders>
            <w:noWrap/>
            <w:hideMark/>
          </w:tcPr>
          <w:p w14:paraId="4C7DEA3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24</w:t>
            </w:r>
          </w:p>
        </w:tc>
        <w:tc>
          <w:tcPr>
            <w:tcW w:w="1654" w:type="dxa"/>
            <w:tcBorders>
              <w:bottom w:val="single" w:sz="4" w:space="0" w:color="auto"/>
            </w:tcBorders>
            <w:noWrap/>
            <w:hideMark/>
          </w:tcPr>
          <w:p w14:paraId="158F6D3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22.795</w:t>
            </w:r>
          </w:p>
        </w:tc>
        <w:tc>
          <w:tcPr>
            <w:tcW w:w="3132" w:type="dxa"/>
            <w:tcBorders>
              <w:bottom w:val="single" w:sz="4" w:space="0" w:color="auto"/>
            </w:tcBorders>
          </w:tcPr>
          <w:p w14:paraId="3A5DAF0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1-Propanone, 1-[5-ethyl-3-(5-nitro-2-furanyl)-1H-1,2,4-triazol-1-yl]</w:t>
            </w:r>
          </w:p>
        </w:tc>
        <w:tc>
          <w:tcPr>
            <w:tcW w:w="1294" w:type="dxa"/>
            <w:tcBorders>
              <w:bottom w:val="single" w:sz="4" w:space="0" w:color="auto"/>
            </w:tcBorders>
          </w:tcPr>
          <w:p w14:paraId="37103D11"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264</w:t>
            </w:r>
          </w:p>
        </w:tc>
        <w:tc>
          <w:tcPr>
            <w:tcW w:w="1667" w:type="dxa"/>
            <w:tcBorders>
              <w:bottom w:val="single" w:sz="4" w:space="0" w:color="auto"/>
            </w:tcBorders>
          </w:tcPr>
          <w:p w14:paraId="05037E6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12</w:t>
            </w:r>
            <w:r w:rsidRPr="0039650C">
              <w:rPr>
                <w:rFonts w:ascii="Arial" w:hAnsi="Arial" w:cs="Arial"/>
                <w:sz w:val="20"/>
                <w:szCs w:val="20"/>
              </w:rPr>
              <w:t>N4O</w:t>
            </w:r>
            <w:r w:rsidRPr="004A230A">
              <w:rPr>
                <w:rFonts w:ascii="Arial" w:hAnsi="Arial" w:cs="Arial"/>
                <w:sz w:val="20"/>
                <w:szCs w:val="20"/>
                <w:vertAlign w:val="subscript"/>
              </w:rPr>
              <w:t>4</w:t>
            </w:r>
          </w:p>
        </w:tc>
        <w:tc>
          <w:tcPr>
            <w:tcW w:w="1825" w:type="dxa"/>
            <w:tcBorders>
              <w:bottom w:val="single" w:sz="4" w:space="0" w:color="auto"/>
            </w:tcBorders>
            <w:noWrap/>
            <w:hideMark/>
          </w:tcPr>
          <w:p w14:paraId="72143A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5.72</w:t>
            </w:r>
          </w:p>
        </w:tc>
      </w:tr>
      <w:bookmarkEnd w:id="1"/>
    </w:tbl>
    <w:p w14:paraId="6B1899BD" w14:textId="77777777" w:rsidR="0039650C" w:rsidRPr="0039650C" w:rsidRDefault="0039650C" w:rsidP="00CA0890">
      <w:pPr>
        <w:jc w:val="both"/>
        <w:rPr>
          <w:rFonts w:ascii="Arial" w:hAnsi="Arial" w:cs="Arial"/>
          <w:sz w:val="20"/>
          <w:szCs w:val="20"/>
          <w:lang w:val="en-US"/>
        </w:rPr>
      </w:pPr>
    </w:p>
    <w:p w14:paraId="29CEC8EB" w14:textId="77777777" w:rsidR="0039650C" w:rsidRPr="0039650C" w:rsidRDefault="0039650C" w:rsidP="00CA0890">
      <w:pPr>
        <w:jc w:val="both"/>
        <w:rPr>
          <w:rFonts w:ascii="Arial" w:hAnsi="Arial" w:cs="Arial"/>
          <w:sz w:val="20"/>
          <w:szCs w:val="20"/>
          <w:lang w:val="en-US"/>
        </w:rPr>
      </w:pPr>
    </w:p>
    <w:p w14:paraId="7CFEB084" w14:textId="77777777" w:rsidR="003B794A" w:rsidRPr="003B794A" w:rsidRDefault="004A230A" w:rsidP="003B794A">
      <w:pPr>
        <w:jc w:val="both"/>
        <w:rPr>
          <w:rFonts w:ascii="Arial" w:hAnsi="Arial" w:cs="Arial"/>
          <w:sz w:val="20"/>
          <w:szCs w:val="20"/>
          <w:lang w:val="en-US"/>
        </w:rPr>
      </w:pPr>
      <w:r w:rsidRPr="0039650C">
        <w:rPr>
          <w:rFonts w:ascii="Arial" w:hAnsi="Arial" w:cs="Arial"/>
          <w:sz w:val="20"/>
          <w:szCs w:val="20"/>
        </w:rPr>
        <w:t>A significant proportion of pharmaceutical compounds currently used in modern medicine are derived directly or indirectly from natural products, particularly plant metabolites</w:t>
      </w:r>
      <w:r>
        <w:rPr>
          <w:rFonts w:ascii="Arial" w:hAnsi="Arial" w:cs="Arial"/>
          <w:sz w:val="20"/>
          <w:szCs w:val="20"/>
          <w:lang w:val="en-US"/>
        </w:rPr>
        <w:t xml:space="preserve">. The current </w:t>
      </w:r>
      <w:r w:rsidRPr="003B794A">
        <w:rPr>
          <w:rFonts w:ascii="Arial" w:hAnsi="Arial" w:cs="Arial"/>
          <w:sz w:val="20"/>
          <w:szCs w:val="20"/>
          <w:lang w:val="en-US"/>
        </w:rPr>
        <w:t xml:space="preserve">Chromatography–Mass Spectrometry (GC–MS) </w:t>
      </w:r>
      <w:r>
        <w:rPr>
          <w:rFonts w:ascii="Arial" w:hAnsi="Arial" w:cs="Arial"/>
          <w:sz w:val="20"/>
          <w:szCs w:val="20"/>
          <w:lang w:val="en-US"/>
        </w:rPr>
        <w:t xml:space="preserve">of </w:t>
      </w:r>
      <w:r w:rsidRPr="00935591">
        <w:rPr>
          <w:rFonts w:ascii="Arial" w:hAnsi="Arial" w:cs="Arial"/>
          <w:i/>
          <w:sz w:val="20"/>
          <w:szCs w:val="20"/>
          <w:lang w:val="en-US"/>
        </w:rPr>
        <w:t>Amaranthus spinosus</w:t>
      </w:r>
      <w:r w:rsidR="00935591">
        <w:rPr>
          <w:rFonts w:ascii="Arial" w:hAnsi="Arial" w:cs="Arial"/>
          <w:sz w:val="20"/>
          <w:szCs w:val="20"/>
          <w:lang w:val="en-US"/>
        </w:rPr>
        <w:t>.</w:t>
      </w:r>
      <w:r w:rsidR="003B794A" w:rsidRPr="003B794A">
        <w:rPr>
          <w:rFonts w:ascii="Arial" w:hAnsi="Arial" w:cs="Arial"/>
          <w:sz w:val="20"/>
          <w:szCs w:val="20"/>
          <w:lang w:val="en-US"/>
        </w:rPr>
        <w:t xml:space="preserve"> Chromatography–Mass Spectrometry (GC–MS) analysis of the leaf extract of </w:t>
      </w:r>
      <w:r w:rsidR="003B794A" w:rsidRPr="004A230A">
        <w:rPr>
          <w:rFonts w:ascii="Arial" w:hAnsi="Arial" w:cs="Arial"/>
          <w:i/>
          <w:sz w:val="20"/>
          <w:szCs w:val="20"/>
          <w:lang w:val="en-US"/>
        </w:rPr>
        <w:t>Amaranthus spinosus</w:t>
      </w:r>
      <w:r w:rsidR="003B794A" w:rsidRPr="003B794A">
        <w:rPr>
          <w:rFonts w:ascii="Arial" w:hAnsi="Arial" w:cs="Arial"/>
          <w:sz w:val="20"/>
          <w:szCs w:val="20"/>
          <w:lang w:val="en-US"/>
        </w:rPr>
        <w:t xml:space="preserve"> revealed the presence of twenty-four phytochemical constituents, identified based on their retention time (RT), molecular weight, molecular formula, and comparison of their mass spectra with reference spectra in the database of the National Institute of Standards and Technology.</w:t>
      </w:r>
      <w:r w:rsidR="00935591">
        <w:rPr>
          <w:rFonts w:ascii="Arial" w:hAnsi="Arial" w:cs="Arial"/>
          <w:sz w:val="20"/>
          <w:szCs w:val="20"/>
          <w:lang w:val="en-US"/>
        </w:rPr>
        <w:t xml:space="preserve"> The analysis revealed 24 compounds, </w:t>
      </w:r>
      <w:r w:rsidR="00EC511A">
        <w:rPr>
          <w:rFonts w:ascii="Arial" w:hAnsi="Arial" w:cs="Arial"/>
          <w:sz w:val="20"/>
          <w:szCs w:val="20"/>
          <w:lang w:val="en-US"/>
        </w:rPr>
        <w:t>with retention time</w:t>
      </w:r>
      <w:r w:rsidR="003B794A" w:rsidRPr="003B794A">
        <w:rPr>
          <w:rFonts w:ascii="Arial" w:hAnsi="Arial" w:cs="Arial"/>
          <w:sz w:val="20"/>
          <w:szCs w:val="20"/>
          <w:lang w:val="en-US"/>
        </w:rPr>
        <w:t xml:space="preserve"> </w:t>
      </w:r>
      <w:r w:rsidR="00EC511A" w:rsidRPr="003B794A">
        <w:rPr>
          <w:rFonts w:ascii="Arial" w:hAnsi="Arial" w:cs="Arial"/>
          <w:sz w:val="20"/>
          <w:szCs w:val="20"/>
          <w:lang w:val="en-US"/>
        </w:rPr>
        <w:t>1.422 to 22.795 minutes</w:t>
      </w:r>
      <w:r w:rsidR="00EC511A">
        <w:rPr>
          <w:rFonts w:ascii="Arial" w:hAnsi="Arial" w:cs="Arial"/>
          <w:sz w:val="20"/>
          <w:szCs w:val="20"/>
          <w:lang w:val="en-US"/>
        </w:rPr>
        <w:t xml:space="preserve">. </w:t>
      </w:r>
      <w:r w:rsidR="003B794A" w:rsidRPr="003B794A">
        <w:rPr>
          <w:rFonts w:ascii="Arial" w:hAnsi="Arial" w:cs="Arial"/>
          <w:sz w:val="20"/>
          <w:szCs w:val="20"/>
          <w:lang w:val="en-US"/>
        </w:rPr>
        <w:t>The chromatographic profile indicates a complex mixture of bioactive compounds belonging to several chemical classes including esters, phenolics, heterocyclic compounds, fatty acid derivatives, terpenoids, and aromatic compounds.</w:t>
      </w:r>
      <w:r w:rsidR="00935591">
        <w:rPr>
          <w:rFonts w:ascii="Arial" w:hAnsi="Arial" w:cs="Arial"/>
          <w:sz w:val="20"/>
          <w:szCs w:val="20"/>
          <w:lang w:val="en-US"/>
        </w:rPr>
        <w:t xml:space="preserve"> </w:t>
      </w:r>
      <w:r w:rsidR="003B794A" w:rsidRPr="003B794A">
        <w:rPr>
          <w:rFonts w:ascii="Arial" w:hAnsi="Arial" w:cs="Arial"/>
          <w:sz w:val="20"/>
          <w:szCs w:val="20"/>
          <w:lang w:val="en-US"/>
        </w:rPr>
        <w:t>The detected compounds exhibited the presence of both low-molecular-weight volatile compounds and relatively higher molecular weight semi-volatile compounds.</w:t>
      </w:r>
    </w:p>
    <w:p w14:paraId="51C6AD4A" w14:textId="79AB8964" w:rsidR="00731023" w:rsidRDefault="003B794A" w:rsidP="003B794A">
      <w:pPr>
        <w:jc w:val="both"/>
        <w:rPr>
          <w:rFonts w:ascii="Arial" w:hAnsi="Arial" w:cs="Arial"/>
          <w:sz w:val="20"/>
          <w:szCs w:val="20"/>
          <w:lang w:val="en-US"/>
        </w:rPr>
      </w:pPr>
      <w:r w:rsidRPr="003B794A">
        <w:rPr>
          <w:rFonts w:ascii="Arial" w:hAnsi="Arial" w:cs="Arial"/>
          <w:sz w:val="20"/>
          <w:szCs w:val="20"/>
          <w:lang w:val="en-US"/>
        </w:rPr>
        <w:t>Among the identified compounds, 4-Methoxy-6-methyl-6,7-dihydro-4H-furo[3,2-c]</w:t>
      </w:r>
      <w:r w:rsidR="004E6AA3">
        <w:rPr>
          <w:rFonts w:ascii="Arial" w:hAnsi="Arial" w:cs="Arial"/>
          <w:sz w:val="20"/>
          <w:szCs w:val="20"/>
          <w:lang w:val="en-US"/>
        </w:rPr>
        <w:t xml:space="preserve"> </w:t>
      </w:r>
      <w:r w:rsidRPr="003B794A">
        <w:rPr>
          <w:rFonts w:ascii="Arial" w:hAnsi="Arial" w:cs="Arial"/>
          <w:sz w:val="20"/>
          <w:szCs w:val="20"/>
          <w:lang w:val="en-US"/>
        </w:rPr>
        <w:t xml:space="preserve">pyran recorded the highest peak area (11.78%), indicating that it is the most abundant phytochemical component present in the extract. </w:t>
      </w:r>
      <w:r w:rsidR="00C479B7" w:rsidRPr="00C479B7">
        <w:rPr>
          <w:rFonts w:ascii="Arial" w:hAnsi="Arial" w:cs="Arial"/>
          <w:sz w:val="20"/>
          <w:szCs w:val="20"/>
          <w:lang w:val="en-US"/>
        </w:rPr>
        <w:t>Compounds with similar heterocyclic structures have been reported to exhibit antimicrobial activity</w:t>
      </w:r>
      <w:r w:rsidR="00C479B7">
        <w:rPr>
          <w:rFonts w:ascii="Arial" w:hAnsi="Arial" w:cs="Arial"/>
          <w:sz w:val="20"/>
          <w:szCs w:val="20"/>
          <w:lang w:val="en-US"/>
        </w:rPr>
        <w:t xml:space="preserve"> </w:t>
      </w:r>
      <w:r w:rsidR="004E6AA3">
        <w:rPr>
          <w:rFonts w:ascii="Arial" w:hAnsi="Arial" w:cs="Arial"/>
          <w:sz w:val="20"/>
          <w:szCs w:val="20"/>
          <w:lang w:val="en-US"/>
        </w:rPr>
        <w:fldChar w:fldCharType="begin" w:fldLock="1"/>
      </w:r>
      <w:r w:rsidR="006B61FC">
        <w:rPr>
          <w:rFonts w:ascii="Arial" w:hAnsi="Arial" w:cs="Arial"/>
          <w:sz w:val="20"/>
          <w:szCs w:val="20"/>
          <w:lang w:val="en-US"/>
        </w:rPr>
        <w:instrText>ADDIN CSL_CITATION {"citationItems":[{"id":"ITEM-1","itemData":{"DOI":"10.1016/j.rechem.2023.101175","ISSN":"22117156","abstract":"Pyran-4-one and chromenone are well known bioactive compounds, particularly antimicrobial activity. Present study investigation antibacterial activity of pyranone connected chromenone derivatives. New synthesis of pyrano[3,2-g]chromene-4,6-dione derivatives were synthesized via catalysis free eco-friendly method. Synthesized compounds were characterized by FTIR, 1H NMR, 13C NMR, and mass spectral analysis. An entirely new synthesis of pyrano[3,2-g]chromene-4,6-dione derivatives (1a–o) were studied for their in vitro antibacterial properties. The gram-positive bacterium B. cereus was thought to be the most sensitive of the studied microorganisms, and compounds 1f, 1 g, 1 k, 1 l, and 1o demonstrated the best antibacterial action. The results of the antibacterial activities would suggest that 1 g was more effective against B. cereus (MIC: 0.5 μg/mL) than other compounds and Ciprofloxacin (MIC: 2 μg/mL). Against B. cereus bacterial pathogens, compound 1 g demonstrated exceptional antibacterial activity. The compound 1 g and Ciprofloxacin docked with 5V8E protein action of compound 1 g (-7.2 kcal/mol) and ciprofloxacin (-3.2 kcal/mol) is quite potent, and it also showed greater binding affinity. DFT calculation was well support the performance of energy gap between low and highly active compounds for 1 k (ΔE gap = 0.15 eV) and 1 g (ΔE gap = 0.16 eV), respectively. The lead molecules were used for antibacterial agent.","author":[{"dropping-particle":"","family":"Mullaivendhan","given":"Janani","non-dropping-particle":"","parse-names":false,"suffix":""},{"dropping-particle":"","family":"Ahamed","given":"Anis","non-dropping-particle":"","parse-names":false,"suffix":""},{"dropping-particle":"","family":"Raman","given":"Gurusamy","non-dropping-particle":"","parse-names":false,"suffix":""},{"dropping-particle":"","family":"Radhakrishnan","given":"Surendrakumar","non-dropping-particle":"","parse-names":false,"suffix":""},{"dropping-particle":"","family":"Akbar","given":"Idhayadhulla","non-dropping-particle":"","parse-names":false,"suffix":""}],"container-title":"Results in Chemistry","id":"ITEM-1","issued":{"date-parts":[["2023","12"]]},"publisher":"Elsevier B.V.","title":"Synthesis and antibacterial activity of pyrano[3,2-g]chromene-4,6-dione derivatives and their molecular docking and DFT calculation studies","type":"article-journal","volume":"6"},"uris":["http://www.mendeley.com/documents/?uuid=ec9b0f59-2448-3d2b-8d74-d863766a3196"]}],"mendeley":{"formattedCitation":"(Mullaivendhan et al., 2023)","plainTextFormattedCitation":"(Mullaivendhan et al., 2023)","previouslyFormattedCitation":"(Mullaivendhan et al., 2023)"},"properties":{"noteIndex":0},"schema":"https://github.com/citation-style-language/schema/raw/master/csl-citation.json"}</w:instrText>
      </w:r>
      <w:r w:rsidR="004E6AA3">
        <w:rPr>
          <w:rFonts w:ascii="Arial" w:hAnsi="Arial" w:cs="Arial"/>
          <w:sz w:val="20"/>
          <w:szCs w:val="20"/>
          <w:lang w:val="en-US"/>
        </w:rPr>
        <w:fldChar w:fldCharType="separate"/>
      </w:r>
      <w:r w:rsidR="004E6AA3" w:rsidRPr="004E6AA3">
        <w:rPr>
          <w:rFonts w:ascii="Arial" w:hAnsi="Arial" w:cs="Arial"/>
          <w:noProof/>
          <w:sz w:val="20"/>
          <w:szCs w:val="20"/>
          <w:lang w:val="en-US"/>
        </w:rPr>
        <w:t>(Mullaivendhan et al., 2023)</w:t>
      </w:r>
      <w:r w:rsidR="004E6AA3">
        <w:rPr>
          <w:rFonts w:ascii="Arial" w:hAnsi="Arial" w:cs="Arial"/>
          <w:sz w:val="20"/>
          <w:szCs w:val="20"/>
          <w:lang w:val="en-US"/>
        </w:rPr>
        <w:fldChar w:fldCharType="end"/>
      </w:r>
      <w:r w:rsidR="004E6AA3">
        <w:rPr>
          <w:rFonts w:ascii="Arial" w:hAnsi="Arial" w:cs="Arial"/>
          <w:sz w:val="20"/>
          <w:szCs w:val="20"/>
          <w:lang w:val="en-US"/>
        </w:rPr>
        <w:t>.</w:t>
      </w:r>
      <w:r w:rsidR="00D91C25" w:rsidRPr="00D91C25">
        <w:rPr>
          <w:rFonts w:ascii="Arial" w:hAnsi="Arial" w:cs="Arial"/>
          <w:sz w:val="20"/>
          <w:szCs w:val="20"/>
          <w:lang w:val="en-US"/>
        </w:rPr>
        <w:t xml:space="preserve"> </w:t>
      </w:r>
      <w:r w:rsidR="00C479B7" w:rsidRPr="00C479B7">
        <w:rPr>
          <w:rFonts w:ascii="Arial" w:hAnsi="Arial" w:cs="Arial"/>
          <w:sz w:val="20"/>
          <w:szCs w:val="20"/>
          <w:lang w:val="en-US"/>
        </w:rPr>
        <w:t>Some heterocyclic compounds reported in previous studies have demonstrated antioxidant potential</w:t>
      </w:r>
      <w:r w:rsidR="00C479B7">
        <w:rPr>
          <w:rFonts w:ascii="Arial" w:hAnsi="Arial" w:cs="Arial"/>
          <w:sz w:val="20"/>
          <w:szCs w:val="20"/>
          <w:lang w:val="en-US"/>
        </w:rPr>
        <w:t xml:space="preserve"> </w:t>
      </w:r>
      <w:r w:rsidR="000D6704">
        <w:rPr>
          <w:rFonts w:ascii="Arial" w:hAnsi="Arial" w:cs="Arial"/>
          <w:sz w:val="20"/>
          <w:szCs w:val="20"/>
          <w:lang w:val="en-US"/>
        </w:rPr>
        <w:fldChar w:fldCharType="begin" w:fldLock="1"/>
      </w:r>
      <w:r w:rsidR="00A319F4">
        <w:rPr>
          <w:rFonts w:ascii="Arial" w:hAnsi="Arial" w:cs="Arial"/>
          <w:sz w:val="20"/>
          <w:szCs w:val="20"/>
          <w:lang w:val="en-US"/>
        </w:rPr>
        <w:instrText>ADDIN CSL_CITATION {"citationItems":[{"id":"ITEM-1","itemData":{"DOI":"10.2174/1568026614666141203120425","ISSN":"15680266","PMID":"25478888","abstract":"© 2014 Bentham Science Publishers. Reactive oxygen species, oxidative stress, and oxidative damage are increasingly assigned important roles as harmful factors in pathological conditions and ageing. ROS are potentially reactive molecules derived from the reduction of molecular oxygen in the course of aerobic metabolism. ROS can also be produced through a variety of enzymes. Under normal circumstances, ROS concentrations are tightly controlled by physiological antioxidants. When excessively produced, or when antioxidants are depleted, ROS can impose oxidative damage to lipids, proteins, sugars and DNA. This reduction-oxidation imbalance, called oxidative stress, can subsequently contribute to the development and progression of tissue damage and play a role in the pathology of various diseases. An antioxidant is defined as “any substance that, when present at low concentrations compared with those of a substrate, significantly delays, prevents or removes oxidative damage to this target molecule”. Despite evidence that oxidative damage contributes to a wide range of clinically important conditions, few antioxidants act as effective drugs in vivo. Inter alia, the difficulty of measuring antioxidant efficacy in vivo makes the interpretation of results from clinical trials difficult. A large number of synthetic compounds have been reported to possess antioxidant activity. Several of them derive from natural antioxidants, others have various structures. In this review, some of the most often reported classes of heterocyclic antioxidant compounds, as well as methods for evaluation of their antioxidant activity are discussed.","author":[{"dropping-particle":"","family":"Tsolaki","given":"E.","non-dropping-particle":"","parse-names":false,"suffix":""},{"dropping-particle":"","family":"Nobelos","given":"P.","non-dropping-particle":"","parse-names":false,"suffix":""},{"dropping-particle":"","family":"Geronikaki","given":"A.","non-dropping-particle":"","parse-names":false,"suffix":""},{"dropping-particle":"","family":"Rekka","given":"E.A.","non-dropping-particle":"","parse-names":false,"suffix":""}],"container-title":"Current Topics in Medicinal Chemistry","id":"ITEM-1","issued":{"date-parts":[["2014","12"]]},"page":"2462-2477","publisher":"Bentham Science Publishers Ltd.","title":"Selected Heterocyclic Compounds as Antioxidants. Synthesis and Biological Evaluation","type":"article-journal","volume":"14"},"uris":["http://www.mendeley.com/documents/?uuid=e98a8bb4-ea82-3015-999b-e9a2a6a0326b"]},{"id":"ITEM-2","itemData":{"DOI":"10.3390/antiox13080898","ISSN":"20763921","abstract":"Cancer and oxidative stress are interrelated, with reactive oxygen species (ROS) playing crucial roles in physiological processes and oncogenesis. Excessive ROS levels can induce DNA damage, leading to cancer, and disrupt antioxidant defenses, contributing to diseases like diabetes and cardiovascular disorders. Antioxidant mechanisms include enzymes and small molecules that mitigate ROS damage. However, cancer cells often exploit oxidative conditions to evade apoptosis and promote tumor growth. Antioxidant therapy has shown mixed results, with timing and cancer-type influencing outcomes. Multifunctional drugs targeting multiple pathways offer a promising approach, reducing side effects and improving efficacy. Recent research focuses on sulfur-nitrogen heterocyclic derivatives for their dual antioxidant and anticancer properties, potentially enhancing therapeutic efficacy in oncology. The newly synthesized compounds often do not demonstrate both antioxidant and anticancer properties simultaneously. Heterocyclic rings are typically combined with phenyl groups, where hydroxy substitutions enhance antioxidant activity. On the other hand, electron-withdrawing substituents, particularly at the p-position on the phenyl ring, tend to enhance anticancer activity.","author":[{"dropping-particle":"","family":"Drakontaeidi","given":"Aliki","non-dropping-particle":"","parse-names":false,"suffix":""},{"dropping-particle":"","family":"Papanotas","given":"Ilias","non-dropping-particle":"","parse-names":false,"suffix":""},{"dropping-particle":"","family":"Pontiki","given":"Eleni","non-dropping-particle":"","parse-names":false,"suffix":""}],"container-title":"Antioxidants","id":"ITEM-2","issued":{"date-parts":[["2024","8"]]},"publisher":"Multidisciplinary Digital Publishing Institute (MDPI)","title":"Multitarget Pharmacology of Sulfur–Nitrogen Heterocycles: Anticancer and Antioxidant Perspectives","type":"article","volume":"13"},"uris":["http://www.mendeley.com/documents/?uuid=7bb35dc3-fd13-3eaf-939f-a41683af4ae3"]}],"mendeley":{"formattedCitation":"(Drakontaeidi et al., 2024; Tsolaki et al., 2014)","plainTextFormattedCitation":"(Drakontaeidi et al., 2024; Tsolaki et al., 2014)","previouslyFormattedCitation":"(Drakontaeidi et al., 2024; Tsolaki et al., 2014)"},"properties":{"noteIndex":0},"schema":"https://github.com/citation-style-language/schema/raw/master/csl-citation.json"}</w:instrText>
      </w:r>
      <w:r w:rsidR="000D6704">
        <w:rPr>
          <w:rFonts w:ascii="Arial" w:hAnsi="Arial" w:cs="Arial"/>
          <w:sz w:val="20"/>
          <w:szCs w:val="20"/>
          <w:lang w:val="en-US"/>
        </w:rPr>
        <w:fldChar w:fldCharType="separate"/>
      </w:r>
      <w:r w:rsidR="000D6704" w:rsidRPr="000D6704">
        <w:rPr>
          <w:rFonts w:ascii="Arial" w:hAnsi="Arial" w:cs="Arial"/>
          <w:noProof/>
          <w:sz w:val="20"/>
          <w:szCs w:val="20"/>
          <w:lang w:val="en-US"/>
        </w:rPr>
        <w:t>(Drakontaeidi et al., 2024; Tsolaki et al., 2014)</w:t>
      </w:r>
      <w:r w:rsidR="000D6704">
        <w:rPr>
          <w:rFonts w:ascii="Arial" w:hAnsi="Arial" w:cs="Arial"/>
          <w:sz w:val="20"/>
          <w:szCs w:val="20"/>
          <w:lang w:val="en-US"/>
        </w:rPr>
        <w:fldChar w:fldCharType="end"/>
      </w:r>
      <w:r w:rsidR="00D91C25" w:rsidRPr="003B794A">
        <w:rPr>
          <w:rFonts w:ascii="Arial" w:hAnsi="Arial" w:cs="Arial"/>
          <w:sz w:val="20"/>
          <w:szCs w:val="20"/>
          <w:lang w:val="en-US"/>
        </w:rPr>
        <w:t xml:space="preserve">. </w:t>
      </w:r>
      <w:r w:rsidR="00C479B7" w:rsidRPr="00C479B7">
        <w:rPr>
          <w:rFonts w:ascii="Arial" w:hAnsi="Arial" w:cs="Arial"/>
          <w:sz w:val="20"/>
          <w:szCs w:val="20"/>
          <w:lang w:val="en-US"/>
        </w:rPr>
        <w:t>Several heterocyclic compounds identified in natural products have been investigated for antimicrobial, anti-inflammatory, and anticancer activities</w:t>
      </w:r>
      <w:r w:rsidR="00C479B7">
        <w:rPr>
          <w:rFonts w:ascii="Arial" w:hAnsi="Arial" w:cs="Arial"/>
          <w:sz w:val="20"/>
          <w:szCs w:val="20"/>
          <w:lang w:val="en-US"/>
        </w:rPr>
        <w:t xml:space="preserve"> </w:t>
      </w:r>
      <w:r w:rsidR="009E715F">
        <w:rPr>
          <w:rFonts w:ascii="Arial" w:hAnsi="Arial" w:cs="Arial"/>
          <w:sz w:val="20"/>
          <w:szCs w:val="20"/>
          <w:lang w:val="en-US"/>
        </w:rPr>
        <w:fldChar w:fldCharType="begin" w:fldLock="1"/>
      </w:r>
      <w:r w:rsidR="000D6704">
        <w:rPr>
          <w:rFonts w:ascii="Arial" w:hAnsi="Arial" w:cs="Arial"/>
          <w:sz w:val="20"/>
          <w:szCs w:val="20"/>
          <w:lang w:val="en-US"/>
        </w:rPr>
        <w:instrText>ADDIN CSL_CITATION {"citationItems":[{"id":"ITEM-1","itemData":{"DOI":"10.1016/j.rechem.2025.102182","ISSN":"22117156","abstract":"Sulfur-contained heterocyclic compounds have gained great attention due to their potential anti-cancer properties. These compounds are diverse, having several modes of actions, and are expected to have a greater role in treating different cancer states. Currently, medicinal chemistry has impacted the identification and improvement of these heterocycles in a number of ways. This is mainly in enzyme and cell culture assays, because they are capable of inactivating the repair mechanisms required for cell survival or growth. The compounds-mostly examples being sulforaphane (as an isothiocyanate) and thiophene derivatives-have shown highly significant anti-cancer activities in both preclinical screens and early clinical trials. These findings are establishing growing hopes that these compounds will become powerful gears of anti-cancer therapy for effective frustration of desirable disease targets. The strategy of structure-activity relationships (SARs) has been very proactive in enhancing the activity and specificity of compounds through molecular modifications, making it simpler for the design of highly selective and efficacious therapeutics, leaving alone barriers posed by factors such as drug resistance and adverse effects. On the other hand, a few sulfur-containing heterocycles have reached at least a clinical trial stage, showing a good margin of safety, alongside encouraging efficacy against cancers including breast, lung, and colorectal cancer types. This review aims to delve a little more into the anti-cancer build-up of sulfur-containing heterocycles, explaining the mechanism of action, SAR findings, and recent development in their clinical application. Should this review be a guide to future research based on the articles already published, it will be the first step toward fostering new target-based agents against cancer, as well as boosting the terrain itself.","author":[{"dropping-particle":"","family":"Hamad","given":"Hasan Tuhmaz","non-dropping-particle":"","parse-names":false,"suffix":""}],"container-title":"Results in Chemistry","id":"ITEM-1","issued":{"date-parts":[["2025","5"]]},"publisher":"Elsevier B.V.","title":"The anti-cancer effectiveness of some heterocyclic compounds containing sulfur atom","type":"article","volume":"15"},"uris":["http://www.mendeley.com/documents/?uuid=76313cfd-fc81-3174-a42e-8e58388a33d4"]}],"mendeley":{"formattedCitation":"(Hamad, 2025)","plainTextFormattedCitation":"(Hamad, 2025)","previouslyFormattedCitation":"(Hamad, 2025)"},"properties":{"noteIndex":0},"schema":"https://github.com/citation-style-language/schema/raw/master/csl-citation.json"}</w:instrText>
      </w:r>
      <w:r w:rsidR="009E715F">
        <w:rPr>
          <w:rFonts w:ascii="Arial" w:hAnsi="Arial" w:cs="Arial"/>
          <w:sz w:val="20"/>
          <w:szCs w:val="20"/>
          <w:lang w:val="en-US"/>
        </w:rPr>
        <w:fldChar w:fldCharType="separate"/>
      </w:r>
      <w:r w:rsidR="009E715F" w:rsidRPr="009E715F">
        <w:rPr>
          <w:rFonts w:ascii="Arial" w:hAnsi="Arial" w:cs="Arial"/>
          <w:noProof/>
          <w:sz w:val="20"/>
          <w:szCs w:val="20"/>
          <w:lang w:val="en-US"/>
        </w:rPr>
        <w:t>(Hamad, 2025)</w:t>
      </w:r>
      <w:r w:rsidR="009E715F">
        <w:rPr>
          <w:rFonts w:ascii="Arial" w:hAnsi="Arial" w:cs="Arial"/>
          <w:sz w:val="20"/>
          <w:szCs w:val="20"/>
          <w:lang w:val="en-US"/>
        </w:rPr>
        <w:fldChar w:fldCharType="end"/>
      </w:r>
      <w:r w:rsidR="00D91C25" w:rsidRPr="003B794A">
        <w:rPr>
          <w:rFonts w:ascii="Arial" w:hAnsi="Arial" w:cs="Arial"/>
          <w:sz w:val="20"/>
          <w:szCs w:val="20"/>
          <w:lang w:val="en-US"/>
        </w:rPr>
        <w:t>.</w:t>
      </w:r>
      <w:r w:rsidR="004E6AA3">
        <w:rPr>
          <w:rFonts w:ascii="Arial" w:hAnsi="Arial" w:cs="Arial"/>
          <w:sz w:val="20"/>
          <w:szCs w:val="20"/>
          <w:lang w:val="en-US"/>
        </w:rPr>
        <w:t xml:space="preserve"> </w:t>
      </w:r>
    </w:p>
    <w:p w14:paraId="4DF2DB1B" w14:textId="6A2B79F0" w:rsidR="000D6704" w:rsidRDefault="003B794A" w:rsidP="003B794A">
      <w:pPr>
        <w:jc w:val="both"/>
        <w:rPr>
          <w:rFonts w:ascii="Arial" w:hAnsi="Arial" w:cs="Arial"/>
          <w:sz w:val="20"/>
          <w:szCs w:val="20"/>
          <w:lang w:val="en-US"/>
        </w:rPr>
      </w:pPr>
      <w:r w:rsidRPr="003B794A">
        <w:rPr>
          <w:rFonts w:ascii="Arial" w:hAnsi="Arial" w:cs="Arial"/>
          <w:sz w:val="20"/>
          <w:szCs w:val="20"/>
          <w:lang w:val="en-US"/>
        </w:rPr>
        <w:t>Compounds with relatively high abundance were also observed for 3,4-Di-O-methyl-2-deoxy-D-ribono-1,5-lactone (10.00%)</w:t>
      </w:r>
      <w:r w:rsidR="00B56554">
        <w:rPr>
          <w:rFonts w:ascii="Arial" w:hAnsi="Arial" w:cs="Arial"/>
          <w:sz w:val="20"/>
          <w:szCs w:val="20"/>
          <w:lang w:val="en-US"/>
        </w:rPr>
        <w:t>.</w:t>
      </w:r>
      <w:r w:rsidR="00B56554" w:rsidRPr="003B794A">
        <w:rPr>
          <w:rFonts w:ascii="Arial" w:hAnsi="Arial" w:cs="Arial"/>
          <w:sz w:val="20"/>
          <w:szCs w:val="20"/>
          <w:lang w:val="en-US"/>
        </w:rPr>
        <w:t xml:space="preserve"> </w:t>
      </w:r>
      <w:r w:rsidR="00C479B7" w:rsidRPr="00C479B7">
        <w:rPr>
          <w:rFonts w:ascii="Arial" w:hAnsi="Arial" w:cs="Arial"/>
          <w:sz w:val="20"/>
          <w:szCs w:val="20"/>
          <w:lang w:val="en-US"/>
        </w:rPr>
        <w:t>Lactone derivatives have been reported to possess antioxidant and metabolic regulatory activities</w:t>
      </w:r>
      <w:r w:rsidR="00C479B7">
        <w:rPr>
          <w:rFonts w:ascii="Arial" w:hAnsi="Arial" w:cs="Arial"/>
          <w:sz w:val="20"/>
          <w:szCs w:val="20"/>
          <w:lang w:val="en-US"/>
        </w:rPr>
        <w:t xml:space="preserve"> </w:t>
      </w:r>
      <w:r w:rsidR="00B56554">
        <w:rPr>
          <w:rFonts w:ascii="Arial" w:hAnsi="Arial" w:cs="Arial"/>
          <w:sz w:val="20"/>
          <w:szCs w:val="20"/>
          <w:lang w:val="en-US"/>
        </w:rPr>
        <w:fldChar w:fldCharType="begin" w:fldLock="1"/>
      </w:r>
      <w:r w:rsidR="00B56554">
        <w:rPr>
          <w:rFonts w:ascii="Arial" w:hAnsi="Arial" w:cs="Arial"/>
          <w:sz w:val="20"/>
          <w:szCs w:val="20"/>
          <w:lang w:val="en-US"/>
        </w:rPr>
        <w:instrText>ADDIN CSL_CITATION {"citationItems":[{"id":"ITEM-1","itemData":{"DOI":"10.3390/ijms22052769","ISSN":"14220067","PMID":"33803380","abstract":"γ-Butyrolactone, a five-membered lactone moiety, is one of the privileged structures of diverse natural products and biologically active small molecules. Because of their broad spectrum of biological and pharmacological activities, synthetic methods for γ-butyrolactones have received significant attention from synthetic and medicinal chemists for decades. Recently, new developments and improvements in traditional methods have been reported by considering synthetic efficiency, feasibility, and green chemistry. In this review, the pharmacological activities of natural and synthetic γ-butyrolactones are described, including their structures and bioassay methods. Mainly, we sum-marize recent advances, occurring during the past decade, in the construction of γ-butyrolactone classified based on the bond formation in γ-butyrolactone between (i) C5-O1 bond, (ii) C4-C5 and C2-O1 bonds, (iii) C3-C4 and C2-O1 bonds, (iv) C3-C4 and C5-O1 bonds, (v) C2-C3 and C2-O1 bonds, (vi) C3-C4 bond, and (vii) C2-O1 bond. In addition, the application to the total synthesis of natural products bearing γ-butyrolactone scaffolds is described.","author":[{"dropping-particle":"","family":"Hur","given":"Joonseong","non-dropping-particle":"","parse-names":false,"suffix":""},{"dropping-particle":"","family":"Jang","given":"Jaebong","non-dropping-particle":"","parse-names":false,"suffix":""},{"dropping-particle":"","family":"Sim","given":"Jaehoon","non-dropping-particle":"","parse-names":false,"suffix":""}],"container-title":"International Journal of Molecular Sciences","id":"ITEM-1","issued":{"date-parts":[["2021","3"]]},"page":"1-49","publisher":"MDPI AG","title":"A review of the pharmacological activities and recent synthetic advances of γ-butyrolactones","type":"article","volume":"22"},"uris":["http://www.mendeley.com/documents/?uuid=00da123f-249d-3683-9b67-203a278502e9"]}],"mendeley":{"formattedCitation":"(Hur et al., 2021)","plainTextFormattedCitation":"(Hur et al., 2021)","previouslyFormattedCitation":"(Hur et al., 2021)"},"properties":{"noteIndex":0},"schema":"https://github.com/citation-style-language/schema/raw/master/csl-citation.json"}</w:instrText>
      </w:r>
      <w:r w:rsidR="00B56554">
        <w:rPr>
          <w:rFonts w:ascii="Arial" w:hAnsi="Arial" w:cs="Arial"/>
          <w:sz w:val="20"/>
          <w:szCs w:val="20"/>
          <w:lang w:val="en-US"/>
        </w:rPr>
        <w:fldChar w:fldCharType="separate"/>
      </w:r>
      <w:r w:rsidR="00B56554" w:rsidRPr="00B56554">
        <w:rPr>
          <w:rFonts w:ascii="Arial" w:hAnsi="Arial" w:cs="Arial"/>
          <w:noProof/>
          <w:sz w:val="20"/>
          <w:szCs w:val="20"/>
          <w:lang w:val="en-US"/>
        </w:rPr>
        <w:t>(Hur et al., 2021)</w:t>
      </w:r>
      <w:r w:rsidR="00B56554">
        <w:rPr>
          <w:rFonts w:ascii="Arial" w:hAnsi="Arial" w:cs="Arial"/>
          <w:sz w:val="20"/>
          <w:szCs w:val="20"/>
          <w:lang w:val="en-US"/>
        </w:rPr>
        <w:fldChar w:fldCharType="end"/>
      </w:r>
      <w:r w:rsidR="00B56554" w:rsidRPr="003B794A">
        <w:rPr>
          <w:rFonts w:ascii="Arial" w:hAnsi="Arial" w:cs="Arial"/>
          <w:sz w:val="20"/>
          <w:szCs w:val="20"/>
          <w:lang w:val="en-US"/>
        </w:rPr>
        <w:t xml:space="preserve">. </w:t>
      </w:r>
      <w:r w:rsidR="00C479B7" w:rsidRPr="00C479B7">
        <w:rPr>
          <w:rFonts w:ascii="Arial" w:hAnsi="Arial" w:cs="Arial"/>
          <w:sz w:val="20"/>
          <w:szCs w:val="20"/>
          <w:lang w:val="en-US"/>
        </w:rPr>
        <w:t>Several lactone-containing natural products have demonstrated anti-inflammatory and antimicrobial activities in previous studies</w:t>
      </w:r>
      <w:r w:rsidR="00C479B7">
        <w:rPr>
          <w:rFonts w:ascii="Arial" w:hAnsi="Arial" w:cs="Arial"/>
          <w:sz w:val="20"/>
          <w:szCs w:val="20"/>
          <w:lang w:val="en-US"/>
        </w:rPr>
        <w:t xml:space="preserve"> </w:t>
      </w:r>
      <w:proofErr w:type="spellStart"/>
      <w:r w:rsidR="00B56554">
        <w:rPr>
          <w:rFonts w:ascii="Arial" w:hAnsi="Arial" w:cs="Arial"/>
          <w:sz w:val="20"/>
          <w:szCs w:val="20"/>
          <w:lang w:val="en-US"/>
        </w:rPr>
        <w:fldChar w:fldCharType="begin" w:fldLock="1"/>
      </w:r>
      <w:r w:rsidR="009E715F">
        <w:rPr>
          <w:rFonts w:ascii="Arial" w:hAnsi="Arial" w:cs="Arial"/>
          <w:sz w:val="20"/>
          <w:szCs w:val="20"/>
          <w:lang w:val="en-US"/>
        </w:rPr>
        <w:instrText>ADDIN CSL_CITATION {"citationItems":[{"id":"ITEM-1","itemData":{"DOI":"10.3390/pharmaceutics13070991","ISSN":"19994923","abstract":"Inflammation is a crucial and complex process that reestablishes the physiological state after a noxious stimulus. In pathological conditions the inflammatory state may persist, leading to chronic inflammation and causing tissue damage. Sesquiterpene lactones (SLs) are composed of a large and diverse group of highly bioactive plant secondary metabolites, characterized by a 15-carbon backbone structure. In recent years, the interest in SLs has risen due to their vast array of biological activities beneficial for human health. The anti-inflammatory potential of these compounds results from their ability to target and inhibit various key pro-inflammatory molecules enrolled in diverse inflammatory pathways, and prevent or reduce the inflammatory damage on tissues. Research on the anti-inflammatory mechanisms of SLs has thrived over the last years, and numerous compounds from diverse plants have been studied, using in silico, in vitro, and in vivo assays. Besides their anti-inflammatory potential, their cytotoxicity, structure–activity relationships, and pharmacokinetics have been investigated. This review aims to gather the most relevant results and insights concerning the anti-inflammatory potential of SL-rich extracts and pure SLs, focusing on their effects in different inflammatory pathways and on different molecular players.","author":[{"dropping-particle":"","family":"Matos","given":"Melanie S.","non-dropping-particle":"","parse-names":false,"suffix":""},{"dropping-particle":"","family":"Anastácio","given":"José D.","non-dropping-particle":"","parse-names":false,"suffix":""},{"dropping-particle":"","family":"Santos","given":"Cláudia Nunes","non-dropping-particle":"Dos","parse-names":false,"suffix":""}],"container-title":"Pharmaceutics","id":"ITEM-1","issued":{"date-parts":[["2021","7"]]},"publisher":"MDPI","title":"Sesquiterpene lactones: Promising natural compounds to fight inflammation","type":"article","volume":"13"},"uris":["http://www.mendeley.com/documents/?uuid=07803a81-a03f-3e5a-8f13-a79ab44947d0"]},{"id":"ITEM-2","itemData":{"DOI":"10.1016/j.sajb.2019.04.002","ISSN":"02546299","abstract":"Schkuhria pinnata (Lam.) Kuntze ex Thell is used traditionally to treat a number of diseases linked with bacterial infections and inflammation such as eye infections, diarrhoea, diabetes and stomach problems. Despite these uses, there is still insufficient information on the isolation and evaluation of active compounds from this plant. Thus, the study was aimed at identification and characterisation of the antibacterial and anti-inflammatory active extracts of Schkuhria pinnata. Antibacterial activity was evaluated by the micro-broth dilution method. Bioassay-guided fractionation aided the isolation of four compounds from the dichloromethane extracts. The structures of the isolated compounds were elucidated using NMR data. The compounds were further tested for antibacterial, cytotoxic and anti-inflammatory activity using serial dilutions. Four sesquiterpene lactones were identified, 6α-[4′,5′-dihydroxytigloyloxy]-inuviscolide 1 and, 3-desacetyl-3-isovaleroyleucannabinolide 2, eucannabinolide 3 and 6α-[4′,5′-dihydroxytigloyloxy]-isoinuviscolide 4. These compounds exhibited less antibacterial activity as compared to the crude extracts and fractions. Anti-inflammatory and cytotoxic activities were also demonstrated. The activities reported for the extracts support the traditional uses of this plant for treatment of infections linked with microorganisms and inflammatory related disorders.","author":[{"dropping-particle":"","family":"Kudumela","given":"R. G.","non-dropping-particle":"","parse-names":false,"suffix":""},{"dropping-particle":"","family":"Mazimba","given":"O.","non-dropping-particle":"","parse-names":false,"suffix":""},{"dropping-particle":"","family":"Masoko","given":"P.","non-dropping-particle":"","parse-names":false,"suffix":""}],"container-title":"South African Journal of Botany","id":"ITEM-2","issued":{"date-parts":[["2019","11"]]},"page":"340-344","publisher":"Elsevier B.V.","title":"Isolation and characterisation of sesquiterpene lactones from Schkuhria pinnata and their antibacterial and anti-inflammatory activities","type":"article-journal","volume":"126"},"uris":["http://www.mendeley.com/documents/?uuid=16340536-ab7a-3908-8537-3839e1a96f0d"]},{"id":"ITEM-3","itemData":{"DOI":"10.3390/molecules25081894","ISSN":"14203049","PMID":"32326068","abstract":"Traditional folk medicine in Sri Lanka is mostly based on plants and plant-derived products, however, many of these medicinal plant species are scientifically unexplored. Here, we evaluated the anti-inflammatory and antimicrobial potency of 28 different extracts prepared from seven popular medicinal plant species employed in Sri Lanka. The extracts were subjected to cell-based and cell-free assays of 5-lipoxygenase (5-LO), microsomal prostaglandin E2 synthase (mPGES)-1, and nitric oxide (NO) scavenging activity. Moreover, antibacterial and disinfectant activities were assessed. Characterization of secondary metabolites was achieved by gas chromatography coupled to mass spectrometric (GC-MS) analysis. n-Hexane- and dichloromethane-based extracts of Garcinia cambogia efficiently suppressed 5-LO activity in human neutrophils (IC50 = 0.92 and 1.39 µg/mL), and potently inhibited isolated human 5-LO (IC50 = 0.15 and 0.16 µg/mL) and mPGES-1 (IC50 = 0.29 and 0.49 µg/mL). Lipophilic extracts of Pothos scandens displayed potent inhibition of mPGES-1 only. A methanolic extract of Ophiorrhiza mungos caused significant NO scavenging activity. The lipophilic extracts of G. cambogia exhibited prominent antibacterial and disinfectant activities, and GC-MS analysis revealed the presence of fatty acids, sesquiterpenes and other types of secondary metabolites. Together, our results suggest the prospective utilization of G. cambogia as disinfective agent with potent anti-inflammatory properties.","author":[{"dropping-particle":"","family":"Napagoda","given":"Mayuri","non-dropping-particle":"","parse-names":false,"suffix":""},{"dropping-particle":"","family":"Gerstmeier","given":"Jana","non-dropping-particle":"","parse-names":false,"suffix":""},{"dropping-particle":"","family":"Butschek","given":"Hannah","non-dropping-particle":"","parse-names":false,"suffix":""},{"dropping-particle":"","family":"Soyza","given":"Sudhara","non-dropping-particle":"De","parse-names":false,"suffix":""},{"dropping-particle":"","family":"Pace","given":"Simona","non-dropping-particle":"","parse-names":false,"suffix":""},{"dropping-particle":"","family":"Lorenz","given":"Sybille","non-dropping-particle":"","parse-names":false,"suffix":""},{"dropping-particle":"","family":"Qader","given":"Mallique","non-dropping-particle":"","parse-names":false,"suffix":""},{"dropping-particle":"","family":"Witharana","given":"Sanjeeva","non-dropping-particle":"","parse-names":false,"suffix":""},{"dropping-particle":"","family":"Nagahawatte","given":"Ajith","non-dropping-particle":"","parse-names":false,"suffix":""},{"dropping-particle":"","family":"Wijayaratne","given":"Gaya","non-dropping-particle":"","parse-names":false,"suffix":""},{"dropping-particle":"","family":"Svatoš","given":"Aleš","non-dropping-particle":"","parse-names":false,"suffix":""},{"dropping-particle":"","family":"Jayasinghe","given":"Lalith","non-dropping-particle":"","parse-names":false,"suffix":""},{"dropping-particle":"","family":"Koeberle","given":"Andreas","non-dropping-particle":"","parse-names":false,"suffix":""},{"dropping-particle":"","family":"Werz","given":"Oliver","non-dropping-particle":"","parse-names":false,"suffix":""}],"container-title":"Molecules","id":"ITEM-3","issued":{"date-parts":[["2020","4"]]},"publisher":"MDPI AG","title":"The anti-inflammatory and antimicrobial potential of selected ethnomedicinal plants from Sri Lanka","type":"article-journal","volume":"25"},"uris":["http://www.mendeley.com/documents/?uuid=5e99e83a-d7d0-3030-8f7f-5ac347d4923b"]}],"mendeley":{"formattedCitation":"(Kudumela et al., 2019; Matos et al., 2021; Napagoda et al., 2020)","plainTextFormattedCitation":"(Kudumela et al., 2019; Matos et al., 2021; Napagoda et al., 2020)","previouslyFormattedCitation":"(Kudumela et al., 2019; Matos et al., 2021; Napagoda et al., 2020)"},"properties":{"noteIndex":0},"schema":"https://github.com/citation-style-language/schema/raw/master/csl-citation.json"}</w:instrText>
      </w:r>
      <w:r w:rsidR="00B56554">
        <w:rPr>
          <w:rFonts w:ascii="Arial" w:hAnsi="Arial" w:cs="Arial"/>
          <w:sz w:val="20"/>
          <w:szCs w:val="20"/>
          <w:lang w:val="en-US"/>
        </w:rPr>
        <w:fldChar w:fldCharType="separate"/>
      </w:r>
      <w:r w:rsidR="00B56554" w:rsidRPr="00B56554">
        <w:rPr>
          <w:rFonts w:ascii="Arial" w:hAnsi="Arial" w:cs="Arial"/>
          <w:noProof/>
          <w:sz w:val="20"/>
          <w:szCs w:val="20"/>
          <w:lang w:val="en-US"/>
        </w:rPr>
        <w:t>(Kudumel</w:t>
      </w:r>
      <w:proofErr w:type="spellEnd"/>
      <w:r w:rsidR="00B56554" w:rsidRPr="00B56554">
        <w:rPr>
          <w:rFonts w:ascii="Arial" w:hAnsi="Arial" w:cs="Arial"/>
          <w:noProof/>
          <w:sz w:val="20"/>
          <w:szCs w:val="20"/>
          <w:lang w:val="en-US"/>
        </w:rPr>
        <w:t>a et al., 2019; Matos et al., 2021; Napagoda et al., 2020)</w:t>
      </w:r>
      <w:r w:rsidR="00B56554">
        <w:rPr>
          <w:rFonts w:ascii="Arial" w:hAnsi="Arial" w:cs="Arial"/>
          <w:sz w:val="20"/>
          <w:szCs w:val="20"/>
          <w:lang w:val="en-US"/>
        </w:rPr>
        <w:fldChar w:fldCharType="end"/>
      </w:r>
      <w:r w:rsidR="00B56554" w:rsidRPr="003B794A">
        <w:rPr>
          <w:rFonts w:ascii="Arial" w:hAnsi="Arial" w:cs="Arial"/>
          <w:sz w:val="20"/>
          <w:szCs w:val="20"/>
          <w:lang w:val="en-US"/>
        </w:rPr>
        <w:t>.</w:t>
      </w:r>
      <w:r w:rsidR="00B56554">
        <w:rPr>
          <w:rFonts w:ascii="Arial" w:hAnsi="Arial" w:cs="Arial"/>
          <w:sz w:val="20"/>
          <w:szCs w:val="20"/>
          <w:lang w:val="en-US"/>
        </w:rPr>
        <w:t xml:space="preserve"> </w:t>
      </w:r>
      <w:r w:rsidR="000D6704">
        <w:rPr>
          <w:rFonts w:ascii="Arial" w:hAnsi="Arial" w:cs="Arial"/>
          <w:sz w:val="20"/>
          <w:szCs w:val="20"/>
          <w:lang w:val="en-US"/>
        </w:rPr>
        <w:t>I</w:t>
      </w:r>
      <w:r w:rsidR="004E6AA3">
        <w:rPr>
          <w:rFonts w:ascii="Arial" w:hAnsi="Arial" w:cs="Arial"/>
          <w:sz w:val="20"/>
          <w:szCs w:val="20"/>
          <w:lang w:val="en-US"/>
        </w:rPr>
        <w:t>t</w:t>
      </w:r>
      <w:r w:rsidR="000D6704">
        <w:rPr>
          <w:rFonts w:ascii="Arial" w:hAnsi="Arial" w:cs="Arial"/>
          <w:sz w:val="20"/>
          <w:szCs w:val="20"/>
          <w:lang w:val="en-US"/>
        </w:rPr>
        <w:t>’s</w:t>
      </w:r>
      <w:r w:rsidR="004E6AA3">
        <w:rPr>
          <w:rFonts w:ascii="Arial" w:hAnsi="Arial" w:cs="Arial"/>
          <w:sz w:val="20"/>
          <w:szCs w:val="20"/>
          <w:lang w:val="en-US"/>
        </w:rPr>
        <w:t xml:space="preserve"> derivatives </w:t>
      </w:r>
      <w:r w:rsidR="006B61FC">
        <w:rPr>
          <w:rFonts w:ascii="Arial" w:hAnsi="Arial" w:cs="Arial"/>
          <w:sz w:val="20"/>
          <w:szCs w:val="20"/>
          <w:lang w:val="en-US"/>
        </w:rPr>
        <w:t>and mechanistic properties in protecting against viral attack was elucidated</w:t>
      </w:r>
      <w:r w:rsidR="00B56554">
        <w:rPr>
          <w:rFonts w:ascii="Arial" w:hAnsi="Arial" w:cs="Arial"/>
          <w:sz w:val="20"/>
          <w:szCs w:val="20"/>
          <w:lang w:val="en-US"/>
        </w:rPr>
        <w:t xml:space="preserve"> </w:t>
      </w:r>
      <w:r w:rsidR="006B61FC">
        <w:rPr>
          <w:rFonts w:ascii="Arial" w:hAnsi="Arial" w:cs="Arial"/>
          <w:sz w:val="20"/>
          <w:szCs w:val="20"/>
          <w:lang w:val="en-US"/>
        </w:rPr>
        <w:fldChar w:fldCharType="begin" w:fldLock="1"/>
      </w:r>
      <w:r w:rsidR="002504BE">
        <w:rPr>
          <w:rFonts w:ascii="Arial" w:hAnsi="Arial" w:cs="Arial"/>
          <w:sz w:val="20"/>
          <w:szCs w:val="20"/>
          <w:lang w:val="en-US"/>
        </w:rPr>
        <w:instrText>ADDIN CSL_CITATION {"citationItems":[{"id":"ITEM-1","itemData":{"DOI":"10.3390/molecules26216447","ISSN":"14203049","PMID":"34770855","abstract":"In the last two years, nucleosides analogues, a class of well-established bioactive com-pounds, have been the subject of renewed interest from the scientific community thanks to their antiviral activity. The COVID-19 global pandemic, indeed, spread light on the antiviral drug Remde-sivir, an adenine C-nucleoside analogue. This new attention of the medical community on Remdesivir prompts the medicinal chemists to investigate once again C-nucleosides. One of the essential building blocks to synthetize these compounds is the D-(+)-ribono-1,4-lactone, but some mechanistic aspects linked to the use of different carbohydrate protecting groups remain unclear. Here, we present our investigations on the use of benzylidene as a ribonolactone protecting group useful in the synthesis of C-purine nucleosides analogues. A detailed 1D and 2D NMR structural study of the obtained compounds under different reaction conditions is presented. In addition, a molecular modeling study at the B3LYP/6-31G* level of theory with the SM8 solvation model for CHCl3 and DMSO to support the obtained results is used. This study allows for clarifying mechanistic aspects as the side reactions and structural rearrangements liked to the use of the benzylidene protecting group.","author":[{"dropping-particle":"","family":"Casati","given":"Silvana","non-dropping-particle":"","parse-names":false,"suffix":""},{"dropping-particle":"","family":"Rota","given":"Paola","non-dropping-particle":"","parse-names":false,"suffix":""},{"dropping-particle":"","family":"Allevi","given":"Pietro","non-dropping-particle":"","parse-names":false,"suffix":""},{"dropping-particle":"","family":"Mingione","given":"Alessandra","non-dropping-particle":"","parse-names":false,"suffix":""},{"dropping-particle":"","family":"Ottria","given":"Roberta","non-dropping-particle":"","parse-names":false,"suffix":""},{"dropping-particle":"","family":"Ciuffreda","given":"Pierangela","non-dropping-particle":"","parse-names":false,"suffix":""}],"container-title":"Molecules","id":"ITEM-1","issued":{"date-parts":[["2021","11"]]},"publisher":"MDPI","title":"Clarifying the use of benzylidene protecting group for d-(+)-ribono-1,4-lactone, an essential building block in the synthesis of c-nucleosides","type":"article-journal","volume":"26"},"uris":["http://www.mendeley.com/documents/?uuid=8e341d17-bb71-3d81-bb5a-6605071e082f"]}],"mendeley":{"formattedCitation":"(Casati et al., 2021)","plainTextFormattedCitation":"(Casati et al., 2021)","previouslyFormattedCitation":"(Casati et al., 2021)"},"properties":{"noteIndex":0},"schema":"https://github.com/citation-style-language/schema/raw/master/csl-citation.json"}</w:instrText>
      </w:r>
      <w:r w:rsidR="006B61FC">
        <w:rPr>
          <w:rFonts w:ascii="Arial" w:hAnsi="Arial" w:cs="Arial"/>
          <w:sz w:val="20"/>
          <w:szCs w:val="20"/>
          <w:lang w:val="en-US"/>
        </w:rPr>
        <w:fldChar w:fldCharType="separate"/>
      </w:r>
      <w:r w:rsidR="006B61FC" w:rsidRPr="006B61FC">
        <w:rPr>
          <w:rFonts w:ascii="Arial" w:hAnsi="Arial" w:cs="Arial"/>
          <w:noProof/>
          <w:sz w:val="20"/>
          <w:szCs w:val="20"/>
          <w:lang w:val="en-US"/>
        </w:rPr>
        <w:t>(Casati et al., 2021)</w:t>
      </w:r>
      <w:r w:rsidR="006B61FC">
        <w:rPr>
          <w:rFonts w:ascii="Arial" w:hAnsi="Arial" w:cs="Arial"/>
          <w:sz w:val="20"/>
          <w:szCs w:val="20"/>
          <w:lang w:val="en-US"/>
        </w:rPr>
        <w:fldChar w:fldCharType="end"/>
      </w:r>
      <w:r w:rsidR="006B61FC">
        <w:rPr>
          <w:rFonts w:ascii="Arial" w:hAnsi="Arial" w:cs="Arial"/>
          <w:sz w:val="20"/>
          <w:szCs w:val="20"/>
          <w:lang w:val="en-US"/>
        </w:rPr>
        <w:t xml:space="preserve"> which give room for further investigation and remodeling of the molecule. </w:t>
      </w:r>
    </w:p>
    <w:p w14:paraId="78CC71DF" w14:textId="30DE73AD" w:rsidR="003B794A" w:rsidRPr="003B794A" w:rsidRDefault="002504BE" w:rsidP="003B794A">
      <w:pPr>
        <w:jc w:val="both"/>
        <w:rPr>
          <w:rFonts w:ascii="Arial" w:hAnsi="Arial" w:cs="Arial"/>
          <w:sz w:val="20"/>
          <w:szCs w:val="20"/>
          <w:lang w:val="en-US"/>
        </w:rPr>
      </w:pPr>
      <w:r w:rsidRPr="003B794A">
        <w:rPr>
          <w:rFonts w:ascii="Arial" w:hAnsi="Arial" w:cs="Arial"/>
          <w:sz w:val="20"/>
          <w:szCs w:val="20"/>
          <w:lang w:val="en-US"/>
        </w:rPr>
        <w:t xml:space="preserve">The compound </w:t>
      </w:r>
      <w:proofErr w:type="spellStart"/>
      <w:r w:rsidRPr="003B794A">
        <w:rPr>
          <w:rFonts w:ascii="Arial" w:hAnsi="Arial" w:cs="Arial"/>
          <w:sz w:val="20"/>
          <w:szCs w:val="20"/>
          <w:lang w:val="en-US"/>
        </w:rPr>
        <w:t>Cyclohexanemethyl</w:t>
      </w:r>
      <w:proofErr w:type="spellEnd"/>
      <w:r w:rsidRPr="003B794A">
        <w:rPr>
          <w:rFonts w:ascii="Arial" w:hAnsi="Arial" w:cs="Arial"/>
          <w:sz w:val="20"/>
          <w:szCs w:val="20"/>
          <w:lang w:val="en-US"/>
        </w:rPr>
        <w:t xml:space="preserve"> propanoate identified at a retention time of 1.422 min belongs to the class of ester compounds which are known to possess antimicrobial and antioxidant properties. Ester compounds often contribute to the biological activities of medicinal plants due to their ability to interact with microbial cell membranes.</w:t>
      </w:r>
      <w:r w:rsidR="000D6704">
        <w:rPr>
          <w:rFonts w:ascii="Arial" w:hAnsi="Arial" w:cs="Arial"/>
          <w:sz w:val="20"/>
          <w:szCs w:val="20"/>
          <w:lang w:val="en-US"/>
        </w:rPr>
        <w:t xml:space="preserve"> Although </w:t>
      </w:r>
      <w:r>
        <w:rPr>
          <w:rFonts w:ascii="Arial" w:hAnsi="Arial" w:cs="Arial"/>
          <w:sz w:val="20"/>
          <w:szCs w:val="20"/>
          <w:lang w:val="en-US"/>
        </w:rPr>
        <w:t xml:space="preserve">there exist a conflicting interest about the derivates on its </w:t>
      </w:r>
      <w:proofErr w:type="spellStart"/>
      <w:r>
        <w:rPr>
          <w:rFonts w:ascii="Arial" w:hAnsi="Arial" w:cs="Arial"/>
          <w:sz w:val="20"/>
          <w:szCs w:val="20"/>
          <w:lang w:val="en-US"/>
        </w:rPr>
        <w:t>anticancerous</w:t>
      </w:r>
      <w:proofErr w:type="spellEnd"/>
      <w:r>
        <w:rPr>
          <w:rFonts w:ascii="Arial" w:hAnsi="Arial" w:cs="Arial"/>
          <w:sz w:val="20"/>
          <w:szCs w:val="20"/>
          <w:lang w:val="en-US"/>
        </w:rPr>
        <w:t xml:space="preserve"> and </w:t>
      </w:r>
      <w:proofErr w:type="spellStart"/>
      <w:r>
        <w:rPr>
          <w:rFonts w:ascii="Arial" w:hAnsi="Arial" w:cs="Arial"/>
          <w:sz w:val="20"/>
          <w:szCs w:val="20"/>
          <w:lang w:val="en-US"/>
        </w:rPr>
        <w:t>anitfugus</w:t>
      </w:r>
      <w:proofErr w:type="spellEnd"/>
      <w:r>
        <w:rPr>
          <w:rFonts w:ascii="Arial" w:hAnsi="Arial" w:cs="Arial"/>
          <w:sz w:val="20"/>
          <w:szCs w:val="20"/>
          <w:lang w:val="en-US"/>
        </w:rPr>
        <w:t xml:space="preserve"> effect</w:t>
      </w:r>
      <w:r w:rsidR="003B794A" w:rsidRPr="003B794A">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{"citationItems":[{"id":"ITEM-1","itemData":{"DOI":"10.15414/JMBFS.2019.9.1.84-87","ISSN":"13385178","abstract":"Development of resistance to antimicrobial drugs is a global health concern not only for humans but also for animals. Rate of microbial resistance to antibiotics has alarmingly increased in last two decades. Factors responsible for this ever increasing antibiotic resistance are attributed to microorganisms as well as excessive and unwise use of antimicrobial drugs. Drug efflux pumps and biofilm formation are examples of microbial factors which contribute to antimicrobial resistance. It is dire need of hour to develop new antimicrobial drugs to ameliorate this condition. New antimicrobial agents with unique mode of action should be explored. In this regard, synthetic organic compounds are target of worldwide drug development studies which are being conducted for investigating new antimicrobial drugs. Cyclohexane and its functionally substituted derivatives are important compounds with diverse biological properties. These compounds can serve as probable alternatives to antibiotics with potential antimicrobial properties. This review summarizes the experimental evidences and studies exploring antimicrobial activities of cyclohexane and its functionally substituted derivatives as probable antimicrobial agents of future.","author":[{"dropping-particle":"","family":"Shoaib","given":"Muhammad","non-dropping-particle":"","parse-names":false,"suffix":""},{"dropping-particle":"","family":"Israyilova","given":"Aygun Alimardan","non-dropping-particle":"","parse-names":false,"suffix":""},{"dropping-particle":"","family":"Ganbarov","given":"Khudaverdi","non-dropping-particle":"","parse-names":false,"suffix":""}],"container-title":"Journal of Microbiology, Biotechnology and Food Sciences","id":"ITEM-1","issued":{"date-parts":[["2019"]]},"page":"84-87","publisher":"Slovak University of Agriculture","title":"Cyclohexane And Its Functionally Substituted Derivatives: Important Class Of Organic Compounds With Potential Antimicrobial Activities","type":"article-journal","volume":"9"},"uris":["http://www.mendeley.com/documents/?uuid=48bebb73-7024-35fd-9369-dce6f2b35005"]}],"mendeley":{"formattedCitation":"(Shoaib et al., 2019)","plainTextFormattedCitation":"(Shoaib et al., 2019)","previouslyFormattedCitation":"(Shoaib et al., 2019)"},"properties":{"noteIndex":0},"schema":"https://github.com/citation-style-language/schema/raw/master/csl-citation.json"}</w:instrText>
      </w:r>
      <w:r>
        <w:rPr>
          <w:rFonts w:ascii="Arial" w:hAnsi="Arial" w:cs="Arial"/>
          <w:sz w:val="20"/>
          <w:szCs w:val="20"/>
          <w:lang w:val="en-US"/>
        </w:rPr>
        <w:fldChar w:fldCharType="separate"/>
      </w:r>
      <w:r w:rsidRPr="002504BE">
        <w:rPr>
          <w:rFonts w:ascii="Arial" w:hAnsi="Arial" w:cs="Arial"/>
          <w:noProof/>
          <w:sz w:val="20"/>
          <w:szCs w:val="20"/>
          <w:lang w:val="en-US"/>
        </w:rPr>
        <w:t>(Shoaib et al., 2019)</w:t>
      </w:r>
      <w:r>
        <w:rPr>
          <w:rFonts w:ascii="Arial" w:hAnsi="Arial" w:cs="Arial"/>
          <w:sz w:val="20"/>
          <w:szCs w:val="20"/>
          <w:lang w:val="en-US"/>
        </w:rPr>
        <w:fldChar w:fldCharType="end"/>
      </w:r>
      <w:r>
        <w:rPr>
          <w:rFonts w:ascii="Arial" w:hAnsi="Arial" w:cs="Arial"/>
          <w:sz w:val="20"/>
          <w:szCs w:val="20"/>
          <w:lang w:val="en-US"/>
        </w:rPr>
        <w:t>,</w:t>
      </w:r>
      <w:r w:rsidRPr="002504BE">
        <w:rPr>
          <w:rFonts w:ascii="Arial" w:hAnsi="Arial" w:cs="Arial"/>
          <w:sz w:val="20"/>
          <w:szCs w:val="20"/>
          <w:lang w:val="en-US"/>
        </w:rPr>
        <w:t xml:space="preserve"> </w:t>
      </w:r>
      <w:r>
        <w:rPr>
          <w:rFonts w:ascii="Arial" w:hAnsi="Arial" w:cs="Arial"/>
          <w:sz w:val="20"/>
          <w:szCs w:val="20"/>
          <w:lang w:val="en-US"/>
        </w:rPr>
        <w:t>at higher do</w:t>
      </w:r>
      <w:r w:rsidR="006746B2">
        <w:rPr>
          <w:rFonts w:ascii="Arial" w:hAnsi="Arial" w:cs="Arial"/>
          <w:sz w:val="20"/>
          <w:szCs w:val="20"/>
          <w:lang w:val="en-US"/>
        </w:rPr>
        <w:t>se</w:t>
      </w:r>
      <w:r>
        <w:rPr>
          <w:rFonts w:ascii="Arial" w:hAnsi="Arial" w:cs="Arial"/>
          <w:sz w:val="20"/>
          <w:szCs w:val="20"/>
          <w:lang w:val="en-US"/>
        </w:rPr>
        <w:t xml:space="preserve">s it causes death </w:t>
      </w:r>
      <w:r>
        <w:rPr>
          <w:rFonts w:ascii="Arial" w:hAnsi="Arial" w:cs="Arial"/>
          <w:sz w:val="20"/>
          <w:szCs w:val="20"/>
          <w:lang w:val="en-US"/>
        </w:rPr>
        <w:fldChar w:fldCharType="begin" w:fldLock="1"/>
      </w:r>
      <w:r w:rsidR="00B56554">
        <w:rPr>
          <w:rFonts w:ascii="Arial" w:hAnsi="Arial" w:cs="Arial"/>
          <w:sz w:val="20"/>
          <w:szCs w:val="20"/>
          <w:lang w:val="en-US"/>
        </w:rPr>
        <w:instrText>ADDIN CSL_CITATION {"citationItems":[{"id":"ITEM-1","itemData":{"DOI":"10.5491/SHAW.2011.2.3.290","ISSN":"2093-7997","PMID":"22953213","abstract":"OBJECTIVES There is limited data regarding the toxicity of methylcyclohexane, despite its wide use in rubber adhesives, paint diluents, and cleansing agents. This study aimed to verify the toxicity and influence on the reproductive system of methylcyclohexane after its repeated injection in Sprague Dawley (SD) rats. METHODS Methylcyclohexane was injected subcutaneously into male and female SD rats once a day, five times a week, for 13 weeks at different doses (0, 10, 100, and 1,000 mg/kg/day) for each group. The toxicity of testing material was verified by observing the change in body and organ weight, hematological change, pathological findings, and effect on the reproductive system at each different concentration. RESULTS In the 1,000 mg/kg/day group, there were cases of animal deaths. In animals that survived, hematological changes, including a decrease in the red blood cell count, were observed. A considerable weight gain or loss and pathological abnormalities in the liver, kidney, and other organs were found. However, the 10 and 100 mg/kg/day groups did not cause deaths or other specific abnormalities. In terms of reproductive toxicity, there were changes in hormone levels, including a significant decrease in hormones such as estradiol and progesterone (p &lt; 0.001) in male animals. Menstrual cycle change for female animals did not show concentration dependency. CONCLUSION When injected repeatedly for 13 weeks, methylcyclohexane proved to be toxic for the liver, heart, and kidney at a high dose. The absolute toxic dose was 1,000 mg/kg/day, while the no observed adverse effect level was less than 100 mg/kg/day. The substance exerted little influence on the reproductive system.","author":[{"dropping-particle":"","family":"Kim","given":"Hyeon-Yeong","non-dropping-particle":"","parse-names":false,"suffix":""},{"dropping-particle":"","family":"Kang","given":"Min-Gu","non-dropping-particle":"","parse-names":false,"suffix":""},{"dropping-particle":"","family":"Kim","given":"Tae-Gyun","non-dropping-particle":"","parse-names":false,"suffix":""},{"dropping-particle":"","family":"Kang","given":"Chung-Won","non-dropping-particle":"","parse-names":false,"suffix":""}],"container-title":"Safety and health at work","id":"ITEM-1","issued":{"date-parts":[["2011","9"]]},"page":"290-300","title":"Toxicity of Methylcyclohexane and Its Effect on the Reproductive System in SD Rats.","type":"article-journal","volume":"2"},"uris":["http://www.mendeley.com/documents/?uuid=84061946-0248-3c01-a515-866ba34fa9b5"]}],"mendeley":{"formattedCitation":"(Kim et al., 2011)","plainTextFormattedCitation":"(Kim et al., 2011)","previouslyFormattedCitation":"(Kim et al., 2011)"},"properties":{"noteIndex":0},"schema":"https://github.com/citation-style-language/schema/raw/master/csl-citation.json"}</w:instrText>
      </w:r>
      <w:r>
        <w:rPr>
          <w:rFonts w:ascii="Arial" w:hAnsi="Arial" w:cs="Arial"/>
          <w:sz w:val="20"/>
          <w:szCs w:val="20"/>
          <w:lang w:val="en-US"/>
        </w:rPr>
        <w:fldChar w:fldCharType="separate"/>
      </w:r>
      <w:r w:rsidRPr="002504BE">
        <w:rPr>
          <w:rFonts w:ascii="Arial" w:hAnsi="Arial" w:cs="Arial"/>
          <w:noProof/>
          <w:sz w:val="20"/>
          <w:szCs w:val="20"/>
          <w:lang w:val="en-US"/>
        </w:rPr>
        <w:t>(Kim et al., 2011)</w:t>
      </w:r>
      <w:r>
        <w:rPr>
          <w:rFonts w:ascii="Arial" w:hAnsi="Arial" w:cs="Arial"/>
          <w:sz w:val="20"/>
          <w:szCs w:val="20"/>
          <w:lang w:val="en-US"/>
        </w:rPr>
        <w:fldChar w:fldCharType="end"/>
      </w:r>
      <w:r>
        <w:rPr>
          <w:rFonts w:ascii="Arial" w:hAnsi="Arial" w:cs="Arial"/>
          <w:sz w:val="20"/>
          <w:szCs w:val="20"/>
          <w:lang w:val="en-US"/>
        </w:rPr>
        <w:t>. Th</w:t>
      </w:r>
      <w:r w:rsidR="00B56554">
        <w:rPr>
          <w:rFonts w:ascii="Arial" w:hAnsi="Arial" w:cs="Arial"/>
          <w:sz w:val="20"/>
          <w:szCs w:val="20"/>
          <w:lang w:val="en-US"/>
        </w:rPr>
        <w:t>ese could be solvent type but</w:t>
      </w:r>
      <w:r>
        <w:rPr>
          <w:rFonts w:ascii="Arial" w:hAnsi="Arial" w:cs="Arial"/>
          <w:sz w:val="20"/>
          <w:szCs w:val="20"/>
          <w:lang w:val="en-US"/>
        </w:rPr>
        <w:t xml:space="preserve"> suggest further studies</w:t>
      </w:r>
      <w:r w:rsidR="00B56554">
        <w:rPr>
          <w:rFonts w:ascii="Arial" w:hAnsi="Arial" w:cs="Arial"/>
          <w:sz w:val="20"/>
          <w:szCs w:val="20"/>
          <w:lang w:val="en-US"/>
        </w:rPr>
        <w:t xml:space="preserve"> on what attributes to its toxicity of these derivates</w:t>
      </w:r>
      <w:r w:rsidR="003B794A" w:rsidRPr="003B794A">
        <w:rPr>
          <w:rFonts w:ascii="Arial" w:hAnsi="Arial" w:cs="Arial"/>
          <w:sz w:val="20"/>
          <w:szCs w:val="20"/>
          <w:lang w:val="en-US"/>
        </w:rPr>
        <w:t>.</w:t>
      </w:r>
    </w:p>
    <w:p w14:paraId="56397AC3" w14:textId="77777777"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The compound </w:t>
      </w:r>
      <w:proofErr w:type="spellStart"/>
      <w:r w:rsidRPr="003B794A">
        <w:rPr>
          <w:rFonts w:ascii="Arial" w:hAnsi="Arial" w:cs="Arial"/>
          <w:sz w:val="20"/>
          <w:szCs w:val="20"/>
          <w:lang w:val="en-US"/>
        </w:rPr>
        <w:t>Hexadecanoic</w:t>
      </w:r>
      <w:proofErr w:type="spellEnd"/>
      <w:r w:rsidRPr="003B794A">
        <w:rPr>
          <w:rFonts w:ascii="Arial" w:hAnsi="Arial" w:cs="Arial"/>
          <w:sz w:val="20"/>
          <w:szCs w:val="20"/>
          <w:lang w:val="en-US"/>
        </w:rPr>
        <w:t xml:space="preserve"> acid methyl ester (methyl palmitate) belongs to the fatty acid methyl ester group. Fatty acid derivatives such as methyl palmitate are widely reported in medicinal plant extracts and are known for their antimicrobial, antioxidant, and anti-inflammatory activities. These compounds may also contribute to membrane stabilization and metabolic regulation.</w:t>
      </w:r>
      <w:r w:rsidR="00A319F4">
        <w:rPr>
          <w:rFonts w:ascii="Arial" w:hAnsi="Arial" w:cs="Arial"/>
          <w:sz w:val="20"/>
          <w:szCs w:val="20"/>
          <w:lang w:val="en-US"/>
        </w:rPr>
        <w:t xml:space="preserve"> A report by </w:t>
      </w:r>
      <w:r w:rsidR="00A319F4">
        <w:rPr>
          <w:rFonts w:ascii="Arial" w:hAnsi="Arial" w:cs="Arial"/>
          <w:sz w:val="20"/>
          <w:szCs w:val="20"/>
          <w:lang w:val="en-US"/>
        </w:rPr>
        <w:fldChar w:fldCharType="begin" w:fldLock="1"/>
      </w:r>
      <w:r w:rsidR="00887872">
        <w:rPr>
          <w:rFonts w:ascii="Arial" w:hAnsi="Arial" w:cs="Arial"/>
          <w:sz w:val="20"/>
          <w:szCs w:val="20"/>
          <w:lang w:val="en-US"/>
        </w:rPr>
        <w:instrText>ADDIN CSL_CITATION {"citationItems":[{"id":"ITEM-1","itemData":{"DOI":"10.1515/biol-2022-0962","ISSN":"2391-5412","PMID":"39247796","abstract":"The research into the use of plants as plentiful reservoirs of bioactive chemicals shows significant potential for agricultural uses. This study focused on analyzing the chemical composition and potency of an ethanolic extract obtained from the aerial parts (leaves and stems) of Salsola kali against potato pathogenic fungal and bacterial pathogens. The isolated fungal isolates were unequivocally identified as Fusarium oxysporum and Rhizoctonia solani based on morphological characteristics and internal transcribed spacer genetic sequencing data. The antifungal activity of the extract revealed good inhibition efficacy against R. solani (60.4%) and weak activity against F. oxysporum (11.1%) at a concentration of 5,000 µg/mL. The S. kali extract exhibited strong antibacterial activity, as evidenced by the significant inhibition zone diameter (mm) observed in all three strains of bacteria that were tested: Pectobacterium carotovorum (13.33), Pectobacterium atrosepticum (9.00), and Ralstonia solanacearum (9.33), at a concentration of 10,000 µg/mL. High-performance liquid chromatography analysis revealed the presence of several polyphenolic compounds (μg/g), with gallic acid (2942.8), caffeic acid (2110.2), cinnamic acid (1943.1), and chlorogenic acid (858.4) being the predominant ones. Quercetin and hesperetin were the predominant flavonoid components, with concentrations of 1110.3 and 1059.3 μg/g, respectively. Gas chromatography-mass spectrometry analysis revealed the presence of many bioactive compounds, such as saturated and unsaturated fatty acids, diterpenes, and phytosterols. The most abundant compound detected was n-hexadecanoic acid, which accounted for 28.1%. The results emphasize the potential of S. kali extract as a valuable source of bioactive substances that possess good antifungal and antibacterial effects, which highlights its potential for many agricultural uses.","author":[{"dropping-particle":"","family":"Bashir","given":"Shimaa","non-dropping-particle":"","parse-names":false,"suffix":""},{"dropping-particle":"","family":"Behiry","given":"Said","non-dropping-particle":"","parse-names":false,"suffix":""},{"dropping-particle":"","family":"Al-Askar","given":"Abdulaziz A","non-dropping-particle":"","parse-names":false,"suffix":""},{"dropping-particle":"","family":"Kowalczewski","given":"Przemysław Łukasz","non-dropping-particle":"","parse-names":false,"suffix":""},{"dropping-particle":"","family":"Emaish","given":"Haitham H","non-dropping-particle":"","parse-names":false,"suffix":""},{"dropping-particle":"","family":"Abdelkhalek","given":"Ahmed","non-dropping-particle":"","parse-names":false,"suffix":""}],"container-title":"Open life sciences","id":"ITEM-1","issued":{"date-parts":[["2024"]]},"page":"20220962","title":"Antibacterial, antifungal, and phytochemical properties of Salsola kali ethanolic extract.","type":"article-journal","volume":"19"},"uris":["http://www.mendeley.com/documents/?uuid=e776dc14-2df1-3d2b-af15-83f8e3fe4f7e"]}],"mendeley":{"formattedCitation":"(Bashir et al., 2024)","manualFormatting":"Bashir et al., (2024)","plainTextFormattedCitation":"(Bashir et al., 2024)","previouslyFormattedCitation":"(Bashir et al., 2024)"},"properties":{"noteIndex":0},"schema":"https://github.com/citation-style-language/schema/raw/master/csl-citation.json"}</w:instrText>
      </w:r>
      <w:r w:rsidR="00A319F4">
        <w:rPr>
          <w:rFonts w:ascii="Arial" w:hAnsi="Arial" w:cs="Arial"/>
          <w:sz w:val="20"/>
          <w:szCs w:val="20"/>
          <w:lang w:val="en-US"/>
        </w:rPr>
        <w:fldChar w:fldCharType="separate"/>
      </w:r>
      <w:r w:rsidR="00A319F4" w:rsidRPr="00A319F4">
        <w:rPr>
          <w:rFonts w:ascii="Arial" w:hAnsi="Arial" w:cs="Arial"/>
          <w:noProof/>
          <w:sz w:val="20"/>
          <w:szCs w:val="20"/>
          <w:lang w:val="en-US"/>
        </w:rPr>
        <w:t xml:space="preserve">Bashir et al., </w:t>
      </w:r>
      <w:r w:rsidR="00887872">
        <w:rPr>
          <w:rFonts w:ascii="Arial" w:hAnsi="Arial" w:cs="Arial"/>
          <w:noProof/>
          <w:sz w:val="20"/>
          <w:szCs w:val="20"/>
          <w:lang w:val="en-US"/>
        </w:rPr>
        <w:t>(</w:t>
      </w:r>
      <w:r w:rsidR="00A319F4" w:rsidRPr="00A319F4">
        <w:rPr>
          <w:rFonts w:ascii="Arial" w:hAnsi="Arial" w:cs="Arial"/>
          <w:noProof/>
          <w:sz w:val="20"/>
          <w:szCs w:val="20"/>
          <w:lang w:val="en-US"/>
        </w:rPr>
        <w:t>2024)</w:t>
      </w:r>
      <w:r w:rsidR="00A319F4">
        <w:rPr>
          <w:rFonts w:ascii="Arial" w:hAnsi="Arial" w:cs="Arial"/>
          <w:sz w:val="20"/>
          <w:szCs w:val="20"/>
          <w:lang w:val="en-US"/>
        </w:rPr>
        <w:fldChar w:fldCharType="end"/>
      </w:r>
      <w:r w:rsidR="00A319F4">
        <w:rPr>
          <w:rFonts w:ascii="Arial" w:hAnsi="Arial" w:cs="Arial"/>
          <w:sz w:val="20"/>
          <w:szCs w:val="20"/>
          <w:lang w:val="en-US"/>
        </w:rPr>
        <w:t xml:space="preserve"> showed that </w:t>
      </w:r>
      <w:r w:rsidR="00A319F4" w:rsidRPr="00903532">
        <w:rPr>
          <w:rFonts w:ascii="Arial" w:hAnsi="Arial" w:cs="Arial"/>
          <w:i/>
          <w:sz w:val="20"/>
          <w:szCs w:val="20"/>
          <w:lang w:val="en-US"/>
        </w:rPr>
        <w:t xml:space="preserve">Fusarium </w:t>
      </w:r>
      <w:proofErr w:type="spellStart"/>
      <w:r w:rsidR="00A319F4" w:rsidRPr="00903532">
        <w:rPr>
          <w:rFonts w:ascii="Arial" w:hAnsi="Arial" w:cs="Arial"/>
          <w:i/>
          <w:sz w:val="20"/>
          <w:szCs w:val="20"/>
          <w:lang w:val="en-US"/>
        </w:rPr>
        <w:t>oxysporum</w:t>
      </w:r>
      <w:proofErr w:type="spellEnd"/>
      <w:r w:rsidR="00A319F4" w:rsidRPr="00903532">
        <w:rPr>
          <w:rFonts w:ascii="Arial" w:hAnsi="Arial" w:cs="Arial"/>
          <w:i/>
          <w:sz w:val="20"/>
          <w:szCs w:val="20"/>
          <w:lang w:val="en-US"/>
        </w:rPr>
        <w:t xml:space="preserve"> and </w:t>
      </w:r>
      <w:proofErr w:type="spellStart"/>
      <w:r w:rsidR="00A319F4" w:rsidRPr="00903532">
        <w:rPr>
          <w:rFonts w:ascii="Arial" w:hAnsi="Arial" w:cs="Arial"/>
          <w:i/>
          <w:sz w:val="20"/>
          <w:szCs w:val="20"/>
          <w:lang w:val="en-US"/>
        </w:rPr>
        <w:t>Rhizoctonia</w:t>
      </w:r>
      <w:proofErr w:type="spellEnd"/>
      <w:r w:rsidR="00A319F4" w:rsidRPr="00903532">
        <w:rPr>
          <w:rFonts w:ascii="Arial" w:hAnsi="Arial" w:cs="Arial"/>
          <w:i/>
          <w:sz w:val="20"/>
          <w:szCs w:val="20"/>
          <w:lang w:val="en-US"/>
        </w:rPr>
        <w:t xml:space="preserve"> </w:t>
      </w:r>
      <w:proofErr w:type="spellStart"/>
      <w:r w:rsidR="00A319F4" w:rsidRPr="00903532">
        <w:rPr>
          <w:rFonts w:ascii="Arial" w:hAnsi="Arial" w:cs="Arial"/>
          <w:i/>
          <w:sz w:val="20"/>
          <w:szCs w:val="20"/>
          <w:lang w:val="en-US"/>
        </w:rPr>
        <w:t>solani</w:t>
      </w:r>
      <w:proofErr w:type="spellEnd"/>
      <w:r w:rsidR="00A319F4">
        <w:rPr>
          <w:rFonts w:ascii="Arial" w:hAnsi="Arial" w:cs="Arial"/>
          <w:sz w:val="20"/>
          <w:szCs w:val="20"/>
          <w:lang w:val="en-US"/>
        </w:rPr>
        <w:t xml:space="preserve"> inhibition of activity by 60.1% and was also very active in inhibiting the activity of other </w:t>
      </w:r>
      <w:r w:rsidR="00887872">
        <w:rPr>
          <w:rFonts w:ascii="Arial" w:hAnsi="Arial" w:cs="Arial"/>
          <w:sz w:val="20"/>
          <w:szCs w:val="20"/>
          <w:lang w:val="en-US"/>
        </w:rPr>
        <w:t xml:space="preserve">bacterial organisms. This study is similar to </w:t>
      </w:r>
      <w:r w:rsidR="00887872">
        <w:rPr>
          <w:rFonts w:ascii="Arial" w:hAnsi="Arial" w:cs="Arial"/>
          <w:sz w:val="20"/>
          <w:szCs w:val="20"/>
          <w:lang w:val="en-US"/>
        </w:rPr>
        <w:fldChar w:fldCharType="begin" w:fldLock="1"/>
      </w:r>
      <w:r w:rsidR="00E32DFC">
        <w:rPr>
          <w:rFonts w:ascii="Arial" w:hAnsi="Arial" w:cs="Arial"/>
          <w:sz w:val="20"/>
          <w:szCs w:val="20"/>
          <w:lang w:val="en-US"/>
        </w:rPr>
        <w:instrText>ADDIN CSL_CITATION {"citationItems":[{"id":"ITEM-1","itemData":{"DOI":"10.3390/plants12030560","ISSN":"22237747","abstract":"The inflammatory process, although beneficial, can produce tissue damage and systemic damage when uncontrolled. Effective therapeutic alternatives with little or no side effects are of great therapeutic interest. This study aimed to determine the phytochemical composition of bark extracts from J. cordata, an endemic plant from México, and evaluate their in vitro anti-inflammatory activity. Hexane, ethyl acetate, and methanol extracts were characterized by qualitative phytochemical tests, and their bioactive groups were identified by 1H NMR and gas chromatography coupled to mass spectrometry (GC–MS). The extract’s anti-inflammatory activity was evaluated as nitric oxide (NO) production and their cytotoxicity by an MTS cell proliferation assay in lipopolysaccharide (LPS)-activated RAW 264.7 cells at concentrations of 1–100 μg/mL. The hexane extract contained fatty acids, fatty esters, phytosterols, alkanes, vitamin E, and terpenoids; the ethyl acetate extract showed fatty acids, fatty esters, aromatic aldehyde, phytosterols, vitamin E, and terpenoids, while the methanolic extract showed fatty esters, fatty acid, aromatics aldehydes, and alcohol. The ethyl acetate extract showed the highest inhibition of NO production, followed by the methanolic extract and the hexane extract, without affecting the viability of RAW 264.7 macrophage cells. The results suggest that J. cordata extracts are a potential source of bioactive compounds with anti-inflammatory potential.","author":[{"dropping-particle":"","family":"Jiménez-Nevárez","given":"Yazmín B.","non-dropping-particle":"","parse-names":false,"suffix":""},{"dropping-particle":"","family":"Angulo-Escalante","given":"Miguel Angel","non-dropping-particle":"","parse-names":false,"suffix":""},{"dropping-particle":"","family":"Montes-Avila","given":"Julio","non-dropping-particle":"","parse-names":false,"suffix":""},{"dropping-particle":"","family":"Guerrero-Alonso","given":"Araceli","non-dropping-particle":"","parse-names":false,"suffix":""},{"dropping-particle":"","family":"Christen","given":"Judith González","non-dropping-particle":"","parse-names":false,"suffix":""},{"dropping-particle":"","family":"Hurtado-Díaz","given":"Israel","non-dropping-particle":"","parse-names":false,"suffix":""},{"dropping-particle":"","family":"Heredia","given":"J. Basilio","non-dropping-particle":"","parse-names":false,"suffix":""},{"dropping-particle":"","family":"Quintana-Obregón","given":"Eber Addí","non-dropping-particle":"","parse-names":false,"suffix":""},{"dropping-particle":"","family":"Alvarez","given":"Laura","non-dropping-particle":"","parse-names":false,"suffix":""}],"container-title":"Plants","id":"ITEM-1","issued":{"date-parts":[["2023","2"]]},"publisher":"MDPI","title":"Phytochemical Characterization and In Vitro Anti-Inflammatory Evaluation in RAW 264.7 Cells of Jatropha cordata Bark Extracts","type":"article-journal","volume":"12"},"uris":["http://www.mendeley.com/documents/?uuid=ec2ad68d-91c1-3a45-90f2-3ddc0b33dc35"]}],"mendeley":{"formattedCitation":"(Jiménez-Nevárez et al., 2023)","plainTextFormattedCitation":"(Jiménez-Nevárez et al., 2023)","previouslyFormattedCitation":"(Jiménez-Nevárez et al., 2023)"},"properties":{"noteIndex":0},"schema":"https://github.com/citation-style-language/schema/raw/master/csl-citation.json"}</w:instrText>
      </w:r>
      <w:r w:rsidR="00887872">
        <w:rPr>
          <w:rFonts w:ascii="Arial" w:hAnsi="Arial" w:cs="Arial"/>
          <w:sz w:val="20"/>
          <w:szCs w:val="20"/>
          <w:lang w:val="en-US"/>
        </w:rPr>
        <w:fldChar w:fldCharType="separate"/>
      </w:r>
      <w:r w:rsidR="00887872" w:rsidRPr="00887872">
        <w:rPr>
          <w:rFonts w:ascii="Arial" w:hAnsi="Arial" w:cs="Arial"/>
          <w:noProof/>
          <w:sz w:val="20"/>
          <w:szCs w:val="20"/>
          <w:lang w:val="en-US"/>
        </w:rPr>
        <w:t>(Jiménez-</w:t>
      </w:r>
      <w:r w:rsidR="00887872" w:rsidRPr="00887872">
        <w:rPr>
          <w:rFonts w:ascii="Arial" w:hAnsi="Arial" w:cs="Arial"/>
          <w:noProof/>
          <w:sz w:val="20"/>
          <w:szCs w:val="20"/>
          <w:lang w:val="en-US"/>
        </w:rPr>
        <w:lastRenderedPageBreak/>
        <w:t>Nevárez et al., 2023)</w:t>
      </w:r>
      <w:r w:rsidR="00887872">
        <w:rPr>
          <w:rFonts w:ascii="Arial" w:hAnsi="Arial" w:cs="Arial"/>
          <w:sz w:val="20"/>
          <w:szCs w:val="20"/>
          <w:lang w:val="en-US"/>
        </w:rPr>
        <w:fldChar w:fldCharType="end"/>
      </w:r>
      <w:r w:rsidR="00887872">
        <w:rPr>
          <w:rFonts w:ascii="Arial" w:hAnsi="Arial" w:cs="Arial"/>
          <w:sz w:val="20"/>
          <w:szCs w:val="20"/>
          <w:lang w:val="en-US"/>
        </w:rPr>
        <w:t xml:space="preserve"> but confirming the its ability to inhibit the production of the NO pathway in ubiquitous organisms.</w:t>
      </w:r>
      <w:r w:rsidR="00903532">
        <w:rPr>
          <w:rFonts w:ascii="Arial" w:hAnsi="Arial" w:cs="Arial"/>
          <w:sz w:val="20"/>
          <w:szCs w:val="20"/>
          <w:lang w:val="en-US"/>
        </w:rPr>
        <w:t xml:space="preserve"> Also simil</w:t>
      </w:r>
      <w:r w:rsidR="00F47CFD">
        <w:rPr>
          <w:rFonts w:ascii="Arial" w:hAnsi="Arial" w:cs="Arial"/>
          <w:sz w:val="20"/>
          <w:szCs w:val="20"/>
          <w:lang w:val="en-US"/>
        </w:rPr>
        <w:t>arly</w:t>
      </w:r>
      <w:r w:rsidR="00903532">
        <w:rPr>
          <w:rFonts w:ascii="Arial" w:hAnsi="Arial" w:cs="Arial"/>
          <w:sz w:val="20"/>
          <w:szCs w:val="20"/>
          <w:lang w:val="en-US"/>
        </w:rPr>
        <w:t>,</w:t>
      </w:r>
      <w:r w:rsidR="00903532" w:rsidRPr="00903532">
        <w:t xml:space="preserve"> </w:t>
      </w:r>
      <w:proofErr w:type="spellStart"/>
      <w:r w:rsidR="00903532" w:rsidRPr="00903532">
        <w:rPr>
          <w:rFonts w:ascii="Arial" w:hAnsi="Arial" w:cs="Arial"/>
          <w:sz w:val="20"/>
          <w:szCs w:val="20"/>
          <w:lang w:val="en-US"/>
        </w:rPr>
        <w:t>Hexadecanoic</w:t>
      </w:r>
      <w:proofErr w:type="spellEnd"/>
      <w:r w:rsidR="00903532" w:rsidRPr="00903532">
        <w:rPr>
          <w:rFonts w:ascii="Arial" w:hAnsi="Arial" w:cs="Arial"/>
          <w:sz w:val="20"/>
          <w:szCs w:val="20"/>
          <w:lang w:val="en-US"/>
        </w:rPr>
        <w:t xml:space="preserve"> acid methyl ester detected in the current study has also been reported in Catharanthus ovalis leaf extract</w:t>
      </w:r>
      <w:r w:rsidR="00F47CFD">
        <w:rPr>
          <w:rFonts w:ascii="Arial" w:hAnsi="Arial" w:cs="Arial"/>
          <w:sz w:val="20"/>
          <w:szCs w:val="20"/>
          <w:lang w:val="en-US"/>
        </w:rPr>
        <w:fldChar w:fldCharType="begin" w:fldLock="1"/>
      </w:r>
      <w:r w:rsidR="00F47CFD">
        <w:rPr>
          <w:rFonts w:ascii="Arial" w:hAnsi="Arial" w:cs="Arial"/>
          <w:sz w:val="20"/>
          <w:szCs w:val="20"/>
          <w:lang w:val="en-US"/>
        </w:rPr>
        <w:instrText>ADDIN CSL_CITATION {"citationItems":[{"id":"ITEM-1","itemData":{"DOI":"10.3389/fphar.2024.1347069","ISSN":"16639812","abstract":"Introduction: Natural plant-based medicines have gained popularity recently as a major source of inventive, risk-free, and more potent secondary bioactive compounds with medicinal potential. Catharanthus ovalis is a perennial shrub containing various indole alkaloids cultivated extensively for local medical purposes. Methods: This research is conducted to identify the phytocompounds present in the leaves of C. ovalis and its central and peripheral analgesic, thrombolytic, and membrane-stabilizing activities through tail immersion, acetic acid-induced writhing, human blood clot lysis, and erythrocyte lysis by heat and hypotonic solution methods, respectively. Results and discussion: A total of 39 compounds were identified using GC–MS/MS techniques, including hexadecanoic acid, methyl ester (56.749%), methyl stearate (29.782%), carvacrol and its TBDMS derivative (12.586%), and 9-octadecenoic acid, methyl ester, (E)-] (9.297%) presented in high quantity. The highest tail immersion latency was observed for the 600 mg/kg extract of C. ovalis crude extract. Both 400 and 600 mg/kg doses of C. ovalis crude extract exhibited prominent peripheral analgesic activity. The maximum thrombolytic effect was observed by DCM soluble fraction extract by inhibiting 54.87% of the clot. However, the aqueous-soluble fraction of this extract manifested an excellent membrane-stabilizing effect by showing 73.98% and 87.51% hemolysis against heat- and hypotonic-induced hemolysis, respectively. Some of the compounds were identified as active agents against different receptors related to these diseases, which supported the findings of in vitro and in vivo tests. Conclusion: Further investigation needs to be conducted to specify and identify the exact mechanism of action of these compounds.","author":[{"dropping-particle":"","family":"Shahriar","given":"Saimon","non-dropping-particle":"","parse-names":false,"suffix":""},{"dropping-particle":"","family":"Shermin","given":"Samia Akter","non-dropping-particle":"","parse-names":false,"suffix":""},{"dropping-particle":"","family":"Hasnat","given":"Hasin","non-dropping-particle":"","parse-names":false,"suffix":""},{"dropping-particle":"","family":"Hossain","given":"Faisal","non-dropping-particle":"","parse-names":false,"suffix":""},{"dropping-particle":"","family":"Han","given":"Aixia","non-dropping-particle":"","parse-names":false,"suffix":""},{"dropping-particle":"","family":"Geng","given":"Peiwu","non-dropping-particle":"","parse-names":false,"suffix":""},{"dropping-particle":"","family":"Alam","given":"Safaet","non-dropping-particle":"","parse-names":false,"suffix":""},{"dropping-particle":"Al","family":"Mamun","given":"Abdullah","non-dropping-particle":"","parse-names":false,"suffix":""}],"container-title":"Frontiers in Pharmacology","id":"ITEM-1","issued":{"date-parts":[["2024"]]},"publisher":"Frontiers Media SA","title":"Chemico-pharmacological evaluation of the methanolic leaf extract of Catharanthus ovalis: GC–MS/MS, in vivo, in vitro, and in silico approaches","type":"article-journal","volume":"15"},"uris":["http://www.mendeley.com/documents/?uuid=dd157cdf-dd26-3316-94e9-d8a894e79c6a"]}],"mendeley":{"formattedCitation":"(Shahriar et al., 2024)","plainTextFormattedCitation":"(Shahriar et al., 2024)","previouslyFormattedCitation":"(Shahriar et al., 2024)"},"properties":{"noteIndex":0},"schema":"https://github.com/citation-style-language/schema/raw/master/csl-citation.json"}</w:instrText>
      </w:r>
      <w:r w:rsidR="00F47CFD">
        <w:rPr>
          <w:rFonts w:ascii="Arial" w:hAnsi="Arial" w:cs="Arial"/>
          <w:sz w:val="20"/>
          <w:szCs w:val="20"/>
          <w:lang w:val="en-US"/>
        </w:rPr>
        <w:fldChar w:fldCharType="separate"/>
      </w:r>
      <w:r w:rsidR="00F47CFD" w:rsidRPr="00F47CFD">
        <w:rPr>
          <w:rFonts w:ascii="Arial" w:hAnsi="Arial" w:cs="Arial"/>
          <w:noProof/>
          <w:sz w:val="20"/>
          <w:szCs w:val="20"/>
          <w:lang w:val="en-US"/>
        </w:rPr>
        <w:t>(Shahriar et al., 2024)</w:t>
      </w:r>
      <w:r w:rsidR="00F47CFD">
        <w:rPr>
          <w:rFonts w:ascii="Arial" w:hAnsi="Arial" w:cs="Arial"/>
          <w:sz w:val="20"/>
          <w:szCs w:val="20"/>
          <w:lang w:val="en-US"/>
        </w:rPr>
        <w:fldChar w:fldCharType="end"/>
      </w:r>
      <w:r w:rsidR="00F47CFD">
        <w:rPr>
          <w:rFonts w:ascii="Arial" w:hAnsi="Arial" w:cs="Arial"/>
          <w:sz w:val="20"/>
          <w:szCs w:val="20"/>
          <w:lang w:val="en-US"/>
        </w:rPr>
        <w:t>.</w:t>
      </w:r>
    </w:p>
    <w:p w14:paraId="76276354" w14:textId="4E19099D" w:rsidR="003B794A" w:rsidRPr="00E32DFC" w:rsidRDefault="003B794A" w:rsidP="003B794A">
      <w:pPr>
        <w:jc w:val="both"/>
        <w:rPr>
          <w:rFonts w:ascii="Arial" w:hAnsi="Arial" w:cs="Arial"/>
          <w:sz w:val="20"/>
          <w:szCs w:val="20"/>
          <w:lang w:val="en-US"/>
        </w:rPr>
      </w:pPr>
      <w:r w:rsidRPr="003B794A">
        <w:rPr>
          <w:rFonts w:ascii="Arial" w:hAnsi="Arial" w:cs="Arial"/>
          <w:sz w:val="20"/>
          <w:szCs w:val="20"/>
          <w:lang w:val="en-US"/>
        </w:rPr>
        <w:t>Terpenoid compounds were also identified in the extract, including 1,3,8-p-Menthatriene and 6-(3-Methyl-3-cyclohexenyl)-2-methyl-2,6-heptadienol, which are commonly found in essential oils and plant secondary metabolites. Terpenoids are well known for their pharmacological properties such as antibacterial, antiviral, antifungal, and anti-inflammatory effects.</w:t>
      </w:r>
      <w:r w:rsidR="00887872">
        <w:rPr>
          <w:rFonts w:ascii="Arial" w:hAnsi="Arial" w:cs="Arial"/>
          <w:sz w:val="20"/>
          <w:szCs w:val="20"/>
          <w:lang w:val="en-US"/>
        </w:rPr>
        <w:t xml:space="preserve"> </w:t>
      </w:r>
      <w:r w:rsidR="006746B2">
        <w:rPr>
          <w:rFonts w:ascii="Arial" w:hAnsi="Arial" w:cs="Arial"/>
          <w:sz w:val="20"/>
          <w:szCs w:val="20"/>
          <w:lang w:val="en-US"/>
        </w:rPr>
        <w:t>However,</w:t>
      </w:r>
      <w:r w:rsidR="00887872">
        <w:rPr>
          <w:rFonts w:ascii="Arial" w:hAnsi="Arial" w:cs="Arial"/>
          <w:sz w:val="20"/>
          <w:szCs w:val="20"/>
          <w:lang w:val="en-US"/>
        </w:rPr>
        <w:t xml:space="preserve"> its activity is beyond </w:t>
      </w:r>
      <w:proofErr w:type="spellStart"/>
      <w:r w:rsidR="00E32DFC">
        <w:rPr>
          <w:rFonts w:ascii="Arial" w:hAnsi="Arial" w:cs="Arial"/>
          <w:sz w:val="20"/>
          <w:szCs w:val="20"/>
          <w:lang w:val="en-US"/>
        </w:rPr>
        <w:t>anticeptics</w:t>
      </w:r>
      <w:proofErr w:type="spellEnd"/>
      <w:r w:rsidR="00E32DFC">
        <w:rPr>
          <w:rFonts w:ascii="Arial" w:hAnsi="Arial" w:cs="Arial"/>
          <w:sz w:val="20"/>
          <w:szCs w:val="20"/>
          <w:lang w:val="en-US"/>
        </w:rPr>
        <w:t>. Study by</w:t>
      </w:r>
      <w:r w:rsidR="00E32DFC">
        <w:rPr>
          <w:rFonts w:ascii="Arial" w:hAnsi="Arial" w:cs="Arial"/>
          <w:sz w:val="20"/>
          <w:szCs w:val="20"/>
          <w:lang w:val="en-US"/>
        </w:rPr>
        <w:fldChar w:fldCharType="begin" w:fldLock="1"/>
      </w:r>
      <w:r w:rsidR="00E32DFC">
        <w:rPr>
          <w:rFonts w:ascii="Arial" w:hAnsi="Arial" w:cs="Arial"/>
          <w:sz w:val="20"/>
          <w:szCs w:val="20"/>
          <w:lang w:val="en-US"/>
        </w:rPr>
        <w:instrText>ADDIN CSL_CITATION {"citationItems":[{"id":"ITEM-1","itemData":{"DOI":"10.1007/s00436-016-5106-2","ISSN":"14321955","PMID":"27169864","abstract":"For control of Aedes aegypti, the main vector of dengue, botanical insecticides can be a viable alternative. Herein, we evaluated the chemical composition and insecticidal activity of the essential oils of the leaves of Croton tetradenius on Ae. aegypti larvae and adults. We also evaluated the acute toxicity in Mus musculus. The essential oil chemical analysis was performed using chromatography coupled with mass spectrometry and flame ionization detection. Female mice were used for assessing toxicity according to the Organization for Economic Cooperation and Development’s Test Guideline 423/2001. Doses administered to mice orally and intraperitoneally were 5, 50, 300, and 2000 mg kg−1. There was a greater toxic effect on larvae (LC50 = 0.152 mg mL−1 and LC90 = 0.297 mg mL−1) and on adults (LC50 = 1.842 mg mL−1 and LC90 = 3.156 mg mL−1) of Ae. aegypti after 24 h of exposure, when compared to other periods of exposure. Chemical analysis revealed 26 components, with camphor (25.49 %) as the major component. The acute toxicity via the intraperitoneal route identified an LD50 = 200 mg kg−1 and by the oral route an LD50 = 500 mg kg−1. Thus, the essential oil of C. tetradenius presents insecticidal potential for Ae. aegypti and has high safety threshold at the concentrations evaluated in this study.","author":[{"dropping-particle":"","family":"Carvalho","given":"Karine da Silva","non-dropping-particle":"","parse-names":false,"suffix":""},{"dropping-particle":"","family":"e Silva","given":"Sandra Lúcia da Cunha","non-dropping-particle":"","parse-names":false,"suffix":""},{"dropping-particle":"","family":"Souza","given":"Ivone Antonia","non-dropping-particle":"de","parse-names":false,"suffix":""},{"dropping-particle":"","family":"Gualberto","given":"Simone Andrade","non-dropping-particle":"","parse-names":false,"suffix":""},{"dropping-particle":"","family":"Cruz","given":"Rômulo Carlos Dantas","non-dropping-particle":"da","parse-names":false,"suffix":""},{"dropping-particle":"","family":"Santos","given":"Frances Regiane","non-dropping-particle":"dos","parse-names":false,"suffix":""},{"dropping-particle":"","family":"Carvalho","given":"Mário Geraldo","non-dropping-particle":"de","parse-names":false,"suffix":""}],"container-title":"Parasitology Research","id":"ITEM-1","issued":{"date-parts":[["2016","9"]]},"page":"3441-3448","publisher":"Springer Verlag","title":"Toxicological evaluation of essential oil from the leaves of Croton tetradenius (Euphorbiaceae) on Aedes aegypti and Mus musculus","type":"article-journal","volume":"115"},"uris":["http://www.mendeley.com/documents/?uuid=8dc4bbef-ed6e-3900-aca3-91e0617008c0"]}],"mendeley":{"formattedCitation":"(Carvalho et al., 2016)","manualFormatting":" Carvalho et al., (2016)","plainTextFormattedCitation":"(Carvalho et al., 2016)","previouslyFormattedCitation":"(Carvalho et al., 2016)"},"properties":{"noteIndex":0},"schema":"https://github.com/citation-style-language/schema/raw/master/csl-citation.json"}</w:instrText>
      </w:r>
      <w:r w:rsidR="00E32DFC">
        <w:rPr>
          <w:rFonts w:ascii="Arial" w:hAnsi="Arial" w:cs="Arial"/>
          <w:sz w:val="20"/>
          <w:szCs w:val="20"/>
          <w:lang w:val="en-US"/>
        </w:rPr>
        <w:fldChar w:fldCharType="separate"/>
      </w:r>
      <w:r w:rsidR="00E32DFC">
        <w:rPr>
          <w:rFonts w:ascii="Arial" w:hAnsi="Arial" w:cs="Arial"/>
          <w:noProof/>
          <w:sz w:val="20"/>
          <w:szCs w:val="20"/>
          <w:lang w:val="en-US"/>
        </w:rPr>
        <w:t xml:space="preserve"> </w:t>
      </w:r>
      <w:r w:rsidR="00E32DFC" w:rsidRPr="00E32DFC">
        <w:rPr>
          <w:rFonts w:ascii="Arial" w:hAnsi="Arial" w:cs="Arial"/>
          <w:noProof/>
          <w:sz w:val="20"/>
          <w:szCs w:val="20"/>
          <w:lang w:val="en-US"/>
        </w:rPr>
        <w:t xml:space="preserve">Carvalho et al., </w:t>
      </w:r>
      <w:r w:rsidR="00E32DFC">
        <w:rPr>
          <w:rFonts w:ascii="Arial" w:hAnsi="Arial" w:cs="Arial"/>
          <w:noProof/>
          <w:sz w:val="20"/>
          <w:szCs w:val="20"/>
          <w:lang w:val="en-US"/>
        </w:rPr>
        <w:t>(</w:t>
      </w:r>
      <w:r w:rsidR="00E32DFC" w:rsidRPr="00E32DFC">
        <w:rPr>
          <w:rFonts w:ascii="Arial" w:hAnsi="Arial" w:cs="Arial"/>
          <w:noProof/>
          <w:sz w:val="20"/>
          <w:szCs w:val="20"/>
          <w:lang w:val="en-US"/>
        </w:rPr>
        <w:t>2016)</w:t>
      </w:r>
      <w:r w:rsidR="00E32DFC">
        <w:rPr>
          <w:rFonts w:ascii="Arial" w:hAnsi="Arial" w:cs="Arial"/>
          <w:sz w:val="20"/>
          <w:szCs w:val="20"/>
          <w:lang w:val="en-US"/>
        </w:rPr>
        <w:fldChar w:fldCharType="end"/>
      </w:r>
      <w:r w:rsidR="00E32DFC">
        <w:rPr>
          <w:rFonts w:ascii="Arial" w:hAnsi="Arial" w:cs="Arial"/>
          <w:sz w:val="20"/>
          <w:szCs w:val="20"/>
          <w:lang w:val="en-US"/>
        </w:rPr>
        <w:t xml:space="preserve"> showed an </w:t>
      </w:r>
      <w:proofErr w:type="spellStart"/>
      <w:r w:rsidR="00E32DFC">
        <w:rPr>
          <w:rFonts w:ascii="Arial" w:hAnsi="Arial" w:cs="Arial"/>
          <w:sz w:val="20"/>
          <w:szCs w:val="20"/>
          <w:lang w:val="en-US"/>
        </w:rPr>
        <w:t>insecticidial</w:t>
      </w:r>
      <w:proofErr w:type="spellEnd"/>
      <w:r w:rsidR="00E32DFC">
        <w:rPr>
          <w:rFonts w:ascii="Arial" w:hAnsi="Arial" w:cs="Arial"/>
          <w:sz w:val="20"/>
          <w:szCs w:val="20"/>
          <w:lang w:val="en-US"/>
        </w:rPr>
        <w:t xml:space="preserve"> activity of </w:t>
      </w:r>
      <w:r w:rsidR="00E32DFC" w:rsidRPr="00E32DFC">
        <w:rPr>
          <w:i/>
          <w:iCs/>
          <w:color w:val="222222"/>
          <w:sz w:val="27"/>
          <w:szCs w:val="27"/>
          <w:shd w:val="clear" w:color="auto" w:fill="FFFFFF"/>
        </w:rPr>
        <w:t xml:space="preserve"> </w:t>
      </w:r>
      <w:r w:rsidR="00E32DFC" w:rsidRPr="00E32DFC">
        <w:rPr>
          <w:rFonts w:ascii="Arial" w:hAnsi="Arial" w:cs="Arial"/>
          <w:i/>
          <w:iCs/>
          <w:sz w:val="20"/>
          <w:szCs w:val="20"/>
        </w:rPr>
        <w:t>Croton tetradenius</w:t>
      </w:r>
      <w:r w:rsidR="00E32DFC">
        <w:rPr>
          <w:rFonts w:ascii="Arial" w:hAnsi="Arial" w:cs="Arial"/>
          <w:i/>
          <w:iCs/>
          <w:sz w:val="20"/>
          <w:szCs w:val="20"/>
          <w:lang w:val="en-US"/>
        </w:rPr>
        <w:t xml:space="preserve"> </w:t>
      </w:r>
      <w:r w:rsidR="00E32DFC">
        <w:rPr>
          <w:rFonts w:ascii="Arial" w:hAnsi="Arial" w:cs="Arial"/>
          <w:iCs/>
          <w:sz w:val="20"/>
          <w:szCs w:val="20"/>
          <w:lang w:val="en-US"/>
        </w:rPr>
        <w:t xml:space="preserve"> against </w:t>
      </w:r>
      <w:r w:rsidR="00E32DFC" w:rsidRPr="006746B2">
        <w:rPr>
          <w:rFonts w:ascii="Arial" w:hAnsi="Arial" w:cs="Arial"/>
          <w:i/>
          <w:iCs/>
          <w:sz w:val="20"/>
          <w:szCs w:val="20"/>
          <w:lang w:val="en-US"/>
        </w:rPr>
        <w:t>Aedes aegypti</w:t>
      </w:r>
      <w:r w:rsidR="00E32DFC" w:rsidRPr="00E32DFC">
        <w:rPr>
          <w:rFonts w:ascii="Arial" w:hAnsi="Arial" w:cs="Arial"/>
          <w:iCs/>
          <w:sz w:val="20"/>
          <w:szCs w:val="20"/>
          <w:lang w:val="en-US"/>
        </w:rPr>
        <w:t>,</w:t>
      </w:r>
      <w:r w:rsidR="00E32DFC">
        <w:rPr>
          <w:rFonts w:ascii="Arial" w:hAnsi="Arial" w:cs="Arial"/>
          <w:iCs/>
          <w:sz w:val="20"/>
          <w:szCs w:val="20"/>
          <w:lang w:val="en-US"/>
        </w:rPr>
        <w:t xml:space="preserve"> with a significant safe threshold. This study is similar to </w:t>
      </w:r>
      <w:r w:rsidR="00E32DFC">
        <w:rPr>
          <w:rFonts w:ascii="Arial" w:hAnsi="Arial" w:cs="Arial"/>
          <w:iCs/>
          <w:sz w:val="20"/>
          <w:szCs w:val="20"/>
          <w:lang w:val="en-US"/>
        </w:rPr>
        <w:fldChar w:fldCharType="begin" w:fldLock="1"/>
      </w:r>
      <w:r w:rsidR="00437D0E">
        <w:rPr>
          <w:rFonts w:ascii="Arial" w:hAnsi="Arial" w:cs="Arial"/>
          <w:iCs/>
          <w:sz w:val="20"/>
          <w:szCs w:val="20"/>
          <w:lang w:val="en-US"/>
        </w:rPr>
        <w:instrText>ADDIN CSL_CITATION {"citationItems":[{"id":"ITEM-1","itemData":{"DOI":"10.3390/molecules23010034","ISSN":"14203049","PMID":"29295521","abstract":"Essential oils (EOs) are lipophilic secondary metabolites obtained from plants; terpenoids represent the main components of them. A lot of studies showed neurotoxic actions of EOs. In insects, they cause paralysis followed by death. This feature let us consider components of EOs as potential bioinsecticides. The inhibition of acetylcholinesterase (AChE) is the one of the most investigated mechanisms of action in EOs. However, EOs are rather weak inhibitors of AChE. Another proposed mechanism of EO action is a positive allosteric modulation of GABA receptors (GABArs). There are several papers that prove the potentiation of GABA effect on mammalian receptors induced by EOs. In contrast, there is lack of any data concerning the binding of EO components in insects GABArs. In insects, EOs act also via the octopaminergic system. Available data show that EOs can increase the level of both cAMP and calcium in nervous cells. Moreover, some EO components compete with octopamine in binding to its receptor. Electrophysiological experiments performed on Periplaneta americana have shown similarity in the action of EO components and octopamine. This suggests that EOs can modify neuron activity by octopamine receptors. A multitude of potential targets in the insect nervous system makes EO components interesting candidates for bio-insecticides.","author":[{"dropping-particle":"","family":"Jankowska","given":"Milena","non-dropping-particle":"","parse-names":false,"suffix":""},{"dropping-particle":"","family":"Rogalska","given":"Justyna","non-dropping-particle":"","parse-names":false,"suffix":""},{"dropping-particle":"","family":"Wyszkowska","given":"Joanna","non-dropping-particle":"","parse-names":false,"suffix":""},{"dropping-particle":"","family":"Stankiewicz","given":"Maria","non-dropping-particle":"","parse-names":false,"suffix":""}],"container-title":"Molecules","id":"ITEM-1","issued":{"date-parts":[["2018"]]},"publisher":"MDPI AG","title":"Molecular targets for components of essential oils in the insect nervous system—a review","type":"article","volume":"23"},"uris":["http://www.mendeley.com/documents/?uuid=3be59d9d-5579-3e1c-925a-25f2af87eca3"]}],"mendeley":{"formattedCitation":"(Jankowska et al., 2018)","plainTextFormattedCitation":"(Jankowska et al., 2018)","previouslyFormattedCitation":"(Jankowska et al., 2018)"},"properties":{"noteIndex":0},"schema":"https://github.com/citation-style-language/schema/raw/master/csl-citation.json"}</w:instrText>
      </w:r>
      <w:r w:rsidR="00E32DFC">
        <w:rPr>
          <w:rFonts w:ascii="Arial" w:hAnsi="Arial" w:cs="Arial"/>
          <w:iCs/>
          <w:sz w:val="20"/>
          <w:szCs w:val="20"/>
          <w:lang w:val="en-US"/>
        </w:rPr>
        <w:fldChar w:fldCharType="separate"/>
      </w:r>
      <w:r w:rsidR="00E32DFC" w:rsidRPr="00E32DFC">
        <w:rPr>
          <w:rFonts w:ascii="Arial" w:hAnsi="Arial" w:cs="Arial"/>
          <w:iCs/>
          <w:noProof/>
          <w:sz w:val="20"/>
          <w:szCs w:val="20"/>
          <w:lang w:val="en-US"/>
        </w:rPr>
        <w:t>(Jankowska et al., 2018)</w:t>
      </w:r>
      <w:r w:rsidR="00E32DFC">
        <w:rPr>
          <w:rFonts w:ascii="Arial" w:hAnsi="Arial" w:cs="Arial"/>
          <w:iCs/>
          <w:sz w:val="20"/>
          <w:szCs w:val="20"/>
          <w:lang w:val="en-US"/>
        </w:rPr>
        <w:fldChar w:fldCharType="end"/>
      </w:r>
      <w:r w:rsidR="00E32DFC">
        <w:rPr>
          <w:rFonts w:ascii="Arial" w:hAnsi="Arial" w:cs="Arial"/>
          <w:iCs/>
          <w:sz w:val="20"/>
          <w:szCs w:val="20"/>
          <w:lang w:val="en-US"/>
        </w:rPr>
        <w:t xml:space="preserve"> which accounted its effect on the </w:t>
      </w:r>
      <w:proofErr w:type="spellStart"/>
      <w:r w:rsidR="00E32DFC">
        <w:rPr>
          <w:rFonts w:ascii="Arial" w:hAnsi="Arial" w:cs="Arial"/>
          <w:iCs/>
          <w:sz w:val="20"/>
          <w:szCs w:val="20"/>
          <w:lang w:val="en-US"/>
        </w:rPr>
        <w:t>neverous</w:t>
      </w:r>
      <w:proofErr w:type="spellEnd"/>
      <w:r w:rsidR="00E32DFC">
        <w:rPr>
          <w:rFonts w:ascii="Arial" w:hAnsi="Arial" w:cs="Arial"/>
          <w:iCs/>
          <w:sz w:val="20"/>
          <w:szCs w:val="20"/>
          <w:lang w:val="en-US"/>
        </w:rPr>
        <w:t xml:space="preserve"> system of insects.</w:t>
      </w:r>
      <w:r w:rsidR="006746B2" w:rsidRPr="006746B2">
        <w:t xml:space="preserve"> </w:t>
      </w:r>
      <w:r w:rsidR="006746B2" w:rsidRPr="006746B2">
        <w:rPr>
          <w:rFonts w:ascii="Arial" w:hAnsi="Arial" w:cs="Arial"/>
          <w:iCs/>
          <w:sz w:val="20"/>
          <w:szCs w:val="20"/>
          <w:lang w:val="en-US"/>
        </w:rPr>
        <w:t xml:space="preserve">The presence of these terpenoid compounds in the extract therefore suggests that the plant may possess both pharmacological and </w:t>
      </w:r>
      <w:proofErr w:type="spellStart"/>
      <w:r w:rsidR="006746B2" w:rsidRPr="006746B2">
        <w:rPr>
          <w:rFonts w:ascii="Arial" w:hAnsi="Arial" w:cs="Arial"/>
          <w:iCs/>
          <w:sz w:val="20"/>
          <w:szCs w:val="20"/>
          <w:lang w:val="en-US"/>
        </w:rPr>
        <w:t>bioinsecticidal</w:t>
      </w:r>
      <w:proofErr w:type="spellEnd"/>
      <w:r w:rsidR="006746B2" w:rsidRPr="006746B2">
        <w:rPr>
          <w:rFonts w:ascii="Arial" w:hAnsi="Arial" w:cs="Arial"/>
          <w:iCs/>
          <w:sz w:val="20"/>
          <w:szCs w:val="20"/>
          <w:lang w:val="en-US"/>
        </w:rPr>
        <w:t xml:space="preserve"> potential, which could partly explain its ecological role in plant defense as well as its traditional medicinal applications</w:t>
      </w:r>
      <w:r w:rsidR="006746B2">
        <w:rPr>
          <w:rFonts w:ascii="Arial" w:hAnsi="Arial" w:cs="Arial"/>
          <w:iCs/>
          <w:sz w:val="20"/>
          <w:szCs w:val="20"/>
          <w:lang w:val="en-US"/>
        </w:rPr>
        <w:t>.</w:t>
      </w:r>
    </w:p>
    <w:p w14:paraId="601A7B36" w14:textId="352479AB"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The presence of aromatic compounds such as 3-Methoxyacetophenone, 4-Acetoxy-3-methoxystyrene, and pyrrole derivatives</w:t>
      </w:r>
      <w:r w:rsidR="00437D0E">
        <w:rPr>
          <w:rFonts w:ascii="Arial" w:hAnsi="Arial" w:cs="Arial"/>
          <w:sz w:val="20"/>
          <w:szCs w:val="20"/>
          <w:lang w:val="en-US"/>
        </w:rPr>
        <w:t xml:space="preserve"> are a</w:t>
      </w:r>
      <w:r w:rsidRPr="003B794A">
        <w:rPr>
          <w:rFonts w:ascii="Arial" w:hAnsi="Arial" w:cs="Arial"/>
          <w:sz w:val="20"/>
          <w:szCs w:val="20"/>
          <w:lang w:val="en-US"/>
        </w:rPr>
        <w:t>romatic compounds frequently exhibit</w:t>
      </w:r>
      <w:r w:rsidR="00437D0E">
        <w:rPr>
          <w:rFonts w:ascii="Arial" w:hAnsi="Arial" w:cs="Arial"/>
          <w:sz w:val="20"/>
          <w:szCs w:val="20"/>
          <w:lang w:val="en-US"/>
        </w:rPr>
        <w:t xml:space="preserve">ing </w:t>
      </w:r>
      <w:r w:rsidRPr="003B794A">
        <w:rPr>
          <w:rFonts w:ascii="Arial" w:hAnsi="Arial" w:cs="Arial"/>
          <w:sz w:val="20"/>
          <w:szCs w:val="20"/>
          <w:lang w:val="en-US"/>
        </w:rPr>
        <w:t>antioxidant activity due to their ability to donate hydrogen atoms and stabilize free radicals</w:t>
      </w:r>
      <w:r w:rsidR="00437D0E">
        <w:rPr>
          <w:rFonts w:ascii="Arial" w:hAnsi="Arial" w:cs="Arial"/>
          <w:sz w:val="20"/>
          <w:szCs w:val="20"/>
          <w:lang w:val="en-US"/>
        </w:rPr>
        <w:t xml:space="preserve">. One of a promising study by </w:t>
      </w:r>
      <w:r w:rsidR="00437D0E">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{"citationItems":[{"id":"ITEM-1","itemData":{"DOI":"10.3390/ijms26093957","ISSN":"14220067","PMID":"40362198","abstract":"Neurodegenerative diseases involve oxidative stress and enzyme dysregulation, necessitating novel neuroprotective agents. This study evaluates the neuroprotective and antioxidant potential of seven pyrrole-based compounds with predicted radical scavenging activity and inhibitory effects on monoamine oxidase B (MAO-B) and acetylcholinesterase (AChE). The compounds were tested in vitro using SH-SY5Y neuroblastoma cells and subcellular rat brain fractions, including synaptosomes, mitochondria, and microsomes. Neuroprotective and antioxidant effects were assessed in oxidative stress models, including H2O2-induced stress in SH-SY5Y cells, 6-hydroxydopamine toxicity in synaptosomes, tert-butyl hydroperoxide-induced stress in mitochondria, and non-enzyme lipid peroxidation in microsomes. In silico screening for lipophilicity, hydrogen bonding, total polar surface area (TPSA), and ionization properties, was performed to evaluate bioavailability. All compounds exhibited a weak neurotoxic effect on the subcellular fractions at a concentration of 100 µM. However, in oxidative stress models, they demonstrated significant neuroprotective and antioxidant effects at 100 µM. In SH-SY5Y cells, compounds 7, 9, 12, 14, and 15 exhibited low toxicity and strong protective effects at concentrations as low as 1 µM. In silico analysis prioritized compounds 1, 7, 9, 12, and 14 for further development based on their favorable bioavailability. The tested pyrrole-based compounds exhibit promising neuroprotective and antioxidant properties, with several candidates showing potential for further development based on both in vitro efficacy and predicted oral bioavailability.","author":[{"dropping-particle":"","family":"Stefanova","given":"Denitsa","non-dropping-particle":"","parse-names":false,"suffix":""},{"dropping-particle":"","family":"Garip","given":"Alime","non-dropping-particle":"","parse-names":false,"suffix":""},{"dropping-particle":"","family":"Mateev","given":"Emilio","non-dropping-particle":"","parse-names":false,"suffix":""},{"dropping-particle":"","family":"Kondeva-Burdina","given":"Magdalena","non-dropping-particle":"","parse-names":false,"suffix":""},{"dropping-particle":"","family":"Yordanov","given":"Yordan","non-dropping-particle":"","parse-names":false,"suffix":""},{"dropping-particle":"","family":"Tzankova","given":"Diana","non-dropping-particle":"","parse-names":false,"suffix":""},{"dropping-particle":"","family":"Mateeva","given":"Alexandrina","non-dropping-particle":"","parse-names":false,"suffix":""},{"dropping-particle":"","family":"Valkova","given":"Iva","non-dropping-particle":"","parse-names":false,"suffix":""},{"dropping-particle":"","family":"Georgieva","given":"Maya","non-dropping-particle":"","parse-names":false,"suffix":""},{"dropping-particle":"","family":"Zlatkov","given":"Alexander","non-dropping-particle":"","parse-names":false,"suffix":""},{"dropping-particle":"","family":"Tzankova","given":"Virginia","non-dropping-particle":"","parse-names":false,"suffix":""}],"container-title":"International Journal of Molecular Sciences","id":"ITEM-1","issued":{"date-parts":[["2025","5"]]},"publisher":"Multidisciplinary Digital Publishing Institute (MDPI)","title":"Antioxidant and Neuroprotective Properties of Selected Pyrrole-Containing Azomethine Compounds in Neurotoxicity Models In Vitro","type":"article-journal","volume":"26"},"uris":["http://www.mendeley.com/documents/?uuid=32395984-0ce3-3cb3-ac97-6984469d2523"]}],"mendeley":{"formattedCitation":"(Stefanova et al., 2025)","manualFormatting":"Stefanova et al., (2025)","plainTextFormattedCitation":"(Stefanova et al., 2025)","previouslyFormattedCitation":"(Stefanova et al., 2025)"},"properties":{"noteIndex":0},"schema":"https://github.com/citation-style-language/schema/raw/master/csl-citation.json"}</w:instrText>
      </w:r>
      <w:r w:rsidR="00437D0E">
        <w:rPr>
          <w:rFonts w:ascii="Arial" w:hAnsi="Arial" w:cs="Arial"/>
          <w:sz w:val="20"/>
          <w:szCs w:val="20"/>
          <w:lang w:val="en-US"/>
        </w:rPr>
        <w:fldChar w:fldCharType="separate"/>
      </w:r>
      <w:r w:rsidR="00437D0E" w:rsidRPr="00437D0E">
        <w:rPr>
          <w:rFonts w:ascii="Arial" w:hAnsi="Arial" w:cs="Arial"/>
          <w:noProof/>
          <w:sz w:val="20"/>
          <w:szCs w:val="20"/>
          <w:lang w:val="en-US"/>
        </w:rPr>
        <w:t xml:space="preserve">Stefanova et al., </w:t>
      </w:r>
      <w:r w:rsidR="00437D0E">
        <w:rPr>
          <w:rFonts w:ascii="Arial" w:hAnsi="Arial" w:cs="Arial"/>
          <w:noProof/>
          <w:sz w:val="20"/>
          <w:szCs w:val="20"/>
          <w:lang w:val="en-US"/>
        </w:rPr>
        <w:t>(</w:t>
      </w:r>
      <w:r w:rsidR="00437D0E" w:rsidRPr="00437D0E">
        <w:rPr>
          <w:rFonts w:ascii="Arial" w:hAnsi="Arial" w:cs="Arial"/>
          <w:noProof/>
          <w:sz w:val="20"/>
          <w:szCs w:val="20"/>
          <w:lang w:val="en-US"/>
        </w:rPr>
        <w:t>2025)</w:t>
      </w:r>
      <w:r w:rsidR="00437D0E">
        <w:rPr>
          <w:rFonts w:ascii="Arial" w:hAnsi="Arial" w:cs="Arial"/>
          <w:sz w:val="20"/>
          <w:szCs w:val="20"/>
          <w:lang w:val="en-US"/>
        </w:rPr>
        <w:fldChar w:fldCharType="end"/>
      </w:r>
      <w:r w:rsidR="00437D0E">
        <w:rPr>
          <w:rFonts w:ascii="Arial" w:hAnsi="Arial" w:cs="Arial"/>
          <w:sz w:val="20"/>
          <w:szCs w:val="20"/>
          <w:lang w:val="en-US"/>
        </w:rPr>
        <w:t xml:space="preserve"> showed the neuroprotective effect  </w:t>
      </w:r>
      <w:r w:rsidR="00C479B7">
        <w:rPr>
          <w:rFonts w:ascii="Arial" w:hAnsi="Arial" w:cs="Arial"/>
          <w:sz w:val="20"/>
          <w:szCs w:val="20"/>
          <w:lang w:val="en-US"/>
        </w:rPr>
        <w:t xml:space="preserve">its </w:t>
      </w:r>
      <w:r w:rsidR="00437D0E">
        <w:rPr>
          <w:rFonts w:ascii="Arial" w:hAnsi="Arial" w:cs="Arial"/>
          <w:sz w:val="20"/>
          <w:szCs w:val="20"/>
          <w:lang w:val="en-US"/>
        </w:rPr>
        <w:t xml:space="preserve">derivatives </w:t>
      </w:r>
      <w:r w:rsidR="00FF2163">
        <w:rPr>
          <w:rFonts w:ascii="Arial" w:hAnsi="Arial" w:cs="Arial"/>
          <w:sz w:val="20"/>
          <w:szCs w:val="20"/>
          <w:lang w:val="en-US"/>
        </w:rPr>
        <w:t>a previous study asserts its antioxidant activity</w:t>
      </w:r>
      <w:r w:rsidR="005A27DB">
        <w:rPr>
          <w:rFonts w:ascii="Arial" w:hAnsi="Arial" w:cs="Arial"/>
          <w:sz w:val="20"/>
          <w:szCs w:val="20"/>
          <w:lang w:val="en-US"/>
        </w:rPr>
        <w:t xml:space="preserve"> </w:t>
      </w:r>
      <w:r w:rsidR="00FF2163">
        <w:rPr>
          <w:rFonts w:ascii="Arial" w:hAnsi="Arial" w:cs="Arial"/>
          <w:sz w:val="20"/>
          <w:szCs w:val="20"/>
          <w:lang w:val="en-US"/>
        </w:rPr>
        <w:t>to be</w:t>
      </w:r>
      <w:r w:rsidR="005A27DB">
        <w:rPr>
          <w:rFonts w:ascii="Arial" w:hAnsi="Arial" w:cs="Arial"/>
          <w:sz w:val="20"/>
          <w:szCs w:val="20"/>
          <w:lang w:val="en-US"/>
        </w:rPr>
        <w:t xml:space="preserve"> </w:t>
      </w:r>
      <w:r w:rsidR="00FF2163">
        <w:rPr>
          <w:rFonts w:ascii="Arial" w:hAnsi="Arial" w:cs="Arial"/>
          <w:sz w:val="20"/>
          <w:szCs w:val="20"/>
          <w:lang w:val="en-US"/>
        </w:rPr>
        <w:t xml:space="preserve">efficiency </w:t>
      </w:r>
      <w:r w:rsidR="00FF2163">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{"citationItems":[{"id":"ITEM-1","itemData":{"DOI":"10.1021/jo8005073","ISSN":"00223263","abstract":"(Chemical Equation Presented) The absolute rate constants, kinh, and stoichiometric factors, n, of pyrroles, 2-methyl-3-ethylcarboxy-4,5-di-p- methoxyphenylpyrrole, 6, 2,3,4,5-tetraphenylpyrrole,7, and 2,3,4,5-tetra-p- methoxyphenylpyrrole, 8, compared to the phenolic antioxidant, di-tert-butylhydroxyanisole, DBHA, during inhibited oxidation of cumene initiated by AIBN at 30°C gave the relative antioxidant activities (k inh) DBHA &gt; 8 &gt; 7 &gt; 6 and n = 2, whereas in styrene, 8 &gt; DBHA. These results are explained by hydrogen atom transfer, HAT, from the N-H of pyrroles to ROO• radicals. The kinh values in styrene of dimethyl esters of the bile pigments of bilirubin ester (BRDE), of biliverdin ester (BVDE), and of a model compound (dipyrrinone, 1) gave k inh in the order pentamethylhydroxychroman (PMHC) » BRDE &gt; 1 &gt; BVDE. These antioxidant activities for BVDE and the model compound, 1, and PMHC dropped dramatically in the presence of methanol due to hydrogen bonding at the pyrrolic N-H group. In contrast the kinh of BRDE increased in methanol. We now show that pyrrolic compounds may react by HAT, proton-coupled electron transfer, PCET, or single electron transfer, SET, depending on their structure, the nature of the solvent, and the attacking radical. Compounds BVDE and 1 react by the HAT or PCET pathway (HAT/PCET) in styrene/chlorobenzene with ROO• and with the DPPH• radical in chlorobenzene according to N-H/N-D kH/kD of 1.6, whereas the DKIE with BRDE was only 1.2 with ROO•. The antioxidant properties of polypyrroles of the BVDE class and model compounds (e.g., 1) are controlled by intramolecular H bonding which stabilizes an intermediate pyrrolic radical in HAT/PCET. According to kinetic polar solvent effects on the monopyrrole, 8, and BRDE, which gave increased rates in methanol, some pyrrolic structures are also susceptible to SET reactions. This conclusion is supported by some calculated ionization potentials. The antioxidant mechanism for BRDE with peroxyl radicals is described by the PCET reaction. Experiments using the 2,6-di-tert-butyl-4- (4′-methoxyphenyl)phenoxyl radical (DBMP•) showed this to be a better radical to monitor HAT activities in stopped-flow kinetics compared to the use of the more popular DPPH• radical. © 2008 American Chemical Society.","author":[{"dropping-particle":"","family":"MacLean","given":"Patricia D.","non-dropping-particle":"","parse-names":false,"suffix":""},{"dropping-particle":"","family":"Chapman","given":"Erin E.","non-dropping-particle":"","parse-names":false,"suffix":""},{"dropping-particle":"","family":"Dobrowolski","given":"Sarah L.","non-dropping-particle":"","parse-names":false,"suffix":""},{"dropping-particle":"","family":"Thompson","given":"Alison","non-dropping-particle":"","parse-names":false,"suffix":""},{"dropping-particle":"","family":"Barclay","given":"L. Ross C.","non-dropping-particle":"","parse-names":false,"suffix":""}],"container-title":"Journal of Organic Chemistry","id":"ITEM-1","issued":{"date-parts":[["2008","9"]]},"page":"6623-6635","title":"Pyrroles as antioxidants: Solvent effects and the nature of the attacking radical on antioxidant activities and mechanisms of pyrroles, dipyrrinones, and bile pigments","type":"article-journal","volume":"73"},"uris":["http://www.mendeley.com/documents/?uuid=f5383d11-da63-3c4b-8302-dcb389a439b0"]}],"mendeley":{"formattedCitation":"(MacLean et al., 2008)","plainTextFormattedCitation":"(MacLean et al., 2008)","previouslyFormattedCitation":"(MacLean et al., 2008)"},"properties":{"noteIndex":0},"schema":"https://github.com/citation-style-language/schema/raw/master/csl-citation.json"}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(MacLean et al., 2008)</w:t>
      </w:r>
      <w:r w:rsidR="00FF2163">
        <w:rPr>
          <w:rFonts w:ascii="Arial" w:hAnsi="Arial" w:cs="Arial"/>
          <w:sz w:val="20"/>
          <w:szCs w:val="20"/>
          <w:lang w:val="en-US"/>
        </w:rPr>
        <w:fldChar w:fldCharType="end"/>
      </w:r>
      <w:r w:rsidR="00FF2163">
        <w:rPr>
          <w:rFonts w:ascii="Arial" w:hAnsi="Arial" w:cs="Arial"/>
          <w:sz w:val="20"/>
          <w:szCs w:val="20"/>
          <w:lang w:val="en-US"/>
        </w:rPr>
        <w:t>.</w:t>
      </w:r>
    </w:p>
    <w:p w14:paraId="72F59D75" w14:textId="77777777" w:rsidR="00FF2163"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In addition, heterocyclic nitrogen-containing compounds such as pyridine derivatives, pyrrole derivatives, and triazole-containing compounds were detected in the extract. </w:t>
      </w:r>
      <w:r w:rsidR="00FF2163">
        <w:rPr>
          <w:rFonts w:ascii="Arial" w:hAnsi="Arial" w:cs="Arial"/>
          <w:sz w:val="20"/>
          <w:szCs w:val="20"/>
          <w:lang w:val="en-US"/>
        </w:rPr>
        <w:t>These derivates form one the hormonal building block of plants which enables growth</w:t>
      </w:r>
      <w:r w:rsidR="00FF2163">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{"citationItems":[{"id":"ITEM-1","itemData":{"abstract":"The phytohormone-like activity of synthetic low molecular weight heterocyclic compounds derivatives of pyrimidine, pyridine, pyrazole, and isoflavones was studied. Testing of stimulating effect of synthetic heterocyclic compounds on seed germination and seedling growth of flax (Linum usitatissimum L.) of cultivar Ukrainian 3 showed expressive auxin-like activity of these compounds. The growth parameters of 15 th -day-old flax seedlings grown on the solution of heterocyclic compounds used at concentration 10 -8 M/l of distilled water were higher or similar to growth parameters of flax seedlings grown on the water solution of auxins IAA and NAA used at the same concentration as compared to lower growth parameters of control flax seedlings grown on the distilled water (control). The specific bioassay on auxin-like activity showed high stimulating effect of heterocyclic compounds derivatives of pyrimidine, pyridine, pyrazole, and isoflavones used at concentration 10 -8 M/l of distilled water on rhizogenesis on the 14 th -day-old leaf petioles isolated from seedlings of haricot bean (Phaseolus vulgaris L.) of cultivar Belozernaya. The specific bioassay on cytokinin-like activity conducted on the 16 th -day-old cotyledons isolated from seeds of muscat pumpkin (Cucurbita moschata Duch. et Poir.) of cultivar Gilea, showed that heterocyclic compounds derivatives of pyrimidine, pyridine, pyrazole, and isoflavones used in concentration 10 -8 M/l of distilled water demonstrated high stimulating activity on growth of biomass of isolated cotyledons of pumpkin, which was similar or higher than activity of cytokinin Kinetin. The specific bioassay on gibberellin-like activity conducted on the 3 rd -day-old seedlings of lettuce (Lactuca sativa L.) of cultivar Berlin testified that some heterocyclic compounds derivatives of pyrazole, isoflavones, and pyridine used in concentrations ranging from 10 -4 M to 10 -9 M/1 of distilled water revealed minor stimulating effect on elongation of hypocotyl of lettuce seedlings in relation to control, but their activity was significantly lower than activity of gibberellic acid GA3. This bioassay showed also that the some heterocyclic compounds derivatives of pyrazole and isoflavones used in concentration 10 -7 M/l of distilled water demonstrated nonspecific for this bioassay auxin-like activity, which manifested in stimulation of formation and growth of root system on the seedlings of lettuce. Obtained results confirmed specific auxin-…","author":[{"dropping-particle":"","family":"Tsygankova","given":"Victoria","non-dropping-particle":"","parse-names":false,"suffix":""},{"dropping-particle":"","family":"Andrusevich","given":"Yaroslav","non-dropping-particle":"","parse-names":false,"suffix":""},{"dropping-particle":"","family":"Shtompel","given":"Olexandra","non-dropping-particle":"","parse-names":false,"suffix":""},{"dropping-particle":"","family":"Myroljubov","given":"Olexandr","non-dropping-particle":"","parse-names":false,"suffix":""},{"dropping-particle":"","family":"Hurenko","given":"Artem","non-dropping-particle":"","parse-names":false,"suffix":""},{"dropping-particle":"","family":"Solomyanny","given":"Roman","non-dropping-particle":"","parse-names":false,"suffix":""},{"dropping-particle":"","family":"Mrug","given":"Galyna","non-dropping-particle":"","parse-names":false,"suffix":""},{"dropping-particle":"","family":"Frasinyuk","given":"Mykhaylo","non-dropping-particle":"","parse-names":false,"suffix":""},{"dropping-particle":"","family":"Shablykin","given":"Oleg","non-dropping-particle":"","parse-names":false,"suffix":""},{"dropping-particle":"","family":"Brovarets","given":"Volodymyr","non-dropping-particle":"","parse-names":false,"suffix":""}],"container-title":"European Journal of Biotechnology and Bioscience European Journal of Biotechnology and Bioscience, Online ISSN","id":"ITEM-1","issue":"12","issued":{"date-parts":[["2016"]]},"page":"2321-9122","title":"Study of auxin, cytokinin and gibberellin-like activity of heterocyclic compounds derivatives of pyrimidine, pyridine, pyrazole and isoflavones","type":"article-journal","volume":"4"},"uris":["http://www.mendeley.com/documents/?uuid=198f0a03-5f0a-461c-b50f-204b1580952c"]}],"mendeley":{"formattedCitation":"(Tsygankova et al., 2016)","plainTextFormattedCitation":"(Tsygankova et al., 2016)","previouslyFormattedCitation":"(Tsygankova et al., 2016)"},"properties":{"noteIndex":0},"schema":"https://github.com/citation-style-language/schema/raw/master/csl-citation.json"}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(Tsygankova et al., 2016)</w:t>
      </w:r>
      <w:r w:rsidR="00FF2163">
        <w:rPr>
          <w:rFonts w:ascii="Arial" w:hAnsi="Arial" w:cs="Arial"/>
          <w:sz w:val="20"/>
          <w:szCs w:val="20"/>
          <w:lang w:val="en-US"/>
        </w:rPr>
        <w:fldChar w:fldCharType="end"/>
      </w:r>
      <w:r w:rsidR="00FF2163">
        <w:rPr>
          <w:rFonts w:ascii="Arial" w:hAnsi="Arial" w:cs="Arial"/>
          <w:sz w:val="20"/>
          <w:szCs w:val="20"/>
          <w:lang w:val="en-US"/>
        </w:rPr>
        <w:t xml:space="preserve"> and have different </w:t>
      </w:r>
      <w:proofErr w:type="spellStart"/>
      <w:r w:rsidR="00FF2163">
        <w:rPr>
          <w:rFonts w:ascii="Arial" w:hAnsi="Arial" w:cs="Arial"/>
          <w:sz w:val="20"/>
          <w:szCs w:val="20"/>
          <w:lang w:val="en-US"/>
        </w:rPr>
        <w:t>anticancerous</w:t>
      </w:r>
      <w:proofErr w:type="spellEnd"/>
      <w:r w:rsidR="00FF2163">
        <w:rPr>
          <w:rFonts w:ascii="Arial" w:hAnsi="Arial" w:cs="Arial"/>
          <w:sz w:val="20"/>
          <w:szCs w:val="20"/>
          <w:lang w:val="en-US"/>
        </w:rPr>
        <w:t xml:space="preserve"> </w:t>
      </w:r>
      <w:r w:rsidR="00903532">
        <w:rPr>
          <w:rFonts w:ascii="Arial" w:hAnsi="Arial" w:cs="Arial"/>
          <w:sz w:val="20"/>
          <w:szCs w:val="20"/>
          <w:lang w:val="en-US"/>
        </w:rPr>
        <w:t xml:space="preserve">properties </w:t>
      </w:r>
      <w:r w:rsidR="00FF2163">
        <w:rPr>
          <w:rFonts w:ascii="Arial" w:hAnsi="Arial" w:cs="Arial"/>
          <w:sz w:val="20"/>
          <w:szCs w:val="20"/>
          <w:lang w:val="en-US"/>
        </w:rPr>
        <w:fldChar w:fldCharType="begin" w:fldLock="1"/>
      </w:r>
      <w:r w:rsidR="00042472">
        <w:rPr>
          <w:rFonts w:ascii="Arial" w:hAnsi="Arial" w:cs="Arial"/>
          <w:sz w:val="20"/>
          <w:szCs w:val="20"/>
          <w:lang w:val="en-US"/>
        </w:rPr>
        <w:instrText>ADDIN CSL_CITATION {"citationItems":[{"id":"ITEM-1","itemData":{"DOI":"10.2174/1871520620666200705214917","ISSN":"18715206","PMID":"32628593","abstract":"© 2020 Bentham Science Publishers. Background: Cancer is spreading all over the world, and it is becoming the leading cause of major deaths. Today’s most difficult task for every researcher is to invent a new drug that can treat cancer with minimal side effects. Many factors, including pollution, modern lifestyle and food habits, exposure to oncogenic agents or radiations, enhanced industrialization, etc. can cause cancer. Treatment of cancer is done by various methods that include chemotherapy, radiotherapy, surgery and immunotherapy in combination or singly along with kinase inhibitors. Most of the anti-cancer drugs use the concept of kinase inhibition. Objective: The number of drugs being used in chemotherapy has heterocycles as their basic structure in spite of various side effects. Medicinal chemists are focusing on nitrogen-containing heterocyclic compounds like pyr-role, pyrrolidine, pyridine, imidazole, pyrimidines, pyrazole, indole, quinoline, oxadiazole, azole, benzimida-zole, etc. as the key building blocks to develop active biological compounds. The aim of this study is to attempt to compile a dataset of nitrogen-containing heterocyclic anti-cancer drugs. Methods: We adopted a structural search on notorious journal publication websites and electronic databases such as Bentham Science, Science Direct, PubMed, Scopus, USFDA, etc. for the collection of peer-reviewed research and review articles for the present review. The quality papers were retrieved, studied, categorized into different sections, analyzed and used for article writing. Conclusion: As per FDA databases, nitrogen-based heterocycles in the drug design are almost 60% of unique small-molecule drugs. Some of the nitrogen-containing heterocyclic anti-cancer drugs are Axitinib, Bosutinib, Cediranib, Dasatanib (Sprycel®), Erlotinib (Tarceva®), Gefitinib (Iressa®), Imatinib (Gleevec®), Lapatinib (Tyk-erb®), Linifanib, Sorafenib (Nexavar®), Sunitinib (Sutent®), Tivozanib, etc. In the present review, we shall focus on the overview of nitrogen-containing heterocyclic active compounds as anti-cancer agents.","author":[{"dropping-particle":"","family":"Lang","given":"Damanpreet K.","non-dropping-particle":"","parse-names":false,"suffix":""},{"dropping-particle":"","family":"Kaur","given":"Rajwinder","non-dropping-particle":"","parse-names":false,"suffix":""},{"dropping-particle":"","family":"Arora","given":"Rashmi","non-dropping-particle":"","parse-names":false,"suffix":""},{"dropping-particle":"","family":"Saini","given":"Balraj","non-dropping-particle":"","parse-names":false,"suffix":""},{"dropping-particle":"","family":"Arora","given":"Sandeep","non-dropping-particle":"","parse-names":false,"suffix":""}],"container-title":"Anti-Cancer Agents in Medicinal Chemistry","id":"ITEM-1","issued":{"date-parts":[["2020","7"]]},"page":"2150-2168","publisher":"Bentham Science Publishers Ltd.","title":"Nitrogen-Containing Heterocycles as Anticancer Agents: An Overview","type":"article-journal","volume":"20"},"uris":["http://www.mendeley.com/documents/?uuid=41584d96-a25c-3dd8-ac15-b84b9d1bb097"]}],"mendeley":{"formattedCitation":"(Lang et al., 2020)","plainTextFormattedCitation":"(Lang et al., 2020)","previouslyFormattedCitation":"(Lang et al., 2020)"},"properties":{"noteIndex":0},"schema":"https://github.com/citation-style-language/schema/raw/master/csl-citation.json"}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(Lang et al., 2020)</w:t>
      </w:r>
      <w:r w:rsidR="00FF2163">
        <w:rPr>
          <w:rFonts w:ascii="Arial" w:hAnsi="Arial" w:cs="Arial"/>
          <w:sz w:val="20"/>
          <w:szCs w:val="20"/>
          <w:lang w:val="en-US"/>
        </w:rPr>
        <w:fldChar w:fldCharType="end"/>
      </w:r>
      <w:r w:rsidR="00FF2163">
        <w:rPr>
          <w:rFonts w:ascii="Arial" w:hAnsi="Arial" w:cs="Arial"/>
          <w:sz w:val="20"/>
          <w:szCs w:val="20"/>
          <w:lang w:val="en-US"/>
        </w:rPr>
        <w:t xml:space="preserve">. In </w:t>
      </w:r>
      <w:r w:rsidR="00903532">
        <w:rPr>
          <w:rFonts w:ascii="Arial" w:hAnsi="Arial" w:cs="Arial"/>
          <w:sz w:val="20"/>
          <w:szCs w:val="20"/>
          <w:lang w:val="en-US"/>
        </w:rPr>
        <w:t>natural product study</w:t>
      </w:r>
      <w:r w:rsidR="00042472">
        <w:rPr>
          <w:rFonts w:ascii="Arial" w:hAnsi="Arial" w:cs="Arial"/>
          <w:sz w:val="20"/>
          <w:szCs w:val="20"/>
          <w:lang w:val="en-US"/>
        </w:rPr>
        <w:t xml:space="preserve"> agreed with the latter and former studies to be a promising drug even in the antiviral industry </w:t>
      </w:r>
      <w:r w:rsidR="00042472">
        <w:rPr>
          <w:rFonts w:ascii="Arial" w:hAnsi="Arial" w:cs="Arial"/>
          <w:sz w:val="20"/>
          <w:szCs w:val="20"/>
          <w:lang w:val="en-US"/>
        </w:rPr>
        <w:fldChar w:fldCharType="begin" w:fldLock="1"/>
      </w:r>
      <w:r w:rsidR="00F47CFD">
        <w:rPr>
          <w:rFonts w:ascii="Arial" w:hAnsi="Arial" w:cs="Arial"/>
          <w:sz w:val="20"/>
          <w:szCs w:val="20"/>
          <w:lang w:val="en-US"/>
        </w:rPr>
        <w:instrText>ADDIN CSL_CITATION {"citationItems":[{"id":"ITEM-1","itemData":{"DOI":"10.2174/0115734064280150231212113012","ISSN":"15734064","PMID":"38279757","abstract":"This study aims to provide a thorough analysis of nitrogen-containing heterocycles, focusing on their therapeutic implications for the development of targeted and effective antiviral drugs. To better understand how nitrogen-containing heterocycles can be used to create antiviral drugs, this review adopts a systematic literature review strategy to compile and analyze pertinent research studies. It combines information from various fields to understand better the compounds&amp;apos; mode of action and their therapeutic potential. This review paper summarizes data from multiple sources to highlight the promising potential of heterocycles containing nitrogen as promising possibilities for future antiviral treatments. The capacity to engage selectively and modulate critical pathways bodes well for their use in developing new viral therapies. In conclusion, nitrogen-containing heterocycles are shown to be of utmost importance in the field of medicinal chemistry, as emphasized by the review paper. It emphasizes the central importance of chemical insights and pharmacological potential in developing novel and effective antiviral medicines by bringing them together.","author":[{"dropping-particle":"","family":"Kanupriya","given":"","non-dropping-particle":"","parse-names":false,"suffix":""},{"dropping-particle":"","family":"Mittal","given":"Ravi Kumar","non-dropping-particle":"","parse-names":false,"suffix":""},{"dropping-particle":"","family":"Sharma","given":"Vikram","non-dropping-particle":"","parse-names":false,"suffix":""},{"dropping-particle":"","family":"Biswas","given":"Tanya","non-dropping-particle":"","parse-names":false,"suffix":""},{"dropping-particle":"","family":"Mishra","given":"Isha","non-dropping-particle":"","parse-names":false,"suffix":""}],"container-title":"Medicinal Chemistry","id":"ITEM-1","issued":{"date-parts":[["2024","1"]]},"page":"487-502","publisher":"Bentham Science Publishers Ltd.","title":"Recent Advances in Nitrogen-Containing Heterocyclic Scaffolds as Antiviral Agents","type":"article-journal","volume":"20"},"uris":["http://www.mendeley.com/documents/?uuid=48a5889e-c8d1-3d66-8817-7c3a412de6dc"]},{"id":"ITEM-2","itemData":{"DOI":"10.1016/j.ejmech.2022.114708","ISSN":"17683254","PMID":"36122549","abstract":"The natural product diphyllin has demonstrated great potential in the treatment of various human cancers, especially pancreatic cancer. However, its relative weak potency, low aqueous solubility, and poor metabolic stability limits its development ability. In this study, we designed and synthesized two series of novel nitrogen-containing diphyllin derivatives with the aim to improve both antitumor efficacy and drug-like properties. Among them, the amino derivative 15 showed an IC50 value of 3 nM against pancreatic cancer CFPAC-1 cells and is about 69-fold more potent than diphyllin. In addition, compound 15 possesses improved aqueous solubility and metabolic stability in liver microsomes. This compound not only significantly induced cell cycle arrest at G0/G1 phase with down-regulation of CDK4 and cyclinD1 in a dose-dependent manner, but also blocked the later stage of autophagy in CFPAC-1 cells. In pancreatic cancer xenograft model, treatment of 15 with 10 mg/kg exhibited much more potent efficacy in suppressing the growth of transplanted PANC02 tumors than diphyllin without obvious safety concern.","author":[{"dropping-particle":"","family":"Li","given":"Yang","non-dropping-particle":"","parse-names":false,"suffix":""},{"dropping-particle":"","family":"Lu","given":"Qing","non-dropping-particle":"","parse-names":false,"suffix":""},{"dropping-particle":"","family":"Xiao","given":"Ruoxuan","non-dropping-particle":"","parse-names":false,"suffix":""},{"dropping-particle":"","family":"Ma","given":"Jing","non-dropping-particle":"","parse-names":false,"suffix":""},{"dropping-particle":"","family":"Tang","given":"Yuqi","non-dropping-particle":"","parse-names":false,"suffix":""},{"dropping-particle":"","family":"Chen","given":"Wantao","non-dropping-particle":"","parse-names":false,"suffix":""},{"dropping-particle":"","family":"Zhang","given":"Ruihan","non-dropping-particle":"","parse-names":false,"suffix":""},{"dropping-particle":"","family":"Jiang","given":"Lingxi","non-dropping-particle":"","parse-names":false,"suffix":""},{"dropping-particle":"","family":"Chen","given":"Hao","non-dropping-particle":"","parse-names":false,"suffix":""},{"dropping-particle":"","family":"Shen","given":"Baiyong","non-dropping-particle":"","parse-names":false,"suffix":""},{"dropping-particle":"","family":"Zhang","given":"Ao","non-dropping-particle":"","parse-names":false,"suffix":""},{"dropping-particle":"","family":"Ding","given":"Chunyong","non-dropping-particle":"","parse-names":false,"suffix":""}],"container-title":"European Journal of Medicinal Chemistry","id":"ITEM-2","issued":{"date-parts":[["2022","12"]]},"publisher":"Elsevier Masson s.r.l.","title":"Synthesis and anti-tumor activity of nitrogen-containing derivatives of the natural product diphyllin","type":"article-journal","volume":"243"},"uris":["http://www.mendeley.com/documents/?uuid=7704bb9c-7059-33e5-831e-c47f8f42bde9"]}],"mendeley":{"formattedCitation":"(Kanupriya et al., 2024; Li et al., 2022)","plainTextFormattedCitation":"(Kanupriya et al., 2024; Li et al., 2022)","previouslyFormattedCitation":"(Kanupriya et al., 2024; Li et al., 2022)"},"properties":{"noteIndex":0},"schema":"https://github.com/citation-style-language/schema/raw/master/csl-citation.json"}</w:instrText>
      </w:r>
      <w:r w:rsidR="00042472">
        <w:rPr>
          <w:rFonts w:ascii="Arial" w:hAnsi="Arial" w:cs="Arial"/>
          <w:sz w:val="20"/>
          <w:szCs w:val="20"/>
          <w:lang w:val="en-US"/>
        </w:rPr>
        <w:fldChar w:fldCharType="separate"/>
      </w:r>
      <w:r w:rsidR="00903532" w:rsidRPr="00903532">
        <w:rPr>
          <w:rFonts w:ascii="Arial" w:hAnsi="Arial" w:cs="Arial"/>
          <w:noProof/>
          <w:sz w:val="20"/>
          <w:szCs w:val="20"/>
          <w:lang w:val="en-US"/>
        </w:rPr>
        <w:t>(Kanupriya et al., 2024; Li et al., 2022)</w:t>
      </w:r>
      <w:r w:rsidR="00042472">
        <w:rPr>
          <w:rFonts w:ascii="Arial" w:hAnsi="Arial" w:cs="Arial"/>
          <w:sz w:val="20"/>
          <w:szCs w:val="20"/>
          <w:lang w:val="en-US"/>
        </w:rPr>
        <w:fldChar w:fldCharType="end"/>
      </w:r>
      <w:r w:rsidR="00042472">
        <w:rPr>
          <w:rFonts w:ascii="Arial" w:hAnsi="Arial" w:cs="Arial"/>
          <w:sz w:val="20"/>
          <w:szCs w:val="20"/>
          <w:lang w:val="en-US"/>
        </w:rPr>
        <w:t>.</w:t>
      </w:r>
    </w:p>
    <w:p w14:paraId="53A67F59" w14:textId="77777777"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The detection of these diverse phytochemical constituents supports the traditional medicinal applications of </w:t>
      </w:r>
      <w:r w:rsidRPr="00903532">
        <w:rPr>
          <w:rFonts w:ascii="Arial" w:hAnsi="Arial" w:cs="Arial"/>
          <w:i/>
          <w:sz w:val="20"/>
          <w:szCs w:val="20"/>
          <w:lang w:val="en-US"/>
        </w:rPr>
        <w:t>Amaranthus spinosus</w:t>
      </w:r>
      <w:r w:rsidRPr="003B794A">
        <w:rPr>
          <w:rFonts w:ascii="Arial" w:hAnsi="Arial" w:cs="Arial"/>
          <w:sz w:val="20"/>
          <w:szCs w:val="20"/>
          <w:lang w:val="en-US"/>
        </w:rPr>
        <w:t>. The presence of phenolic compounds, fatty acid derivatives, terpenoids, heterocyclic compounds, and aromatic compounds suggests that the plant may exert multiple biological effects through synergistic interactions among its phytochemical components.</w:t>
      </w:r>
      <w:r w:rsidR="00F47CFD" w:rsidRPr="00F47CFD">
        <w:t xml:space="preserve"> </w:t>
      </w:r>
      <w:r w:rsidR="00F47CFD">
        <w:rPr>
          <w:rFonts w:ascii="Arial" w:hAnsi="Arial" w:cs="Arial"/>
          <w:sz w:val="20"/>
          <w:szCs w:val="20"/>
          <w:lang w:val="en-US"/>
        </w:rPr>
        <w:t>The</w:t>
      </w:r>
      <w:r w:rsidR="00F47CFD" w:rsidRPr="00F47CFD">
        <w:rPr>
          <w:rFonts w:ascii="Arial" w:hAnsi="Arial" w:cs="Arial"/>
          <w:sz w:val="20"/>
          <w:szCs w:val="20"/>
          <w:lang w:val="en-US"/>
        </w:rPr>
        <w:t xml:space="preserve"> classes of phytochemicals, including fatty acid esters and phenolic compounds, have been reported in </w:t>
      </w:r>
      <w:proofErr w:type="spellStart"/>
      <w:r w:rsidR="00F47CFD" w:rsidRPr="00F47CFD">
        <w:rPr>
          <w:rFonts w:ascii="Arial" w:hAnsi="Arial" w:cs="Arial"/>
          <w:i/>
          <w:sz w:val="20"/>
          <w:szCs w:val="20"/>
          <w:lang w:val="en-US"/>
        </w:rPr>
        <w:t>Hellenia</w:t>
      </w:r>
      <w:proofErr w:type="spellEnd"/>
      <w:r w:rsidR="00F47CFD" w:rsidRPr="00F47CFD">
        <w:rPr>
          <w:rFonts w:ascii="Arial" w:hAnsi="Arial" w:cs="Arial"/>
          <w:i/>
          <w:sz w:val="20"/>
          <w:szCs w:val="20"/>
          <w:lang w:val="en-US"/>
        </w:rPr>
        <w:t xml:space="preserve"> </w:t>
      </w:r>
      <w:proofErr w:type="spellStart"/>
      <w:r w:rsidR="00F47CFD" w:rsidRPr="00F47CFD">
        <w:rPr>
          <w:rFonts w:ascii="Arial" w:hAnsi="Arial" w:cs="Arial"/>
          <w:i/>
          <w:sz w:val="20"/>
          <w:szCs w:val="20"/>
          <w:lang w:val="en-US"/>
        </w:rPr>
        <w:t>speciosa</w:t>
      </w:r>
      <w:proofErr w:type="spellEnd"/>
      <w:r w:rsidR="00F47CFD" w:rsidRPr="00F47CFD">
        <w:rPr>
          <w:rFonts w:ascii="Arial" w:hAnsi="Arial" w:cs="Arial"/>
          <w:sz w:val="20"/>
          <w:szCs w:val="20"/>
          <w:lang w:val="en-US"/>
        </w:rPr>
        <w:t>, where they were associated with antioxidant and antimicrobial properties</w:t>
      </w:r>
      <w:r w:rsidR="00F47CFD">
        <w:rPr>
          <w:rFonts w:ascii="Arial" w:hAnsi="Arial" w:cs="Arial"/>
          <w:sz w:val="20"/>
          <w:szCs w:val="20"/>
          <w:lang w:val="en-US"/>
        </w:rPr>
        <w:t xml:space="preserve"> </w:t>
      </w:r>
      <w:r w:rsidR="00F47CFD">
        <w:rPr>
          <w:rFonts w:ascii="Arial" w:hAnsi="Arial" w:cs="Arial"/>
          <w:sz w:val="20"/>
          <w:szCs w:val="20"/>
          <w:lang w:val="en-US"/>
        </w:rPr>
        <w:fldChar w:fldCharType="begin" w:fldLock="1"/>
      </w:r>
      <w:r w:rsidR="00DB6548">
        <w:rPr>
          <w:rFonts w:ascii="Arial" w:hAnsi="Arial" w:cs="Arial"/>
          <w:sz w:val="20"/>
          <w:szCs w:val="20"/>
          <w:lang w:val="en-US"/>
        </w:rPr>
        <w:instrText>ADDIN CSL_CITATION {"citationItems":[{"id":"ITEM-1","itemData":{"DOI":"10.1007/s12010-021-03742-2","ISSN":"15590291","PMID":"34762268","abstract":"Hellenia speciosa (J.Koenig) S.R. Dutta is a plant species belonging to the family Costaceae. It is widely distributed in China, India, Malaysia, Indonesia, tropical, and subtropical Asia. In Ayurveda, the rhizome of this plant has been extensively used to treat fever, rash, asthma, bronchitis, and intestinal worms. The objective of the present study was to investigate the phytochemical constituents of the leaf of Hellenia speciosa using gas chromatography and mass spectroscopy analysis (GC-MS). The GC-MS analysis revealed the presence of 17 phytochemical components in the ethanolic leaf extract of Hellenia speciosa. The prevailing bioactive compounds present in Hellenia speciosa were thymol (RT-10.019; 3.59%), caryophyllene (RT-11.854; 0.62%), caryophyllene oxide (RT-13.919; 1.34%), artumerone (RT-14.795; 1.35%), hexadecanoic acid methyl ester (RT-17.536; 2.77%), 9,12-octadecanoic acid methyl ester (RT-19.163; 1.35%), squalene (RT-24.980; 1.19%), piperine (RT-25.745; 3.11%), beta tocopherol (RT-26.681; 2.88%), vitamin E (RT-27.290; 2.64%), progesterone (RT-29.608; 3.18%), caparratriene (RT-29.861; 9.72%), and testosterone (RT-30.73; 5.81%). The compounds were identified by comparing their retention time and peak area with that of the literature and by interpretation of mass spectra. The results and findings of the present study suggest that the plant leaf can be used as a valuable source in the field of herbal drug discovery. The presence of bioactive compounds justifies the use of plant leaves for treating various diseases with fewer side effects and recommended the plant of pharmaceutical importance. However, further studies are needed to undertake its bioactivity and toxicity profile.","author":[{"dropping-particle":"","family":"Ramya","given":"R.","non-dropping-particle":"","parse-names":false,"suffix":""}],"container-title":"Applied Biochemistry and Biotechnology","id":"ITEM-1","issued":{"date-parts":[["2022","1"]]},"page":"176-186","publisher":"Springer","title":"GC-MS Analysis of Bioactive Compounds in Ethanolic Leaf Extract of Hellenia speciosa (J.Koenig) S.R. Dutta","type":"article-journal","volume":"194"},"uris":["http://www.mendeley.com/documents/?uuid=255680c7-0cb1-3343-ade7-1c92d6341966"]}],"mendeley":{"formattedCitation":"(Ramya, 2022)","plainTextFormattedCitation":"(Ramya, 2022)","previouslyFormattedCitation":"(Ramya, 2022)"},"properties":{"noteIndex":0},"schema":"https://github.com/citation-style-language/schema/raw/master/csl-citation.json"}</w:instrText>
      </w:r>
      <w:r w:rsidR="00F47CFD">
        <w:rPr>
          <w:rFonts w:ascii="Arial" w:hAnsi="Arial" w:cs="Arial"/>
          <w:sz w:val="20"/>
          <w:szCs w:val="20"/>
          <w:lang w:val="en-US"/>
        </w:rPr>
        <w:fldChar w:fldCharType="separate"/>
      </w:r>
      <w:r w:rsidR="00F47CFD" w:rsidRPr="00F47CFD">
        <w:rPr>
          <w:rFonts w:ascii="Arial" w:hAnsi="Arial" w:cs="Arial"/>
          <w:noProof/>
          <w:sz w:val="20"/>
          <w:szCs w:val="20"/>
          <w:lang w:val="en-US"/>
        </w:rPr>
        <w:t>(Ramya, 2022)</w:t>
      </w:r>
      <w:r w:rsidR="00F47CFD">
        <w:rPr>
          <w:rFonts w:ascii="Arial" w:hAnsi="Arial" w:cs="Arial"/>
          <w:sz w:val="20"/>
          <w:szCs w:val="20"/>
          <w:lang w:val="en-US"/>
        </w:rPr>
        <w:fldChar w:fldCharType="end"/>
      </w:r>
      <w:r w:rsidR="00F47CFD" w:rsidRPr="00F47CFD">
        <w:rPr>
          <w:rFonts w:ascii="Arial" w:hAnsi="Arial" w:cs="Arial"/>
          <w:sz w:val="20"/>
          <w:szCs w:val="20"/>
          <w:lang w:val="en-US"/>
        </w:rPr>
        <w:t>.</w:t>
      </w:r>
      <w:r w:rsidR="00F47CFD" w:rsidRPr="00F47CFD">
        <w:t xml:space="preserve"> </w:t>
      </w:r>
      <w:r w:rsidR="00DB6548">
        <w:rPr>
          <w:rFonts w:ascii="Arial" w:hAnsi="Arial" w:cs="Arial"/>
          <w:sz w:val="20"/>
          <w:szCs w:val="20"/>
          <w:lang w:val="en-US"/>
        </w:rPr>
        <w:t>In another study,</w:t>
      </w:r>
      <w:r w:rsidR="00F47CFD" w:rsidRPr="00F47CFD">
        <w:rPr>
          <w:rFonts w:ascii="Arial" w:hAnsi="Arial" w:cs="Arial"/>
          <w:sz w:val="20"/>
          <w:szCs w:val="20"/>
          <w:lang w:val="en-US"/>
        </w:rPr>
        <w:t xml:space="preserve"> fatty acid derivatives have been reported </w:t>
      </w:r>
      <w:r w:rsidR="00DB6548">
        <w:rPr>
          <w:rFonts w:ascii="Arial" w:hAnsi="Arial" w:cs="Arial"/>
          <w:sz w:val="20"/>
          <w:szCs w:val="20"/>
          <w:lang w:val="en-US"/>
        </w:rPr>
        <w:t xml:space="preserve">an ethanolic extract of </w:t>
      </w:r>
      <w:r w:rsidR="00F47CFD" w:rsidRPr="00F47CFD">
        <w:rPr>
          <w:rFonts w:ascii="Arial" w:hAnsi="Arial" w:cs="Arial"/>
          <w:sz w:val="20"/>
          <w:szCs w:val="20"/>
          <w:lang w:val="en-US"/>
        </w:rPr>
        <w:t xml:space="preserve"> </w:t>
      </w:r>
      <w:r w:rsidR="00F47CFD" w:rsidRPr="00F47CFD">
        <w:rPr>
          <w:rFonts w:ascii="Arial" w:hAnsi="Arial" w:cs="Arial"/>
          <w:i/>
          <w:sz w:val="20"/>
          <w:szCs w:val="20"/>
          <w:lang w:val="en-US"/>
        </w:rPr>
        <w:t>Mentha arvensis</w:t>
      </w:r>
      <w:r w:rsidR="00F47CFD" w:rsidRPr="00F47CFD">
        <w:rPr>
          <w:rFonts w:ascii="Arial" w:hAnsi="Arial" w:cs="Arial"/>
          <w:sz w:val="20"/>
          <w:szCs w:val="20"/>
          <w:lang w:val="en-US"/>
        </w:rPr>
        <w:t xml:space="preserve"> and </w:t>
      </w:r>
      <w:r w:rsidR="00F47CFD" w:rsidRPr="00F47CFD">
        <w:rPr>
          <w:rFonts w:ascii="Arial" w:hAnsi="Arial" w:cs="Arial"/>
          <w:i/>
          <w:sz w:val="20"/>
          <w:szCs w:val="20"/>
          <w:lang w:val="en-US"/>
        </w:rPr>
        <w:t xml:space="preserve">Aegle </w:t>
      </w:r>
      <w:proofErr w:type="spellStart"/>
      <w:r w:rsidR="00F47CFD" w:rsidRPr="00F47CFD">
        <w:rPr>
          <w:rFonts w:ascii="Arial" w:hAnsi="Arial" w:cs="Arial"/>
          <w:i/>
          <w:sz w:val="20"/>
          <w:szCs w:val="20"/>
          <w:lang w:val="en-US"/>
        </w:rPr>
        <w:t>marmelos</w:t>
      </w:r>
      <w:proofErr w:type="spellEnd"/>
      <w:r w:rsidR="00F47CFD" w:rsidRPr="00F47CFD">
        <w:rPr>
          <w:rFonts w:ascii="Arial" w:hAnsi="Arial" w:cs="Arial"/>
          <w:sz w:val="20"/>
          <w:szCs w:val="20"/>
          <w:lang w:val="en-US"/>
        </w:rPr>
        <w:t>, where GC-MS analysis linked these compounds to antioxidant and anticancer activities</w:t>
      </w:r>
      <w:r w:rsidR="00DB6548">
        <w:rPr>
          <w:rFonts w:ascii="Arial" w:hAnsi="Arial" w:cs="Arial"/>
          <w:sz w:val="20"/>
          <w:szCs w:val="20"/>
          <w:lang w:val="en-US"/>
        </w:rPr>
        <w:t xml:space="preserve"> </w:t>
      </w:r>
      <w:r w:rsidR="00DB6548">
        <w:rPr>
          <w:rFonts w:ascii="Arial" w:hAnsi="Arial" w:cs="Arial"/>
          <w:sz w:val="20"/>
          <w:szCs w:val="20"/>
          <w:lang w:val="en-US"/>
        </w:rPr>
        <w:fldChar w:fldCharType="begin" w:fldLock="1"/>
      </w:r>
      <w:r w:rsidR="00DB6548">
        <w:rPr>
          <w:rFonts w:ascii="Arial" w:hAnsi="Arial" w:cs="Arial"/>
          <w:sz w:val="20"/>
          <w:szCs w:val="20"/>
          <w:lang w:val="en-US"/>
        </w:rPr>
        <w:instrText>ADDIN CSL_CITATION {"citationItems":[{"id":"ITEM-1","itemData":{"DOI":"10.1080/14786419.2024.2406993","ISSN":"14786427","PMID":"39328007","abstract":"Bioactive components used to treat human ailments are abundant in medicinal plants. Mentha arvensis and Aegle marmelos have therapeutic properties due to the presence of many phytonutrients. Gas chromatography–mass spectrometry (GC-MS) was used to evaluate the properties of the antioxidant and anticancer bioactive components found in the ethanolic extracts of Mentha arvensis and Aegle marmelos leaves. The major constituents identified in the leaf extracts were octadecanoic acid, heptadecanoic acid, 15-methyl-9,12,15-octadecatrienoic acid, ethyl ester, hexadecanoic acid, neophytadiene, pentadecane, hexadecane, and 1-octadecanol. Some of these components have antibacterial, antioxidant, anticancer, and anti-inflammatory properties. Among the identified compounds, octadecanoic acid and n-hexadecanoic acid are pivotal for their anticancer and antioxidant effects. The GC–MS characterisation indicated the existence of abundant bioactive compounds, confirming their potential therapeutic activities. This study showed that the leaves of Mentha arvensis and Aegle marmelos could be used as novel sources of antioxidants and anticancer medicines.","author":[{"dropping-particle":"V.","family":"Mathai","given":"Reena","non-dropping-particle":"","parse-names":false,"suffix":""},{"dropping-particle":"","family":"Sar","given":"Santosh Kumar","non-dropping-particle":"","parse-names":false,"suffix":""},{"dropping-particle":"","family":"Mitra","given":"Jayati Chatterjee","non-dropping-particle":"","parse-names":false,"suffix":""},{"dropping-particle":"","family":"Jindal","given":"Manoj Kumar","non-dropping-particle":"","parse-names":false,"suffix":""},{"dropping-particle":"","family":"Wang","given":"Faming","non-dropping-particle":"","parse-names":false,"suffix":""}],"container-title":"Natural Product Research","id":"ITEM-1","issued":{"date-parts":[["2025"]]},"page":"7089-7095","publisher":"Taylor and Francis Ltd.","title":"Ethanolic extraction and GC-MS analysis of antioxidant and anticancer bioactive compounds from Mentha arvensis and Aegle marmelos","type":"article-journal","volume":"39"},"uris":["http://www.mendeley.com/documents/?uuid=a8e51017-f291-3a2e-8730-9f1ea069caf2"]}],"mendeley":{"formattedCitation":"(Mathai et al., 2025)","plainTextFormattedCitation":"(Mathai et al., 2025)"},"properties":{"noteIndex":0},"schema":"https://github.com/citation-style-language/schema/raw/master/csl-citation.json"}</w:instrText>
      </w:r>
      <w:r w:rsidR="00DB6548">
        <w:rPr>
          <w:rFonts w:ascii="Arial" w:hAnsi="Arial" w:cs="Arial"/>
          <w:sz w:val="20"/>
          <w:szCs w:val="20"/>
          <w:lang w:val="en-US"/>
        </w:rPr>
        <w:fldChar w:fldCharType="separate"/>
      </w:r>
      <w:r w:rsidR="00DB6548" w:rsidRPr="00DB6548">
        <w:rPr>
          <w:rFonts w:ascii="Arial" w:hAnsi="Arial" w:cs="Arial"/>
          <w:noProof/>
          <w:sz w:val="20"/>
          <w:szCs w:val="20"/>
          <w:lang w:val="en-US"/>
        </w:rPr>
        <w:t>(Mathai et al., 2025)</w:t>
      </w:r>
      <w:r w:rsidR="00DB6548">
        <w:rPr>
          <w:rFonts w:ascii="Arial" w:hAnsi="Arial" w:cs="Arial"/>
          <w:sz w:val="20"/>
          <w:szCs w:val="20"/>
          <w:lang w:val="en-US"/>
        </w:rPr>
        <w:fldChar w:fldCharType="end"/>
      </w:r>
      <w:r w:rsidR="00DB6548">
        <w:rPr>
          <w:rFonts w:ascii="Arial" w:hAnsi="Arial" w:cs="Arial"/>
          <w:sz w:val="20"/>
          <w:szCs w:val="20"/>
          <w:lang w:val="en-US"/>
        </w:rPr>
        <w:t>.</w:t>
      </w:r>
    </w:p>
    <w:p w14:paraId="35705E43" w14:textId="77777777" w:rsid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Furthermore, the identification of these compounds provides a scientific basis for the previously reported pharmacological properties of </w:t>
      </w:r>
      <w:r w:rsidRPr="00F47CFD">
        <w:rPr>
          <w:rFonts w:ascii="Arial" w:hAnsi="Arial" w:cs="Arial"/>
          <w:i/>
          <w:sz w:val="20"/>
          <w:szCs w:val="20"/>
          <w:lang w:val="en-US"/>
        </w:rPr>
        <w:t>Amaranthus spinosus</w:t>
      </w:r>
      <w:r w:rsidRPr="003B794A">
        <w:rPr>
          <w:rFonts w:ascii="Arial" w:hAnsi="Arial" w:cs="Arial"/>
          <w:sz w:val="20"/>
          <w:szCs w:val="20"/>
          <w:lang w:val="en-US"/>
        </w:rPr>
        <w:t>, including antioxidant, antimicrobial, hepatoprotective, and anti-inflammatory activities. The combined action of these phytochemicals may be responsible for the therapeutic effects observed in traditional medicinal practices.</w:t>
      </w:r>
    </w:p>
    <w:p w14:paraId="32DCFD84" w14:textId="77777777" w:rsidR="0039650C" w:rsidRPr="0039650C" w:rsidRDefault="003B794A" w:rsidP="003B794A">
      <w:pPr>
        <w:jc w:val="both"/>
        <w:rPr>
          <w:rFonts w:ascii="Arial" w:hAnsi="Arial" w:cs="Arial"/>
          <w:sz w:val="20"/>
          <w:szCs w:val="20"/>
          <w:lang w:val="en-US"/>
        </w:rPr>
      </w:pPr>
      <w:r>
        <w:rPr>
          <w:rFonts w:ascii="Arial" w:hAnsi="Arial" w:cs="Arial"/>
          <w:sz w:val="20"/>
          <w:szCs w:val="20"/>
          <w:lang w:val="en-US"/>
        </w:rPr>
        <w:t>The</w:t>
      </w:r>
      <w:r w:rsidRPr="003B794A">
        <w:rPr>
          <w:rFonts w:ascii="Arial" w:hAnsi="Arial" w:cs="Arial"/>
          <w:sz w:val="20"/>
          <w:szCs w:val="20"/>
          <w:lang w:val="en-US"/>
        </w:rPr>
        <w:t xml:space="preserve">e GC–MS analysis demonstrates that </w:t>
      </w:r>
      <w:r w:rsidRPr="00F47CFD">
        <w:rPr>
          <w:rFonts w:ascii="Arial" w:hAnsi="Arial" w:cs="Arial"/>
          <w:i/>
          <w:sz w:val="20"/>
          <w:szCs w:val="20"/>
          <w:lang w:val="en-US"/>
        </w:rPr>
        <w:t>Amaranthus spinosus</w:t>
      </w:r>
      <w:r w:rsidRPr="003B794A">
        <w:rPr>
          <w:rFonts w:ascii="Arial" w:hAnsi="Arial" w:cs="Arial"/>
          <w:sz w:val="20"/>
          <w:szCs w:val="20"/>
          <w:lang w:val="en-US"/>
        </w:rPr>
        <w:t xml:space="preserve"> leaves are a rich source of bioactive compounds with potential pharmaceutical applications. These findings highlight the importance of further investigations aimed at isolating and characterizing individual compounds responsible for the biological activities of the plant.</w:t>
      </w:r>
    </w:p>
    <w:p w14:paraId="62F68E3D" w14:textId="77777777" w:rsidR="0039650C" w:rsidRPr="0039650C" w:rsidRDefault="0039650C" w:rsidP="00CA0890">
      <w:pPr>
        <w:jc w:val="both"/>
        <w:rPr>
          <w:rFonts w:ascii="Arial" w:hAnsi="Arial" w:cs="Arial"/>
          <w:sz w:val="20"/>
          <w:szCs w:val="20"/>
          <w:lang w:val="en-US"/>
        </w:rPr>
      </w:pPr>
    </w:p>
    <w:p w14:paraId="27BB9979" w14:textId="77777777" w:rsidR="0039650C" w:rsidRDefault="003B794A" w:rsidP="00CA0890">
      <w:pPr>
        <w:jc w:val="both"/>
        <w:rPr>
          <w:rFonts w:ascii="Arial" w:hAnsi="Arial" w:cs="Arial"/>
          <w:b/>
          <w:sz w:val="20"/>
          <w:szCs w:val="20"/>
          <w:lang w:val="en-US"/>
        </w:rPr>
      </w:pPr>
      <w:r w:rsidRPr="003B794A">
        <w:rPr>
          <w:rFonts w:ascii="Arial" w:hAnsi="Arial" w:cs="Arial"/>
          <w:b/>
          <w:sz w:val="20"/>
          <w:szCs w:val="20"/>
          <w:lang w:val="en-US"/>
        </w:rPr>
        <w:t>CONCLUSION</w:t>
      </w:r>
    </w:p>
    <w:p w14:paraId="62FB6C3B" w14:textId="0FAF8239" w:rsidR="00056584" w:rsidRPr="00DB6548" w:rsidRDefault="00DB6548" w:rsidP="00CA0890">
      <w:pPr>
        <w:jc w:val="both"/>
        <w:rPr>
          <w:rFonts w:ascii="Arial" w:hAnsi="Arial" w:cs="Arial"/>
          <w:sz w:val="20"/>
          <w:szCs w:val="20"/>
          <w:lang w:val="en-US"/>
        </w:rPr>
      </w:pPr>
      <w:r>
        <w:rPr>
          <w:rFonts w:ascii="Arial" w:hAnsi="Arial" w:cs="Arial"/>
          <w:sz w:val="20"/>
          <w:szCs w:val="20"/>
          <w:lang w:val="en-US"/>
        </w:rPr>
        <w:t xml:space="preserve">In the present study on </w:t>
      </w:r>
      <w:r w:rsidRPr="00DB6548">
        <w:rPr>
          <w:rFonts w:ascii="Arial" w:hAnsi="Arial" w:cs="Arial"/>
          <w:i/>
          <w:iCs/>
          <w:sz w:val="20"/>
          <w:szCs w:val="20"/>
        </w:rPr>
        <w:t xml:space="preserve">Amaranthus </w:t>
      </w:r>
      <w:proofErr w:type="spellStart"/>
      <w:r w:rsidR="0037341B" w:rsidRPr="00DB6548">
        <w:rPr>
          <w:rFonts w:ascii="Arial" w:hAnsi="Arial" w:cs="Arial"/>
          <w:i/>
          <w:iCs/>
          <w:sz w:val="20"/>
          <w:szCs w:val="20"/>
        </w:rPr>
        <w:t>spinosus</w:t>
      </w:r>
      <w:proofErr w:type="spellEnd"/>
      <w:r w:rsidR="0037341B" w:rsidRPr="00DB6548">
        <w:rPr>
          <w:rFonts w:ascii="Arial" w:hAnsi="Arial" w:cs="Arial"/>
          <w:sz w:val="20"/>
          <w:szCs w:val="20"/>
        </w:rPr>
        <w:t xml:space="preserve"> </w:t>
      </w:r>
      <w:r w:rsidR="0037341B">
        <w:rPr>
          <w:rFonts w:ascii="Arial" w:hAnsi="Arial" w:cs="Arial"/>
          <w:sz w:val="20"/>
          <w:szCs w:val="20"/>
          <w:lang w:val="en-US"/>
        </w:rPr>
        <w:t>with</w:t>
      </w:r>
      <w:r>
        <w:rPr>
          <w:rFonts w:ascii="Arial" w:hAnsi="Arial" w:cs="Arial"/>
          <w:sz w:val="20"/>
          <w:szCs w:val="20"/>
          <w:lang w:val="en-US"/>
        </w:rPr>
        <w:t xml:space="preserve"> </w:t>
      </w:r>
      <w:r w:rsidRPr="00DB6548">
        <w:rPr>
          <w:rFonts w:ascii="Arial" w:hAnsi="Arial" w:cs="Arial"/>
          <w:sz w:val="20"/>
          <w:szCs w:val="20"/>
        </w:rPr>
        <w:t>Gas Chromatography–Mass Spectrometry (GC–MS)</w:t>
      </w:r>
      <w:r>
        <w:rPr>
          <w:rFonts w:ascii="Arial" w:hAnsi="Arial" w:cs="Arial"/>
          <w:sz w:val="20"/>
          <w:szCs w:val="20"/>
          <w:lang w:val="en-US"/>
        </w:rPr>
        <w:t xml:space="preserve"> </w:t>
      </w:r>
      <w:r w:rsidRPr="00DB6548">
        <w:rPr>
          <w:rFonts w:ascii="Arial" w:hAnsi="Arial" w:cs="Arial"/>
          <w:sz w:val="20"/>
          <w:szCs w:val="20"/>
        </w:rPr>
        <w:t>analysis twenty-four bioactive compounds</w:t>
      </w:r>
      <w:r>
        <w:rPr>
          <w:rFonts w:ascii="Arial" w:hAnsi="Arial" w:cs="Arial"/>
          <w:sz w:val="20"/>
          <w:szCs w:val="20"/>
          <w:lang w:val="en-US"/>
        </w:rPr>
        <w:t xml:space="preserve"> were identified. </w:t>
      </w:r>
      <w:r w:rsidRPr="00DB6548">
        <w:rPr>
          <w:rFonts w:ascii="Arial" w:hAnsi="Arial" w:cs="Arial"/>
          <w:sz w:val="20"/>
          <w:szCs w:val="20"/>
        </w:rPr>
        <w:t xml:space="preserve">The presence of these diverse phytochemicals supports the traditional medicinal use of </w:t>
      </w:r>
      <w:r w:rsidRPr="00DB6548">
        <w:rPr>
          <w:rFonts w:ascii="Arial" w:hAnsi="Arial" w:cs="Arial"/>
          <w:i/>
          <w:iCs/>
          <w:sz w:val="20"/>
          <w:szCs w:val="20"/>
        </w:rPr>
        <w:t>Amaranthus spinosus</w:t>
      </w:r>
      <w:r w:rsidRPr="00DB6548">
        <w:rPr>
          <w:rFonts w:ascii="Arial" w:hAnsi="Arial" w:cs="Arial"/>
          <w:sz w:val="20"/>
          <w:szCs w:val="20"/>
        </w:rPr>
        <w:t xml:space="preserve"> and suggests that the plant is a potential source of pharmacologically active compounds. Further studies are recommended to isolate and characterize these compounds and to evaluate their therapeutic potential for drug development.</w:t>
      </w:r>
    </w:p>
    <w:p w14:paraId="6273F2E4" w14:textId="77777777" w:rsidR="00056584" w:rsidRPr="003B794A" w:rsidRDefault="00056584" w:rsidP="00CA0890">
      <w:pPr>
        <w:jc w:val="both"/>
        <w:rPr>
          <w:rFonts w:ascii="Arial" w:hAnsi="Arial" w:cs="Arial"/>
          <w:b/>
          <w:sz w:val="20"/>
          <w:szCs w:val="20"/>
          <w:lang w:val="en-US"/>
        </w:rPr>
      </w:pPr>
    </w:p>
    <w:p w14:paraId="1539FE68" w14:textId="77777777" w:rsidR="00056584" w:rsidRPr="00056584" w:rsidRDefault="00056584" w:rsidP="00056584">
      <w:pPr>
        <w:jc w:val="both"/>
        <w:rPr>
          <w:rFonts w:ascii="Arial" w:hAnsi="Arial" w:cs="Arial"/>
          <w:b/>
          <w:sz w:val="20"/>
          <w:szCs w:val="20"/>
          <w:lang w:val="en-US"/>
        </w:rPr>
      </w:pPr>
      <w:r w:rsidRPr="00056584">
        <w:rPr>
          <w:rFonts w:ascii="Arial" w:hAnsi="Arial" w:cs="Arial"/>
          <w:b/>
          <w:sz w:val="20"/>
          <w:szCs w:val="20"/>
          <w:lang w:val="en-US"/>
        </w:rPr>
        <w:lastRenderedPageBreak/>
        <w:t>CONFLICT OF INTEREST</w:t>
      </w:r>
    </w:p>
    <w:p w14:paraId="6CE18CA2" w14:textId="77777777" w:rsidR="00056584" w:rsidRPr="00056584" w:rsidRDefault="00056584" w:rsidP="00056584">
      <w:pPr>
        <w:jc w:val="both"/>
        <w:rPr>
          <w:rFonts w:ascii="Arial" w:hAnsi="Arial" w:cs="Arial"/>
          <w:sz w:val="20"/>
          <w:szCs w:val="20"/>
          <w:lang w:val="en-US"/>
        </w:rPr>
      </w:pPr>
      <w:r w:rsidRPr="00056584">
        <w:rPr>
          <w:rFonts w:ascii="Arial" w:hAnsi="Arial" w:cs="Arial"/>
          <w:sz w:val="20"/>
          <w:szCs w:val="20"/>
          <w:lang w:val="en-US"/>
        </w:rPr>
        <w:t>The authors declare no conflict of interest regarding this work. All findings and conclusions presented are</w:t>
      </w:r>
      <w:r>
        <w:rPr>
          <w:rFonts w:ascii="Arial" w:hAnsi="Arial" w:cs="Arial"/>
          <w:sz w:val="20"/>
          <w:szCs w:val="20"/>
          <w:lang w:val="en-US"/>
        </w:rPr>
        <w:t xml:space="preserve"> </w:t>
      </w:r>
      <w:r w:rsidRPr="00056584">
        <w:rPr>
          <w:rFonts w:ascii="Arial" w:hAnsi="Arial" w:cs="Arial"/>
          <w:sz w:val="20"/>
          <w:szCs w:val="20"/>
          <w:lang w:val="en-US"/>
        </w:rPr>
        <w:t>based solely on the data obtained and analyzed without any influence from personal, financial, or external</w:t>
      </w:r>
      <w:r>
        <w:rPr>
          <w:rFonts w:ascii="Arial" w:hAnsi="Arial" w:cs="Arial"/>
          <w:sz w:val="20"/>
          <w:szCs w:val="20"/>
          <w:lang w:val="en-US"/>
        </w:rPr>
        <w:t xml:space="preserve"> </w:t>
      </w:r>
      <w:r w:rsidRPr="00056584">
        <w:rPr>
          <w:rFonts w:ascii="Arial" w:hAnsi="Arial" w:cs="Arial"/>
          <w:sz w:val="20"/>
          <w:szCs w:val="20"/>
          <w:lang w:val="en-US"/>
        </w:rPr>
        <w:t>interest.</w:t>
      </w:r>
    </w:p>
    <w:p w14:paraId="23DD0D2D" w14:textId="77777777" w:rsidR="00056584" w:rsidRPr="00056584" w:rsidRDefault="00056584" w:rsidP="00056584">
      <w:pPr>
        <w:jc w:val="both"/>
        <w:rPr>
          <w:rFonts w:ascii="Arial" w:hAnsi="Arial" w:cs="Arial"/>
          <w:sz w:val="20"/>
          <w:szCs w:val="20"/>
          <w:lang w:val="en-US"/>
        </w:rPr>
      </w:pPr>
      <w:r w:rsidRPr="00056584">
        <w:rPr>
          <w:rFonts w:ascii="Arial" w:hAnsi="Arial" w:cs="Arial"/>
          <w:sz w:val="20"/>
          <w:szCs w:val="20"/>
          <w:lang w:val="en-US"/>
        </w:rPr>
        <w:t>Disclaimer (Artificial intelligence)</w:t>
      </w:r>
    </w:p>
    <w:p w14:paraId="724F4798" w14:textId="77777777" w:rsidR="006C75DA" w:rsidRDefault="00056584" w:rsidP="00056584">
      <w:pPr>
        <w:jc w:val="both"/>
        <w:rPr>
          <w:rFonts w:ascii="Arial" w:hAnsi="Arial" w:cs="Arial"/>
          <w:sz w:val="20"/>
          <w:szCs w:val="20"/>
          <w:lang w:val="en-US"/>
        </w:rPr>
      </w:pPr>
      <w:r w:rsidRPr="00056584">
        <w:rPr>
          <w:rFonts w:ascii="Arial" w:hAnsi="Arial" w:cs="Arial"/>
          <w:sz w:val="20"/>
          <w:szCs w:val="20"/>
          <w:lang w:val="en-US"/>
        </w:rPr>
        <w:t>Author(s) hereby declare that NO generative AI technologies such as Large Language Models</w:t>
      </w:r>
      <w:r>
        <w:rPr>
          <w:rFonts w:ascii="Arial" w:hAnsi="Arial" w:cs="Arial"/>
          <w:sz w:val="20"/>
          <w:szCs w:val="20"/>
          <w:lang w:val="en-US"/>
        </w:rPr>
        <w:t xml:space="preserve"> </w:t>
      </w:r>
      <w:r w:rsidRPr="00056584">
        <w:rPr>
          <w:rFonts w:ascii="Arial" w:hAnsi="Arial" w:cs="Arial"/>
          <w:sz w:val="20"/>
          <w:szCs w:val="20"/>
          <w:lang w:val="en-US"/>
        </w:rPr>
        <w:t>(ChatGPT, COPILOT, etc.) and text-to-image generators have been used during the writing or</w:t>
      </w:r>
      <w:r>
        <w:rPr>
          <w:rFonts w:ascii="Arial" w:hAnsi="Arial" w:cs="Arial"/>
          <w:sz w:val="20"/>
          <w:szCs w:val="20"/>
          <w:lang w:val="en-US"/>
        </w:rPr>
        <w:t xml:space="preserve"> </w:t>
      </w:r>
      <w:r w:rsidRPr="00056584">
        <w:rPr>
          <w:rFonts w:ascii="Arial" w:hAnsi="Arial" w:cs="Arial"/>
          <w:sz w:val="20"/>
          <w:szCs w:val="20"/>
          <w:lang w:val="en-US"/>
        </w:rPr>
        <w:t>editing of this manuscript.</w:t>
      </w:r>
    </w:p>
    <w:p w14:paraId="22808AD3" w14:textId="77777777" w:rsidR="00694596" w:rsidRDefault="00694596" w:rsidP="00056584">
      <w:pPr>
        <w:jc w:val="both"/>
        <w:rPr>
          <w:rFonts w:ascii="Arial" w:hAnsi="Arial" w:cs="Arial"/>
          <w:sz w:val="20"/>
          <w:szCs w:val="20"/>
          <w:lang w:val="en-US"/>
        </w:rPr>
      </w:pPr>
    </w:p>
    <w:p w14:paraId="385A90E7" w14:textId="77777777" w:rsidR="00694596" w:rsidRDefault="00694596" w:rsidP="00056584">
      <w:pPr>
        <w:jc w:val="both"/>
        <w:rPr>
          <w:rFonts w:ascii="Arial" w:hAnsi="Arial" w:cs="Arial"/>
          <w:sz w:val="20"/>
          <w:szCs w:val="20"/>
          <w:lang w:val="en-US"/>
        </w:rPr>
      </w:pPr>
    </w:p>
    <w:p w14:paraId="0575B601" w14:textId="77777777" w:rsidR="00694596" w:rsidRPr="0039650C" w:rsidRDefault="00694596" w:rsidP="00056584">
      <w:pPr>
        <w:jc w:val="both"/>
        <w:rPr>
          <w:rFonts w:ascii="Arial" w:hAnsi="Arial" w:cs="Arial"/>
          <w:sz w:val="20"/>
          <w:szCs w:val="20"/>
          <w:lang w:val="en-US"/>
        </w:rPr>
      </w:pPr>
    </w:p>
    <w:p w14:paraId="0FD3EDCD" w14:textId="77777777" w:rsidR="006C75DA" w:rsidRPr="003608C7" w:rsidRDefault="003608C7" w:rsidP="00CA0890">
      <w:pPr>
        <w:jc w:val="both"/>
        <w:rPr>
          <w:rFonts w:ascii="Arial" w:hAnsi="Arial" w:cs="Arial"/>
          <w:b/>
          <w:sz w:val="20"/>
          <w:szCs w:val="20"/>
          <w:lang w:val="en-US"/>
        </w:rPr>
      </w:pPr>
      <w:r w:rsidRPr="003608C7">
        <w:rPr>
          <w:rFonts w:ascii="Arial" w:hAnsi="Arial" w:cs="Arial"/>
          <w:b/>
          <w:sz w:val="20"/>
          <w:szCs w:val="20"/>
          <w:lang w:val="en-US"/>
        </w:rPr>
        <w:t>REFERENCE</w:t>
      </w:r>
    </w:p>
    <w:p w14:paraId="5056961B" w14:textId="77777777" w:rsidR="00DB6548" w:rsidRPr="00DB6548" w:rsidRDefault="003608C7" w:rsidP="00DB6548">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sz w:val="20"/>
          <w:szCs w:val="20"/>
          <w:lang w:val="en-US"/>
        </w:rPr>
        <w:fldChar w:fldCharType="begin" w:fldLock="1"/>
      </w:r>
      <w:r>
        <w:rPr>
          <w:rFonts w:ascii="Arial" w:hAnsi="Arial" w:cs="Arial"/>
          <w:sz w:val="20"/>
          <w:szCs w:val="20"/>
          <w:lang w:val="en-US"/>
        </w:rPr>
        <w:instrText xml:space="preserve">ADDIN Mendeley Bibliography CSL_BIBLIOGRAPHY </w:instrText>
      </w:r>
      <w:r>
        <w:rPr>
          <w:rFonts w:ascii="Arial" w:hAnsi="Arial" w:cs="Arial"/>
          <w:sz w:val="20"/>
          <w:szCs w:val="20"/>
          <w:lang w:val="en-US"/>
        </w:rPr>
        <w:fldChar w:fldCharType="separate"/>
      </w:r>
      <w:r w:rsidR="00DB6548" w:rsidRPr="00DB6548">
        <w:rPr>
          <w:rFonts w:ascii="Arial" w:hAnsi="Arial" w:cs="Arial"/>
          <w:noProof/>
          <w:sz w:val="20"/>
          <w:szCs w:val="24"/>
        </w:rPr>
        <w:t xml:space="preserve">Adegbola, P. I., Adetutu, A., &amp; Olaniyi, T. D. (2020). Antioxidant activity of Amaranthus species from the Amaranthaceae family – A review. In </w:t>
      </w:r>
      <w:r w:rsidR="00DB6548" w:rsidRPr="00DB6548">
        <w:rPr>
          <w:rFonts w:ascii="Arial" w:hAnsi="Arial" w:cs="Arial"/>
          <w:i/>
          <w:iCs/>
          <w:noProof/>
          <w:sz w:val="20"/>
          <w:szCs w:val="24"/>
        </w:rPr>
        <w:t>South African Journal of Botany</w:t>
      </w:r>
      <w:r w:rsidR="00DB6548" w:rsidRPr="00DB6548">
        <w:rPr>
          <w:rFonts w:ascii="Arial" w:hAnsi="Arial" w:cs="Arial"/>
          <w:noProof/>
          <w:sz w:val="20"/>
          <w:szCs w:val="24"/>
        </w:rPr>
        <w:t xml:space="preserve"> (Vol. 133, pp. 111–117). Elsevier B.V. https://doi.org/10.1016/j.sajb.2020.07.003</w:t>
      </w:r>
    </w:p>
    <w:p w14:paraId="24C9725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Agidew, M. G. (2022). Phytochemical analysis of some selected traditional medicinal plants in Ethiopia. </w:t>
      </w:r>
      <w:r w:rsidRPr="00DB6548">
        <w:rPr>
          <w:rFonts w:ascii="Arial" w:hAnsi="Arial" w:cs="Arial"/>
          <w:i/>
          <w:iCs/>
          <w:noProof/>
          <w:sz w:val="20"/>
          <w:szCs w:val="24"/>
        </w:rPr>
        <w:t>Bulletin of the National Research Centre</w:t>
      </w:r>
      <w:r w:rsidRPr="00DB6548">
        <w:rPr>
          <w:rFonts w:ascii="Arial" w:hAnsi="Arial" w:cs="Arial"/>
          <w:noProof/>
          <w:sz w:val="20"/>
          <w:szCs w:val="24"/>
        </w:rPr>
        <w:t xml:space="preserve">, </w:t>
      </w:r>
      <w:r w:rsidRPr="00DB6548">
        <w:rPr>
          <w:rFonts w:ascii="Arial" w:hAnsi="Arial" w:cs="Arial"/>
          <w:i/>
          <w:iCs/>
          <w:noProof/>
          <w:sz w:val="20"/>
          <w:szCs w:val="24"/>
        </w:rPr>
        <w:t>46</w:t>
      </w:r>
      <w:r w:rsidRPr="00DB6548">
        <w:rPr>
          <w:rFonts w:ascii="Arial" w:hAnsi="Arial" w:cs="Arial"/>
          <w:noProof/>
          <w:sz w:val="20"/>
          <w:szCs w:val="24"/>
        </w:rPr>
        <w:t>. https://doi.org/10.1186/s42269-022-00770-8</w:t>
      </w:r>
    </w:p>
    <w:p w14:paraId="5F340FA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Ahmmed, A. N. F., Islam, M. Z., &amp; Ferdous, R. (2024). </w:t>
      </w:r>
      <w:r w:rsidRPr="00DB6548">
        <w:rPr>
          <w:rFonts w:ascii="Arial" w:hAnsi="Arial" w:cs="Arial"/>
          <w:i/>
          <w:iCs/>
          <w:noProof/>
          <w:sz w:val="20"/>
          <w:szCs w:val="24"/>
        </w:rPr>
        <w:t>Effective management of white rust disease in red amaranth: a field study in Dhaka, Bangladesh</w:t>
      </w:r>
      <w:r w:rsidRPr="00DB6548">
        <w:rPr>
          <w:rFonts w:ascii="Arial" w:hAnsi="Arial" w:cs="Arial"/>
          <w:noProof/>
          <w:sz w:val="20"/>
          <w:szCs w:val="24"/>
        </w:rPr>
        <w:t>.</w:t>
      </w:r>
    </w:p>
    <w:p w14:paraId="6B486AC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Akinyemi, D. O., Olorunfemi, A. B., Akinola, O., Abiodun, O. O., Afolabi, O. K., Thomas, B. N., Gbotosho, G. O., &amp; Ojurongbe, O. (2025). Antimalarial, Antioxidant and Hepatoprotective Activities of Ethanol Extract of Blighia sapida K.D. Koenig (Sapindaceae) in Plasmodium berghei-infected Mice. </w:t>
      </w:r>
      <w:r w:rsidRPr="00DB6548">
        <w:rPr>
          <w:rFonts w:ascii="Arial" w:hAnsi="Arial" w:cs="Arial"/>
          <w:i/>
          <w:iCs/>
          <w:noProof/>
          <w:sz w:val="20"/>
          <w:szCs w:val="24"/>
        </w:rPr>
        <w:t>Acta Parasitologica</w:t>
      </w:r>
      <w:r w:rsidRPr="00DB6548">
        <w:rPr>
          <w:rFonts w:ascii="Arial" w:hAnsi="Arial" w:cs="Arial"/>
          <w:noProof/>
          <w:sz w:val="20"/>
          <w:szCs w:val="24"/>
        </w:rPr>
        <w:t xml:space="preserve">, </w:t>
      </w:r>
      <w:r w:rsidRPr="00DB6548">
        <w:rPr>
          <w:rFonts w:ascii="Arial" w:hAnsi="Arial" w:cs="Arial"/>
          <w:i/>
          <w:iCs/>
          <w:noProof/>
          <w:sz w:val="20"/>
          <w:szCs w:val="24"/>
        </w:rPr>
        <w:t>70</w:t>
      </w:r>
      <w:r w:rsidRPr="00DB6548">
        <w:rPr>
          <w:rFonts w:ascii="Arial" w:hAnsi="Arial" w:cs="Arial"/>
          <w:noProof/>
          <w:sz w:val="20"/>
          <w:szCs w:val="24"/>
        </w:rPr>
        <w:t>. https://doi.org/10.1007/s11686-025-01162-4</w:t>
      </w:r>
    </w:p>
    <w:p w14:paraId="54354595"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Allahmoradi, M., Alimohammadi, S., &amp; Cheraghi, H. (2020). Protective Effect of Cynara scolymus L. on Blood Biochemical Parameters and Liver Histopathological Changes in Phenylhydrazine-Induced Hemolytic Anemia in Rats. </w:t>
      </w:r>
      <w:r w:rsidRPr="00DB6548">
        <w:rPr>
          <w:rFonts w:ascii="Arial" w:hAnsi="Arial" w:cs="Arial"/>
          <w:i/>
          <w:iCs/>
          <w:noProof/>
          <w:sz w:val="20"/>
          <w:szCs w:val="24"/>
        </w:rPr>
        <w:t>Pharmaceutical and Biomedical Research</w:t>
      </w:r>
      <w:r w:rsidRPr="00DB6548">
        <w:rPr>
          <w:rFonts w:ascii="Arial" w:hAnsi="Arial" w:cs="Arial"/>
          <w:noProof/>
          <w:sz w:val="20"/>
          <w:szCs w:val="24"/>
        </w:rPr>
        <w:t>. https://doi.org/10.18502/pbr.v5i4.2397</w:t>
      </w:r>
    </w:p>
    <w:p w14:paraId="1ABB578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Ammar, N. M., Kadry, M. O., Abd Elkarim, A. S., Ibrahim, R. S., Sallam, I. E., El Gendy, A. E. N. G., Afifi, S. M., Esatbeyoglu, T., Farag, M. A., &amp; Elshamy, A. I. (2025). Amaranthus spinosus Linn. Extract as an Innovative Strategy to Regulate Biomarkers for Ovarian Hyperthecosis via Circular RNA (hsa‐circ‐0001577): Evidence From Biochemical, Metabolomics, Histological, and Phytochemical Profiling. </w:t>
      </w:r>
      <w:r w:rsidRPr="00DB6548">
        <w:rPr>
          <w:rFonts w:ascii="Arial" w:hAnsi="Arial" w:cs="Arial"/>
          <w:i/>
          <w:iCs/>
          <w:noProof/>
          <w:sz w:val="20"/>
          <w:szCs w:val="24"/>
        </w:rPr>
        <w:t>Food Science &amp; Nutrition</w:t>
      </w:r>
      <w:r w:rsidRPr="00DB6548">
        <w:rPr>
          <w:rFonts w:ascii="Arial" w:hAnsi="Arial" w:cs="Arial"/>
          <w:noProof/>
          <w:sz w:val="20"/>
          <w:szCs w:val="24"/>
        </w:rPr>
        <w:t xml:space="preserve">, </w:t>
      </w:r>
      <w:r w:rsidRPr="00DB6548">
        <w:rPr>
          <w:rFonts w:ascii="Arial" w:hAnsi="Arial" w:cs="Arial"/>
          <w:i/>
          <w:iCs/>
          <w:noProof/>
          <w:sz w:val="20"/>
          <w:szCs w:val="24"/>
        </w:rPr>
        <w:t>13</w:t>
      </w:r>
      <w:r w:rsidRPr="00DB6548">
        <w:rPr>
          <w:rFonts w:ascii="Arial" w:hAnsi="Arial" w:cs="Arial"/>
          <w:noProof/>
          <w:sz w:val="20"/>
          <w:szCs w:val="24"/>
        </w:rPr>
        <w:t>(5), e70314. https://doi.org/10.1002/fsn3.70314</w:t>
      </w:r>
    </w:p>
    <w:p w14:paraId="201A5759"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Bashir, S., Behiry, S., Al-Askar, A. A., Kowalczewski, P. Ł., Emaish, H. H., &amp; Abdelkhalek, A. (2024). Antibacterial, antifungal, and phytochemical properties of Salsola kali ethanolic extract. </w:t>
      </w:r>
      <w:r w:rsidRPr="00DB6548">
        <w:rPr>
          <w:rFonts w:ascii="Arial" w:hAnsi="Arial" w:cs="Arial"/>
          <w:i/>
          <w:iCs/>
          <w:noProof/>
          <w:sz w:val="20"/>
          <w:szCs w:val="24"/>
        </w:rPr>
        <w:t>Open Life Sciences</w:t>
      </w:r>
      <w:r w:rsidRPr="00DB6548">
        <w:rPr>
          <w:rFonts w:ascii="Arial" w:hAnsi="Arial" w:cs="Arial"/>
          <w:noProof/>
          <w:sz w:val="20"/>
          <w:szCs w:val="24"/>
        </w:rPr>
        <w:t xml:space="preserve">, </w:t>
      </w:r>
      <w:r w:rsidRPr="00DB6548">
        <w:rPr>
          <w:rFonts w:ascii="Arial" w:hAnsi="Arial" w:cs="Arial"/>
          <w:i/>
          <w:iCs/>
          <w:noProof/>
          <w:sz w:val="20"/>
          <w:szCs w:val="24"/>
        </w:rPr>
        <w:t>19</w:t>
      </w:r>
      <w:r w:rsidRPr="00DB6548">
        <w:rPr>
          <w:rFonts w:ascii="Arial" w:hAnsi="Arial" w:cs="Arial"/>
          <w:noProof/>
          <w:sz w:val="20"/>
          <w:szCs w:val="24"/>
        </w:rPr>
        <w:t>, 20220962. https://doi.org/10.1515/biol-2022-0962</w:t>
      </w:r>
    </w:p>
    <w:p w14:paraId="2D95C1B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Bhatla, S. C., &amp; Lal, M. A. (2023). Secondary Metabolites. In </w:t>
      </w:r>
      <w:r w:rsidRPr="00DB6548">
        <w:rPr>
          <w:rFonts w:ascii="Arial" w:hAnsi="Arial" w:cs="Arial"/>
          <w:i/>
          <w:iCs/>
          <w:noProof/>
          <w:sz w:val="20"/>
          <w:szCs w:val="24"/>
        </w:rPr>
        <w:t>Plant Physiology, Development and Metabolism</w:t>
      </w:r>
      <w:r w:rsidRPr="00DB6548">
        <w:rPr>
          <w:rFonts w:ascii="Arial" w:hAnsi="Arial" w:cs="Arial"/>
          <w:noProof/>
          <w:sz w:val="20"/>
          <w:szCs w:val="24"/>
        </w:rPr>
        <w:t xml:space="preserve"> (pp. 765–808). Springer Nature Singapore. https://doi.org/10.1007/978-981-99-5736-1_33</w:t>
      </w:r>
    </w:p>
    <w:p w14:paraId="6535F8F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Carvalho, K. da S., e Silva, S. L. da C., de Souza, I. A., Gualberto, S. A., da Cruz, R. C. D., dos Santos, F. R., &amp; de Carvalho, M. G. (2016). Toxicological evaluation of essential oil from the leaves of Croton tetradenius (Euphorbiaceae) on Aedes aegypti and Mus musculus. </w:t>
      </w:r>
      <w:r w:rsidRPr="00DB6548">
        <w:rPr>
          <w:rFonts w:ascii="Arial" w:hAnsi="Arial" w:cs="Arial"/>
          <w:i/>
          <w:iCs/>
          <w:noProof/>
          <w:sz w:val="20"/>
          <w:szCs w:val="24"/>
        </w:rPr>
        <w:t>Parasitology Research</w:t>
      </w:r>
      <w:r w:rsidRPr="00DB6548">
        <w:rPr>
          <w:rFonts w:ascii="Arial" w:hAnsi="Arial" w:cs="Arial"/>
          <w:noProof/>
          <w:sz w:val="20"/>
          <w:szCs w:val="24"/>
        </w:rPr>
        <w:t xml:space="preserve">, </w:t>
      </w:r>
      <w:r w:rsidRPr="00DB6548">
        <w:rPr>
          <w:rFonts w:ascii="Arial" w:hAnsi="Arial" w:cs="Arial"/>
          <w:i/>
          <w:iCs/>
          <w:noProof/>
          <w:sz w:val="20"/>
          <w:szCs w:val="24"/>
        </w:rPr>
        <w:t>115</w:t>
      </w:r>
      <w:r w:rsidRPr="00DB6548">
        <w:rPr>
          <w:rFonts w:ascii="Arial" w:hAnsi="Arial" w:cs="Arial"/>
          <w:noProof/>
          <w:sz w:val="20"/>
          <w:szCs w:val="24"/>
        </w:rPr>
        <w:t>, 3441–3448. https://doi.org/10.1007/s00436-016-5106-2</w:t>
      </w:r>
    </w:p>
    <w:p w14:paraId="629C7032"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Casati, S., Rota, P., Allevi, P., Mingione, A., Ottria, R., &amp; Ciuffreda, P. (2021). Clarifying the use of benzylidene protecting group for d-(+)-ribono-1,4-lactone, an essential building block in the synthesis of c-nucleosides. </w:t>
      </w:r>
      <w:r w:rsidRPr="00DB6548">
        <w:rPr>
          <w:rFonts w:ascii="Arial" w:hAnsi="Arial" w:cs="Arial"/>
          <w:i/>
          <w:iCs/>
          <w:noProof/>
          <w:sz w:val="20"/>
          <w:szCs w:val="24"/>
        </w:rPr>
        <w:t>Molecules</w:t>
      </w:r>
      <w:r w:rsidRPr="00DB6548">
        <w:rPr>
          <w:rFonts w:ascii="Arial" w:hAnsi="Arial" w:cs="Arial"/>
          <w:noProof/>
          <w:sz w:val="20"/>
          <w:szCs w:val="24"/>
        </w:rPr>
        <w:t xml:space="preserve">, </w:t>
      </w:r>
      <w:r w:rsidRPr="00DB6548">
        <w:rPr>
          <w:rFonts w:ascii="Arial" w:hAnsi="Arial" w:cs="Arial"/>
          <w:i/>
          <w:iCs/>
          <w:noProof/>
          <w:sz w:val="20"/>
          <w:szCs w:val="24"/>
        </w:rPr>
        <w:t>26</w:t>
      </w:r>
      <w:r w:rsidRPr="00DB6548">
        <w:rPr>
          <w:rFonts w:ascii="Arial" w:hAnsi="Arial" w:cs="Arial"/>
          <w:noProof/>
          <w:sz w:val="20"/>
          <w:szCs w:val="24"/>
        </w:rPr>
        <w:t>. https://doi.org/10.3390/molecules26216447</w:t>
      </w:r>
    </w:p>
    <w:p w14:paraId="268919E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lastRenderedPageBreak/>
        <w:t xml:space="preserve">Chaachouay, N., &amp; Zidane, L. (2024). Plant-Derived Natural Products: A Source for Drug Discovery and Development. </w:t>
      </w:r>
      <w:r w:rsidRPr="00DB6548">
        <w:rPr>
          <w:rFonts w:ascii="Arial" w:hAnsi="Arial" w:cs="Arial"/>
          <w:i/>
          <w:iCs/>
          <w:noProof/>
          <w:sz w:val="20"/>
          <w:szCs w:val="24"/>
        </w:rPr>
        <w:t>Drugs and Drug Candidates</w:t>
      </w:r>
      <w:r w:rsidRPr="00DB6548">
        <w:rPr>
          <w:rFonts w:ascii="Arial" w:hAnsi="Arial" w:cs="Arial"/>
          <w:noProof/>
          <w:sz w:val="20"/>
          <w:szCs w:val="24"/>
        </w:rPr>
        <w:t xml:space="preserve">, </w:t>
      </w:r>
      <w:r w:rsidRPr="00DB6548">
        <w:rPr>
          <w:rFonts w:ascii="Arial" w:hAnsi="Arial" w:cs="Arial"/>
          <w:i/>
          <w:iCs/>
          <w:noProof/>
          <w:sz w:val="20"/>
          <w:szCs w:val="24"/>
        </w:rPr>
        <w:t>3</w:t>
      </w:r>
      <w:r w:rsidRPr="00DB6548">
        <w:rPr>
          <w:rFonts w:ascii="Arial" w:hAnsi="Arial" w:cs="Arial"/>
          <w:noProof/>
          <w:sz w:val="20"/>
          <w:szCs w:val="24"/>
        </w:rPr>
        <w:t>(1), 184–207. https://doi.org/10.3390/ddc3010011</w:t>
      </w:r>
    </w:p>
    <w:p w14:paraId="74B3E120"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David, B., Wolfender, J. L., &amp; Dias, D. A. (2015). The pharmaceutical industry and natural products: historical status and new trends. In </w:t>
      </w:r>
      <w:r w:rsidRPr="00DB6548">
        <w:rPr>
          <w:rFonts w:ascii="Arial" w:hAnsi="Arial" w:cs="Arial"/>
          <w:i/>
          <w:iCs/>
          <w:noProof/>
          <w:sz w:val="20"/>
          <w:szCs w:val="24"/>
        </w:rPr>
        <w:t>Phytochemistry Reviews</w:t>
      </w:r>
      <w:r w:rsidRPr="00DB6548">
        <w:rPr>
          <w:rFonts w:ascii="Arial" w:hAnsi="Arial" w:cs="Arial"/>
          <w:noProof/>
          <w:sz w:val="20"/>
          <w:szCs w:val="24"/>
        </w:rPr>
        <w:t xml:space="preserve"> (Vol. 14, pp. 299–315). Kluwer Academic Publishers. https://doi.org/10.1007/s11101-014-9367-z</w:t>
      </w:r>
    </w:p>
    <w:p w14:paraId="33D06E8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Drakontaeidi, A., Papanotas, I., &amp; Pontiki, E. (2024). Multitarget Pharmacology of Sulfur–Nitrogen Heterocycles: Anticancer and Antioxidant Perspectives. In </w:t>
      </w:r>
      <w:r w:rsidRPr="00DB6548">
        <w:rPr>
          <w:rFonts w:ascii="Arial" w:hAnsi="Arial" w:cs="Arial"/>
          <w:i/>
          <w:iCs/>
          <w:noProof/>
          <w:sz w:val="20"/>
          <w:szCs w:val="24"/>
        </w:rPr>
        <w:t>Antioxidants</w:t>
      </w:r>
      <w:r w:rsidRPr="00DB6548">
        <w:rPr>
          <w:rFonts w:ascii="Arial" w:hAnsi="Arial" w:cs="Arial"/>
          <w:noProof/>
          <w:sz w:val="20"/>
          <w:szCs w:val="24"/>
        </w:rPr>
        <w:t xml:space="preserve"> (Vol. 13). Multidisciplinary Digital Publishing Institute (MDPI). https://doi.org/10.3390/antiox13080898</w:t>
      </w:r>
    </w:p>
    <w:p w14:paraId="5E2D0C1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Gonfa, Y. H., Bachheti, A., Semwal, P., Rai, N., Singab, A. N., &amp; Bachheti, R. K. (2025). Hepatoprotective activity of medicinal plants, their phytochemistry, and safety concerns: A systematic review. In </w:t>
      </w:r>
      <w:r w:rsidRPr="00DB6548">
        <w:rPr>
          <w:rFonts w:ascii="Arial" w:hAnsi="Arial" w:cs="Arial"/>
          <w:i/>
          <w:iCs/>
          <w:noProof/>
          <w:sz w:val="20"/>
          <w:szCs w:val="24"/>
        </w:rPr>
        <w:t>Zeitschrift fur Naturforschung - Section C Journal of Biosciences</w:t>
      </w:r>
      <w:r w:rsidRPr="00DB6548">
        <w:rPr>
          <w:rFonts w:ascii="Arial" w:hAnsi="Arial" w:cs="Arial"/>
          <w:noProof/>
          <w:sz w:val="20"/>
          <w:szCs w:val="24"/>
        </w:rPr>
        <w:t xml:space="preserve"> (Vol. 80, pp. 61–73). Walter de Gruyter GmbH. https://doi.org/10.1515/znc-2024-0116</w:t>
      </w:r>
    </w:p>
    <w:p w14:paraId="01354FB5"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Hamad, H. T. (2025). The anti-cancer effectiveness of some heterocyclic compounds containing sulfur atom. In </w:t>
      </w:r>
      <w:r w:rsidRPr="00DB6548">
        <w:rPr>
          <w:rFonts w:ascii="Arial" w:hAnsi="Arial" w:cs="Arial"/>
          <w:i/>
          <w:iCs/>
          <w:noProof/>
          <w:sz w:val="20"/>
          <w:szCs w:val="24"/>
        </w:rPr>
        <w:t>Results in Chemistry</w:t>
      </w:r>
      <w:r w:rsidRPr="00DB6548">
        <w:rPr>
          <w:rFonts w:ascii="Arial" w:hAnsi="Arial" w:cs="Arial"/>
          <w:noProof/>
          <w:sz w:val="20"/>
          <w:szCs w:val="24"/>
        </w:rPr>
        <w:t xml:space="preserve"> (Vol. 15). Elsevier B.V. https://doi.org/10.1016/j.rechem.2025.102182</w:t>
      </w:r>
    </w:p>
    <w:p w14:paraId="753F909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Hur, J., Jang, J., &amp; Sim, J. (2021). A review of the pharmacological activities and recent synthetic advances of γ-butyrolactones. In </w:t>
      </w:r>
      <w:r w:rsidRPr="00DB6548">
        <w:rPr>
          <w:rFonts w:ascii="Arial" w:hAnsi="Arial" w:cs="Arial"/>
          <w:i/>
          <w:iCs/>
          <w:noProof/>
          <w:sz w:val="20"/>
          <w:szCs w:val="24"/>
        </w:rPr>
        <w:t>International Journal of Molecular Sciences</w:t>
      </w:r>
      <w:r w:rsidRPr="00DB6548">
        <w:rPr>
          <w:rFonts w:ascii="Arial" w:hAnsi="Arial" w:cs="Arial"/>
          <w:noProof/>
          <w:sz w:val="20"/>
          <w:szCs w:val="24"/>
        </w:rPr>
        <w:t xml:space="preserve"> (Vol. 22, pp. 1–49). MDPI AG. https://doi.org/10.3390/ijms22052769</w:t>
      </w:r>
    </w:p>
    <w:p w14:paraId="229A054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Jamalluddin, N., Massawe, F. J., Mayes, S., Ho, W. K., Singh, A., &amp; Symonds, R. C. (2021). Physiological screening for drought tolerance traits in vegetable amaranth (Amaranthus tricolor) germplasm. </w:t>
      </w:r>
      <w:r w:rsidRPr="00DB6548">
        <w:rPr>
          <w:rFonts w:ascii="Arial" w:hAnsi="Arial" w:cs="Arial"/>
          <w:i/>
          <w:iCs/>
          <w:noProof/>
          <w:sz w:val="20"/>
          <w:szCs w:val="24"/>
        </w:rPr>
        <w:t>Agriculture (Switzerland)</w:t>
      </w:r>
      <w:r w:rsidRPr="00DB6548">
        <w:rPr>
          <w:rFonts w:ascii="Arial" w:hAnsi="Arial" w:cs="Arial"/>
          <w:noProof/>
          <w:sz w:val="20"/>
          <w:szCs w:val="24"/>
        </w:rPr>
        <w:t xml:space="preserve">, </w:t>
      </w:r>
      <w:r w:rsidRPr="00DB6548">
        <w:rPr>
          <w:rFonts w:ascii="Arial" w:hAnsi="Arial" w:cs="Arial"/>
          <w:i/>
          <w:iCs/>
          <w:noProof/>
          <w:sz w:val="20"/>
          <w:szCs w:val="24"/>
        </w:rPr>
        <w:t>11</w:t>
      </w:r>
      <w:r w:rsidRPr="00DB6548">
        <w:rPr>
          <w:rFonts w:ascii="Arial" w:hAnsi="Arial" w:cs="Arial"/>
          <w:noProof/>
          <w:sz w:val="20"/>
          <w:szCs w:val="24"/>
        </w:rPr>
        <w:t>. https://doi.org/10.3390/agriculture11100994</w:t>
      </w:r>
    </w:p>
    <w:p w14:paraId="09C8A0A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Jankowska, M., Rogalska, J., Wyszkowska, J., &amp; Stankiewicz, M. (2018). Molecular targets for components of essential oils in the insect nervous system—a review. In </w:t>
      </w:r>
      <w:r w:rsidRPr="00DB6548">
        <w:rPr>
          <w:rFonts w:ascii="Arial" w:hAnsi="Arial" w:cs="Arial"/>
          <w:i/>
          <w:iCs/>
          <w:noProof/>
          <w:sz w:val="20"/>
          <w:szCs w:val="24"/>
        </w:rPr>
        <w:t>Molecules</w:t>
      </w:r>
      <w:r w:rsidRPr="00DB6548">
        <w:rPr>
          <w:rFonts w:ascii="Arial" w:hAnsi="Arial" w:cs="Arial"/>
          <w:noProof/>
          <w:sz w:val="20"/>
          <w:szCs w:val="24"/>
        </w:rPr>
        <w:t xml:space="preserve"> (Vol. 23). MDPI AG. https://doi.org/10.3390/molecules23010034</w:t>
      </w:r>
    </w:p>
    <w:p w14:paraId="70C7DAD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Jiménez-Nevárez, Y. B., Angulo-Escalante, M. A., Montes-Avila, J., Guerrero-Alonso, A., Christen, J. G., Hurtado-Díaz, I., Heredia, J. B., Quintana-Obregón, E. A., &amp; Alvarez, L. (2023). Phytochemical Characterization and In Vitro Anti-Inflammatory Evaluation in RAW 264.7 Cells of Jatropha cordata Bark Extracts. </w:t>
      </w:r>
      <w:r w:rsidRPr="00DB6548">
        <w:rPr>
          <w:rFonts w:ascii="Arial" w:hAnsi="Arial" w:cs="Arial"/>
          <w:i/>
          <w:iCs/>
          <w:noProof/>
          <w:sz w:val="20"/>
          <w:szCs w:val="24"/>
        </w:rPr>
        <w:t>Plants</w:t>
      </w:r>
      <w:r w:rsidRPr="00DB6548">
        <w:rPr>
          <w:rFonts w:ascii="Arial" w:hAnsi="Arial" w:cs="Arial"/>
          <w:noProof/>
          <w:sz w:val="20"/>
          <w:szCs w:val="24"/>
        </w:rPr>
        <w:t xml:space="preserve">, </w:t>
      </w:r>
      <w:r w:rsidRPr="00DB6548">
        <w:rPr>
          <w:rFonts w:ascii="Arial" w:hAnsi="Arial" w:cs="Arial"/>
          <w:i/>
          <w:iCs/>
          <w:noProof/>
          <w:sz w:val="20"/>
          <w:szCs w:val="24"/>
        </w:rPr>
        <w:t>12</w:t>
      </w:r>
      <w:r w:rsidRPr="00DB6548">
        <w:rPr>
          <w:rFonts w:ascii="Arial" w:hAnsi="Arial" w:cs="Arial"/>
          <w:noProof/>
          <w:sz w:val="20"/>
          <w:szCs w:val="24"/>
        </w:rPr>
        <w:t>. https://doi.org/10.3390/plants12030560</w:t>
      </w:r>
    </w:p>
    <w:p w14:paraId="3E226DF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Kanupriya, Mittal, R. K., Sharma, V., Biswas, T., &amp; Mishra, I. (2024). Recent Advances in Nitrogen-Containing Heterocyclic Scaffolds as Antiviral Agents. </w:t>
      </w:r>
      <w:r w:rsidRPr="00DB6548">
        <w:rPr>
          <w:rFonts w:ascii="Arial" w:hAnsi="Arial" w:cs="Arial"/>
          <w:i/>
          <w:iCs/>
          <w:noProof/>
          <w:sz w:val="20"/>
          <w:szCs w:val="24"/>
        </w:rPr>
        <w:t>Medicinal Chemistry</w:t>
      </w:r>
      <w:r w:rsidRPr="00DB6548">
        <w:rPr>
          <w:rFonts w:ascii="Arial" w:hAnsi="Arial" w:cs="Arial"/>
          <w:noProof/>
          <w:sz w:val="20"/>
          <w:szCs w:val="24"/>
        </w:rPr>
        <w:t xml:space="preserve">, </w:t>
      </w:r>
      <w:r w:rsidRPr="00DB6548">
        <w:rPr>
          <w:rFonts w:ascii="Arial" w:hAnsi="Arial" w:cs="Arial"/>
          <w:i/>
          <w:iCs/>
          <w:noProof/>
          <w:sz w:val="20"/>
          <w:szCs w:val="24"/>
        </w:rPr>
        <w:t>20</w:t>
      </w:r>
      <w:r w:rsidRPr="00DB6548">
        <w:rPr>
          <w:rFonts w:ascii="Arial" w:hAnsi="Arial" w:cs="Arial"/>
          <w:noProof/>
          <w:sz w:val="20"/>
          <w:szCs w:val="24"/>
        </w:rPr>
        <w:t>, 487–502. https://doi.org/10.2174/0115734064280150231212113012</w:t>
      </w:r>
    </w:p>
    <w:p w14:paraId="49E0DE0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Khamis, G., Alsherif, E. A., Korany, S. M., Aldailami, D. A., Aloufi, A. S., Khalaf, M. H., Hamed, S. M., Maridueña-Zavala, M. G., Al Jaouni, S. K., &amp; Selim, S. (2025). Drought stress differentially influences growth, physiology, and metabolite accumulation in Triticum aestivum (C3) and Amaranthus caudatus (C4) plants. </w:t>
      </w:r>
      <w:r w:rsidRPr="00DB6548">
        <w:rPr>
          <w:rFonts w:ascii="Arial" w:hAnsi="Arial" w:cs="Arial"/>
          <w:i/>
          <w:iCs/>
          <w:noProof/>
          <w:sz w:val="20"/>
          <w:szCs w:val="24"/>
        </w:rPr>
        <w:t>BMC Plant Biology</w:t>
      </w:r>
      <w:r w:rsidRPr="00DB6548">
        <w:rPr>
          <w:rFonts w:ascii="Arial" w:hAnsi="Arial" w:cs="Arial"/>
          <w:noProof/>
          <w:sz w:val="20"/>
          <w:szCs w:val="24"/>
        </w:rPr>
        <w:t xml:space="preserve">, </w:t>
      </w:r>
      <w:r w:rsidRPr="00DB6548">
        <w:rPr>
          <w:rFonts w:ascii="Arial" w:hAnsi="Arial" w:cs="Arial"/>
          <w:i/>
          <w:iCs/>
          <w:noProof/>
          <w:sz w:val="20"/>
          <w:szCs w:val="24"/>
        </w:rPr>
        <w:t>25</w:t>
      </w:r>
      <w:r w:rsidRPr="00DB6548">
        <w:rPr>
          <w:rFonts w:ascii="Arial" w:hAnsi="Arial" w:cs="Arial"/>
          <w:noProof/>
          <w:sz w:val="20"/>
          <w:szCs w:val="24"/>
        </w:rPr>
        <w:t>. https://doi.org/10.1186/s12870-025-07022-7</w:t>
      </w:r>
    </w:p>
    <w:p w14:paraId="52B2180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Kim, H.-Y., Kang, M.-G., Kim, T.-G., &amp; Kang, C.-W. (2011). Toxicity of Methylcyclohexane and Its Effect on the Reproductive System in SD Rats. </w:t>
      </w:r>
      <w:r w:rsidRPr="00DB6548">
        <w:rPr>
          <w:rFonts w:ascii="Arial" w:hAnsi="Arial" w:cs="Arial"/>
          <w:i/>
          <w:iCs/>
          <w:noProof/>
          <w:sz w:val="20"/>
          <w:szCs w:val="24"/>
        </w:rPr>
        <w:t>Safety and Health at Work</w:t>
      </w:r>
      <w:r w:rsidRPr="00DB6548">
        <w:rPr>
          <w:rFonts w:ascii="Arial" w:hAnsi="Arial" w:cs="Arial"/>
          <w:noProof/>
          <w:sz w:val="20"/>
          <w:szCs w:val="24"/>
        </w:rPr>
        <w:t xml:space="preserve">, </w:t>
      </w:r>
      <w:r w:rsidRPr="00DB6548">
        <w:rPr>
          <w:rFonts w:ascii="Arial" w:hAnsi="Arial" w:cs="Arial"/>
          <w:i/>
          <w:iCs/>
          <w:noProof/>
          <w:sz w:val="20"/>
          <w:szCs w:val="24"/>
        </w:rPr>
        <w:t>2</w:t>
      </w:r>
      <w:r w:rsidRPr="00DB6548">
        <w:rPr>
          <w:rFonts w:ascii="Arial" w:hAnsi="Arial" w:cs="Arial"/>
          <w:noProof/>
          <w:sz w:val="20"/>
          <w:szCs w:val="24"/>
        </w:rPr>
        <w:t>, 290–300. https://doi.org/10.5491/SHAW.2011.2.3.290</w:t>
      </w:r>
    </w:p>
    <w:p w14:paraId="1550461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Kudumela, R. G., Mazimba, O., &amp; Masoko, P. (2019). Isolation and characterisation of sesquiterpene lactones from Schkuhria pinnata and their antibacterial and anti-inflammatory activities. </w:t>
      </w:r>
      <w:r w:rsidRPr="00DB6548">
        <w:rPr>
          <w:rFonts w:ascii="Arial" w:hAnsi="Arial" w:cs="Arial"/>
          <w:i/>
          <w:iCs/>
          <w:noProof/>
          <w:sz w:val="20"/>
          <w:szCs w:val="24"/>
        </w:rPr>
        <w:t>South African Journal of Botany</w:t>
      </w:r>
      <w:r w:rsidRPr="00DB6548">
        <w:rPr>
          <w:rFonts w:ascii="Arial" w:hAnsi="Arial" w:cs="Arial"/>
          <w:noProof/>
          <w:sz w:val="20"/>
          <w:szCs w:val="24"/>
        </w:rPr>
        <w:t xml:space="preserve">, </w:t>
      </w:r>
      <w:r w:rsidRPr="00DB6548">
        <w:rPr>
          <w:rFonts w:ascii="Arial" w:hAnsi="Arial" w:cs="Arial"/>
          <w:i/>
          <w:iCs/>
          <w:noProof/>
          <w:sz w:val="20"/>
          <w:szCs w:val="24"/>
        </w:rPr>
        <w:t>126</w:t>
      </w:r>
      <w:r w:rsidRPr="00DB6548">
        <w:rPr>
          <w:rFonts w:ascii="Arial" w:hAnsi="Arial" w:cs="Arial"/>
          <w:noProof/>
          <w:sz w:val="20"/>
          <w:szCs w:val="24"/>
        </w:rPr>
        <w:t>, 340–344. https://doi.org/10.1016/j.sajb.2019.04.002</w:t>
      </w:r>
    </w:p>
    <w:p w14:paraId="439EBF9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Lang, D. K., Kaur, R., Arora, R., Saini, B., &amp; Arora, S. (2020). Nitrogen-Containing Heterocycles as Anticancer Agents: An Overview. </w:t>
      </w:r>
      <w:r w:rsidRPr="00DB6548">
        <w:rPr>
          <w:rFonts w:ascii="Arial" w:hAnsi="Arial" w:cs="Arial"/>
          <w:i/>
          <w:iCs/>
          <w:noProof/>
          <w:sz w:val="20"/>
          <w:szCs w:val="24"/>
        </w:rPr>
        <w:t>Anti-Cancer Agents in Medicinal Chemistry</w:t>
      </w:r>
      <w:r w:rsidRPr="00DB6548">
        <w:rPr>
          <w:rFonts w:ascii="Arial" w:hAnsi="Arial" w:cs="Arial"/>
          <w:noProof/>
          <w:sz w:val="20"/>
          <w:szCs w:val="24"/>
        </w:rPr>
        <w:t xml:space="preserve">, </w:t>
      </w:r>
      <w:r w:rsidRPr="00DB6548">
        <w:rPr>
          <w:rFonts w:ascii="Arial" w:hAnsi="Arial" w:cs="Arial"/>
          <w:i/>
          <w:iCs/>
          <w:noProof/>
          <w:sz w:val="20"/>
          <w:szCs w:val="24"/>
        </w:rPr>
        <w:t>20</w:t>
      </w:r>
      <w:r w:rsidRPr="00DB6548">
        <w:rPr>
          <w:rFonts w:ascii="Arial" w:hAnsi="Arial" w:cs="Arial"/>
          <w:noProof/>
          <w:sz w:val="20"/>
          <w:szCs w:val="24"/>
        </w:rPr>
        <w:t>, 2150–2168. https://doi.org/10.2174/1871520620666200705214917</w:t>
      </w:r>
    </w:p>
    <w:p w14:paraId="3C29FE9E"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Latif, R., &amp; Nawaz, T. (2025). Medicinal plants and human health: a comprehensive review of bioactive compounds, therapeutic effects, and applications. In </w:t>
      </w:r>
      <w:r w:rsidRPr="00DB6548">
        <w:rPr>
          <w:rFonts w:ascii="Arial" w:hAnsi="Arial" w:cs="Arial"/>
          <w:i/>
          <w:iCs/>
          <w:noProof/>
          <w:sz w:val="20"/>
          <w:szCs w:val="24"/>
        </w:rPr>
        <w:t>Phytochemistry Reviews</w:t>
      </w:r>
      <w:r w:rsidRPr="00DB6548">
        <w:rPr>
          <w:rFonts w:ascii="Arial" w:hAnsi="Arial" w:cs="Arial"/>
          <w:noProof/>
          <w:sz w:val="20"/>
          <w:szCs w:val="24"/>
        </w:rPr>
        <w:t>. Springer Science and Business Media B.V. https://doi.org/10.1007/s11101-025-10194-7</w:t>
      </w:r>
    </w:p>
    <w:p w14:paraId="3219D4A8"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Li, Y., Lu, Q., Xiao, R., Ma, J., Tang, Y., Chen, W., Zhang, R., Jiang, L., Chen, H., Shen, B., Zhang, </w:t>
      </w:r>
      <w:r w:rsidRPr="00DB6548">
        <w:rPr>
          <w:rFonts w:ascii="Arial" w:hAnsi="Arial" w:cs="Arial"/>
          <w:noProof/>
          <w:sz w:val="20"/>
          <w:szCs w:val="24"/>
        </w:rPr>
        <w:lastRenderedPageBreak/>
        <w:t xml:space="preserve">A., &amp; Ding, C. (2022). Synthesis and anti-tumor activity of nitrogen-containing derivatives of the natural product diphyllin. </w:t>
      </w:r>
      <w:r w:rsidRPr="00DB6548">
        <w:rPr>
          <w:rFonts w:ascii="Arial" w:hAnsi="Arial" w:cs="Arial"/>
          <w:i/>
          <w:iCs/>
          <w:noProof/>
          <w:sz w:val="20"/>
          <w:szCs w:val="24"/>
        </w:rPr>
        <w:t>European Journal of Medicinal Chemistry</w:t>
      </w:r>
      <w:r w:rsidRPr="00DB6548">
        <w:rPr>
          <w:rFonts w:ascii="Arial" w:hAnsi="Arial" w:cs="Arial"/>
          <w:noProof/>
          <w:sz w:val="20"/>
          <w:szCs w:val="24"/>
        </w:rPr>
        <w:t xml:space="preserve">, </w:t>
      </w:r>
      <w:r w:rsidRPr="00DB6548">
        <w:rPr>
          <w:rFonts w:ascii="Arial" w:hAnsi="Arial" w:cs="Arial"/>
          <w:i/>
          <w:iCs/>
          <w:noProof/>
          <w:sz w:val="20"/>
          <w:szCs w:val="24"/>
        </w:rPr>
        <w:t>243</w:t>
      </w:r>
      <w:r w:rsidRPr="00DB6548">
        <w:rPr>
          <w:rFonts w:ascii="Arial" w:hAnsi="Arial" w:cs="Arial"/>
          <w:noProof/>
          <w:sz w:val="20"/>
          <w:szCs w:val="24"/>
        </w:rPr>
        <w:t>. https://doi.org/10.1016/j.ejmech.2022.114708</w:t>
      </w:r>
    </w:p>
    <w:p w14:paraId="24000208"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MacLean, P. D., Chapman, E. E., Dobrowolski, S. L., Thompson, A., &amp; Barclay, L. R. C. (2008). Pyrroles as antioxidants: Solvent effects and the nature of the attacking radical on antioxidant activities and mechanisms of pyrroles, dipyrrinones, and bile pigments. </w:t>
      </w:r>
      <w:r w:rsidRPr="00DB6548">
        <w:rPr>
          <w:rFonts w:ascii="Arial" w:hAnsi="Arial" w:cs="Arial"/>
          <w:i/>
          <w:iCs/>
          <w:noProof/>
          <w:sz w:val="20"/>
          <w:szCs w:val="24"/>
        </w:rPr>
        <w:t>Journal of Organic Chemistry</w:t>
      </w:r>
      <w:r w:rsidRPr="00DB6548">
        <w:rPr>
          <w:rFonts w:ascii="Arial" w:hAnsi="Arial" w:cs="Arial"/>
          <w:noProof/>
          <w:sz w:val="20"/>
          <w:szCs w:val="24"/>
        </w:rPr>
        <w:t xml:space="preserve">, </w:t>
      </w:r>
      <w:r w:rsidRPr="00DB6548">
        <w:rPr>
          <w:rFonts w:ascii="Arial" w:hAnsi="Arial" w:cs="Arial"/>
          <w:i/>
          <w:iCs/>
          <w:noProof/>
          <w:sz w:val="20"/>
          <w:szCs w:val="24"/>
        </w:rPr>
        <w:t>73</w:t>
      </w:r>
      <w:r w:rsidRPr="00DB6548">
        <w:rPr>
          <w:rFonts w:ascii="Arial" w:hAnsi="Arial" w:cs="Arial"/>
          <w:noProof/>
          <w:sz w:val="20"/>
          <w:szCs w:val="24"/>
        </w:rPr>
        <w:t>, 6623–6635. https://doi.org/10.1021/jo8005073</w:t>
      </w:r>
    </w:p>
    <w:p w14:paraId="2F5AADF2"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Mathai, R. V., Sar, S. K., Mitra, J. C., Jindal, M. K., &amp; Wang, F. (2025). Ethanolic extraction and GC-MS analysis of antioxidant and anticancer bioactive compounds from Mentha arvensis and Aegle marmelos. </w:t>
      </w:r>
      <w:r w:rsidRPr="00DB6548">
        <w:rPr>
          <w:rFonts w:ascii="Arial" w:hAnsi="Arial" w:cs="Arial"/>
          <w:i/>
          <w:iCs/>
          <w:noProof/>
          <w:sz w:val="20"/>
          <w:szCs w:val="24"/>
        </w:rPr>
        <w:t>Natural Product Research</w:t>
      </w:r>
      <w:r w:rsidRPr="00DB6548">
        <w:rPr>
          <w:rFonts w:ascii="Arial" w:hAnsi="Arial" w:cs="Arial"/>
          <w:noProof/>
          <w:sz w:val="20"/>
          <w:szCs w:val="24"/>
        </w:rPr>
        <w:t xml:space="preserve">, </w:t>
      </w:r>
      <w:r w:rsidRPr="00DB6548">
        <w:rPr>
          <w:rFonts w:ascii="Arial" w:hAnsi="Arial" w:cs="Arial"/>
          <w:i/>
          <w:iCs/>
          <w:noProof/>
          <w:sz w:val="20"/>
          <w:szCs w:val="24"/>
        </w:rPr>
        <w:t>39</w:t>
      </w:r>
      <w:r w:rsidRPr="00DB6548">
        <w:rPr>
          <w:rFonts w:ascii="Arial" w:hAnsi="Arial" w:cs="Arial"/>
          <w:noProof/>
          <w:sz w:val="20"/>
          <w:szCs w:val="24"/>
        </w:rPr>
        <w:t>, 7089–7095. https://doi.org/10.1080/14786419.2024.2406993</w:t>
      </w:r>
    </w:p>
    <w:p w14:paraId="44CFE9DE"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Matos, M. S., Anastácio, J. D., &amp; Dos Santos, C. N. (2021). Sesquiterpene lactones: Promising natural compounds to fight inflammation. In </w:t>
      </w:r>
      <w:r w:rsidRPr="00DB6548">
        <w:rPr>
          <w:rFonts w:ascii="Arial" w:hAnsi="Arial" w:cs="Arial"/>
          <w:i/>
          <w:iCs/>
          <w:noProof/>
          <w:sz w:val="20"/>
          <w:szCs w:val="24"/>
        </w:rPr>
        <w:t>Pharmaceutics</w:t>
      </w:r>
      <w:r w:rsidRPr="00DB6548">
        <w:rPr>
          <w:rFonts w:ascii="Arial" w:hAnsi="Arial" w:cs="Arial"/>
          <w:noProof/>
          <w:sz w:val="20"/>
          <w:szCs w:val="24"/>
        </w:rPr>
        <w:t xml:space="preserve"> (Vol. 13). MDPI. https://doi.org/10.3390/pharmaceutics13070991</w:t>
      </w:r>
    </w:p>
    <w:p w14:paraId="774BB20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Maželienė, Ž., Kirvaitienė, J., Kaklauskienė, K., Volskienė, R., &amp; Aleksandravičienė, A. (2025). Antifungal and Antibacterial Activity of Aqueous and Ethanolic Extracts of Different Rosa rugosa Parts. </w:t>
      </w:r>
      <w:r w:rsidRPr="00DB6548">
        <w:rPr>
          <w:rFonts w:ascii="Arial" w:hAnsi="Arial" w:cs="Arial"/>
          <w:i/>
          <w:iCs/>
          <w:noProof/>
          <w:sz w:val="20"/>
          <w:szCs w:val="24"/>
        </w:rPr>
        <w:t>Microbiology Research</w:t>
      </w:r>
      <w:r w:rsidRPr="00DB6548">
        <w:rPr>
          <w:rFonts w:ascii="Arial" w:hAnsi="Arial" w:cs="Arial"/>
          <w:noProof/>
          <w:sz w:val="20"/>
          <w:szCs w:val="24"/>
        </w:rPr>
        <w:t xml:space="preserve">, </w:t>
      </w:r>
      <w:r w:rsidRPr="00DB6548">
        <w:rPr>
          <w:rFonts w:ascii="Arial" w:hAnsi="Arial" w:cs="Arial"/>
          <w:i/>
          <w:iCs/>
          <w:noProof/>
          <w:sz w:val="20"/>
          <w:szCs w:val="24"/>
        </w:rPr>
        <w:t>16</w:t>
      </w:r>
      <w:r w:rsidRPr="00DB6548">
        <w:rPr>
          <w:rFonts w:ascii="Arial" w:hAnsi="Arial" w:cs="Arial"/>
          <w:noProof/>
          <w:sz w:val="20"/>
          <w:szCs w:val="24"/>
        </w:rPr>
        <w:t>. https://doi.org/10.3390/microbiolres16010026</w:t>
      </w:r>
    </w:p>
    <w:p w14:paraId="2DF9A23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Mbazurike, A. M., Okereke, J. ., Nwabunnia, I. ., Okechi, R. ., Ibeh, R. ., &amp; Chibueze, N. M. (2026). Hepatoprotective Effects of Amaranthus Spinosus Extract against Alcohol-induced Liver Injury in Wistar Rats: Modulation of Lipid Profile and Liver Function Markers. </w:t>
      </w:r>
      <w:r w:rsidRPr="00DB6548">
        <w:rPr>
          <w:rFonts w:ascii="Arial" w:hAnsi="Arial" w:cs="Arial"/>
          <w:i/>
          <w:iCs/>
          <w:noProof/>
          <w:sz w:val="20"/>
          <w:szCs w:val="24"/>
        </w:rPr>
        <w:t>Asian Journal of Research in Biochemistry</w:t>
      </w:r>
      <w:r w:rsidRPr="00DB6548">
        <w:rPr>
          <w:rFonts w:ascii="Arial" w:hAnsi="Arial" w:cs="Arial"/>
          <w:noProof/>
          <w:sz w:val="20"/>
          <w:szCs w:val="24"/>
        </w:rPr>
        <w:t xml:space="preserve">, </w:t>
      </w:r>
      <w:r w:rsidRPr="00DB6548">
        <w:rPr>
          <w:rFonts w:ascii="Arial" w:hAnsi="Arial" w:cs="Arial"/>
          <w:i/>
          <w:iCs/>
          <w:noProof/>
          <w:sz w:val="20"/>
          <w:szCs w:val="24"/>
        </w:rPr>
        <w:t>16</w:t>
      </w:r>
      <w:r w:rsidRPr="00DB6548">
        <w:rPr>
          <w:rFonts w:ascii="Arial" w:hAnsi="Arial" w:cs="Arial"/>
          <w:noProof/>
          <w:sz w:val="20"/>
          <w:szCs w:val="24"/>
        </w:rPr>
        <w:t>, 83–104. https://doi.org/10.9734/ajrb/2026/v16i1471</w:t>
      </w:r>
    </w:p>
    <w:p w14:paraId="5CD0F29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Mullaivendhan, J., Ahamed, A., Raman, G., Radhakrishnan, S., &amp; Akbar, I. (2023). Synthesis and antibacterial activity of pyrano[3,2-g]chromene-4,6-dione derivatives and their molecular docking and DFT calculation studies. </w:t>
      </w:r>
      <w:r w:rsidRPr="00DB6548">
        <w:rPr>
          <w:rFonts w:ascii="Arial" w:hAnsi="Arial" w:cs="Arial"/>
          <w:i/>
          <w:iCs/>
          <w:noProof/>
          <w:sz w:val="20"/>
          <w:szCs w:val="24"/>
        </w:rPr>
        <w:t>Results in Chemistry</w:t>
      </w:r>
      <w:r w:rsidRPr="00DB6548">
        <w:rPr>
          <w:rFonts w:ascii="Arial" w:hAnsi="Arial" w:cs="Arial"/>
          <w:noProof/>
          <w:sz w:val="20"/>
          <w:szCs w:val="24"/>
        </w:rPr>
        <w:t xml:space="preserve">, </w:t>
      </w:r>
      <w:r w:rsidRPr="00DB6548">
        <w:rPr>
          <w:rFonts w:ascii="Arial" w:hAnsi="Arial" w:cs="Arial"/>
          <w:i/>
          <w:iCs/>
          <w:noProof/>
          <w:sz w:val="20"/>
          <w:szCs w:val="24"/>
        </w:rPr>
        <w:t>6</w:t>
      </w:r>
      <w:r w:rsidRPr="00DB6548">
        <w:rPr>
          <w:rFonts w:ascii="Arial" w:hAnsi="Arial" w:cs="Arial"/>
          <w:noProof/>
          <w:sz w:val="20"/>
          <w:szCs w:val="24"/>
        </w:rPr>
        <w:t>. https://doi.org/10.1016/j.rechem.2023.101175</w:t>
      </w:r>
    </w:p>
    <w:p w14:paraId="56F695A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Napagoda, M., Gerstmeier, J., Butschek, H., De Soyza, S., Pace, S., Lorenz, S., Qader, M., Witharana, S., Nagahawatte, A., Wijayaratne, G., Svatoš, A., Jayasinghe, L., Koeberle, A., &amp; Werz, O. (2020). The anti-inflammatory and antimicrobial potential of selected ethnomedicinal plants from Sri Lanka. </w:t>
      </w:r>
      <w:r w:rsidRPr="00DB6548">
        <w:rPr>
          <w:rFonts w:ascii="Arial" w:hAnsi="Arial" w:cs="Arial"/>
          <w:i/>
          <w:iCs/>
          <w:noProof/>
          <w:sz w:val="20"/>
          <w:szCs w:val="24"/>
        </w:rPr>
        <w:t>Molecules</w:t>
      </w:r>
      <w:r w:rsidRPr="00DB6548">
        <w:rPr>
          <w:rFonts w:ascii="Arial" w:hAnsi="Arial" w:cs="Arial"/>
          <w:noProof/>
          <w:sz w:val="20"/>
          <w:szCs w:val="24"/>
        </w:rPr>
        <w:t xml:space="preserve">, </w:t>
      </w:r>
      <w:r w:rsidRPr="00DB6548">
        <w:rPr>
          <w:rFonts w:ascii="Arial" w:hAnsi="Arial" w:cs="Arial"/>
          <w:i/>
          <w:iCs/>
          <w:noProof/>
          <w:sz w:val="20"/>
          <w:szCs w:val="24"/>
        </w:rPr>
        <w:t>25</w:t>
      </w:r>
      <w:r w:rsidRPr="00DB6548">
        <w:rPr>
          <w:rFonts w:ascii="Arial" w:hAnsi="Arial" w:cs="Arial"/>
          <w:noProof/>
          <w:sz w:val="20"/>
          <w:szCs w:val="24"/>
        </w:rPr>
        <w:t>. https://doi.org/10.3390/molecules25081894</w:t>
      </w:r>
    </w:p>
    <w:p w14:paraId="4CD897A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Nwozo, O. S., Effiong, E. M., Aja, P. M., &amp; Awuchi, C. G. (2023). Antioxidant, phytochemical, and therapeutic properties of medicinal plants: a review. In </w:t>
      </w:r>
      <w:r w:rsidRPr="00DB6548">
        <w:rPr>
          <w:rFonts w:ascii="Arial" w:hAnsi="Arial" w:cs="Arial"/>
          <w:i/>
          <w:iCs/>
          <w:noProof/>
          <w:sz w:val="20"/>
          <w:szCs w:val="24"/>
        </w:rPr>
        <w:t>International Journal of Food Properties</w:t>
      </w:r>
      <w:r w:rsidRPr="00DB6548">
        <w:rPr>
          <w:rFonts w:ascii="Arial" w:hAnsi="Arial" w:cs="Arial"/>
          <w:noProof/>
          <w:sz w:val="20"/>
          <w:szCs w:val="24"/>
        </w:rPr>
        <w:t xml:space="preserve"> (Vol. 26, pp. 359–388). Taylor and Francis Ltd. https://doi.org/10.1080/10942912.2022.2157425</w:t>
      </w:r>
    </w:p>
    <w:p w14:paraId="2C3F26B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Phuwajaroanpong, A., Chaniad, P., Plirat, W., Konyanee, A., Septama, A. W., &amp; Punsawad, C. (2023). Phytochemical Analysis, Antimalarial Properties, and Acute Toxicity of Aqueous Extracts of Trisamo and Jatu-Phala-Tiga Recipes. </w:t>
      </w:r>
      <w:r w:rsidRPr="00DB6548">
        <w:rPr>
          <w:rFonts w:ascii="Arial" w:hAnsi="Arial" w:cs="Arial"/>
          <w:i/>
          <w:iCs/>
          <w:noProof/>
          <w:sz w:val="20"/>
          <w:szCs w:val="24"/>
        </w:rPr>
        <w:t>Advances in Pharmacological and Pharmaceutical Sciences</w:t>
      </w:r>
      <w:r w:rsidRPr="00DB6548">
        <w:rPr>
          <w:rFonts w:ascii="Arial" w:hAnsi="Arial" w:cs="Arial"/>
          <w:noProof/>
          <w:sz w:val="20"/>
          <w:szCs w:val="24"/>
        </w:rPr>
        <w:t xml:space="preserve">, </w:t>
      </w:r>
      <w:r w:rsidRPr="00DB6548">
        <w:rPr>
          <w:rFonts w:ascii="Arial" w:hAnsi="Arial" w:cs="Arial"/>
          <w:i/>
          <w:iCs/>
          <w:noProof/>
          <w:sz w:val="20"/>
          <w:szCs w:val="24"/>
        </w:rPr>
        <w:t>2023</w:t>
      </w:r>
      <w:r w:rsidRPr="00DB6548">
        <w:rPr>
          <w:rFonts w:ascii="Arial" w:hAnsi="Arial" w:cs="Arial"/>
          <w:noProof/>
          <w:sz w:val="20"/>
          <w:szCs w:val="24"/>
        </w:rPr>
        <w:t>. https://doi.org/10.1155/2023/6624040</w:t>
      </w:r>
    </w:p>
    <w:p w14:paraId="0DBDA2D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Ramya, R. (2022). GC-MS Analysis of Bioactive Compounds in Ethanolic Leaf Extract of Hellenia speciosa (J.Koenig) S.R. Dutta. </w:t>
      </w:r>
      <w:r w:rsidRPr="00DB6548">
        <w:rPr>
          <w:rFonts w:ascii="Arial" w:hAnsi="Arial" w:cs="Arial"/>
          <w:i/>
          <w:iCs/>
          <w:noProof/>
          <w:sz w:val="20"/>
          <w:szCs w:val="24"/>
        </w:rPr>
        <w:t>Applied Biochemistry and Biotechnology</w:t>
      </w:r>
      <w:r w:rsidRPr="00DB6548">
        <w:rPr>
          <w:rFonts w:ascii="Arial" w:hAnsi="Arial" w:cs="Arial"/>
          <w:noProof/>
          <w:sz w:val="20"/>
          <w:szCs w:val="24"/>
        </w:rPr>
        <w:t xml:space="preserve">, </w:t>
      </w:r>
      <w:r w:rsidRPr="00DB6548">
        <w:rPr>
          <w:rFonts w:ascii="Arial" w:hAnsi="Arial" w:cs="Arial"/>
          <w:i/>
          <w:iCs/>
          <w:noProof/>
          <w:sz w:val="20"/>
          <w:szCs w:val="24"/>
        </w:rPr>
        <w:t>194</w:t>
      </w:r>
      <w:r w:rsidRPr="00DB6548">
        <w:rPr>
          <w:rFonts w:ascii="Arial" w:hAnsi="Arial" w:cs="Arial"/>
          <w:noProof/>
          <w:sz w:val="20"/>
          <w:szCs w:val="24"/>
        </w:rPr>
        <w:t>, 176–186. https://doi.org/10.1007/s12010-021-03742-2</w:t>
      </w:r>
    </w:p>
    <w:p w14:paraId="3F1CA97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Ruth, O. N., Unathi, K., Nomali, N., &amp; Chinsamy, M. (2021). Underutilization versus nutritional-nutraceutical potential of the amaranthus food plant: A mini-review. In </w:t>
      </w:r>
      <w:r w:rsidRPr="00DB6548">
        <w:rPr>
          <w:rFonts w:ascii="Arial" w:hAnsi="Arial" w:cs="Arial"/>
          <w:i/>
          <w:iCs/>
          <w:noProof/>
          <w:sz w:val="20"/>
          <w:szCs w:val="24"/>
        </w:rPr>
        <w:t>Applied Sciences (Switzerland)</w:t>
      </w:r>
      <w:r w:rsidRPr="00DB6548">
        <w:rPr>
          <w:rFonts w:ascii="Arial" w:hAnsi="Arial" w:cs="Arial"/>
          <w:noProof/>
          <w:sz w:val="20"/>
          <w:szCs w:val="24"/>
        </w:rPr>
        <w:t xml:space="preserve"> (Vol. 11). MDPI AG. https://doi.org/10.3390/app11156879</w:t>
      </w:r>
    </w:p>
    <w:p w14:paraId="499EC74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Shahriar, S., Shermin, S. A., Hasnat, H., Hossain, F., Han, A., Geng, P., Alam, S., &amp; Mamun, A. Al. (2024). Chemico-pharmacological evaluation of the methanolic leaf extract of Catharanthus ovalis: GC–MS/MS, in vivo, in vitro, and in silico approaches. </w:t>
      </w:r>
      <w:r w:rsidRPr="00DB6548">
        <w:rPr>
          <w:rFonts w:ascii="Arial" w:hAnsi="Arial" w:cs="Arial"/>
          <w:i/>
          <w:iCs/>
          <w:noProof/>
          <w:sz w:val="20"/>
          <w:szCs w:val="24"/>
        </w:rPr>
        <w:t>Frontiers in Pharmacology</w:t>
      </w:r>
      <w:r w:rsidRPr="00DB6548">
        <w:rPr>
          <w:rFonts w:ascii="Arial" w:hAnsi="Arial" w:cs="Arial"/>
          <w:noProof/>
          <w:sz w:val="20"/>
          <w:szCs w:val="24"/>
        </w:rPr>
        <w:t xml:space="preserve">, </w:t>
      </w:r>
      <w:r w:rsidRPr="00DB6548">
        <w:rPr>
          <w:rFonts w:ascii="Arial" w:hAnsi="Arial" w:cs="Arial"/>
          <w:i/>
          <w:iCs/>
          <w:noProof/>
          <w:sz w:val="20"/>
          <w:szCs w:val="24"/>
        </w:rPr>
        <w:t>15</w:t>
      </w:r>
      <w:r w:rsidRPr="00DB6548">
        <w:rPr>
          <w:rFonts w:ascii="Arial" w:hAnsi="Arial" w:cs="Arial"/>
          <w:noProof/>
          <w:sz w:val="20"/>
          <w:szCs w:val="24"/>
        </w:rPr>
        <w:t>. https://doi.org/10.3389/fphar.2024.1347069</w:t>
      </w:r>
    </w:p>
    <w:p w14:paraId="6B5092D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Shoaib, M., Israyilova, A. A., &amp; Ganbarov, K. (2019). Cyclohexane And Its Functionally Substituted Derivatives: Important Class Of Organic Compounds With Potential Antimicrobial Activities. </w:t>
      </w:r>
      <w:r w:rsidRPr="00DB6548">
        <w:rPr>
          <w:rFonts w:ascii="Arial" w:hAnsi="Arial" w:cs="Arial"/>
          <w:i/>
          <w:iCs/>
          <w:noProof/>
          <w:sz w:val="20"/>
          <w:szCs w:val="24"/>
        </w:rPr>
        <w:t>Journal of Microbiology, Biotechnology and Food Sciences</w:t>
      </w:r>
      <w:r w:rsidRPr="00DB6548">
        <w:rPr>
          <w:rFonts w:ascii="Arial" w:hAnsi="Arial" w:cs="Arial"/>
          <w:noProof/>
          <w:sz w:val="20"/>
          <w:szCs w:val="24"/>
        </w:rPr>
        <w:t xml:space="preserve">, </w:t>
      </w:r>
      <w:r w:rsidRPr="00DB6548">
        <w:rPr>
          <w:rFonts w:ascii="Arial" w:hAnsi="Arial" w:cs="Arial"/>
          <w:i/>
          <w:iCs/>
          <w:noProof/>
          <w:sz w:val="20"/>
          <w:szCs w:val="24"/>
        </w:rPr>
        <w:t>9</w:t>
      </w:r>
      <w:r w:rsidRPr="00DB6548">
        <w:rPr>
          <w:rFonts w:ascii="Arial" w:hAnsi="Arial" w:cs="Arial"/>
          <w:noProof/>
          <w:sz w:val="20"/>
          <w:szCs w:val="24"/>
        </w:rPr>
        <w:t>, 84–87. https://doi.org/10.15414/JMBFS.2019.9.1.84-87</w:t>
      </w:r>
    </w:p>
    <w:p w14:paraId="0D1F037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lastRenderedPageBreak/>
        <w:t xml:space="preserve">Singh, K., Gupta, J. K., Chanchal, D. K., Shinde, M. G., Kumar, S., Jain, D., Almarhoon, Z. M., Alshahrani, A. M., Calina, D., Sharifi-Rad, J., &amp; Tripathi, A. (2025). Natural products as drug leads: exploring their potential in drug discovery and development. In </w:t>
      </w:r>
      <w:r w:rsidRPr="00DB6548">
        <w:rPr>
          <w:rFonts w:ascii="Arial" w:hAnsi="Arial" w:cs="Arial"/>
          <w:i/>
          <w:iCs/>
          <w:noProof/>
          <w:sz w:val="20"/>
          <w:szCs w:val="24"/>
        </w:rPr>
        <w:t>Naunyn-Schmiedeberg’s Archives of Pharmacology</w:t>
      </w:r>
      <w:r w:rsidRPr="00DB6548">
        <w:rPr>
          <w:rFonts w:ascii="Arial" w:hAnsi="Arial" w:cs="Arial"/>
          <w:noProof/>
          <w:sz w:val="20"/>
          <w:szCs w:val="24"/>
        </w:rPr>
        <w:t xml:space="preserve"> (Vol. 398, pp. 4673–4687). Springer Science and Business Media Deutschland GmbH. https://doi.org/10.1007/s00210-024-03622-6</w:t>
      </w:r>
    </w:p>
    <w:p w14:paraId="79D5150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Stefanova, D., Garip, A., Mateev, E., Kondeva-Burdina, M., Yordanov, Y., Tzankova, D., Mateeva, A., Valkova, I., Georgieva, M., Zlatkov, A., &amp; Tzankova, V. (2025). Antioxidant and Neuroprotective Properties of Selected Pyrrole-Containing Azomethine Compounds in Neurotoxicity Models In Vitro. </w:t>
      </w:r>
      <w:r w:rsidRPr="00DB6548">
        <w:rPr>
          <w:rFonts w:ascii="Arial" w:hAnsi="Arial" w:cs="Arial"/>
          <w:i/>
          <w:iCs/>
          <w:noProof/>
          <w:sz w:val="20"/>
          <w:szCs w:val="24"/>
        </w:rPr>
        <w:t>International Journal of Molecular Sciences</w:t>
      </w:r>
      <w:r w:rsidRPr="00DB6548">
        <w:rPr>
          <w:rFonts w:ascii="Arial" w:hAnsi="Arial" w:cs="Arial"/>
          <w:noProof/>
          <w:sz w:val="20"/>
          <w:szCs w:val="24"/>
        </w:rPr>
        <w:t xml:space="preserve">, </w:t>
      </w:r>
      <w:r w:rsidRPr="00DB6548">
        <w:rPr>
          <w:rFonts w:ascii="Arial" w:hAnsi="Arial" w:cs="Arial"/>
          <w:i/>
          <w:iCs/>
          <w:noProof/>
          <w:sz w:val="20"/>
          <w:szCs w:val="24"/>
        </w:rPr>
        <w:t>26</w:t>
      </w:r>
      <w:r w:rsidRPr="00DB6548">
        <w:rPr>
          <w:rFonts w:ascii="Arial" w:hAnsi="Arial" w:cs="Arial"/>
          <w:noProof/>
          <w:sz w:val="20"/>
          <w:szCs w:val="24"/>
        </w:rPr>
        <w:t>. https://doi.org/10.3390/ijms26093957</w:t>
      </w:r>
    </w:p>
    <w:p w14:paraId="7E9529E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Tsolaki, E., Nobelos, P., Geronikaki, A., &amp; Rekka, E. A. (2014). Selected Heterocyclic Compounds as Antioxidants. Synthesis and Biological Evaluation. </w:t>
      </w:r>
      <w:r w:rsidRPr="00DB6548">
        <w:rPr>
          <w:rFonts w:ascii="Arial" w:hAnsi="Arial" w:cs="Arial"/>
          <w:i/>
          <w:iCs/>
          <w:noProof/>
          <w:sz w:val="20"/>
          <w:szCs w:val="24"/>
        </w:rPr>
        <w:t>Current Topics in Medicinal Chemistry</w:t>
      </w:r>
      <w:r w:rsidRPr="00DB6548">
        <w:rPr>
          <w:rFonts w:ascii="Arial" w:hAnsi="Arial" w:cs="Arial"/>
          <w:noProof/>
          <w:sz w:val="20"/>
          <w:szCs w:val="24"/>
        </w:rPr>
        <w:t xml:space="preserve">, </w:t>
      </w:r>
      <w:r w:rsidRPr="00DB6548">
        <w:rPr>
          <w:rFonts w:ascii="Arial" w:hAnsi="Arial" w:cs="Arial"/>
          <w:i/>
          <w:iCs/>
          <w:noProof/>
          <w:sz w:val="20"/>
          <w:szCs w:val="24"/>
        </w:rPr>
        <w:t>14</w:t>
      </w:r>
      <w:r w:rsidRPr="00DB6548">
        <w:rPr>
          <w:rFonts w:ascii="Arial" w:hAnsi="Arial" w:cs="Arial"/>
          <w:noProof/>
          <w:sz w:val="20"/>
          <w:szCs w:val="24"/>
        </w:rPr>
        <w:t>, 2462–2477. https://doi.org/10.2174/1568026614666141203120425</w:t>
      </w:r>
    </w:p>
    <w:p w14:paraId="3B7553C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Tsygankova, V., Andrusevich, Y., Shtompel, O., Myroljubov, O., Hurenko, A., Solomyanny, R., Mrug, G., Frasinyuk, M., Shablykin, O., &amp; Brovarets, V. (2016). Study of auxin, cytokinin and gibberellin-like activity of heterocyclic compounds derivatives of pyrimidine, pyridine, pyrazole and isoflavones. </w:t>
      </w:r>
      <w:r w:rsidRPr="00DB6548">
        <w:rPr>
          <w:rFonts w:ascii="Arial" w:hAnsi="Arial" w:cs="Arial"/>
          <w:i/>
          <w:iCs/>
          <w:noProof/>
          <w:sz w:val="20"/>
          <w:szCs w:val="24"/>
        </w:rPr>
        <w:t>European Journal of Biotechnology and Bioscience European Journal of Biotechnology and Bioscience, Online ISSN</w:t>
      </w:r>
      <w:r w:rsidRPr="00DB6548">
        <w:rPr>
          <w:rFonts w:ascii="Arial" w:hAnsi="Arial" w:cs="Arial"/>
          <w:noProof/>
          <w:sz w:val="20"/>
          <w:szCs w:val="24"/>
        </w:rPr>
        <w:t xml:space="preserve">, </w:t>
      </w:r>
      <w:r w:rsidRPr="00DB6548">
        <w:rPr>
          <w:rFonts w:ascii="Arial" w:hAnsi="Arial" w:cs="Arial"/>
          <w:i/>
          <w:iCs/>
          <w:noProof/>
          <w:sz w:val="20"/>
          <w:szCs w:val="24"/>
        </w:rPr>
        <w:t>4</w:t>
      </w:r>
      <w:r w:rsidRPr="00DB6548">
        <w:rPr>
          <w:rFonts w:ascii="Arial" w:hAnsi="Arial" w:cs="Arial"/>
          <w:noProof/>
          <w:sz w:val="20"/>
          <w:szCs w:val="24"/>
        </w:rPr>
        <w:t>(12), 2321–9122.</w:t>
      </w:r>
    </w:p>
    <w:p w14:paraId="1F1B5FB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WHO. (2023). </w:t>
      </w:r>
      <w:r w:rsidRPr="00DB6548">
        <w:rPr>
          <w:rFonts w:ascii="Arial" w:hAnsi="Arial" w:cs="Arial"/>
          <w:i/>
          <w:iCs/>
          <w:noProof/>
          <w:sz w:val="20"/>
          <w:szCs w:val="24"/>
        </w:rPr>
        <w:t>Traditional medicine has a long history of contributing to conventional medicine and continues to hold promise</w:t>
      </w:r>
      <w:r w:rsidRPr="00DB6548">
        <w:rPr>
          <w:rFonts w:ascii="Arial" w:hAnsi="Arial" w:cs="Arial"/>
          <w:noProof/>
          <w:sz w:val="20"/>
          <w:szCs w:val="24"/>
        </w:rPr>
        <w:t>. Traditional Medicine Has a Long History of Contributing to Conventional Medicine and Continues to Hold Promise. https://www.who.int/news-room/feature-stories/detail/traditional-medicine-has-a-long-history-of-contributing-to-conventional-medicine-and-continues-to-hold-promise</w:t>
      </w:r>
    </w:p>
    <w:p w14:paraId="7834D82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rPr>
      </w:pPr>
      <w:r w:rsidRPr="00DB6548">
        <w:rPr>
          <w:rFonts w:ascii="Arial" w:hAnsi="Arial" w:cs="Arial"/>
          <w:noProof/>
          <w:sz w:val="20"/>
          <w:szCs w:val="24"/>
        </w:rPr>
        <w:t xml:space="preserve">WHO. (2025). </w:t>
      </w:r>
      <w:r w:rsidRPr="00DB6548">
        <w:rPr>
          <w:rFonts w:ascii="Arial" w:hAnsi="Arial" w:cs="Arial"/>
          <w:i/>
          <w:iCs/>
          <w:noProof/>
          <w:sz w:val="20"/>
          <w:szCs w:val="24"/>
        </w:rPr>
        <w:t>Why Is WHO working onTraditional medicine</w:t>
      </w:r>
      <w:r w:rsidRPr="00DB6548">
        <w:rPr>
          <w:rFonts w:ascii="Arial" w:hAnsi="Arial" w:cs="Arial"/>
          <w:noProof/>
          <w:sz w:val="20"/>
          <w:szCs w:val="24"/>
        </w:rPr>
        <w:t>. Traditional Medicine, Newsroom. https://www.who.int/news-room/questions-and-answers/item/traditional-medicine</w:t>
      </w:r>
    </w:p>
    <w:p w14:paraId="1E566CF3" w14:textId="77777777" w:rsidR="003608C7" w:rsidRPr="0039650C" w:rsidRDefault="003608C7" w:rsidP="00694596">
      <w:pPr>
        <w:jc w:val="both"/>
        <w:rPr>
          <w:rFonts w:ascii="Arial" w:hAnsi="Arial" w:cs="Arial"/>
          <w:sz w:val="20"/>
          <w:szCs w:val="20"/>
          <w:lang w:val="en-US"/>
        </w:rPr>
      </w:pPr>
      <w:r>
        <w:rPr>
          <w:rFonts w:ascii="Arial" w:hAnsi="Arial" w:cs="Arial"/>
          <w:sz w:val="20"/>
          <w:szCs w:val="20"/>
          <w:lang w:val="en-US"/>
        </w:rPr>
        <w:fldChar w:fldCharType="end"/>
      </w:r>
    </w:p>
    <w:sectPr w:rsidR="003608C7" w:rsidRPr="003965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AFE6" w14:textId="77777777" w:rsidR="00E65C1B" w:rsidRDefault="00E65C1B" w:rsidP="00C4159F">
      <w:pPr>
        <w:spacing w:after="0" w:line="240" w:lineRule="auto"/>
      </w:pPr>
      <w:r>
        <w:separator/>
      </w:r>
    </w:p>
  </w:endnote>
  <w:endnote w:type="continuationSeparator" w:id="0">
    <w:p w14:paraId="16A95B90" w14:textId="77777777" w:rsidR="00E65C1B" w:rsidRDefault="00E65C1B" w:rsidP="00C4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2300" w14:textId="77777777" w:rsidR="00C4159F" w:rsidRDefault="00C4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9D16" w14:textId="77777777" w:rsidR="00C4159F" w:rsidRDefault="00C41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698" w14:textId="77777777" w:rsidR="00C4159F" w:rsidRDefault="00C4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5307" w14:textId="77777777" w:rsidR="00E65C1B" w:rsidRDefault="00E65C1B" w:rsidP="00C4159F">
      <w:pPr>
        <w:spacing w:after="0" w:line="240" w:lineRule="auto"/>
      </w:pPr>
      <w:r>
        <w:separator/>
      </w:r>
    </w:p>
  </w:footnote>
  <w:footnote w:type="continuationSeparator" w:id="0">
    <w:p w14:paraId="6B528F47" w14:textId="77777777" w:rsidR="00E65C1B" w:rsidRDefault="00E65C1B" w:rsidP="00C4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6DC9" w14:textId="454419D3" w:rsidR="00C4159F" w:rsidRDefault="00E65C1B">
    <w:pPr>
      <w:pStyle w:val="Header"/>
    </w:pPr>
    <w:r>
      <w:rPr>
        <w:noProof/>
      </w:rPr>
      <w:pict w14:anchorId="559EB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40A0" w14:textId="55E9C846" w:rsidR="00C4159F" w:rsidRDefault="00E65C1B">
    <w:pPr>
      <w:pStyle w:val="Header"/>
    </w:pPr>
    <w:r>
      <w:rPr>
        <w:noProof/>
      </w:rPr>
      <w:pict w14:anchorId="0A90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8072" w14:textId="2D0093D2" w:rsidR="00C4159F" w:rsidRDefault="00E65C1B">
    <w:pPr>
      <w:pStyle w:val="Header"/>
    </w:pPr>
    <w:r>
      <w:rPr>
        <w:noProof/>
      </w:rPr>
      <w:pict w14:anchorId="6B3D6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A"/>
    <w:rsid w:val="00007171"/>
    <w:rsid w:val="00042472"/>
    <w:rsid w:val="00056584"/>
    <w:rsid w:val="000D6704"/>
    <w:rsid w:val="00206B56"/>
    <w:rsid w:val="002504BE"/>
    <w:rsid w:val="00297590"/>
    <w:rsid w:val="00307A1D"/>
    <w:rsid w:val="003213E0"/>
    <w:rsid w:val="0032299D"/>
    <w:rsid w:val="003608C7"/>
    <w:rsid w:val="0037341B"/>
    <w:rsid w:val="00394294"/>
    <w:rsid w:val="0039650C"/>
    <w:rsid w:val="003A599D"/>
    <w:rsid w:val="003B5973"/>
    <w:rsid w:val="003B794A"/>
    <w:rsid w:val="003D5FE4"/>
    <w:rsid w:val="00437D0E"/>
    <w:rsid w:val="004707B2"/>
    <w:rsid w:val="004A230A"/>
    <w:rsid w:val="004E6AA3"/>
    <w:rsid w:val="00521EEB"/>
    <w:rsid w:val="005A27DB"/>
    <w:rsid w:val="00605D11"/>
    <w:rsid w:val="006746B2"/>
    <w:rsid w:val="00694596"/>
    <w:rsid w:val="006B61FC"/>
    <w:rsid w:val="006C75DA"/>
    <w:rsid w:val="00731023"/>
    <w:rsid w:val="00774A0A"/>
    <w:rsid w:val="00785181"/>
    <w:rsid w:val="007E02E3"/>
    <w:rsid w:val="0085744E"/>
    <w:rsid w:val="00873AE6"/>
    <w:rsid w:val="00876777"/>
    <w:rsid w:val="00887872"/>
    <w:rsid w:val="00903532"/>
    <w:rsid w:val="00935591"/>
    <w:rsid w:val="009A264D"/>
    <w:rsid w:val="009E715F"/>
    <w:rsid w:val="009F2F76"/>
    <w:rsid w:val="009F6CB8"/>
    <w:rsid w:val="00A319F4"/>
    <w:rsid w:val="00A5496D"/>
    <w:rsid w:val="00B56554"/>
    <w:rsid w:val="00C236A8"/>
    <w:rsid w:val="00C4159F"/>
    <w:rsid w:val="00C424D0"/>
    <w:rsid w:val="00C46067"/>
    <w:rsid w:val="00C479B7"/>
    <w:rsid w:val="00C77E40"/>
    <w:rsid w:val="00CA0890"/>
    <w:rsid w:val="00D2621C"/>
    <w:rsid w:val="00D85A21"/>
    <w:rsid w:val="00D91C25"/>
    <w:rsid w:val="00DB6548"/>
    <w:rsid w:val="00DF05BF"/>
    <w:rsid w:val="00E32DFC"/>
    <w:rsid w:val="00E51857"/>
    <w:rsid w:val="00E51CA4"/>
    <w:rsid w:val="00E65C1B"/>
    <w:rsid w:val="00EC511A"/>
    <w:rsid w:val="00F47CFD"/>
    <w:rsid w:val="00FD2931"/>
    <w:rsid w:val="00FD478C"/>
    <w:rsid w:val="00FD61A0"/>
    <w:rsid w:val="00FE1D1A"/>
    <w:rsid w:val="00FE2D56"/>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8A8FB"/>
  <w15:chartTrackingRefBased/>
  <w15:docId w15:val="{B8500580-5A42-4DC0-8349-F225B8DD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D1A"/>
    <w:rPr>
      <w:color w:val="0563C1" w:themeColor="hyperlink"/>
      <w:u w:val="single"/>
    </w:rPr>
  </w:style>
  <w:style w:type="table" w:styleId="TableGrid">
    <w:name w:val="Table Grid"/>
    <w:basedOn w:val="TableNormal"/>
    <w:uiPriority w:val="39"/>
    <w:rsid w:val="0077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181"/>
    <w:rPr>
      <w:color w:val="605E5C"/>
      <w:shd w:val="clear" w:color="auto" w:fill="E1DFDD"/>
    </w:rPr>
  </w:style>
  <w:style w:type="paragraph" w:styleId="Header">
    <w:name w:val="header"/>
    <w:basedOn w:val="Normal"/>
    <w:link w:val="HeaderChar"/>
    <w:uiPriority w:val="99"/>
    <w:unhideWhenUsed/>
    <w:rsid w:val="00C41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9F"/>
  </w:style>
  <w:style w:type="paragraph" w:styleId="Footer">
    <w:name w:val="footer"/>
    <w:basedOn w:val="Normal"/>
    <w:link w:val="FooterChar"/>
    <w:uiPriority w:val="99"/>
    <w:unhideWhenUsed/>
    <w:rsid w:val="00C41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30714">
      <w:bodyDiv w:val="1"/>
      <w:marLeft w:val="0"/>
      <w:marRight w:val="0"/>
      <w:marTop w:val="0"/>
      <w:marBottom w:val="0"/>
      <w:divBdr>
        <w:top w:val="none" w:sz="0" w:space="0" w:color="auto"/>
        <w:left w:val="none" w:sz="0" w:space="0" w:color="auto"/>
        <w:bottom w:val="none" w:sz="0" w:space="0" w:color="auto"/>
        <w:right w:val="none" w:sz="0" w:space="0" w:color="auto"/>
      </w:divBdr>
    </w:div>
    <w:div w:id="432558886">
      <w:bodyDiv w:val="1"/>
      <w:marLeft w:val="0"/>
      <w:marRight w:val="0"/>
      <w:marTop w:val="0"/>
      <w:marBottom w:val="0"/>
      <w:divBdr>
        <w:top w:val="none" w:sz="0" w:space="0" w:color="auto"/>
        <w:left w:val="none" w:sz="0" w:space="0" w:color="auto"/>
        <w:bottom w:val="none" w:sz="0" w:space="0" w:color="auto"/>
        <w:right w:val="none" w:sz="0" w:space="0" w:color="auto"/>
      </w:divBdr>
    </w:div>
    <w:div w:id="496186674">
      <w:bodyDiv w:val="1"/>
      <w:marLeft w:val="0"/>
      <w:marRight w:val="0"/>
      <w:marTop w:val="0"/>
      <w:marBottom w:val="0"/>
      <w:divBdr>
        <w:top w:val="none" w:sz="0" w:space="0" w:color="auto"/>
        <w:left w:val="none" w:sz="0" w:space="0" w:color="auto"/>
        <w:bottom w:val="none" w:sz="0" w:space="0" w:color="auto"/>
        <w:right w:val="none" w:sz="0" w:space="0" w:color="auto"/>
      </w:divBdr>
    </w:div>
    <w:div w:id="21414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8CDC-A016-40B2-B479-8DEC4F32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10</Pages>
  <Words>24820</Words>
  <Characters>141476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aroh</dc:creator>
  <cp:keywords/>
  <dc:description/>
  <cp:lastModifiedBy>kene aroh</cp:lastModifiedBy>
  <cp:revision>13</cp:revision>
  <dcterms:created xsi:type="dcterms:W3CDTF">2026-03-12T08:40:00Z</dcterms:created>
  <dcterms:modified xsi:type="dcterms:W3CDTF">2026-03-16T18:55:00Z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a13e5df4-ae5c-33ce-861c-609bde83e980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667bed4b-0bca-4f9c-a2d2-06f32302d4ba</vt:lpwstr>
  </property>
</Properties>
</file>