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B3A" w:rsidRPr="005663D9" w:rsidRDefault="00EC6B3A" w:rsidP="005663D9">
      <w:pPr>
        <w:pStyle w:val="ListParagraph"/>
        <w:spacing w:after="0" w:line="240" w:lineRule="auto"/>
        <w:ind w:left="0"/>
        <w:jc w:val="right"/>
        <w:rPr>
          <w:rFonts w:ascii="Times New Roman" w:eastAsia="Calibri" w:hAnsi="Times New Roman" w:cs="Times New Roman"/>
          <w:b/>
          <w:i/>
          <w:sz w:val="36"/>
          <w:szCs w:val="24"/>
          <w:u w:val="single"/>
          <w:lang w:val="en-US" w:eastAsia="en-GB"/>
        </w:rPr>
      </w:pPr>
      <w:bookmarkStart w:id="0" w:name="_Toc176942717"/>
      <w:r w:rsidRPr="005663D9">
        <w:rPr>
          <w:rFonts w:ascii="Times New Roman" w:eastAsia="Calibri" w:hAnsi="Times New Roman" w:cs="Times New Roman"/>
          <w:b/>
          <w:i/>
          <w:sz w:val="36"/>
          <w:szCs w:val="24"/>
          <w:u w:val="single"/>
          <w:lang w:val="en-US" w:eastAsia="en-GB"/>
        </w:rPr>
        <w:t>Original Research Article</w:t>
      </w:r>
    </w:p>
    <w:p w:rsidR="00EC6B3A" w:rsidRDefault="00EC6B3A" w:rsidP="00412C6C">
      <w:pPr>
        <w:pStyle w:val="ListParagraph"/>
        <w:spacing w:after="0" w:line="240" w:lineRule="auto"/>
        <w:ind w:left="0"/>
        <w:jc w:val="center"/>
        <w:rPr>
          <w:rFonts w:ascii="Times New Roman" w:eastAsia="Calibri" w:hAnsi="Times New Roman" w:cs="Times New Roman"/>
          <w:b/>
          <w:sz w:val="24"/>
          <w:szCs w:val="24"/>
          <w:lang w:val="en-US" w:eastAsia="en-GB"/>
        </w:rPr>
      </w:pPr>
    </w:p>
    <w:p w:rsidR="00110357" w:rsidRPr="00CD1F38" w:rsidRDefault="00CD1F38" w:rsidP="00412C6C">
      <w:pPr>
        <w:pStyle w:val="ListParagraph"/>
        <w:spacing w:after="0" w:line="240" w:lineRule="auto"/>
        <w:ind w:left="0"/>
        <w:jc w:val="center"/>
        <w:rPr>
          <w:rFonts w:ascii="Times New Roman" w:eastAsia="Calibri" w:hAnsi="Times New Roman" w:cs="Times New Roman"/>
          <w:b/>
          <w:sz w:val="32"/>
          <w:szCs w:val="24"/>
          <w:lang w:val="en-US" w:eastAsia="en-GB"/>
        </w:rPr>
      </w:pPr>
      <w:r w:rsidRPr="00CD1F38">
        <w:rPr>
          <w:b/>
          <w:bCs/>
          <w:sz w:val="28"/>
          <w:highlight w:val="yellow"/>
        </w:rPr>
        <w:t>Evaluation of the Hematopoietic Effects of Methanolic Leaf Extract of Ficus capensis in Phenylhydrazine-Induced Anemic Wistar Rats</w:t>
      </w:r>
    </w:p>
    <w:p w:rsidR="00412C6C" w:rsidRDefault="00412C6C" w:rsidP="001A0B37">
      <w:pPr>
        <w:pStyle w:val="ListParagraph"/>
        <w:spacing w:after="0" w:line="240" w:lineRule="auto"/>
        <w:ind w:left="0"/>
        <w:jc w:val="center"/>
        <w:rPr>
          <w:rFonts w:ascii="Times New Roman" w:eastAsia="Times New Roman" w:hAnsi="Times New Roman" w:cs="Times New Roman"/>
          <w:b/>
          <w:color w:val="FF0000"/>
          <w:sz w:val="24"/>
          <w:szCs w:val="24"/>
          <w:lang w:val="en-US"/>
        </w:rPr>
      </w:pPr>
    </w:p>
    <w:p w:rsidR="00AE7C9D" w:rsidRDefault="00AE7C9D" w:rsidP="001A0B37">
      <w:pPr>
        <w:pStyle w:val="ListParagraph"/>
        <w:spacing w:after="0" w:line="240" w:lineRule="auto"/>
        <w:ind w:left="0"/>
        <w:jc w:val="center"/>
        <w:rPr>
          <w:rFonts w:ascii="Times New Roman" w:eastAsia="Times New Roman" w:hAnsi="Times New Roman" w:cs="Times New Roman"/>
          <w:b/>
          <w:color w:val="FF0000"/>
          <w:sz w:val="24"/>
          <w:szCs w:val="24"/>
          <w:lang w:val="en-US"/>
        </w:rPr>
      </w:pPr>
    </w:p>
    <w:p w:rsidR="00AE7C9D" w:rsidRPr="00604355" w:rsidRDefault="00AE7C9D" w:rsidP="001A0B37">
      <w:pPr>
        <w:pStyle w:val="ListParagraph"/>
        <w:spacing w:after="0" w:line="240" w:lineRule="auto"/>
        <w:ind w:left="0"/>
        <w:jc w:val="center"/>
        <w:rPr>
          <w:rFonts w:ascii="Times New Roman" w:eastAsia="Times New Roman" w:hAnsi="Times New Roman" w:cs="Times New Roman"/>
          <w:b/>
          <w:color w:val="FF0000"/>
          <w:sz w:val="24"/>
          <w:szCs w:val="24"/>
          <w:lang w:val="en-US"/>
        </w:rPr>
      </w:pPr>
    </w:p>
    <w:p w:rsidR="00205186" w:rsidRPr="00604355" w:rsidRDefault="00205186" w:rsidP="00205186">
      <w:pPr>
        <w:pStyle w:val="Heading1"/>
        <w:spacing w:beforeAutospacing="0" w:afterAutospacing="0" w:line="240" w:lineRule="auto"/>
        <w:jc w:val="center"/>
        <w:rPr>
          <w:rFonts w:ascii="Times New Roman" w:hAnsi="Times New Roman" w:hint="default"/>
          <w:sz w:val="24"/>
          <w:szCs w:val="24"/>
        </w:rPr>
      </w:pPr>
      <w:r w:rsidRPr="00604355">
        <w:rPr>
          <w:rFonts w:ascii="Times New Roman" w:hAnsi="Times New Roman" w:hint="default"/>
          <w:sz w:val="24"/>
          <w:szCs w:val="24"/>
        </w:rPr>
        <w:t>Abstract</w:t>
      </w:r>
    </w:p>
    <w:p w:rsidR="00205186" w:rsidRDefault="00205186" w:rsidP="001C3A7D">
      <w:pPr>
        <w:pStyle w:val="NormalWeb"/>
        <w:spacing w:before="0" w:beforeAutospacing="0" w:after="0" w:afterAutospacing="0"/>
        <w:jc w:val="both"/>
        <w:rPr>
          <w:lang w:val="en-US"/>
        </w:rPr>
      </w:pPr>
      <w:r w:rsidRPr="00604355">
        <w:t>Iron Deficiency Anemia (IDA) is a condition characterized by a decrease in the number and size of red blood cells, leading to inadequate oxygen delivery to tissues and organs. It is the most common nutritional disorder worldwide, affecting approximately 1.6 billion people globally (</w:t>
      </w:r>
      <w:r w:rsidRPr="00604355">
        <w:rPr>
          <w:lang w:val="en-US"/>
        </w:rPr>
        <w:t>WHO, 2019</w:t>
      </w:r>
      <w:r w:rsidRPr="00604355">
        <w:t>)</w:t>
      </w:r>
      <w:r w:rsidRPr="00604355">
        <w:rPr>
          <w:lang w:val="en-US"/>
        </w:rPr>
        <w:t xml:space="preserve">. </w:t>
      </w:r>
      <w:r w:rsidRPr="00604355">
        <w:t>Caused by insufficient iron intake, absorption, or chronic blood loss .</w:t>
      </w:r>
      <w:r w:rsidRPr="00604355">
        <w:rPr>
          <w:color w:val="000000" w:themeColor="text1"/>
          <w:lang w:val="en-US"/>
        </w:rPr>
        <w:t xml:space="preserve"> </w:t>
      </w:r>
      <w:r w:rsidRPr="00604355">
        <w:t xml:space="preserve">The main causes of IDA can be classified into three categories: inadequate dietary iron intake, increased iron requirements, and chronic blood loss  </w:t>
      </w:r>
      <w:r w:rsidRPr="00604355">
        <w:rPr>
          <w:color w:val="000000" w:themeColor="text1"/>
        </w:rPr>
        <w:t xml:space="preserve">The aim of this study </w:t>
      </w:r>
      <w:r w:rsidRPr="00604355">
        <w:rPr>
          <w:color w:val="000000" w:themeColor="text1"/>
          <w:lang w:val="en-US"/>
        </w:rPr>
        <w:t>was</w:t>
      </w:r>
      <w:r w:rsidRPr="00604355">
        <w:rPr>
          <w:color w:val="000000" w:themeColor="text1"/>
        </w:rPr>
        <w:t xml:space="preserve"> to evaluate the effects of methanolic leaves extract </w:t>
      </w:r>
      <w:r w:rsidRPr="00604355">
        <w:rPr>
          <w:color w:val="000000" w:themeColor="text1"/>
          <w:lang w:val="en-US"/>
        </w:rPr>
        <w:t xml:space="preserve">of </w:t>
      </w:r>
      <w:r w:rsidRPr="00604355">
        <w:rPr>
          <w:i/>
          <w:color w:val="000000" w:themeColor="text1"/>
        </w:rPr>
        <w:t>Ficus capensis</w:t>
      </w:r>
      <w:r w:rsidRPr="00604355">
        <w:rPr>
          <w:color w:val="000000" w:themeColor="text1"/>
        </w:rPr>
        <w:t xml:space="preserve"> on </w:t>
      </w:r>
      <w:r w:rsidRPr="00604355">
        <w:rPr>
          <w:color w:val="000000" w:themeColor="text1"/>
          <w:lang w:val="en-US"/>
        </w:rPr>
        <w:t xml:space="preserve">some </w:t>
      </w:r>
      <w:r w:rsidR="008543BF" w:rsidRPr="00604355">
        <w:rPr>
          <w:color w:val="000000" w:themeColor="text1"/>
          <w:lang w:val="en-US"/>
        </w:rPr>
        <w:t>haematological</w:t>
      </w:r>
      <w:r w:rsidRPr="00604355">
        <w:rPr>
          <w:color w:val="000000" w:themeColor="text1"/>
          <w:lang w:val="en-US"/>
        </w:rPr>
        <w:t xml:space="preserve"> parameters </w:t>
      </w:r>
      <w:r w:rsidRPr="00604355">
        <w:rPr>
          <w:color w:val="000000" w:themeColor="text1"/>
        </w:rPr>
        <w:t xml:space="preserve">in phenylhydrazine-induced iron deficiency </w:t>
      </w:r>
      <w:bookmarkStart w:id="1" w:name="_GoBack"/>
      <w:bookmarkEnd w:id="1"/>
      <w:r w:rsidRPr="00604355">
        <w:rPr>
          <w:color w:val="000000" w:themeColor="text1"/>
        </w:rPr>
        <w:t>anaemic Wistar rats.</w:t>
      </w:r>
      <w:r w:rsidRPr="00604355">
        <w:rPr>
          <w:color w:val="000000" w:themeColor="text1"/>
          <w:lang w:val="en-US"/>
        </w:rPr>
        <w:t xml:space="preserve"> </w:t>
      </w:r>
      <w:r w:rsidR="00053CC4" w:rsidRPr="00604355">
        <w:rPr>
          <w:bCs/>
          <w:color w:val="000000" w:themeColor="text1"/>
          <w:lang w:val="en-US"/>
        </w:rPr>
        <w:t>Thi</w:t>
      </w:r>
      <w:r w:rsidRPr="00604355">
        <w:rPr>
          <w:bCs/>
          <w:color w:val="000000" w:themeColor="text1"/>
          <w:lang w:val="en-US"/>
        </w:rPr>
        <w:t xml:space="preserve">s is an experimental design </w:t>
      </w:r>
      <w:r w:rsidR="00287BFD" w:rsidRPr="00604355">
        <w:rPr>
          <w:bCs/>
          <w:color w:val="000000" w:themeColor="text1"/>
          <w:lang w:val="en-US"/>
        </w:rPr>
        <w:t>which comprises of 36</w:t>
      </w:r>
      <w:r w:rsidR="00053CC4" w:rsidRPr="00604355">
        <w:rPr>
          <w:bCs/>
          <w:color w:val="000000" w:themeColor="text1"/>
          <w:lang w:val="en-US"/>
        </w:rPr>
        <w:t xml:space="preserve"> wistar rats with 5 rats in each group.  Group 1 as </w:t>
      </w:r>
      <w:r w:rsidR="00053CC4" w:rsidRPr="00604355">
        <w:rPr>
          <w:bCs/>
          <w:color w:val="000000" w:themeColor="text1"/>
        </w:rPr>
        <w:t>Normal Control</w:t>
      </w:r>
      <w:r w:rsidR="00053CC4" w:rsidRPr="00604355">
        <w:rPr>
          <w:bCs/>
          <w:color w:val="000000" w:themeColor="text1"/>
          <w:lang w:val="en-US"/>
        </w:rPr>
        <w:t xml:space="preserve">, group 2 as negative control, </w:t>
      </w:r>
      <w:r w:rsidR="00053CC4" w:rsidRPr="00604355">
        <w:rPr>
          <w:color w:val="000000" w:themeColor="text1"/>
          <w:lang w:val="en-US"/>
        </w:rPr>
        <w:t xml:space="preserve">group </w:t>
      </w:r>
      <w:r w:rsidR="00053CC4" w:rsidRPr="00604355">
        <w:rPr>
          <w:bCs/>
          <w:color w:val="000000" w:themeColor="text1"/>
          <w:lang w:val="en-US"/>
        </w:rPr>
        <w:t xml:space="preserve">3 positive </w:t>
      </w:r>
      <w:r w:rsidR="00287BFD" w:rsidRPr="00604355">
        <w:rPr>
          <w:bCs/>
          <w:color w:val="000000" w:themeColor="text1"/>
          <w:lang w:val="en-US"/>
        </w:rPr>
        <w:t>control</w:t>
      </w:r>
      <w:r w:rsidR="00053CC4" w:rsidRPr="00604355">
        <w:rPr>
          <w:bCs/>
          <w:color w:val="000000" w:themeColor="text1"/>
          <w:lang w:val="en-US"/>
        </w:rPr>
        <w:t xml:space="preserve">, group 4 </w:t>
      </w:r>
      <w:r w:rsidR="00053CC4" w:rsidRPr="00604355">
        <w:rPr>
          <w:bCs/>
          <w:color w:val="000000" w:themeColor="text1"/>
        </w:rPr>
        <w:t>Low-Dose</w:t>
      </w:r>
      <w:r w:rsidR="00053CC4" w:rsidRPr="00604355">
        <w:rPr>
          <w:bCs/>
          <w:color w:val="000000" w:themeColor="text1"/>
          <w:lang w:val="en-US"/>
        </w:rPr>
        <w:t>, group 5</w:t>
      </w:r>
      <w:r w:rsidRPr="00604355">
        <w:rPr>
          <w:bCs/>
          <w:color w:val="000000" w:themeColor="text1"/>
          <w:lang w:val="en-US"/>
        </w:rPr>
        <w:t xml:space="preserve"> </w:t>
      </w:r>
      <w:r w:rsidR="00053CC4" w:rsidRPr="00604355">
        <w:rPr>
          <w:bCs/>
          <w:color w:val="000000" w:themeColor="text1"/>
        </w:rPr>
        <w:t>Medium-Dose</w:t>
      </w:r>
      <w:r w:rsidR="00287BFD" w:rsidRPr="00604355">
        <w:rPr>
          <w:bCs/>
          <w:color w:val="000000" w:themeColor="text1"/>
          <w:lang w:val="en-US"/>
        </w:rPr>
        <w:t xml:space="preserve">, group 6 </w:t>
      </w:r>
      <w:r w:rsidR="00287BFD" w:rsidRPr="00604355">
        <w:rPr>
          <w:bCs/>
          <w:color w:val="000000" w:themeColor="text1"/>
        </w:rPr>
        <w:t>High-Dose</w:t>
      </w:r>
      <w:r w:rsidR="00287BFD" w:rsidRPr="00604355">
        <w:rPr>
          <w:bCs/>
          <w:color w:val="000000" w:themeColor="text1"/>
          <w:lang w:val="en-US"/>
        </w:rPr>
        <w:t xml:space="preserve"> and group 7</w:t>
      </w:r>
      <w:r w:rsidRPr="00604355">
        <w:rPr>
          <w:bCs/>
          <w:color w:val="000000" w:themeColor="text1"/>
          <w:lang w:val="en-US"/>
        </w:rPr>
        <w:t xml:space="preserve"> </w:t>
      </w:r>
      <w:r w:rsidR="00287BFD" w:rsidRPr="00604355">
        <w:rPr>
          <w:bCs/>
          <w:color w:val="000000" w:themeColor="text1"/>
          <w:lang w:val="en-US"/>
        </w:rPr>
        <w:t>extract and ferrous sulfate</w:t>
      </w:r>
      <w:r w:rsidR="00053CC4" w:rsidRPr="00604355">
        <w:rPr>
          <w:bCs/>
          <w:color w:val="000000" w:themeColor="text1"/>
          <w:lang w:val="en-US"/>
        </w:rPr>
        <w:t>.</w:t>
      </w:r>
      <w:r w:rsidR="00432788" w:rsidRPr="00604355">
        <w:rPr>
          <w:bCs/>
          <w:color w:val="000000" w:themeColor="text1"/>
          <w:lang w:val="en-US"/>
        </w:rPr>
        <w:t xml:space="preserve"> </w:t>
      </w:r>
      <w:r w:rsidR="00432788" w:rsidRPr="00604355">
        <w:rPr>
          <w:lang w:val="en-US"/>
        </w:rPr>
        <w:t xml:space="preserve"> In conclusion t</w:t>
      </w:r>
      <w:r w:rsidR="00432788" w:rsidRPr="00604355">
        <w:t xml:space="preserve">reatment with </w:t>
      </w:r>
      <w:r w:rsidR="00432788" w:rsidRPr="00604355">
        <w:rPr>
          <w:rStyle w:val="Emphasis"/>
          <w:rFonts w:eastAsia="SimSun"/>
        </w:rPr>
        <w:t>Ficus capensis</w:t>
      </w:r>
      <w:r w:rsidR="00432788" w:rsidRPr="00604355">
        <w:t xml:space="preserve"> extract led to a notable normalization of these leukocytic parameters. The </w:t>
      </w:r>
      <w:r w:rsidR="00432788" w:rsidRPr="00604355">
        <w:rPr>
          <w:rStyle w:val="Strong"/>
          <w:b w:val="0"/>
        </w:rPr>
        <w:t>medium dose</w:t>
      </w:r>
      <w:r w:rsidR="00432788" w:rsidRPr="00604355">
        <w:t xml:space="preserve"> and </w:t>
      </w:r>
      <w:r w:rsidR="00432788" w:rsidRPr="00604355">
        <w:rPr>
          <w:rStyle w:val="Strong"/>
          <w:b w:val="0"/>
        </w:rPr>
        <w:t>high dose extract groups</w:t>
      </w:r>
      <w:r w:rsidR="00432788" w:rsidRPr="00604355">
        <w:t xml:space="preserve"> maintained WBC counts</w:t>
      </w:r>
      <w:r w:rsidR="00432788" w:rsidRPr="00604355">
        <w:rPr>
          <w:lang w:val="en-US"/>
        </w:rPr>
        <w:t>.</w:t>
      </w:r>
      <w:r w:rsidR="00432788" w:rsidRPr="00604355">
        <w:t xml:space="preserve"> Treatment with </w:t>
      </w:r>
      <w:r w:rsidR="00432788" w:rsidRPr="00604355">
        <w:rPr>
          <w:rStyle w:val="Emphasis"/>
          <w:rFonts w:eastAsia="SimSun"/>
        </w:rPr>
        <w:t>F. capensis</w:t>
      </w:r>
      <w:r w:rsidR="00432788" w:rsidRPr="00604355">
        <w:t xml:space="preserve"> normalized platelet parameters in a </w:t>
      </w:r>
      <w:r w:rsidR="00432788" w:rsidRPr="00604355">
        <w:rPr>
          <w:rStyle w:val="Strong"/>
          <w:b w:val="0"/>
        </w:rPr>
        <w:t>dose-dependent manner</w:t>
      </w:r>
      <w:r w:rsidR="00432788" w:rsidRPr="00604355">
        <w:rPr>
          <w:b/>
        </w:rPr>
        <w:t>.</w:t>
      </w:r>
      <w:r w:rsidR="00432788" w:rsidRPr="00604355">
        <w:t xml:space="preserve"> Low-, medium-, and high-dose extracts restored PLT counts to physiological ranges</w:t>
      </w:r>
      <w:r w:rsidR="00432788" w:rsidRPr="00604355">
        <w:rPr>
          <w:lang w:val="en-US"/>
        </w:rPr>
        <w:t>. S</w:t>
      </w:r>
      <w:r w:rsidR="00432788" w:rsidRPr="00604355">
        <w:t xml:space="preserve">hows that the methanolic extract of </w:t>
      </w:r>
      <w:r w:rsidR="00432788" w:rsidRPr="00604355">
        <w:rPr>
          <w:i/>
          <w:iCs/>
        </w:rPr>
        <w:t>Ficus capensis</w:t>
      </w:r>
      <w:r w:rsidR="00432788" w:rsidRPr="00604355">
        <w:t xml:space="preserve"> leaves contains </w:t>
      </w:r>
      <w:r w:rsidR="00432788" w:rsidRPr="00604355">
        <w:rPr>
          <w:bCs/>
        </w:rPr>
        <w:t>a complex mixture of fatty acids, esters, terpenoids, and hydrocarbons</w:t>
      </w:r>
      <w:r w:rsidR="001C3A7D">
        <w:rPr>
          <w:lang w:val="en-GB"/>
        </w:rPr>
        <w:t xml:space="preserve"> </w:t>
      </w:r>
      <w:r w:rsidR="00432788" w:rsidRPr="00604355">
        <w:t>phytochemicals typically associated with antioxidant, anti-inflammatory, antimicr</w:t>
      </w:r>
      <w:r w:rsidR="001C3A7D">
        <w:t>obial, and hematopoietic (blood</w:t>
      </w:r>
      <w:r w:rsidR="001C3A7D">
        <w:rPr>
          <w:lang w:val="en-GB"/>
        </w:rPr>
        <w:t xml:space="preserve"> </w:t>
      </w:r>
      <w:r w:rsidR="00432788" w:rsidRPr="00604355">
        <w:t>building) activities</w:t>
      </w:r>
      <w:r w:rsidR="00432788" w:rsidRPr="00604355">
        <w:rPr>
          <w:lang w:val="en-US"/>
        </w:rPr>
        <w:t>.</w:t>
      </w:r>
      <w:r w:rsidR="0019418E" w:rsidRPr="0019418E">
        <w:t xml:space="preserve"> </w:t>
      </w:r>
      <w:r w:rsidR="0019418E" w:rsidRPr="00604355">
        <w:t xml:space="preserve">The </w:t>
      </w:r>
      <w:r w:rsidR="0019418E" w:rsidRPr="00604355">
        <w:rPr>
          <w:rStyle w:val="Strong"/>
          <w:b w:val="0"/>
        </w:rPr>
        <w:t>medium dose</w:t>
      </w:r>
      <w:r w:rsidR="0019418E" w:rsidRPr="00604355">
        <w:t xml:space="preserve"> and </w:t>
      </w:r>
      <w:r w:rsidR="0019418E" w:rsidRPr="00604355">
        <w:rPr>
          <w:rStyle w:val="Strong"/>
          <w:b w:val="0"/>
        </w:rPr>
        <w:t>high dose extract groups</w:t>
      </w:r>
      <w:r w:rsidR="0019418E" w:rsidRPr="00604355">
        <w:t xml:space="preserve"> maintained WBC counts</w:t>
      </w:r>
      <w:r w:rsidR="0019418E" w:rsidRPr="00604355">
        <w:rPr>
          <w:lang w:val="en-US"/>
        </w:rPr>
        <w:t>.</w:t>
      </w:r>
      <w:r w:rsidR="00751993">
        <w:t xml:space="preserve"> </w:t>
      </w:r>
      <w:r w:rsidR="00751993">
        <w:rPr>
          <w:lang w:val="en-GB"/>
        </w:rPr>
        <w:t>In conclusion t</w:t>
      </w:r>
      <w:r w:rsidR="0019418E" w:rsidRPr="00604355">
        <w:t xml:space="preserve">reatment with </w:t>
      </w:r>
      <w:r w:rsidR="0019418E" w:rsidRPr="00604355">
        <w:rPr>
          <w:rStyle w:val="Emphasis"/>
          <w:rFonts w:eastAsia="SimSun"/>
        </w:rPr>
        <w:t>F. capensis</w:t>
      </w:r>
      <w:r w:rsidR="0019418E" w:rsidRPr="00604355">
        <w:t xml:space="preserve"> normalized platelet parameters in a </w:t>
      </w:r>
      <w:r w:rsidR="0019418E" w:rsidRPr="00604355">
        <w:rPr>
          <w:rStyle w:val="Strong"/>
          <w:b w:val="0"/>
        </w:rPr>
        <w:t>dose-dependent manner</w:t>
      </w:r>
      <w:r w:rsidR="0019418E" w:rsidRPr="00604355">
        <w:rPr>
          <w:b/>
        </w:rPr>
        <w:t>.</w:t>
      </w:r>
      <w:r w:rsidR="0019418E" w:rsidRPr="00604355">
        <w:t xml:space="preserve"> Low-, medium-, and high-dose extracts restored PLT counts to physiological ranges</w:t>
      </w:r>
      <w:r w:rsidR="0019418E" w:rsidRPr="00604355">
        <w:rPr>
          <w:lang w:val="en-US"/>
        </w:rPr>
        <w:t>. S</w:t>
      </w:r>
      <w:r w:rsidR="0019418E" w:rsidRPr="00604355">
        <w:t xml:space="preserve">hows that the methanolic extract of </w:t>
      </w:r>
      <w:r w:rsidR="0019418E" w:rsidRPr="00604355">
        <w:rPr>
          <w:i/>
          <w:iCs/>
        </w:rPr>
        <w:t>Ficus capensis</w:t>
      </w:r>
      <w:r w:rsidR="0019418E" w:rsidRPr="00604355">
        <w:t xml:space="preserve"> leaves contains </w:t>
      </w:r>
      <w:r w:rsidR="0019418E" w:rsidRPr="00604355">
        <w:rPr>
          <w:bCs/>
        </w:rPr>
        <w:t>a complex mixture of fatty acids, esters, terpenoids, and hydrocarbons</w:t>
      </w:r>
      <w:r w:rsidR="0019418E" w:rsidRPr="00604355">
        <w:rPr>
          <w:lang w:val="en-GB"/>
        </w:rPr>
        <w:t xml:space="preserve"> </w:t>
      </w:r>
      <w:r w:rsidR="0019418E" w:rsidRPr="00604355">
        <w:t>phytochemicals typically associated with antioxidant, anti-inflammatory, antimicrobial, and hematopoietic (blood-building) activities</w:t>
      </w:r>
      <w:r w:rsidR="0019418E" w:rsidRPr="00604355">
        <w:rPr>
          <w:lang w:val="en-US"/>
        </w:rPr>
        <w:t>.</w:t>
      </w:r>
    </w:p>
    <w:p w:rsidR="008E32E9" w:rsidRPr="001C3A7D" w:rsidRDefault="008E32E9" w:rsidP="001C3A7D">
      <w:pPr>
        <w:pStyle w:val="NormalWeb"/>
        <w:spacing w:before="0" w:beforeAutospacing="0" w:after="0" w:afterAutospacing="0"/>
        <w:jc w:val="both"/>
        <w:rPr>
          <w:lang w:val="en-US"/>
        </w:rPr>
      </w:pPr>
    </w:p>
    <w:p w:rsidR="00287BFD" w:rsidRPr="00604355" w:rsidRDefault="00287BFD" w:rsidP="00432788">
      <w:pPr>
        <w:pStyle w:val="ListParagraph"/>
        <w:spacing w:after="0" w:line="240" w:lineRule="auto"/>
        <w:ind w:left="0"/>
        <w:jc w:val="both"/>
        <w:rPr>
          <w:rFonts w:ascii="Times New Roman" w:hAnsi="Times New Roman" w:cs="Times New Roman"/>
          <w:color w:val="000000" w:themeColor="text1"/>
          <w:sz w:val="24"/>
          <w:szCs w:val="24"/>
          <w:lang w:val="en-US"/>
        </w:rPr>
      </w:pPr>
      <w:r w:rsidRPr="00604355">
        <w:rPr>
          <w:rFonts w:ascii="Times New Roman" w:hAnsi="Times New Roman" w:cs="Times New Roman"/>
          <w:b/>
          <w:bCs/>
          <w:color w:val="000000" w:themeColor="text1"/>
          <w:sz w:val="24"/>
          <w:szCs w:val="24"/>
          <w:lang w:val="en-US"/>
        </w:rPr>
        <w:t xml:space="preserve">Keywords: </w:t>
      </w:r>
      <w:r w:rsidRPr="00604355">
        <w:rPr>
          <w:rFonts w:ascii="Times New Roman" w:hAnsi="Times New Roman" w:cs="Times New Roman"/>
          <w:i/>
          <w:sz w:val="24"/>
          <w:szCs w:val="24"/>
          <w:lang w:val="en-US"/>
        </w:rPr>
        <w:t>Ficus capensis</w:t>
      </w:r>
      <w:r w:rsidR="008543BF" w:rsidRPr="00604355">
        <w:rPr>
          <w:rFonts w:ascii="Times New Roman" w:eastAsia="Calibri" w:hAnsi="Times New Roman" w:cs="Times New Roman"/>
          <w:sz w:val="24"/>
          <w:szCs w:val="24"/>
          <w:lang w:val="en-US" w:eastAsia="en-GB"/>
        </w:rPr>
        <w:t>, Haematological P</w:t>
      </w:r>
      <w:r w:rsidRPr="00604355">
        <w:rPr>
          <w:rFonts w:ascii="Times New Roman" w:eastAsia="Calibri" w:hAnsi="Times New Roman" w:cs="Times New Roman"/>
          <w:sz w:val="24"/>
          <w:szCs w:val="24"/>
          <w:lang w:val="en-US" w:eastAsia="en-GB"/>
        </w:rPr>
        <w:t>arameters,</w:t>
      </w:r>
      <w:r w:rsidRPr="00604355">
        <w:rPr>
          <w:rFonts w:ascii="Times New Roman" w:eastAsia="Calibri" w:hAnsi="Times New Roman" w:cs="Times New Roman"/>
          <w:sz w:val="24"/>
          <w:szCs w:val="24"/>
          <w:lang w:eastAsia="en-GB"/>
        </w:rPr>
        <w:t xml:space="preserve"> </w:t>
      </w:r>
      <w:r w:rsidRPr="00604355">
        <w:rPr>
          <w:rFonts w:ascii="Times New Roman" w:hAnsi="Times New Roman" w:cs="Times New Roman"/>
          <w:color w:val="000000" w:themeColor="text1"/>
          <w:sz w:val="24"/>
          <w:szCs w:val="24"/>
          <w:lang w:val="en-US"/>
        </w:rPr>
        <w:t>P</w:t>
      </w:r>
      <w:r w:rsidRPr="00604355">
        <w:rPr>
          <w:rFonts w:ascii="Times New Roman" w:hAnsi="Times New Roman" w:cs="Times New Roman"/>
          <w:color w:val="000000" w:themeColor="text1"/>
          <w:sz w:val="24"/>
          <w:szCs w:val="24"/>
        </w:rPr>
        <w:t>henyl-hydrazine</w:t>
      </w:r>
      <w:r w:rsidRPr="00604355">
        <w:rPr>
          <w:rFonts w:ascii="Times New Roman" w:hAnsi="Times New Roman" w:cs="Times New Roman"/>
          <w:color w:val="000000" w:themeColor="text1"/>
          <w:sz w:val="24"/>
          <w:szCs w:val="24"/>
          <w:lang w:val="en-US"/>
        </w:rPr>
        <w:t xml:space="preserve"> and Anaemia</w:t>
      </w:r>
    </w:p>
    <w:p w:rsidR="00432788" w:rsidRPr="00604355" w:rsidRDefault="00432788" w:rsidP="00432788">
      <w:pPr>
        <w:pStyle w:val="ListParagraph"/>
        <w:spacing w:after="0" w:line="240" w:lineRule="auto"/>
        <w:ind w:left="0"/>
        <w:jc w:val="both"/>
        <w:rPr>
          <w:rFonts w:ascii="Times New Roman" w:eastAsia="Calibri" w:hAnsi="Times New Roman" w:cs="Times New Roman"/>
          <w:sz w:val="24"/>
          <w:szCs w:val="24"/>
          <w:lang w:val="en-US" w:eastAsia="en-GB"/>
        </w:rPr>
      </w:pPr>
    </w:p>
    <w:p w:rsidR="008A09E6" w:rsidRPr="00604355" w:rsidRDefault="008A09E6" w:rsidP="00205186">
      <w:pPr>
        <w:pStyle w:val="Heading1"/>
        <w:spacing w:beforeAutospacing="0" w:afterAutospacing="0" w:line="240" w:lineRule="auto"/>
        <w:jc w:val="both"/>
        <w:rPr>
          <w:rFonts w:ascii="Times New Roman" w:eastAsia="Times New Roman" w:hAnsi="Times New Roman" w:hint="default"/>
          <w:color w:val="000000" w:themeColor="text1"/>
          <w:sz w:val="24"/>
          <w:szCs w:val="24"/>
        </w:rPr>
        <w:sectPr w:rsidR="008A09E6" w:rsidRPr="0060435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374464" w:rsidRPr="00604355" w:rsidRDefault="00374464" w:rsidP="00205186">
      <w:pPr>
        <w:pStyle w:val="Heading1"/>
        <w:spacing w:beforeAutospacing="0" w:afterAutospacing="0" w:line="240" w:lineRule="auto"/>
        <w:jc w:val="both"/>
        <w:rPr>
          <w:rFonts w:ascii="Times New Roman" w:eastAsia="Times New Roman" w:hAnsi="Times New Roman" w:hint="default"/>
          <w:color w:val="000000" w:themeColor="text1"/>
          <w:sz w:val="24"/>
          <w:szCs w:val="24"/>
        </w:rPr>
      </w:pPr>
      <w:r w:rsidRPr="00604355">
        <w:rPr>
          <w:rFonts w:ascii="Times New Roman" w:eastAsia="Times New Roman" w:hAnsi="Times New Roman" w:hint="default"/>
          <w:color w:val="000000" w:themeColor="text1"/>
          <w:sz w:val="24"/>
          <w:szCs w:val="24"/>
        </w:rPr>
        <w:t>1.0 INTRODUCTION</w:t>
      </w:r>
      <w:bookmarkEnd w:id="0"/>
      <w:r w:rsidRPr="00604355">
        <w:rPr>
          <w:rFonts w:ascii="Times New Roman" w:eastAsia="Times New Roman" w:hAnsi="Times New Roman" w:hint="default"/>
          <w:color w:val="000000" w:themeColor="text1"/>
          <w:sz w:val="24"/>
          <w:szCs w:val="24"/>
        </w:rPr>
        <w:tab/>
      </w:r>
    </w:p>
    <w:p w:rsidR="00287BFD" w:rsidRPr="00604355" w:rsidRDefault="00374464"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eastAsia="Times New Roman" w:hAnsi="Times New Roman" w:cs="Times New Roman"/>
          <w:color w:val="000000" w:themeColor="text1"/>
          <w:sz w:val="24"/>
          <w:szCs w:val="24"/>
        </w:rPr>
        <w:t>Anaemia, characterized by a decrease in the number of red blood cells (RBCs) or the haemoglobin concentration in the blood, remains a significant public health issue worldwide, affecting individuals across different age groups and geographical regions</w:t>
      </w:r>
      <w:r w:rsidRPr="00604355">
        <w:rPr>
          <w:rFonts w:ascii="Times New Roman" w:eastAsia="Times New Roman" w:hAnsi="Times New Roman" w:cs="Times New Roman"/>
          <w:color w:val="000000" w:themeColor="text1"/>
          <w:sz w:val="24"/>
          <w:szCs w:val="24"/>
          <w:lang w:val="en-US"/>
        </w:rPr>
        <w:t xml:space="preserve"> </w:t>
      </w:r>
      <w:r w:rsidRPr="00604355">
        <w:rPr>
          <w:rFonts w:ascii="Times New Roman" w:eastAsia="Times New Roman" w:hAnsi="Times New Roman" w:cs="Times New Roman"/>
          <w:color w:val="000000" w:themeColor="text1"/>
          <w:sz w:val="24"/>
          <w:szCs w:val="24"/>
        </w:rPr>
        <w:t>(WHO, 2023).</w:t>
      </w:r>
      <w:r w:rsidRPr="00604355">
        <w:rPr>
          <w:rFonts w:ascii="Times New Roman" w:eastAsia="Times New Roman" w:hAnsi="Times New Roman" w:cs="Times New Roman"/>
          <w:color w:val="000000" w:themeColor="text1"/>
          <w:sz w:val="24"/>
          <w:szCs w:val="24"/>
          <w:lang w:val="en-US"/>
        </w:rPr>
        <w:t xml:space="preserve"> </w:t>
      </w:r>
      <w:r w:rsidRPr="00604355">
        <w:rPr>
          <w:rFonts w:ascii="Times New Roman" w:eastAsia="Times New Roman" w:hAnsi="Times New Roman" w:cs="Times New Roman"/>
          <w:color w:val="000000" w:themeColor="text1"/>
          <w:sz w:val="24"/>
          <w:szCs w:val="24"/>
        </w:rPr>
        <w:t xml:space="preserve">The </w:t>
      </w:r>
    </w:p>
    <w:p w:rsidR="00F07987" w:rsidRPr="00604355" w:rsidRDefault="00374464"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eastAsia="Times New Roman" w:hAnsi="Times New Roman" w:cs="Times New Roman"/>
          <w:color w:val="000000" w:themeColor="text1"/>
          <w:sz w:val="24"/>
          <w:szCs w:val="24"/>
        </w:rPr>
        <w:t>condition leads to reduced oxygen-carrying capacity of the blood, which in turn causes various health problems, including fatigue, weakness, and impaired cognitive function (</w:t>
      </w:r>
      <w:r w:rsidR="001C3A7D" w:rsidRPr="00604355">
        <w:rPr>
          <w:rFonts w:ascii="Times New Roman" w:eastAsia="Times New Roman" w:hAnsi="Times New Roman" w:cs="Times New Roman"/>
          <w:color w:val="000000" w:themeColor="text1"/>
          <w:sz w:val="24"/>
          <w:szCs w:val="24"/>
        </w:rPr>
        <w:t>WHO, 2023</w:t>
      </w:r>
      <w:r w:rsidRPr="00604355">
        <w:rPr>
          <w:rFonts w:ascii="Times New Roman" w:eastAsia="Times New Roman" w:hAnsi="Times New Roman" w:cs="Times New Roman"/>
          <w:color w:val="000000" w:themeColor="text1"/>
          <w:sz w:val="24"/>
          <w:szCs w:val="24"/>
        </w:rPr>
        <w:t xml:space="preserve">). Anaemia can be caused by numerous factors, </w:t>
      </w:r>
      <w:r w:rsidRPr="00604355">
        <w:rPr>
          <w:rFonts w:ascii="Times New Roman" w:eastAsia="Times New Roman" w:hAnsi="Times New Roman" w:cs="Times New Roman"/>
          <w:color w:val="000000" w:themeColor="text1"/>
          <w:sz w:val="24"/>
          <w:szCs w:val="24"/>
        </w:rPr>
        <w:t>including nutritional deficiencies (such as iron, vitamin B12, and folate deficiencies), chronic diseases, genetic disorders, and exposure to toxins or drugs (WHO, 2023).</w:t>
      </w:r>
    </w:p>
    <w:p w:rsidR="00F07987" w:rsidRPr="00604355" w:rsidRDefault="00F07987"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hAnsi="Times New Roman" w:cs="Times New Roman"/>
          <w:sz w:val="24"/>
          <w:szCs w:val="24"/>
        </w:rPr>
        <w:t xml:space="preserve">Iron plays a vital role in numerous physiological functions, particularly in the synthesis of haemoglobin. When the body lacks adequate iron, it leads to a condition known as iron deficiency anaemia. This type of anaemia is more prevalent among adolescents and premenopausal women. Factors such as frequent blood donation, gastrointestinal bleeding, and heavy </w:t>
      </w:r>
      <w:r w:rsidRPr="00604355">
        <w:rPr>
          <w:rFonts w:ascii="Times New Roman" w:hAnsi="Times New Roman" w:cs="Times New Roman"/>
          <w:sz w:val="24"/>
          <w:szCs w:val="24"/>
        </w:rPr>
        <w:lastRenderedPageBreak/>
        <w:t>menstrual flow can further aggravate the condition (Almaamori, 2023).</w:t>
      </w:r>
    </w:p>
    <w:p w:rsidR="00F07987" w:rsidRPr="00604355" w:rsidRDefault="00F07987"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hAnsi="Times New Roman" w:cs="Times New Roman"/>
          <w:sz w:val="24"/>
          <w:szCs w:val="24"/>
        </w:rPr>
        <w:t>Iron Deficiency Anemia (IDA) is a condition characterized by a decrease in the number and size of red blood cells, leading to inadequate oxygen delivery to tissues and organs. It is the most common nutritional disorder worldwide, affecting approximately 1.6 billion people globally (</w:t>
      </w:r>
      <w:r w:rsidRPr="00604355">
        <w:rPr>
          <w:rFonts w:ascii="Times New Roman" w:hAnsi="Times New Roman" w:cs="Times New Roman"/>
          <w:sz w:val="24"/>
          <w:szCs w:val="24"/>
          <w:lang w:val="en-US"/>
        </w:rPr>
        <w:t>WHO, 2019</w:t>
      </w:r>
      <w:r w:rsidRPr="00604355">
        <w:rPr>
          <w:rFonts w:ascii="Times New Roman" w:hAnsi="Times New Roman" w:cs="Times New Roman"/>
          <w:sz w:val="24"/>
          <w:szCs w:val="24"/>
        </w:rPr>
        <w:t>)</w:t>
      </w:r>
      <w:r w:rsidRPr="00604355">
        <w:rPr>
          <w:rFonts w:ascii="Times New Roman" w:hAnsi="Times New Roman" w:cs="Times New Roman"/>
          <w:sz w:val="24"/>
          <w:szCs w:val="24"/>
          <w:lang w:val="en-US"/>
        </w:rPr>
        <w:t xml:space="preserve">. </w:t>
      </w:r>
      <w:r w:rsidRPr="00604355">
        <w:rPr>
          <w:rFonts w:ascii="Times New Roman" w:hAnsi="Times New Roman" w:cs="Times New Roman"/>
          <w:sz w:val="24"/>
          <w:szCs w:val="24"/>
        </w:rPr>
        <w:t>Caused by insufficient iron intake, absorption, or chronic blood loss .</w:t>
      </w:r>
      <w:r w:rsidRPr="00604355">
        <w:rPr>
          <w:rFonts w:ascii="Times New Roman" w:eastAsia="Times New Roman" w:hAnsi="Times New Roman" w:cs="Times New Roman"/>
          <w:color w:val="000000" w:themeColor="text1"/>
          <w:sz w:val="24"/>
          <w:szCs w:val="24"/>
          <w:lang w:val="en-US"/>
        </w:rPr>
        <w:t xml:space="preserve"> </w:t>
      </w:r>
      <w:r w:rsidRPr="00604355">
        <w:rPr>
          <w:rFonts w:ascii="Times New Roman" w:eastAsia="Times New Roman" w:hAnsi="Times New Roman" w:cs="Times New Roman"/>
          <w:sz w:val="24"/>
          <w:szCs w:val="24"/>
          <w:lang w:eastAsia="zh-CN"/>
        </w:rPr>
        <w:t xml:space="preserve">The main causes of IDA can be classified into three categories: inadequate dietary iron intake, increased iron requirements, and chronic blood loss </w:t>
      </w:r>
      <w:r w:rsidRPr="00604355">
        <w:rPr>
          <w:rFonts w:ascii="Times New Roman" w:eastAsia="Times New Roman" w:hAnsi="Times New Roman" w:cs="Times New Roman"/>
          <w:sz w:val="24"/>
          <w:szCs w:val="24"/>
          <w:lang w:val="en-US" w:eastAsia="zh-CN"/>
        </w:rPr>
        <w:t>(</w:t>
      </w:r>
      <w:r w:rsidRPr="00604355">
        <w:rPr>
          <w:rFonts w:ascii="Times New Roman" w:eastAsia="Times New Roman" w:hAnsi="Times New Roman" w:cs="Times New Roman"/>
          <w:sz w:val="24"/>
          <w:szCs w:val="24"/>
          <w:lang w:eastAsia="zh-CN"/>
        </w:rPr>
        <w:t>Camaschella,</w:t>
      </w:r>
      <w:r w:rsidRPr="00604355">
        <w:rPr>
          <w:rFonts w:ascii="Times New Roman" w:eastAsia="Times New Roman" w:hAnsi="Times New Roman" w:cs="Times New Roman"/>
          <w:sz w:val="24"/>
          <w:szCs w:val="24"/>
          <w:lang w:val="en-US" w:eastAsia="zh-CN"/>
        </w:rPr>
        <w:t xml:space="preserve"> </w:t>
      </w:r>
      <w:r w:rsidRPr="00604355">
        <w:rPr>
          <w:rFonts w:ascii="Times New Roman" w:eastAsia="Times New Roman" w:hAnsi="Times New Roman" w:cs="Times New Roman"/>
          <w:sz w:val="24"/>
          <w:szCs w:val="24"/>
          <w:lang w:eastAsia="zh-CN"/>
        </w:rPr>
        <w:t>2019</w:t>
      </w:r>
      <w:r w:rsidRPr="00604355">
        <w:rPr>
          <w:rFonts w:ascii="Times New Roman" w:eastAsia="Times New Roman" w:hAnsi="Times New Roman" w:cs="Times New Roman"/>
          <w:sz w:val="24"/>
          <w:szCs w:val="24"/>
          <w:lang w:val="en-US" w:eastAsia="zh-CN"/>
        </w:rPr>
        <w:t>)</w:t>
      </w:r>
      <w:r w:rsidRPr="00604355">
        <w:rPr>
          <w:rFonts w:ascii="Times New Roman" w:eastAsia="Times New Roman" w:hAnsi="Times New Roman" w:cs="Times New Roman"/>
          <w:sz w:val="24"/>
          <w:szCs w:val="24"/>
          <w:lang w:eastAsia="zh-CN"/>
        </w:rPr>
        <w:t>.</w:t>
      </w:r>
    </w:p>
    <w:p w:rsidR="0043249A" w:rsidRPr="00604355" w:rsidRDefault="0043249A"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eastAsia="Times New Roman" w:hAnsi="Times New Roman" w:cs="Times New Roman"/>
          <w:sz w:val="24"/>
          <w:szCs w:val="24"/>
        </w:rPr>
        <w:t xml:space="preserve">Iron deficiency anemia (IDA) is the most prevalent type of anemia globally, caused by inadequate iron levels in the body. Iron is an essential mineral required for the production of hemoglobin, a protein in red blood cells (RBCs) responsible for transporting oxygen from the lungs to various tissues throughout the body. When iron levels fall below optimal levels, the body cannot produce enough healthy red blood cells, leading to reduced oxygen supply to tissues and organs </w:t>
      </w:r>
      <w:r w:rsidRPr="00604355">
        <w:rPr>
          <w:rFonts w:ascii="Times New Roman" w:eastAsia="Times New Roman" w:hAnsi="Times New Roman" w:cs="Times New Roman"/>
          <w:color w:val="000000" w:themeColor="text1"/>
          <w:sz w:val="24"/>
          <w:szCs w:val="24"/>
        </w:rPr>
        <w:t>(WHO, 2023)</w:t>
      </w:r>
      <w:r w:rsidRPr="00604355">
        <w:rPr>
          <w:rFonts w:ascii="Times New Roman" w:eastAsia="Times New Roman" w:hAnsi="Times New Roman" w:cs="Times New Roman"/>
          <w:sz w:val="24"/>
          <w:szCs w:val="24"/>
        </w:rPr>
        <w:t xml:space="preserve">. </w:t>
      </w:r>
      <w:r w:rsidRPr="00604355">
        <w:rPr>
          <w:rFonts w:ascii="Times New Roman" w:hAnsi="Times New Roman" w:cs="Times New Roman"/>
          <w:sz w:val="24"/>
          <w:szCs w:val="24"/>
        </w:rPr>
        <w:t xml:space="preserve">IDA affects approximately 1.2 billion people worldwide, with the highest prevalence seen in women of reproductive age, pregnant women, and young children. The World Health Organization (WHO) estimates that around 30% of the global population suffers from anemia, and about half of these cases are due to iron deficiency. This condition is particularly prevalent in low- and middle-income countries due to poor nutrition, limited access to iron-rich foods, and certain cultural practices </w:t>
      </w:r>
      <w:r w:rsidRPr="00604355">
        <w:rPr>
          <w:rFonts w:ascii="Times New Roman" w:eastAsia="Times New Roman" w:hAnsi="Times New Roman" w:cs="Times New Roman"/>
          <w:color w:val="000000" w:themeColor="text1"/>
          <w:sz w:val="24"/>
          <w:szCs w:val="24"/>
        </w:rPr>
        <w:t>(WHO, 2023)</w:t>
      </w:r>
      <w:r w:rsidRPr="00604355">
        <w:rPr>
          <w:rFonts w:ascii="Times New Roman" w:hAnsi="Times New Roman" w:cs="Times New Roman"/>
          <w:sz w:val="24"/>
          <w:szCs w:val="24"/>
        </w:rPr>
        <w:t>.</w:t>
      </w:r>
    </w:p>
    <w:p w:rsidR="00720B3B" w:rsidRPr="00604355" w:rsidRDefault="00374464" w:rsidP="00720B3B">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eastAsia="Times New Roman" w:hAnsi="Times New Roman" w:cs="Times New Roman"/>
          <w:i/>
          <w:color w:val="000000" w:themeColor="text1"/>
          <w:sz w:val="24"/>
          <w:szCs w:val="24"/>
        </w:rPr>
        <w:t>Ficus Capensis</w:t>
      </w:r>
      <w:r w:rsidRPr="00604355">
        <w:rPr>
          <w:rFonts w:ascii="Times New Roman" w:eastAsia="Times New Roman" w:hAnsi="Times New Roman" w:cs="Times New Roman"/>
          <w:color w:val="000000" w:themeColor="text1"/>
          <w:sz w:val="24"/>
          <w:szCs w:val="24"/>
        </w:rPr>
        <w:t>, commonly known as African fig or forest fig, is a plant widely used in traditional medicine in various parts o</w:t>
      </w:r>
      <w:r w:rsidR="00924183" w:rsidRPr="00604355">
        <w:rPr>
          <w:rFonts w:ascii="Times New Roman" w:eastAsia="Times New Roman" w:hAnsi="Times New Roman" w:cs="Times New Roman"/>
          <w:color w:val="000000" w:themeColor="text1"/>
          <w:sz w:val="24"/>
          <w:szCs w:val="24"/>
        </w:rPr>
        <w:t>f Africa (</w:t>
      </w:r>
      <w:r w:rsidRPr="00604355">
        <w:rPr>
          <w:rFonts w:ascii="Times New Roman" w:hAnsi="Times New Roman" w:cs="Times New Roman"/>
          <w:color w:val="000000" w:themeColor="text1"/>
          <w:sz w:val="24"/>
          <w:szCs w:val="24"/>
        </w:rPr>
        <w:t>Nyangena and Wanyonyi., 2023</w:t>
      </w:r>
      <w:r w:rsidRPr="00604355">
        <w:rPr>
          <w:rFonts w:ascii="Times New Roman" w:eastAsia="Times New Roman" w:hAnsi="Times New Roman" w:cs="Times New Roman"/>
          <w:color w:val="000000" w:themeColor="text1"/>
          <w:sz w:val="24"/>
          <w:szCs w:val="24"/>
        </w:rPr>
        <w:t xml:space="preserve">).  It is scientifically known as </w:t>
      </w:r>
      <w:r w:rsidRPr="00604355">
        <w:rPr>
          <w:rFonts w:ascii="Times New Roman" w:eastAsia="Times New Roman" w:hAnsi="Times New Roman" w:cs="Times New Roman"/>
          <w:bCs/>
          <w:color w:val="000000" w:themeColor="text1"/>
          <w:sz w:val="24"/>
          <w:szCs w:val="24"/>
        </w:rPr>
        <w:t>Cape fig and broom cluster fig</w:t>
      </w:r>
      <w:r w:rsidRPr="00604355">
        <w:rPr>
          <w:rFonts w:ascii="Times New Roman" w:eastAsia="Times New Roman" w:hAnsi="Times New Roman" w:cs="Times New Roman"/>
          <w:color w:val="000000" w:themeColor="text1"/>
          <w:sz w:val="24"/>
          <w:szCs w:val="24"/>
        </w:rPr>
        <w:t xml:space="preserve"> is a deciduous tree with large panicles of small white flowers and yellow plum-like fruits, grown mainly during rainy season, between June </w:t>
      </w:r>
      <w:r w:rsidRPr="00604355">
        <w:rPr>
          <w:rFonts w:ascii="Times New Roman" w:eastAsia="Times New Roman" w:hAnsi="Times New Roman" w:cs="Times New Roman"/>
          <w:color w:val="000000" w:themeColor="text1"/>
          <w:sz w:val="24"/>
          <w:szCs w:val="24"/>
        </w:rPr>
        <w:t>and August (Adepoju and Oyewole, 2008,</w:t>
      </w:r>
      <w:r w:rsidRPr="00604355">
        <w:rPr>
          <w:rFonts w:ascii="Times New Roman" w:hAnsi="Times New Roman" w:cs="Times New Roman"/>
          <w:color w:val="000000" w:themeColor="text1"/>
          <w:sz w:val="24"/>
          <w:szCs w:val="24"/>
        </w:rPr>
        <w:t xml:space="preserve"> Van Wyk and Gericke., 2022</w:t>
      </w:r>
      <w:r w:rsidRPr="00604355">
        <w:rPr>
          <w:rFonts w:ascii="Times New Roman" w:eastAsia="Times New Roman" w:hAnsi="Times New Roman" w:cs="Times New Roman"/>
          <w:color w:val="000000" w:themeColor="text1"/>
          <w:sz w:val="24"/>
          <w:szCs w:val="24"/>
        </w:rPr>
        <w:t>). Fruits of the plant are ovoid, yellow, fleshy, drupe and are borne within a cluster of 10-15 fruits; unripe fruits taste sour, while ripe ones have sweet-sour taste. It belongs to the family Anarcadiaceae (same family as Cashews, Mangoes</w:t>
      </w:r>
      <w:r w:rsidR="007C6144" w:rsidRPr="00604355">
        <w:rPr>
          <w:rFonts w:ascii="Times New Roman" w:eastAsia="Times New Roman" w:hAnsi="Times New Roman" w:cs="Times New Roman"/>
          <w:color w:val="000000" w:themeColor="text1"/>
          <w:sz w:val="24"/>
          <w:szCs w:val="24"/>
        </w:rPr>
        <w:t xml:space="preserve"> and Pistachios) (</w:t>
      </w:r>
      <w:r w:rsidR="007C6144" w:rsidRPr="00604355">
        <w:rPr>
          <w:rFonts w:ascii="Times New Roman" w:hAnsi="Times New Roman" w:cs="Times New Roman"/>
          <w:color w:val="000000" w:themeColor="text1"/>
          <w:sz w:val="24"/>
          <w:szCs w:val="24"/>
        </w:rPr>
        <w:t>Schmidt and Smith, 2022</w:t>
      </w:r>
      <w:r w:rsidRPr="00604355">
        <w:rPr>
          <w:rFonts w:ascii="Times New Roman" w:eastAsia="Times New Roman" w:hAnsi="Times New Roman" w:cs="Times New Roman"/>
          <w:color w:val="000000" w:themeColor="text1"/>
          <w:sz w:val="24"/>
          <w:szCs w:val="24"/>
        </w:rPr>
        <w:t xml:space="preserve">). Natively found in Central America and the Carribean and in Southern Nigeria (Ayoka </w:t>
      </w:r>
      <w:r w:rsidRPr="00604355">
        <w:rPr>
          <w:rFonts w:ascii="Times New Roman" w:eastAsia="Times New Roman" w:hAnsi="Times New Roman" w:cs="Times New Roman"/>
          <w:i/>
          <w:color w:val="000000" w:themeColor="text1"/>
          <w:sz w:val="24"/>
          <w:szCs w:val="24"/>
        </w:rPr>
        <w:t>et al</w:t>
      </w:r>
      <w:r w:rsidRPr="00604355">
        <w:rPr>
          <w:rFonts w:ascii="Times New Roman" w:eastAsia="Times New Roman" w:hAnsi="Times New Roman" w:cs="Times New Roman"/>
          <w:color w:val="000000" w:themeColor="text1"/>
          <w:sz w:val="24"/>
          <w:szCs w:val="24"/>
        </w:rPr>
        <w:t xml:space="preserve">., 2008, </w:t>
      </w:r>
      <w:r w:rsidRPr="00604355">
        <w:rPr>
          <w:rFonts w:ascii="Times New Roman" w:hAnsi="Times New Roman" w:cs="Times New Roman"/>
          <w:color w:val="000000" w:themeColor="text1"/>
          <w:sz w:val="24"/>
          <w:szCs w:val="24"/>
        </w:rPr>
        <w:t>Schmidt and Smith, 2022</w:t>
      </w:r>
      <w:r w:rsidRPr="00604355">
        <w:rPr>
          <w:rFonts w:ascii="Times New Roman" w:eastAsia="Times New Roman" w:hAnsi="Times New Roman" w:cs="Times New Roman"/>
          <w:color w:val="000000" w:themeColor="text1"/>
          <w:sz w:val="24"/>
          <w:szCs w:val="24"/>
        </w:rPr>
        <w:t xml:space="preserve">). It is locally called Agama in Igala, “akororo” in igbo, “uwaryara” in hausa, “opoto” in Yoruba, “rimabichehi” in Fulani and “obada” in Edo (Njoku-Oji, 2016).  The methanolic extract of </w:t>
      </w:r>
      <w:r w:rsidRPr="00604355">
        <w:rPr>
          <w:rFonts w:ascii="Times New Roman" w:eastAsia="Times New Roman" w:hAnsi="Times New Roman" w:cs="Times New Roman"/>
          <w:i/>
          <w:color w:val="000000" w:themeColor="text1"/>
          <w:sz w:val="24"/>
          <w:szCs w:val="24"/>
        </w:rPr>
        <w:t>Ficus capensis</w:t>
      </w:r>
      <w:r w:rsidRPr="00604355">
        <w:rPr>
          <w:rFonts w:ascii="Times New Roman" w:eastAsia="Times New Roman" w:hAnsi="Times New Roman" w:cs="Times New Roman"/>
          <w:color w:val="000000" w:themeColor="text1"/>
          <w:sz w:val="24"/>
          <w:szCs w:val="24"/>
        </w:rPr>
        <w:t xml:space="preserve"> leaves has been reported to possess numerous pharmacological properties, including antioxidant, anti-inflammatory, and haematopoietic activities (</w:t>
      </w:r>
      <w:r w:rsidRPr="00604355">
        <w:rPr>
          <w:rFonts w:ascii="Times New Roman" w:hAnsi="Times New Roman" w:cs="Times New Roman"/>
          <w:color w:val="000000" w:themeColor="text1"/>
          <w:sz w:val="24"/>
          <w:szCs w:val="24"/>
        </w:rPr>
        <w:t>Adebiyi and Adeyemi, 2023</w:t>
      </w:r>
      <w:r w:rsidRPr="00604355">
        <w:rPr>
          <w:rFonts w:ascii="Times New Roman" w:eastAsia="Times New Roman" w:hAnsi="Times New Roman" w:cs="Times New Roman"/>
          <w:color w:val="000000" w:themeColor="text1"/>
          <w:sz w:val="24"/>
          <w:szCs w:val="24"/>
        </w:rPr>
        <w:t xml:space="preserve">). The antioxidant properties of </w:t>
      </w:r>
      <w:r w:rsidRPr="00604355">
        <w:rPr>
          <w:rFonts w:ascii="Times New Roman" w:eastAsia="Times New Roman" w:hAnsi="Times New Roman" w:cs="Times New Roman"/>
          <w:i/>
          <w:color w:val="000000" w:themeColor="text1"/>
          <w:sz w:val="24"/>
          <w:szCs w:val="24"/>
        </w:rPr>
        <w:t>Ficus capensis</w:t>
      </w:r>
      <w:r w:rsidRPr="00604355">
        <w:rPr>
          <w:rFonts w:ascii="Times New Roman" w:eastAsia="Times New Roman" w:hAnsi="Times New Roman" w:cs="Times New Roman"/>
          <w:color w:val="000000" w:themeColor="text1"/>
          <w:sz w:val="24"/>
          <w:szCs w:val="24"/>
        </w:rPr>
        <w:t xml:space="preserve"> can counteract oxidative stress, a key factor in the pathogenesis of anaemia, particularly haemolytic anaemia induced by agents like </w:t>
      </w:r>
      <w:r w:rsidRPr="00604355">
        <w:rPr>
          <w:rFonts w:ascii="Times New Roman" w:eastAsia="Times New Roman" w:hAnsi="Times New Roman" w:cs="Times New Roman"/>
          <w:color w:val="000000" w:themeColor="text1"/>
          <w:sz w:val="24"/>
          <w:szCs w:val="24"/>
          <w:lang w:val="en-US"/>
        </w:rPr>
        <w:t>p</w:t>
      </w:r>
      <w:r w:rsidRPr="00604355">
        <w:rPr>
          <w:rFonts w:ascii="Times New Roman" w:eastAsia="Times New Roman" w:hAnsi="Times New Roman" w:cs="Times New Roman"/>
          <w:color w:val="000000" w:themeColor="text1"/>
          <w:sz w:val="24"/>
          <w:szCs w:val="24"/>
        </w:rPr>
        <w:t xml:space="preserve">henylhydrazine </w:t>
      </w:r>
      <w:r w:rsidRPr="00604355">
        <w:rPr>
          <w:rFonts w:ascii="Times New Roman" w:eastAsia="Times New Roman" w:hAnsi="Times New Roman" w:cs="Times New Roman"/>
          <w:color w:val="000000" w:themeColor="text1"/>
          <w:sz w:val="24"/>
          <w:szCs w:val="24"/>
          <w:lang w:val="en-US"/>
        </w:rPr>
        <w:t>(</w:t>
      </w:r>
      <w:r w:rsidRPr="00604355">
        <w:rPr>
          <w:rFonts w:ascii="Times New Roman" w:eastAsia="Times New Roman" w:hAnsi="Times New Roman" w:cs="Times New Roman"/>
          <w:color w:val="000000" w:themeColor="text1"/>
          <w:sz w:val="24"/>
          <w:szCs w:val="24"/>
        </w:rPr>
        <w:t>PHZ</w:t>
      </w:r>
      <w:r w:rsidRPr="00604355">
        <w:rPr>
          <w:rFonts w:ascii="Times New Roman" w:eastAsia="Times New Roman" w:hAnsi="Times New Roman" w:cs="Times New Roman"/>
          <w:color w:val="000000" w:themeColor="text1"/>
          <w:sz w:val="24"/>
          <w:szCs w:val="24"/>
          <w:lang w:val="en-US"/>
        </w:rPr>
        <w:t>)</w:t>
      </w:r>
      <w:r w:rsidRPr="00604355">
        <w:rPr>
          <w:rFonts w:ascii="Times New Roman" w:eastAsia="Times New Roman" w:hAnsi="Times New Roman" w:cs="Times New Roman"/>
          <w:color w:val="000000" w:themeColor="text1"/>
          <w:sz w:val="24"/>
          <w:szCs w:val="24"/>
        </w:rPr>
        <w:t xml:space="preserve"> (Kumar </w:t>
      </w:r>
      <w:r w:rsidRPr="00604355">
        <w:rPr>
          <w:rFonts w:ascii="Times New Roman" w:eastAsia="Times New Roman" w:hAnsi="Times New Roman" w:cs="Times New Roman"/>
          <w:i/>
          <w:color w:val="000000" w:themeColor="text1"/>
          <w:sz w:val="24"/>
          <w:szCs w:val="24"/>
        </w:rPr>
        <w:t>et al</w:t>
      </w:r>
      <w:r w:rsidRPr="00604355">
        <w:rPr>
          <w:rFonts w:ascii="Times New Roman" w:eastAsia="Times New Roman" w:hAnsi="Times New Roman" w:cs="Times New Roman"/>
          <w:color w:val="000000" w:themeColor="text1"/>
          <w:sz w:val="24"/>
          <w:szCs w:val="24"/>
        </w:rPr>
        <w:t xml:space="preserve">., 2010, </w:t>
      </w:r>
      <w:r w:rsidRPr="00604355">
        <w:rPr>
          <w:rFonts w:ascii="Times New Roman" w:hAnsi="Times New Roman" w:cs="Times New Roman"/>
          <w:color w:val="000000" w:themeColor="text1"/>
          <w:sz w:val="24"/>
          <w:szCs w:val="24"/>
        </w:rPr>
        <w:t>Ogundipe and Ibrahim, 2024</w:t>
      </w:r>
      <w:r w:rsidRPr="00604355">
        <w:rPr>
          <w:rFonts w:ascii="Times New Roman" w:eastAsia="Times New Roman" w:hAnsi="Times New Roman" w:cs="Times New Roman"/>
          <w:color w:val="000000" w:themeColor="text1"/>
          <w:sz w:val="24"/>
          <w:szCs w:val="24"/>
        </w:rPr>
        <w:t xml:space="preserve">). </w:t>
      </w:r>
      <w:r w:rsidRPr="00604355">
        <w:rPr>
          <w:rFonts w:ascii="Times New Roman" w:eastAsia="Times New Roman" w:hAnsi="Times New Roman" w:cs="Times New Roman"/>
          <w:i/>
          <w:iCs/>
          <w:color w:val="000000" w:themeColor="text1"/>
          <w:sz w:val="24"/>
          <w:szCs w:val="24"/>
        </w:rPr>
        <w:t>Ficus capensis</w:t>
      </w:r>
      <w:r w:rsidRPr="00604355">
        <w:rPr>
          <w:rFonts w:ascii="Times New Roman" w:eastAsia="Times New Roman" w:hAnsi="Times New Roman" w:cs="Times New Roman"/>
          <w:color w:val="000000" w:themeColor="text1"/>
          <w:sz w:val="24"/>
          <w:szCs w:val="24"/>
        </w:rPr>
        <w:t xml:space="preserve"> is a deciduous or semi-deciduous tree that can grow up to 20 meters in height. The trunk is often buttressed, and the bark is smooth and grey. Leaves are simple, alternate, and stipulate with a petiole ranging from 1-5 cm long. The leaf blade is broadly ovate to elliptic, with a size of about 6-15 cm long and 3-8 cm wide, exhibiting a coriaceous texture and a dark green color on the upper surface (</w:t>
      </w:r>
      <w:r w:rsidR="00924183" w:rsidRPr="00604355">
        <w:rPr>
          <w:rFonts w:ascii="Times New Roman" w:hAnsi="Times New Roman" w:cs="Times New Roman"/>
          <w:color w:val="000000" w:themeColor="text1"/>
          <w:sz w:val="24"/>
          <w:szCs w:val="24"/>
        </w:rPr>
        <w:t>Ogundipe and Ibrahim, 2024</w:t>
      </w:r>
      <w:r w:rsidRPr="00604355">
        <w:rPr>
          <w:rFonts w:ascii="Times New Roman" w:eastAsia="Times New Roman" w:hAnsi="Times New Roman" w:cs="Times New Roman"/>
          <w:color w:val="000000" w:themeColor="text1"/>
          <w:sz w:val="24"/>
          <w:szCs w:val="24"/>
        </w:rPr>
        <w:t xml:space="preserve">). </w:t>
      </w:r>
    </w:p>
    <w:p w:rsidR="00374464" w:rsidRPr="00604355" w:rsidRDefault="00374464" w:rsidP="00720B3B">
      <w:pPr>
        <w:spacing w:after="0" w:line="240" w:lineRule="auto"/>
        <w:jc w:val="both"/>
        <w:rPr>
          <w:rFonts w:ascii="Times New Roman" w:eastAsia="Times New Roman" w:hAnsi="Times New Roman" w:cs="Times New Roman"/>
          <w:color w:val="000000" w:themeColor="text1"/>
          <w:sz w:val="24"/>
          <w:szCs w:val="24"/>
        </w:rPr>
      </w:pPr>
      <w:r w:rsidRPr="00604355">
        <w:rPr>
          <w:rFonts w:ascii="Times New Roman" w:eastAsia="Times New Roman" w:hAnsi="Times New Roman" w:cs="Times New Roman"/>
          <w:color w:val="000000" w:themeColor="text1"/>
          <w:sz w:val="24"/>
          <w:szCs w:val="24"/>
        </w:rPr>
        <w:t xml:space="preserve">The aim of this study </w:t>
      </w:r>
      <w:r w:rsidRPr="00604355">
        <w:rPr>
          <w:rFonts w:ascii="Times New Roman" w:eastAsia="Times New Roman" w:hAnsi="Times New Roman" w:cs="Times New Roman"/>
          <w:color w:val="000000" w:themeColor="text1"/>
          <w:sz w:val="24"/>
          <w:szCs w:val="24"/>
          <w:lang w:val="en-US"/>
        </w:rPr>
        <w:t>was</w:t>
      </w:r>
      <w:r w:rsidRPr="00604355">
        <w:rPr>
          <w:rFonts w:ascii="Times New Roman" w:eastAsia="Times New Roman" w:hAnsi="Times New Roman" w:cs="Times New Roman"/>
          <w:color w:val="000000" w:themeColor="text1"/>
          <w:sz w:val="24"/>
          <w:szCs w:val="24"/>
        </w:rPr>
        <w:t xml:space="preserve"> to evaluate the effects of </w:t>
      </w:r>
      <w:r w:rsidRPr="00604355">
        <w:rPr>
          <w:rFonts w:ascii="Times New Roman" w:eastAsia="Times New Roman" w:hAnsi="Times New Roman" w:cs="Times New Roman"/>
          <w:i/>
          <w:color w:val="000000" w:themeColor="text1"/>
          <w:sz w:val="24"/>
          <w:szCs w:val="24"/>
        </w:rPr>
        <w:t>Ficus capensis</w:t>
      </w:r>
      <w:r w:rsidRPr="00604355">
        <w:rPr>
          <w:rFonts w:ascii="Times New Roman" w:eastAsia="Times New Roman" w:hAnsi="Times New Roman" w:cs="Times New Roman"/>
          <w:color w:val="000000" w:themeColor="text1"/>
          <w:sz w:val="24"/>
          <w:szCs w:val="24"/>
        </w:rPr>
        <w:t xml:space="preserve"> methanolic leaves extract on hepcidin and erythropoietin-related biomarkers in phenylhydrazine-induced iron deficiency anaemic Wistar rats.</w:t>
      </w:r>
    </w:p>
    <w:p w:rsidR="00374464" w:rsidRPr="00604355" w:rsidRDefault="00287BFD" w:rsidP="00720B3B">
      <w:pPr>
        <w:pStyle w:val="Heading1"/>
        <w:spacing w:beforeAutospacing="0" w:afterAutospacing="0" w:line="240" w:lineRule="auto"/>
        <w:rPr>
          <w:rFonts w:ascii="Times New Roman" w:hAnsi="Times New Roman" w:hint="default"/>
          <w:color w:val="000000" w:themeColor="text1"/>
          <w:sz w:val="24"/>
          <w:szCs w:val="24"/>
        </w:rPr>
      </w:pPr>
      <w:bookmarkStart w:id="2" w:name="_Toc125820298"/>
      <w:bookmarkStart w:id="3" w:name="_Toc176942726"/>
      <w:r w:rsidRPr="00604355">
        <w:rPr>
          <w:rFonts w:ascii="Times New Roman" w:hAnsi="Times New Roman" w:hint="default"/>
          <w:color w:val="000000" w:themeColor="text1"/>
          <w:sz w:val="24"/>
          <w:szCs w:val="24"/>
        </w:rPr>
        <w:t xml:space="preserve">1.1 </w:t>
      </w:r>
      <w:r w:rsidR="00374464" w:rsidRPr="00604355">
        <w:rPr>
          <w:rFonts w:ascii="Times New Roman" w:hAnsi="Times New Roman" w:hint="default"/>
          <w:color w:val="000000" w:themeColor="text1"/>
          <w:sz w:val="24"/>
          <w:szCs w:val="24"/>
        </w:rPr>
        <w:t>MATERIALS AND METHOD</w:t>
      </w:r>
      <w:bookmarkEnd w:id="2"/>
      <w:bookmarkEnd w:id="3"/>
    </w:p>
    <w:p w:rsidR="00374464" w:rsidRPr="00604355" w:rsidRDefault="00287BFD" w:rsidP="00720B3B">
      <w:pPr>
        <w:pStyle w:val="Heading1"/>
        <w:spacing w:beforeAutospacing="0" w:afterAutospacing="0" w:line="240" w:lineRule="auto"/>
        <w:rPr>
          <w:rFonts w:ascii="Times New Roman" w:hAnsi="Times New Roman" w:hint="default"/>
          <w:color w:val="000000" w:themeColor="text1"/>
          <w:sz w:val="24"/>
          <w:szCs w:val="24"/>
        </w:rPr>
      </w:pPr>
      <w:bookmarkStart w:id="4" w:name="_Toc176942727"/>
      <w:r w:rsidRPr="00604355">
        <w:rPr>
          <w:rFonts w:ascii="Times New Roman" w:hAnsi="Times New Roman" w:hint="default"/>
          <w:color w:val="000000" w:themeColor="text1"/>
          <w:sz w:val="24"/>
          <w:szCs w:val="24"/>
        </w:rPr>
        <w:t xml:space="preserve">1.2 </w:t>
      </w:r>
      <w:r w:rsidR="00374464" w:rsidRPr="00604355">
        <w:rPr>
          <w:rFonts w:ascii="Times New Roman" w:hAnsi="Times New Roman" w:hint="default"/>
          <w:color w:val="000000" w:themeColor="text1"/>
          <w:sz w:val="24"/>
          <w:szCs w:val="24"/>
        </w:rPr>
        <w:t>STUDY LOCATION</w:t>
      </w:r>
      <w:bookmarkEnd w:id="4"/>
      <w:r w:rsidR="00374464" w:rsidRPr="00604355">
        <w:rPr>
          <w:rFonts w:ascii="Times New Roman" w:hAnsi="Times New Roman" w:hint="default"/>
          <w:color w:val="000000" w:themeColor="text1"/>
          <w:sz w:val="24"/>
          <w:szCs w:val="24"/>
        </w:rPr>
        <w:tab/>
      </w:r>
    </w:p>
    <w:p w:rsidR="00374464" w:rsidRPr="00604355" w:rsidRDefault="00374464" w:rsidP="00720B3B">
      <w:pPr>
        <w:spacing w:after="0" w:line="240" w:lineRule="auto"/>
        <w:jc w:val="both"/>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rPr>
        <w:t>The study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carried out in Haematology laboratory, School of Medical Laboratory Science, Pharmacognosy and </w:t>
      </w:r>
      <w:r w:rsidRPr="00604355">
        <w:rPr>
          <w:rFonts w:ascii="Times New Roman" w:hAnsi="Times New Roman" w:cs="Times New Roman"/>
          <w:color w:val="000000" w:themeColor="text1"/>
          <w:sz w:val="24"/>
          <w:szCs w:val="24"/>
        </w:rPr>
        <w:lastRenderedPageBreak/>
        <w:t>Ethnopharmacy laboratory, Department of Pharmacology and Toxicology laboratory, Faculty of Pharmaceutical Sciences and Centre for Advanced Medical Research and Training (CAMRET), Usmanu Danfodiyo University, Sokoto.</w:t>
      </w:r>
    </w:p>
    <w:p w:rsidR="00374464" w:rsidRPr="00604355" w:rsidRDefault="00287BFD" w:rsidP="00720B3B">
      <w:pPr>
        <w:pStyle w:val="Heading1"/>
        <w:spacing w:beforeAutospacing="0" w:afterAutospacing="0" w:line="240" w:lineRule="auto"/>
        <w:rPr>
          <w:rFonts w:ascii="Times New Roman" w:hAnsi="Times New Roman" w:hint="default"/>
          <w:color w:val="000000" w:themeColor="text1"/>
          <w:sz w:val="24"/>
          <w:szCs w:val="24"/>
        </w:rPr>
      </w:pPr>
      <w:bookmarkStart w:id="5" w:name="_Toc176942728"/>
      <w:r w:rsidRPr="00604355">
        <w:rPr>
          <w:rFonts w:ascii="Times New Roman" w:hAnsi="Times New Roman" w:hint="default"/>
          <w:color w:val="000000" w:themeColor="text1"/>
          <w:sz w:val="24"/>
          <w:szCs w:val="24"/>
        </w:rPr>
        <w:t>1.</w:t>
      </w:r>
      <w:r w:rsidR="00B24671">
        <w:rPr>
          <w:rFonts w:ascii="Times New Roman" w:hAnsi="Times New Roman" w:hint="default"/>
          <w:color w:val="000000" w:themeColor="text1"/>
          <w:sz w:val="24"/>
          <w:szCs w:val="24"/>
        </w:rPr>
        <w:t>3</w:t>
      </w:r>
      <w:r w:rsidRPr="00604355">
        <w:rPr>
          <w:rFonts w:ascii="Times New Roman" w:hAnsi="Times New Roman" w:hint="default"/>
          <w:color w:val="000000" w:themeColor="text1"/>
          <w:sz w:val="24"/>
          <w:szCs w:val="24"/>
        </w:rPr>
        <w:t xml:space="preserve"> </w:t>
      </w:r>
      <w:r w:rsidR="00374464" w:rsidRPr="00604355">
        <w:rPr>
          <w:rFonts w:ascii="Times New Roman" w:hAnsi="Times New Roman" w:hint="default"/>
          <w:color w:val="000000" w:themeColor="text1"/>
          <w:sz w:val="24"/>
          <w:szCs w:val="24"/>
        </w:rPr>
        <w:t>PLANTS COLLECTION AND IDENTIFICATION</w:t>
      </w:r>
      <w:bookmarkEnd w:id="5"/>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 xml:space="preserve">The fresh leaves of </w:t>
      </w:r>
      <w:r w:rsidRPr="00604355">
        <w:rPr>
          <w:rFonts w:ascii="Times New Roman" w:hAnsi="Times New Roman" w:cs="Times New Roman"/>
          <w:i/>
          <w:color w:val="000000" w:themeColor="text1"/>
          <w:sz w:val="24"/>
          <w:szCs w:val="24"/>
        </w:rPr>
        <w:t>Ficus Capensis</w:t>
      </w:r>
      <w:r w:rsidRPr="00604355">
        <w:rPr>
          <w:rFonts w:ascii="Times New Roman" w:hAnsi="Times New Roman" w:cs="Times New Roman"/>
          <w:color w:val="000000" w:themeColor="text1"/>
          <w:sz w:val="24"/>
          <w:szCs w:val="24"/>
        </w:rPr>
        <w:t xml:space="preserve">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collected from Iyale town, Dekina Local Government, Kogi State. </w:t>
      </w:r>
      <w:r w:rsidRPr="00604355">
        <w:rPr>
          <w:rFonts w:ascii="Times New Roman" w:hAnsi="Times New Roman" w:cs="Times New Roman"/>
          <w:color w:val="000000" w:themeColor="text1"/>
          <w:sz w:val="24"/>
          <w:szCs w:val="24"/>
          <w:lang w:val="en-GB"/>
        </w:rPr>
        <w:t>The plant collected w</w:t>
      </w:r>
      <w:r w:rsidRPr="00604355">
        <w:rPr>
          <w:rFonts w:ascii="Times New Roman" w:hAnsi="Times New Roman" w:cs="Times New Roman"/>
          <w:color w:val="000000" w:themeColor="text1"/>
          <w:sz w:val="24"/>
          <w:szCs w:val="24"/>
          <w:lang w:val="en-US"/>
        </w:rPr>
        <w:t xml:space="preserve">as </w:t>
      </w:r>
      <w:r w:rsidRPr="00604355">
        <w:rPr>
          <w:rFonts w:ascii="Times New Roman" w:hAnsi="Times New Roman" w:cs="Times New Roman"/>
          <w:color w:val="000000" w:themeColor="text1"/>
          <w:sz w:val="24"/>
          <w:szCs w:val="24"/>
          <w:lang w:val="en-GB"/>
        </w:rPr>
        <w:t xml:space="preserve">identified authenticated in the Department of </w:t>
      </w:r>
      <w:proofErr w:type="spellStart"/>
      <w:r w:rsidRPr="00604355">
        <w:rPr>
          <w:rFonts w:ascii="Times New Roman" w:hAnsi="Times New Roman" w:cs="Times New Roman"/>
          <w:color w:val="000000" w:themeColor="text1"/>
          <w:sz w:val="24"/>
          <w:szCs w:val="24"/>
          <w:lang w:val="en-GB"/>
        </w:rPr>
        <w:t>Pharmacognocy</w:t>
      </w:r>
      <w:proofErr w:type="spellEnd"/>
      <w:r w:rsidRPr="00604355">
        <w:rPr>
          <w:rFonts w:ascii="Times New Roman" w:hAnsi="Times New Roman" w:cs="Times New Roman"/>
          <w:color w:val="000000" w:themeColor="text1"/>
          <w:sz w:val="24"/>
          <w:szCs w:val="24"/>
          <w:lang w:val="en-GB"/>
        </w:rPr>
        <w:t xml:space="preserve">, </w:t>
      </w:r>
      <w:r w:rsidRPr="00604355">
        <w:rPr>
          <w:rFonts w:ascii="Times New Roman" w:hAnsi="Times New Roman" w:cs="Times New Roman"/>
          <w:color w:val="000000" w:themeColor="text1"/>
          <w:sz w:val="24"/>
          <w:szCs w:val="24"/>
        </w:rPr>
        <w:t>Faculty of pharmaceutical Sciences,</w:t>
      </w:r>
      <w:r w:rsidRPr="00604355">
        <w:rPr>
          <w:rFonts w:ascii="Times New Roman" w:hAnsi="Times New Roman" w:cs="Times New Roman"/>
          <w:color w:val="000000" w:themeColor="text1"/>
          <w:sz w:val="24"/>
          <w:szCs w:val="24"/>
          <w:lang w:val="en-GB"/>
        </w:rPr>
        <w:t xml:space="preserve"> Usmanu Danfo</w:t>
      </w:r>
      <w:r w:rsidR="00600D70">
        <w:rPr>
          <w:rFonts w:ascii="Times New Roman" w:hAnsi="Times New Roman" w:cs="Times New Roman"/>
          <w:color w:val="000000" w:themeColor="text1"/>
          <w:sz w:val="24"/>
          <w:szCs w:val="24"/>
          <w:lang w:val="en-GB"/>
        </w:rPr>
        <w:t>diyo University Sokoto, Nigeria</w:t>
      </w:r>
      <w:r w:rsidRPr="00604355">
        <w:rPr>
          <w:rFonts w:ascii="Times New Roman" w:hAnsi="Times New Roman" w:cs="Times New Roman"/>
          <w:color w:val="000000" w:themeColor="text1"/>
          <w:sz w:val="24"/>
          <w:szCs w:val="24"/>
          <w:lang w:val="en-GB"/>
        </w:rPr>
        <w:t>.</w:t>
      </w:r>
      <w:r w:rsidR="00600D70">
        <w:rPr>
          <w:rFonts w:ascii="Times New Roman" w:hAnsi="Times New Roman" w:cs="Times New Roman"/>
          <w:color w:val="000000" w:themeColor="text1"/>
          <w:sz w:val="24"/>
          <w:szCs w:val="24"/>
          <w:lang w:val="en-GB"/>
        </w:rPr>
        <w:t xml:space="preserve"> </w:t>
      </w:r>
      <w:r w:rsidRPr="00604355">
        <w:rPr>
          <w:rFonts w:ascii="Times New Roman" w:hAnsi="Times New Roman" w:cs="Times New Roman"/>
          <w:color w:val="000000" w:themeColor="text1"/>
          <w:sz w:val="24"/>
          <w:szCs w:val="24"/>
          <w:lang w:val="en-GB"/>
        </w:rPr>
        <w:t>The voucher number was given as PCG/UDUS/MORA/0006 and deposited in the herbarium unit in the same department.</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lang w:val="en-GB"/>
        </w:rPr>
      </w:pPr>
      <w:bookmarkStart w:id="6" w:name="_Toc176942729"/>
      <w:r w:rsidRPr="00604355">
        <w:rPr>
          <w:rFonts w:ascii="Times New Roman" w:hAnsi="Times New Roman" w:hint="default"/>
          <w:color w:val="000000" w:themeColor="text1"/>
          <w:sz w:val="24"/>
          <w:szCs w:val="24"/>
        </w:rPr>
        <w:t>1.</w:t>
      </w:r>
      <w:r w:rsidR="00B24671">
        <w:rPr>
          <w:rFonts w:ascii="Times New Roman" w:hAnsi="Times New Roman" w:hint="default"/>
          <w:color w:val="000000" w:themeColor="text1"/>
          <w:sz w:val="24"/>
          <w:szCs w:val="24"/>
        </w:rPr>
        <w:t>4</w:t>
      </w:r>
      <w:r w:rsidRPr="00604355">
        <w:rPr>
          <w:rFonts w:ascii="Times New Roman" w:hAnsi="Times New Roman" w:hint="default"/>
          <w:color w:val="000000" w:themeColor="text1"/>
          <w:sz w:val="24"/>
          <w:szCs w:val="24"/>
        </w:rPr>
        <w:t xml:space="preserve"> </w:t>
      </w:r>
      <w:r w:rsidR="00374464" w:rsidRPr="00604355">
        <w:rPr>
          <w:rFonts w:ascii="Times New Roman" w:hAnsi="Times New Roman" w:hint="default"/>
          <w:color w:val="000000" w:themeColor="text1"/>
          <w:sz w:val="24"/>
          <w:szCs w:val="24"/>
        </w:rPr>
        <w:t>PLANT EXTRACT PREPARATION</w:t>
      </w:r>
      <w:bookmarkEnd w:id="6"/>
    </w:p>
    <w:p w:rsidR="00374464" w:rsidRPr="00604355" w:rsidRDefault="00374464" w:rsidP="00720B3B">
      <w:pPr>
        <w:spacing w:after="0" w:line="240" w:lineRule="auto"/>
        <w:jc w:val="both"/>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rPr>
        <w:t xml:space="preserve">The fresh leaves of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w</w:t>
      </w:r>
      <w:r w:rsidRPr="00604355">
        <w:rPr>
          <w:rFonts w:ascii="Times New Roman" w:hAnsi="Times New Roman" w:cs="Times New Roman"/>
          <w:color w:val="000000" w:themeColor="text1"/>
          <w:sz w:val="24"/>
          <w:szCs w:val="24"/>
          <w:lang w:val="en-US"/>
        </w:rPr>
        <w:t xml:space="preserve">as </w:t>
      </w:r>
      <w:r w:rsidRPr="00604355">
        <w:rPr>
          <w:rFonts w:ascii="Times New Roman" w:hAnsi="Times New Roman" w:cs="Times New Roman"/>
          <w:color w:val="000000" w:themeColor="text1"/>
          <w:sz w:val="24"/>
          <w:szCs w:val="24"/>
        </w:rPr>
        <w:t xml:space="preserve">collect and air dried under shade. The dried leaves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rPr>
        <w:t xml:space="preserve"> grinded into fine powder by using a grinder. About 100g of powdered leaf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measured and soaked into 1500 mL of methanol and allowed to stay for 3 days at room temperature by continuous shaking of the mixtures every day. The mixtures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filtered by using sieve and then filtrates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rPr>
        <w:t xml:space="preserve"> filtered using filter paper (Whatman No 1) and a funnel to separate the liquid extract from the plant residue. Then the methanol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rPr>
        <w:t xml:space="preserve"> allowed to evaporate from the filtrate with mild heating on dry oven to dry at 40 degrees centigrade in order to obtain the pure extract as done by Akhtar </w:t>
      </w:r>
      <w:r w:rsidRPr="00604355">
        <w:rPr>
          <w:rFonts w:ascii="Times New Roman" w:hAnsi="Times New Roman" w:cs="Times New Roman"/>
          <w:i/>
          <w:iCs/>
          <w:color w:val="000000" w:themeColor="text1"/>
          <w:sz w:val="24"/>
          <w:szCs w:val="24"/>
        </w:rPr>
        <w:t xml:space="preserve">et al., </w:t>
      </w:r>
      <w:r w:rsidRPr="00604355">
        <w:rPr>
          <w:rFonts w:ascii="Times New Roman" w:hAnsi="Times New Roman" w:cs="Times New Roman"/>
          <w:color w:val="000000" w:themeColor="text1"/>
          <w:sz w:val="24"/>
          <w:szCs w:val="24"/>
        </w:rPr>
        <w:t>2018, Kusuma</w:t>
      </w:r>
      <w:r w:rsidRPr="00604355">
        <w:rPr>
          <w:rFonts w:ascii="Times New Roman" w:hAnsi="Times New Roman" w:cs="Times New Roman"/>
          <w:i/>
          <w:iCs/>
          <w:color w:val="000000" w:themeColor="text1"/>
          <w:sz w:val="24"/>
          <w:szCs w:val="24"/>
        </w:rPr>
        <w:t xml:space="preserve"> et a</w:t>
      </w:r>
      <w:r w:rsidRPr="00604355">
        <w:rPr>
          <w:rFonts w:ascii="Times New Roman" w:hAnsi="Times New Roman" w:cs="Times New Roman"/>
          <w:i/>
          <w:color w:val="000000" w:themeColor="text1"/>
          <w:sz w:val="24"/>
          <w:szCs w:val="24"/>
        </w:rPr>
        <w:t>l.,</w:t>
      </w:r>
      <w:r w:rsidRPr="00604355">
        <w:rPr>
          <w:rFonts w:ascii="Times New Roman" w:hAnsi="Times New Roman" w:cs="Times New Roman"/>
          <w:color w:val="000000" w:themeColor="text1"/>
          <w:sz w:val="24"/>
          <w:szCs w:val="24"/>
        </w:rPr>
        <w:t xml:space="preserve"> 2023). The concentration of the extract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rPr>
        <w:t xml:space="preserve"> store at 4 degrees centigrade until the actual experiment is done.</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7" w:name="_Toc176942730"/>
      <w:r w:rsidRPr="00604355">
        <w:rPr>
          <w:rFonts w:ascii="Times New Roman" w:hAnsi="Times New Roman" w:hint="default"/>
          <w:color w:val="000000" w:themeColor="text1"/>
          <w:sz w:val="24"/>
          <w:szCs w:val="24"/>
        </w:rPr>
        <w:t>1.</w:t>
      </w:r>
      <w:r w:rsidR="00B24671">
        <w:rPr>
          <w:rFonts w:ascii="Times New Roman" w:hAnsi="Times New Roman" w:hint="default"/>
          <w:color w:val="000000" w:themeColor="text1"/>
          <w:sz w:val="24"/>
          <w:szCs w:val="24"/>
        </w:rPr>
        <w:t>5</w:t>
      </w:r>
      <w:r w:rsidRPr="00604355">
        <w:rPr>
          <w:rFonts w:ascii="Times New Roman" w:hAnsi="Times New Roman" w:hint="default"/>
          <w:color w:val="000000" w:themeColor="text1"/>
          <w:sz w:val="24"/>
          <w:szCs w:val="24"/>
        </w:rPr>
        <w:t xml:space="preserve"> </w:t>
      </w:r>
      <w:r w:rsidR="00374464" w:rsidRPr="00604355">
        <w:rPr>
          <w:rFonts w:ascii="Times New Roman" w:hAnsi="Times New Roman" w:hint="default"/>
          <w:color w:val="000000" w:themeColor="text1"/>
          <w:sz w:val="24"/>
          <w:szCs w:val="24"/>
        </w:rPr>
        <w:t>PRELIMINARY PHYTOCHEMICAL INVESTIGATIONS</w:t>
      </w:r>
      <w:bookmarkEnd w:id="7"/>
      <w:r w:rsidR="00374464" w:rsidRPr="00604355">
        <w:rPr>
          <w:rFonts w:ascii="Times New Roman" w:hAnsi="Times New Roman" w:hint="default"/>
          <w:color w:val="000000" w:themeColor="text1"/>
          <w:sz w:val="24"/>
          <w:szCs w:val="24"/>
        </w:rPr>
        <w:t xml:space="preserve"> </w:t>
      </w:r>
    </w:p>
    <w:p w:rsidR="00374464" w:rsidRPr="00604355" w:rsidRDefault="00374464" w:rsidP="00720B3B">
      <w:pPr>
        <w:spacing w:after="0" w:line="240" w:lineRule="auto"/>
        <w:jc w:val="both"/>
        <w:rPr>
          <w:rFonts w:ascii="Times New Roman" w:eastAsia="Calibri" w:hAnsi="Times New Roman" w:cs="Times New Roman"/>
          <w:bCs/>
          <w:sz w:val="24"/>
          <w:szCs w:val="24"/>
        </w:rPr>
      </w:pPr>
      <w:r w:rsidRPr="00604355">
        <w:rPr>
          <w:rFonts w:ascii="Times New Roman" w:hAnsi="Times New Roman" w:cs="Times New Roman"/>
          <w:color w:val="000000" w:themeColor="text1"/>
          <w:sz w:val="24"/>
          <w:szCs w:val="24"/>
        </w:rPr>
        <w:t>The methanolic extracts powder of leaves w</w:t>
      </w:r>
      <w:r w:rsidRPr="00604355">
        <w:rPr>
          <w:rFonts w:ascii="Times New Roman" w:hAnsi="Times New Roman" w:cs="Times New Roman"/>
          <w:color w:val="000000" w:themeColor="text1"/>
          <w:sz w:val="24"/>
          <w:szCs w:val="24"/>
          <w:lang w:val="en-US"/>
        </w:rPr>
        <w:t xml:space="preserve">as </w:t>
      </w:r>
      <w:r w:rsidRPr="00604355">
        <w:rPr>
          <w:rFonts w:ascii="Times New Roman" w:hAnsi="Times New Roman" w:cs="Times New Roman"/>
          <w:color w:val="000000" w:themeColor="text1"/>
          <w:sz w:val="24"/>
          <w:szCs w:val="24"/>
        </w:rPr>
        <w:t>subjected to chemical tests to determine the qualitative phytochemical constituents of each extract. The procedure analysis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carried out at the Department of Pharmacognosy in the Faculty of </w:t>
      </w:r>
      <w:r w:rsidRPr="00604355">
        <w:rPr>
          <w:rFonts w:ascii="Times New Roman" w:hAnsi="Times New Roman" w:cs="Times New Roman"/>
          <w:color w:val="000000" w:themeColor="text1"/>
          <w:sz w:val="24"/>
          <w:szCs w:val="24"/>
        </w:rPr>
        <w:t xml:space="preserve">Pharmaceutical Sciences, Usmanu Danfodiyo University Sokoto </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8" w:name="_Toc176942733"/>
      <w:r w:rsidRPr="00604355">
        <w:rPr>
          <w:rFonts w:ascii="Times New Roman" w:hAnsi="Times New Roman" w:hint="default"/>
          <w:color w:val="000000" w:themeColor="text1"/>
          <w:sz w:val="24"/>
          <w:szCs w:val="24"/>
        </w:rPr>
        <w:t>1.</w:t>
      </w:r>
      <w:r w:rsidR="00B24671">
        <w:rPr>
          <w:rFonts w:ascii="Times New Roman" w:hAnsi="Times New Roman" w:hint="default"/>
          <w:color w:val="000000" w:themeColor="text1"/>
          <w:sz w:val="24"/>
          <w:szCs w:val="24"/>
        </w:rPr>
        <w:t>6</w:t>
      </w:r>
      <w:r w:rsidRPr="00604355">
        <w:rPr>
          <w:rFonts w:ascii="Times New Roman" w:hAnsi="Times New Roman" w:hint="default"/>
          <w:color w:val="000000" w:themeColor="text1"/>
          <w:sz w:val="24"/>
          <w:szCs w:val="24"/>
        </w:rPr>
        <w:t xml:space="preserve"> </w:t>
      </w:r>
      <w:r w:rsidR="00374464" w:rsidRPr="00604355">
        <w:rPr>
          <w:rFonts w:ascii="Times New Roman" w:hAnsi="Times New Roman" w:hint="default"/>
          <w:color w:val="000000" w:themeColor="text1"/>
          <w:sz w:val="24"/>
          <w:szCs w:val="24"/>
        </w:rPr>
        <w:t>DETERMINATION OF ACUTE TOXICITY LETHAL DOSE (LD</w:t>
      </w:r>
      <w:r w:rsidR="00374464" w:rsidRPr="00604355">
        <w:rPr>
          <w:rFonts w:ascii="Times New Roman" w:hAnsi="Times New Roman" w:hint="default"/>
          <w:color w:val="000000" w:themeColor="text1"/>
          <w:sz w:val="24"/>
          <w:szCs w:val="24"/>
          <w:vertAlign w:val="subscript"/>
        </w:rPr>
        <w:t>50</w:t>
      </w:r>
      <w:r w:rsidR="00374464" w:rsidRPr="00604355">
        <w:rPr>
          <w:rFonts w:ascii="Times New Roman" w:hAnsi="Times New Roman" w:hint="default"/>
          <w:color w:val="000000" w:themeColor="text1"/>
          <w:sz w:val="24"/>
          <w:szCs w:val="24"/>
        </w:rPr>
        <w:t>)</w:t>
      </w:r>
      <w:bookmarkEnd w:id="8"/>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 xml:space="preserve">The </w:t>
      </w:r>
      <w:r w:rsidR="00600D70">
        <w:rPr>
          <w:rFonts w:ascii="Times New Roman" w:hAnsi="Times New Roman" w:cs="Times New Roman"/>
          <w:sz w:val="24"/>
          <w:szCs w:val="24"/>
        </w:rPr>
        <w:t>Saganuwan</w:t>
      </w:r>
      <w:r w:rsidR="006B7814">
        <w:rPr>
          <w:rFonts w:ascii="Times New Roman" w:hAnsi="Times New Roman" w:cs="Times New Roman"/>
          <w:sz w:val="24"/>
          <w:szCs w:val="24"/>
          <w:lang w:val="en-GB"/>
        </w:rPr>
        <w:t>,</w:t>
      </w:r>
      <w:r w:rsidR="00600D70">
        <w:rPr>
          <w:rFonts w:ascii="Times New Roman" w:hAnsi="Times New Roman" w:cs="Times New Roman"/>
          <w:sz w:val="24"/>
          <w:szCs w:val="24"/>
          <w:lang w:val="en-GB"/>
        </w:rPr>
        <w:t xml:space="preserve"> </w:t>
      </w:r>
      <w:r w:rsidRPr="00604355">
        <w:rPr>
          <w:rFonts w:ascii="Times New Roman" w:hAnsi="Times New Roman" w:cs="Times New Roman"/>
          <w:sz w:val="24"/>
          <w:szCs w:val="24"/>
          <w:lang w:val="en-US"/>
        </w:rPr>
        <w:t xml:space="preserve"> </w:t>
      </w:r>
      <w:r w:rsidRPr="00604355">
        <w:rPr>
          <w:rFonts w:ascii="Times New Roman" w:hAnsi="Times New Roman" w:cs="Times New Roman"/>
          <w:color w:val="000000" w:themeColor="text1"/>
          <w:sz w:val="24"/>
          <w:szCs w:val="24"/>
        </w:rPr>
        <w:t>2013</w:t>
      </w:r>
      <w:r w:rsidRPr="00604355">
        <w:rPr>
          <w:rFonts w:ascii="Times New Roman" w:hAnsi="Times New Roman" w:cs="Times New Roman"/>
          <w:color w:val="000000" w:themeColor="text1"/>
          <w:sz w:val="24"/>
          <w:szCs w:val="24"/>
          <w:lang w:val="en-US"/>
        </w:rPr>
        <w:t xml:space="preserve">; </w:t>
      </w:r>
      <w:r w:rsidRPr="00604355">
        <w:rPr>
          <w:rFonts w:ascii="Times New Roman" w:eastAsia="Calibri" w:hAnsi="Times New Roman" w:cs="Times New Roman"/>
          <w:sz w:val="24"/>
          <w:szCs w:val="24"/>
        </w:rPr>
        <w:t>Lorke, 1983)</w:t>
      </w:r>
      <w:r w:rsidRPr="00604355">
        <w:rPr>
          <w:rFonts w:ascii="Times New Roman" w:hAnsi="Times New Roman" w:cs="Times New Roman"/>
          <w:color w:val="000000" w:themeColor="text1"/>
          <w:sz w:val="24"/>
          <w:szCs w:val="24"/>
        </w:rPr>
        <w:t xml:space="preserve"> of determining the LD</w:t>
      </w:r>
      <w:r w:rsidRPr="00604355">
        <w:rPr>
          <w:rFonts w:ascii="Times New Roman" w:hAnsi="Times New Roman" w:cs="Times New Roman"/>
          <w:color w:val="000000" w:themeColor="text1"/>
          <w:sz w:val="24"/>
          <w:szCs w:val="24"/>
          <w:vertAlign w:val="subscript"/>
        </w:rPr>
        <w:t>50</w:t>
      </w:r>
      <w:r w:rsidRPr="00604355">
        <w:rPr>
          <w:rFonts w:ascii="Times New Roman" w:hAnsi="Times New Roman" w:cs="Times New Roman"/>
          <w:color w:val="000000" w:themeColor="text1"/>
          <w:sz w:val="24"/>
          <w:szCs w:val="24"/>
        </w:rPr>
        <w:t xml:space="preserve">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used in this study. This method involves two phases;</w:t>
      </w:r>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 xml:space="preserve">Phase 1 for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extract: A total of 9 rats divided into 3 groups of 3 rats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used for this phase. Each group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administered with different dosage of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The animal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observed for 24 hours while checking their temperature rate, mobility rate, feeding habit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observed for changes.</w:t>
      </w:r>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 xml:space="preserve">Phase 2 for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extract: A total of 3 rats divided into 3 groups of rats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used for this phase. Each group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administered with different dosage of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The animal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observed for 24 hours while checking their temperature rate, mobility rate, feeding habit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observed for changes. </w:t>
      </w:r>
    </w:p>
    <w:p w:rsidR="00374464" w:rsidRPr="00604355" w:rsidRDefault="004F288D" w:rsidP="00720B3B">
      <w:pPr>
        <w:pStyle w:val="Heading1"/>
        <w:spacing w:beforeAutospacing="0" w:afterAutospacing="0" w:line="240" w:lineRule="auto"/>
        <w:jc w:val="both"/>
        <w:rPr>
          <w:rFonts w:ascii="Times New Roman" w:hAnsi="Times New Roman" w:hint="default"/>
          <w:color w:val="000000" w:themeColor="text1"/>
          <w:sz w:val="24"/>
          <w:szCs w:val="24"/>
        </w:rPr>
      </w:pPr>
      <w:bookmarkStart w:id="9" w:name="_Toc176942736"/>
      <w:r w:rsidRPr="00604355">
        <w:rPr>
          <w:rFonts w:ascii="Times New Roman" w:hAnsi="Times New Roman" w:hint="default"/>
          <w:color w:val="000000" w:themeColor="text1"/>
          <w:sz w:val="24"/>
          <w:szCs w:val="24"/>
        </w:rPr>
        <w:t>1.</w:t>
      </w:r>
      <w:r w:rsidR="00B24671">
        <w:rPr>
          <w:rFonts w:ascii="Times New Roman" w:hAnsi="Times New Roman" w:hint="default"/>
          <w:color w:val="000000" w:themeColor="text1"/>
          <w:sz w:val="24"/>
          <w:szCs w:val="24"/>
        </w:rPr>
        <w:t>7</w:t>
      </w:r>
      <w:r w:rsidRPr="00604355">
        <w:rPr>
          <w:rFonts w:ascii="Times New Roman" w:hAnsi="Times New Roman" w:hint="default"/>
          <w:color w:val="000000" w:themeColor="text1"/>
          <w:sz w:val="24"/>
          <w:szCs w:val="24"/>
        </w:rPr>
        <w:t xml:space="preserve"> </w:t>
      </w:r>
      <w:r w:rsidR="00705504" w:rsidRPr="00604355">
        <w:rPr>
          <w:rFonts w:ascii="Times New Roman" w:hAnsi="Times New Roman" w:hint="default"/>
          <w:color w:val="000000" w:themeColor="text1"/>
          <w:sz w:val="24"/>
          <w:szCs w:val="24"/>
        </w:rPr>
        <w:t xml:space="preserve">PROCUREMENT OF </w:t>
      </w:r>
      <w:r w:rsidR="00374464" w:rsidRPr="00604355">
        <w:rPr>
          <w:rFonts w:ascii="Times New Roman" w:hAnsi="Times New Roman" w:hint="default"/>
          <w:color w:val="000000" w:themeColor="text1"/>
          <w:sz w:val="24"/>
          <w:szCs w:val="24"/>
        </w:rPr>
        <w:t>EXPERIMENTAL ANIMAL</w:t>
      </w:r>
      <w:bookmarkEnd w:id="9"/>
      <w:r w:rsidR="00374464" w:rsidRPr="00604355">
        <w:rPr>
          <w:rFonts w:ascii="Times New Roman" w:hAnsi="Times New Roman" w:hint="default"/>
          <w:color w:val="000000" w:themeColor="text1"/>
          <w:sz w:val="24"/>
          <w:szCs w:val="24"/>
        </w:rPr>
        <w:t xml:space="preserve"> </w:t>
      </w:r>
    </w:p>
    <w:p w:rsidR="00374464" w:rsidRPr="00604355" w:rsidRDefault="00374464" w:rsidP="00720B3B">
      <w:pPr>
        <w:pStyle w:val="NormalWeb"/>
        <w:spacing w:before="0" w:beforeAutospacing="0" w:after="0" w:afterAutospacing="0"/>
        <w:jc w:val="both"/>
        <w:rPr>
          <w:color w:val="000000" w:themeColor="text1"/>
        </w:rPr>
      </w:pPr>
      <w:r w:rsidRPr="00604355">
        <w:rPr>
          <w:color w:val="000000" w:themeColor="text1"/>
          <w:lang w:val="en-US"/>
        </w:rPr>
        <w:t>Forty five</w:t>
      </w:r>
      <w:r w:rsidRPr="00604355">
        <w:rPr>
          <w:color w:val="000000" w:themeColor="text1"/>
        </w:rPr>
        <w:t xml:space="preserve"> (45</w:t>
      </w:r>
      <w:r w:rsidRPr="00604355">
        <w:rPr>
          <w:color w:val="000000" w:themeColor="text1"/>
          <w:lang w:val="en-US"/>
        </w:rPr>
        <w:t>) female</w:t>
      </w:r>
      <w:r w:rsidRPr="00604355">
        <w:rPr>
          <w:color w:val="000000" w:themeColor="text1"/>
        </w:rPr>
        <w:t xml:space="preserve"> wistar rats, weighing w</w:t>
      </w:r>
      <w:r w:rsidRPr="00604355">
        <w:rPr>
          <w:color w:val="000000" w:themeColor="text1"/>
          <w:lang w:val="en-US"/>
        </w:rPr>
        <w:t>as</w:t>
      </w:r>
      <w:r w:rsidRPr="00604355">
        <w:rPr>
          <w:color w:val="000000" w:themeColor="text1"/>
        </w:rPr>
        <w:t xml:space="preserve"> purchased from Animal House of Ahmadu Bello University, Zaria and allowed to acclimatize in animal house, Faculty of Pharmaceutical UDUS, for the period of 14 days.</w:t>
      </w:r>
    </w:p>
    <w:p w:rsidR="00374464" w:rsidRPr="00604355" w:rsidRDefault="00374464" w:rsidP="00720B3B">
      <w:pPr>
        <w:pStyle w:val="NormalWeb"/>
        <w:spacing w:before="0" w:beforeAutospacing="0" w:after="0" w:afterAutospacing="0"/>
        <w:jc w:val="both"/>
        <w:rPr>
          <w:color w:val="000000" w:themeColor="text1"/>
        </w:rPr>
      </w:pPr>
      <w:r w:rsidRPr="00604355">
        <w:rPr>
          <w:color w:val="000000" w:themeColor="text1"/>
        </w:rPr>
        <w:t>The rats w</w:t>
      </w:r>
      <w:r w:rsidRPr="00604355">
        <w:rPr>
          <w:color w:val="000000" w:themeColor="text1"/>
          <w:lang w:val="en-US"/>
        </w:rPr>
        <w:t>as</w:t>
      </w:r>
      <w:r w:rsidRPr="00604355">
        <w:rPr>
          <w:color w:val="000000" w:themeColor="text1"/>
        </w:rPr>
        <w:t xml:space="preserve"> housed in conventional, well-ventilated wire cages under standard laboratory conditions at the Animal House, Faculty of Pharmaceutical Sciences, Usmanu Danfodiyo University, Sokoto. The environment w</w:t>
      </w:r>
      <w:r w:rsidRPr="00604355">
        <w:rPr>
          <w:color w:val="000000" w:themeColor="text1"/>
          <w:lang w:val="en-US"/>
        </w:rPr>
        <w:t>as</w:t>
      </w:r>
      <w:r w:rsidRPr="00604355">
        <w:rPr>
          <w:color w:val="000000" w:themeColor="text1"/>
        </w:rPr>
        <w:t xml:space="preserve"> maintained at approximately 30°C with a daily lighting period of about 12 hours.</w:t>
      </w:r>
    </w:p>
    <w:p w:rsidR="00374464" w:rsidRPr="00604355" w:rsidRDefault="00374464" w:rsidP="00720B3B">
      <w:pPr>
        <w:spacing w:after="0" w:line="240" w:lineRule="auto"/>
        <w:jc w:val="both"/>
        <w:rPr>
          <w:rFonts w:ascii="Times New Roman" w:eastAsia="Times New Roman" w:hAnsi="Times New Roman" w:cs="Times New Roman"/>
          <w:color w:val="000000" w:themeColor="text1"/>
          <w:sz w:val="24"/>
          <w:szCs w:val="24"/>
        </w:rPr>
      </w:pPr>
      <w:r w:rsidRPr="00604355">
        <w:rPr>
          <w:rFonts w:ascii="Times New Roman" w:eastAsia="Times New Roman" w:hAnsi="Times New Roman" w:cs="Times New Roman"/>
          <w:color w:val="000000" w:themeColor="text1"/>
          <w:sz w:val="24"/>
          <w:szCs w:val="24"/>
        </w:rPr>
        <w:t xml:space="preserve">The rats </w:t>
      </w:r>
      <w:r w:rsidRPr="00604355">
        <w:rPr>
          <w:rFonts w:ascii="Times New Roman" w:hAnsi="Times New Roman" w:cs="Times New Roman"/>
          <w:color w:val="000000" w:themeColor="text1"/>
          <w:sz w:val="24"/>
          <w:szCs w:val="24"/>
        </w:rPr>
        <w:t>w</w:t>
      </w:r>
      <w:r w:rsidRPr="00604355">
        <w:rPr>
          <w:rFonts w:ascii="Times New Roman" w:hAnsi="Times New Roman" w:cs="Times New Roman"/>
          <w:color w:val="000000" w:themeColor="text1"/>
          <w:sz w:val="24"/>
          <w:szCs w:val="24"/>
          <w:lang w:val="en-US"/>
        </w:rPr>
        <w:t>as</w:t>
      </w:r>
      <w:r w:rsidRPr="00604355">
        <w:rPr>
          <w:rFonts w:ascii="Times New Roman" w:eastAsia="Times New Roman" w:hAnsi="Times New Roman" w:cs="Times New Roman"/>
          <w:color w:val="000000" w:themeColor="text1"/>
          <w:sz w:val="24"/>
          <w:szCs w:val="24"/>
        </w:rPr>
        <w:t xml:space="preserve"> given a two-week acclimatization period before the start of the experiment. During this time, they </w:t>
      </w:r>
      <w:r w:rsidRPr="00604355">
        <w:rPr>
          <w:rFonts w:ascii="Times New Roman" w:hAnsi="Times New Roman" w:cs="Times New Roman"/>
          <w:color w:val="000000" w:themeColor="text1"/>
          <w:sz w:val="24"/>
          <w:szCs w:val="24"/>
        </w:rPr>
        <w:t>w</w:t>
      </w:r>
      <w:r w:rsidRPr="00604355">
        <w:rPr>
          <w:rFonts w:ascii="Times New Roman" w:hAnsi="Times New Roman" w:cs="Times New Roman"/>
          <w:color w:val="000000" w:themeColor="text1"/>
          <w:sz w:val="24"/>
          <w:szCs w:val="24"/>
          <w:lang w:val="en-US"/>
        </w:rPr>
        <w:t xml:space="preserve">as </w:t>
      </w:r>
      <w:r w:rsidRPr="00604355">
        <w:rPr>
          <w:rFonts w:ascii="Times New Roman" w:eastAsia="Times New Roman" w:hAnsi="Times New Roman" w:cs="Times New Roman"/>
          <w:color w:val="000000" w:themeColor="text1"/>
          <w:sz w:val="24"/>
          <w:szCs w:val="24"/>
        </w:rPr>
        <w:t>provided with standard commercial pelletized grower’s feed and access to drinking water</w:t>
      </w:r>
      <w:r w:rsidRPr="00604355">
        <w:rPr>
          <w:rFonts w:ascii="Times New Roman" w:hAnsi="Times New Roman" w:cs="Times New Roman"/>
          <w:color w:val="000000" w:themeColor="text1"/>
          <w:sz w:val="24"/>
          <w:szCs w:val="24"/>
        </w:rPr>
        <w:t xml:space="preserve"> (Mattos</w:t>
      </w:r>
      <w:r w:rsidRPr="00604355">
        <w:rPr>
          <w:rFonts w:ascii="Times New Roman" w:hAnsi="Times New Roman" w:cs="Times New Roman"/>
          <w:i/>
          <w:iCs/>
          <w:color w:val="000000" w:themeColor="text1"/>
          <w:sz w:val="24"/>
          <w:szCs w:val="24"/>
        </w:rPr>
        <w:t xml:space="preserve"> et al., </w:t>
      </w:r>
      <w:r w:rsidRPr="00604355">
        <w:rPr>
          <w:rFonts w:ascii="Times New Roman" w:hAnsi="Times New Roman" w:cs="Times New Roman"/>
          <w:color w:val="000000" w:themeColor="text1"/>
          <w:sz w:val="24"/>
          <w:szCs w:val="24"/>
        </w:rPr>
        <w:t>2005</w:t>
      </w:r>
      <w:r w:rsidRPr="00604355">
        <w:rPr>
          <w:rFonts w:ascii="Times New Roman" w:hAnsi="Times New Roman" w:cs="Times New Roman"/>
          <w:color w:val="000000" w:themeColor="text1"/>
          <w:sz w:val="24"/>
          <w:szCs w:val="24"/>
          <w:lang w:val="en-US"/>
        </w:rPr>
        <w:t xml:space="preserve">, </w:t>
      </w:r>
      <w:r w:rsidRPr="00604355">
        <w:rPr>
          <w:rFonts w:ascii="Times New Roman" w:hAnsi="Times New Roman" w:cs="Times New Roman"/>
          <w:color w:val="000000" w:themeColor="text1"/>
          <w:sz w:val="24"/>
          <w:szCs w:val="24"/>
        </w:rPr>
        <w:t xml:space="preserve">Percie du Sert </w:t>
      </w:r>
      <w:r w:rsidRPr="00604355">
        <w:rPr>
          <w:rFonts w:ascii="Times New Roman" w:hAnsi="Times New Roman" w:cs="Times New Roman"/>
          <w:i/>
          <w:color w:val="000000" w:themeColor="text1"/>
          <w:sz w:val="24"/>
          <w:szCs w:val="24"/>
        </w:rPr>
        <w:t>et al</w:t>
      </w:r>
      <w:r w:rsidRPr="00604355">
        <w:rPr>
          <w:rFonts w:ascii="Times New Roman" w:hAnsi="Times New Roman" w:cs="Times New Roman"/>
          <w:color w:val="000000" w:themeColor="text1"/>
          <w:sz w:val="24"/>
          <w:szCs w:val="24"/>
        </w:rPr>
        <w:t xml:space="preserve"> 2020 ,).</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10" w:name="_Toc176942738"/>
      <w:r w:rsidRPr="00604355">
        <w:rPr>
          <w:rFonts w:ascii="Times New Roman" w:hAnsi="Times New Roman" w:hint="default"/>
          <w:color w:val="000000" w:themeColor="text1"/>
          <w:sz w:val="24"/>
          <w:szCs w:val="24"/>
        </w:rPr>
        <w:t>1.</w:t>
      </w:r>
      <w:r w:rsidR="00B24671">
        <w:rPr>
          <w:rFonts w:ascii="Times New Roman" w:hAnsi="Times New Roman" w:hint="default"/>
          <w:color w:val="000000" w:themeColor="text1"/>
          <w:sz w:val="24"/>
          <w:szCs w:val="24"/>
        </w:rPr>
        <w:t>8</w:t>
      </w:r>
      <w:r w:rsidRPr="00604355">
        <w:rPr>
          <w:rFonts w:ascii="Times New Roman" w:hAnsi="Times New Roman" w:hint="default"/>
          <w:color w:val="000000" w:themeColor="text1"/>
          <w:sz w:val="24"/>
          <w:szCs w:val="24"/>
        </w:rPr>
        <w:t xml:space="preserve"> </w:t>
      </w:r>
      <w:r w:rsidR="00374464" w:rsidRPr="00604355">
        <w:rPr>
          <w:rFonts w:ascii="Times New Roman" w:hAnsi="Times New Roman" w:hint="default"/>
          <w:color w:val="000000" w:themeColor="text1"/>
          <w:sz w:val="24"/>
          <w:szCs w:val="24"/>
        </w:rPr>
        <w:t>INDUCTION OF ANAEMIA</w:t>
      </w:r>
      <w:bookmarkEnd w:id="10"/>
      <w:r w:rsidR="00374464" w:rsidRPr="00604355">
        <w:rPr>
          <w:rFonts w:ascii="Times New Roman" w:hAnsi="Times New Roman" w:hint="default"/>
          <w:color w:val="000000" w:themeColor="text1"/>
          <w:sz w:val="24"/>
          <w:szCs w:val="24"/>
        </w:rPr>
        <w:t xml:space="preserve"> </w:t>
      </w:r>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Anaemia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induced by intraperitoneal i</w:t>
      </w:r>
      <w:r w:rsidR="0065276D" w:rsidRPr="00604355">
        <w:rPr>
          <w:rFonts w:ascii="Times New Roman" w:hAnsi="Times New Roman" w:cs="Times New Roman"/>
          <w:color w:val="000000" w:themeColor="text1"/>
          <w:sz w:val="24"/>
          <w:szCs w:val="24"/>
        </w:rPr>
        <w:t>njections of phenyl-hydrazine (</w:t>
      </w:r>
      <w:r w:rsidR="0065276D" w:rsidRPr="00604355">
        <w:rPr>
          <w:rFonts w:ascii="Times New Roman" w:hAnsi="Times New Roman" w:cs="Times New Roman"/>
          <w:color w:val="000000" w:themeColor="text1"/>
          <w:sz w:val="24"/>
          <w:szCs w:val="24"/>
          <w:lang w:val="en-US"/>
        </w:rPr>
        <w:t>5</w:t>
      </w:r>
      <w:r w:rsidRPr="00604355">
        <w:rPr>
          <w:rFonts w:ascii="Times New Roman" w:hAnsi="Times New Roman" w:cs="Times New Roman"/>
          <w:color w:val="000000" w:themeColor="text1"/>
          <w:sz w:val="24"/>
          <w:szCs w:val="24"/>
        </w:rPr>
        <w:t xml:space="preserve">0mg/kg) body weight for two consecutive days </w:t>
      </w:r>
      <w:r w:rsidRPr="00604355">
        <w:rPr>
          <w:rFonts w:ascii="Times New Roman" w:hAnsi="Times New Roman" w:cs="Times New Roman"/>
          <w:color w:val="000000" w:themeColor="text1"/>
          <w:sz w:val="24"/>
          <w:szCs w:val="24"/>
        </w:rPr>
        <w:lastRenderedPageBreak/>
        <w:t xml:space="preserve">(Coulibaly </w:t>
      </w:r>
      <w:r w:rsidRPr="00604355">
        <w:rPr>
          <w:rFonts w:ascii="Times New Roman" w:hAnsi="Times New Roman" w:cs="Times New Roman"/>
          <w:i/>
          <w:color w:val="000000" w:themeColor="text1"/>
          <w:sz w:val="24"/>
          <w:szCs w:val="24"/>
        </w:rPr>
        <w:t>et al</w:t>
      </w:r>
      <w:r w:rsidRPr="00604355">
        <w:rPr>
          <w:rFonts w:ascii="Times New Roman" w:hAnsi="Times New Roman" w:cs="Times New Roman"/>
          <w:color w:val="000000" w:themeColor="text1"/>
          <w:sz w:val="24"/>
          <w:szCs w:val="24"/>
        </w:rPr>
        <w:t>., 2020). The anaemia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confirm using Pack cell volume (PCV) test of less than 40% (Brien </w:t>
      </w:r>
      <w:r w:rsidRPr="00604355">
        <w:rPr>
          <w:rFonts w:ascii="Times New Roman" w:hAnsi="Times New Roman" w:cs="Times New Roman"/>
          <w:i/>
          <w:color w:val="000000" w:themeColor="text1"/>
          <w:sz w:val="24"/>
          <w:szCs w:val="24"/>
        </w:rPr>
        <w:t>et al.,</w:t>
      </w:r>
      <w:r w:rsidRPr="00604355">
        <w:rPr>
          <w:rFonts w:ascii="Times New Roman" w:hAnsi="Times New Roman" w:cs="Times New Roman"/>
          <w:color w:val="000000" w:themeColor="text1"/>
          <w:sz w:val="24"/>
          <w:szCs w:val="24"/>
        </w:rPr>
        <w:t xml:space="preserve"> 2022) using hepatized capillary tube by tail pursuer.    </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11" w:name="_Toc176942739"/>
      <w:r w:rsidRPr="00604355">
        <w:rPr>
          <w:rFonts w:ascii="Times New Roman" w:hAnsi="Times New Roman" w:hint="default"/>
          <w:color w:val="000000" w:themeColor="text1"/>
          <w:sz w:val="24"/>
          <w:szCs w:val="24"/>
        </w:rPr>
        <w:t>1.</w:t>
      </w:r>
      <w:r w:rsidR="00B24671">
        <w:rPr>
          <w:rFonts w:ascii="Times New Roman" w:hAnsi="Times New Roman" w:hint="default"/>
          <w:color w:val="000000" w:themeColor="text1"/>
          <w:sz w:val="24"/>
          <w:szCs w:val="24"/>
        </w:rPr>
        <w:t>9</w:t>
      </w:r>
      <w:r w:rsidRPr="00604355">
        <w:rPr>
          <w:rFonts w:ascii="Times New Roman" w:hAnsi="Times New Roman" w:hint="default"/>
          <w:color w:val="000000" w:themeColor="text1"/>
          <w:sz w:val="24"/>
          <w:szCs w:val="24"/>
        </w:rPr>
        <w:t xml:space="preserve"> </w:t>
      </w:r>
      <w:r w:rsidR="00374464" w:rsidRPr="00604355">
        <w:rPr>
          <w:rFonts w:ascii="Times New Roman" w:hAnsi="Times New Roman" w:hint="default"/>
          <w:color w:val="000000" w:themeColor="text1"/>
          <w:sz w:val="24"/>
          <w:szCs w:val="24"/>
        </w:rPr>
        <w:t>EXPERIMENTAL GROUPS</w:t>
      </w:r>
      <w:bookmarkEnd w:id="11"/>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b/>
          <w:color w:val="000000" w:themeColor="text1"/>
          <w:sz w:val="24"/>
          <w:szCs w:val="24"/>
        </w:rPr>
      </w:pPr>
      <w:r w:rsidRPr="00604355">
        <w:rPr>
          <w:rFonts w:ascii="Times New Roman" w:hAnsi="Times New Roman" w:cs="Times New Roman"/>
          <w:bCs/>
          <w:color w:val="000000" w:themeColor="text1"/>
          <w:sz w:val="24"/>
          <w:szCs w:val="24"/>
        </w:rPr>
        <w:t>Normal Control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color w:val="000000" w:themeColor="text1"/>
          <w:sz w:val="24"/>
          <w:szCs w:val="24"/>
        </w:rPr>
        <w:t>)</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No anaemia induction or treatment.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b/>
          <w:color w:val="000000" w:themeColor="text1"/>
          <w:sz w:val="24"/>
          <w:szCs w:val="24"/>
        </w:rPr>
      </w:pPr>
      <w:r w:rsidRPr="00604355">
        <w:rPr>
          <w:rFonts w:ascii="Times New Roman" w:hAnsi="Times New Roman" w:cs="Times New Roman"/>
          <w:bCs/>
          <w:color w:val="000000" w:themeColor="text1"/>
          <w:sz w:val="24"/>
          <w:szCs w:val="24"/>
        </w:rPr>
        <w:t>Anemic Control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Anaemia induced with phenyl-hydrazine, no treatment.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bCs/>
          <w:color w:val="000000" w:themeColor="text1"/>
          <w:sz w:val="24"/>
          <w:szCs w:val="24"/>
        </w:rPr>
        <w:t>Treatment Group</w:t>
      </w:r>
      <w:r w:rsidRPr="00604355">
        <w:rPr>
          <w:rFonts w:ascii="Times New Roman" w:hAnsi="Times New Roman" w:cs="Times New Roman"/>
          <w:color w:val="000000" w:themeColor="text1"/>
          <w:sz w:val="24"/>
          <w:szCs w:val="24"/>
        </w:rPr>
        <w:t xml:space="preserve"> (n=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color w:val="000000" w:themeColor="text1"/>
          <w:sz w:val="24"/>
          <w:szCs w:val="24"/>
        </w:rPr>
        <w:t>): Anaemia induced with phenyl-hydrazine, treated with drugs (</w:t>
      </w:r>
      <w:r w:rsidRPr="00604355">
        <w:rPr>
          <w:rFonts w:ascii="Times New Roman" w:hAnsi="Times New Roman" w:cs="Times New Roman"/>
          <w:color w:val="000000" w:themeColor="text1"/>
          <w:sz w:val="24"/>
          <w:szCs w:val="24"/>
          <w:lang w:val="en-US"/>
        </w:rPr>
        <w:t>Ferrous sulfate</w:t>
      </w:r>
      <w:r w:rsidRPr="00604355">
        <w:rPr>
          <w:rFonts w:ascii="Times New Roman" w:hAnsi="Times New Roman" w:cs="Times New Roman"/>
          <w:color w:val="000000" w:themeColor="text1"/>
          <w:sz w:val="24"/>
          <w:szCs w:val="24"/>
        </w:rPr>
        <w: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bCs/>
          <w:color w:val="000000" w:themeColor="text1"/>
          <w:sz w:val="24"/>
          <w:szCs w:val="24"/>
        </w:rPr>
        <w:t>Low-Dose Treatment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xml:space="preserve">: Anaemia induced with phenyl-hydrazine, treated with low-dose </w:t>
      </w:r>
      <w:r w:rsidRPr="00604355">
        <w:rPr>
          <w:rFonts w:ascii="Times New Roman" w:hAnsi="Times New Roman" w:cs="Times New Roman"/>
          <w:i/>
          <w:iCs/>
          <w:color w:val="000000" w:themeColor="text1"/>
          <w:sz w:val="24"/>
          <w:szCs w:val="24"/>
        </w:rPr>
        <w:t xml:space="preserve">Ficus </w:t>
      </w:r>
      <w:r w:rsidRPr="00604355">
        <w:rPr>
          <w:rFonts w:ascii="Times New Roman" w:hAnsi="Times New Roman" w:cs="Times New Roman"/>
          <w:i/>
          <w:iCs/>
          <w:color w:val="000000" w:themeColor="text1"/>
          <w:sz w:val="24"/>
          <w:szCs w:val="24"/>
          <w:lang w:val="en-US"/>
        </w:rPr>
        <w:t>c</w:t>
      </w:r>
      <w:r w:rsidRPr="00604355">
        <w:rPr>
          <w:rFonts w:ascii="Times New Roman" w:hAnsi="Times New Roman" w:cs="Times New Roman"/>
          <w:i/>
          <w:iCs/>
          <w:color w:val="000000" w:themeColor="text1"/>
          <w:sz w:val="24"/>
          <w:szCs w:val="24"/>
        </w:rPr>
        <w:t>apensis</w:t>
      </w:r>
      <w:r w:rsidRPr="00604355">
        <w:rPr>
          <w:rFonts w:ascii="Times New Roman" w:hAnsi="Times New Roman" w:cs="Times New Roman"/>
          <w:color w:val="000000" w:themeColor="text1"/>
          <w:sz w:val="24"/>
          <w:szCs w:val="24"/>
        </w:rPr>
        <w:t xml:space="preserve"> extract.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bCs/>
          <w:color w:val="000000" w:themeColor="text1"/>
          <w:sz w:val="24"/>
          <w:szCs w:val="24"/>
        </w:rPr>
        <w:t>Medium-Dose Treatment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Anemia induced with phenyl-hydrazine, treated with medium-dose</w:t>
      </w:r>
      <w:r w:rsidRPr="00604355">
        <w:rPr>
          <w:rFonts w:ascii="Times New Roman" w:hAnsi="Times New Roman" w:cs="Times New Roman"/>
          <w:color w:val="000000" w:themeColor="text1"/>
          <w:sz w:val="24"/>
          <w:szCs w:val="24"/>
          <w:lang w:val="en-US"/>
        </w:rPr>
        <w:t xml:space="preserve"> </w:t>
      </w:r>
      <w:r w:rsidRPr="00604355">
        <w:rPr>
          <w:rFonts w:ascii="Times New Roman" w:hAnsi="Times New Roman" w:cs="Times New Roman"/>
          <w:i/>
          <w:iCs/>
          <w:color w:val="000000" w:themeColor="text1"/>
          <w:sz w:val="24"/>
          <w:szCs w:val="24"/>
        </w:rPr>
        <w:t xml:space="preserve">Ficus </w:t>
      </w:r>
      <w:r w:rsidRPr="00604355">
        <w:rPr>
          <w:rFonts w:ascii="Times New Roman" w:hAnsi="Times New Roman" w:cs="Times New Roman"/>
          <w:i/>
          <w:iCs/>
          <w:color w:val="000000" w:themeColor="text1"/>
          <w:sz w:val="24"/>
          <w:szCs w:val="24"/>
          <w:lang w:val="en-US"/>
        </w:rPr>
        <w:t>c</w:t>
      </w:r>
      <w:r w:rsidRPr="00604355">
        <w:rPr>
          <w:rFonts w:ascii="Times New Roman" w:hAnsi="Times New Roman" w:cs="Times New Roman"/>
          <w:i/>
          <w:iCs/>
          <w:color w:val="000000" w:themeColor="text1"/>
          <w:sz w:val="24"/>
          <w:szCs w:val="24"/>
        </w:rPr>
        <w:t>apensis</w:t>
      </w:r>
      <w:r w:rsidRPr="00604355">
        <w:rPr>
          <w:rFonts w:ascii="Times New Roman" w:hAnsi="Times New Roman" w:cs="Times New Roman"/>
          <w:color w:val="000000" w:themeColor="text1"/>
          <w:sz w:val="24"/>
          <w:szCs w:val="24"/>
        </w:rPr>
        <w:t xml:space="preserve"> extract.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bCs/>
          <w:color w:val="000000" w:themeColor="text1"/>
          <w:sz w:val="24"/>
          <w:szCs w:val="24"/>
        </w:rPr>
        <w:t>High-Dose Treatment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xml:space="preserve">: Anaemia induced with phenyl-hydrazine, treated with high-dose </w:t>
      </w:r>
      <w:r w:rsidRPr="00604355">
        <w:rPr>
          <w:rFonts w:ascii="Times New Roman" w:hAnsi="Times New Roman" w:cs="Times New Roman"/>
          <w:i/>
          <w:iCs/>
          <w:color w:val="000000" w:themeColor="text1"/>
          <w:sz w:val="24"/>
          <w:szCs w:val="24"/>
        </w:rPr>
        <w:t xml:space="preserve">Ficus </w:t>
      </w:r>
      <w:r w:rsidRPr="00604355">
        <w:rPr>
          <w:rFonts w:ascii="Times New Roman" w:hAnsi="Times New Roman" w:cs="Times New Roman"/>
          <w:i/>
          <w:iCs/>
          <w:color w:val="000000" w:themeColor="text1"/>
          <w:sz w:val="24"/>
          <w:szCs w:val="24"/>
          <w:lang w:val="en-US"/>
        </w:rPr>
        <w:t>c</w:t>
      </w:r>
      <w:r w:rsidRPr="00604355">
        <w:rPr>
          <w:rFonts w:ascii="Times New Roman" w:hAnsi="Times New Roman" w:cs="Times New Roman"/>
          <w:i/>
          <w:iCs/>
          <w:color w:val="000000" w:themeColor="text1"/>
          <w:sz w:val="24"/>
          <w:szCs w:val="24"/>
        </w:rPr>
        <w:t>apensis</w:t>
      </w:r>
      <w:r w:rsidRPr="00604355">
        <w:rPr>
          <w:rFonts w:ascii="Times New Roman" w:hAnsi="Times New Roman" w:cs="Times New Roman"/>
          <w:color w:val="000000" w:themeColor="text1"/>
          <w:sz w:val="24"/>
          <w:szCs w:val="24"/>
        </w:rPr>
        <w:t xml:space="preserve"> extract.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lang w:val="en-US"/>
        </w:rPr>
        <w:t xml:space="preserve">Treatment Group (n=5) Anaemia induced </w:t>
      </w:r>
      <w:r w:rsidRPr="00604355">
        <w:rPr>
          <w:rFonts w:ascii="Times New Roman" w:hAnsi="Times New Roman" w:cs="Times New Roman"/>
          <w:color w:val="000000" w:themeColor="text1"/>
          <w:sz w:val="24"/>
          <w:szCs w:val="24"/>
        </w:rPr>
        <w:t>with phenyl-hydrazine, treated</w:t>
      </w:r>
      <w:r w:rsidRPr="00604355">
        <w:rPr>
          <w:rFonts w:ascii="Times New Roman" w:hAnsi="Times New Roman" w:cs="Times New Roman"/>
          <w:color w:val="000000" w:themeColor="text1"/>
          <w:sz w:val="24"/>
          <w:szCs w:val="24"/>
          <w:lang w:val="en-US"/>
        </w:rPr>
        <w:t xml:space="preserve"> ferrous sulfate and </w:t>
      </w:r>
      <w:r w:rsidRPr="00604355">
        <w:rPr>
          <w:rFonts w:ascii="Times New Roman" w:hAnsi="Times New Roman" w:cs="Times New Roman"/>
          <w:i/>
          <w:iCs/>
          <w:color w:val="000000" w:themeColor="text1"/>
          <w:sz w:val="24"/>
          <w:szCs w:val="24"/>
        </w:rPr>
        <w:t xml:space="preserve">Ficus </w:t>
      </w:r>
      <w:r w:rsidRPr="00604355">
        <w:rPr>
          <w:rFonts w:ascii="Times New Roman" w:hAnsi="Times New Roman" w:cs="Times New Roman"/>
          <w:i/>
          <w:iCs/>
          <w:color w:val="000000" w:themeColor="text1"/>
          <w:sz w:val="24"/>
          <w:szCs w:val="24"/>
          <w:lang w:val="en-US"/>
        </w:rPr>
        <w:t>c</w:t>
      </w:r>
      <w:r w:rsidRPr="00604355">
        <w:rPr>
          <w:rFonts w:ascii="Times New Roman" w:hAnsi="Times New Roman" w:cs="Times New Roman"/>
          <w:i/>
          <w:iCs/>
          <w:color w:val="000000" w:themeColor="text1"/>
          <w:sz w:val="24"/>
          <w:szCs w:val="24"/>
        </w:rPr>
        <w:t>apensis</w:t>
      </w:r>
      <w:r w:rsidRPr="00604355">
        <w:rPr>
          <w:rFonts w:ascii="Times New Roman" w:hAnsi="Times New Roman" w:cs="Times New Roman"/>
          <w:color w:val="000000" w:themeColor="text1"/>
          <w:sz w:val="24"/>
          <w:szCs w:val="24"/>
          <w:lang w:val="en-US"/>
        </w:rPr>
        <w:t xml:space="preserve"> extract</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12" w:name="_Toc176942740"/>
      <w:r w:rsidRPr="00604355">
        <w:rPr>
          <w:rFonts w:ascii="Times New Roman" w:eastAsiaTheme="minorHAnsi" w:hAnsi="Times New Roman" w:hint="default"/>
          <w:bCs w:val="0"/>
          <w:color w:val="000000" w:themeColor="text1"/>
          <w:kern w:val="0"/>
          <w:sz w:val="24"/>
          <w:szCs w:val="24"/>
          <w:lang w:eastAsia="en-US"/>
        </w:rPr>
        <w:t>1.1</w:t>
      </w:r>
      <w:r w:rsidR="00B24671">
        <w:rPr>
          <w:rFonts w:ascii="Times New Roman" w:eastAsiaTheme="minorHAnsi" w:hAnsi="Times New Roman" w:hint="default"/>
          <w:bCs w:val="0"/>
          <w:color w:val="000000" w:themeColor="text1"/>
          <w:kern w:val="0"/>
          <w:sz w:val="24"/>
          <w:szCs w:val="24"/>
          <w:lang w:eastAsia="en-US"/>
        </w:rPr>
        <w:t>0</w:t>
      </w:r>
      <w:r w:rsidRPr="00604355">
        <w:rPr>
          <w:rFonts w:ascii="Times New Roman" w:eastAsiaTheme="minorHAnsi" w:hAnsi="Times New Roman" w:hint="default"/>
          <w:bCs w:val="0"/>
          <w:color w:val="000000" w:themeColor="text1"/>
          <w:kern w:val="0"/>
          <w:sz w:val="24"/>
          <w:szCs w:val="24"/>
          <w:lang w:eastAsia="en-US"/>
        </w:rPr>
        <w:t xml:space="preserve"> </w:t>
      </w:r>
      <w:r w:rsidR="00374464" w:rsidRPr="00604355">
        <w:rPr>
          <w:rFonts w:ascii="Times New Roman" w:hAnsi="Times New Roman" w:hint="default"/>
          <w:color w:val="000000" w:themeColor="text1"/>
          <w:sz w:val="24"/>
          <w:szCs w:val="24"/>
        </w:rPr>
        <w:t>ANIMAL SACRIFICE AND BLOOD SAMPLE COLLECTION</w:t>
      </w:r>
      <w:bookmarkEnd w:id="12"/>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The rats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aneasthesized in a glass jar containing a piece of wool soaked with </w:t>
      </w:r>
      <w:r w:rsidRPr="00604355">
        <w:rPr>
          <w:rFonts w:ascii="Times New Roman" w:hAnsi="Times New Roman" w:cs="Times New Roman"/>
          <w:color w:val="000000" w:themeColor="text1"/>
          <w:sz w:val="24"/>
          <w:szCs w:val="24"/>
        </w:rPr>
        <w:t xml:space="preserve">chloroform reagent. </w:t>
      </w:r>
      <w:r w:rsidRPr="00604355">
        <w:rPr>
          <w:rFonts w:ascii="Times New Roman" w:hAnsi="Times New Roman" w:cs="Times New Roman"/>
          <w:color w:val="000000" w:themeColor="text1"/>
          <w:sz w:val="24"/>
          <w:szCs w:val="24"/>
          <w:lang w:val="en-GB"/>
        </w:rPr>
        <w:t xml:space="preserve">Eight milliters of </w:t>
      </w:r>
      <w:r w:rsidRPr="00604355">
        <w:rPr>
          <w:rFonts w:ascii="Times New Roman" w:hAnsi="Times New Roman" w:cs="Times New Roman"/>
          <w:color w:val="000000" w:themeColor="text1"/>
          <w:sz w:val="24"/>
          <w:szCs w:val="24"/>
        </w:rPr>
        <w:t>Blood samples w</w:t>
      </w:r>
      <w:r w:rsidRPr="00604355">
        <w:rPr>
          <w:rFonts w:ascii="Times New Roman" w:hAnsi="Times New Roman" w:cs="Times New Roman"/>
          <w:color w:val="000000" w:themeColor="text1"/>
          <w:sz w:val="24"/>
          <w:szCs w:val="24"/>
          <w:lang w:val="en-US"/>
        </w:rPr>
        <w:t xml:space="preserve">as </w:t>
      </w:r>
      <w:r w:rsidRPr="00604355">
        <w:rPr>
          <w:rFonts w:ascii="Times New Roman" w:hAnsi="Times New Roman" w:cs="Times New Roman"/>
          <w:color w:val="000000" w:themeColor="text1"/>
          <w:sz w:val="24"/>
          <w:szCs w:val="24"/>
        </w:rPr>
        <w:t xml:space="preserve">collected from the rats through the cardiac puncture after 21 days of treatment with </w:t>
      </w:r>
      <w:r w:rsidRPr="00604355">
        <w:rPr>
          <w:rFonts w:ascii="Times New Roman" w:hAnsi="Times New Roman" w:cs="Times New Roman"/>
          <w:i/>
          <w:color w:val="000000" w:themeColor="text1"/>
          <w:sz w:val="24"/>
          <w:szCs w:val="24"/>
        </w:rPr>
        <w:t>Ficus capensis</w:t>
      </w:r>
      <w:r w:rsidRPr="00604355">
        <w:rPr>
          <w:rFonts w:ascii="Times New Roman" w:hAnsi="Times New Roman" w:cs="Times New Roman"/>
          <w:color w:val="000000" w:themeColor="text1"/>
          <w:sz w:val="24"/>
          <w:szCs w:val="24"/>
        </w:rPr>
        <w:t xml:space="preserve">. </w:t>
      </w:r>
      <w:r w:rsidRPr="00604355">
        <w:rPr>
          <w:rFonts w:ascii="Times New Roman" w:hAnsi="Times New Roman" w:cs="Times New Roman"/>
          <w:color w:val="000000" w:themeColor="text1"/>
          <w:sz w:val="24"/>
          <w:szCs w:val="24"/>
          <w:lang w:val="en-GB"/>
        </w:rPr>
        <w:t xml:space="preserve">Two millilitres (2mls) of blood </w:t>
      </w:r>
      <w:r w:rsidRPr="00604355">
        <w:rPr>
          <w:rFonts w:ascii="Times New Roman" w:hAnsi="Times New Roman" w:cs="Times New Roman"/>
          <w:color w:val="000000" w:themeColor="text1"/>
          <w:sz w:val="24"/>
          <w:szCs w:val="24"/>
        </w:rPr>
        <w:t>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lang w:val="en-GB"/>
        </w:rPr>
        <w:t xml:space="preserve"> dispensed into 2 di-potassium Ethylene Diamine Tetra Acetic Acid (K</w:t>
      </w:r>
      <w:r w:rsidRPr="00604355">
        <w:rPr>
          <w:rFonts w:ascii="Times New Roman" w:hAnsi="Times New Roman" w:cs="Times New Roman"/>
          <w:color w:val="000000" w:themeColor="text1"/>
          <w:sz w:val="24"/>
          <w:szCs w:val="24"/>
          <w:vertAlign w:val="subscript"/>
          <w:lang w:val="en-GB"/>
        </w:rPr>
        <w:t>2</w:t>
      </w:r>
      <w:r w:rsidRPr="00604355">
        <w:rPr>
          <w:rFonts w:ascii="Times New Roman" w:hAnsi="Times New Roman" w:cs="Times New Roman"/>
          <w:color w:val="000000" w:themeColor="text1"/>
          <w:sz w:val="24"/>
          <w:szCs w:val="24"/>
          <w:lang w:val="en-GB"/>
        </w:rPr>
        <w:t>EDTA) bottle containing 1.5mg of the anticoagulant for the analysis of s</w:t>
      </w:r>
      <w:r w:rsidR="009074B9" w:rsidRPr="00604355">
        <w:rPr>
          <w:rFonts w:ascii="Times New Roman" w:hAnsi="Times New Roman" w:cs="Times New Roman"/>
          <w:color w:val="000000" w:themeColor="text1"/>
          <w:sz w:val="24"/>
          <w:szCs w:val="24"/>
          <w:lang w:val="en-GB"/>
        </w:rPr>
        <w:t>ome haematological parameters.</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13" w:name="_Toc176942741"/>
      <w:r w:rsidRPr="00604355">
        <w:rPr>
          <w:rFonts w:ascii="Times New Roman" w:hAnsi="Times New Roman" w:hint="default"/>
          <w:color w:val="000000" w:themeColor="text1"/>
          <w:sz w:val="24"/>
          <w:szCs w:val="24"/>
        </w:rPr>
        <w:t>1.1</w:t>
      </w:r>
      <w:r w:rsidR="00B24671">
        <w:rPr>
          <w:rFonts w:ascii="Times New Roman" w:hAnsi="Times New Roman" w:hint="default"/>
          <w:color w:val="000000" w:themeColor="text1"/>
          <w:sz w:val="24"/>
          <w:szCs w:val="24"/>
        </w:rPr>
        <w:t>1</w:t>
      </w:r>
      <w:r w:rsidRPr="00604355">
        <w:rPr>
          <w:rFonts w:ascii="Times New Roman" w:hAnsi="Times New Roman" w:hint="default"/>
          <w:color w:val="000000" w:themeColor="text1"/>
          <w:sz w:val="24"/>
          <w:szCs w:val="24"/>
        </w:rPr>
        <w:t xml:space="preserve"> </w:t>
      </w:r>
      <w:r w:rsidR="00374464" w:rsidRPr="00604355">
        <w:rPr>
          <w:rFonts w:ascii="Times New Roman" w:hAnsi="Times New Roman" w:hint="default"/>
          <w:color w:val="000000" w:themeColor="text1"/>
          <w:sz w:val="24"/>
          <w:szCs w:val="24"/>
        </w:rPr>
        <w:t>LABORATORY ANALYSIS OF SAMPLES</w:t>
      </w:r>
      <w:bookmarkEnd w:id="13"/>
    </w:p>
    <w:p w:rsidR="00374464" w:rsidRPr="00194F6A" w:rsidRDefault="00374464" w:rsidP="007D3FEF">
      <w:pPr>
        <w:spacing w:after="0" w:line="240" w:lineRule="auto"/>
        <w:jc w:val="both"/>
        <w:rPr>
          <w:rFonts w:ascii="Times New Roman" w:hAnsi="Times New Roman" w:cs="Times New Roman"/>
          <w:color w:val="000000" w:themeColor="text1"/>
          <w:sz w:val="24"/>
          <w:szCs w:val="24"/>
          <w:lang w:val="en-GB"/>
        </w:rPr>
      </w:pPr>
      <w:r w:rsidRPr="00604355">
        <w:rPr>
          <w:rFonts w:ascii="Times New Roman" w:hAnsi="Times New Roman" w:cs="Times New Roman"/>
          <w:color w:val="000000" w:themeColor="text1"/>
          <w:sz w:val="24"/>
          <w:szCs w:val="24"/>
        </w:rPr>
        <w:t>Hematological parameters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analyzed using 5-part Mythic 60 Haematology </w:t>
      </w:r>
      <w:r w:rsidR="00D62AF1">
        <w:rPr>
          <w:rFonts w:ascii="Times New Roman" w:hAnsi="Times New Roman" w:cs="Times New Roman"/>
          <w:color w:val="000000" w:themeColor="text1"/>
          <w:sz w:val="24"/>
          <w:szCs w:val="24"/>
        </w:rPr>
        <w:t xml:space="preserve">analyzer model manufactured by </w:t>
      </w:r>
      <w:r w:rsidR="00D62AF1">
        <w:rPr>
          <w:rFonts w:ascii="Times New Roman" w:hAnsi="Times New Roman" w:cs="Times New Roman"/>
          <w:color w:val="000000" w:themeColor="text1"/>
          <w:sz w:val="24"/>
          <w:szCs w:val="24"/>
          <w:lang w:val="en-GB"/>
        </w:rPr>
        <w:t>M</w:t>
      </w:r>
      <w:r w:rsidRPr="00604355">
        <w:rPr>
          <w:rFonts w:ascii="Times New Roman" w:hAnsi="Times New Roman" w:cs="Times New Roman"/>
          <w:color w:val="000000" w:themeColor="text1"/>
          <w:sz w:val="24"/>
          <w:szCs w:val="24"/>
        </w:rPr>
        <w:t>ythic, 2012.</w:t>
      </w:r>
      <w:bookmarkStart w:id="14" w:name="_Toc176942742"/>
      <w:r w:rsidRPr="00604355">
        <w:rPr>
          <w:rFonts w:ascii="Times New Roman" w:eastAsia="Times New Roman" w:hAnsi="Times New Roman" w:cs="Times New Roman"/>
          <w:color w:val="000000" w:themeColor="text1"/>
          <w:kern w:val="24"/>
          <w:sz w:val="24"/>
          <w:szCs w:val="24"/>
        </w:rPr>
        <w:t xml:space="preserve"> Estimation of Complete Full Blood Count (CBC) </w:t>
      </w:r>
      <w:r w:rsidRPr="00604355">
        <w:rPr>
          <w:rFonts w:ascii="Times New Roman" w:hAnsi="Times New Roman" w:cs="Times New Roman"/>
          <w:color w:val="000000" w:themeColor="text1"/>
          <w:sz w:val="24"/>
          <w:szCs w:val="24"/>
        </w:rPr>
        <w:t xml:space="preserve">as described by </w:t>
      </w:r>
      <w:r w:rsidR="004F288D" w:rsidRPr="00604355">
        <w:rPr>
          <w:rFonts w:ascii="Times New Roman" w:hAnsi="Times New Roman" w:cs="Times New Roman"/>
          <w:color w:val="000000" w:themeColor="text1"/>
          <w:sz w:val="24"/>
          <w:szCs w:val="24"/>
        </w:rPr>
        <w:t>Crisan and Mattson (</w:t>
      </w:r>
      <w:r w:rsidRPr="00604355">
        <w:rPr>
          <w:rFonts w:ascii="Times New Roman" w:hAnsi="Times New Roman" w:cs="Times New Roman"/>
          <w:color w:val="000000" w:themeColor="text1"/>
          <w:sz w:val="24"/>
          <w:szCs w:val="24"/>
        </w:rPr>
        <w:t>2023)</w:t>
      </w:r>
      <w:bookmarkEnd w:id="14"/>
      <w:r w:rsidR="004F288D" w:rsidRPr="00604355">
        <w:rPr>
          <w:rFonts w:ascii="Times New Roman" w:hAnsi="Times New Roman" w:cs="Times New Roman"/>
          <w:color w:val="000000" w:themeColor="text1"/>
          <w:sz w:val="24"/>
          <w:szCs w:val="24"/>
        </w:rPr>
        <w:t xml:space="preserve">.  </w:t>
      </w:r>
      <w:r w:rsidRPr="00604355">
        <w:rPr>
          <w:rFonts w:ascii="Times New Roman" w:eastAsia="Times New Roman" w:hAnsi="Times New Roman" w:cs="Times New Roman"/>
          <w:color w:val="000000" w:themeColor="text1"/>
          <w:kern w:val="24"/>
          <w:sz w:val="24"/>
          <w:szCs w:val="24"/>
        </w:rPr>
        <w:t xml:space="preserve">The EDTA blood </w:t>
      </w:r>
      <w:r w:rsidRPr="00604355">
        <w:rPr>
          <w:rFonts w:ascii="Times New Roman" w:hAnsi="Times New Roman" w:cs="Times New Roman"/>
          <w:color w:val="000000" w:themeColor="text1"/>
          <w:sz w:val="24"/>
          <w:szCs w:val="24"/>
        </w:rPr>
        <w:t>was</w:t>
      </w:r>
      <w:r w:rsidRPr="00604355">
        <w:rPr>
          <w:rFonts w:ascii="Times New Roman" w:eastAsia="Times New Roman" w:hAnsi="Times New Roman" w:cs="Times New Roman"/>
          <w:color w:val="000000" w:themeColor="text1"/>
          <w:kern w:val="24"/>
          <w:sz w:val="24"/>
          <w:szCs w:val="24"/>
        </w:rPr>
        <w:t xml:space="preserve"> used to determine </w:t>
      </w:r>
      <w:r w:rsidRPr="00604355">
        <w:rPr>
          <w:rFonts w:ascii="Times New Roman" w:hAnsi="Times New Roman" w:cs="Times New Roman"/>
          <w:color w:val="000000" w:themeColor="text1"/>
          <w:sz w:val="24"/>
          <w:szCs w:val="24"/>
        </w:rPr>
        <w:t xml:space="preserve">CBC </w:t>
      </w:r>
      <w:r w:rsidRPr="00604355">
        <w:rPr>
          <w:rFonts w:ascii="Times New Roman" w:hAnsi="Times New Roman" w:cs="Times New Roman"/>
          <w:bCs/>
          <w:color w:val="000000" w:themeColor="text1"/>
          <w:sz w:val="24"/>
          <w:szCs w:val="24"/>
        </w:rPr>
        <w:t>using Mythic 60 CT fully automated haematology analyser (Orphee SA, Switzerland).</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lang w:val="en-GB"/>
        </w:rPr>
      </w:pPr>
      <w:bookmarkStart w:id="15" w:name="_Toc176942751"/>
      <w:r w:rsidRPr="00604355">
        <w:rPr>
          <w:rFonts w:ascii="Times New Roman" w:hAnsi="Times New Roman" w:hint="default"/>
          <w:color w:val="000000" w:themeColor="text1"/>
          <w:sz w:val="24"/>
          <w:szCs w:val="24"/>
          <w:lang w:val="en-GB"/>
        </w:rPr>
        <w:t>1.1</w:t>
      </w:r>
      <w:r w:rsidR="00B24671">
        <w:rPr>
          <w:rFonts w:ascii="Times New Roman" w:hAnsi="Times New Roman" w:hint="default"/>
          <w:color w:val="000000" w:themeColor="text1"/>
          <w:sz w:val="24"/>
          <w:szCs w:val="24"/>
          <w:lang w:val="en-GB"/>
        </w:rPr>
        <w:t>2</w:t>
      </w:r>
      <w:r w:rsidRPr="00604355">
        <w:rPr>
          <w:rFonts w:ascii="Times New Roman" w:hAnsi="Times New Roman" w:hint="default"/>
          <w:color w:val="000000" w:themeColor="text1"/>
          <w:sz w:val="24"/>
          <w:szCs w:val="24"/>
          <w:lang w:val="en-GB"/>
        </w:rPr>
        <w:t xml:space="preserve"> </w:t>
      </w:r>
      <w:r w:rsidR="00374464" w:rsidRPr="00604355">
        <w:rPr>
          <w:rFonts w:ascii="Times New Roman" w:hAnsi="Times New Roman" w:hint="default"/>
          <w:color w:val="000000" w:themeColor="text1"/>
          <w:sz w:val="24"/>
          <w:szCs w:val="24"/>
          <w:lang w:val="en-GB"/>
        </w:rPr>
        <w:t>DATA ANALYSIS</w:t>
      </w:r>
      <w:bookmarkEnd w:id="15"/>
    </w:p>
    <w:p w:rsidR="00374464" w:rsidRPr="00604355" w:rsidRDefault="00374464" w:rsidP="00720B3B">
      <w:pPr>
        <w:spacing w:after="0" w:line="240" w:lineRule="auto"/>
        <w:jc w:val="both"/>
        <w:rPr>
          <w:rFonts w:ascii="Times New Roman" w:hAnsi="Times New Roman" w:cs="Times New Roman"/>
          <w:color w:val="000000" w:themeColor="text1"/>
          <w:sz w:val="24"/>
          <w:szCs w:val="24"/>
          <w:lang w:val="en-GB"/>
        </w:rPr>
      </w:pPr>
      <w:r w:rsidRPr="00604355">
        <w:rPr>
          <w:rFonts w:ascii="Times New Roman" w:hAnsi="Times New Roman" w:cs="Times New Roman"/>
          <w:color w:val="000000" w:themeColor="text1"/>
          <w:sz w:val="24"/>
          <w:szCs w:val="24"/>
        </w:rPr>
        <w:t xml:space="preserve">Data </w:t>
      </w:r>
      <w:r w:rsidRPr="00604355">
        <w:rPr>
          <w:rFonts w:ascii="Times New Roman" w:hAnsi="Times New Roman" w:cs="Times New Roman"/>
          <w:color w:val="000000" w:themeColor="text1"/>
          <w:sz w:val="24"/>
          <w:szCs w:val="24"/>
          <w:lang w:val="en-GB"/>
        </w:rPr>
        <w:t xml:space="preserve">obtained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lang w:val="en-GB"/>
        </w:rPr>
        <w:t xml:space="preserve"> analysis using SPSS software version 27.0 and presented as mean </w:t>
      </w:r>
      <w:r w:rsidRPr="00604355">
        <w:rPr>
          <w:rFonts w:ascii="Times New Roman" w:hAnsi="Times New Roman" w:cs="Times New Roman"/>
          <w:color w:val="000000" w:themeColor="text1"/>
          <w:sz w:val="24"/>
          <w:szCs w:val="24"/>
        </w:rPr>
        <w:t xml:space="preserve">± standard </w:t>
      </w:r>
      <w:r w:rsidR="00471DB7" w:rsidRPr="00604355">
        <w:rPr>
          <w:rFonts w:ascii="Times New Roman" w:hAnsi="Times New Roman" w:cs="Times New Roman"/>
          <w:color w:val="000000" w:themeColor="text1"/>
          <w:sz w:val="24"/>
          <w:szCs w:val="24"/>
          <w:lang w:val="en-GB"/>
        </w:rPr>
        <w:t>deviation</w:t>
      </w:r>
      <w:r w:rsidR="00471DB7" w:rsidRPr="00604355">
        <w:rPr>
          <w:rFonts w:ascii="Times New Roman" w:hAnsi="Times New Roman" w:cs="Times New Roman"/>
          <w:color w:val="000000" w:themeColor="text1"/>
          <w:sz w:val="24"/>
          <w:szCs w:val="24"/>
        </w:rPr>
        <w:t xml:space="preserve"> of mean (M ± S</w:t>
      </w:r>
      <w:r w:rsidR="00471DB7" w:rsidRPr="00604355">
        <w:rPr>
          <w:rFonts w:ascii="Times New Roman" w:hAnsi="Times New Roman" w:cs="Times New Roman"/>
          <w:color w:val="000000" w:themeColor="text1"/>
          <w:sz w:val="24"/>
          <w:szCs w:val="24"/>
          <w:lang w:val="en-GB"/>
        </w:rPr>
        <w:t>D</w:t>
      </w:r>
      <w:r w:rsidRPr="00604355">
        <w:rPr>
          <w:rFonts w:ascii="Times New Roman" w:hAnsi="Times New Roman" w:cs="Times New Roman"/>
          <w:color w:val="000000" w:themeColor="text1"/>
          <w:sz w:val="24"/>
          <w:szCs w:val="24"/>
        </w:rPr>
        <w:t xml:space="preserve">M). The result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lang w:val="en-GB"/>
        </w:rPr>
        <w:t xml:space="preserve"> analysed using a one-way analysis of variance (ANOVA) with Bonferroni’s post-hoc test for multiple comparisons.</w:t>
      </w:r>
    </w:p>
    <w:p w:rsidR="008A09E6" w:rsidRPr="00604355" w:rsidRDefault="00374464" w:rsidP="00471DB7">
      <w:pPr>
        <w:spacing w:after="0" w:line="240" w:lineRule="auto"/>
        <w:jc w:val="both"/>
        <w:rPr>
          <w:rFonts w:ascii="Times New Roman" w:hAnsi="Times New Roman" w:cs="Times New Roman"/>
          <w:color w:val="000000" w:themeColor="text1"/>
          <w:sz w:val="24"/>
          <w:szCs w:val="24"/>
          <w:lang w:val="en-GB"/>
        </w:rPr>
        <w:sectPr w:rsidR="008A09E6" w:rsidRPr="00604355" w:rsidSect="008E32E9">
          <w:type w:val="continuous"/>
          <w:pgSz w:w="11906" w:h="16838"/>
          <w:pgMar w:top="1440" w:right="1440" w:bottom="1440" w:left="1440" w:header="708" w:footer="708" w:gutter="0"/>
          <w:cols w:num="2" w:space="708"/>
          <w:docGrid w:linePitch="360"/>
        </w:sectPr>
      </w:pPr>
      <w:r w:rsidRPr="00604355">
        <w:rPr>
          <w:rFonts w:ascii="Times New Roman" w:hAnsi="Times New Roman" w:cs="Times New Roman"/>
          <w:color w:val="000000" w:themeColor="text1"/>
          <w:sz w:val="24"/>
          <w:szCs w:val="24"/>
        </w:rPr>
        <w:t>P-value of equal to or less than 0.05 (P≤ 0.05) will</w:t>
      </w:r>
      <w:bookmarkStart w:id="16" w:name="_Toc176942752"/>
      <w:r w:rsidR="00471DB7" w:rsidRPr="00604355">
        <w:rPr>
          <w:rFonts w:ascii="Times New Roman" w:hAnsi="Times New Roman" w:cs="Times New Roman"/>
          <w:color w:val="000000" w:themeColor="text1"/>
          <w:sz w:val="24"/>
          <w:szCs w:val="24"/>
        </w:rPr>
        <w:t xml:space="preserve"> be considered as significan</w:t>
      </w:r>
      <w:r w:rsidR="00471DB7" w:rsidRPr="00604355">
        <w:rPr>
          <w:rFonts w:ascii="Times New Roman" w:hAnsi="Times New Roman" w:cs="Times New Roman"/>
          <w:color w:val="000000" w:themeColor="text1"/>
          <w:sz w:val="24"/>
          <w:szCs w:val="24"/>
          <w:lang w:val="en-GB"/>
        </w:rPr>
        <w:t>.</w:t>
      </w:r>
    </w:p>
    <w:p w:rsidR="008E32E9" w:rsidRDefault="008E32E9" w:rsidP="00AE29A6">
      <w:pPr>
        <w:spacing w:after="0" w:line="240" w:lineRule="auto"/>
        <w:rPr>
          <w:rFonts w:ascii="Times New Roman" w:hAnsi="Times New Roman" w:cs="Times New Roman"/>
          <w:b/>
          <w:sz w:val="24"/>
          <w:szCs w:val="24"/>
          <w:lang w:val="en-US" w:eastAsia="zh-CN"/>
        </w:rPr>
      </w:pPr>
    </w:p>
    <w:p w:rsidR="008E32E9" w:rsidRDefault="008E32E9" w:rsidP="00AE29A6">
      <w:pPr>
        <w:spacing w:after="0" w:line="240" w:lineRule="auto"/>
        <w:rPr>
          <w:rFonts w:ascii="Times New Roman" w:hAnsi="Times New Roman" w:cs="Times New Roman"/>
          <w:b/>
          <w:sz w:val="24"/>
          <w:szCs w:val="24"/>
          <w:lang w:val="en-US" w:eastAsia="zh-CN"/>
        </w:rPr>
      </w:pPr>
    </w:p>
    <w:p w:rsidR="008E32E9" w:rsidRDefault="008E32E9" w:rsidP="00AE29A6">
      <w:pPr>
        <w:spacing w:after="0" w:line="240" w:lineRule="auto"/>
        <w:rPr>
          <w:rFonts w:ascii="Times New Roman" w:hAnsi="Times New Roman" w:cs="Times New Roman"/>
          <w:b/>
          <w:sz w:val="24"/>
          <w:szCs w:val="24"/>
          <w:lang w:val="en-US" w:eastAsia="zh-CN"/>
        </w:rPr>
      </w:pPr>
    </w:p>
    <w:p w:rsidR="008E32E9" w:rsidRDefault="008E32E9" w:rsidP="00AE29A6">
      <w:pPr>
        <w:spacing w:after="0" w:line="240" w:lineRule="auto"/>
        <w:rPr>
          <w:rFonts w:ascii="Times New Roman" w:hAnsi="Times New Roman" w:cs="Times New Roman"/>
          <w:b/>
          <w:sz w:val="24"/>
          <w:szCs w:val="24"/>
          <w:lang w:val="en-US" w:eastAsia="zh-CN"/>
        </w:rPr>
      </w:pPr>
    </w:p>
    <w:p w:rsidR="008E32E9" w:rsidRDefault="008E32E9" w:rsidP="00AE29A6">
      <w:pPr>
        <w:spacing w:after="0" w:line="240" w:lineRule="auto"/>
        <w:rPr>
          <w:rFonts w:ascii="Times New Roman" w:hAnsi="Times New Roman" w:cs="Times New Roman"/>
          <w:b/>
          <w:sz w:val="24"/>
          <w:szCs w:val="24"/>
          <w:lang w:val="en-US" w:eastAsia="zh-CN"/>
        </w:rPr>
        <w:sectPr w:rsidR="008E32E9" w:rsidSect="008A09E6">
          <w:type w:val="continuous"/>
          <w:pgSz w:w="11906" w:h="16838"/>
          <w:pgMar w:top="1440" w:right="1440" w:bottom="1440" w:left="1440" w:header="708" w:footer="708" w:gutter="0"/>
          <w:cols w:space="708"/>
          <w:docGrid w:linePitch="360"/>
        </w:sectPr>
      </w:pPr>
    </w:p>
    <w:p w:rsidR="00374464" w:rsidRPr="00604355" w:rsidRDefault="008630CE" w:rsidP="00AE29A6">
      <w:pPr>
        <w:spacing w:after="0" w:line="240" w:lineRule="auto"/>
        <w:rPr>
          <w:rFonts w:ascii="Times New Roman" w:hAnsi="Times New Roman" w:cs="Times New Roman"/>
          <w:b/>
          <w:sz w:val="24"/>
          <w:szCs w:val="24"/>
          <w:lang w:val="en-US" w:eastAsia="zh-CN"/>
        </w:rPr>
      </w:pPr>
      <w:r w:rsidRPr="00604355">
        <w:rPr>
          <w:rFonts w:ascii="Times New Roman" w:hAnsi="Times New Roman" w:cs="Times New Roman"/>
          <w:b/>
          <w:sz w:val="24"/>
          <w:szCs w:val="24"/>
          <w:lang w:val="en-US" w:eastAsia="zh-CN"/>
        </w:rPr>
        <w:t xml:space="preserve">1.5 </w:t>
      </w:r>
      <w:r w:rsidR="00374464" w:rsidRPr="00604355">
        <w:rPr>
          <w:rFonts w:ascii="Times New Roman" w:hAnsi="Times New Roman" w:cs="Times New Roman"/>
          <w:b/>
          <w:sz w:val="24"/>
          <w:szCs w:val="24"/>
          <w:lang w:val="en-US" w:eastAsia="zh-CN"/>
        </w:rPr>
        <w:t>RESULTS</w:t>
      </w:r>
    </w:p>
    <w:p w:rsidR="00AE29A6" w:rsidRPr="00604355" w:rsidRDefault="0043249A" w:rsidP="0043249A">
      <w:pPr>
        <w:spacing w:after="0" w:line="240" w:lineRule="auto"/>
        <w:rPr>
          <w:rFonts w:ascii="Times New Roman" w:hAnsi="Times New Roman" w:cs="Times New Roman"/>
          <w:b/>
          <w:sz w:val="24"/>
          <w:szCs w:val="24"/>
          <w:lang w:val="en-US" w:eastAsia="zh-CN"/>
        </w:rPr>
      </w:pPr>
      <w:r w:rsidRPr="00604355">
        <w:rPr>
          <w:rFonts w:ascii="Times New Roman" w:hAnsi="Times New Roman" w:cs="Times New Roman"/>
          <w:b/>
          <w:color w:val="000000" w:themeColor="text1"/>
          <w:sz w:val="24"/>
          <w:szCs w:val="24"/>
        </w:rPr>
        <w:t>Table</w:t>
      </w:r>
      <w:r w:rsidRPr="00604355">
        <w:rPr>
          <w:rFonts w:ascii="Times New Roman" w:hAnsi="Times New Roman" w:cs="Times New Roman"/>
          <w:b/>
          <w:sz w:val="24"/>
          <w:szCs w:val="24"/>
          <w:lang w:val="en-US" w:eastAsia="zh-CN"/>
        </w:rPr>
        <w:t xml:space="preserve"> </w:t>
      </w:r>
      <w:r w:rsidR="008630CE" w:rsidRPr="00604355">
        <w:rPr>
          <w:rFonts w:ascii="Times New Roman" w:hAnsi="Times New Roman" w:cs="Times New Roman"/>
          <w:b/>
          <w:sz w:val="24"/>
          <w:szCs w:val="24"/>
          <w:lang w:val="en-US" w:eastAsia="zh-CN"/>
        </w:rPr>
        <w:t>1:</w:t>
      </w:r>
      <w:r w:rsidR="00AE29A6" w:rsidRPr="00604355">
        <w:rPr>
          <w:rFonts w:ascii="Times New Roman" w:hAnsi="Times New Roman" w:cs="Times New Roman"/>
          <w:b/>
          <w:sz w:val="24"/>
          <w:szCs w:val="24"/>
          <w:lang w:val="en-US" w:eastAsia="zh-CN"/>
        </w:rPr>
        <w:t xml:space="preserve"> The physical </w:t>
      </w:r>
      <w:r w:rsidR="000F0A33" w:rsidRPr="00604355">
        <w:rPr>
          <w:rFonts w:ascii="Times New Roman" w:hAnsi="Times New Roman" w:cs="Times New Roman"/>
          <w:b/>
          <w:sz w:val="24"/>
          <w:szCs w:val="24"/>
          <w:lang w:val="en-US" w:eastAsia="zh-CN"/>
        </w:rPr>
        <w:t>properties</w:t>
      </w:r>
      <w:r w:rsidR="00AE29A6" w:rsidRPr="00604355">
        <w:rPr>
          <w:rFonts w:ascii="Times New Roman" w:hAnsi="Times New Roman" w:cs="Times New Roman"/>
          <w:b/>
          <w:sz w:val="24"/>
          <w:szCs w:val="24"/>
          <w:lang w:val="en-US" w:eastAsia="zh-CN"/>
        </w:rPr>
        <w:t xml:space="preserve"> of the methanolic extract </w:t>
      </w:r>
      <w:r w:rsidR="00AE29A6" w:rsidRPr="00604355">
        <w:rPr>
          <w:rFonts w:ascii="Times New Roman" w:hAnsi="Times New Roman" w:cs="Times New Roman"/>
          <w:b/>
          <w:i/>
          <w:sz w:val="24"/>
          <w:szCs w:val="24"/>
          <w:lang w:val="en-US" w:eastAsia="zh-CN"/>
        </w:rPr>
        <w:t>Ficus capensis</w:t>
      </w:r>
      <w:r w:rsidR="00AE29A6" w:rsidRPr="00604355">
        <w:rPr>
          <w:rFonts w:ascii="Times New Roman" w:hAnsi="Times New Roman" w:cs="Times New Roman"/>
          <w:b/>
          <w:sz w:val="24"/>
          <w:szCs w:val="24"/>
          <w:lang w:val="en-US" w:eastAsia="zh-CN"/>
        </w:rPr>
        <w:t xml:space="preserve"> leaf</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518"/>
        <w:gridCol w:w="1476"/>
        <w:gridCol w:w="1468"/>
        <w:gridCol w:w="1485"/>
        <w:gridCol w:w="1459"/>
      </w:tblGrid>
      <w:tr w:rsidR="00AE29A6" w:rsidRPr="00604355" w:rsidTr="00471DB7">
        <w:tc>
          <w:tcPr>
            <w:tcW w:w="1728"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Part of plant</w:t>
            </w:r>
          </w:p>
        </w:tc>
        <w:tc>
          <w:tcPr>
            <w:tcW w:w="1518"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Type of extraction</w:t>
            </w:r>
          </w:p>
        </w:tc>
        <w:tc>
          <w:tcPr>
            <w:tcW w:w="1476"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Colour</w:t>
            </w:r>
          </w:p>
        </w:tc>
        <w:tc>
          <w:tcPr>
            <w:tcW w:w="1468"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Smell</w:t>
            </w:r>
          </w:p>
        </w:tc>
        <w:tc>
          <w:tcPr>
            <w:tcW w:w="1485"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Texture</w:t>
            </w:r>
          </w:p>
        </w:tc>
        <w:tc>
          <w:tcPr>
            <w:tcW w:w="1459"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 yield</w:t>
            </w:r>
          </w:p>
        </w:tc>
      </w:tr>
      <w:tr w:rsidR="00AE29A6" w:rsidRPr="00604355" w:rsidTr="00471DB7">
        <w:tc>
          <w:tcPr>
            <w:tcW w:w="1728"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Leaves</w:t>
            </w:r>
          </w:p>
        </w:tc>
        <w:tc>
          <w:tcPr>
            <w:tcW w:w="1518"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Methanolic</w:t>
            </w:r>
          </w:p>
        </w:tc>
        <w:tc>
          <w:tcPr>
            <w:tcW w:w="1476"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Green</w:t>
            </w:r>
          </w:p>
        </w:tc>
        <w:tc>
          <w:tcPr>
            <w:tcW w:w="1468"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Sweet</w:t>
            </w:r>
          </w:p>
        </w:tc>
        <w:tc>
          <w:tcPr>
            <w:tcW w:w="1485"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rPr>
              <w:t>Smooth</w:t>
            </w:r>
          </w:p>
        </w:tc>
        <w:tc>
          <w:tcPr>
            <w:tcW w:w="1459"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6.3</w:t>
            </w:r>
          </w:p>
        </w:tc>
      </w:tr>
    </w:tbl>
    <w:p w:rsidR="00AE29A6" w:rsidRPr="00604355" w:rsidRDefault="00AE29A6" w:rsidP="00AE29A6">
      <w:pPr>
        <w:pStyle w:val="ListParagraph"/>
        <w:spacing w:after="0" w:line="240" w:lineRule="auto"/>
        <w:ind w:left="360"/>
        <w:rPr>
          <w:rFonts w:ascii="Times New Roman" w:hAnsi="Times New Roman" w:cs="Times New Roman"/>
          <w:sz w:val="24"/>
          <w:szCs w:val="24"/>
          <w:lang w:val="en-US" w:eastAsia="zh-CN"/>
        </w:rPr>
      </w:pPr>
    </w:p>
    <w:p w:rsidR="0043249A" w:rsidRPr="00604355" w:rsidRDefault="0043249A" w:rsidP="0043249A">
      <w:pPr>
        <w:spacing w:after="0" w:line="240" w:lineRule="auto"/>
        <w:rPr>
          <w:rFonts w:ascii="Times New Roman" w:hAnsi="Times New Roman" w:cs="Times New Roman"/>
          <w:b/>
          <w:sz w:val="24"/>
          <w:szCs w:val="24"/>
          <w:lang w:val="en-US" w:eastAsia="zh-CN"/>
        </w:rPr>
      </w:pPr>
      <w:r w:rsidRPr="00604355">
        <w:rPr>
          <w:rFonts w:ascii="Times New Roman" w:hAnsi="Times New Roman" w:cs="Times New Roman"/>
          <w:color w:val="000000" w:themeColor="text1"/>
          <w:sz w:val="24"/>
          <w:szCs w:val="24"/>
        </w:rPr>
        <w:t>Table</w:t>
      </w:r>
      <w:r w:rsidRPr="00604355">
        <w:rPr>
          <w:rFonts w:ascii="Times New Roman" w:hAnsi="Times New Roman" w:cs="Times New Roman"/>
          <w:b/>
          <w:sz w:val="24"/>
          <w:szCs w:val="24"/>
          <w:lang w:val="en-US"/>
        </w:rPr>
        <w:t xml:space="preserve"> </w:t>
      </w:r>
      <w:r w:rsidR="0053772A">
        <w:rPr>
          <w:rFonts w:ascii="Times New Roman" w:hAnsi="Times New Roman" w:cs="Times New Roman"/>
          <w:b/>
          <w:sz w:val="24"/>
          <w:szCs w:val="24"/>
          <w:lang w:val="en-US"/>
        </w:rPr>
        <w:t>2</w:t>
      </w:r>
      <w:r w:rsidRPr="00604355">
        <w:rPr>
          <w:rFonts w:ascii="Times New Roman" w:hAnsi="Times New Roman" w:cs="Times New Roman"/>
          <w:b/>
          <w:sz w:val="24"/>
          <w:szCs w:val="24"/>
          <w:lang w:val="en-US"/>
        </w:rPr>
        <w:t xml:space="preserve">: </w:t>
      </w:r>
      <w:r w:rsidRPr="00604355">
        <w:rPr>
          <w:rFonts w:ascii="Times New Roman" w:hAnsi="Times New Roman" w:cs="Times New Roman"/>
          <w:b/>
          <w:sz w:val="24"/>
          <w:szCs w:val="24"/>
        </w:rPr>
        <w:t>Phytochemical tests</w:t>
      </w:r>
      <w:r w:rsidRPr="00604355">
        <w:rPr>
          <w:rFonts w:ascii="Times New Roman" w:hAnsi="Times New Roman" w:cs="Times New Roman"/>
          <w:b/>
          <w:sz w:val="24"/>
          <w:szCs w:val="24"/>
          <w:lang w:val="en-US"/>
        </w:rPr>
        <w:t xml:space="preserve">; </w:t>
      </w:r>
      <w:r w:rsidRPr="00604355">
        <w:rPr>
          <w:rFonts w:ascii="Times New Roman" w:hAnsi="Times New Roman" w:cs="Times New Roman"/>
          <w:b/>
          <w:sz w:val="24"/>
          <w:szCs w:val="24"/>
        </w:rPr>
        <w:t xml:space="preserve">The qualitative  phytochemical screening of the </w:t>
      </w:r>
      <w:r w:rsidRPr="00604355">
        <w:rPr>
          <w:rFonts w:ascii="Times New Roman" w:hAnsi="Times New Roman" w:cs="Times New Roman"/>
          <w:b/>
          <w:sz w:val="24"/>
          <w:szCs w:val="24"/>
          <w:lang w:val="en-US"/>
        </w:rPr>
        <w:t xml:space="preserve">methanolic </w:t>
      </w:r>
      <w:r w:rsidRPr="00604355">
        <w:rPr>
          <w:rFonts w:ascii="Times New Roman" w:hAnsi="Times New Roman" w:cs="Times New Roman"/>
          <w:b/>
          <w:sz w:val="24"/>
          <w:szCs w:val="24"/>
        </w:rPr>
        <w:t xml:space="preserve"> leaf extract of </w:t>
      </w:r>
      <w:r w:rsidRPr="00604355">
        <w:rPr>
          <w:rFonts w:ascii="Times New Roman" w:hAnsi="Times New Roman" w:cs="Times New Roman"/>
          <w:b/>
          <w:i/>
          <w:sz w:val="24"/>
          <w:szCs w:val="24"/>
        </w:rPr>
        <w:t>F</w:t>
      </w:r>
      <w:r w:rsidRPr="00604355">
        <w:rPr>
          <w:rFonts w:ascii="Times New Roman" w:hAnsi="Times New Roman" w:cs="Times New Roman"/>
          <w:b/>
          <w:i/>
          <w:sz w:val="24"/>
          <w:szCs w:val="24"/>
          <w:lang w:val="en-US"/>
        </w:rPr>
        <w:t>icus</w:t>
      </w:r>
      <w:r w:rsidRPr="00604355">
        <w:rPr>
          <w:rFonts w:ascii="Times New Roman" w:hAnsi="Times New Roman" w:cs="Times New Roman"/>
          <w:b/>
          <w:i/>
          <w:sz w:val="24"/>
          <w:szCs w:val="24"/>
        </w:rPr>
        <w:t xml:space="preserve"> capensis</w:t>
      </w:r>
      <w:r w:rsidRPr="00604355">
        <w:rPr>
          <w:rFonts w:ascii="Times New Roman" w:hAnsi="Times New Roman" w:cs="Times New Roman"/>
          <w:b/>
          <w:sz w:val="24"/>
          <w:szCs w:val="24"/>
        </w:rPr>
        <w:t xml:space="preserve"> </w:t>
      </w:r>
      <w:r w:rsidRPr="00604355">
        <w:rPr>
          <w:rFonts w:ascii="Times New Roman" w:hAnsi="Times New Roman" w:cs="Times New Roman"/>
          <w:b/>
          <w:sz w:val="24"/>
          <w:szCs w:val="24"/>
          <w:lang w:val="en-US"/>
        </w:rPr>
        <w:t xml:space="preserve"> </w:t>
      </w:r>
    </w:p>
    <w:tbl>
      <w:tblPr>
        <w:tblStyle w:val="TableGrid"/>
        <w:tblW w:w="0" w:type="auto"/>
        <w:tblInd w:w="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283"/>
        <w:gridCol w:w="3722"/>
        <w:gridCol w:w="2144"/>
      </w:tblGrid>
      <w:tr w:rsidR="0043249A" w:rsidRPr="00604355" w:rsidTr="00471DB7">
        <w:tc>
          <w:tcPr>
            <w:tcW w:w="1075" w:type="dxa"/>
            <w:tcBorders>
              <w:top w:val="single" w:sz="4" w:space="0" w:color="auto"/>
              <w:bottom w:val="single" w:sz="4" w:space="0" w:color="auto"/>
            </w:tcBorders>
          </w:tcPr>
          <w:p w:rsidR="0043249A" w:rsidRPr="00604355" w:rsidRDefault="0043249A" w:rsidP="00412C6C">
            <w:pPr>
              <w:pStyle w:val="ListParagraph"/>
              <w:spacing w:after="0" w:line="240" w:lineRule="auto"/>
              <w:ind w:left="0"/>
              <w:rPr>
                <w:b/>
                <w:sz w:val="24"/>
                <w:szCs w:val="24"/>
                <w:lang w:val="en-US" w:eastAsia="zh-CN"/>
              </w:rPr>
            </w:pPr>
            <w:r w:rsidRPr="00604355">
              <w:rPr>
                <w:b/>
                <w:sz w:val="24"/>
                <w:szCs w:val="24"/>
                <w:lang w:val="en-US" w:eastAsia="zh-CN"/>
              </w:rPr>
              <w:t>S/no</w:t>
            </w:r>
          </w:p>
        </w:tc>
        <w:tc>
          <w:tcPr>
            <w:tcW w:w="2283" w:type="dxa"/>
            <w:tcBorders>
              <w:top w:val="single" w:sz="4" w:space="0" w:color="auto"/>
              <w:bottom w:val="single" w:sz="4" w:space="0" w:color="auto"/>
            </w:tcBorders>
          </w:tcPr>
          <w:p w:rsidR="0043249A" w:rsidRPr="00604355" w:rsidRDefault="0043249A" w:rsidP="00412C6C">
            <w:pPr>
              <w:pStyle w:val="ListParagraph"/>
              <w:spacing w:after="0" w:line="240" w:lineRule="auto"/>
              <w:ind w:left="0"/>
              <w:rPr>
                <w:b/>
                <w:sz w:val="24"/>
                <w:szCs w:val="24"/>
                <w:lang w:val="en-US" w:eastAsia="zh-CN"/>
              </w:rPr>
            </w:pPr>
            <w:r w:rsidRPr="00604355">
              <w:rPr>
                <w:b/>
                <w:sz w:val="24"/>
                <w:szCs w:val="24"/>
                <w:lang w:val="en-US" w:eastAsia="zh-CN"/>
              </w:rPr>
              <w:t xml:space="preserve">Phytochemical </w:t>
            </w:r>
            <w:r w:rsidRPr="00604355">
              <w:rPr>
                <w:b/>
                <w:sz w:val="24"/>
                <w:szCs w:val="24"/>
              </w:rPr>
              <w:t>compo</w:t>
            </w:r>
            <w:proofErr w:type="spellStart"/>
            <w:r w:rsidRPr="00604355">
              <w:rPr>
                <w:b/>
                <w:sz w:val="24"/>
                <w:szCs w:val="24"/>
                <w:lang w:val="en-US"/>
              </w:rPr>
              <w:t>unds</w:t>
            </w:r>
            <w:proofErr w:type="spellEnd"/>
          </w:p>
        </w:tc>
        <w:tc>
          <w:tcPr>
            <w:tcW w:w="3722" w:type="dxa"/>
            <w:tcBorders>
              <w:top w:val="single" w:sz="4" w:space="0" w:color="auto"/>
              <w:bottom w:val="single" w:sz="4" w:space="0" w:color="auto"/>
            </w:tcBorders>
          </w:tcPr>
          <w:p w:rsidR="0043249A" w:rsidRPr="00604355" w:rsidRDefault="0043249A" w:rsidP="00412C6C">
            <w:pPr>
              <w:pStyle w:val="ListParagraph"/>
              <w:spacing w:after="0" w:line="240" w:lineRule="auto"/>
              <w:ind w:left="0"/>
              <w:rPr>
                <w:b/>
                <w:sz w:val="24"/>
                <w:szCs w:val="24"/>
                <w:lang w:val="en-US" w:eastAsia="zh-CN"/>
              </w:rPr>
            </w:pPr>
            <w:r w:rsidRPr="00604355">
              <w:rPr>
                <w:b/>
                <w:sz w:val="24"/>
                <w:szCs w:val="24"/>
                <w:lang w:val="en-US" w:eastAsia="zh-CN"/>
              </w:rPr>
              <w:t>Test</w:t>
            </w:r>
          </w:p>
        </w:tc>
        <w:tc>
          <w:tcPr>
            <w:tcW w:w="2144" w:type="dxa"/>
            <w:tcBorders>
              <w:top w:val="single" w:sz="4" w:space="0" w:color="auto"/>
              <w:bottom w:val="single" w:sz="4" w:space="0" w:color="auto"/>
            </w:tcBorders>
          </w:tcPr>
          <w:p w:rsidR="0043249A" w:rsidRPr="00604355" w:rsidRDefault="0043249A" w:rsidP="00412C6C">
            <w:pPr>
              <w:pStyle w:val="ListParagraph"/>
              <w:spacing w:after="0" w:line="240" w:lineRule="auto"/>
              <w:ind w:left="0"/>
              <w:rPr>
                <w:b/>
                <w:sz w:val="24"/>
                <w:szCs w:val="24"/>
                <w:lang w:val="en-US" w:eastAsia="zh-CN"/>
              </w:rPr>
            </w:pPr>
            <w:r w:rsidRPr="00604355">
              <w:rPr>
                <w:b/>
                <w:sz w:val="24"/>
                <w:szCs w:val="24"/>
                <w:lang w:val="en-US" w:eastAsia="zh-CN"/>
              </w:rPr>
              <w:t>Result</w:t>
            </w:r>
          </w:p>
        </w:tc>
      </w:tr>
      <w:tr w:rsidR="0043249A" w:rsidRPr="00604355" w:rsidTr="00471DB7">
        <w:tc>
          <w:tcPr>
            <w:tcW w:w="1075" w:type="dxa"/>
            <w:tcBorders>
              <w:top w:val="single" w:sz="4" w:space="0" w:color="auto"/>
            </w:tcBorders>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1</w:t>
            </w:r>
          </w:p>
        </w:tc>
        <w:tc>
          <w:tcPr>
            <w:tcW w:w="2283" w:type="dxa"/>
            <w:tcBorders>
              <w:top w:val="single" w:sz="4" w:space="0" w:color="auto"/>
            </w:tcBorders>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Flavonoids</w:t>
            </w:r>
          </w:p>
        </w:tc>
        <w:tc>
          <w:tcPr>
            <w:tcW w:w="3722" w:type="dxa"/>
            <w:tcBorders>
              <w:top w:val="single" w:sz="4" w:space="0" w:color="auto"/>
            </w:tcBorders>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a, Ferric chloride</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b, Alkaline </w:t>
            </w:r>
          </w:p>
        </w:tc>
        <w:tc>
          <w:tcPr>
            <w:tcW w:w="2144" w:type="dxa"/>
            <w:tcBorders>
              <w:top w:val="single" w:sz="4" w:space="0" w:color="auto"/>
            </w:tcBorders>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2</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Alkaloids</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a, </w:t>
            </w:r>
            <w:proofErr w:type="spellStart"/>
            <w:r w:rsidRPr="00604355">
              <w:rPr>
                <w:sz w:val="24"/>
                <w:szCs w:val="24"/>
                <w:lang w:val="en-US" w:eastAsia="zh-CN"/>
              </w:rPr>
              <w:t>Mayres</w:t>
            </w:r>
            <w:proofErr w:type="spellEnd"/>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lastRenderedPageBreak/>
              <w:t xml:space="preserve">b, </w:t>
            </w:r>
            <w:proofErr w:type="spellStart"/>
            <w:r w:rsidRPr="00604355">
              <w:rPr>
                <w:sz w:val="24"/>
                <w:szCs w:val="24"/>
                <w:lang w:val="en-US" w:eastAsia="zh-CN"/>
              </w:rPr>
              <w:t>Dragendrosf</w:t>
            </w:r>
            <w:proofErr w:type="spellEnd"/>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lastRenderedPageBreak/>
              <w:t>++</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lastRenderedPageBreak/>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lastRenderedPageBreak/>
              <w:t>3</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Saponins</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Frothing</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4</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Cardiac glucoside</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Keller </w:t>
            </w:r>
            <w:proofErr w:type="spellStart"/>
            <w:r w:rsidRPr="00604355">
              <w:rPr>
                <w:sz w:val="24"/>
                <w:szCs w:val="24"/>
                <w:lang w:val="en-US" w:eastAsia="zh-CN"/>
              </w:rPr>
              <w:t>kellians</w:t>
            </w:r>
            <w:proofErr w:type="spellEnd"/>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5</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Proteins</w:t>
            </w:r>
          </w:p>
        </w:tc>
        <w:tc>
          <w:tcPr>
            <w:tcW w:w="3722" w:type="dxa"/>
          </w:tcPr>
          <w:p w:rsidR="0043249A" w:rsidRPr="00604355" w:rsidRDefault="0043249A" w:rsidP="00412C6C">
            <w:pPr>
              <w:pStyle w:val="ListParagraph"/>
              <w:spacing w:after="0" w:line="240" w:lineRule="auto"/>
              <w:ind w:left="0"/>
              <w:rPr>
                <w:sz w:val="24"/>
                <w:szCs w:val="24"/>
                <w:lang w:val="en-US" w:eastAsia="zh-CN"/>
              </w:rPr>
            </w:pPr>
            <w:proofErr w:type="spellStart"/>
            <w:r w:rsidRPr="00604355">
              <w:rPr>
                <w:sz w:val="24"/>
                <w:szCs w:val="24"/>
                <w:lang w:val="en-US" w:eastAsia="zh-CN"/>
              </w:rPr>
              <w:t>Xanthoprotic</w:t>
            </w:r>
            <w:proofErr w:type="spellEnd"/>
            <w:r w:rsidRPr="00604355">
              <w:rPr>
                <w:sz w:val="24"/>
                <w:szCs w:val="24"/>
                <w:lang w:val="en-US" w:eastAsia="zh-CN"/>
              </w:rPr>
              <w:t xml:space="preserve"> </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6</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Carbohydrate</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a, </w:t>
            </w:r>
            <w:proofErr w:type="spellStart"/>
            <w:r w:rsidRPr="00604355">
              <w:rPr>
                <w:sz w:val="24"/>
                <w:szCs w:val="24"/>
                <w:lang w:val="en-US" w:eastAsia="zh-CN"/>
              </w:rPr>
              <w:t>Molish</w:t>
            </w:r>
            <w:proofErr w:type="spellEnd"/>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b, </w:t>
            </w:r>
            <w:proofErr w:type="spellStart"/>
            <w:r w:rsidRPr="00604355">
              <w:rPr>
                <w:sz w:val="24"/>
                <w:szCs w:val="24"/>
                <w:lang w:val="en-US" w:eastAsia="zh-CN"/>
              </w:rPr>
              <w:t>Fechling</w:t>
            </w:r>
            <w:proofErr w:type="spellEnd"/>
            <w:r w:rsidRPr="00604355">
              <w:rPr>
                <w:sz w:val="24"/>
                <w:szCs w:val="24"/>
                <w:lang w:val="en-US" w:eastAsia="zh-CN"/>
              </w:rPr>
              <w:t xml:space="preserve"> </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7</w:t>
            </w:r>
          </w:p>
        </w:tc>
        <w:tc>
          <w:tcPr>
            <w:tcW w:w="2283" w:type="dxa"/>
          </w:tcPr>
          <w:p w:rsidR="0043249A" w:rsidRPr="00604355" w:rsidRDefault="0043249A" w:rsidP="00412C6C">
            <w:pPr>
              <w:pStyle w:val="ListParagraph"/>
              <w:spacing w:after="0" w:line="240" w:lineRule="auto"/>
              <w:ind w:left="0"/>
              <w:rPr>
                <w:sz w:val="24"/>
                <w:szCs w:val="24"/>
                <w:lang w:val="en-US" w:eastAsia="zh-CN"/>
              </w:rPr>
            </w:pPr>
            <w:proofErr w:type="spellStart"/>
            <w:r w:rsidRPr="00604355">
              <w:rPr>
                <w:sz w:val="24"/>
                <w:szCs w:val="24"/>
                <w:lang w:val="en-US" w:eastAsia="zh-CN"/>
              </w:rPr>
              <w:t>Triterphnoid</w:t>
            </w:r>
            <w:proofErr w:type="spellEnd"/>
            <w:r w:rsidRPr="00604355">
              <w:rPr>
                <w:sz w:val="24"/>
                <w:szCs w:val="24"/>
                <w:lang w:val="en-US" w:eastAsia="zh-CN"/>
              </w:rPr>
              <w:t>/Steroids</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a, </w:t>
            </w:r>
            <w:proofErr w:type="spellStart"/>
            <w:r w:rsidRPr="00604355">
              <w:rPr>
                <w:sz w:val="24"/>
                <w:szCs w:val="24"/>
                <w:lang w:val="en-US" w:eastAsia="zh-CN"/>
              </w:rPr>
              <w:t>Salkaeestis</w:t>
            </w:r>
            <w:proofErr w:type="spellEnd"/>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b, </w:t>
            </w:r>
            <w:proofErr w:type="spellStart"/>
            <w:r w:rsidRPr="00604355">
              <w:rPr>
                <w:sz w:val="24"/>
                <w:szCs w:val="24"/>
                <w:lang w:val="en-US" w:eastAsia="zh-CN"/>
              </w:rPr>
              <w:t>Libermann</w:t>
            </w:r>
            <w:proofErr w:type="spellEnd"/>
            <w:r w:rsidRPr="00604355">
              <w:rPr>
                <w:sz w:val="24"/>
                <w:szCs w:val="24"/>
                <w:lang w:val="en-US" w:eastAsia="zh-CN"/>
              </w:rPr>
              <w:t xml:space="preserve"> Burchard</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8</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Anthraquinones</w:t>
            </w:r>
          </w:p>
        </w:tc>
        <w:tc>
          <w:tcPr>
            <w:tcW w:w="3722" w:type="dxa"/>
          </w:tcPr>
          <w:p w:rsidR="0043249A" w:rsidRPr="00604355" w:rsidRDefault="0043249A" w:rsidP="00412C6C">
            <w:pPr>
              <w:pStyle w:val="ListParagraph"/>
              <w:spacing w:after="0" w:line="240" w:lineRule="auto"/>
              <w:ind w:left="0"/>
              <w:rPr>
                <w:sz w:val="24"/>
                <w:szCs w:val="24"/>
                <w:lang w:val="en-US" w:eastAsia="zh-CN"/>
              </w:rPr>
            </w:pPr>
            <w:proofErr w:type="spellStart"/>
            <w:r w:rsidRPr="00604355">
              <w:rPr>
                <w:sz w:val="24"/>
                <w:szCs w:val="24"/>
                <w:lang w:val="en-US" w:eastAsia="zh-CN"/>
              </w:rPr>
              <w:t>Medified</w:t>
            </w:r>
            <w:proofErr w:type="spellEnd"/>
            <w:r w:rsidRPr="00604355">
              <w:rPr>
                <w:sz w:val="24"/>
                <w:szCs w:val="24"/>
                <w:lang w:val="en-US" w:eastAsia="zh-CN"/>
              </w:rPr>
              <w:t xml:space="preserve"> Bontrager</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_</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9</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Tannins</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Ferric chloride</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bl>
    <w:p w:rsidR="0043249A" w:rsidRPr="00604355" w:rsidRDefault="0043249A" w:rsidP="0043249A">
      <w:pPr>
        <w:spacing w:after="0" w:line="240" w:lineRule="auto"/>
        <w:rPr>
          <w:rFonts w:ascii="Times New Roman" w:hAnsi="Times New Roman" w:cs="Times New Roman"/>
          <w:sz w:val="24"/>
          <w:szCs w:val="24"/>
          <w:lang w:val="en-US"/>
        </w:rPr>
      </w:pPr>
      <w:r w:rsidRPr="00604355">
        <w:rPr>
          <w:rFonts w:ascii="Times New Roman" w:hAnsi="Times New Roman" w:cs="Times New Roman"/>
          <w:sz w:val="24"/>
          <w:szCs w:val="24"/>
        </w:rPr>
        <w:t>Key: + Present</w:t>
      </w:r>
      <w:r w:rsidRPr="00604355">
        <w:rPr>
          <w:rFonts w:ascii="Times New Roman" w:hAnsi="Times New Roman" w:cs="Times New Roman"/>
          <w:sz w:val="24"/>
          <w:szCs w:val="24"/>
          <w:lang w:val="en-US"/>
        </w:rPr>
        <w:t xml:space="preserve">, </w:t>
      </w:r>
      <w:r w:rsidRPr="00604355">
        <w:rPr>
          <w:rFonts w:ascii="Times New Roman" w:hAnsi="Times New Roman" w:cs="Times New Roman"/>
          <w:sz w:val="24"/>
          <w:szCs w:val="24"/>
        </w:rPr>
        <w:t>++ Higher presence</w:t>
      </w:r>
      <w:r w:rsidRPr="00604355">
        <w:rPr>
          <w:rFonts w:ascii="Times New Roman" w:hAnsi="Times New Roman" w:cs="Times New Roman"/>
          <w:sz w:val="24"/>
          <w:szCs w:val="24"/>
          <w:lang w:val="en-US"/>
        </w:rPr>
        <w:t xml:space="preserve"> and  </w:t>
      </w:r>
      <w:r w:rsidRPr="00604355">
        <w:rPr>
          <w:rFonts w:ascii="Times New Roman" w:hAnsi="Times New Roman" w:cs="Times New Roman"/>
          <w:sz w:val="24"/>
          <w:szCs w:val="24"/>
        </w:rPr>
        <w:t>- Absent</w:t>
      </w:r>
    </w:p>
    <w:p w:rsidR="0043249A" w:rsidRPr="00604355" w:rsidRDefault="005F76CB" w:rsidP="0043249A">
      <w:pPr>
        <w:pStyle w:val="ListParagraph"/>
        <w:spacing w:after="0" w:line="240" w:lineRule="auto"/>
        <w:ind w:left="0"/>
        <w:jc w:val="both"/>
        <w:rPr>
          <w:rFonts w:ascii="Times New Roman" w:eastAsia="Times New Roman" w:hAnsi="Times New Roman" w:cs="Times New Roman"/>
          <w:sz w:val="24"/>
          <w:szCs w:val="24"/>
          <w:lang w:val="en-US"/>
        </w:rPr>
      </w:pPr>
      <w:r w:rsidRPr="00604355">
        <w:rPr>
          <w:rFonts w:ascii="Times New Roman" w:hAnsi="Times New Roman" w:cs="Times New Roman"/>
          <w:b/>
          <w:sz w:val="24"/>
          <w:szCs w:val="24"/>
          <w:lang w:val="en-US"/>
        </w:rPr>
        <w:t xml:space="preserve">Table </w:t>
      </w:r>
      <w:r w:rsidR="0053772A">
        <w:rPr>
          <w:rFonts w:ascii="Times New Roman" w:hAnsi="Times New Roman" w:cs="Times New Roman"/>
          <w:b/>
          <w:sz w:val="24"/>
          <w:szCs w:val="24"/>
          <w:lang w:val="en-US"/>
        </w:rPr>
        <w:t>3</w:t>
      </w:r>
      <w:r w:rsidRPr="00604355">
        <w:rPr>
          <w:rFonts w:ascii="Times New Roman" w:hAnsi="Times New Roman" w:cs="Times New Roman"/>
          <w:b/>
          <w:sz w:val="24"/>
          <w:szCs w:val="24"/>
          <w:lang w:val="en-US"/>
        </w:rPr>
        <w:t>:</w:t>
      </w:r>
      <w:r w:rsidR="0043249A" w:rsidRPr="00604355">
        <w:rPr>
          <w:rFonts w:ascii="Times New Roman" w:hAnsi="Times New Roman" w:cs="Times New Roman"/>
          <w:b/>
          <w:sz w:val="24"/>
          <w:szCs w:val="24"/>
          <w:lang w:val="en-US"/>
        </w:rPr>
        <w:t xml:space="preserve"> </w:t>
      </w:r>
      <w:r w:rsidR="0043249A" w:rsidRPr="00604355">
        <w:rPr>
          <w:rFonts w:ascii="Times New Roman" w:eastAsia="Calibri" w:hAnsi="Times New Roman" w:cs="Times New Roman"/>
          <w:b/>
          <w:sz w:val="24"/>
          <w:szCs w:val="24"/>
          <w:lang w:eastAsia="en-GB"/>
        </w:rPr>
        <w:t xml:space="preserve">Effect of </w:t>
      </w:r>
      <w:r w:rsidR="0043249A" w:rsidRPr="00604355">
        <w:rPr>
          <w:rFonts w:ascii="Times New Roman" w:hAnsi="Times New Roman" w:cs="Times New Roman"/>
          <w:b/>
          <w:i/>
          <w:sz w:val="24"/>
          <w:szCs w:val="24"/>
          <w:lang w:val="en-US"/>
        </w:rPr>
        <w:t>Ficus capensis</w:t>
      </w:r>
      <w:r w:rsidR="00DC0C2A" w:rsidRPr="00604355">
        <w:rPr>
          <w:rFonts w:ascii="Times New Roman" w:eastAsia="Calibri" w:hAnsi="Times New Roman" w:cs="Times New Roman"/>
          <w:b/>
          <w:sz w:val="24"/>
          <w:szCs w:val="24"/>
          <w:lang w:eastAsia="en-GB"/>
        </w:rPr>
        <w:t xml:space="preserve"> </w:t>
      </w:r>
      <w:r w:rsidR="00DC0C2A" w:rsidRPr="00604355">
        <w:rPr>
          <w:rFonts w:ascii="Times New Roman" w:eastAsia="Calibri" w:hAnsi="Times New Roman" w:cs="Times New Roman"/>
          <w:b/>
          <w:sz w:val="24"/>
          <w:szCs w:val="24"/>
          <w:lang w:val="en-GB" w:eastAsia="en-GB"/>
        </w:rPr>
        <w:t>m</w:t>
      </w:r>
      <w:r w:rsidR="00DC0C2A" w:rsidRPr="00604355">
        <w:rPr>
          <w:rFonts w:ascii="Times New Roman" w:eastAsia="Calibri" w:hAnsi="Times New Roman" w:cs="Times New Roman"/>
          <w:b/>
          <w:sz w:val="24"/>
          <w:szCs w:val="24"/>
          <w:lang w:eastAsia="en-GB"/>
        </w:rPr>
        <w:t xml:space="preserve">ethanol </w:t>
      </w:r>
      <w:r w:rsidR="00DC0C2A" w:rsidRPr="00604355">
        <w:rPr>
          <w:rFonts w:ascii="Times New Roman" w:eastAsia="Calibri" w:hAnsi="Times New Roman" w:cs="Times New Roman"/>
          <w:b/>
          <w:sz w:val="24"/>
          <w:szCs w:val="24"/>
          <w:lang w:val="en-GB" w:eastAsia="en-GB"/>
        </w:rPr>
        <w:t>l</w:t>
      </w:r>
      <w:r w:rsidR="00DC0C2A" w:rsidRPr="00604355">
        <w:rPr>
          <w:rFonts w:ascii="Times New Roman" w:eastAsia="Calibri" w:hAnsi="Times New Roman" w:cs="Times New Roman"/>
          <w:b/>
          <w:sz w:val="24"/>
          <w:szCs w:val="24"/>
          <w:lang w:eastAsia="en-GB"/>
        </w:rPr>
        <w:t>ea</w:t>
      </w:r>
      <w:r w:rsidR="00DC0C2A" w:rsidRPr="00604355">
        <w:rPr>
          <w:rFonts w:ascii="Times New Roman" w:eastAsia="Calibri" w:hAnsi="Times New Roman" w:cs="Times New Roman"/>
          <w:b/>
          <w:sz w:val="24"/>
          <w:szCs w:val="24"/>
          <w:lang w:val="en-GB" w:eastAsia="en-GB"/>
        </w:rPr>
        <w:t>f</w:t>
      </w:r>
      <w:r w:rsidR="00DC0C2A" w:rsidRPr="00604355">
        <w:rPr>
          <w:rFonts w:ascii="Times New Roman" w:eastAsia="Calibri" w:hAnsi="Times New Roman" w:cs="Times New Roman"/>
          <w:b/>
          <w:sz w:val="24"/>
          <w:szCs w:val="24"/>
          <w:lang w:eastAsia="en-GB"/>
        </w:rPr>
        <w:t xml:space="preserve"> </w:t>
      </w:r>
      <w:r w:rsidR="00DC0C2A" w:rsidRPr="00604355">
        <w:rPr>
          <w:rFonts w:ascii="Times New Roman" w:eastAsia="Calibri" w:hAnsi="Times New Roman" w:cs="Times New Roman"/>
          <w:b/>
          <w:sz w:val="24"/>
          <w:szCs w:val="24"/>
          <w:lang w:val="en-GB" w:eastAsia="en-GB"/>
        </w:rPr>
        <w:t>e</w:t>
      </w:r>
      <w:r w:rsidR="00DC0C2A" w:rsidRPr="00604355">
        <w:rPr>
          <w:rFonts w:ascii="Times New Roman" w:eastAsia="Calibri" w:hAnsi="Times New Roman" w:cs="Times New Roman"/>
          <w:b/>
          <w:sz w:val="24"/>
          <w:szCs w:val="24"/>
          <w:lang w:eastAsia="en-GB"/>
        </w:rPr>
        <w:t xml:space="preserve">xtract on </w:t>
      </w:r>
      <w:r w:rsidR="00DC0C2A" w:rsidRPr="00604355">
        <w:rPr>
          <w:rFonts w:ascii="Times New Roman" w:eastAsia="Calibri" w:hAnsi="Times New Roman" w:cs="Times New Roman"/>
          <w:b/>
          <w:sz w:val="24"/>
          <w:szCs w:val="24"/>
          <w:lang w:val="en-GB" w:eastAsia="en-GB"/>
        </w:rPr>
        <w:t>t</w:t>
      </w:r>
      <w:r w:rsidR="0043249A" w:rsidRPr="00604355">
        <w:rPr>
          <w:rFonts w:ascii="Times New Roman" w:eastAsia="Calibri" w:hAnsi="Times New Roman" w:cs="Times New Roman"/>
          <w:b/>
          <w:sz w:val="24"/>
          <w:szCs w:val="24"/>
          <w:lang w:eastAsia="en-GB"/>
        </w:rPr>
        <w:t>oxicity (LD</w:t>
      </w:r>
      <w:r w:rsidR="0043249A" w:rsidRPr="00604355">
        <w:rPr>
          <w:rFonts w:ascii="Times New Roman" w:eastAsia="Calibri" w:hAnsi="Times New Roman" w:cs="Times New Roman"/>
          <w:b/>
          <w:sz w:val="24"/>
          <w:szCs w:val="24"/>
          <w:vertAlign w:val="subscript"/>
          <w:lang w:eastAsia="en-GB"/>
        </w:rPr>
        <w:t>50</w:t>
      </w:r>
      <w:r w:rsidR="00DC0C2A" w:rsidRPr="00604355">
        <w:rPr>
          <w:rFonts w:ascii="Times New Roman" w:eastAsia="Calibri" w:hAnsi="Times New Roman" w:cs="Times New Roman"/>
          <w:b/>
          <w:sz w:val="24"/>
          <w:szCs w:val="24"/>
          <w:lang w:eastAsia="en-GB"/>
        </w:rPr>
        <w:t xml:space="preserve">) in </w:t>
      </w:r>
      <w:r w:rsidR="00DC0C2A" w:rsidRPr="00604355">
        <w:rPr>
          <w:rFonts w:ascii="Times New Roman" w:eastAsia="Calibri" w:hAnsi="Times New Roman" w:cs="Times New Roman"/>
          <w:b/>
          <w:sz w:val="24"/>
          <w:szCs w:val="24"/>
          <w:lang w:val="en-GB" w:eastAsia="en-GB"/>
        </w:rPr>
        <w:t>w</w:t>
      </w:r>
      <w:r w:rsidR="00DC0C2A" w:rsidRPr="00604355">
        <w:rPr>
          <w:rFonts w:ascii="Times New Roman" w:eastAsia="Calibri" w:hAnsi="Times New Roman" w:cs="Times New Roman"/>
          <w:b/>
          <w:sz w:val="24"/>
          <w:szCs w:val="24"/>
          <w:lang w:eastAsia="en-GB"/>
        </w:rPr>
        <w:t xml:space="preserve">istar </w:t>
      </w:r>
      <w:r w:rsidR="00DC0C2A" w:rsidRPr="00604355">
        <w:rPr>
          <w:rFonts w:ascii="Times New Roman" w:eastAsia="Calibri" w:hAnsi="Times New Roman" w:cs="Times New Roman"/>
          <w:b/>
          <w:sz w:val="24"/>
          <w:szCs w:val="24"/>
          <w:lang w:val="en-GB" w:eastAsia="en-GB"/>
        </w:rPr>
        <w:t>r</w:t>
      </w:r>
      <w:r w:rsidR="0043249A" w:rsidRPr="00604355">
        <w:rPr>
          <w:rFonts w:ascii="Times New Roman" w:eastAsia="Calibri" w:hAnsi="Times New Roman" w:cs="Times New Roman"/>
          <w:b/>
          <w:sz w:val="24"/>
          <w:szCs w:val="24"/>
          <w:lang w:eastAsia="en-GB"/>
        </w:rPr>
        <w:t>ats</w:t>
      </w:r>
    </w:p>
    <w:tbl>
      <w:tblPr>
        <w:tblStyle w:val="LightShading1"/>
        <w:tblW w:w="0" w:type="auto"/>
        <w:tblLook w:val="04A0" w:firstRow="1" w:lastRow="0" w:firstColumn="1" w:lastColumn="0" w:noHBand="0" w:noVBand="1"/>
      </w:tblPr>
      <w:tblGrid>
        <w:gridCol w:w="2304"/>
        <w:gridCol w:w="2313"/>
        <w:gridCol w:w="2312"/>
        <w:gridCol w:w="2313"/>
      </w:tblGrid>
      <w:tr w:rsidR="0043249A" w:rsidRPr="00604355" w:rsidTr="0041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Cs w:val="0"/>
                <w:color w:val="auto"/>
                <w:sz w:val="24"/>
                <w:szCs w:val="24"/>
              </w:rPr>
            </w:pPr>
            <w:r w:rsidRPr="00604355">
              <w:rPr>
                <w:bCs w:val="0"/>
                <w:color w:val="auto"/>
                <w:sz w:val="24"/>
                <w:szCs w:val="24"/>
              </w:rPr>
              <w:t>S/N</w:t>
            </w:r>
          </w:p>
        </w:tc>
        <w:tc>
          <w:tcPr>
            <w:tcW w:w="2333" w:type="dxa"/>
          </w:tcPr>
          <w:p w:rsidR="0043249A" w:rsidRPr="00604355" w:rsidRDefault="0043249A" w:rsidP="00412C6C">
            <w:pPr>
              <w:spacing w:after="0" w:line="240" w:lineRule="auto"/>
              <w:jc w:val="both"/>
              <w:cnfStyle w:val="100000000000" w:firstRow="1" w:lastRow="0" w:firstColumn="0" w:lastColumn="0" w:oddVBand="0" w:evenVBand="0" w:oddHBand="0" w:evenHBand="0" w:firstRowFirstColumn="0" w:firstRowLastColumn="0" w:lastRowFirstColumn="0" w:lastRowLastColumn="0"/>
              <w:rPr>
                <w:bCs w:val="0"/>
                <w:color w:val="auto"/>
                <w:sz w:val="24"/>
                <w:szCs w:val="24"/>
              </w:rPr>
            </w:pPr>
            <w:r w:rsidRPr="00604355">
              <w:rPr>
                <w:bCs w:val="0"/>
                <w:color w:val="auto"/>
                <w:sz w:val="24"/>
                <w:szCs w:val="24"/>
              </w:rPr>
              <w:t>DOSE (mg/kg) bw</w:t>
            </w:r>
          </w:p>
        </w:tc>
        <w:tc>
          <w:tcPr>
            <w:tcW w:w="4666" w:type="dxa"/>
            <w:gridSpan w:val="2"/>
          </w:tcPr>
          <w:p w:rsidR="0043249A" w:rsidRPr="00604355" w:rsidRDefault="0043249A" w:rsidP="00412C6C">
            <w:pPr>
              <w:spacing w:after="0" w:line="240" w:lineRule="auto"/>
              <w:jc w:val="both"/>
              <w:cnfStyle w:val="100000000000" w:firstRow="1" w:lastRow="0" w:firstColumn="0" w:lastColumn="0" w:oddVBand="0" w:evenVBand="0" w:oddHBand="0" w:evenHBand="0" w:firstRowFirstColumn="0" w:firstRowLastColumn="0" w:lastRowFirstColumn="0" w:lastRowLastColumn="0"/>
              <w:rPr>
                <w:bCs w:val="0"/>
                <w:color w:val="auto"/>
                <w:sz w:val="24"/>
                <w:szCs w:val="24"/>
              </w:rPr>
            </w:pPr>
            <w:r w:rsidRPr="00604355">
              <w:rPr>
                <w:bCs w:val="0"/>
                <w:color w:val="auto"/>
                <w:sz w:val="24"/>
                <w:szCs w:val="24"/>
              </w:rPr>
              <w:t xml:space="preserve">                 OBSERVATION</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First phase (n=3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Second</w:t>
            </w:r>
            <w:r w:rsidRPr="00604355">
              <w:rPr>
                <w:bCs/>
                <w:color w:val="auto"/>
                <w:sz w:val="24"/>
                <w:szCs w:val="24"/>
                <w:lang w:val="en-US"/>
              </w:rPr>
              <w:t xml:space="preserve"> </w:t>
            </w:r>
            <w:r w:rsidRPr="00604355">
              <w:rPr>
                <w:bCs/>
                <w:color w:val="auto"/>
                <w:sz w:val="24"/>
                <w:szCs w:val="24"/>
              </w:rPr>
              <w:t>phase (n=1)</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1</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10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2</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100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1000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4</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1600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0/1</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5</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2900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0/1</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6</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5000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0/1</w:t>
            </w:r>
          </w:p>
        </w:tc>
      </w:tr>
    </w:tbl>
    <w:p w:rsidR="0043249A" w:rsidRPr="00604355" w:rsidRDefault="0043249A" w:rsidP="0043249A">
      <w:pPr>
        <w:spacing w:after="0" w:line="240" w:lineRule="auto"/>
        <w:jc w:val="both"/>
        <w:rPr>
          <w:rFonts w:ascii="Times New Roman" w:hAnsi="Times New Roman" w:cs="Times New Roman"/>
          <w:bCs/>
          <w:sz w:val="24"/>
          <w:szCs w:val="24"/>
          <w:lang w:val="en-GB"/>
        </w:rPr>
      </w:pPr>
    </w:p>
    <w:p w:rsidR="0043249A" w:rsidRPr="00604355" w:rsidRDefault="0043249A" w:rsidP="0043249A">
      <w:pPr>
        <w:spacing w:after="0" w:line="240" w:lineRule="auto"/>
        <w:jc w:val="both"/>
        <w:rPr>
          <w:rFonts w:ascii="Times New Roman" w:hAnsi="Times New Roman" w:cs="Times New Roman"/>
          <w:bCs/>
          <w:sz w:val="24"/>
          <w:szCs w:val="24"/>
          <w:lang w:val="en-US"/>
        </w:rPr>
      </w:pPr>
      <w:r w:rsidRPr="00604355">
        <w:rPr>
          <w:rFonts w:ascii="Times New Roman" w:hAnsi="Times New Roman" w:cs="Times New Roman"/>
          <w:sz w:val="24"/>
          <w:szCs w:val="24"/>
        </w:rPr>
        <w:t xml:space="preserve">There was no mortality after the oral administration of the </w:t>
      </w:r>
      <w:r w:rsidRPr="00604355">
        <w:rPr>
          <w:rFonts w:ascii="Times New Roman" w:hAnsi="Times New Roman" w:cs="Times New Roman"/>
          <w:sz w:val="24"/>
          <w:szCs w:val="24"/>
          <w:lang w:val="en-US"/>
        </w:rPr>
        <w:t>m</w:t>
      </w:r>
      <w:r w:rsidRPr="00604355">
        <w:rPr>
          <w:rFonts w:ascii="Times New Roman" w:hAnsi="Times New Roman" w:cs="Times New Roman"/>
          <w:sz w:val="24"/>
          <w:szCs w:val="24"/>
        </w:rPr>
        <w:t xml:space="preserve">ethanol leaf extract of </w:t>
      </w:r>
      <w:r w:rsidRPr="00604355">
        <w:rPr>
          <w:rFonts w:ascii="Times New Roman" w:hAnsi="Times New Roman" w:cs="Times New Roman"/>
          <w:i/>
          <w:sz w:val="24"/>
          <w:szCs w:val="24"/>
        </w:rPr>
        <w:t>F. capensis</w:t>
      </w:r>
      <w:r w:rsidRPr="00604355">
        <w:rPr>
          <w:rFonts w:ascii="Times New Roman" w:hAnsi="Times New Roman" w:cs="Times New Roman"/>
          <w:sz w:val="24"/>
          <w:szCs w:val="24"/>
        </w:rPr>
        <w:t xml:space="preserve"> up to 5000 mg/kg</w:t>
      </w:r>
      <w:r w:rsidRPr="00604355">
        <w:rPr>
          <w:rFonts w:ascii="Times New Roman" w:hAnsi="Times New Roman" w:cs="Times New Roman"/>
          <w:sz w:val="24"/>
          <w:szCs w:val="24"/>
          <w:lang w:val="en-US"/>
        </w:rPr>
        <w:t xml:space="preserve"> .</w:t>
      </w:r>
      <w:r w:rsidRPr="00604355">
        <w:rPr>
          <w:rFonts w:ascii="Times New Roman" w:hAnsi="Times New Roman" w:cs="Times New Roman"/>
          <w:sz w:val="24"/>
          <w:szCs w:val="24"/>
          <w:lang w:val="en-US" w:eastAsia="zh-CN"/>
        </w:rPr>
        <w:t xml:space="preserve"> From the finding of this study the methanolic extract of Ficus capensis leaves possess no toxic effect even at a dose 5000mg/kg per body weight (</w:t>
      </w:r>
      <w:r w:rsidRPr="00604355">
        <w:rPr>
          <w:rFonts w:ascii="Times New Roman" w:hAnsi="Times New Roman" w:cs="Times New Roman"/>
          <w:bCs/>
          <w:sz w:val="24"/>
          <w:szCs w:val="24"/>
          <w:lang w:val="en-GB"/>
        </w:rPr>
        <w:t xml:space="preserve"> Acute toxicity ( </w:t>
      </w:r>
      <w:r w:rsidRPr="00604355">
        <w:rPr>
          <w:rFonts w:ascii="Times New Roman" w:hAnsi="Times New Roman" w:cs="Times New Roman"/>
          <w:bCs/>
          <w:sz w:val="24"/>
          <w:szCs w:val="24"/>
        </w:rPr>
        <w:t>LD</w:t>
      </w:r>
      <w:r w:rsidRPr="00604355">
        <w:rPr>
          <w:rFonts w:ascii="Times New Roman" w:hAnsi="Times New Roman" w:cs="Times New Roman"/>
          <w:bCs/>
          <w:sz w:val="24"/>
          <w:szCs w:val="24"/>
          <w:vertAlign w:val="subscript"/>
        </w:rPr>
        <w:t xml:space="preserve">50 </w:t>
      </w:r>
      <w:r w:rsidRPr="00604355">
        <w:rPr>
          <w:rFonts w:ascii="Times New Roman" w:hAnsi="Times New Roman" w:cs="Times New Roman"/>
          <w:bCs/>
          <w:sz w:val="24"/>
          <w:szCs w:val="24"/>
          <w:lang w:val="en-GB"/>
        </w:rPr>
        <w:t xml:space="preserve">) study after 24 hours was </w:t>
      </w:r>
      <w:r w:rsidRPr="00604355">
        <w:rPr>
          <w:rFonts w:ascii="Times New Roman" w:eastAsia="Calibri" w:hAnsi="Times New Roman" w:cs="Times New Roman"/>
          <w:b/>
          <w:sz w:val="24"/>
          <w:szCs w:val="24"/>
          <w:lang w:eastAsia="en-GB"/>
        </w:rPr>
        <w:t xml:space="preserve"> </w:t>
      </w:r>
      <w:r w:rsidRPr="00604355">
        <w:rPr>
          <w:rFonts w:ascii="Times New Roman" w:hAnsi="Times New Roman" w:cs="Times New Roman"/>
          <w:bCs/>
          <w:sz w:val="24"/>
          <w:szCs w:val="24"/>
        </w:rPr>
        <w:t>&gt; 5000 mg/kg body weight</w:t>
      </w:r>
      <w:r w:rsidRPr="00604355">
        <w:rPr>
          <w:rFonts w:ascii="Times New Roman" w:hAnsi="Times New Roman" w:cs="Times New Roman"/>
          <w:bCs/>
          <w:sz w:val="24"/>
          <w:szCs w:val="24"/>
          <w:lang w:val="en-US"/>
        </w:rPr>
        <w:t>).</w:t>
      </w:r>
    </w:p>
    <w:p w:rsidR="0043249A" w:rsidRPr="00604355" w:rsidRDefault="0043249A" w:rsidP="0043249A">
      <w:pPr>
        <w:spacing w:after="0" w:line="240" w:lineRule="auto"/>
        <w:jc w:val="both"/>
        <w:rPr>
          <w:rFonts w:ascii="Times New Roman" w:hAnsi="Times New Roman" w:cs="Times New Roman"/>
          <w:bCs/>
          <w:sz w:val="24"/>
          <w:szCs w:val="24"/>
          <w:lang w:val="en-US"/>
        </w:rPr>
      </w:pPr>
      <w:r w:rsidRPr="00604355">
        <w:rPr>
          <w:rFonts w:ascii="Times New Roman" w:hAnsi="Times New Roman" w:cs="Times New Roman"/>
          <w:bCs/>
          <w:sz w:val="24"/>
          <w:szCs w:val="24"/>
          <w:lang w:val="en-GB"/>
        </w:rPr>
        <w:t>Key: 0: No mortality; n: Number</w:t>
      </w:r>
      <w:r w:rsidRPr="00604355">
        <w:rPr>
          <w:rFonts w:ascii="Times New Roman" w:hAnsi="Times New Roman" w:cs="Times New Roman"/>
          <w:bCs/>
          <w:sz w:val="24"/>
          <w:szCs w:val="24"/>
          <w:lang w:val="en-US"/>
        </w:rPr>
        <w:t>.</w:t>
      </w:r>
    </w:p>
    <w:p w:rsidR="00287BFD" w:rsidRPr="00604355" w:rsidRDefault="00287BFD" w:rsidP="0043249A">
      <w:pPr>
        <w:spacing w:after="0" w:line="240" w:lineRule="auto"/>
        <w:jc w:val="both"/>
        <w:rPr>
          <w:rFonts w:ascii="Times New Roman" w:hAnsi="Times New Roman" w:cs="Times New Roman"/>
          <w:bCs/>
          <w:sz w:val="24"/>
          <w:szCs w:val="24"/>
          <w:lang w:val="en-US"/>
        </w:rPr>
      </w:pPr>
    </w:p>
    <w:p w:rsidR="00374464" w:rsidRPr="00604355" w:rsidRDefault="00C80C7C" w:rsidP="00287BFD">
      <w:pPr>
        <w:spacing w:after="0" w:line="276" w:lineRule="auto"/>
        <w:rPr>
          <w:rFonts w:ascii="Times New Roman" w:hAnsi="Times New Roman" w:cs="Times New Roman"/>
          <w:b/>
          <w:color w:val="000000" w:themeColor="text1"/>
          <w:sz w:val="24"/>
          <w:szCs w:val="24"/>
        </w:rPr>
      </w:pPr>
      <w:r w:rsidRPr="00604355">
        <w:rPr>
          <w:rFonts w:ascii="Times New Roman" w:hAnsi="Times New Roman" w:cs="Times New Roman"/>
          <w:b/>
          <w:color w:val="000000" w:themeColor="text1"/>
          <w:sz w:val="24"/>
          <w:szCs w:val="24"/>
        </w:rPr>
        <w:t xml:space="preserve">Table </w:t>
      </w:r>
      <w:r w:rsidR="0053772A">
        <w:rPr>
          <w:rFonts w:ascii="Times New Roman" w:hAnsi="Times New Roman" w:cs="Times New Roman"/>
          <w:b/>
          <w:color w:val="000000" w:themeColor="text1"/>
          <w:sz w:val="24"/>
          <w:szCs w:val="24"/>
          <w:lang w:val="en-GB"/>
        </w:rPr>
        <w:t>4</w:t>
      </w:r>
      <w:r w:rsidR="00AE29A6" w:rsidRPr="00604355">
        <w:rPr>
          <w:rFonts w:ascii="Times New Roman" w:hAnsi="Times New Roman" w:cs="Times New Roman"/>
          <w:b/>
          <w:color w:val="000000" w:themeColor="text1"/>
          <w:sz w:val="24"/>
          <w:szCs w:val="24"/>
          <w:lang w:val="en-US"/>
        </w:rPr>
        <w:t xml:space="preserve">: </w:t>
      </w:r>
      <w:r w:rsidR="00DC0C2A" w:rsidRPr="00604355">
        <w:rPr>
          <w:rFonts w:ascii="Times New Roman" w:eastAsia="Calibri" w:hAnsi="Times New Roman" w:cs="Times New Roman"/>
          <w:b/>
          <w:sz w:val="24"/>
          <w:szCs w:val="24"/>
          <w:lang w:eastAsia="en-GB"/>
        </w:rPr>
        <w:t xml:space="preserve">Effect of </w:t>
      </w:r>
      <w:r w:rsidR="00DC0C2A" w:rsidRPr="00604355">
        <w:rPr>
          <w:rFonts w:ascii="Times New Roman" w:hAnsi="Times New Roman" w:cs="Times New Roman"/>
          <w:b/>
          <w:i/>
          <w:sz w:val="24"/>
          <w:szCs w:val="24"/>
          <w:lang w:val="en-US"/>
        </w:rPr>
        <w:t>Ficus capensis</w:t>
      </w:r>
      <w:r w:rsidR="00DC0C2A" w:rsidRPr="00604355">
        <w:rPr>
          <w:rFonts w:ascii="Times New Roman" w:eastAsia="Calibri" w:hAnsi="Times New Roman" w:cs="Times New Roman"/>
          <w:b/>
          <w:sz w:val="24"/>
          <w:szCs w:val="24"/>
          <w:lang w:eastAsia="en-GB"/>
        </w:rPr>
        <w:t xml:space="preserve"> </w:t>
      </w:r>
      <w:r w:rsidR="00DC0C2A" w:rsidRPr="00604355">
        <w:rPr>
          <w:rFonts w:ascii="Times New Roman" w:eastAsia="Calibri" w:hAnsi="Times New Roman" w:cs="Times New Roman"/>
          <w:b/>
          <w:sz w:val="24"/>
          <w:szCs w:val="24"/>
          <w:lang w:val="en-GB" w:eastAsia="en-GB"/>
        </w:rPr>
        <w:t>m</w:t>
      </w:r>
      <w:r w:rsidR="00DC0C2A" w:rsidRPr="00604355">
        <w:rPr>
          <w:rFonts w:ascii="Times New Roman" w:eastAsia="Calibri" w:hAnsi="Times New Roman" w:cs="Times New Roman"/>
          <w:b/>
          <w:sz w:val="24"/>
          <w:szCs w:val="24"/>
          <w:lang w:eastAsia="en-GB"/>
        </w:rPr>
        <w:t xml:space="preserve">ethanol </w:t>
      </w:r>
      <w:r w:rsidR="00DC0C2A" w:rsidRPr="00604355">
        <w:rPr>
          <w:rFonts w:ascii="Times New Roman" w:eastAsia="Calibri" w:hAnsi="Times New Roman" w:cs="Times New Roman"/>
          <w:b/>
          <w:sz w:val="24"/>
          <w:szCs w:val="24"/>
          <w:lang w:val="en-GB" w:eastAsia="en-GB"/>
        </w:rPr>
        <w:t>l</w:t>
      </w:r>
      <w:r w:rsidR="00DC0C2A" w:rsidRPr="00604355">
        <w:rPr>
          <w:rFonts w:ascii="Times New Roman" w:eastAsia="Calibri" w:hAnsi="Times New Roman" w:cs="Times New Roman"/>
          <w:b/>
          <w:sz w:val="24"/>
          <w:szCs w:val="24"/>
          <w:lang w:eastAsia="en-GB"/>
        </w:rPr>
        <w:t>ea</w:t>
      </w:r>
      <w:r w:rsidR="00DC0C2A" w:rsidRPr="00604355">
        <w:rPr>
          <w:rFonts w:ascii="Times New Roman" w:eastAsia="Calibri" w:hAnsi="Times New Roman" w:cs="Times New Roman"/>
          <w:b/>
          <w:sz w:val="24"/>
          <w:szCs w:val="24"/>
          <w:lang w:val="en-GB" w:eastAsia="en-GB"/>
        </w:rPr>
        <w:t>f</w:t>
      </w:r>
      <w:r w:rsidR="00DC0C2A" w:rsidRPr="00604355">
        <w:rPr>
          <w:rFonts w:ascii="Times New Roman" w:eastAsia="Calibri" w:hAnsi="Times New Roman" w:cs="Times New Roman"/>
          <w:b/>
          <w:sz w:val="24"/>
          <w:szCs w:val="24"/>
          <w:lang w:eastAsia="en-GB"/>
        </w:rPr>
        <w:t xml:space="preserve"> </w:t>
      </w:r>
      <w:r w:rsidR="00DC0C2A" w:rsidRPr="00604355">
        <w:rPr>
          <w:rFonts w:ascii="Times New Roman" w:eastAsia="Calibri" w:hAnsi="Times New Roman" w:cs="Times New Roman"/>
          <w:b/>
          <w:sz w:val="24"/>
          <w:szCs w:val="24"/>
          <w:lang w:val="en-GB" w:eastAsia="en-GB"/>
        </w:rPr>
        <w:t>e</w:t>
      </w:r>
      <w:r w:rsidR="00DC0C2A" w:rsidRPr="00604355">
        <w:rPr>
          <w:rFonts w:ascii="Times New Roman" w:eastAsia="Calibri" w:hAnsi="Times New Roman" w:cs="Times New Roman"/>
          <w:b/>
          <w:sz w:val="24"/>
          <w:szCs w:val="24"/>
          <w:lang w:eastAsia="en-GB"/>
        </w:rPr>
        <w:t xml:space="preserve">xtract on </w:t>
      </w:r>
      <w:r w:rsidR="00DC0C2A" w:rsidRPr="00604355">
        <w:rPr>
          <w:rFonts w:ascii="Times New Roman" w:hAnsi="Times New Roman" w:cs="Times New Roman"/>
          <w:b/>
          <w:color w:val="000000" w:themeColor="text1"/>
          <w:sz w:val="24"/>
          <w:szCs w:val="24"/>
          <w:lang w:val="en-GB"/>
        </w:rPr>
        <w:t>b</w:t>
      </w:r>
      <w:r w:rsidR="00374464" w:rsidRPr="00604355">
        <w:rPr>
          <w:rFonts w:ascii="Times New Roman" w:hAnsi="Times New Roman" w:cs="Times New Roman"/>
          <w:b/>
          <w:color w:val="000000" w:themeColor="text1"/>
          <w:sz w:val="24"/>
          <w:szCs w:val="24"/>
        </w:rPr>
        <w:t>odyweight in phenyl-hdrazine induced iron deficiency anaemic wistar rat.</w:t>
      </w:r>
    </w:p>
    <w:tbl>
      <w:tblPr>
        <w:tblStyle w:val="LightShading2"/>
        <w:tblW w:w="9198" w:type="dxa"/>
        <w:tblLayout w:type="fixed"/>
        <w:tblLook w:val="07A0" w:firstRow="1" w:lastRow="0" w:firstColumn="1" w:lastColumn="1" w:noHBand="1" w:noVBand="1"/>
      </w:tblPr>
      <w:tblGrid>
        <w:gridCol w:w="2694"/>
        <w:gridCol w:w="425"/>
        <w:gridCol w:w="2029"/>
        <w:gridCol w:w="1980"/>
        <w:gridCol w:w="2070"/>
      </w:tblGrid>
      <w:tr w:rsidR="00374464" w:rsidRPr="00604355" w:rsidTr="00AE2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tabs>
                <w:tab w:val="left" w:pos="1290"/>
              </w:tabs>
              <w:spacing w:after="0" w:line="240" w:lineRule="auto"/>
              <w:rPr>
                <w:color w:val="000000" w:themeColor="text1"/>
                <w:sz w:val="24"/>
                <w:szCs w:val="24"/>
              </w:rPr>
            </w:pPr>
            <w:r w:rsidRPr="00604355">
              <w:rPr>
                <w:color w:val="000000" w:themeColor="text1"/>
                <w:sz w:val="24"/>
                <w:szCs w:val="24"/>
              </w:rPr>
              <w:t xml:space="preserve">Groups </w:t>
            </w:r>
            <w:r w:rsidRPr="00604355">
              <w:rPr>
                <w:color w:val="000000" w:themeColor="text1"/>
                <w:sz w:val="24"/>
                <w:szCs w:val="24"/>
              </w:rPr>
              <w:tab/>
            </w:r>
          </w:p>
        </w:tc>
        <w:tc>
          <w:tcPr>
            <w:tcW w:w="425" w:type="dxa"/>
          </w:tcPr>
          <w:p w:rsidR="00374464" w:rsidRPr="00604355" w:rsidRDefault="00374464" w:rsidP="00720B3B">
            <w:pPr>
              <w:spacing w:after="0" w:line="240"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n</w:t>
            </w:r>
          </w:p>
        </w:tc>
        <w:tc>
          <w:tcPr>
            <w:tcW w:w="2029" w:type="dxa"/>
          </w:tcPr>
          <w:p w:rsidR="00374464" w:rsidRPr="00604355" w:rsidRDefault="00374464" w:rsidP="00720B3B">
            <w:pPr>
              <w:spacing w:after="0" w:line="240"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Inital wgt</w:t>
            </w:r>
          </w:p>
        </w:tc>
        <w:tc>
          <w:tcPr>
            <w:tcW w:w="1980" w:type="dxa"/>
          </w:tcPr>
          <w:p w:rsidR="00374464" w:rsidRPr="00604355" w:rsidRDefault="00374464" w:rsidP="00720B3B">
            <w:pPr>
              <w:spacing w:after="0" w:line="240"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Aft Ind wgt</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rPr>
                <w:color w:val="000000" w:themeColor="text1"/>
                <w:sz w:val="24"/>
                <w:szCs w:val="24"/>
              </w:rPr>
            </w:pPr>
            <w:r w:rsidRPr="00604355">
              <w:rPr>
                <w:color w:val="000000" w:themeColor="text1"/>
                <w:sz w:val="24"/>
                <w:szCs w:val="24"/>
              </w:rPr>
              <w:t>Final wgt</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Negative Control</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142.40±5.609</w:t>
            </w:r>
            <w:r w:rsidRPr="00604355">
              <w:rPr>
                <w:color w:val="000000" w:themeColor="text1"/>
                <w:sz w:val="24"/>
                <w:szCs w:val="24"/>
                <w:vertAlign w:val="superscript"/>
              </w:rPr>
              <w:t>a</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155.40±6.06</w:t>
            </w:r>
            <w:r w:rsidRPr="00604355">
              <w:rPr>
                <w:color w:val="000000" w:themeColor="text1"/>
                <w:sz w:val="24"/>
                <w:szCs w:val="24"/>
                <w:vertAlign w:val="superscript"/>
              </w:rPr>
              <w:t>a</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176.60±4.99</w:t>
            </w:r>
            <w:r w:rsidRPr="00604355">
              <w:rPr>
                <w:b w:val="0"/>
                <w:color w:val="000000" w:themeColor="text1"/>
                <w:sz w:val="24"/>
                <w:szCs w:val="24"/>
                <w:vertAlign w:val="superscript"/>
              </w:rPr>
              <w:t>a</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Positive Control</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132.40±3.71</w:t>
            </w:r>
            <w:r w:rsidRPr="00604355">
              <w:rPr>
                <w:color w:val="000000" w:themeColor="text1"/>
                <w:sz w:val="24"/>
                <w:szCs w:val="24"/>
                <w:vertAlign w:val="superscript"/>
              </w:rPr>
              <w:t>bd</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139.60±3.52</w:t>
            </w:r>
            <w:r w:rsidRPr="00604355">
              <w:rPr>
                <w:color w:val="000000" w:themeColor="text1"/>
                <w:sz w:val="24"/>
                <w:szCs w:val="24"/>
                <w:vertAlign w:val="superscript"/>
              </w:rPr>
              <w:t>b</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147.80±8.48</w:t>
            </w:r>
            <w:r w:rsidRPr="00604355">
              <w:rPr>
                <w:b w:val="0"/>
                <w:color w:val="000000" w:themeColor="text1"/>
                <w:sz w:val="24"/>
                <w:szCs w:val="24"/>
                <w:vertAlign w:val="superscript"/>
              </w:rPr>
              <w:t>b</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Standard Drug</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137.60±3.40</w:t>
            </w:r>
            <w:r w:rsidRPr="00604355">
              <w:rPr>
                <w:color w:val="000000" w:themeColor="text1"/>
                <w:sz w:val="24"/>
                <w:szCs w:val="24"/>
                <w:vertAlign w:val="superscript"/>
              </w:rPr>
              <w:t>b</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144.80±7.49</w:t>
            </w:r>
            <w:r w:rsidRPr="00604355">
              <w:rPr>
                <w:color w:val="000000" w:themeColor="text1"/>
                <w:sz w:val="24"/>
                <w:szCs w:val="24"/>
                <w:vertAlign w:val="superscript"/>
              </w:rPr>
              <w:t>c</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157.80±7.24</w:t>
            </w:r>
            <w:r w:rsidRPr="00604355">
              <w:rPr>
                <w:b w:val="0"/>
                <w:color w:val="000000" w:themeColor="text1"/>
                <w:sz w:val="24"/>
                <w:szCs w:val="24"/>
                <w:vertAlign w:val="superscript"/>
              </w:rPr>
              <w:t>c</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Low Dose Extract</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118.20±5.10</w:t>
            </w:r>
            <w:r w:rsidRPr="00604355">
              <w:rPr>
                <w:color w:val="000000" w:themeColor="text1"/>
                <w:sz w:val="24"/>
                <w:szCs w:val="24"/>
                <w:vertAlign w:val="superscript"/>
              </w:rPr>
              <w:t>c</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127.60±6.19</w:t>
            </w:r>
            <w:r w:rsidRPr="00604355">
              <w:rPr>
                <w:color w:val="000000" w:themeColor="text1"/>
                <w:sz w:val="24"/>
                <w:szCs w:val="24"/>
                <w:vertAlign w:val="superscript"/>
              </w:rPr>
              <w:t>d</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150.00±3.69</w:t>
            </w:r>
            <w:r w:rsidRPr="00604355">
              <w:rPr>
                <w:b w:val="0"/>
                <w:color w:val="000000" w:themeColor="text1"/>
                <w:sz w:val="24"/>
                <w:szCs w:val="24"/>
                <w:vertAlign w:val="superscript"/>
              </w:rPr>
              <w:t>bc</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Medium Dose Extract</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128.20±3.12</w:t>
            </w:r>
            <w:r w:rsidRPr="00604355">
              <w:rPr>
                <w:color w:val="000000" w:themeColor="text1"/>
                <w:sz w:val="24"/>
                <w:szCs w:val="24"/>
                <w:vertAlign w:val="superscript"/>
              </w:rPr>
              <w:t>d</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137.40±3.23</w:t>
            </w:r>
            <w:r w:rsidRPr="00604355">
              <w:rPr>
                <w:color w:val="000000" w:themeColor="text1"/>
                <w:sz w:val="24"/>
                <w:szCs w:val="24"/>
                <w:vertAlign w:val="superscript"/>
              </w:rPr>
              <w:t>e</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168.60±6.16</w:t>
            </w:r>
            <w:r w:rsidRPr="00604355">
              <w:rPr>
                <w:b w:val="0"/>
                <w:color w:val="000000" w:themeColor="text1"/>
                <w:sz w:val="24"/>
                <w:szCs w:val="24"/>
                <w:vertAlign w:val="superscript"/>
              </w:rPr>
              <w:t>d</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High Dose Extract</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120.40±4.89</w:t>
            </w:r>
            <w:r w:rsidRPr="00604355">
              <w:rPr>
                <w:color w:val="000000" w:themeColor="text1"/>
                <w:sz w:val="24"/>
                <w:szCs w:val="24"/>
                <w:vertAlign w:val="superscript"/>
              </w:rPr>
              <w:t>c</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125.80±5.39</w:t>
            </w:r>
            <w:r w:rsidRPr="00604355">
              <w:rPr>
                <w:color w:val="000000" w:themeColor="text1"/>
                <w:sz w:val="24"/>
                <w:szCs w:val="24"/>
                <w:vertAlign w:val="superscript"/>
              </w:rPr>
              <w:t>de</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150.60±4.48</w:t>
            </w:r>
            <w:r w:rsidRPr="00604355">
              <w:rPr>
                <w:b w:val="0"/>
                <w:color w:val="000000" w:themeColor="text1"/>
                <w:sz w:val="24"/>
                <w:szCs w:val="24"/>
                <w:vertAlign w:val="superscript"/>
              </w:rPr>
              <w:t>bc</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proofErr w:type="spellStart"/>
            <w:r w:rsidRPr="00604355">
              <w:rPr>
                <w:b w:val="0"/>
                <w:color w:val="000000" w:themeColor="text1"/>
                <w:sz w:val="24"/>
                <w:szCs w:val="24"/>
                <w:lang w:val="en-US"/>
              </w:rPr>
              <w:t>Extract+Ferrous</w:t>
            </w:r>
            <w:proofErr w:type="spellEnd"/>
            <w:r w:rsidRPr="00604355">
              <w:rPr>
                <w:b w:val="0"/>
                <w:color w:val="000000" w:themeColor="text1"/>
                <w:sz w:val="24"/>
                <w:szCs w:val="24"/>
                <w:lang w:val="en-US"/>
              </w:rPr>
              <w:t xml:space="preserve"> Sulfate</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123.20±9.22</w:t>
            </w:r>
            <w:r w:rsidRPr="00604355">
              <w:rPr>
                <w:color w:val="000000" w:themeColor="text1"/>
                <w:sz w:val="24"/>
                <w:szCs w:val="24"/>
                <w:vertAlign w:val="superscript"/>
              </w:rPr>
              <w:t>ec</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121.40±11.86</w:t>
            </w:r>
            <w:r w:rsidRPr="00604355">
              <w:rPr>
                <w:color w:val="000000" w:themeColor="text1"/>
                <w:sz w:val="24"/>
                <w:szCs w:val="24"/>
                <w:vertAlign w:val="superscript"/>
              </w:rPr>
              <w:t>e</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141.20±11.0</w:t>
            </w:r>
            <w:r w:rsidRPr="00604355">
              <w:rPr>
                <w:b w:val="0"/>
                <w:color w:val="000000" w:themeColor="text1"/>
                <w:sz w:val="24"/>
                <w:szCs w:val="24"/>
                <w:vertAlign w:val="superscript"/>
              </w:rPr>
              <w:t>e</w:t>
            </w:r>
          </w:p>
        </w:tc>
      </w:tr>
      <w:tr w:rsidR="00374464" w:rsidRPr="00604355" w:rsidTr="00AE29A6">
        <w:trPr>
          <w:trHeight w:val="77"/>
        </w:trPr>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rPr>
              <w:t>F value</w:t>
            </w:r>
          </w:p>
        </w:tc>
        <w:tc>
          <w:tcPr>
            <w:tcW w:w="425"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2029"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2.834</w:t>
            </w:r>
          </w:p>
        </w:tc>
        <w:tc>
          <w:tcPr>
            <w:tcW w:w="1980" w:type="dxa"/>
          </w:tcPr>
          <w:p w:rsidR="00374464" w:rsidRPr="00604355" w:rsidRDefault="00374464" w:rsidP="00720B3B">
            <w:pPr>
              <w:tabs>
                <w:tab w:val="left" w:pos="1102"/>
              </w:tabs>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3.087</w:t>
            </w:r>
            <w:r w:rsidRPr="00604355">
              <w:rPr>
                <w:color w:val="000000" w:themeColor="text1"/>
                <w:sz w:val="24"/>
                <w:szCs w:val="24"/>
              </w:rPr>
              <w:tab/>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rPr>
              <w:t>3.200</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i/>
                <w:color w:val="000000" w:themeColor="text1"/>
                <w:sz w:val="24"/>
                <w:szCs w:val="24"/>
              </w:rPr>
              <w:t xml:space="preserve">P </w:t>
            </w:r>
            <w:r w:rsidRPr="00604355">
              <w:rPr>
                <w:b w:val="0"/>
                <w:color w:val="000000" w:themeColor="text1"/>
                <w:sz w:val="24"/>
                <w:szCs w:val="24"/>
              </w:rPr>
              <w:t>value</w:t>
            </w:r>
          </w:p>
        </w:tc>
        <w:tc>
          <w:tcPr>
            <w:tcW w:w="425"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2029"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0.028</w:t>
            </w:r>
          </w:p>
        </w:tc>
        <w:tc>
          <w:tcPr>
            <w:tcW w:w="1980"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0.019</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rPr>
              <w:t>0.016</w:t>
            </w:r>
          </w:p>
        </w:tc>
      </w:tr>
    </w:tbl>
    <w:p w:rsidR="00374464" w:rsidRPr="00604355" w:rsidRDefault="00374464" w:rsidP="00720B3B">
      <w:pPr>
        <w:spacing w:after="0" w:line="240" w:lineRule="auto"/>
        <w:jc w:val="both"/>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lang w:val="en-US"/>
        </w:rPr>
        <w:t>Values are mean</w:t>
      </w:r>
      <w:r w:rsidRPr="00604355">
        <w:rPr>
          <w:rFonts w:ascii="Times New Roman" w:hAnsi="Times New Roman" w:cs="Times New Roman"/>
          <w:color w:val="000000" w:themeColor="text1"/>
          <w:sz w:val="24"/>
          <w:szCs w:val="24"/>
        </w:rPr>
        <w:t xml:space="preserve">±standard error of the mean of the variables. Values with different superscript in the same column are significantly different, </w:t>
      </w:r>
      <w:r w:rsidRPr="00604355">
        <w:rPr>
          <w:rFonts w:ascii="Times New Roman" w:hAnsi="Times New Roman" w:cs="Times New Roman"/>
          <w:i/>
          <w:color w:val="000000" w:themeColor="text1"/>
          <w:sz w:val="24"/>
          <w:szCs w:val="24"/>
        </w:rPr>
        <w:t xml:space="preserve">p </w:t>
      </w:r>
      <w:r w:rsidRPr="00604355">
        <w:rPr>
          <w:rFonts w:ascii="Times New Roman" w:hAnsi="Times New Roman" w:cs="Times New Roman"/>
          <w:color w:val="000000" w:themeColor="text1"/>
          <w:sz w:val="24"/>
          <w:szCs w:val="24"/>
        </w:rPr>
        <w:t>&lt; 0.005 at 95 % confidence interval</w:t>
      </w:r>
      <w:r w:rsidRPr="00604355">
        <w:rPr>
          <w:rFonts w:ascii="Times New Roman" w:hAnsi="Times New Roman" w:cs="Times New Roman"/>
          <w:color w:val="000000" w:themeColor="text1"/>
          <w:sz w:val="24"/>
          <w:szCs w:val="24"/>
          <w:lang w:val="en-US"/>
        </w:rPr>
        <w:t>.</w:t>
      </w:r>
    </w:p>
    <w:p w:rsidR="00AE29A6" w:rsidRPr="00604355" w:rsidRDefault="00AE29A6" w:rsidP="00720B3B">
      <w:pPr>
        <w:spacing w:after="0" w:line="240" w:lineRule="auto"/>
        <w:jc w:val="both"/>
        <w:rPr>
          <w:rFonts w:ascii="Times New Roman" w:hAnsi="Times New Roman" w:cs="Times New Roman"/>
          <w:bCs/>
          <w:sz w:val="24"/>
          <w:szCs w:val="24"/>
          <w:lang w:val="en-US"/>
        </w:rPr>
      </w:pPr>
    </w:p>
    <w:p w:rsidR="00AE29A6" w:rsidRPr="00604355" w:rsidRDefault="00AE29A6" w:rsidP="00720B3B">
      <w:pPr>
        <w:spacing w:after="0" w:line="240" w:lineRule="auto"/>
        <w:jc w:val="both"/>
        <w:rPr>
          <w:rFonts w:ascii="Times New Roman" w:hAnsi="Times New Roman" w:cs="Times New Roman"/>
          <w:bCs/>
          <w:sz w:val="24"/>
          <w:szCs w:val="24"/>
          <w:lang w:val="en-US"/>
        </w:rPr>
      </w:pPr>
    </w:p>
    <w:p w:rsidR="00AE29A6" w:rsidRPr="00604355" w:rsidRDefault="00AE29A6" w:rsidP="00720B3B">
      <w:pPr>
        <w:spacing w:after="0" w:line="240" w:lineRule="auto"/>
        <w:jc w:val="both"/>
        <w:rPr>
          <w:rFonts w:ascii="Times New Roman" w:hAnsi="Times New Roman" w:cs="Times New Roman"/>
          <w:bCs/>
          <w:sz w:val="24"/>
          <w:szCs w:val="24"/>
          <w:lang w:val="en-US"/>
        </w:rPr>
      </w:pPr>
    </w:p>
    <w:p w:rsidR="00AE29A6" w:rsidRPr="00604355" w:rsidRDefault="00AE29A6" w:rsidP="00720B3B">
      <w:pPr>
        <w:spacing w:after="0" w:line="240" w:lineRule="auto"/>
        <w:jc w:val="both"/>
        <w:rPr>
          <w:rFonts w:ascii="Times New Roman" w:hAnsi="Times New Roman" w:cs="Times New Roman"/>
          <w:bCs/>
          <w:sz w:val="24"/>
          <w:szCs w:val="24"/>
          <w:lang w:val="en-GB"/>
        </w:rPr>
        <w:sectPr w:rsidR="00AE29A6" w:rsidRPr="00604355" w:rsidSect="008A09E6">
          <w:type w:val="continuous"/>
          <w:pgSz w:w="11906" w:h="16838"/>
          <w:pgMar w:top="1440" w:right="1440" w:bottom="1440" w:left="1440" w:header="708" w:footer="708" w:gutter="0"/>
          <w:cols w:space="708"/>
          <w:docGrid w:linePitch="360"/>
        </w:sectPr>
      </w:pPr>
    </w:p>
    <w:p w:rsidR="00374464" w:rsidRPr="00604355" w:rsidRDefault="00C80C7C" w:rsidP="00AE29A6">
      <w:pPr>
        <w:spacing w:after="0" w:line="240" w:lineRule="auto"/>
        <w:jc w:val="both"/>
        <w:rPr>
          <w:rFonts w:ascii="Times New Roman" w:hAnsi="Times New Roman" w:cs="Times New Roman"/>
          <w:b/>
          <w:color w:val="000000" w:themeColor="text1"/>
          <w:sz w:val="24"/>
          <w:szCs w:val="24"/>
          <w:lang w:val="en-US"/>
        </w:rPr>
      </w:pPr>
      <w:r w:rsidRPr="00604355">
        <w:rPr>
          <w:rFonts w:ascii="Times New Roman" w:hAnsi="Times New Roman" w:cs="Times New Roman"/>
          <w:b/>
          <w:color w:val="000000" w:themeColor="text1"/>
          <w:sz w:val="24"/>
          <w:szCs w:val="24"/>
          <w:lang w:val="en-US"/>
        </w:rPr>
        <w:lastRenderedPageBreak/>
        <w:t xml:space="preserve">Table </w:t>
      </w:r>
      <w:r w:rsidR="0053772A">
        <w:rPr>
          <w:rFonts w:ascii="Times New Roman" w:hAnsi="Times New Roman" w:cs="Times New Roman"/>
          <w:b/>
          <w:color w:val="000000" w:themeColor="text1"/>
          <w:sz w:val="24"/>
          <w:szCs w:val="24"/>
          <w:lang w:val="en-US"/>
        </w:rPr>
        <w:t>5</w:t>
      </w:r>
      <w:r w:rsidR="00AE29A6" w:rsidRPr="00604355">
        <w:rPr>
          <w:rFonts w:ascii="Times New Roman" w:hAnsi="Times New Roman" w:cs="Times New Roman"/>
          <w:b/>
          <w:color w:val="000000" w:themeColor="text1"/>
          <w:sz w:val="24"/>
          <w:szCs w:val="24"/>
          <w:lang w:val="en-US"/>
        </w:rPr>
        <w:t xml:space="preserve">: </w:t>
      </w:r>
      <w:r w:rsidR="00374464" w:rsidRPr="00604355">
        <w:rPr>
          <w:rFonts w:ascii="Times New Roman" w:hAnsi="Times New Roman" w:cs="Times New Roman"/>
          <w:b/>
          <w:color w:val="000000" w:themeColor="text1"/>
          <w:sz w:val="24"/>
          <w:szCs w:val="24"/>
        </w:rPr>
        <w:t xml:space="preserve">The </w:t>
      </w:r>
      <w:r w:rsidR="00C354F1" w:rsidRPr="00604355">
        <w:rPr>
          <w:rFonts w:ascii="Times New Roman" w:eastAsia="Calibri" w:hAnsi="Times New Roman" w:cs="Times New Roman"/>
          <w:b/>
          <w:sz w:val="24"/>
          <w:szCs w:val="24"/>
          <w:lang w:eastAsia="en-GB"/>
        </w:rPr>
        <w:t xml:space="preserve">Effect of </w:t>
      </w:r>
      <w:r w:rsidR="00C354F1" w:rsidRPr="00604355">
        <w:rPr>
          <w:rFonts w:ascii="Times New Roman" w:hAnsi="Times New Roman" w:cs="Times New Roman"/>
          <w:b/>
          <w:i/>
          <w:sz w:val="24"/>
          <w:szCs w:val="24"/>
          <w:lang w:val="en-US"/>
        </w:rPr>
        <w:t>Ficus capensis</w:t>
      </w:r>
      <w:r w:rsidR="00C354F1" w:rsidRPr="00604355">
        <w:rPr>
          <w:rFonts w:ascii="Times New Roman" w:eastAsia="Calibri" w:hAnsi="Times New Roman" w:cs="Times New Roman"/>
          <w:b/>
          <w:sz w:val="24"/>
          <w:szCs w:val="24"/>
          <w:lang w:eastAsia="en-GB"/>
        </w:rPr>
        <w:t xml:space="preserve"> </w:t>
      </w:r>
      <w:r w:rsidR="00C354F1" w:rsidRPr="00604355">
        <w:rPr>
          <w:rFonts w:ascii="Times New Roman" w:eastAsia="Calibri" w:hAnsi="Times New Roman" w:cs="Times New Roman"/>
          <w:b/>
          <w:sz w:val="24"/>
          <w:szCs w:val="24"/>
          <w:lang w:val="en-GB" w:eastAsia="en-GB"/>
        </w:rPr>
        <w:t>m</w:t>
      </w:r>
      <w:r w:rsidR="00C354F1" w:rsidRPr="00604355">
        <w:rPr>
          <w:rFonts w:ascii="Times New Roman" w:eastAsia="Calibri" w:hAnsi="Times New Roman" w:cs="Times New Roman"/>
          <w:b/>
          <w:sz w:val="24"/>
          <w:szCs w:val="24"/>
          <w:lang w:eastAsia="en-GB"/>
        </w:rPr>
        <w:t xml:space="preserve">ethanol </w:t>
      </w:r>
      <w:r w:rsidR="00C354F1" w:rsidRPr="00604355">
        <w:rPr>
          <w:rFonts w:ascii="Times New Roman" w:eastAsia="Calibri" w:hAnsi="Times New Roman" w:cs="Times New Roman"/>
          <w:b/>
          <w:sz w:val="24"/>
          <w:szCs w:val="24"/>
          <w:lang w:val="en-GB" w:eastAsia="en-GB"/>
        </w:rPr>
        <w:t>l</w:t>
      </w:r>
      <w:r w:rsidR="00C354F1" w:rsidRPr="00604355">
        <w:rPr>
          <w:rFonts w:ascii="Times New Roman" w:eastAsia="Calibri" w:hAnsi="Times New Roman" w:cs="Times New Roman"/>
          <w:b/>
          <w:sz w:val="24"/>
          <w:szCs w:val="24"/>
          <w:lang w:eastAsia="en-GB"/>
        </w:rPr>
        <w:t>ea</w:t>
      </w:r>
      <w:r w:rsidR="00C354F1" w:rsidRPr="00604355">
        <w:rPr>
          <w:rFonts w:ascii="Times New Roman" w:eastAsia="Calibri" w:hAnsi="Times New Roman" w:cs="Times New Roman"/>
          <w:b/>
          <w:sz w:val="24"/>
          <w:szCs w:val="24"/>
          <w:lang w:val="en-GB" w:eastAsia="en-GB"/>
        </w:rPr>
        <w:t>f</w:t>
      </w:r>
      <w:r w:rsidR="00C354F1" w:rsidRPr="00604355">
        <w:rPr>
          <w:rFonts w:ascii="Times New Roman" w:eastAsia="Calibri" w:hAnsi="Times New Roman" w:cs="Times New Roman"/>
          <w:b/>
          <w:sz w:val="24"/>
          <w:szCs w:val="24"/>
          <w:lang w:eastAsia="en-GB"/>
        </w:rPr>
        <w:t xml:space="preserve"> </w:t>
      </w:r>
      <w:r w:rsidR="00C354F1" w:rsidRPr="00604355">
        <w:rPr>
          <w:rFonts w:ascii="Times New Roman" w:eastAsia="Calibri" w:hAnsi="Times New Roman" w:cs="Times New Roman"/>
          <w:b/>
          <w:sz w:val="24"/>
          <w:szCs w:val="24"/>
          <w:lang w:val="en-GB" w:eastAsia="en-GB"/>
        </w:rPr>
        <w:t>e</w:t>
      </w:r>
      <w:r w:rsidR="00C354F1" w:rsidRPr="00604355">
        <w:rPr>
          <w:rFonts w:ascii="Times New Roman" w:eastAsia="Calibri" w:hAnsi="Times New Roman" w:cs="Times New Roman"/>
          <w:b/>
          <w:sz w:val="24"/>
          <w:szCs w:val="24"/>
          <w:lang w:eastAsia="en-GB"/>
        </w:rPr>
        <w:t>xtract</w:t>
      </w:r>
      <w:r w:rsidR="00C354F1" w:rsidRPr="00604355">
        <w:rPr>
          <w:rFonts w:ascii="Times New Roman" w:eastAsia="Calibri" w:hAnsi="Times New Roman" w:cs="Times New Roman"/>
          <w:b/>
          <w:sz w:val="24"/>
          <w:szCs w:val="24"/>
          <w:lang w:val="en-GB" w:eastAsia="en-GB"/>
        </w:rPr>
        <w:t xml:space="preserve"> </w:t>
      </w:r>
      <w:r w:rsidR="00AE29A6" w:rsidRPr="00604355">
        <w:rPr>
          <w:rFonts w:ascii="Times New Roman" w:hAnsi="Times New Roman" w:cs="Times New Roman"/>
          <w:b/>
          <w:color w:val="000000" w:themeColor="text1"/>
          <w:sz w:val="24"/>
          <w:szCs w:val="24"/>
        </w:rPr>
        <w:t>on complete blood count</w:t>
      </w:r>
      <w:r w:rsidR="00AE29A6" w:rsidRPr="00604355">
        <w:rPr>
          <w:rFonts w:ascii="Times New Roman" w:hAnsi="Times New Roman" w:cs="Times New Roman"/>
          <w:b/>
          <w:color w:val="000000" w:themeColor="text1"/>
          <w:sz w:val="24"/>
          <w:szCs w:val="24"/>
          <w:lang w:val="en-US"/>
        </w:rPr>
        <w:t xml:space="preserve"> </w:t>
      </w:r>
      <w:r w:rsidR="00374464" w:rsidRPr="00604355">
        <w:rPr>
          <w:rFonts w:ascii="Times New Roman" w:hAnsi="Times New Roman" w:cs="Times New Roman"/>
          <w:b/>
          <w:color w:val="000000" w:themeColor="text1"/>
          <w:sz w:val="24"/>
          <w:szCs w:val="24"/>
        </w:rPr>
        <w:t>(RBC,</w:t>
      </w:r>
      <w:r w:rsidR="00DC0C2A"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PCB,</w:t>
      </w:r>
      <w:r w:rsidR="00DC0C2A"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HB,</w:t>
      </w:r>
      <w:r w:rsidR="00DC0C2A"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MCV,</w:t>
      </w:r>
      <w:r w:rsidR="00DC0C2A"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MCH,</w:t>
      </w:r>
      <w:r w:rsidR="00DC0C2A" w:rsidRPr="00604355">
        <w:rPr>
          <w:rFonts w:ascii="Times New Roman" w:hAnsi="Times New Roman" w:cs="Times New Roman"/>
          <w:b/>
          <w:color w:val="000000" w:themeColor="text1"/>
          <w:sz w:val="24"/>
          <w:szCs w:val="24"/>
          <w:lang w:val="en-GB"/>
        </w:rPr>
        <w:t xml:space="preserve"> </w:t>
      </w:r>
      <w:proofErr w:type="gramStart"/>
      <w:r w:rsidR="00374464" w:rsidRPr="00604355">
        <w:rPr>
          <w:rFonts w:ascii="Times New Roman" w:hAnsi="Times New Roman" w:cs="Times New Roman"/>
          <w:b/>
          <w:color w:val="000000" w:themeColor="text1"/>
          <w:sz w:val="24"/>
          <w:szCs w:val="24"/>
        </w:rPr>
        <w:t>MCHC ,</w:t>
      </w:r>
      <w:proofErr w:type="gramEnd"/>
      <w:r w:rsidR="00374464" w:rsidRPr="00604355">
        <w:rPr>
          <w:rFonts w:ascii="Times New Roman" w:hAnsi="Times New Roman" w:cs="Times New Roman"/>
          <w:b/>
          <w:color w:val="000000" w:themeColor="text1"/>
          <w:sz w:val="24"/>
          <w:szCs w:val="24"/>
        </w:rPr>
        <w:t xml:space="preserve"> RDW-CD and RDW-SD) in wistar rat</w:t>
      </w:r>
    </w:p>
    <w:tbl>
      <w:tblPr>
        <w:tblStyle w:val="TableGrid"/>
        <w:tblW w:w="13287" w:type="dxa"/>
        <w:tblInd w:w="288" w:type="dxa"/>
        <w:tblBorders>
          <w:left w:val="none" w:sz="0" w:space="0" w:color="auto"/>
          <w:right w:val="none" w:sz="0" w:space="0" w:color="auto"/>
          <w:insideH w:val="none" w:sz="0" w:space="0" w:color="auto"/>
          <w:insideV w:val="none" w:sz="0" w:space="0" w:color="auto"/>
        </w:tblBorders>
        <w:tblLayout w:type="fixed"/>
        <w:tblLook w:val="07A0" w:firstRow="1" w:lastRow="0" w:firstColumn="1" w:lastColumn="1" w:noHBand="1" w:noVBand="1"/>
      </w:tblPr>
      <w:tblGrid>
        <w:gridCol w:w="2700"/>
        <w:gridCol w:w="1620"/>
        <w:gridCol w:w="1260"/>
        <w:gridCol w:w="1350"/>
        <w:gridCol w:w="1260"/>
        <w:gridCol w:w="1260"/>
        <w:gridCol w:w="1260"/>
        <w:gridCol w:w="1260"/>
        <w:gridCol w:w="1317"/>
      </w:tblGrid>
      <w:tr w:rsidR="0043249A" w:rsidRPr="00604355" w:rsidTr="00092D89">
        <w:tc>
          <w:tcPr>
            <w:tcW w:w="270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 xml:space="preserve">Groups </w:t>
            </w:r>
          </w:p>
        </w:tc>
        <w:tc>
          <w:tcPr>
            <w:tcW w:w="162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RBC</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HGB g/dl</w:t>
            </w:r>
          </w:p>
        </w:tc>
        <w:tc>
          <w:tcPr>
            <w:tcW w:w="135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HCT %</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MCV fl</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MCH pg</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MCHC</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RDW-CV</w:t>
            </w:r>
          </w:p>
        </w:tc>
        <w:tc>
          <w:tcPr>
            <w:tcW w:w="1317"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RDW-SD</w:t>
            </w:r>
          </w:p>
        </w:tc>
      </w:tr>
      <w:tr w:rsidR="0043249A" w:rsidRPr="00604355" w:rsidTr="00092D89">
        <w:tc>
          <w:tcPr>
            <w:tcW w:w="2700" w:type="dxa"/>
            <w:tcBorders>
              <w:top w:val="single" w:sz="4" w:space="0" w:color="auto"/>
            </w:tcBorders>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Negative Control</w:t>
            </w:r>
          </w:p>
        </w:tc>
        <w:tc>
          <w:tcPr>
            <w:tcW w:w="1620" w:type="dxa"/>
            <w:tcBorders>
              <w:top w:val="single" w:sz="4" w:space="0" w:color="auto"/>
            </w:tcBorders>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7.37±0.13</w:t>
            </w:r>
            <w:r w:rsidRPr="00604355">
              <w:rPr>
                <w:color w:val="000000" w:themeColor="text1"/>
                <w:sz w:val="24"/>
                <w:szCs w:val="24"/>
                <w:vertAlign w:val="superscript"/>
              </w:rPr>
              <w:t>a</w:t>
            </w:r>
          </w:p>
        </w:tc>
        <w:tc>
          <w:tcPr>
            <w:tcW w:w="1260" w:type="dxa"/>
            <w:tcBorders>
              <w:top w:val="single" w:sz="4" w:space="0" w:color="auto"/>
            </w:tcBorders>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14.02±0.07</w:t>
            </w:r>
            <w:r w:rsidRPr="00604355">
              <w:rPr>
                <w:color w:val="000000" w:themeColor="text1"/>
                <w:sz w:val="24"/>
                <w:szCs w:val="24"/>
                <w:vertAlign w:val="superscript"/>
              </w:rPr>
              <w:t>a</w:t>
            </w:r>
          </w:p>
        </w:tc>
        <w:tc>
          <w:tcPr>
            <w:tcW w:w="1350" w:type="dxa"/>
            <w:tcBorders>
              <w:top w:val="single" w:sz="4" w:space="0" w:color="auto"/>
            </w:tcBorders>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38.94±0.35</w:t>
            </w:r>
            <w:r w:rsidRPr="00604355">
              <w:rPr>
                <w:color w:val="000000" w:themeColor="text1"/>
                <w:sz w:val="24"/>
                <w:szCs w:val="24"/>
                <w:vertAlign w:val="superscript"/>
              </w:rPr>
              <w:t>a</w:t>
            </w:r>
          </w:p>
        </w:tc>
        <w:tc>
          <w:tcPr>
            <w:tcW w:w="1260" w:type="dxa"/>
            <w:tcBorders>
              <w:top w:val="single" w:sz="4" w:space="0" w:color="auto"/>
            </w:tcBorders>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52.96±1.17</w:t>
            </w:r>
          </w:p>
        </w:tc>
        <w:tc>
          <w:tcPr>
            <w:tcW w:w="1260" w:type="dxa"/>
            <w:tcBorders>
              <w:top w:val="single" w:sz="4" w:space="0" w:color="auto"/>
            </w:tcBorders>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19.06±0.27</w:t>
            </w:r>
          </w:p>
        </w:tc>
        <w:tc>
          <w:tcPr>
            <w:tcW w:w="1260" w:type="dxa"/>
            <w:tcBorders>
              <w:top w:val="single" w:sz="4" w:space="0" w:color="auto"/>
            </w:tcBorders>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36.06±0.48</w:t>
            </w:r>
          </w:p>
        </w:tc>
        <w:tc>
          <w:tcPr>
            <w:tcW w:w="1260" w:type="dxa"/>
            <w:tcBorders>
              <w:top w:val="single" w:sz="4" w:space="0" w:color="auto"/>
            </w:tcBorders>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12.76±0.20</w:t>
            </w:r>
          </w:p>
        </w:tc>
        <w:tc>
          <w:tcPr>
            <w:tcW w:w="1317" w:type="dxa"/>
            <w:tcBorders>
              <w:top w:val="single" w:sz="4" w:space="0" w:color="auto"/>
            </w:tcBorders>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23.38±0.57</w:t>
            </w:r>
            <w:r w:rsidRPr="00604355">
              <w:rPr>
                <w:color w:val="000000" w:themeColor="text1"/>
                <w:sz w:val="24"/>
                <w:szCs w:val="24"/>
                <w:vertAlign w:val="superscript"/>
              </w:rPr>
              <w:t>a</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Positive Control</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5.32±0.28</w:t>
            </w:r>
            <w:r w:rsidRPr="00604355">
              <w:rPr>
                <w:color w:val="000000" w:themeColor="text1"/>
                <w:sz w:val="24"/>
                <w:szCs w:val="24"/>
                <w:vertAlign w:val="superscript"/>
              </w:rPr>
              <w:t>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10.12±0.56</w:t>
            </w:r>
            <w:r w:rsidRPr="00604355">
              <w:rPr>
                <w:color w:val="000000" w:themeColor="text1"/>
                <w:sz w:val="24"/>
                <w:szCs w:val="24"/>
                <w:vertAlign w:val="superscript"/>
              </w:rPr>
              <w:t>b</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28.24±1.16</w:t>
            </w:r>
            <w:r w:rsidRPr="00604355">
              <w:rPr>
                <w:color w:val="000000" w:themeColor="text1"/>
                <w:sz w:val="24"/>
                <w:szCs w:val="24"/>
                <w:vertAlign w:val="superscript"/>
              </w:rPr>
              <w:t>b</w:t>
            </w:r>
          </w:p>
        </w:tc>
        <w:tc>
          <w:tcPr>
            <w:tcW w:w="1260" w:type="dxa"/>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54.40±1.71</w:t>
            </w:r>
          </w:p>
        </w:tc>
        <w:tc>
          <w:tcPr>
            <w:tcW w:w="1260" w:type="dxa"/>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19.76±0.50</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36.36±0.34</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13.70±0.52</w:t>
            </w:r>
          </w:p>
        </w:tc>
        <w:tc>
          <w:tcPr>
            <w:tcW w:w="1317"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28.72±1.02</w:t>
            </w:r>
            <w:r w:rsidRPr="00604355">
              <w:rPr>
                <w:color w:val="000000" w:themeColor="text1"/>
                <w:sz w:val="24"/>
                <w:szCs w:val="24"/>
                <w:vertAlign w:val="superscript"/>
              </w:rPr>
              <w:t>b</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Standard Drug</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6.86±0.22</w:t>
            </w:r>
            <w:r w:rsidRPr="00604355">
              <w:rPr>
                <w:color w:val="000000" w:themeColor="text1"/>
                <w:sz w:val="24"/>
                <w:szCs w:val="24"/>
                <w:vertAlign w:val="superscript"/>
              </w:rPr>
              <w:t>ab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13.56±0.31</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37.22±1.31</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54.12±0.42</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19.80±0.23</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36.40±0.38</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11.96±0.16</w:t>
            </w:r>
          </w:p>
        </w:tc>
        <w:tc>
          <w:tcPr>
            <w:tcW w:w="1317"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23.20±0.61</w:t>
            </w:r>
            <w:r w:rsidRPr="00604355">
              <w:rPr>
                <w:color w:val="000000" w:themeColor="text1"/>
                <w:sz w:val="24"/>
                <w:szCs w:val="24"/>
                <w:vertAlign w:val="superscript"/>
              </w:rPr>
              <w:t>a</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Low Dose Extract</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6.92±0.05</w:t>
            </w:r>
            <w:r w:rsidRPr="00604355">
              <w:rPr>
                <w:color w:val="000000" w:themeColor="text1"/>
                <w:sz w:val="24"/>
                <w:szCs w:val="24"/>
                <w:vertAlign w:val="superscript"/>
              </w:rPr>
              <w:t>ab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13.58±0.24</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37.46±0.48</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54.14±0.72</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19.60±0.28</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36.26±0.21</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13.02±0.28</w:t>
            </w:r>
          </w:p>
        </w:tc>
        <w:tc>
          <w:tcPr>
            <w:tcW w:w="1317"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24.66±0.85</w:t>
            </w:r>
            <w:r w:rsidRPr="00604355">
              <w:rPr>
                <w:color w:val="000000" w:themeColor="text1"/>
                <w:sz w:val="24"/>
                <w:szCs w:val="24"/>
                <w:vertAlign w:val="superscript"/>
              </w:rPr>
              <w:t>a</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Medium Dose Extract</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6.36±0.05</w:t>
            </w:r>
            <w:r w:rsidRPr="00604355">
              <w:rPr>
                <w:color w:val="000000" w:themeColor="text1"/>
                <w:sz w:val="24"/>
                <w:szCs w:val="24"/>
                <w:vertAlign w:val="superscript"/>
              </w:rPr>
              <w:t>ab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13.12±0.17</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35.32±0.57</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55.56±0.54</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20.66±0.10</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37.18±0.27</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13.42±0.14</w:t>
            </w:r>
          </w:p>
        </w:tc>
        <w:tc>
          <w:tcPr>
            <w:tcW w:w="1317"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26.40±0.54</w:t>
            </w:r>
            <w:r w:rsidRPr="00604355">
              <w:rPr>
                <w:color w:val="000000" w:themeColor="text1"/>
                <w:sz w:val="24"/>
                <w:szCs w:val="24"/>
                <w:vertAlign w:val="superscript"/>
              </w:rPr>
              <w:t>ab</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High Dose Extract</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6.85±0.11</w:t>
            </w:r>
            <w:r w:rsidRPr="00604355">
              <w:rPr>
                <w:color w:val="000000" w:themeColor="text1"/>
                <w:sz w:val="24"/>
                <w:szCs w:val="24"/>
                <w:vertAlign w:val="superscript"/>
              </w:rPr>
              <w:t>ab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13.36±0.09</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35.82±0.24</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52.48±1.15</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19.52±0.40</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37.26±0.28</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13.30±0.25</w:t>
            </w:r>
          </w:p>
        </w:tc>
        <w:tc>
          <w:tcPr>
            <w:tcW w:w="1317" w:type="dxa"/>
          </w:tcPr>
          <w:p w:rsidR="0043249A" w:rsidRPr="00604355" w:rsidRDefault="0043249A" w:rsidP="00720B3B">
            <w:pPr>
              <w:spacing w:after="0" w:line="240" w:lineRule="auto"/>
              <w:ind w:left="60" w:right="60"/>
              <w:rPr>
                <w:color w:val="000000" w:themeColor="text1"/>
                <w:sz w:val="24"/>
                <w:szCs w:val="24"/>
                <w:vertAlign w:val="superscript"/>
              </w:rPr>
            </w:pPr>
            <w:r w:rsidRPr="00604355">
              <w:rPr>
                <w:color w:val="000000" w:themeColor="text1"/>
                <w:sz w:val="24"/>
                <w:szCs w:val="24"/>
              </w:rPr>
              <w:t>25.12±1.42</w:t>
            </w:r>
            <w:r w:rsidRPr="00604355">
              <w:rPr>
                <w:color w:val="000000" w:themeColor="text1"/>
                <w:sz w:val="24"/>
                <w:szCs w:val="24"/>
                <w:vertAlign w:val="superscript"/>
              </w:rPr>
              <w:t>a</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proofErr w:type="spellStart"/>
            <w:r w:rsidRPr="00604355">
              <w:rPr>
                <w:color w:val="000000" w:themeColor="text1"/>
                <w:sz w:val="24"/>
                <w:szCs w:val="24"/>
                <w:lang w:val="en-US"/>
              </w:rPr>
              <w:t>Extract+Ferrous</w:t>
            </w:r>
            <w:proofErr w:type="spellEnd"/>
            <w:r w:rsidRPr="00604355">
              <w:rPr>
                <w:color w:val="000000" w:themeColor="text1"/>
                <w:sz w:val="24"/>
                <w:szCs w:val="24"/>
                <w:lang w:val="en-US"/>
              </w:rPr>
              <w:t xml:space="preserve"> Sulfate</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7.05±0.08</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13.88±0.17</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38.46±0.59</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54.52±0.73</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19.66±0.22</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36.04±0.70</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10.40±2.15</w:t>
            </w:r>
          </w:p>
        </w:tc>
        <w:tc>
          <w:tcPr>
            <w:tcW w:w="1317" w:type="dxa"/>
          </w:tcPr>
          <w:p w:rsidR="0043249A" w:rsidRPr="00604355" w:rsidRDefault="0043249A" w:rsidP="00720B3B">
            <w:pPr>
              <w:spacing w:after="0" w:line="240" w:lineRule="auto"/>
              <w:ind w:left="60" w:right="60"/>
              <w:rPr>
                <w:color w:val="000000" w:themeColor="text1"/>
                <w:sz w:val="24"/>
                <w:szCs w:val="24"/>
                <w:vertAlign w:val="superscript"/>
              </w:rPr>
            </w:pPr>
            <w:r w:rsidRPr="00604355">
              <w:rPr>
                <w:color w:val="000000" w:themeColor="text1"/>
                <w:sz w:val="24"/>
                <w:szCs w:val="24"/>
              </w:rPr>
              <w:t>24.76±0.43</w:t>
            </w:r>
            <w:r w:rsidRPr="00604355">
              <w:rPr>
                <w:color w:val="000000" w:themeColor="text1"/>
                <w:sz w:val="24"/>
                <w:szCs w:val="24"/>
                <w:vertAlign w:val="superscript"/>
              </w:rPr>
              <w:t>a</w:t>
            </w:r>
          </w:p>
        </w:tc>
      </w:tr>
      <w:tr w:rsidR="0043249A" w:rsidRPr="00604355" w:rsidTr="00092D89">
        <w:trPr>
          <w:trHeight w:val="77"/>
        </w:trPr>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rPr>
              <w:t>F value</w:t>
            </w:r>
          </w:p>
        </w:tc>
        <w:tc>
          <w:tcPr>
            <w:tcW w:w="162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18.579</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23.818</w:t>
            </w:r>
          </w:p>
        </w:tc>
        <w:tc>
          <w:tcPr>
            <w:tcW w:w="135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22.111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1.026</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2.360</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1.523</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1.772</w:t>
            </w:r>
          </w:p>
        </w:tc>
        <w:tc>
          <w:tcPr>
            <w:tcW w:w="1317"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5.064</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i/>
                <w:color w:val="000000" w:themeColor="text1"/>
                <w:sz w:val="24"/>
                <w:szCs w:val="24"/>
              </w:rPr>
              <w:t xml:space="preserve">P </w:t>
            </w:r>
            <w:r w:rsidRPr="00604355">
              <w:rPr>
                <w:color w:val="000000" w:themeColor="text1"/>
                <w:sz w:val="24"/>
                <w:szCs w:val="24"/>
              </w:rPr>
              <w:t>value</w:t>
            </w:r>
          </w:p>
        </w:tc>
        <w:tc>
          <w:tcPr>
            <w:tcW w:w="162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35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0.153</w:t>
            </w:r>
          </w:p>
        </w:tc>
        <w:tc>
          <w:tcPr>
            <w:tcW w:w="1317"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r>
    </w:tbl>
    <w:p w:rsidR="00374464" w:rsidRPr="00604355" w:rsidRDefault="00374464" w:rsidP="00720B3B">
      <w:pPr>
        <w:spacing w:after="0" w:line="240" w:lineRule="auto"/>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lang w:val="en-US"/>
        </w:rPr>
        <w:t>Values are mean</w:t>
      </w:r>
      <w:r w:rsidRPr="00604355">
        <w:rPr>
          <w:rFonts w:ascii="Times New Roman" w:hAnsi="Times New Roman" w:cs="Times New Roman"/>
          <w:color w:val="000000" w:themeColor="text1"/>
          <w:sz w:val="24"/>
          <w:szCs w:val="24"/>
        </w:rPr>
        <w:t xml:space="preserve">±standard error of the mean of the variables. Values with different superscript in the same column are significantly different, </w:t>
      </w:r>
      <w:r w:rsidRPr="00604355">
        <w:rPr>
          <w:rFonts w:ascii="Times New Roman" w:hAnsi="Times New Roman" w:cs="Times New Roman"/>
          <w:i/>
          <w:color w:val="000000" w:themeColor="text1"/>
          <w:sz w:val="24"/>
          <w:szCs w:val="24"/>
        </w:rPr>
        <w:t xml:space="preserve">p </w:t>
      </w:r>
      <w:r w:rsidRPr="00604355">
        <w:rPr>
          <w:rFonts w:ascii="Times New Roman" w:hAnsi="Times New Roman" w:cs="Times New Roman"/>
          <w:color w:val="000000" w:themeColor="text1"/>
          <w:sz w:val="24"/>
          <w:szCs w:val="24"/>
        </w:rPr>
        <w:t>&lt; 0.005 at 95 % confidence interval</w:t>
      </w:r>
      <w:r w:rsidRPr="00604355">
        <w:rPr>
          <w:rFonts w:ascii="Times New Roman" w:hAnsi="Times New Roman" w:cs="Times New Roman"/>
          <w:color w:val="000000" w:themeColor="text1"/>
          <w:sz w:val="24"/>
          <w:szCs w:val="24"/>
          <w:lang w:val="en-US"/>
        </w:rPr>
        <w:t>.</w:t>
      </w:r>
    </w:p>
    <w:p w:rsidR="00374464" w:rsidRPr="00604355" w:rsidRDefault="00374464" w:rsidP="00720B3B">
      <w:pPr>
        <w:spacing w:after="0" w:line="240" w:lineRule="auto"/>
        <w:jc w:val="both"/>
        <w:rPr>
          <w:rFonts w:ascii="Times New Roman" w:hAnsi="Times New Roman" w:cs="Times New Roman"/>
          <w:b/>
          <w:color w:val="000000" w:themeColor="text1"/>
          <w:sz w:val="24"/>
          <w:szCs w:val="24"/>
          <w:lang w:val="en-US"/>
        </w:rPr>
      </w:pPr>
    </w:p>
    <w:p w:rsidR="00374464" w:rsidRPr="00604355" w:rsidRDefault="00C80C7C" w:rsidP="0043249A">
      <w:pPr>
        <w:spacing w:after="0" w:line="240" w:lineRule="auto"/>
        <w:ind w:left="1440" w:hanging="1440"/>
        <w:jc w:val="both"/>
        <w:rPr>
          <w:rFonts w:ascii="Times New Roman" w:hAnsi="Times New Roman" w:cs="Times New Roman"/>
          <w:b/>
          <w:color w:val="000000" w:themeColor="text1"/>
          <w:sz w:val="24"/>
          <w:szCs w:val="24"/>
          <w:lang w:val="en-US"/>
        </w:rPr>
      </w:pPr>
      <w:r w:rsidRPr="00604355">
        <w:rPr>
          <w:rFonts w:ascii="Times New Roman" w:hAnsi="Times New Roman" w:cs="Times New Roman"/>
          <w:b/>
          <w:color w:val="000000" w:themeColor="text1"/>
          <w:sz w:val="24"/>
          <w:szCs w:val="24"/>
          <w:lang w:val="en-US"/>
        </w:rPr>
        <w:t xml:space="preserve">Table </w:t>
      </w:r>
      <w:r w:rsidR="0053772A">
        <w:rPr>
          <w:rFonts w:ascii="Times New Roman" w:hAnsi="Times New Roman" w:cs="Times New Roman"/>
          <w:b/>
          <w:color w:val="000000" w:themeColor="text1"/>
          <w:sz w:val="24"/>
          <w:szCs w:val="24"/>
          <w:lang w:val="en-US"/>
        </w:rPr>
        <w:t>6</w:t>
      </w:r>
      <w:r w:rsidR="0043249A" w:rsidRPr="00604355">
        <w:rPr>
          <w:rFonts w:ascii="Times New Roman" w:hAnsi="Times New Roman" w:cs="Times New Roman"/>
          <w:b/>
          <w:color w:val="000000" w:themeColor="text1"/>
          <w:sz w:val="24"/>
          <w:szCs w:val="24"/>
          <w:lang w:val="en-US"/>
        </w:rPr>
        <w:t>:</w:t>
      </w:r>
      <w:r w:rsidRPr="00604355">
        <w:rPr>
          <w:rFonts w:ascii="Times New Roman" w:hAnsi="Times New Roman" w:cs="Times New Roman"/>
          <w:b/>
          <w:color w:val="000000" w:themeColor="text1"/>
          <w:sz w:val="24"/>
          <w:szCs w:val="24"/>
          <w:lang w:val="en-US"/>
        </w:rPr>
        <w:t xml:space="preserve"> </w:t>
      </w:r>
      <w:r w:rsidR="00374464" w:rsidRPr="00604355">
        <w:rPr>
          <w:rFonts w:ascii="Times New Roman" w:hAnsi="Times New Roman" w:cs="Times New Roman"/>
          <w:b/>
          <w:color w:val="000000" w:themeColor="text1"/>
          <w:sz w:val="24"/>
          <w:szCs w:val="24"/>
        </w:rPr>
        <w:t xml:space="preserve">The </w:t>
      </w:r>
      <w:r w:rsidR="00C354F1" w:rsidRPr="00604355">
        <w:rPr>
          <w:rFonts w:ascii="Times New Roman" w:eastAsia="Calibri" w:hAnsi="Times New Roman" w:cs="Times New Roman"/>
          <w:b/>
          <w:sz w:val="24"/>
          <w:szCs w:val="24"/>
          <w:lang w:eastAsia="en-GB"/>
        </w:rPr>
        <w:t xml:space="preserve">Effect of </w:t>
      </w:r>
      <w:r w:rsidR="00C354F1" w:rsidRPr="00604355">
        <w:rPr>
          <w:rFonts w:ascii="Times New Roman" w:hAnsi="Times New Roman" w:cs="Times New Roman"/>
          <w:b/>
          <w:i/>
          <w:sz w:val="24"/>
          <w:szCs w:val="24"/>
          <w:lang w:val="en-US"/>
        </w:rPr>
        <w:t>Ficus capensis</w:t>
      </w:r>
      <w:r w:rsidR="00C354F1" w:rsidRPr="00604355">
        <w:rPr>
          <w:rFonts w:ascii="Times New Roman" w:eastAsia="Calibri" w:hAnsi="Times New Roman" w:cs="Times New Roman"/>
          <w:b/>
          <w:sz w:val="24"/>
          <w:szCs w:val="24"/>
          <w:lang w:eastAsia="en-GB"/>
        </w:rPr>
        <w:t xml:space="preserve"> </w:t>
      </w:r>
      <w:r w:rsidR="00C354F1" w:rsidRPr="00604355">
        <w:rPr>
          <w:rFonts w:ascii="Times New Roman" w:eastAsia="Calibri" w:hAnsi="Times New Roman" w:cs="Times New Roman"/>
          <w:b/>
          <w:sz w:val="24"/>
          <w:szCs w:val="24"/>
          <w:lang w:val="en-GB" w:eastAsia="en-GB"/>
        </w:rPr>
        <w:t>m</w:t>
      </w:r>
      <w:r w:rsidR="00C354F1" w:rsidRPr="00604355">
        <w:rPr>
          <w:rFonts w:ascii="Times New Roman" w:eastAsia="Calibri" w:hAnsi="Times New Roman" w:cs="Times New Roman"/>
          <w:b/>
          <w:sz w:val="24"/>
          <w:szCs w:val="24"/>
          <w:lang w:eastAsia="en-GB"/>
        </w:rPr>
        <w:t xml:space="preserve">ethanol </w:t>
      </w:r>
      <w:r w:rsidR="00C354F1" w:rsidRPr="00604355">
        <w:rPr>
          <w:rFonts w:ascii="Times New Roman" w:eastAsia="Calibri" w:hAnsi="Times New Roman" w:cs="Times New Roman"/>
          <w:b/>
          <w:sz w:val="24"/>
          <w:szCs w:val="24"/>
          <w:lang w:val="en-GB" w:eastAsia="en-GB"/>
        </w:rPr>
        <w:t>l</w:t>
      </w:r>
      <w:r w:rsidR="00C354F1" w:rsidRPr="00604355">
        <w:rPr>
          <w:rFonts w:ascii="Times New Roman" w:eastAsia="Calibri" w:hAnsi="Times New Roman" w:cs="Times New Roman"/>
          <w:b/>
          <w:sz w:val="24"/>
          <w:szCs w:val="24"/>
          <w:lang w:eastAsia="en-GB"/>
        </w:rPr>
        <w:t>ea</w:t>
      </w:r>
      <w:r w:rsidR="00C354F1" w:rsidRPr="00604355">
        <w:rPr>
          <w:rFonts w:ascii="Times New Roman" w:eastAsia="Calibri" w:hAnsi="Times New Roman" w:cs="Times New Roman"/>
          <w:b/>
          <w:sz w:val="24"/>
          <w:szCs w:val="24"/>
          <w:lang w:val="en-GB" w:eastAsia="en-GB"/>
        </w:rPr>
        <w:t>f</w:t>
      </w:r>
      <w:r w:rsidR="00C354F1" w:rsidRPr="00604355">
        <w:rPr>
          <w:rFonts w:ascii="Times New Roman" w:eastAsia="Calibri" w:hAnsi="Times New Roman" w:cs="Times New Roman"/>
          <w:b/>
          <w:sz w:val="24"/>
          <w:szCs w:val="24"/>
          <w:lang w:eastAsia="en-GB"/>
        </w:rPr>
        <w:t xml:space="preserve"> </w:t>
      </w:r>
      <w:r w:rsidR="00C354F1" w:rsidRPr="00604355">
        <w:rPr>
          <w:rFonts w:ascii="Times New Roman" w:eastAsia="Calibri" w:hAnsi="Times New Roman" w:cs="Times New Roman"/>
          <w:b/>
          <w:sz w:val="24"/>
          <w:szCs w:val="24"/>
          <w:lang w:val="en-GB" w:eastAsia="en-GB"/>
        </w:rPr>
        <w:t>e</w:t>
      </w:r>
      <w:r w:rsidR="00C354F1" w:rsidRPr="00604355">
        <w:rPr>
          <w:rFonts w:ascii="Times New Roman" w:eastAsia="Calibri" w:hAnsi="Times New Roman" w:cs="Times New Roman"/>
          <w:b/>
          <w:sz w:val="24"/>
          <w:szCs w:val="24"/>
          <w:lang w:eastAsia="en-GB"/>
        </w:rPr>
        <w:t>xtract on</w:t>
      </w:r>
      <w:r w:rsidR="00374464" w:rsidRPr="00604355">
        <w:rPr>
          <w:rFonts w:ascii="Times New Roman" w:hAnsi="Times New Roman" w:cs="Times New Roman"/>
          <w:b/>
          <w:color w:val="000000" w:themeColor="text1"/>
          <w:sz w:val="24"/>
          <w:szCs w:val="24"/>
        </w:rPr>
        <w:t xml:space="preserve"> complete blood count (WBC, LYM, NEU, MOMO,</w:t>
      </w:r>
      <w:r w:rsidR="00C354F1"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ESO, BASO, IMM % and ALY %) in wistar rat</w:t>
      </w:r>
    </w:p>
    <w:tbl>
      <w:tblPr>
        <w:tblStyle w:val="TableGrid"/>
        <w:tblW w:w="13310" w:type="dxa"/>
        <w:tblInd w:w="288" w:type="dxa"/>
        <w:tblBorders>
          <w:left w:val="none" w:sz="0" w:space="0" w:color="auto"/>
          <w:right w:val="none" w:sz="0" w:space="0" w:color="auto"/>
          <w:insideH w:val="none" w:sz="0" w:space="0" w:color="auto"/>
          <w:insideV w:val="none" w:sz="0" w:space="0" w:color="auto"/>
        </w:tblBorders>
        <w:tblLayout w:type="fixed"/>
        <w:tblLook w:val="07A0" w:firstRow="1" w:lastRow="0" w:firstColumn="1" w:lastColumn="1" w:noHBand="1" w:noVBand="1"/>
      </w:tblPr>
      <w:tblGrid>
        <w:gridCol w:w="2160"/>
        <w:gridCol w:w="1260"/>
        <w:gridCol w:w="1530"/>
        <w:gridCol w:w="1260"/>
        <w:gridCol w:w="1170"/>
        <w:gridCol w:w="1260"/>
        <w:gridCol w:w="1170"/>
        <w:gridCol w:w="1170"/>
        <w:gridCol w:w="1170"/>
        <w:gridCol w:w="1160"/>
      </w:tblGrid>
      <w:tr w:rsidR="00AE29A6" w:rsidRPr="00604355" w:rsidTr="00092D89">
        <w:tc>
          <w:tcPr>
            <w:tcW w:w="21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 xml:space="preserve">Groups </w:t>
            </w:r>
          </w:p>
        </w:tc>
        <w:tc>
          <w:tcPr>
            <w:tcW w:w="12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WBC</w:t>
            </w:r>
          </w:p>
        </w:tc>
        <w:tc>
          <w:tcPr>
            <w:tcW w:w="153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PLT %</w:t>
            </w:r>
          </w:p>
        </w:tc>
        <w:tc>
          <w:tcPr>
            <w:tcW w:w="12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LYM %</w:t>
            </w:r>
          </w:p>
        </w:tc>
        <w:tc>
          <w:tcPr>
            <w:tcW w:w="117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MON %</w:t>
            </w:r>
          </w:p>
        </w:tc>
        <w:tc>
          <w:tcPr>
            <w:tcW w:w="12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NEU %</w:t>
            </w:r>
          </w:p>
        </w:tc>
        <w:tc>
          <w:tcPr>
            <w:tcW w:w="117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EOS %</w:t>
            </w:r>
          </w:p>
        </w:tc>
        <w:tc>
          <w:tcPr>
            <w:tcW w:w="117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BAS %</w:t>
            </w:r>
          </w:p>
        </w:tc>
        <w:tc>
          <w:tcPr>
            <w:tcW w:w="117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IMM %</w:t>
            </w:r>
          </w:p>
        </w:tc>
        <w:tc>
          <w:tcPr>
            <w:tcW w:w="11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ALY %</w:t>
            </w:r>
          </w:p>
        </w:tc>
      </w:tr>
      <w:tr w:rsidR="00AE29A6" w:rsidRPr="00604355" w:rsidTr="00092D89">
        <w:tc>
          <w:tcPr>
            <w:tcW w:w="2160" w:type="dxa"/>
            <w:tcBorders>
              <w:top w:val="single" w:sz="4" w:space="0" w:color="auto"/>
            </w:tcBorders>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Negative Control</w:t>
            </w:r>
          </w:p>
        </w:tc>
        <w:tc>
          <w:tcPr>
            <w:tcW w:w="126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9.72±0.89</w:t>
            </w:r>
            <w:r w:rsidRPr="00604355">
              <w:rPr>
                <w:color w:val="000000" w:themeColor="text1"/>
                <w:sz w:val="24"/>
                <w:szCs w:val="24"/>
                <w:vertAlign w:val="superscript"/>
              </w:rPr>
              <w:t>a</w:t>
            </w:r>
          </w:p>
        </w:tc>
        <w:tc>
          <w:tcPr>
            <w:tcW w:w="153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582.60±24.03</w:t>
            </w:r>
            <w:r w:rsidRPr="00604355">
              <w:rPr>
                <w:color w:val="000000" w:themeColor="text1"/>
                <w:sz w:val="24"/>
                <w:szCs w:val="24"/>
                <w:vertAlign w:val="superscript"/>
              </w:rPr>
              <w:t>a</w:t>
            </w:r>
          </w:p>
        </w:tc>
        <w:tc>
          <w:tcPr>
            <w:tcW w:w="126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80.58±1.84</w:t>
            </w:r>
            <w:r w:rsidRPr="00604355">
              <w:rPr>
                <w:color w:val="000000" w:themeColor="text1"/>
                <w:sz w:val="24"/>
                <w:szCs w:val="24"/>
                <w:vertAlign w:val="superscript"/>
              </w:rPr>
              <w:t>a</w:t>
            </w:r>
          </w:p>
        </w:tc>
        <w:tc>
          <w:tcPr>
            <w:tcW w:w="1170" w:type="dxa"/>
            <w:tcBorders>
              <w:top w:val="single" w:sz="4" w:space="0" w:color="auto"/>
            </w:tcBorders>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1.36±0.22</w:t>
            </w:r>
          </w:p>
        </w:tc>
        <w:tc>
          <w:tcPr>
            <w:tcW w:w="126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14.58±2.07</w:t>
            </w:r>
            <w:r w:rsidRPr="00604355">
              <w:rPr>
                <w:color w:val="000000" w:themeColor="text1"/>
                <w:sz w:val="24"/>
                <w:szCs w:val="24"/>
                <w:vertAlign w:val="superscript"/>
              </w:rPr>
              <w:t>a</w:t>
            </w:r>
          </w:p>
        </w:tc>
        <w:tc>
          <w:tcPr>
            <w:tcW w:w="1170" w:type="dxa"/>
            <w:tcBorders>
              <w:top w:val="single" w:sz="4" w:space="0" w:color="auto"/>
            </w:tcBorders>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2.80±0.59</w:t>
            </w:r>
          </w:p>
        </w:tc>
        <w:tc>
          <w:tcPr>
            <w:tcW w:w="1170" w:type="dxa"/>
            <w:tcBorders>
              <w:top w:val="single" w:sz="4" w:space="0" w:color="auto"/>
            </w:tcBorders>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0.68±0.12</w:t>
            </w:r>
          </w:p>
        </w:tc>
        <w:tc>
          <w:tcPr>
            <w:tcW w:w="117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0.08±0.02</w:t>
            </w:r>
            <w:r w:rsidRPr="00604355">
              <w:rPr>
                <w:color w:val="000000" w:themeColor="text1"/>
                <w:sz w:val="24"/>
                <w:szCs w:val="24"/>
                <w:vertAlign w:val="superscript"/>
              </w:rPr>
              <w:t>a</w:t>
            </w:r>
          </w:p>
        </w:tc>
        <w:tc>
          <w:tcPr>
            <w:tcW w:w="116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1.48±0.22</w:t>
            </w:r>
            <w:r w:rsidRPr="00604355">
              <w:rPr>
                <w:color w:val="000000" w:themeColor="text1"/>
                <w:sz w:val="24"/>
                <w:szCs w:val="24"/>
                <w:vertAlign w:val="superscript"/>
              </w:rPr>
              <w:t>a</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Positive Control</w:t>
            </w:r>
          </w:p>
        </w:tc>
        <w:tc>
          <w:tcPr>
            <w:tcW w:w="126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11.94±0.82</w:t>
            </w:r>
            <w:r w:rsidRPr="00604355">
              <w:rPr>
                <w:color w:val="000000" w:themeColor="text1"/>
                <w:sz w:val="24"/>
                <w:szCs w:val="24"/>
                <w:vertAlign w:val="superscript"/>
              </w:rPr>
              <w:t>b</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998.20±42.65</w:t>
            </w:r>
            <w:r w:rsidRPr="00604355">
              <w:rPr>
                <w:color w:val="000000" w:themeColor="text1"/>
                <w:sz w:val="24"/>
                <w:szCs w:val="24"/>
                <w:vertAlign w:val="superscript"/>
              </w:rPr>
              <w:t>b</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62.32±2.58</w:t>
            </w:r>
            <w:r w:rsidRPr="00604355">
              <w:rPr>
                <w:color w:val="000000" w:themeColor="text1"/>
                <w:sz w:val="24"/>
                <w:szCs w:val="24"/>
                <w:vertAlign w:val="superscript"/>
              </w:rPr>
              <w:t>b</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2.24±0.42</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32.16±1.99</w:t>
            </w:r>
            <w:r w:rsidRPr="00604355">
              <w:rPr>
                <w:color w:val="000000" w:themeColor="text1"/>
                <w:sz w:val="24"/>
                <w:szCs w:val="24"/>
                <w:vertAlign w:val="superscript"/>
              </w:rPr>
              <w:t>b</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1.70±0.53</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1.40±0.27</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0.16±0.09</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2.32±0.23</w:t>
            </w:r>
            <w:r w:rsidRPr="00604355">
              <w:rPr>
                <w:color w:val="000000" w:themeColor="text1"/>
                <w:sz w:val="24"/>
                <w:szCs w:val="24"/>
                <w:vertAlign w:val="superscript"/>
              </w:rPr>
              <w:t>b</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Standard Drug</w:t>
            </w:r>
          </w:p>
        </w:tc>
        <w:tc>
          <w:tcPr>
            <w:tcW w:w="126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8.70±0.49</w:t>
            </w:r>
            <w:r w:rsidRPr="00604355">
              <w:rPr>
                <w:color w:val="000000" w:themeColor="text1"/>
                <w:sz w:val="24"/>
                <w:szCs w:val="24"/>
                <w:vertAlign w:val="superscript"/>
              </w:rPr>
              <w:t>a</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559.00±13.72</w:t>
            </w:r>
            <w:r w:rsidRPr="00604355">
              <w:rPr>
                <w:color w:val="000000" w:themeColor="text1"/>
                <w:sz w:val="24"/>
                <w:szCs w:val="24"/>
                <w:vertAlign w:val="superscript"/>
              </w:rPr>
              <w:t>a</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80.44±1.09</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1.70±0.39</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13.82±1.71</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3.20±0.62</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0.78±0.15</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0.06±0.03</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2.20±0.58</w:t>
            </w:r>
            <w:r w:rsidRPr="00604355">
              <w:rPr>
                <w:color w:val="000000" w:themeColor="text1"/>
                <w:sz w:val="24"/>
                <w:szCs w:val="24"/>
                <w:vertAlign w:val="superscript"/>
              </w:rPr>
              <w:t>b</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Low Dose Extract</w:t>
            </w:r>
          </w:p>
        </w:tc>
        <w:tc>
          <w:tcPr>
            <w:tcW w:w="126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7.58±0.41</w:t>
            </w:r>
            <w:r w:rsidRPr="00604355">
              <w:rPr>
                <w:color w:val="000000" w:themeColor="text1"/>
                <w:sz w:val="24"/>
                <w:szCs w:val="24"/>
                <w:vertAlign w:val="superscript"/>
              </w:rPr>
              <w:lastRenderedPageBreak/>
              <w:t>c</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lastRenderedPageBreak/>
              <w:t>516.80±32.9</w:t>
            </w:r>
            <w:r w:rsidRPr="00604355">
              <w:rPr>
                <w:color w:val="000000" w:themeColor="text1"/>
                <w:sz w:val="24"/>
                <w:szCs w:val="24"/>
              </w:rPr>
              <w:lastRenderedPageBreak/>
              <w:t>5</w:t>
            </w:r>
            <w:r w:rsidRPr="00604355">
              <w:rPr>
                <w:color w:val="000000" w:themeColor="text1"/>
                <w:sz w:val="24"/>
                <w:szCs w:val="24"/>
                <w:vertAlign w:val="superscript"/>
              </w:rPr>
              <w:t>ac</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lastRenderedPageBreak/>
              <w:t>67.62±4.1</w:t>
            </w:r>
            <w:r w:rsidRPr="00604355">
              <w:rPr>
                <w:color w:val="000000" w:themeColor="text1"/>
                <w:sz w:val="24"/>
                <w:szCs w:val="24"/>
              </w:rPr>
              <w:lastRenderedPageBreak/>
              <w:t>7</w:t>
            </w:r>
            <w:r w:rsidRPr="00604355">
              <w:rPr>
                <w:color w:val="000000" w:themeColor="text1"/>
                <w:sz w:val="24"/>
                <w:szCs w:val="24"/>
                <w:vertAlign w:val="superscript"/>
              </w:rPr>
              <w:t>b</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lastRenderedPageBreak/>
              <w:t>3.58±1.4</w:t>
            </w:r>
            <w:r w:rsidRPr="00604355">
              <w:rPr>
                <w:color w:val="000000" w:themeColor="text1"/>
                <w:sz w:val="24"/>
                <w:szCs w:val="24"/>
              </w:rPr>
              <w:lastRenderedPageBreak/>
              <w:t>6</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lastRenderedPageBreak/>
              <w:t>25.22±3.7</w:t>
            </w:r>
            <w:r w:rsidRPr="00604355">
              <w:rPr>
                <w:color w:val="000000" w:themeColor="text1"/>
                <w:sz w:val="24"/>
                <w:szCs w:val="24"/>
              </w:rPr>
              <w:lastRenderedPageBreak/>
              <w:t>5</w:t>
            </w:r>
            <w:r w:rsidRPr="00604355">
              <w:rPr>
                <w:color w:val="000000" w:themeColor="text1"/>
                <w:sz w:val="24"/>
                <w:szCs w:val="24"/>
                <w:vertAlign w:val="superscript"/>
              </w:rPr>
              <w:t>c</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lastRenderedPageBreak/>
              <w:t>2.92±0.6</w:t>
            </w:r>
            <w:r w:rsidRPr="00604355">
              <w:rPr>
                <w:color w:val="000000" w:themeColor="text1"/>
                <w:sz w:val="24"/>
                <w:szCs w:val="24"/>
              </w:rPr>
              <w:lastRenderedPageBreak/>
              <w:t>5</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lastRenderedPageBreak/>
              <w:t>0.66±0.0</w:t>
            </w:r>
            <w:r w:rsidRPr="00604355">
              <w:rPr>
                <w:color w:val="000000" w:themeColor="text1"/>
                <w:sz w:val="24"/>
                <w:szCs w:val="24"/>
              </w:rPr>
              <w:lastRenderedPageBreak/>
              <w:t>9</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lastRenderedPageBreak/>
              <w:t>0.08±0.0</w:t>
            </w:r>
            <w:r w:rsidRPr="00604355">
              <w:rPr>
                <w:color w:val="000000" w:themeColor="text1"/>
                <w:sz w:val="24"/>
                <w:szCs w:val="24"/>
              </w:rPr>
              <w:lastRenderedPageBreak/>
              <w:t>2</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lastRenderedPageBreak/>
              <w:t>2.56±0.4</w:t>
            </w:r>
            <w:r w:rsidRPr="00604355">
              <w:rPr>
                <w:color w:val="000000" w:themeColor="text1"/>
                <w:sz w:val="24"/>
                <w:szCs w:val="24"/>
              </w:rPr>
              <w:lastRenderedPageBreak/>
              <w:t>5</w:t>
            </w:r>
            <w:r w:rsidRPr="00604355">
              <w:rPr>
                <w:color w:val="000000" w:themeColor="text1"/>
                <w:sz w:val="24"/>
                <w:szCs w:val="24"/>
                <w:vertAlign w:val="superscript"/>
              </w:rPr>
              <w:t>b</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Medium Dose Extract</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12.66±0.64</w:t>
            </w:r>
            <w:r w:rsidRPr="00604355">
              <w:rPr>
                <w:color w:val="000000" w:themeColor="text1"/>
                <w:sz w:val="24"/>
                <w:szCs w:val="24"/>
                <w:vertAlign w:val="superscript"/>
              </w:rPr>
              <w:t>b</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525.20±46.75</w:t>
            </w:r>
            <w:r w:rsidRPr="00604355">
              <w:rPr>
                <w:color w:val="000000" w:themeColor="text1"/>
                <w:sz w:val="24"/>
                <w:szCs w:val="24"/>
                <w:vertAlign w:val="superscript"/>
              </w:rPr>
              <w:t>a</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84.00±0.97</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1.70±0.14</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12.12±0.49</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1.72±0.41</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0.46±0.09</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0.06±0.02</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1.26±0.10</w:t>
            </w:r>
            <w:r w:rsidRPr="00604355">
              <w:rPr>
                <w:color w:val="000000" w:themeColor="text1"/>
                <w:sz w:val="24"/>
                <w:szCs w:val="24"/>
                <w:vertAlign w:val="superscript"/>
              </w:rPr>
              <w:t>a</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High Dose Extract</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9.30±1.06</w:t>
            </w:r>
            <w:r w:rsidRPr="00604355">
              <w:rPr>
                <w:color w:val="000000" w:themeColor="text1"/>
                <w:sz w:val="24"/>
                <w:szCs w:val="24"/>
                <w:vertAlign w:val="superscript"/>
              </w:rPr>
              <w:t>a</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476.80±28.19</w:t>
            </w:r>
            <w:r w:rsidRPr="00604355">
              <w:rPr>
                <w:color w:val="000000" w:themeColor="text1"/>
                <w:sz w:val="24"/>
                <w:szCs w:val="24"/>
                <w:vertAlign w:val="superscript"/>
              </w:rPr>
              <w:t>c</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81.82±1.58</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1.26±0.29</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14.28±1.55</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2.26±0.31</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2.16±1.79</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0.02±0.02</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1.02±0.10</w:t>
            </w:r>
            <w:r w:rsidRPr="00604355">
              <w:rPr>
                <w:color w:val="000000" w:themeColor="text1"/>
                <w:sz w:val="24"/>
                <w:szCs w:val="24"/>
                <w:vertAlign w:val="superscript"/>
              </w:rPr>
              <w:t>a</w:t>
            </w:r>
          </w:p>
        </w:tc>
      </w:tr>
      <w:tr w:rsidR="00AE29A6" w:rsidRPr="00604355" w:rsidTr="00092D89">
        <w:tc>
          <w:tcPr>
            <w:tcW w:w="2160" w:type="dxa"/>
          </w:tcPr>
          <w:p w:rsidR="00AE29A6" w:rsidRPr="00604355" w:rsidRDefault="0077103C" w:rsidP="00720B3B">
            <w:pPr>
              <w:spacing w:after="0" w:line="240" w:lineRule="auto"/>
              <w:rPr>
                <w:b/>
                <w:color w:val="000000" w:themeColor="text1"/>
                <w:sz w:val="24"/>
                <w:szCs w:val="24"/>
              </w:rPr>
            </w:pPr>
            <w:r w:rsidRPr="00604355">
              <w:rPr>
                <w:color w:val="000000" w:themeColor="text1"/>
                <w:sz w:val="24"/>
                <w:szCs w:val="24"/>
                <w:lang w:val="en-US"/>
              </w:rPr>
              <w:t xml:space="preserve">Extract plus </w:t>
            </w:r>
            <w:r w:rsidR="00AE29A6" w:rsidRPr="00604355">
              <w:rPr>
                <w:color w:val="000000" w:themeColor="text1"/>
                <w:sz w:val="24"/>
                <w:szCs w:val="24"/>
                <w:lang w:val="en-US"/>
              </w:rPr>
              <w:t>Ferrous Sulfate</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7.42±0.58</w:t>
            </w:r>
            <w:r w:rsidRPr="00604355">
              <w:rPr>
                <w:color w:val="000000" w:themeColor="text1"/>
                <w:sz w:val="24"/>
                <w:szCs w:val="24"/>
                <w:vertAlign w:val="superscript"/>
              </w:rPr>
              <w:t>c</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582.60±24.65</w:t>
            </w:r>
            <w:r w:rsidRPr="00604355">
              <w:rPr>
                <w:color w:val="000000" w:themeColor="text1"/>
                <w:sz w:val="24"/>
                <w:szCs w:val="24"/>
                <w:vertAlign w:val="superscript"/>
              </w:rPr>
              <w:t>a</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79.10±3.97</w:t>
            </w:r>
            <w:r w:rsidRPr="00604355">
              <w:rPr>
                <w:color w:val="000000" w:themeColor="text1"/>
                <w:sz w:val="24"/>
                <w:szCs w:val="24"/>
                <w:vertAlign w:val="superscript"/>
              </w:rPr>
              <w:t>b</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1.48±0.16</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15.12±3.13</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3.74±0.96</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0.62±0.15</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0.58±0.48</w:t>
            </w:r>
          </w:p>
        </w:tc>
        <w:tc>
          <w:tcPr>
            <w:tcW w:w="1160" w:type="dxa"/>
          </w:tcPr>
          <w:p w:rsidR="00AE29A6" w:rsidRPr="00604355" w:rsidRDefault="00AE29A6" w:rsidP="00720B3B">
            <w:pPr>
              <w:spacing w:after="0" w:line="240" w:lineRule="auto"/>
              <w:rPr>
                <w:color w:val="000000" w:themeColor="text1"/>
                <w:sz w:val="24"/>
                <w:szCs w:val="24"/>
                <w:vertAlign w:val="superscript"/>
              </w:rPr>
            </w:pPr>
            <w:r w:rsidRPr="00604355">
              <w:rPr>
                <w:color w:val="000000" w:themeColor="text1"/>
                <w:sz w:val="24"/>
                <w:szCs w:val="24"/>
              </w:rPr>
              <w:t>1.12±0.12</w:t>
            </w:r>
            <w:r w:rsidRPr="00604355">
              <w:rPr>
                <w:color w:val="000000" w:themeColor="text1"/>
                <w:sz w:val="24"/>
                <w:szCs w:val="24"/>
                <w:vertAlign w:val="superscript"/>
              </w:rPr>
              <w:t>a</w:t>
            </w:r>
          </w:p>
        </w:tc>
      </w:tr>
      <w:tr w:rsidR="00AE29A6" w:rsidRPr="00604355" w:rsidTr="00092D89">
        <w:trPr>
          <w:trHeight w:val="77"/>
        </w:trPr>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rPr>
              <w:t>F value</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7.639</w:t>
            </w:r>
          </w:p>
        </w:tc>
        <w:tc>
          <w:tcPr>
            <w:tcW w:w="1530" w:type="dxa"/>
          </w:tcPr>
          <w:p w:rsidR="00AE29A6" w:rsidRPr="00604355" w:rsidRDefault="00AE29A6" w:rsidP="00720B3B">
            <w:pPr>
              <w:tabs>
                <w:tab w:val="left" w:pos="1215"/>
              </w:tabs>
              <w:spacing w:after="0" w:line="240" w:lineRule="auto"/>
              <w:rPr>
                <w:color w:val="000000" w:themeColor="text1"/>
                <w:sz w:val="24"/>
                <w:szCs w:val="24"/>
              </w:rPr>
            </w:pPr>
            <w:r w:rsidRPr="00604355">
              <w:rPr>
                <w:color w:val="000000" w:themeColor="text1"/>
                <w:sz w:val="24"/>
                <w:szCs w:val="24"/>
              </w:rPr>
              <w:t>32.461</w:t>
            </w:r>
            <w:r w:rsidRPr="00604355">
              <w:rPr>
                <w:color w:val="000000" w:themeColor="text1"/>
                <w:sz w:val="24"/>
                <w:szCs w:val="24"/>
              </w:rPr>
              <w:tab/>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9.846</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1.719</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10.514</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1.562</w:t>
            </w:r>
          </w:p>
        </w:tc>
        <w:tc>
          <w:tcPr>
            <w:tcW w:w="117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rPr>
              <w:t>0.768</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1.097</w:t>
            </w:r>
          </w:p>
        </w:tc>
        <w:tc>
          <w:tcPr>
            <w:tcW w:w="11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4.131</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i/>
                <w:color w:val="000000" w:themeColor="text1"/>
                <w:sz w:val="24"/>
                <w:szCs w:val="24"/>
              </w:rPr>
              <w:t xml:space="preserve">P </w:t>
            </w:r>
            <w:r w:rsidRPr="00604355">
              <w:rPr>
                <w:color w:val="000000" w:themeColor="text1"/>
                <w:sz w:val="24"/>
                <w:szCs w:val="24"/>
              </w:rPr>
              <w:t>value</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0.00001</w:t>
            </w:r>
          </w:p>
        </w:tc>
        <w:tc>
          <w:tcPr>
            <w:tcW w:w="153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0.00001</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0.153</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0.00001</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0.195</w:t>
            </w:r>
          </w:p>
        </w:tc>
        <w:tc>
          <w:tcPr>
            <w:tcW w:w="117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rPr>
              <w:t>0.601</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0.389</w:t>
            </w:r>
          </w:p>
        </w:tc>
        <w:tc>
          <w:tcPr>
            <w:tcW w:w="11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0.004</w:t>
            </w:r>
          </w:p>
        </w:tc>
      </w:tr>
    </w:tbl>
    <w:p w:rsidR="00374464" w:rsidRPr="00604355" w:rsidRDefault="00374464" w:rsidP="00720B3B">
      <w:pPr>
        <w:spacing w:after="0" w:line="240" w:lineRule="auto"/>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lang w:val="en-US"/>
        </w:rPr>
        <w:t>Values are mean</w:t>
      </w:r>
      <w:r w:rsidRPr="00604355">
        <w:rPr>
          <w:rFonts w:ascii="Times New Roman" w:hAnsi="Times New Roman" w:cs="Times New Roman"/>
          <w:color w:val="000000" w:themeColor="text1"/>
          <w:sz w:val="24"/>
          <w:szCs w:val="24"/>
        </w:rPr>
        <w:t xml:space="preserve">±standard error of the mean of the variables. Values with different superscript in the same column are significantly different, </w:t>
      </w:r>
      <w:r w:rsidRPr="00604355">
        <w:rPr>
          <w:rFonts w:ascii="Times New Roman" w:hAnsi="Times New Roman" w:cs="Times New Roman"/>
          <w:i/>
          <w:color w:val="000000" w:themeColor="text1"/>
          <w:sz w:val="24"/>
          <w:szCs w:val="24"/>
        </w:rPr>
        <w:t xml:space="preserve">p </w:t>
      </w:r>
      <w:r w:rsidRPr="00604355">
        <w:rPr>
          <w:rFonts w:ascii="Times New Roman" w:hAnsi="Times New Roman" w:cs="Times New Roman"/>
          <w:color w:val="000000" w:themeColor="text1"/>
          <w:sz w:val="24"/>
          <w:szCs w:val="24"/>
        </w:rPr>
        <w:t>&lt; 0.005 at 95 % confidence interval</w:t>
      </w:r>
      <w:r w:rsidRPr="00604355">
        <w:rPr>
          <w:rFonts w:ascii="Times New Roman" w:hAnsi="Times New Roman" w:cs="Times New Roman"/>
          <w:color w:val="000000" w:themeColor="text1"/>
          <w:sz w:val="24"/>
          <w:szCs w:val="24"/>
          <w:lang w:val="en-US"/>
        </w:rPr>
        <w:t>.</w:t>
      </w:r>
    </w:p>
    <w:p w:rsidR="0043249A" w:rsidRPr="00604355" w:rsidRDefault="0043249A" w:rsidP="00720B3B">
      <w:pPr>
        <w:spacing w:after="0" w:line="240" w:lineRule="auto"/>
        <w:rPr>
          <w:rFonts w:ascii="Times New Roman" w:hAnsi="Times New Roman" w:cs="Times New Roman"/>
          <w:color w:val="000000" w:themeColor="text1"/>
          <w:sz w:val="24"/>
          <w:szCs w:val="24"/>
          <w:lang w:val="en-US"/>
        </w:rPr>
      </w:pPr>
    </w:p>
    <w:p w:rsidR="0043249A" w:rsidRPr="00604355" w:rsidRDefault="0043249A" w:rsidP="00720B3B">
      <w:pPr>
        <w:spacing w:after="0" w:line="240" w:lineRule="auto"/>
        <w:rPr>
          <w:rFonts w:ascii="Times New Roman" w:hAnsi="Times New Roman" w:cs="Times New Roman"/>
          <w:color w:val="000000" w:themeColor="text1"/>
          <w:sz w:val="24"/>
          <w:szCs w:val="24"/>
          <w:lang w:val="en-US"/>
        </w:rPr>
      </w:pPr>
    </w:p>
    <w:p w:rsidR="0043249A" w:rsidRPr="00604355" w:rsidRDefault="0043249A" w:rsidP="00720B3B">
      <w:pPr>
        <w:spacing w:after="0" w:line="240" w:lineRule="auto"/>
        <w:rPr>
          <w:rFonts w:ascii="Times New Roman" w:hAnsi="Times New Roman" w:cs="Times New Roman"/>
          <w:color w:val="000000" w:themeColor="text1"/>
          <w:sz w:val="24"/>
          <w:szCs w:val="24"/>
          <w:lang w:val="en-US"/>
        </w:rPr>
        <w:sectPr w:rsidR="0043249A" w:rsidRPr="00604355" w:rsidSect="00AE29A6">
          <w:pgSz w:w="16838" w:h="11906" w:orient="landscape"/>
          <w:pgMar w:top="1440" w:right="1440" w:bottom="1440" w:left="1440" w:header="708" w:footer="708" w:gutter="0"/>
          <w:cols w:space="708"/>
          <w:docGrid w:linePitch="360"/>
        </w:sectPr>
      </w:pPr>
    </w:p>
    <w:p w:rsidR="00374464" w:rsidRPr="00604355" w:rsidRDefault="004F288D" w:rsidP="00720B3B">
      <w:pPr>
        <w:pStyle w:val="Heading2"/>
        <w:spacing w:beforeAutospacing="0" w:afterAutospacing="0"/>
        <w:rPr>
          <w:rFonts w:ascii="Times New Roman" w:hAnsi="Times New Roman" w:hint="default"/>
          <w:sz w:val="24"/>
          <w:szCs w:val="24"/>
        </w:rPr>
      </w:pPr>
      <w:bookmarkStart w:id="17" w:name="_Toc158455450"/>
      <w:r w:rsidRPr="00604355">
        <w:rPr>
          <w:rFonts w:ascii="Times New Roman" w:hAnsi="Times New Roman" w:hint="default"/>
          <w:sz w:val="24"/>
          <w:szCs w:val="24"/>
        </w:rPr>
        <w:lastRenderedPageBreak/>
        <w:t>1.15 DISCUSSION</w:t>
      </w:r>
      <w:bookmarkEnd w:id="17"/>
    </w:p>
    <w:p w:rsidR="00374464" w:rsidRPr="00604355" w:rsidRDefault="00374464" w:rsidP="00720B3B">
      <w:pPr>
        <w:pStyle w:val="NormalWeb"/>
        <w:spacing w:before="0" w:beforeAutospacing="0" w:after="0" w:afterAutospacing="0"/>
        <w:jc w:val="both"/>
        <w:rPr>
          <w:lang w:val="en-US"/>
        </w:rPr>
      </w:pPr>
      <w:r w:rsidRPr="00604355">
        <w:t>Herbal medicine continues to serve as an alternative to conventional synthetic drugs for managing diseases, largely because it is affordable, easily accessible, and generally associated with fewer side effects. As a result, its effectiveness is widely recognized</w:t>
      </w:r>
      <w:r w:rsidR="0005142F" w:rsidRPr="00604355">
        <w:t xml:space="preserve"> in many developing countries</w:t>
      </w:r>
      <w:r w:rsidR="0005142F" w:rsidRPr="00604355">
        <w:rPr>
          <w:lang w:val="en-GB"/>
        </w:rPr>
        <w:t xml:space="preserve"> as reported by </w:t>
      </w:r>
      <w:r w:rsidRPr="00604355">
        <w:t>Ubaka</w:t>
      </w:r>
      <w:r w:rsidRPr="00604355">
        <w:rPr>
          <w:lang w:val="en-US"/>
        </w:rPr>
        <w:t xml:space="preserve"> </w:t>
      </w:r>
      <w:r w:rsidRPr="00604355">
        <w:rPr>
          <w:rFonts w:eastAsia="Calibri"/>
          <w:i/>
        </w:rPr>
        <w:t>et al</w:t>
      </w:r>
      <w:r w:rsidR="0005142F" w:rsidRPr="00604355">
        <w:rPr>
          <w:rFonts w:eastAsia="Calibri"/>
        </w:rPr>
        <w:t>.</w:t>
      </w:r>
      <w:r w:rsidR="0005142F" w:rsidRPr="00604355">
        <w:rPr>
          <w:rFonts w:eastAsia="Calibri"/>
          <w:lang w:val="en-GB"/>
        </w:rPr>
        <w:t xml:space="preserve"> (</w:t>
      </w:r>
      <w:r w:rsidRPr="00604355">
        <w:rPr>
          <w:rFonts w:eastAsia="Calibri"/>
          <w:lang w:val="en-US"/>
        </w:rPr>
        <w:t>2010)</w:t>
      </w:r>
      <w:r w:rsidRPr="00604355">
        <w:t>. Research has shown that F. capensis has a variety of pharmacological</w:t>
      </w:r>
      <w:r w:rsidRPr="00604355">
        <w:rPr>
          <w:lang w:val="en-US"/>
        </w:rPr>
        <w:t xml:space="preserve"> </w:t>
      </w:r>
      <w:r w:rsidRPr="00604355">
        <w:t>functions and activities.</w:t>
      </w:r>
    </w:p>
    <w:p w:rsidR="00374464" w:rsidRPr="00604355" w:rsidRDefault="00B85984" w:rsidP="00720B3B">
      <w:pPr>
        <w:spacing w:after="0" w:line="240" w:lineRule="auto"/>
        <w:jc w:val="both"/>
        <w:rPr>
          <w:rFonts w:ascii="Times New Roman" w:eastAsia="Times New Roman" w:hAnsi="Times New Roman" w:cs="Times New Roman"/>
          <w:sz w:val="24"/>
          <w:szCs w:val="24"/>
          <w:lang w:val="en-GB"/>
        </w:rPr>
      </w:pPr>
      <w:r w:rsidRPr="00604355">
        <w:rPr>
          <w:rFonts w:ascii="Times New Roman" w:hAnsi="Times New Roman" w:cs="Times New Roman"/>
          <w:sz w:val="24"/>
          <w:szCs w:val="24"/>
          <w:lang w:val="en-US"/>
        </w:rPr>
        <w:t>The phytochemical constituents of</w:t>
      </w:r>
      <w:r w:rsidRPr="00604355">
        <w:rPr>
          <w:rFonts w:ascii="Times New Roman" w:eastAsia="Times New Roman" w:hAnsi="Times New Roman" w:cs="Times New Roman"/>
          <w:sz w:val="24"/>
          <w:szCs w:val="24"/>
        </w:rPr>
        <w:t xml:space="preserve"> </w:t>
      </w:r>
      <w:r w:rsidR="00374464" w:rsidRPr="00604355">
        <w:rPr>
          <w:rFonts w:ascii="Times New Roman" w:eastAsia="Times New Roman" w:hAnsi="Times New Roman" w:cs="Times New Roman"/>
          <w:sz w:val="24"/>
          <w:szCs w:val="24"/>
        </w:rPr>
        <w:t xml:space="preserve"> the methanolic extract of </w:t>
      </w:r>
      <w:r w:rsidR="00374464" w:rsidRPr="00604355">
        <w:rPr>
          <w:rFonts w:ascii="Times New Roman" w:eastAsia="Times New Roman" w:hAnsi="Times New Roman" w:cs="Times New Roman"/>
          <w:i/>
          <w:iCs/>
          <w:sz w:val="24"/>
          <w:szCs w:val="24"/>
        </w:rPr>
        <w:t>Ficus capensis</w:t>
      </w:r>
      <w:r w:rsidRPr="00604355">
        <w:rPr>
          <w:rFonts w:ascii="Times New Roman" w:eastAsia="Times New Roman" w:hAnsi="Times New Roman" w:cs="Times New Roman"/>
          <w:sz w:val="24"/>
          <w:szCs w:val="24"/>
        </w:rPr>
        <w:t xml:space="preserve"> lea</w:t>
      </w:r>
      <w:r w:rsidRPr="00604355">
        <w:rPr>
          <w:rFonts w:ascii="Times New Roman" w:eastAsia="Times New Roman" w:hAnsi="Times New Roman" w:cs="Times New Roman"/>
          <w:sz w:val="24"/>
          <w:szCs w:val="24"/>
          <w:lang w:val="en-GB"/>
        </w:rPr>
        <w:t>f</w:t>
      </w:r>
      <w:r w:rsidR="00374464" w:rsidRPr="00604355">
        <w:rPr>
          <w:rFonts w:ascii="Times New Roman" w:eastAsia="Times New Roman" w:hAnsi="Times New Roman" w:cs="Times New Roman"/>
          <w:sz w:val="24"/>
          <w:szCs w:val="24"/>
        </w:rPr>
        <w:t xml:space="preserve"> contains </w:t>
      </w:r>
      <w:r w:rsidR="00374464" w:rsidRPr="00604355">
        <w:rPr>
          <w:rFonts w:ascii="Times New Roman" w:eastAsia="Times New Roman" w:hAnsi="Times New Roman" w:cs="Times New Roman"/>
          <w:bCs/>
          <w:sz w:val="24"/>
          <w:szCs w:val="24"/>
        </w:rPr>
        <w:t>a complex mixture of fatty acids, esters, terpenoids, and hydrocarbons</w:t>
      </w:r>
      <w:r w:rsidRPr="00604355">
        <w:rPr>
          <w:rFonts w:ascii="Times New Roman" w:eastAsia="Times New Roman" w:hAnsi="Times New Roman" w:cs="Times New Roman"/>
          <w:sz w:val="24"/>
          <w:szCs w:val="24"/>
          <w:lang w:val="en-GB"/>
        </w:rPr>
        <w:t xml:space="preserve"> </w:t>
      </w:r>
      <w:r w:rsidR="00374464" w:rsidRPr="00604355">
        <w:rPr>
          <w:rFonts w:ascii="Times New Roman" w:eastAsia="Times New Roman" w:hAnsi="Times New Roman" w:cs="Times New Roman"/>
          <w:sz w:val="24"/>
          <w:szCs w:val="24"/>
        </w:rPr>
        <w:t>phytochemicals typically associated with antioxidant, anti-inflammatory, antimicrobial, and hematopoietic (blood-building) activities</w:t>
      </w:r>
      <w:r w:rsidR="00374464" w:rsidRPr="00604355">
        <w:rPr>
          <w:rFonts w:ascii="Times New Roman" w:eastAsia="Times New Roman" w:hAnsi="Times New Roman" w:cs="Times New Roman"/>
          <w:sz w:val="24"/>
          <w:szCs w:val="24"/>
          <w:lang w:val="en-US"/>
        </w:rPr>
        <w:t xml:space="preserve">. </w:t>
      </w:r>
      <w:r w:rsidR="00374464" w:rsidRPr="00604355">
        <w:rPr>
          <w:rFonts w:ascii="Times New Roman" w:eastAsia="Times New Roman" w:hAnsi="Times New Roman" w:cs="Times New Roman"/>
          <w:sz w:val="24"/>
          <w:szCs w:val="24"/>
        </w:rPr>
        <w:t xml:space="preserve">The GC–MS profile demonstrates that </w:t>
      </w:r>
      <w:r w:rsidR="00374464" w:rsidRPr="00604355">
        <w:rPr>
          <w:rFonts w:ascii="Times New Roman" w:eastAsia="Times New Roman" w:hAnsi="Times New Roman" w:cs="Times New Roman"/>
          <w:i/>
          <w:iCs/>
          <w:sz w:val="24"/>
          <w:szCs w:val="24"/>
        </w:rPr>
        <w:t>Ficus capensis</w:t>
      </w:r>
      <w:r w:rsidR="00374464" w:rsidRPr="00604355">
        <w:rPr>
          <w:rFonts w:ascii="Times New Roman" w:eastAsia="Times New Roman" w:hAnsi="Times New Roman" w:cs="Times New Roman"/>
          <w:sz w:val="24"/>
          <w:szCs w:val="24"/>
        </w:rPr>
        <w:t xml:space="preserve"> leaves are rich in </w:t>
      </w:r>
      <w:r w:rsidR="00374464" w:rsidRPr="00604355">
        <w:rPr>
          <w:rFonts w:ascii="Times New Roman" w:eastAsia="Times New Roman" w:hAnsi="Times New Roman" w:cs="Times New Roman"/>
          <w:bCs/>
          <w:sz w:val="24"/>
          <w:szCs w:val="24"/>
        </w:rPr>
        <w:t>bioactive lipophilic compounds</w:t>
      </w:r>
      <w:r w:rsidR="00374464" w:rsidRPr="00604355">
        <w:rPr>
          <w:rFonts w:ascii="Times New Roman" w:eastAsia="Times New Roman" w:hAnsi="Times New Roman" w:cs="Times New Roman"/>
          <w:sz w:val="24"/>
          <w:szCs w:val="24"/>
        </w:rPr>
        <w:t xml:space="preserve"> (notably terpenoids and fatty acid derivatives). These constituents have documented </w:t>
      </w:r>
      <w:r w:rsidR="00374464" w:rsidRPr="00604355">
        <w:rPr>
          <w:rFonts w:ascii="Times New Roman" w:eastAsia="Times New Roman" w:hAnsi="Times New Roman" w:cs="Times New Roman"/>
          <w:bCs/>
          <w:sz w:val="24"/>
          <w:szCs w:val="24"/>
        </w:rPr>
        <w:t>antioxidant and anti-inflammatory</w:t>
      </w:r>
      <w:r w:rsidR="00374464" w:rsidRPr="00604355">
        <w:rPr>
          <w:rFonts w:ascii="Times New Roman" w:eastAsia="Times New Roman" w:hAnsi="Times New Roman" w:cs="Times New Roman"/>
          <w:sz w:val="24"/>
          <w:szCs w:val="24"/>
        </w:rPr>
        <w:t xml:space="preserve"> mechanisms that can: </w:t>
      </w:r>
      <w:r w:rsidR="00374464" w:rsidRPr="00604355">
        <w:rPr>
          <w:rFonts w:ascii="Times New Roman" w:eastAsia="Times New Roman" w:hAnsi="Times New Roman" w:cs="Times New Roman"/>
          <w:bCs/>
          <w:sz w:val="24"/>
          <w:szCs w:val="24"/>
        </w:rPr>
        <w:t>Enhance erythropoiesis (red cell production)</w:t>
      </w:r>
      <w:r w:rsidR="00374464" w:rsidRPr="00604355">
        <w:rPr>
          <w:rFonts w:ascii="Times New Roman" w:eastAsia="Times New Roman" w:hAnsi="Times New Roman" w:cs="Times New Roman"/>
          <w:sz w:val="24"/>
          <w:szCs w:val="24"/>
        </w:rPr>
        <w:t xml:space="preserve"> by supporting erythropoietin activity. </w:t>
      </w:r>
      <w:r w:rsidR="00374464" w:rsidRPr="00604355">
        <w:rPr>
          <w:rFonts w:ascii="Times New Roman" w:eastAsia="Times New Roman" w:hAnsi="Times New Roman" w:cs="Times New Roman"/>
          <w:bCs/>
          <w:sz w:val="24"/>
          <w:szCs w:val="24"/>
        </w:rPr>
        <w:t>Modulate hepcidin levels</w:t>
      </w:r>
      <w:r w:rsidR="00374464" w:rsidRPr="00604355">
        <w:rPr>
          <w:rFonts w:ascii="Times New Roman" w:eastAsia="Times New Roman" w:hAnsi="Times New Roman" w:cs="Times New Roman"/>
          <w:sz w:val="24"/>
          <w:szCs w:val="24"/>
        </w:rPr>
        <w:t xml:space="preserve"> through antioxidant regulation of IL-6 and inflammatory pathways. </w:t>
      </w:r>
      <w:r w:rsidR="00374464" w:rsidRPr="00604355">
        <w:rPr>
          <w:rFonts w:ascii="Times New Roman" w:eastAsia="Times New Roman" w:hAnsi="Times New Roman" w:cs="Times New Roman"/>
          <w:bCs/>
          <w:sz w:val="24"/>
          <w:szCs w:val="24"/>
        </w:rPr>
        <w:t>Protect erythrocyte membranes</w:t>
      </w:r>
      <w:r w:rsidR="00374464" w:rsidRPr="00604355">
        <w:rPr>
          <w:rFonts w:ascii="Times New Roman" w:eastAsia="Times New Roman" w:hAnsi="Times New Roman" w:cs="Times New Roman"/>
          <w:sz w:val="24"/>
          <w:szCs w:val="24"/>
        </w:rPr>
        <w:t xml:space="preserve"> from oxidative hemolysis caused by phenylhydrazine-induced free radicals.Therefore, the </w:t>
      </w:r>
      <w:r w:rsidR="00374464" w:rsidRPr="00604355">
        <w:rPr>
          <w:rFonts w:ascii="Times New Roman" w:eastAsia="Times New Roman" w:hAnsi="Times New Roman" w:cs="Times New Roman"/>
          <w:bCs/>
          <w:sz w:val="24"/>
          <w:szCs w:val="24"/>
        </w:rPr>
        <w:t>presence of β-amyrin, squalene, phytol, and unsaturated fatty acid esters</w:t>
      </w:r>
      <w:r w:rsidR="00374464" w:rsidRPr="00604355">
        <w:rPr>
          <w:rFonts w:ascii="Times New Roman" w:eastAsia="Times New Roman" w:hAnsi="Times New Roman" w:cs="Times New Roman"/>
          <w:sz w:val="24"/>
          <w:szCs w:val="24"/>
        </w:rPr>
        <w:t xml:space="preserve"> supports the </w:t>
      </w:r>
      <w:r w:rsidR="00374464" w:rsidRPr="00604355">
        <w:rPr>
          <w:rFonts w:ascii="Times New Roman" w:eastAsia="Times New Roman" w:hAnsi="Times New Roman" w:cs="Times New Roman"/>
          <w:bCs/>
          <w:sz w:val="24"/>
          <w:szCs w:val="24"/>
        </w:rPr>
        <w:t xml:space="preserve">traditional use of </w:t>
      </w:r>
      <w:r w:rsidR="00374464" w:rsidRPr="00604355">
        <w:rPr>
          <w:rFonts w:ascii="Times New Roman" w:eastAsia="Times New Roman" w:hAnsi="Times New Roman" w:cs="Times New Roman"/>
          <w:bCs/>
          <w:i/>
          <w:iCs/>
          <w:sz w:val="24"/>
          <w:szCs w:val="24"/>
        </w:rPr>
        <w:t>Ficus capensis</w:t>
      </w:r>
      <w:r w:rsidR="00374464" w:rsidRPr="00604355">
        <w:rPr>
          <w:rFonts w:ascii="Times New Roman" w:eastAsia="Times New Roman" w:hAnsi="Times New Roman" w:cs="Times New Roman"/>
          <w:bCs/>
          <w:sz w:val="24"/>
          <w:szCs w:val="24"/>
        </w:rPr>
        <w:t xml:space="preserve"> in treating anemia and blood-related disorders</w:t>
      </w:r>
      <w:r w:rsidR="00374464" w:rsidRPr="00604355">
        <w:rPr>
          <w:rFonts w:ascii="Times New Roman" w:eastAsia="Times New Roman" w:hAnsi="Times New Roman" w:cs="Times New Roman"/>
          <w:sz w:val="24"/>
          <w:szCs w:val="24"/>
        </w:rPr>
        <w:t>, as these compounds collectively help maintain red cell integrity and restore hematopoietic balance.</w:t>
      </w:r>
      <w:r w:rsidRPr="00604355">
        <w:rPr>
          <w:rFonts w:ascii="Times New Roman" w:eastAsia="Times New Roman" w:hAnsi="Times New Roman" w:cs="Times New Roman"/>
          <w:sz w:val="24"/>
          <w:szCs w:val="24"/>
          <w:lang w:val="en-GB"/>
        </w:rPr>
        <w:t xml:space="preserve"> Th</w:t>
      </w:r>
      <w:r w:rsidR="00322293" w:rsidRPr="00604355">
        <w:rPr>
          <w:rFonts w:ascii="Times New Roman" w:eastAsia="Times New Roman" w:hAnsi="Times New Roman" w:cs="Times New Roman"/>
          <w:sz w:val="24"/>
          <w:szCs w:val="24"/>
          <w:lang w:val="en-GB"/>
        </w:rPr>
        <w:t>e findings were</w:t>
      </w:r>
      <w:r w:rsidRPr="00604355">
        <w:rPr>
          <w:rFonts w:ascii="Times New Roman" w:eastAsia="Times New Roman" w:hAnsi="Times New Roman" w:cs="Times New Roman"/>
          <w:sz w:val="24"/>
          <w:szCs w:val="24"/>
          <w:lang w:val="en-GB"/>
        </w:rPr>
        <w:t xml:space="preserve"> similar with the research conducted and reported by</w:t>
      </w:r>
      <w:r w:rsidR="00322293" w:rsidRPr="00604355">
        <w:rPr>
          <w:rFonts w:ascii="Times New Roman" w:eastAsia="Times New Roman" w:hAnsi="Times New Roman" w:cs="Times New Roman"/>
          <w:sz w:val="24"/>
          <w:szCs w:val="24"/>
          <w:lang w:val="en-GB"/>
        </w:rPr>
        <w:t xml:space="preserve"> </w:t>
      </w:r>
      <w:r w:rsidRPr="00604355">
        <w:rPr>
          <w:rFonts w:ascii="Times New Roman" w:hAnsi="Times New Roman" w:cs="Times New Roman"/>
          <w:sz w:val="24"/>
          <w:szCs w:val="24"/>
        </w:rPr>
        <w:t xml:space="preserve">Abubakar </w:t>
      </w:r>
      <w:r w:rsidRPr="00604355">
        <w:rPr>
          <w:rFonts w:ascii="Times New Roman" w:hAnsi="Times New Roman" w:cs="Times New Roman"/>
          <w:i/>
          <w:sz w:val="24"/>
          <w:szCs w:val="24"/>
        </w:rPr>
        <w:t>et al.,</w:t>
      </w:r>
      <w:r w:rsidRPr="00604355">
        <w:rPr>
          <w:rFonts w:ascii="Times New Roman" w:hAnsi="Times New Roman" w:cs="Times New Roman"/>
          <w:sz w:val="24"/>
          <w:szCs w:val="24"/>
        </w:rPr>
        <w:t xml:space="preserve"> </w:t>
      </w:r>
      <w:r w:rsidR="00322293" w:rsidRPr="00604355">
        <w:rPr>
          <w:rFonts w:ascii="Times New Roman" w:hAnsi="Times New Roman" w:cs="Times New Roman"/>
          <w:sz w:val="24"/>
          <w:szCs w:val="24"/>
          <w:lang w:val="en-GB"/>
        </w:rPr>
        <w:t>(</w:t>
      </w:r>
      <w:r w:rsidRPr="00604355">
        <w:rPr>
          <w:rFonts w:ascii="Times New Roman" w:hAnsi="Times New Roman" w:cs="Times New Roman"/>
          <w:sz w:val="24"/>
          <w:szCs w:val="24"/>
        </w:rPr>
        <w:t>2021</w:t>
      </w:r>
      <w:r w:rsidR="00322293" w:rsidRPr="00604355">
        <w:rPr>
          <w:rFonts w:ascii="Times New Roman" w:hAnsi="Times New Roman" w:cs="Times New Roman"/>
          <w:sz w:val="24"/>
          <w:szCs w:val="24"/>
          <w:lang w:val="en-GB"/>
        </w:rPr>
        <w:t>).</w:t>
      </w:r>
    </w:p>
    <w:p w:rsidR="00374464" w:rsidRPr="00604355" w:rsidRDefault="00374464" w:rsidP="00720B3B">
      <w:pPr>
        <w:pStyle w:val="NormalWeb"/>
        <w:spacing w:before="0" w:beforeAutospacing="0" w:after="0" w:afterAutospacing="0"/>
        <w:jc w:val="both"/>
        <w:rPr>
          <w:lang w:val="en-US"/>
        </w:rPr>
      </w:pPr>
      <w:r w:rsidRPr="00604355">
        <w:t xml:space="preserve">Minimal lethal dose of the extract was determined using the method of Lorke (1983), and it was found that, even at a dose of 5000 mg/kg body weight the animals show no sign of toxicity and no mortality, meaning the extract possess no toxic effect by extension safe to consume, </w:t>
      </w:r>
      <w:r w:rsidRPr="00604355">
        <w:t>this finding is in agre</w:t>
      </w:r>
      <w:r w:rsidR="00924183" w:rsidRPr="00604355">
        <w:t xml:space="preserve">ement with the findings of </w:t>
      </w:r>
      <w:r w:rsidRPr="00604355">
        <w:t xml:space="preserve"> Mohammad </w:t>
      </w:r>
      <w:r w:rsidRPr="00604355">
        <w:rPr>
          <w:i/>
          <w:iCs/>
        </w:rPr>
        <w:t xml:space="preserve">et al. </w:t>
      </w:r>
      <w:r w:rsidR="000364A5" w:rsidRPr="00604355">
        <w:t>(2019);</w:t>
      </w:r>
      <w:r w:rsidRPr="00604355">
        <w:t xml:space="preserve"> who worked independently and reported no sign of toxicity even at a dose of 5000 mg/kg b.w. through different solvent were use</w:t>
      </w:r>
      <w:r w:rsidRPr="00604355">
        <w:rPr>
          <w:lang w:val="en-US"/>
        </w:rPr>
        <w:t>.</w:t>
      </w:r>
    </w:p>
    <w:p w:rsidR="00374464" w:rsidRPr="00604355" w:rsidRDefault="00374464" w:rsidP="00720B3B">
      <w:pPr>
        <w:pStyle w:val="NormalWeb"/>
        <w:spacing w:before="0" w:beforeAutospacing="0" w:after="0" w:afterAutospacing="0"/>
        <w:jc w:val="both"/>
        <w:rPr>
          <w:lang w:val="en-US"/>
        </w:rPr>
      </w:pPr>
      <w:r w:rsidRPr="00604355">
        <w:t xml:space="preserve">In this study, the </w:t>
      </w:r>
      <w:r w:rsidRPr="00604355">
        <w:rPr>
          <w:bCs/>
        </w:rPr>
        <w:t>Negative Control group</w:t>
      </w:r>
      <w:r w:rsidRPr="00604355">
        <w:t xml:space="preserve"> (non-anemic rats) showed a consistent and significant increase in body weight from the initial </w:t>
      </w:r>
      <w:r w:rsidR="00F66551" w:rsidRPr="00604355">
        <w:t>to the final measurement</w:t>
      </w:r>
      <w:r w:rsidRPr="00604355">
        <w:t xml:space="preserve">, indicating normal physiological growth and metabolic function. In contrast, the </w:t>
      </w:r>
      <w:r w:rsidRPr="00604355">
        <w:rPr>
          <w:bCs/>
        </w:rPr>
        <w:t>Positive Control group</w:t>
      </w:r>
      <w:r w:rsidRPr="00604355">
        <w:t xml:space="preserve"> (phenylhydrazine-induced untreated rats) exhibited the lowes</w:t>
      </w:r>
      <w:r w:rsidR="00BA5B2A" w:rsidRPr="00604355">
        <w:t>t overall weight gain</w:t>
      </w:r>
      <w:r w:rsidR="00BA5B2A" w:rsidRPr="00604355">
        <w:rPr>
          <w:lang w:val="en-GB"/>
        </w:rPr>
        <w:t>,</w:t>
      </w:r>
      <w:r w:rsidR="00BA5B2A" w:rsidRPr="00604355">
        <w:t xml:space="preserve"> </w:t>
      </w:r>
      <w:r w:rsidRPr="00604355">
        <w:t>suggesting that phenylhydrazine administration adversely affected appetite, metabolism, and erythropoietic capacity. This observation aligns with earlier studies where phenylhydrazine-induced oxidative stress and hemolytic anemia led to reduced body weight due to increased metab</w:t>
      </w:r>
      <w:r w:rsidR="00322293" w:rsidRPr="00604355">
        <w:t>olic burden and tissue hypoxia</w:t>
      </w:r>
      <w:r w:rsidR="00322293" w:rsidRPr="00604355">
        <w:rPr>
          <w:lang w:val="en-GB"/>
        </w:rPr>
        <w:t xml:space="preserve"> as</w:t>
      </w:r>
      <w:r w:rsidR="00322293" w:rsidRPr="00604355">
        <w:t xml:space="preserve"> </w:t>
      </w:r>
      <w:r w:rsidR="00322293" w:rsidRPr="00604355">
        <w:rPr>
          <w:lang w:val="en-GB"/>
        </w:rPr>
        <w:t xml:space="preserve">reported by </w:t>
      </w:r>
      <w:r w:rsidRPr="00604355">
        <w:t xml:space="preserve">Abubakar </w:t>
      </w:r>
      <w:r w:rsidRPr="00604355">
        <w:rPr>
          <w:i/>
        </w:rPr>
        <w:t>et al.</w:t>
      </w:r>
      <w:r w:rsidRPr="00604355">
        <w:t xml:space="preserve"> </w:t>
      </w:r>
      <w:r w:rsidR="00322293" w:rsidRPr="00604355">
        <w:rPr>
          <w:lang w:val="en-GB"/>
        </w:rPr>
        <w:t>(</w:t>
      </w:r>
      <w:r w:rsidRPr="00604355">
        <w:t>2021</w:t>
      </w:r>
      <w:r w:rsidR="00322293" w:rsidRPr="00604355">
        <w:rPr>
          <w:lang w:val="en-GB"/>
        </w:rPr>
        <w:t>)</w:t>
      </w:r>
      <w:r w:rsidRPr="00604355">
        <w:t xml:space="preserve">; Iya </w:t>
      </w:r>
      <w:r w:rsidRPr="00604355">
        <w:rPr>
          <w:i/>
        </w:rPr>
        <w:t>et al</w:t>
      </w:r>
      <w:r w:rsidR="00322293" w:rsidRPr="00604355">
        <w:t>.</w:t>
      </w:r>
      <w:r w:rsidR="00322293" w:rsidRPr="00604355">
        <w:rPr>
          <w:lang w:val="en-GB"/>
        </w:rPr>
        <w:t xml:space="preserve"> (</w:t>
      </w:r>
      <w:r w:rsidR="00322293" w:rsidRPr="00604355">
        <w:t>2022)</w:t>
      </w:r>
      <w:r w:rsidR="00322293" w:rsidRPr="00604355">
        <w:rPr>
          <w:lang w:val="en-GB"/>
        </w:rPr>
        <w:t>.</w:t>
      </w:r>
      <w:r w:rsidRPr="00604355">
        <w:t xml:space="preserve"> The </w:t>
      </w:r>
      <w:r w:rsidRPr="00604355">
        <w:rPr>
          <w:bCs/>
        </w:rPr>
        <w:t>Standard</w:t>
      </w:r>
      <w:r w:rsidRPr="00604355">
        <w:rPr>
          <w:b/>
          <w:bCs/>
        </w:rPr>
        <w:t xml:space="preserve"> </w:t>
      </w:r>
      <w:r w:rsidRPr="00604355">
        <w:rPr>
          <w:bCs/>
        </w:rPr>
        <w:t>Drug-treated group</w:t>
      </w:r>
      <w:r w:rsidR="00BA5B2A" w:rsidRPr="00604355">
        <w:t xml:space="preserve"> </w:t>
      </w:r>
      <w:r w:rsidRPr="00604355">
        <w:t>likely ferrous sulfate or reference hematinic) showed a moderate and ste</w:t>
      </w:r>
      <w:r w:rsidR="00BA5B2A" w:rsidRPr="00604355">
        <w:t xml:space="preserve">ady improvement in weight gain </w:t>
      </w:r>
      <w:r w:rsidRPr="00604355">
        <w:t>indicating recovery from anemia and improved metabolic activity due to effective iron supplementation and restoration of hemoglobin synthesis.</w:t>
      </w:r>
    </w:p>
    <w:p w:rsidR="00374464" w:rsidRPr="00604355" w:rsidRDefault="00374464" w:rsidP="00720B3B">
      <w:pPr>
        <w:spacing w:after="0" w:line="240" w:lineRule="auto"/>
        <w:jc w:val="both"/>
        <w:rPr>
          <w:rFonts w:ascii="Times New Roman" w:eastAsia="Times New Roman" w:hAnsi="Times New Roman" w:cs="Times New Roman"/>
          <w:sz w:val="24"/>
          <w:szCs w:val="24"/>
          <w:lang w:val="en-US"/>
        </w:rPr>
      </w:pPr>
      <w:r w:rsidRPr="00604355">
        <w:rPr>
          <w:rFonts w:ascii="Times New Roman" w:eastAsia="Times New Roman" w:hAnsi="Times New Roman" w:cs="Times New Roman"/>
          <w:sz w:val="24"/>
          <w:szCs w:val="24"/>
        </w:rPr>
        <w:t xml:space="preserve">Among the treatment groups, the </w:t>
      </w:r>
      <w:r w:rsidRPr="00604355">
        <w:rPr>
          <w:rFonts w:ascii="Times New Roman" w:eastAsia="Times New Roman" w:hAnsi="Times New Roman" w:cs="Times New Roman"/>
          <w:bCs/>
          <w:sz w:val="24"/>
          <w:szCs w:val="24"/>
        </w:rPr>
        <w:t>Medium Dose Extract</w:t>
      </w:r>
      <w:r w:rsidRPr="00604355">
        <w:rPr>
          <w:rFonts w:ascii="Times New Roman" w:eastAsia="Times New Roman" w:hAnsi="Times New Roman" w:cs="Times New Roman"/>
          <w:sz w:val="24"/>
          <w:szCs w:val="24"/>
        </w:rPr>
        <w:t xml:space="preserve"> demonstrated the m</w:t>
      </w:r>
      <w:r w:rsidR="00BA5B2A" w:rsidRPr="00604355">
        <w:rPr>
          <w:rFonts w:ascii="Times New Roman" w:eastAsia="Times New Roman" w:hAnsi="Times New Roman" w:cs="Times New Roman"/>
          <w:sz w:val="24"/>
          <w:szCs w:val="24"/>
        </w:rPr>
        <w:t>ost significant weight recovery</w:t>
      </w:r>
      <w:r w:rsidR="00BA5B2A" w:rsidRPr="00604355">
        <w:rPr>
          <w:rFonts w:ascii="Times New Roman" w:eastAsia="Times New Roman" w:hAnsi="Times New Roman" w:cs="Times New Roman"/>
          <w:sz w:val="24"/>
          <w:szCs w:val="24"/>
          <w:lang w:val="en-GB"/>
        </w:rPr>
        <w:t xml:space="preserve">, </w:t>
      </w:r>
      <w:r w:rsidRPr="00604355">
        <w:rPr>
          <w:rFonts w:ascii="Times New Roman" w:eastAsia="Times New Roman" w:hAnsi="Times New Roman" w:cs="Times New Roman"/>
          <w:sz w:val="24"/>
          <w:szCs w:val="24"/>
        </w:rPr>
        <w:t xml:space="preserve">closely approaching the negative control and surpassing the standard drug group. This suggests that at an optimal dose, </w:t>
      </w:r>
      <w:r w:rsidRPr="00604355">
        <w:rPr>
          <w:rFonts w:ascii="Times New Roman" w:eastAsia="Times New Roman" w:hAnsi="Times New Roman" w:cs="Times New Roman"/>
          <w:i/>
          <w:iCs/>
          <w:sz w:val="24"/>
          <w:szCs w:val="24"/>
        </w:rPr>
        <w:t>Ficus capensis</w:t>
      </w:r>
      <w:r w:rsidRPr="00604355">
        <w:rPr>
          <w:rFonts w:ascii="Times New Roman" w:eastAsia="Times New Roman" w:hAnsi="Times New Roman" w:cs="Times New Roman"/>
          <w:sz w:val="24"/>
          <w:szCs w:val="24"/>
        </w:rPr>
        <w:t xml:space="preserve"> methanolic leaf extract may possess potent hematopoietic and antioxidant properties that mitigate the toxic effects of phenylhydrazine and enhance nutrient utilization. These findings corroborate previous reports that </w:t>
      </w:r>
      <w:r w:rsidRPr="00604355">
        <w:rPr>
          <w:rFonts w:ascii="Times New Roman" w:eastAsia="Times New Roman" w:hAnsi="Times New Roman" w:cs="Times New Roman"/>
          <w:i/>
          <w:iCs/>
          <w:sz w:val="24"/>
          <w:szCs w:val="24"/>
        </w:rPr>
        <w:t>Ficus capensis</w:t>
      </w:r>
      <w:r w:rsidRPr="00604355">
        <w:rPr>
          <w:rFonts w:ascii="Times New Roman" w:eastAsia="Times New Roman" w:hAnsi="Times New Roman" w:cs="Times New Roman"/>
          <w:sz w:val="24"/>
          <w:szCs w:val="24"/>
        </w:rPr>
        <w:t xml:space="preserve"> contains bioactive compounds such as flavonoids, saponins, tannins, and alkaloids that promote hematopoiesis, stimulate appetite, and im</w:t>
      </w:r>
      <w:r w:rsidR="00BA5B2A" w:rsidRPr="00604355">
        <w:rPr>
          <w:rFonts w:ascii="Times New Roman" w:eastAsia="Times New Roman" w:hAnsi="Times New Roman" w:cs="Times New Roman"/>
          <w:sz w:val="24"/>
          <w:szCs w:val="24"/>
        </w:rPr>
        <w:t xml:space="preserve">prove erythrocyte regeneration </w:t>
      </w:r>
      <w:r w:rsidR="00BA5B2A" w:rsidRPr="00604355">
        <w:rPr>
          <w:rFonts w:ascii="Times New Roman" w:eastAsia="Times New Roman" w:hAnsi="Times New Roman" w:cs="Times New Roman"/>
          <w:sz w:val="24"/>
          <w:szCs w:val="24"/>
          <w:lang w:val="en-GB"/>
        </w:rPr>
        <w:t xml:space="preserve">as reported by </w:t>
      </w:r>
      <w:r w:rsidRPr="00604355">
        <w:rPr>
          <w:rFonts w:ascii="Times New Roman" w:eastAsia="Times New Roman" w:hAnsi="Times New Roman" w:cs="Times New Roman"/>
          <w:sz w:val="24"/>
          <w:szCs w:val="24"/>
        </w:rPr>
        <w:t xml:space="preserve">Eze </w:t>
      </w:r>
      <w:r w:rsidRPr="00604355">
        <w:rPr>
          <w:rFonts w:ascii="Times New Roman" w:eastAsia="Times New Roman" w:hAnsi="Times New Roman" w:cs="Times New Roman"/>
          <w:i/>
          <w:sz w:val="24"/>
          <w:szCs w:val="24"/>
        </w:rPr>
        <w:t>et al</w:t>
      </w:r>
      <w:r w:rsidR="00BA5B2A" w:rsidRPr="00604355">
        <w:rPr>
          <w:rFonts w:ascii="Times New Roman" w:eastAsia="Times New Roman" w:hAnsi="Times New Roman" w:cs="Times New Roman"/>
          <w:sz w:val="24"/>
          <w:szCs w:val="24"/>
        </w:rPr>
        <w:t>.</w:t>
      </w:r>
      <w:r w:rsidRPr="00604355">
        <w:rPr>
          <w:rFonts w:ascii="Times New Roman" w:eastAsia="Times New Roman" w:hAnsi="Times New Roman" w:cs="Times New Roman"/>
          <w:sz w:val="24"/>
          <w:szCs w:val="24"/>
        </w:rPr>
        <w:t xml:space="preserve"> </w:t>
      </w:r>
      <w:r w:rsidR="00BA5B2A" w:rsidRPr="00604355">
        <w:rPr>
          <w:rFonts w:ascii="Times New Roman" w:eastAsia="Times New Roman" w:hAnsi="Times New Roman" w:cs="Times New Roman"/>
          <w:sz w:val="24"/>
          <w:szCs w:val="24"/>
          <w:lang w:val="en-GB"/>
        </w:rPr>
        <w:t>(</w:t>
      </w:r>
      <w:r w:rsidRPr="00604355">
        <w:rPr>
          <w:rFonts w:ascii="Times New Roman" w:eastAsia="Times New Roman" w:hAnsi="Times New Roman" w:cs="Times New Roman"/>
          <w:sz w:val="24"/>
          <w:szCs w:val="24"/>
        </w:rPr>
        <w:t>2020</w:t>
      </w:r>
      <w:r w:rsidR="00BA5B2A" w:rsidRPr="00604355">
        <w:rPr>
          <w:rFonts w:ascii="Times New Roman" w:eastAsia="Times New Roman" w:hAnsi="Times New Roman" w:cs="Times New Roman"/>
          <w:sz w:val="24"/>
          <w:szCs w:val="24"/>
          <w:lang w:val="en-GB"/>
        </w:rPr>
        <w:t>)</w:t>
      </w:r>
      <w:r w:rsidRPr="00604355">
        <w:rPr>
          <w:rFonts w:ascii="Times New Roman" w:eastAsia="Times New Roman" w:hAnsi="Times New Roman" w:cs="Times New Roman"/>
          <w:sz w:val="24"/>
          <w:szCs w:val="24"/>
        </w:rPr>
        <w:t xml:space="preserve">; Emeje </w:t>
      </w:r>
      <w:r w:rsidRPr="00604355">
        <w:rPr>
          <w:rFonts w:ascii="Times New Roman" w:eastAsia="Times New Roman" w:hAnsi="Times New Roman" w:cs="Times New Roman"/>
          <w:i/>
          <w:sz w:val="24"/>
          <w:szCs w:val="24"/>
        </w:rPr>
        <w:t>et al</w:t>
      </w:r>
      <w:r w:rsidR="00BA5B2A" w:rsidRPr="00604355">
        <w:rPr>
          <w:rFonts w:ascii="Times New Roman" w:eastAsia="Times New Roman" w:hAnsi="Times New Roman" w:cs="Times New Roman"/>
          <w:sz w:val="24"/>
          <w:szCs w:val="24"/>
        </w:rPr>
        <w:t>.</w:t>
      </w:r>
      <w:r w:rsidRPr="00604355">
        <w:rPr>
          <w:rFonts w:ascii="Times New Roman" w:eastAsia="Times New Roman" w:hAnsi="Times New Roman" w:cs="Times New Roman"/>
          <w:sz w:val="24"/>
          <w:szCs w:val="24"/>
        </w:rPr>
        <w:t xml:space="preserve"> </w:t>
      </w:r>
      <w:r w:rsidR="00BA5B2A" w:rsidRPr="00604355">
        <w:rPr>
          <w:rFonts w:ascii="Times New Roman" w:eastAsia="Times New Roman" w:hAnsi="Times New Roman" w:cs="Times New Roman"/>
          <w:sz w:val="24"/>
          <w:szCs w:val="24"/>
          <w:lang w:val="en-GB"/>
        </w:rPr>
        <w:lastRenderedPageBreak/>
        <w:t>(</w:t>
      </w:r>
      <w:r w:rsidRPr="00604355">
        <w:rPr>
          <w:rFonts w:ascii="Times New Roman" w:eastAsia="Times New Roman" w:hAnsi="Times New Roman" w:cs="Times New Roman"/>
          <w:sz w:val="24"/>
          <w:szCs w:val="24"/>
        </w:rPr>
        <w:t xml:space="preserve">2009). The </w:t>
      </w:r>
      <w:r w:rsidRPr="00604355">
        <w:rPr>
          <w:rFonts w:ascii="Times New Roman" w:eastAsia="Times New Roman" w:hAnsi="Times New Roman" w:cs="Times New Roman"/>
          <w:bCs/>
          <w:sz w:val="24"/>
          <w:szCs w:val="24"/>
        </w:rPr>
        <w:t>Low Dose Extract</w:t>
      </w:r>
      <w:r w:rsidRPr="00604355">
        <w:rPr>
          <w:rFonts w:ascii="Times New Roman" w:eastAsia="Times New Roman" w:hAnsi="Times New Roman" w:cs="Times New Roman"/>
          <w:sz w:val="24"/>
          <w:szCs w:val="24"/>
        </w:rPr>
        <w:t xml:space="preserve"> and </w:t>
      </w:r>
      <w:r w:rsidRPr="00604355">
        <w:rPr>
          <w:rFonts w:ascii="Times New Roman" w:eastAsia="Times New Roman" w:hAnsi="Times New Roman" w:cs="Times New Roman"/>
          <w:bCs/>
          <w:sz w:val="24"/>
          <w:szCs w:val="24"/>
        </w:rPr>
        <w:t>High Dose Extract</w:t>
      </w:r>
      <w:r w:rsidRPr="00604355">
        <w:rPr>
          <w:rFonts w:ascii="Times New Roman" w:eastAsia="Times New Roman" w:hAnsi="Times New Roman" w:cs="Times New Roman"/>
          <w:sz w:val="24"/>
          <w:szCs w:val="24"/>
        </w:rPr>
        <w:t xml:space="preserve"> groups also showed moderate increases in body weight f</w:t>
      </w:r>
      <w:r w:rsidR="00BA5B2A" w:rsidRPr="00604355">
        <w:rPr>
          <w:rFonts w:ascii="Times New Roman" w:eastAsia="Times New Roman" w:hAnsi="Times New Roman" w:cs="Times New Roman"/>
          <w:sz w:val="24"/>
          <w:szCs w:val="24"/>
        </w:rPr>
        <w:t>rom baseline to the final stage</w:t>
      </w:r>
      <w:r w:rsidR="00BA5B2A" w:rsidRPr="00604355">
        <w:rPr>
          <w:rFonts w:ascii="Times New Roman" w:eastAsia="Times New Roman" w:hAnsi="Times New Roman" w:cs="Times New Roman"/>
          <w:sz w:val="24"/>
          <w:szCs w:val="24"/>
          <w:lang w:val="en-GB"/>
        </w:rPr>
        <w:t>.</w:t>
      </w:r>
      <w:r w:rsidRPr="00604355">
        <w:rPr>
          <w:rFonts w:ascii="Times New Roman" w:eastAsia="Times New Roman" w:hAnsi="Times New Roman" w:cs="Times New Roman"/>
          <w:sz w:val="24"/>
          <w:szCs w:val="24"/>
        </w:rPr>
        <w:t xml:space="preserve"> However, the weight gain was less pronounced than that observed in the medium dose group. This non-linear dose-response may suggest that very low doses were insufficient to fully counteract the hematotoxic effects of phenylhydrazine, while high doses might have led to mild metabolic stress or reduced feed conversion efficiency, possibly due to phytochemical overload or mild hepatic strain, as noted in</w:t>
      </w:r>
      <w:r w:rsidR="00BA5B2A" w:rsidRPr="00604355">
        <w:rPr>
          <w:rFonts w:ascii="Times New Roman" w:eastAsia="Times New Roman" w:hAnsi="Times New Roman" w:cs="Times New Roman"/>
          <w:sz w:val="24"/>
          <w:szCs w:val="24"/>
        </w:rPr>
        <w:t xml:space="preserve"> related plant extract studies </w:t>
      </w:r>
      <w:r w:rsidR="00BA5B2A" w:rsidRPr="00604355">
        <w:rPr>
          <w:rFonts w:ascii="Times New Roman" w:eastAsia="Times New Roman" w:hAnsi="Times New Roman" w:cs="Times New Roman"/>
          <w:sz w:val="24"/>
          <w:szCs w:val="24"/>
          <w:lang w:val="en-GB"/>
        </w:rPr>
        <w:t xml:space="preserve">by </w:t>
      </w:r>
      <w:r w:rsidRPr="00604355">
        <w:rPr>
          <w:rFonts w:ascii="Times New Roman" w:eastAsia="Times New Roman" w:hAnsi="Times New Roman" w:cs="Times New Roman"/>
          <w:sz w:val="24"/>
          <w:szCs w:val="24"/>
        </w:rPr>
        <w:t xml:space="preserve">Ojo </w:t>
      </w:r>
      <w:r w:rsidRPr="00604355">
        <w:rPr>
          <w:rFonts w:ascii="Times New Roman" w:eastAsia="Times New Roman" w:hAnsi="Times New Roman" w:cs="Times New Roman"/>
          <w:i/>
          <w:sz w:val="24"/>
          <w:szCs w:val="24"/>
        </w:rPr>
        <w:t>et al</w:t>
      </w:r>
      <w:r w:rsidR="00BA5B2A" w:rsidRPr="00604355">
        <w:rPr>
          <w:rFonts w:ascii="Times New Roman" w:eastAsia="Times New Roman" w:hAnsi="Times New Roman" w:cs="Times New Roman"/>
          <w:sz w:val="24"/>
          <w:szCs w:val="24"/>
        </w:rPr>
        <w:t>.</w:t>
      </w:r>
      <w:r w:rsidRPr="00604355">
        <w:rPr>
          <w:rFonts w:ascii="Times New Roman" w:eastAsia="Times New Roman" w:hAnsi="Times New Roman" w:cs="Times New Roman"/>
          <w:sz w:val="24"/>
          <w:szCs w:val="24"/>
        </w:rPr>
        <w:t xml:space="preserve"> </w:t>
      </w:r>
      <w:r w:rsidR="00BA5B2A" w:rsidRPr="00604355">
        <w:rPr>
          <w:rFonts w:ascii="Times New Roman" w:eastAsia="Times New Roman" w:hAnsi="Times New Roman" w:cs="Times New Roman"/>
          <w:sz w:val="24"/>
          <w:szCs w:val="24"/>
          <w:lang w:val="en-GB"/>
        </w:rPr>
        <w:t>(</w:t>
      </w:r>
      <w:r w:rsidRPr="00604355">
        <w:rPr>
          <w:rFonts w:ascii="Times New Roman" w:eastAsia="Times New Roman" w:hAnsi="Times New Roman" w:cs="Times New Roman"/>
          <w:sz w:val="24"/>
          <w:szCs w:val="24"/>
        </w:rPr>
        <w:t xml:space="preserve">2021). The </w:t>
      </w:r>
      <w:r w:rsidRPr="00604355">
        <w:rPr>
          <w:rFonts w:ascii="Times New Roman" w:eastAsia="Times New Roman" w:hAnsi="Times New Roman" w:cs="Times New Roman"/>
          <w:bCs/>
          <w:sz w:val="24"/>
          <w:szCs w:val="24"/>
        </w:rPr>
        <w:t>Extract + Ferrous Sulfate group</w:t>
      </w:r>
      <w:r w:rsidRPr="00604355">
        <w:rPr>
          <w:rFonts w:ascii="Times New Roman" w:eastAsia="Times New Roman" w:hAnsi="Times New Roman" w:cs="Times New Roman"/>
          <w:sz w:val="24"/>
          <w:szCs w:val="24"/>
        </w:rPr>
        <w:t xml:space="preserve"> displayed a slight reduction in we</w:t>
      </w:r>
      <w:r w:rsidR="00BA5B2A" w:rsidRPr="00604355">
        <w:rPr>
          <w:rFonts w:ascii="Times New Roman" w:eastAsia="Times New Roman" w:hAnsi="Times New Roman" w:cs="Times New Roman"/>
          <w:sz w:val="24"/>
          <w:szCs w:val="24"/>
        </w:rPr>
        <w:t xml:space="preserve">ight at the intermediate stage </w:t>
      </w:r>
      <w:r w:rsidRPr="00604355">
        <w:rPr>
          <w:rFonts w:ascii="Times New Roman" w:eastAsia="Times New Roman" w:hAnsi="Times New Roman" w:cs="Times New Roman"/>
          <w:sz w:val="24"/>
          <w:szCs w:val="24"/>
        </w:rPr>
        <w:t>before a moderate final i</w:t>
      </w:r>
      <w:r w:rsidR="00BA5B2A" w:rsidRPr="00604355">
        <w:rPr>
          <w:rFonts w:ascii="Times New Roman" w:eastAsia="Times New Roman" w:hAnsi="Times New Roman" w:cs="Times New Roman"/>
          <w:sz w:val="24"/>
          <w:szCs w:val="24"/>
        </w:rPr>
        <w:t>ncrease</w:t>
      </w:r>
      <w:r w:rsidR="00BA5B2A" w:rsidRPr="00604355">
        <w:rPr>
          <w:rFonts w:ascii="Times New Roman" w:eastAsia="Times New Roman" w:hAnsi="Times New Roman" w:cs="Times New Roman"/>
          <w:sz w:val="24"/>
          <w:szCs w:val="24"/>
          <w:lang w:val="en-GB"/>
        </w:rPr>
        <w:t xml:space="preserve">. </w:t>
      </w:r>
      <w:r w:rsidRPr="00604355">
        <w:rPr>
          <w:rFonts w:ascii="Times New Roman" w:eastAsia="Times New Roman" w:hAnsi="Times New Roman" w:cs="Times New Roman"/>
          <w:sz w:val="24"/>
          <w:szCs w:val="24"/>
        </w:rPr>
        <w:t>This transient weight loss could indicate a short-term interaction effect between the extract and ferrous sulfate, possibly altering nutrient absorption or metabolic adaptation early in treatment. Nonetheless, the group eventually showed recovery, suggesting that the combination did not produce lasting adverse effects.</w:t>
      </w:r>
    </w:p>
    <w:p w:rsidR="00374464" w:rsidRPr="00604355" w:rsidRDefault="00374464" w:rsidP="00720B3B">
      <w:pPr>
        <w:pStyle w:val="NormalWeb"/>
        <w:spacing w:before="0" w:beforeAutospacing="0" w:after="0" w:afterAutospacing="0"/>
        <w:jc w:val="both"/>
      </w:pPr>
      <w:r w:rsidRPr="00604355">
        <w:t>The administration of phenylhydrazine (PHZ) in the positive control group significantly reduced RBC counts</w:t>
      </w:r>
      <w:r w:rsidR="00BA5B2A" w:rsidRPr="00604355">
        <w:rPr>
          <w:lang w:val="en-GB"/>
        </w:rPr>
        <w:t>,</w:t>
      </w:r>
      <w:r w:rsidRPr="00604355">
        <w:t xml:space="preserve"> hemoglobin and hematocrit</w:t>
      </w:r>
      <w:r w:rsidR="00BA5B2A" w:rsidRPr="00604355">
        <w:rPr>
          <w:lang w:val="en-GB"/>
        </w:rPr>
        <w:t>,</w:t>
      </w:r>
      <w:r w:rsidRPr="00604355">
        <w:t xml:space="preserve"> indicating the successful induction of hemolytic anemia. PHZ is known to induce oxidative damage in erythrocytes, leading to hemolysis, shortened RBC lifespan, and anemia, </w:t>
      </w:r>
      <w:r w:rsidR="00BA5B2A" w:rsidRPr="00604355">
        <w:t xml:space="preserve">consistent with prior findings </w:t>
      </w:r>
      <w:r w:rsidR="00BA5B2A" w:rsidRPr="00604355">
        <w:rPr>
          <w:lang w:val="en-GB"/>
        </w:rPr>
        <w:t xml:space="preserve">by </w:t>
      </w:r>
      <w:r w:rsidRPr="00604355">
        <w:t xml:space="preserve">Nemeth </w:t>
      </w:r>
      <w:r w:rsidRPr="00604355">
        <w:rPr>
          <w:i/>
        </w:rPr>
        <w:t>et al</w:t>
      </w:r>
      <w:r w:rsidR="007C2B9F" w:rsidRPr="00604355">
        <w:t>.</w:t>
      </w:r>
      <w:r w:rsidRPr="00604355">
        <w:t xml:space="preserve"> </w:t>
      </w:r>
      <w:r w:rsidR="007C2B9F" w:rsidRPr="00604355">
        <w:rPr>
          <w:lang w:val="en-GB"/>
        </w:rPr>
        <w:t>(</w:t>
      </w:r>
      <w:r w:rsidRPr="00604355">
        <w:t>2004</w:t>
      </w:r>
      <w:r w:rsidR="007C2B9F" w:rsidRPr="00604355">
        <w:rPr>
          <w:lang w:val="en-GB"/>
        </w:rPr>
        <w:t>)</w:t>
      </w:r>
      <w:r w:rsidRPr="00604355">
        <w:t xml:space="preserve">; Ousaaid </w:t>
      </w:r>
      <w:r w:rsidRPr="00604355">
        <w:rPr>
          <w:i/>
        </w:rPr>
        <w:t>et al</w:t>
      </w:r>
      <w:r w:rsidR="007C2B9F" w:rsidRPr="00604355">
        <w:t>.</w:t>
      </w:r>
      <w:r w:rsidRPr="00604355">
        <w:t xml:space="preserve"> </w:t>
      </w:r>
      <w:r w:rsidR="007C2B9F" w:rsidRPr="00604355">
        <w:rPr>
          <w:lang w:val="en-GB"/>
        </w:rPr>
        <w:t>(</w:t>
      </w:r>
      <w:r w:rsidRPr="00604355">
        <w:t>2022). Elevated red cell distribution width in this group suggests anisocytosis and heterogeneity in RBC size, a typical hallmark of iron-d</w:t>
      </w:r>
      <w:r w:rsidR="007C2B9F" w:rsidRPr="00604355">
        <w:t xml:space="preserve">eficiency and hemolytic anemia </w:t>
      </w:r>
      <w:r w:rsidR="007C2B9F" w:rsidRPr="00604355">
        <w:rPr>
          <w:lang w:val="en-GB"/>
        </w:rPr>
        <w:t xml:space="preserve"> as reported by </w:t>
      </w:r>
      <w:r w:rsidR="007C2B9F" w:rsidRPr="00604355">
        <w:t>Bain</w:t>
      </w:r>
      <w:r w:rsidRPr="00604355">
        <w:t xml:space="preserve"> </w:t>
      </w:r>
      <w:r w:rsidR="007C2B9F" w:rsidRPr="00604355">
        <w:rPr>
          <w:lang w:val="en-GB"/>
        </w:rPr>
        <w:t>(</w:t>
      </w:r>
      <w:r w:rsidRPr="00604355">
        <w:t>2021).</w:t>
      </w:r>
    </w:p>
    <w:p w:rsidR="00374464" w:rsidRPr="00604355" w:rsidRDefault="00374464" w:rsidP="00720B3B">
      <w:pPr>
        <w:pStyle w:val="NormalWeb"/>
        <w:spacing w:before="0" w:beforeAutospacing="0" w:after="0" w:afterAutospacing="0"/>
        <w:jc w:val="both"/>
      </w:pPr>
      <w:r w:rsidRPr="00604355">
        <w:t xml:space="preserve">Treatment with </w:t>
      </w:r>
      <w:r w:rsidRPr="00604355">
        <w:rPr>
          <w:rStyle w:val="Emphasis"/>
          <w:rFonts w:eastAsia="SimSun"/>
        </w:rPr>
        <w:t>F. capensis</w:t>
      </w:r>
      <w:r w:rsidRPr="00604355">
        <w:t xml:space="preserve"> methanolic extract at low, medium, and high doses sig</w:t>
      </w:r>
      <w:r w:rsidR="007C2B9F" w:rsidRPr="00604355">
        <w:t>nificantly improved RBC counts</w:t>
      </w:r>
      <w:r w:rsidR="007C2B9F" w:rsidRPr="00604355">
        <w:rPr>
          <w:lang w:val="en-GB"/>
        </w:rPr>
        <w:t xml:space="preserve">, </w:t>
      </w:r>
      <w:r w:rsidRPr="00604355">
        <w:t xml:space="preserve">hemoglobin levels and hematocrit demonstrating effective erythropoietic stimulation and recovery from PHZ-induced hemolysis. The normalization of further indicates restoration of erythrocyte </w:t>
      </w:r>
      <w:r w:rsidRPr="00604355">
        <w:t xml:space="preserve">size uniformity, suggesting that the extract mitigates oxidative damage to developing erythrocytes and supports erythropoiesis </w:t>
      </w:r>
      <w:r w:rsidR="007C2B9F" w:rsidRPr="00604355">
        <w:rPr>
          <w:lang w:val="en-GB"/>
        </w:rPr>
        <w:t xml:space="preserve">by </w:t>
      </w:r>
      <w:r w:rsidRPr="00604355">
        <w:t xml:space="preserve">Onyekwelu </w:t>
      </w:r>
      <w:r w:rsidRPr="00604355">
        <w:rPr>
          <w:i/>
        </w:rPr>
        <w:t>et al</w:t>
      </w:r>
      <w:r w:rsidR="007C2B9F" w:rsidRPr="00604355">
        <w:t>.</w:t>
      </w:r>
      <w:r w:rsidRPr="00604355">
        <w:t xml:space="preserve"> </w:t>
      </w:r>
      <w:r w:rsidR="007C2B9F" w:rsidRPr="00604355">
        <w:rPr>
          <w:lang w:val="en-GB"/>
        </w:rPr>
        <w:t>(</w:t>
      </w:r>
      <w:r w:rsidRPr="00604355">
        <w:t xml:space="preserve">2024). These effects are likely mediated by the antioxidant and hematopoietic bioactive compounds present in </w:t>
      </w:r>
      <w:r w:rsidRPr="00604355">
        <w:rPr>
          <w:rStyle w:val="Emphasis"/>
          <w:rFonts w:eastAsia="SimSun"/>
        </w:rPr>
        <w:t>F. capensis</w:t>
      </w:r>
      <w:r w:rsidRPr="00604355">
        <w:t xml:space="preserve">, including flavonoids, phenolics, and minerals such as iron and zinc (Afolabi </w:t>
      </w:r>
      <w:r w:rsidRPr="00604355">
        <w:rPr>
          <w:i/>
        </w:rPr>
        <w:t>et al</w:t>
      </w:r>
      <w:r w:rsidRPr="00604355">
        <w:t xml:space="preserve">., 2024; Olatunde </w:t>
      </w:r>
      <w:r w:rsidRPr="00604355">
        <w:rPr>
          <w:i/>
        </w:rPr>
        <w:t>et al</w:t>
      </w:r>
      <w:r w:rsidRPr="00604355">
        <w:t>., 2023).</w:t>
      </w:r>
    </w:p>
    <w:p w:rsidR="00374464" w:rsidRPr="00604355" w:rsidRDefault="00374464" w:rsidP="00720B3B">
      <w:pPr>
        <w:pStyle w:val="NormalWeb"/>
        <w:spacing w:before="0" w:beforeAutospacing="0" w:after="0" w:afterAutospacing="0"/>
        <w:jc w:val="both"/>
      </w:pPr>
      <w:r w:rsidRPr="00604355">
        <w:t>Mean corpuscular volume (MCV) and mean corpuscular hemoglobin (MCH) remained largely unchanged across groups suggesting that the extract primarily restored the number of erythrocytes and hemoglobin content without significantly altering RBC size or hemoglobin content per cell. Meanwhile, mean corpuscular hemoglobin concentration (MCHC) also remain</w:t>
      </w:r>
      <w:r w:rsidR="007C2B9F" w:rsidRPr="00604355">
        <w:t>ed within physiological ranges</w:t>
      </w:r>
      <w:r w:rsidR="007C2B9F" w:rsidRPr="00604355">
        <w:rPr>
          <w:lang w:val="en-GB"/>
        </w:rPr>
        <w:t xml:space="preserve">, </w:t>
      </w:r>
      <w:r w:rsidRPr="00604355">
        <w:t>consist</w:t>
      </w:r>
      <w:r w:rsidR="007C2B9F" w:rsidRPr="00604355">
        <w:t xml:space="preserve">ent with normochromic recovery </w:t>
      </w:r>
      <w:r w:rsidR="007C2B9F" w:rsidRPr="00604355">
        <w:rPr>
          <w:lang w:val="en-GB"/>
        </w:rPr>
        <w:t xml:space="preserve">by </w:t>
      </w:r>
      <w:r w:rsidR="007C2B9F" w:rsidRPr="00604355">
        <w:t>Bain</w:t>
      </w:r>
      <w:r w:rsidRPr="00604355">
        <w:t xml:space="preserve"> </w:t>
      </w:r>
      <w:r w:rsidR="007C2B9F" w:rsidRPr="00604355">
        <w:rPr>
          <w:lang w:val="en-GB"/>
        </w:rPr>
        <w:t>(</w:t>
      </w:r>
      <w:r w:rsidRPr="00604355">
        <w:t>2021</w:t>
      </w:r>
      <w:r w:rsidR="007C2B9F" w:rsidRPr="00604355">
        <w:rPr>
          <w:lang w:val="en-GB"/>
        </w:rPr>
        <w:t>)</w:t>
      </w:r>
      <w:r w:rsidRPr="00604355">
        <w:t xml:space="preserve">; Zhang </w:t>
      </w:r>
      <w:r w:rsidRPr="00604355">
        <w:rPr>
          <w:i/>
        </w:rPr>
        <w:t>et al</w:t>
      </w:r>
      <w:r w:rsidRPr="00604355">
        <w:t xml:space="preserve">. </w:t>
      </w:r>
      <w:r w:rsidR="007C2B9F" w:rsidRPr="00604355">
        <w:rPr>
          <w:lang w:val="en-GB"/>
        </w:rPr>
        <w:t>(</w:t>
      </w:r>
      <w:r w:rsidRPr="00604355">
        <w:t>2023).</w:t>
      </w:r>
    </w:p>
    <w:p w:rsidR="00374464" w:rsidRPr="00604355" w:rsidRDefault="00374464" w:rsidP="00720B3B">
      <w:pPr>
        <w:pStyle w:val="NormalWeb"/>
        <w:spacing w:before="0" w:beforeAutospacing="0" w:after="0" w:afterAutospacing="0"/>
        <w:jc w:val="both"/>
      </w:pPr>
      <w:r w:rsidRPr="00604355">
        <w:t xml:space="preserve">The standard drug and </w:t>
      </w:r>
      <w:r w:rsidR="00276CFF" w:rsidRPr="00604355">
        <w:t xml:space="preserve">in RBC, HGB, and HCT values to the negative control, highlighting the synergistic effect </w:t>
      </w:r>
      <w:r w:rsidRPr="00604355">
        <w:t xml:space="preserve">extract + ferrous sulfate groups showed comparable recovery of plant extract combined with iron supplementation. This suggests that </w:t>
      </w:r>
      <w:r w:rsidRPr="00604355">
        <w:rPr>
          <w:rStyle w:val="Emphasis"/>
          <w:rFonts w:eastAsia="SimSun"/>
        </w:rPr>
        <w:t>F. capensis</w:t>
      </w:r>
      <w:r w:rsidRPr="00604355">
        <w:t xml:space="preserve"> may enhance iron utilization and erythropoiesis during anemia, complem</w:t>
      </w:r>
      <w:r w:rsidR="007C2B9F" w:rsidRPr="00604355">
        <w:t xml:space="preserve">enting pharmacological therapy </w:t>
      </w:r>
      <w:r w:rsidR="007C2B9F" w:rsidRPr="00604355">
        <w:rPr>
          <w:lang w:val="en-GB"/>
        </w:rPr>
        <w:t xml:space="preserve">as reported by </w:t>
      </w:r>
      <w:r w:rsidR="007C2B9F" w:rsidRPr="00604355">
        <w:t>Entezari</w:t>
      </w:r>
      <w:r w:rsidRPr="00604355">
        <w:t xml:space="preserve"> </w:t>
      </w:r>
      <w:r w:rsidR="007C2B9F" w:rsidRPr="00604355">
        <w:rPr>
          <w:lang w:val="en-GB"/>
        </w:rPr>
        <w:t>(</w:t>
      </w:r>
      <w:r w:rsidRPr="00604355">
        <w:t>2022</w:t>
      </w:r>
      <w:r w:rsidR="007C2B9F" w:rsidRPr="00604355">
        <w:rPr>
          <w:lang w:val="en-GB"/>
        </w:rPr>
        <w:t>)</w:t>
      </w:r>
      <w:r w:rsidRPr="00604355">
        <w:t xml:space="preserve">; Baker </w:t>
      </w:r>
      <w:r w:rsidRPr="00604355">
        <w:rPr>
          <w:i/>
        </w:rPr>
        <w:t>et al</w:t>
      </w:r>
      <w:r w:rsidR="007C2B9F" w:rsidRPr="00604355">
        <w:t>.</w:t>
      </w:r>
      <w:r w:rsidRPr="00604355">
        <w:t xml:space="preserve"> </w:t>
      </w:r>
      <w:r w:rsidR="007C2B9F" w:rsidRPr="00604355">
        <w:rPr>
          <w:lang w:val="en-GB"/>
        </w:rPr>
        <w:t>(</w:t>
      </w:r>
      <w:r w:rsidRPr="00604355">
        <w:t>2021).</w:t>
      </w:r>
    </w:p>
    <w:p w:rsidR="00374464" w:rsidRPr="00604355" w:rsidRDefault="004F288D" w:rsidP="00281B79">
      <w:pPr>
        <w:tabs>
          <w:tab w:val="left" w:pos="1728"/>
        </w:tabs>
        <w:spacing w:after="0" w:line="240" w:lineRule="auto"/>
        <w:jc w:val="both"/>
        <w:rPr>
          <w:rFonts w:ascii="Times New Roman" w:eastAsia="Times New Roman" w:hAnsi="Times New Roman" w:cs="Times New Roman"/>
          <w:sz w:val="24"/>
          <w:szCs w:val="24"/>
          <w:lang w:val="en-US"/>
        </w:rPr>
      </w:pPr>
      <w:r w:rsidRPr="00604355">
        <w:rPr>
          <w:rFonts w:ascii="Times New Roman" w:eastAsia="Times New Roman" w:hAnsi="Times New Roman" w:cs="Times New Roman"/>
          <w:sz w:val="24"/>
          <w:szCs w:val="24"/>
          <w:lang w:val="en-US"/>
        </w:rPr>
        <w:t xml:space="preserve">WBC </w:t>
      </w:r>
      <w:r w:rsidR="00374464" w:rsidRPr="00604355">
        <w:rPr>
          <w:rFonts w:ascii="Times New Roman" w:hAnsi="Times New Roman" w:cs="Times New Roman"/>
          <w:sz w:val="24"/>
          <w:szCs w:val="24"/>
        </w:rPr>
        <w:t xml:space="preserve">In this study, the </w:t>
      </w:r>
      <w:r w:rsidR="00374464" w:rsidRPr="00604355">
        <w:rPr>
          <w:rStyle w:val="Strong"/>
          <w:rFonts w:ascii="Times New Roman" w:hAnsi="Times New Roman" w:cs="Times New Roman"/>
          <w:b w:val="0"/>
          <w:sz w:val="24"/>
          <w:szCs w:val="24"/>
        </w:rPr>
        <w:t>positive control group</w:t>
      </w:r>
      <w:r w:rsidR="00374464" w:rsidRPr="00604355">
        <w:rPr>
          <w:rFonts w:ascii="Times New Roman" w:hAnsi="Times New Roman" w:cs="Times New Roman"/>
          <w:sz w:val="24"/>
          <w:szCs w:val="24"/>
        </w:rPr>
        <w:t xml:space="preserve"> exhibited significantly elevated WBC counts</w:t>
      </w:r>
      <w:r w:rsidR="007C2B9F" w:rsidRPr="00604355">
        <w:rPr>
          <w:rFonts w:ascii="Times New Roman" w:hAnsi="Times New Roman" w:cs="Times New Roman"/>
          <w:sz w:val="24"/>
          <w:szCs w:val="24"/>
          <w:lang w:val="en-GB"/>
        </w:rPr>
        <w:t>,</w:t>
      </w:r>
      <w:r w:rsidR="00374464" w:rsidRPr="00604355">
        <w:rPr>
          <w:rFonts w:ascii="Times New Roman" w:hAnsi="Times New Roman" w:cs="Times New Roman"/>
          <w:sz w:val="24"/>
          <w:szCs w:val="24"/>
        </w:rPr>
        <w:t xml:space="preserve"> compared to the negative control indicating immune stimulation resulting from oxidative stress. This was accompanied by a substantial increase in neutrophil percentage and a decrease in lymphocyte proportion suggesting an inflammatory response dominated by innate immune activation.</w:t>
      </w:r>
      <w:r w:rsidR="00281B79" w:rsidRPr="00604355">
        <w:rPr>
          <w:rFonts w:ascii="Times New Roman" w:hAnsi="Times New Roman" w:cs="Times New Roman"/>
          <w:sz w:val="24"/>
          <w:szCs w:val="24"/>
          <w:lang w:val="en-GB"/>
        </w:rPr>
        <w:t xml:space="preserve"> </w:t>
      </w:r>
      <w:r w:rsidR="00374464" w:rsidRPr="00604355">
        <w:rPr>
          <w:rFonts w:ascii="Times New Roman" w:hAnsi="Times New Roman" w:cs="Times New Roman"/>
        </w:rPr>
        <w:t xml:space="preserve">Treatment with </w:t>
      </w:r>
      <w:r w:rsidR="00374464" w:rsidRPr="00604355">
        <w:rPr>
          <w:rStyle w:val="Emphasis"/>
          <w:rFonts w:ascii="Times New Roman" w:hAnsi="Times New Roman" w:cs="Times New Roman"/>
        </w:rPr>
        <w:t>Ficus capensis</w:t>
      </w:r>
      <w:r w:rsidR="00374464" w:rsidRPr="00604355">
        <w:rPr>
          <w:rFonts w:ascii="Times New Roman" w:hAnsi="Times New Roman" w:cs="Times New Roman"/>
        </w:rPr>
        <w:t xml:space="preserve"> extract led to a notable normalization of these leukocytic parameters. The </w:t>
      </w:r>
      <w:r w:rsidR="00374464" w:rsidRPr="00604355">
        <w:rPr>
          <w:rStyle w:val="Strong"/>
          <w:rFonts w:ascii="Times New Roman" w:hAnsi="Times New Roman" w:cs="Times New Roman"/>
          <w:b w:val="0"/>
        </w:rPr>
        <w:t>medium dose</w:t>
      </w:r>
      <w:r w:rsidR="00374464" w:rsidRPr="00604355">
        <w:rPr>
          <w:rFonts w:ascii="Times New Roman" w:hAnsi="Times New Roman" w:cs="Times New Roman"/>
        </w:rPr>
        <w:t xml:space="preserve"> and </w:t>
      </w:r>
      <w:r w:rsidR="00374464" w:rsidRPr="00604355">
        <w:rPr>
          <w:rStyle w:val="Strong"/>
          <w:rFonts w:ascii="Times New Roman" w:hAnsi="Times New Roman" w:cs="Times New Roman"/>
          <w:b w:val="0"/>
        </w:rPr>
        <w:t>high dose extract groups</w:t>
      </w:r>
      <w:r w:rsidR="00374464" w:rsidRPr="00604355">
        <w:rPr>
          <w:rFonts w:ascii="Times New Roman" w:hAnsi="Times New Roman" w:cs="Times New Roman"/>
        </w:rPr>
        <w:t xml:space="preserve"> maintained WBC counts within physiological ranges, while the </w:t>
      </w:r>
      <w:r w:rsidR="00374464" w:rsidRPr="00604355">
        <w:rPr>
          <w:rStyle w:val="Strong"/>
          <w:rFonts w:ascii="Times New Roman" w:hAnsi="Times New Roman" w:cs="Times New Roman"/>
          <w:b w:val="0"/>
        </w:rPr>
        <w:t>extract + ferrous sulfate</w:t>
      </w:r>
      <w:r w:rsidR="00374464" w:rsidRPr="00604355">
        <w:rPr>
          <w:rFonts w:ascii="Times New Roman" w:hAnsi="Times New Roman" w:cs="Times New Roman"/>
        </w:rPr>
        <w:t xml:space="preserve"> group displayed the lowest WBC</w:t>
      </w:r>
      <w:r w:rsidR="00281B79" w:rsidRPr="00604355">
        <w:rPr>
          <w:rFonts w:ascii="Times New Roman" w:hAnsi="Times New Roman" w:cs="Times New Roman"/>
          <w:lang w:val="en-GB"/>
        </w:rPr>
        <w:t>,</w:t>
      </w:r>
      <w:r w:rsidR="00374464" w:rsidRPr="00604355">
        <w:rPr>
          <w:rFonts w:ascii="Times New Roman" w:hAnsi="Times New Roman" w:cs="Times New Roman"/>
        </w:rPr>
        <w:t xml:space="preserve"> sim</w:t>
      </w:r>
      <w:r w:rsidR="00604355" w:rsidRPr="00604355">
        <w:rPr>
          <w:rFonts w:ascii="Times New Roman" w:hAnsi="Times New Roman" w:cs="Times New Roman"/>
        </w:rPr>
        <w:t>ilar to the standard drug group</w:t>
      </w:r>
      <w:r w:rsidR="00604355" w:rsidRPr="00604355">
        <w:rPr>
          <w:rFonts w:ascii="Times New Roman" w:hAnsi="Times New Roman" w:cs="Times New Roman"/>
          <w:lang w:val="en-GB"/>
        </w:rPr>
        <w:t xml:space="preserve">. </w:t>
      </w:r>
      <w:r w:rsidR="00374464" w:rsidRPr="00604355">
        <w:rPr>
          <w:rFonts w:ascii="Times New Roman" w:hAnsi="Times New Roman" w:cs="Times New Roman"/>
        </w:rPr>
        <w:t xml:space="preserve">This reduction in leukocytosis signifies attenuation </w:t>
      </w:r>
      <w:r w:rsidR="00374464" w:rsidRPr="00604355">
        <w:rPr>
          <w:rFonts w:ascii="Times New Roman" w:hAnsi="Times New Roman" w:cs="Times New Roman"/>
        </w:rPr>
        <w:lastRenderedPageBreak/>
        <w:t>of phenylhydrazine-induced inflammation, reflecting the anti-inflammatory and immunomodulatory actions of the extract’s bioactive compounds (e.g., flavonoids, tannins, and phenolic acids).</w:t>
      </w:r>
      <w:r w:rsidR="00281B79" w:rsidRPr="00604355">
        <w:rPr>
          <w:rFonts w:ascii="Times New Roman" w:hAnsi="Times New Roman" w:cs="Times New Roman"/>
          <w:lang w:val="en-GB"/>
        </w:rPr>
        <w:t xml:space="preserve"> </w:t>
      </w:r>
      <w:r w:rsidR="00374464" w:rsidRPr="00604355">
        <w:rPr>
          <w:rFonts w:ascii="Times New Roman" w:hAnsi="Times New Roman" w:cs="Times New Roman"/>
        </w:rPr>
        <w:t>The lymphocyte percentage (LYM%) was significantly restored in treated groups, with the medium dose extract exhibiting the highest lymphocyte proportion even higher than the negative control. This suggests enhanced immune regulation and hematopoietic recovery. The concurrent normalization of neutrophil counts further underscores the extract’s ability to stabilize immune homeostasis by suppressing oxida</w:t>
      </w:r>
      <w:r w:rsidR="00281B79" w:rsidRPr="00604355">
        <w:rPr>
          <w:rFonts w:ascii="Times New Roman" w:hAnsi="Times New Roman" w:cs="Times New Roman"/>
        </w:rPr>
        <w:t>tive and inflammatory cascades</w:t>
      </w:r>
      <w:r w:rsidR="00281B79" w:rsidRPr="00604355">
        <w:rPr>
          <w:rFonts w:ascii="Times New Roman" w:hAnsi="Times New Roman" w:cs="Times New Roman"/>
          <w:lang w:val="en-GB"/>
        </w:rPr>
        <w:t xml:space="preserve">. The findings were similar with the findings reported by </w:t>
      </w:r>
      <w:r w:rsidR="00374464" w:rsidRPr="00604355">
        <w:rPr>
          <w:rFonts w:ascii="Times New Roman" w:hAnsi="Times New Roman" w:cs="Times New Roman"/>
        </w:rPr>
        <w:t xml:space="preserve">Akinmoladun </w:t>
      </w:r>
      <w:r w:rsidR="00281B79" w:rsidRPr="00604355">
        <w:rPr>
          <w:rFonts w:ascii="Times New Roman" w:hAnsi="Times New Roman" w:cs="Times New Roman"/>
          <w:i/>
        </w:rPr>
        <w:t>et al</w:t>
      </w:r>
      <w:r w:rsidR="00374464" w:rsidRPr="00604355">
        <w:rPr>
          <w:rFonts w:ascii="Times New Roman" w:hAnsi="Times New Roman" w:cs="Times New Roman"/>
          <w:i/>
        </w:rPr>
        <w:t>,</w:t>
      </w:r>
      <w:r w:rsidR="00374464" w:rsidRPr="00604355">
        <w:rPr>
          <w:rFonts w:ascii="Times New Roman" w:hAnsi="Times New Roman" w:cs="Times New Roman"/>
        </w:rPr>
        <w:t xml:space="preserve"> </w:t>
      </w:r>
      <w:r w:rsidR="00281B79" w:rsidRPr="00604355">
        <w:rPr>
          <w:rFonts w:ascii="Times New Roman" w:hAnsi="Times New Roman" w:cs="Times New Roman"/>
          <w:lang w:val="en-GB"/>
        </w:rPr>
        <w:t>(</w:t>
      </w:r>
      <w:r w:rsidR="00374464" w:rsidRPr="00604355">
        <w:rPr>
          <w:rFonts w:ascii="Times New Roman" w:hAnsi="Times New Roman" w:cs="Times New Roman"/>
        </w:rPr>
        <w:t>2022).</w:t>
      </w:r>
    </w:p>
    <w:p w:rsidR="00374464" w:rsidRPr="0019418E" w:rsidRDefault="00374464" w:rsidP="00720B3B">
      <w:pPr>
        <w:pStyle w:val="NormalWeb"/>
        <w:spacing w:before="0" w:beforeAutospacing="0" w:after="0" w:afterAutospacing="0"/>
        <w:jc w:val="both"/>
        <w:rPr>
          <w:lang w:val="en-GB"/>
        </w:rPr>
      </w:pPr>
      <w:r w:rsidRPr="00604355">
        <w:t xml:space="preserve">Monocyte (MON%), eosinophil (EOS%), and basophil (BAS%) counts showed no significant differences (P &gt; 0.05) among groups, suggesting that </w:t>
      </w:r>
      <w:r w:rsidRPr="00604355">
        <w:rPr>
          <w:rStyle w:val="Emphasis"/>
          <w:rFonts w:eastAsia="SimSun"/>
        </w:rPr>
        <w:t>Ficus capensis</w:t>
      </w:r>
      <w:r w:rsidRPr="00604355">
        <w:t xml:space="preserve"> primarily modulates the major leukocyte subsets (lymphocytes and neutrophils) rather than altering total leukocyte diversity. The stability of these minor fractions implies that the extract does not induce hypersensitivity or allergic responses, supporting its hematological safety profile</w:t>
      </w:r>
      <w:r w:rsidR="0019418E">
        <w:rPr>
          <w:lang w:val="en-GB"/>
        </w:rPr>
        <w:t>.</w:t>
      </w:r>
    </w:p>
    <w:p w:rsidR="00374464" w:rsidRPr="00604355" w:rsidRDefault="00374464" w:rsidP="00720B3B">
      <w:pPr>
        <w:pStyle w:val="NormalWeb"/>
        <w:spacing w:before="0" w:beforeAutospacing="0" w:after="0" w:afterAutospacing="0"/>
        <w:jc w:val="both"/>
      </w:pPr>
      <w:r w:rsidRPr="00604355">
        <w:t xml:space="preserve">Immature granulocytes (IMM%) and atypical lymphocytes (ALY%) provide indicators of immune activation and inflammatory response. The </w:t>
      </w:r>
      <w:r w:rsidRPr="00604355">
        <w:rPr>
          <w:rStyle w:val="Strong"/>
          <w:b w:val="0"/>
        </w:rPr>
        <w:t>positive control group</w:t>
      </w:r>
      <w:r w:rsidR="00281B79" w:rsidRPr="00604355">
        <w:t xml:space="preserve"> displayed higher ALY% </w:t>
      </w:r>
      <w:r w:rsidRPr="00604355">
        <w:t xml:space="preserve">relative to the negative control reflecting heightened immune stimulation following hemolysis and oxidative injury. Treatment with </w:t>
      </w:r>
      <w:r w:rsidRPr="00604355">
        <w:rPr>
          <w:rStyle w:val="Emphasis"/>
          <w:rFonts w:eastAsia="SimSun"/>
        </w:rPr>
        <w:t>Ficus capensis</w:t>
      </w:r>
      <w:r w:rsidRPr="00604355">
        <w:t xml:space="preserve">, especially at </w:t>
      </w:r>
      <w:r w:rsidRPr="00604355">
        <w:rPr>
          <w:rStyle w:val="Strong"/>
          <w:b w:val="0"/>
        </w:rPr>
        <w:t xml:space="preserve">medium </w:t>
      </w:r>
      <w:r w:rsidRPr="00604355">
        <w:t>and</w:t>
      </w:r>
      <w:r w:rsidRPr="00604355">
        <w:rPr>
          <w:b/>
        </w:rPr>
        <w:t xml:space="preserve"> </w:t>
      </w:r>
      <w:r w:rsidRPr="00604355">
        <w:rPr>
          <w:rStyle w:val="Strong"/>
          <w:b w:val="0"/>
        </w:rPr>
        <w:t xml:space="preserve">high doses </w:t>
      </w:r>
      <w:r w:rsidRPr="00604355">
        <w:t>significantly normalized ALY% (</w:t>
      </w:r>
      <w:r w:rsidRPr="00604355">
        <w:rPr>
          <w:rStyle w:val="Emphasis"/>
          <w:rFonts w:eastAsia="SimSun"/>
        </w:rPr>
        <w:t>P</w:t>
      </w:r>
      <w:r w:rsidRPr="00604355">
        <w:t xml:space="preserve"> = 0.004), comparable to the negative control group.</w:t>
      </w:r>
    </w:p>
    <w:p w:rsidR="00374464" w:rsidRPr="00604355" w:rsidRDefault="00374464" w:rsidP="00720B3B">
      <w:pPr>
        <w:pStyle w:val="NormalWeb"/>
        <w:spacing w:before="0" w:beforeAutospacing="0" w:after="0" w:afterAutospacing="0"/>
        <w:jc w:val="both"/>
      </w:pPr>
      <w:r w:rsidRPr="00604355">
        <w:t>Similarly, IMM% values remained low and statistically insignificant across treatments (</w:t>
      </w:r>
      <w:r w:rsidRPr="00604355">
        <w:rPr>
          <w:rStyle w:val="Emphasis"/>
          <w:rFonts w:eastAsia="SimSun"/>
        </w:rPr>
        <w:t>P</w:t>
      </w:r>
      <w:r w:rsidRPr="00604355">
        <w:t xml:space="preserve"> &gt; 0.05), suggesting that the extract neither induced bone marrow stress nor provoked excessive granulocytic proliferation. The extract’s immunomodulatory action, therefore, appears to balance leukocyte turnover and maintain immune home</w:t>
      </w:r>
      <w:r w:rsidR="00E62AF5" w:rsidRPr="00604355">
        <w:t>ostasis without overstimulation</w:t>
      </w:r>
      <w:r w:rsidR="00E62AF5" w:rsidRPr="00604355">
        <w:rPr>
          <w:lang w:val="en-GB"/>
        </w:rPr>
        <w:t xml:space="preserve"> </w:t>
      </w:r>
      <w:r w:rsidRPr="00604355">
        <w:t>a benefici</w:t>
      </w:r>
      <w:r w:rsidR="00281B79" w:rsidRPr="00604355">
        <w:t xml:space="preserve">al effect in </w:t>
      </w:r>
      <w:r w:rsidR="00281B79" w:rsidRPr="00604355">
        <w:t xml:space="preserve">anemia management </w:t>
      </w:r>
      <w:r w:rsidR="00281B79" w:rsidRPr="00604355">
        <w:rPr>
          <w:lang w:val="en-GB"/>
        </w:rPr>
        <w:t xml:space="preserve">same as reported by </w:t>
      </w:r>
      <w:r w:rsidRPr="00604355">
        <w:t xml:space="preserve">Akinmoladun </w:t>
      </w:r>
      <w:r w:rsidRPr="0019418E">
        <w:rPr>
          <w:i/>
        </w:rPr>
        <w:t>et al.,</w:t>
      </w:r>
      <w:r w:rsidRPr="00604355">
        <w:t xml:space="preserve"> </w:t>
      </w:r>
      <w:r w:rsidR="00281B79" w:rsidRPr="00604355">
        <w:rPr>
          <w:lang w:val="en-GB"/>
        </w:rPr>
        <w:t>(</w:t>
      </w:r>
      <w:r w:rsidRPr="00604355">
        <w:t>2022).</w:t>
      </w:r>
    </w:p>
    <w:p w:rsidR="00374464" w:rsidRPr="00604355" w:rsidRDefault="00287BFD" w:rsidP="00287BFD">
      <w:pPr>
        <w:spacing w:after="0" w:line="240" w:lineRule="auto"/>
        <w:jc w:val="both"/>
        <w:rPr>
          <w:rFonts w:ascii="Times New Roman" w:hAnsi="Times New Roman" w:cs="Times New Roman"/>
          <w:sz w:val="24"/>
          <w:szCs w:val="24"/>
          <w:lang w:val="en-US"/>
        </w:rPr>
      </w:pPr>
      <w:r w:rsidRPr="00604355">
        <w:rPr>
          <w:rFonts w:ascii="Times New Roman" w:hAnsi="Times New Roman" w:cs="Times New Roman"/>
          <w:sz w:val="24"/>
          <w:szCs w:val="24"/>
          <w:lang w:val="en-US"/>
        </w:rPr>
        <w:t xml:space="preserve">PLT. </w:t>
      </w:r>
      <w:r w:rsidR="00374464" w:rsidRPr="00604355">
        <w:rPr>
          <w:rFonts w:ascii="Times New Roman" w:hAnsi="Times New Roman" w:cs="Times New Roman"/>
          <w:sz w:val="24"/>
          <w:szCs w:val="24"/>
        </w:rPr>
        <w:t>Phenylhydrazine (PHZ)–induced anemia produced marked alterations in platelet parameters, reflecting the well-established compensatory thrombopoietic response seen in iron deficiency anemia (IDA). PHZ-induced anemia in the positive control group was associated w</w:t>
      </w:r>
      <w:r w:rsidR="00A2626D" w:rsidRPr="00604355">
        <w:rPr>
          <w:rFonts w:ascii="Times New Roman" w:hAnsi="Times New Roman" w:cs="Times New Roman"/>
          <w:sz w:val="24"/>
          <w:szCs w:val="24"/>
        </w:rPr>
        <w:t xml:space="preserve">ith significant thrombocytosis </w:t>
      </w:r>
      <w:r w:rsidR="00374464" w:rsidRPr="00604355">
        <w:rPr>
          <w:rFonts w:ascii="Times New Roman" w:hAnsi="Times New Roman" w:cs="Times New Roman"/>
          <w:sz w:val="24"/>
          <w:szCs w:val="24"/>
        </w:rPr>
        <w:t>and elevated plateletcrit reflecting reactive thrombopoiesis driven by oxidative str</w:t>
      </w:r>
      <w:r w:rsidR="00A2626D" w:rsidRPr="00604355">
        <w:rPr>
          <w:rFonts w:ascii="Times New Roman" w:hAnsi="Times New Roman" w:cs="Times New Roman"/>
          <w:sz w:val="24"/>
          <w:szCs w:val="24"/>
        </w:rPr>
        <w:t xml:space="preserve">ess and inflammatory cytokines </w:t>
      </w:r>
      <w:r w:rsidR="00A2626D" w:rsidRPr="00604355">
        <w:rPr>
          <w:rFonts w:ascii="Times New Roman" w:hAnsi="Times New Roman" w:cs="Times New Roman"/>
          <w:sz w:val="24"/>
          <w:szCs w:val="24"/>
          <w:lang w:val="en-GB"/>
        </w:rPr>
        <w:t xml:space="preserve"> as reported by </w:t>
      </w:r>
      <w:r w:rsidR="00374464" w:rsidRPr="00604355">
        <w:rPr>
          <w:rFonts w:ascii="Times New Roman" w:hAnsi="Times New Roman" w:cs="Times New Roman"/>
          <w:sz w:val="24"/>
          <w:szCs w:val="24"/>
        </w:rPr>
        <w:t xml:space="preserve">Wang </w:t>
      </w:r>
      <w:r w:rsidR="00374464" w:rsidRPr="00604355">
        <w:rPr>
          <w:rFonts w:ascii="Times New Roman" w:hAnsi="Times New Roman" w:cs="Times New Roman"/>
          <w:i/>
          <w:sz w:val="24"/>
          <w:szCs w:val="24"/>
        </w:rPr>
        <w:t>et al</w:t>
      </w:r>
      <w:r w:rsidR="00374464" w:rsidRPr="00604355">
        <w:rPr>
          <w:rFonts w:ascii="Times New Roman" w:hAnsi="Times New Roman" w:cs="Times New Roman"/>
          <w:sz w:val="24"/>
          <w:szCs w:val="24"/>
        </w:rPr>
        <w:t>., 2021). Platelet distribution width (PDW) and platelet-large cell ratio (PLCR) were also altered, indicating heterogeneous platelet activation and potential prothrombotic risk. These changes parallel clinical IDA, where reactive thrombocytosis results from increased thrombopoietin (TPO) release, megakaryocyte hyperplasia, and cross-regulation between erythropoiesis and megakaryopoiesis due to shared progenitors (Meg-E lineag</w:t>
      </w:r>
      <w:r w:rsidR="00A2626D" w:rsidRPr="00604355">
        <w:rPr>
          <w:rFonts w:ascii="Times New Roman" w:hAnsi="Times New Roman" w:cs="Times New Roman"/>
          <w:sz w:val="24"/>
          <w:szCs w:val="24"/>
        </w:rPr>
        <w:t xml:space="preserve">e) and altered iron metabolism </w:t>
      </w:r>
      <w:r w:rsidR="00A2626D" w:rsidRPr="00604355">
        <w:rPr>
          <w:rFonts w:ascii="Times New Roman" w:hAnsi="Times New Roman" w:cs="Times New Roman"/>
          <w:sz w:val="24"/>
          <w:szCs w:val="24"/>
          <w:lang w:val="en-GB"/>
        </w:rPr>
        <w:t xml:space="preserve">disagree with the research conducted and reported by </w:t>
      </w:r>
      <w:r w:rsidR="00374464" w:rsidRPr="00604355">
        <w:rPr>
          <w:rFonts w:ascii="Times New Roman" w:hAnsi="Times New Roman" w:cs="Times New Roman"/>
          <w:sz w:val="24"/>
          <w:szCs w:val="24"/>
        </w:rPr>
        <w:t xml:space="preserve">Bento </w:t>
      </w:r>
      <w:r w:rsidR="00374464" w:rsidRPr="00604355">
        <w:rPr>
          <w:rFonts w:ascii="Times New Roman" w:hAnsi="Times New Roman" w:cs="Times New Roman"/>
          <w:i/>
          <w:sz w:val="24"/>
          <w:szCs w:val="24"/>
        </w:rPr>
        <w:t>et al</w:t>
      </w:r>
      <w:r w:rsidR="00374464" w:rsidRPr="00604355">
        <w:rPr>
          <w:rFonts w:ascii="Times New Roman" w:hAnsi="Times New Roman" w:cs="Times New Roman"/>
          <w:sz w:val="24"/>
          <w:szCs w:val="24"/>
        </w:rPr>
        <w:t>.</w:t>
      </w:r>
      <w:r w:rsidR="00014A73" w:rsidRPr="00604355">
        <w:rPr>
          <w:rFonts w:ascii="Times New Roman" w:hAnsi="Times New Roman" w:cs="Times New Roman"/>
          <w:sz w:val="24"/>
          <w:szCs w:val="24"/>
        </w:rPr>
        <w:t xml:space="preserve"> </w:t>
      </w:r>
      <w:r w:rsidR="00A2626D" w:rsidRPr="00604355">
        <w:rPr>
          <w:rFonts w:ascii="Times New Roman" w:hAnsi="Times New Roman" w:cs="Times New Roman"/>
          <w:sz w:val="24"/>
          <w:szCs w:val="24"/>
          <w:lang w:val="en-GB"/>
        </w:rPr>
        <w:t>(</w:t>
      </w:r>
      <w:r w:rsidR="00014A73" w:rsidRPr="00604355">
        <w:rPr>
          <w:rFonts w:ascii="Times New Roman" w:hAnsi="Times New Roman" w:cs="Times New Roman"/>
          <w:sz w:val="24"/>
          <w:szCs w:val="24"/>
        </w:rPr>
        <w:t>2020</w:t>
      </w:r>
      <w:r w:rsidR="00014A73" w:rsidRPr="00604355">
        <w:rPr>
          <w:rFonts w:ascii="Times New Roman" w:hAnsi="Times New Roman" w:cs="Times New Roman"/>
          <w:sz w:val="24"/>
          <w:szCs w:val="24"/>
          <w:lang w:val="en-US"/>
        </w:rPr>
        <w:t>)</w:t>
      </w:r>
      <w:r w:rsidR="00374464" w:rsidRPr="00604355">
        <w:rPr>
          <w:rFonts w:ascii="Times New Roman" w:hAnsi="Times New Roman" w:cs="Times New Roman"/>
          <w:sz w:val="24"/>
          <w:szCs w:val="24"/>
        </w:rPr>
        <w:t>.</w:t>
      </w:r>
    </w:p>
    <w:p w:rsidR="00374464" w:rsidRPr="00604355" w:rsidRDefault="00374464" w:rsidP="00720B3B">
      <w:pPr>
        <w:pStyle w:val="NormalWeb"/>
        <w:spacing w:before="0" w:beforeAutospacing="0" w:after="0" w:afterAutospacing="0"/>
        <w:jc w:val="both"/>
        <w:rPr>
          <w:lang w:val="en-US"/>
        </w:rPr>
      </w:pPr>
      <w:r w:rsidRPr="00604355">
        <w:t xml:space="preserve">Treatment with </w:t>
      </w:r>
      <w:r w:rsidRPr="00604355">
        <w:rPr>
          <w:rStyle w:val="Emphasis"/>
          <w:rFonts w:eastAsia="SimSun"/>
        </w:rPr>
        <w:t>F. capensis</w:t>
      </w:r>
      <w:r w:rsidRPr="00604355">
        <w:t xml:space="preserve"> normalized platelet parameters in a </w:t>
      </w:r>
      <w:r w:rsidRPr="00604355">
        <w:rPr>
          <w:rStyle w:val="Strong"/>
          <w:b w:val="0"/>
        </w:rPr>
        <w:t>dose-dependent manner</w:t>
      </w:r>
      <w:r w:rsidRPr="00604355">
        <w:rPr>
          <w:b/>
        </w:rPr>
        <w:t>.</w:t>
      </w:r>
      <w:r w:rsidRPr="00604355">
        <w:t xml:space="preserve"> Low-, medium-, and high-dose extracts restored PLT counts to physiological ranges and reduced reflecting s</w:t>
      </w:r>
      <w:r w:rsidR="00283320" w:rsidRPr="00604355">
        <w:t xml:space="preserve">tabilization of thrombopoiesis </w:t>
      </w:r>
      <w:r w:rsidR="00283320" w:rsidRPr="00604355">
        <w:rPr>
          <w:lang w:val="en-GB"/>
        </w:rPr>
        <w:t xml:space="preserve">as reported by </w:t>
      </w:r>
      <w:r w:rsidR="00283320" w:rsidRPr="00604355">
        <w:t xml:space="preserve">Afolabi </w:t>
      </w:r>
      <w:r w:rsidR="00283320" w:rsidRPr="00742591">
        <w:rPr>
          <w:i/>
        </w:rPr>
        <w:t>et al.</w:t>
      </w:r>
      <w:r w:rsidRPr="00604355">
        <w:t xml:space="preserve"> </w:t>
      </w:r>
      <w:r w:rsidR="00283320" w:rsidRPr="00604355">
        <w:rPr>
          <w:lang w:val="en-GB"/>
        </w:rPr>
        <w:t>(</w:t>
      </w:r>
      <w:r w:rsidRPr="00604355">
        <w:t>2024). High-dose extract notably increased PDW suggesting a restoration of platelet heterogeneity and functional capacity, while MPV remained relatively stable across groups, indicating preser</w:t>
      </w:r>
      <w:r w:rsidR="00A2626D" w:rsidRPr="00604355">
        <w:t xml:space="preserve">ved platelet size distribution </w:t>
      </w:r>
      <w:r w:rsidR="00A2626D" w:rsidRPr="00604355">
        <w:rPr>
          <w:lang w:val="en-GB"/>
        </w:rPr>
        <w:t xml:space="preserve">in contrast with the report of the </w:t>
      </w:r>
      <w:r w:rsidRPr="00604355">
        <w:t xml:space="preserve">Olatunde </w:t>
      </w:r>
      <w:r w:rsidRPr="00604355">
        <w:rPr>
          <w:i/>
        </w:rPr>
        <w:t>et al.,</w:t>
      </w:r>
      <w:r w:rsidRPr="00604355">
        <w:t xml:space="preserve"> </w:t>
      </w:r>
      <w:r w:rsidR="00A2626D" w:rsidRPr="00604355">
        <w:rPr>
          <w:lang w:val="en-GB"/>
        </w:rPr>
        <w:t>(</w:t>
      </w:r>
      <w:r w:rsidRPr="00604355">
        <w:t>2023). The extract + ferrous sulfate combination maint</w:t>
      </w:r>
      <w:r w:rsidR="00A2626D" w:rsidRPr="00604355">
        <w:t>ained platelet homeostasis</w:t>
      </w:r>
      <w:r w:rsidR="00A2626D" w:rsidRPr="00604355">
        <w:rPr>
          <w:lang w:val="en-GB"/>
        </w:rPr>
        <w:t xml:space="preserve"> </w:t>
      </w:r>
      <w:r w:rsidRPr="00604355">
        <w:t>demonstrating potential synergistic effects of plant–mineral therapy on hemostasis.</w:t>
      </w:r>
    </w:p>
    <w:p w:rsidR="004F288D" w:rsidRPr="00604355" w:rsidRDefault="004F288D" w:rsidP="00720B3B">
      <w:pPr>
        <w:pStyle w:val="NormalWeb"/>
        <w:spacing w:before="0" w:beforeAutospacing="0" w:after="0" w:afterAutospacing="0"/>
        <w:jc w:val="both"/>
        <w:rPr>
          <w:b/>
          <w:lang w:val="en-US"/>
        </w:rPr>
      </w:pPr>
      <w:r w:rsidRPr="00604355">
        <w:rPr>
          <w:b/>
          <w:lang w:val="en-US"/>
        </w:rPr>
        <w:t>`1.17 CONCLUSION</w:t>
      </w:r>
    </w:p>
    <w:p w:rsidR="004F288D" w:rsidRPr="00604355" w:rsidRDefault="004F288D" w:rsidP="00720B3B">
      <w:pPr>
        <w:pStyle w:val="NormalWeb"/>
        <w:spacing w:before="0" w:beforeAutospacing="0" w:after="0" w:afterAutospacing="0"/>
        <w:jc w:val="both"/>
        <w:rPr>
          <w:lang w:val="en-US"/>
        </w:rPr>
      </w:pPr>
      <w:r w:rsidRPr="00604355">
        <w:t xml:space="preserve">Treatment with </w:t>
      </w:r>
      <w:r w:rsidRPr="00604355">
        <w:rPr>
          <w:rStyle w:val="Emphasis"/>
          <w:rFonts w:eastAsia="SimSun"/>
        </w:rPr>
        <w:t>Ficus capensis</w:t>
      </w:r>
      <w:r w:rsidRPr="00604355">
        <w:t xml:space="preserve"> extract led to a notable normalization of these leukocytic parameters. The </w:t>
      </w:r>
      <w:r w:rsidRPr="00604355">
        <w:rPr>
          <w:rStyle w:val="Strong"/>
          <w:b w:val="0"/>
        </w:rPr>
        <w:t>medium dose</w:t>
      </w:r>
      <w:r w:rsidRPr="00604355">
        <w:t xml:space="preserve"> </w:t>
      </w:r>
      <w:r w:rsidRPr="00604355">
        <w:lastRenderedPageBreak/>
        <w:t xml:space="preserve">and </w:t>
      </w:r>
      <w:r w:rsidRPr="00604355">
        <w:rPr>
          <w:rStyle w:val="Strong"/>
          <w:b w:val="0"/>
        </w:rPr>
        <w:t>high dose extract groups</w:t>
      </w:r>
      <w:r w:rsidRPr="00604355">
        <w:t xml:space="preserve"> maintained WBC counts</w:t>
      </w:r>
      <w:r w:rsidRPr="00604355">
        <w:rPr>
          <w:lang w:val="en-US"/>
        </w:rPr>
        <w:t>.</w:t>
      </w:r>
      <w:r w:rsidRPr="00604355">
        <w:t xml:space="preserve"> Treatment with </w:t>
      </w:r>
      <w:r w:rsidRPr="00604355">
        <w:rPr>
          <w:rStyle w:val="Emphasis"/>
          <w:rFonts w:eastAsia="SimSun"/>
        </w:rPr>
        <w:t>F. capensis</w:t>
      </w:r>
      <w:r w:rsidRPr="00604355">
        <w:t xml:space="preserve"> normalized platelet parameters in a </w:t>
      </w:r>
      <w:r w:rsidRPr="00604355">
        <w:rPr>
          <w:rStyle w:val="Strong"/>
          <w:b w:val="0"/>
        </w:rPr>
        <w:t>dose-dependent manner</w:t>
      </w:r>
      <w:r w:rsidRPr="00604355">
        <w:rPr>
          <w:b/>
        </w:rPr>
        <w:t>.</w:t>
      </w:r>
      <w:r w:rsidRPr="00604355">
        <w:t xml:space="preserve"> Low-, medium-, and high-dose extracts restored PLT counts to physiological ranges</w:t>
      </w:r>
      <w:r w:rsidRPr="00604355">
        <w:rPr>
          <w:lang w:val="en-US"/>
        </w:rPr>
        <w:t>. S</w:t>
      </w:r>
      <w:r w:rsidRPr="00604355">
        <w:t xml:space="preserve">hows that the methanolic extract of </w:t>
      </w:r>
      <w:r w:rsidRPr="00604355">
        <w:rPr>
          <w:i/>
          <w:iCs/>
        </w:rPr>
        <w:t>Ficus capensis</w:t>
      </w:r>
      <w:r w:rsidRPr="00604355">
        <w:t xml:space="preserve"> leaves contains </w:t>
      </w:r>
      <w:r w:rsidRPr="00604355">
        <w:rPr>
          <w:bCs/>
        </w:rPr>
        <w:t>a complex mixture of fatty acids, esters, terpenoids, and hydrocarbons</w:t>
      </w:r>
      <w:r w:rsidR="00283320" w:rsidRPr="00604355">
        <w:rPr>
          <w:lang w:val="en-GB"/>
        </w:rPr>
        <w:t xml:space="preserve"> </w:t>
      </w:r>
      <w:r w:rsidRPr="00604355">
        <w:t>phytochemicals typically associated with antioxidant, anti-inflammatory, antimicrobial, and hematopoietic (blood-building) activities</w:t>
      </w:r>
      <w:r w:rsidRPr="00604355">
        <w:rPr>
          <w:lang w:val="en-US"/>
        </w:rPr>
        <w:t>.</w:t>
      </w:r>
    </w:p>
    <w:p w:rsidR="00B24671" w:rsidRPr="00B24671" w:rsidRDefault="00B24671" w:rsidP="00B24671">
      <w:pPr>
        <w:pStyle w:val="NormalWeb"/>
        <w:spacing w:after="0"/>
        <w:jc w:val="both"/>
        <w:rPr>
          <w:b/>
          <w:lang w:val="en-US"/>
        </w:rPr>
      </w:pPr>
      <w:r w:rsidRPr="00B24671">
        <w:rPr>
          <w:b/>
          <w:lang w:val="en-US"/>
        </w:rPr>
        <w:t xml:space="preserve">ETHICAL APPROVAL </w:t>
      </w:r>
    </w:p>
    <w:p w:rsidR="004F288D" w:rsidRDefault="00B24671" w:rsidP="00B24671">
      <w:pPr>
        <w:pStyle w:val="NormalWeb"/>
        <w:spacing w:before="0" w:beforeAutospacing="0" w:after="0" w:afterAutospacing="0"/>
        <w:jc w:val="both"/>
        <w:rPr>
          <w:b/>
          <w:lang w:val="en-US"/>
        </w:rPr>
      </w:pPr>
      <w:r w:rsidRPr="00B24671">
        <w:rPr>
          <w:b/>
          <w:lang w:val="en-US"/>
        </w:rPr>
        <w:t xml:space="preserve">All the procedures of this research </w:t>
      </w:r>
      <w:proofErr w:type="gramStart"/>
      <w:r w:rsidRPr="00B24671">
        <w:rPr>
          <w:b/>
          <w:lang w:val="en-US"/>
        </w:rPr>
        <w:t>was</w:t>
      </w:r>
      <w:proofErr w:type="gramEnd"/>
      <w:r w:rsidRPr="00B24671">
        <w:rPr>
          <w:b/>
          <w:lang w:val="en-US"/>
        </w:rPr>
        <w:t xml:space="preserve"> performed according to the Guideline for the Care and Use of Laboratory Animals.  Protocols approval of the research was formally sorted from the Ethics and Research </w:t>
      </w:r>
      <w:proofErr w:type="gramStart"/>
      <w:r w:rsidRPr="00B24671">
        <w:rPr>
          <w:b/>
          <w:lang w:val="en-US"/>
        </w:rPr>
        <w:t>Committee  of</w:t>
      </w:r>
      <w:proofErr w:type="gramEnd"/>
      <w:r w:rsidRPr="00B24671">
        <w:rPr>
          <w:b/>
          <w:lang w:val="en-US"/>
        </w:rPr>
        <w:t xml:space="preserve"> the Faculty of Pharmaceutical Sciences, </w:t>
      </w:r>
      <w:proofErr w:type="spellStart"/>
      <w:r w:rsidRPr="00B24671">
        <w:rPr>
          <w:b/>
          <w:lang w:val="en-US"/>
        </w:rPr>
        <w:t>Usmanu</w:t>
      </w:r>
      <w:proofErr w:type="spellEnd"/>
      <w:r w:rsidRPr="00B24671">
        <w:rPr>
          <w:b/>
          <w:lang w:val="en-US"/>
        </w:rPr>
        <w:t xml:space="preserve"> </w:t>
      </w:r>
      <w:proofErr w:type="spellStart"/>
      <w:r w:rsidRPr="00B24671">
        <w:rPr>
          <w:b/>
          <w:lang w:val="en-US"/>
        </w:rPr>
        <w:t>Danfodiyo</w:t>
      </w:r>
      <w:proofErr w:type="spellEnd"/>
      <w:r w:rsidRPr="00B24671">
        <w:rPr>
          <w:b/>
          <w:lang w:val="en-US"/>
        </w:rPr>
        <w:t xml:space="preserve"> University Sokoto with reference number NHREC/UDU-HREC/25/06/2023 – PGP 20</w:t>
      </w:r>
    </w:p>
    <w:p w:rsidR="00EE7AE0" w:rsidRDefault="00EE7AE0" w:rsidP="00720B3B">
      <w:pPr>
        <w:pStyle w:val="NormalWeb"/>
        <w:spacing w:before="0" w:beforeAutospacing="0" w:after="0" w:afterAutospacing="0"/>
        <w:jc w:val="both"/>
        <w:rPr>
          <w:b/>
          <w:lang w:val="en-US"/>
        </w:rPr>
      </w:pPr>
    </w:p>
    <w:p w:rsidR="00EE7AE0" w:rsidRPr="003908BA" w:rsidRDefault="00EE7AE0" w:rsidP="00EE7AE0">
      <w:pPr>
        <w:spacing w:after="0" w:line="240" w:lineRule="auto"/>
        <w:rPr>
          <w:rFonts w:ascii="Times New Roman" w:eastAsia="Calibri" w:hAnsi="Times New Roman" w:cs="Times New Roman"/>
          <w:kern w:val="2"/>
          <w:lang w:val="en-US"/>
        </w:rPr>
      </w:pPr>
      <w:bookmarkStart w:id="18" w:name="_Hlk198031404"/>
      <w:r w:rsidRPr="003908BA">
        <w:rPr>
          <w:rFonts w:ascii="Times New Roman" w:eastAsia="Calibri" w:hAnsi="Times New Roman" w:cs="Times New Roman"/>
          <w:kern w:val="2"/>
          <w:lang w:val="en-US"/>
        </w:rPr>
        <w:t>Disclaimer (Artificial intelligence)</w:t>
      </w:r>
    </w:p>
    <w:p w:rsidR="00EE7AE0" w:rsidRPr="003908BA" w:rsidRDefault="00EE7AE0" w:rsidP="00EE7AE0">
      <w:pPr>
        <w:spacing w:after="0" w:line="240" w:lineRule="auto"/>
        <w:rPr>
          <w:rFonts w:ascii="Times New Roman" w:eastAsia="Calibri" w:hAnsi="Times New Roman" w:cs="Times New Roman"/>
          <w:kern w:val="2"/>
          <w:lang w:val="en-US"/>
        </w:rPr>
      </w:pPr>
    </w:p>
    <w:p w:rsidR="00EE7AE0" w:rsidRPr="003908BA" w:rsidRDefault="00EE7AE0" w:rsidP="00EE7AE0">
      <w:pPr>
        <w:spacing w:after="0" w:line="240" w:lineRule="auto"/>
        <w:rPr>
          <w:rFonts w:ascii="Times New Roman" w:eastAsia="Calibri" w:hAnsi="Times New Roman" w:cs="Times New Roman"/>
          <w:kern w:val="2"/>
          <w:lang w:val="en-US"/>
        </w:rPr>
      </w:pPr>
      <w:r w:rsidRPr="003908BA">
        <w:rPr>
          <w:rFonts w:ascii="Times New Roman" w:eastAsia="Calibri" w:hAnsi="Times New Roman" w:cs="Times New Roman"/>
          <w:kern w:val="2"/>
          <w:lang w:val="en-US"/>
        </w:rPr>
        <w:t>Author(s) hereby declare that NO generative AI technologies such as Large Language Models (</w:t>
      </w:r>
      <w:proofErr w:type="spellStart"/>
      <w:r w:rsidRPr="003908BA">
        <w:rPr>
          <w:rFonts w:ascii="Times New Roman" w:eastAsia="Calibri" w:hAnsi="Times New Roman" w:cs="Times New Roman"/>
          <w:kern w:val="2"/>
          <w:lang w:val="en-US"/>
        </w:rPr>
        <w:t>ChatGPT</w:t>
      </w:r>
      <w:proofErr w:type="spellEnd"/>
      <w:r w:rsidRPr="003908BA">
        <w:rPr>
          <w:rFonts w:ascii="Times New Roman" w:eastAsia="Calibri" w:hAnsi="Times New Roman" w:cs="Times New Roman"/>
          <w:kern w:val="2"/>
          <w:lang w:val="en-US"/>
        </w:rPr>
        <w:t xml:space="preserve">, COPILOT, etc.) and text-to-image generators have been used during the writing or editing of this manuscript. </w:t>
      </w:r>
    </w:p>
    <w:bookmarkEnd w:id="18"/>
    <w:p w:rsidR="00EE7AE0" w:rsidRPr="00604355" w:rsidRDefault="00EE7AE0" w:rsidP="00720B3B">
      <w:pPr>
        <w:pStyle w:val="NormalWeb"/>
        <w:spacing w:before="0" w:beforeAutospacing="0" w:after="0" w:afterAutospacing="0"/>
        <w:jc w:val="both"/>
        <w:rPr>
          <w:b/>
          <w:lang w:val="en-US"/>
        </w:rPr>
      </w:pPr>
    </w:p>
    <w:p w:rsidR="00374464" w:rsidRPr="00604355" w:rsidRDefault="00374464" w:rsidP="00720B3B">
      <w:pPr>
        <w:pStyle w:val="Heading3"/>
        <w:spacing w:before="0" w:beforeAutospacing="0" w:after="0" w:afterAutospacing="0"/>
        <w:jc w:val="both"/>
        <w:rPr>
          <w:sz w:val="24"/>
          <w:szCs w:val="24"/>
        </w:rPr>
      </w:pPr>
      <w:r w:rsidRPr="00604355">
        <w:rPr>
          <w:color w:val="000000" w:themeColor="text1"/>
          <w:sz w:val="24"/>
          <w:szCs w:val="24"/>
        </w:rPr>
        <w:t>REFERENCES</w:t>
      </w:r>
      <w:bookmarkEnd w:id="16"/>
    </w:p>
    <w:p w:rsidR="0096694C" w:rsidRPr="00604355" w:rsidRDefault="0096694C" w:rsidP="00C75F9B">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sz w:val="24"/>
          <w:szCs w:val="24"/>
        </w:rPr>
        <w:t xml:space="preserve">Abubakar, A., Ibrahim, M. A., &amp; Yusuf, S. (2021). </w:t>
      </w:r>
      <w:r w:rsidRPr="00604355">
        <w:rPr>
          <w:rFonts w:ascii="Times New Roman" w:eastAsia="Times New Roman" w:hAnsi="Times New Roman" w:cs="Times New Roman"/>
          <w:iCs/>
          <w:sz w:val="24"/>
          <w:szCs w:val="24"/>
        </w:rPr>
        <w:t>Protective role of medicinal plants against phenylhydrazine-induced oxidative damage in rats</w:t>
      </w:r>
      <w:r w:rsidRPr="00604355">
        <w:rPr>
          <w:rFonts w:ascii="Times New Roman" w:eastAsia="Times New Roman" w:hAnsi="Times New Roman" w:cs="Times New Roman"/>
          <w:sz w:val="24"/>
          <w:szCs w:val="24"/>
        </w:rPr>
        <w:t xml:space="preserve">. </w:t>
      </w:r>
      <w:r w:rsidRPr="00604355">
        <w:rPr>
          <w:rFonts w:ascii="Times New Roman" w:eastAsia="Times New Roman" w:hAnsi="Times New Roman" w:cs="Times New Roman"/>
          <w:bCs/>
          <w:i/>
          <w:sz w:val="24"/>
          <w:szCs w:val="24"/>
        </w:rPr>
        <w:t>Journal of Medicinal Plants Research</w:t>
      </w:r>
      <w:r w:rsidRPr="00604355">
        <w:rPr>
          <w:rFonts w:ascii="Times New Roman" w:eastAsia="Times New Roman" w:hAnsi="Times New Roman" w:cs="Times New Roman"/>
          <w:i/>
          <w:sz w:val="24"/>
          <w:szCs w:val="24"/>
        </w:rPr>
        <w:t>,</w:t>
      </w:r>
      <w:r w:rsidRPr="00604355">
        <w:rPr>
          <w:rFonts w:ascii="Times New Roman" w:eastAsia="Times New Roman" w:hAnsi="Times New Roman" w:cs="Times New Roman"/>
          <w:sz w:val="24"/>
          <w:szCs w:val="24"/>
        </w:rPr>
        <w:t xml:space="preserve"> </w:t>
      </w:r>
      <w:r w:rsidRPr="00742591">
        <w:rPr>
          <w:rFonts w:ascii="Times New Roman" w:eastAsia="Times New Roman" w:hAnsi="Times New Roman" w:cs="Times New Roman"/>
          <w:sz w:val="24"/>
          <w:szCs w:val="24"/>
        </w:rPr>
        <w:t>15(4), 180</w:t>
      </w:r>
      <w:r w:rsidRPr="00604355">
        <w:rPr>
          <w:rFonts w:ascii="Times New Roman" w:eastAsia="Times New Roman" w:hAnsi="Times New Roman" w:cs="Times New Roman"/>
          <w:sz w:val="24"/>
          <w:szCs w:val="24"/>
        </w:rPr>
        <w:t>–189.</w:t>
      </w:r>
      <w:r w:rsidRPr="00604355">
        <w:rPr>
          <w:rFonts w:ascii="Times New Roman" w:hAnsi="Times New Roman" w:cs="Times New Roman"/>
          <w:color w:val="000000" w:themeColor="text1"/>
          <w:sz w:val="24"/>
          <w:szCs w:val="24"/>
        </w:rPr>
        <w:tab/>
      </w:r>
    </w:p>
    <w:p w:rsidR="0096694C" w:rsidRPr="00604355" w:rsidRDefault="0096694C" w:rsidP="00DD66EB">
      <w:pPr>
        <w:pStyle w:val="NormalWeb"/>
        <w:numPr>
          <w:ilvl w:val="0"/>
          <w:numId w:val="24"/>
        </w:numPr>
        <w:spacing w:before="0" w:beforeAutospacing="0" w:after="0" w:afterAutospacing="0"/>
        <w:jc w:val="both"/>
        <w:rPr>
          <w:b/>
          <w:bCs/>
          <w:color w:val="000000" w:themeColor="text1"/>
        </w:rPr>
      </w:pPr>
      <w:r w:rsidRPr="00604355">
        <w:rPr>
          <w:color w:val="000000" w:themeColor="text1"/>
        </w:rPr>
        <w:t xml:space="preserve">Adebiyi, A. and Adeyemi, O. (2023). </w:t>
      </w:r>
      <w:r w:rsidRPr="00604355">
        <w:rPr>
          <w:rStyle w:val="Emphasis"/>
          <w:rFonts w:eastAsia="SimSun"/>
          <w:i w:val="0"/>
          <w:color w:val="000000" w:themeColor="text1"/>
        </w:rPr>
        <w:t>Pharmacological properties of Ficus capensis: Antioxidant, anti-inflammatory, and hematopoietic activities of methanolic leaf extract</w:t>
      </w:r>
      <w:r w:rsidRPr="00604355">
        <w:rPr>
          <w:i/>
          <w:color w:val="000000" w:themeColor="text1"/>
        </w:rPr>
        <w:t>.</w:t>
      </w:r>
      <w:r w:rsidRPr="00604355">
        <w:rPr>
          <w:color w:val="000000" w:themeColor="text1"/>
        </w:rPr>
        <w:t xml:space="preserve"> </w:t>
      </w:r>
      <w:r w:rsidRPr="00604355">
        <w:rPr>
          <w:rStyle w:val="Strong"/>
          <w:rFonts w:eastAsiaTheme="majorEastAsia"/>
          <w:b w:val="0"/>
          <w:i/>
          <w:color w:val="000000" w:themeColor="text1"/>
        </w:rPr>
        <w:t>Journal of Ethnopharmacology</w:t>
      </w:r>
      <w:r w:rsidRPr="00604355">
        <w:rPr>
          <w:b/>
          <w:i/>
          <w:color w:val="000000" w:themeColor="text1"/>
        </w:rPr>
        <w:t xml:space="preserve">, </w:t>
      </w:r>
      <w:r w:rsidRPr="00742591">
        <w:rPr>
          <w:color w:val="000000" w:themeColor="text1"/>
        </w:rPr>
        <w:t>291</w:t>
      </w:r>
      <w:r w:rsidRPr="00604355">
        <w:rPr>
          <w:color w:val="000000" w:themeColor="text1"/>
        </w:rPr>
        <w:t xml:space="preserve">: 115563. </w:t>
      </w:r>
    </w:p>
    <w:p w:rsidR="0096694C" w:rsidRPr="00604355" w:rsidRDefault="0096694C" w:rsidP="00B855B3">
      <w:pPr>
        <w:pStyle w:val="NormalWeb"/>
        <w:numPr>
          <w:ilvl w:val="0"/>
          <w:numId w:val="24"/>
        </w:numPr>
        <w:jc w:val="both"/>
        <w:rPr>
          <w:lang w:val="en-US"/>
        </w:rPr>
      </w:pPr>
      <w:r w:rsidRPr="00604355">
        <w:rPr>
          <w:shd w:val="clear" w:color="auto" w:fill="FFFFFF"/>
        </w:rPr>
        <w:t xml:space="preserve">Adepoju, O.T. and Oyewole, E.O. (2008) Nutritional Importance and Micronutrient Potentials of Two Non-Convectional Indigenous Green Leafy Vegetables from Nigeria. </w:t>
      </w:r>
      <w:r w:rsidRPr="00604355">
        <w:rPr>
          <w:i/>
          <w:shd w:val="clear" w:color="auto" w:fill="FFFFFF"/>
        </w:rPr>
        <w:t>Agricultural Journal,</w:t>
      </w:r>
      <w:r w:rsidRPr="00604355">
        <w:rPr>
          <w:shd w:val="clear" w:color="auto" w:fill="FFFFFF"/>
        </w:rPr>
        <w:t xml:space="preserve"> 3, 362-365.</w:t>
      </w:r>
      <w:r w:rsidRPr="00604355">
        <w:t xml:space="preserve"> </w:t>
      </w:r>
    </w:p>
    <w:p w:rsidR="0096694C" w:rsidRPr="00604355" w:rsidRDefault="0096694C" w:rsidP="00B339D3">
      <w:pPr>
        <w:pStyle w:val="NormalWeb"/>
        <w:numPr>
          <w:ilvl w:val="0"/>
          <w:numId w:val="24"/>
        </w:numPr>
      </w:pPr>
      <w:r w:rsidRPr="00604355">
        <w:t xml:space="preserve">Afolabi, A. S., Ojo, D. O., &amp; Adetunji, C. O. (2024). Phytochemical composition and antioxidant potential of </w:t>
      </w:r>
      <w:r w:rsidRPr="00604355">
        <w:rPr>
          <w:rStyle w:val="Emphasis"/>
        </w:rPr>
        <w:t>Ficus capensis</w:t>
      </w:r>
      <w:r w:rsidRPr="00604355">
        <w:t xml:space="preserve"> leaves. </w:t>
      </w:r>
      <w:r w:rsidRPr="00604355">
        <w:rPr>
          <w:rStyle w:val="Emphasis"/>
        </w:rPr>
        <w:t>Journal of Medicinal Plants Research, 18</w:t>
      </w:r>
      <w:r w:rsidRPr="00604355">
        <w:t>(2), 45–58.</w:t>
      </w:r>
    </w:p>
    <w:p w:rsidR="0096694C" w:rsidRPr="00604355" w:rsidRDefault="0096694C" w:rsidP="008C208C">
      <w:pPr>
        <w:pStyle w:val="NormalWeb"/>
        <w:numPr>
          <w:ilvl w:val="0"/>
          <w:numId w:val="24"/>
        </w:numPr>
        <w:spacing w:before="0" w:beforeAutospacing="0" w:after="0" w:afterAutospacing="0"/>
        <w:jc w:val="both"/>
        <w:rPr>
          <w:color w:val="000000" w:themeColor="text1"/>
          <w:lang w:val="en-US"/>
        </w:rPr>
      </w:pPr>
      <w:r w:rsidRPr="00604355">
        <w:rPr>
          <w:color w:val="000000" w:themeColor="text1"/>
        </w:rPr>
        <w:t xml:space="preserve">Akhtar, N., Mirza, B., Bashir, A. and Qureshi, A. Z. (2018). </w:t>
      </w:r>
      <w:r w:rsidRPr="00604355">
        <w:rPr>
          <w:rStyle w:val="Emphasis"/>
          <w:rFonts w:eastAsia="SimSun"/>
          <w:i w:val="0"/>
          <w:color w:val="000000" w:themeColor="text1"/>
        </w:rPr>
        <w:t xml:space="preserve">Phytochemical screening and in </w:t>
      </w:r>
      <w:r w:rsidRPr="00604355">
        <w:rPr>
          <w:rStyle w:val="Emphasis"/>
          <w:rFonts w:eastAsia="SimSun"/>
          <w:i w:val="0"/>
          <w:color w:val="000000" w:themeColor="text1"/>
        </w:rPr>
        <w:tab/>
        <w:t xml:space="preserve">vitro </w:t>
      </w:r>
      <w:r w:rsidRPr="00604355">
        <w:rPr>
          <w:rStyle w:val="Emphasis"/>
          <w:rFonts w:eastAsia="SimSun"/>
          <w:i w:val="0"/>
          <w:color w:val="000000" w:themeColor="text1"/>
        </w:rPr>
        <w:tab/>
        <w:t>antioxidant activities of plant extracts and their preparation methods</w:t>
      </w:r>
      <w:r w:rsidRPr="00604355">
        <w:rPr>
          <w:i/>
          <w:color w:val="000000" w:themeColor="text1"/>
        </w:rPr>
        <w:t>.</w:t>
      </w:r>
      <w:r w:rsidRPr="00604355">
        <w:rPr>
          <w:color w:val="000000" w:themeColor="text1"/>
        </w:rPr>
        <w:t xml:space="preserve"> </w:t>
      </w:r>
      <w:r w:rsidRPr="00604355">
        <w:rPr>
          <w:rStyle w:val="Strong"/>
          <w:rFonts w:eastAsiaTheme="majorEastAsia"/>
          <w:b w:val="0"/>
          <w:i/>
          <w:color w:val="000000" w:themeColor="text1"/>
        </w:rPr>
        <w:t>Journal of Medicinal Plants Research</w:t>
      </w:r>
      <w:r w:rsidRPr="00604355">
        <w:rPr>
          <w:b/>
          <w:i/>
          <w:color w:val="000000" w:themeColor="text1"/>
        </w:rPr>
        <w:t>,</w:t>
      </w:r>
      <w:r w:rsidRPr="00604355">
        <w:rPr>
          <w:color w:val="000000" w:themeColor="text1"/>
        </w:rPr>
        <w:t xml:space="preserve"> </w:t>
      </w:r>
      <w:r w:rsidRPr="00742591">
        <w:rPr>
          <w:color w:val="000000" w:themeColor="text1"/>
        </w:rPr>
        <w:t>12(15):</w:t>
      </w:r>
      <w:r w:rsidRPr="00604355">
        <w:rPr>
          <w:color w:val="000000" w:themeColor="text1"/>
        </w:rPr>
        <w:t xml:space="preserve"> 237-245.</w:t>
      </w:r>
    </w:p>
    <w:p w:rsidR="0096694C" w:rsidRPr="00604355" w:rsidRDefault="0096694C" w:rsidP="00F753C8">
      <w:pPr>
        <w:pStyle w:val="NormalWeb"/>
        <w:numPr>
          <w:ilvl w:val="0"/>
          <w:numId w:val="24"/>
        </w:numPr>
      </w:pPr>
      <w:r w:rsidRPr="00604355">
        <w:t xml:space="preserve">Akinmoladun, A. C., Olaleye, M. T., &amp; Komolafe, K. (2022). </w:t>
      </w:r>
      <w:r w:rsidRPr="00604355">
        <w:rPr>
          <w:rStyle w:val="Emphasis"/>
          <w:i w:val="0"/>
        </w:rPr>
        <w:t>Phytochemicals and antioxidant mechanisms of Ficus species in hematological disorders</w:t>
      </w:r>
      <w:r w:rsidRPr="00604355">
        <w:t xml:space="preserve">. </w:t>
      </w:r>
      <w:r w:rsidRPr="00604355">
        <w:rPr>
          <w:rStyle w:val="Strong"/>
          <w:b w:val="0"/>
          <w:i/>
        </w:rPr>
        <w:t>Journal of Ethnopharmacology</w:t>
      </w:r>
      <w:r w:rsidRPr="00604355">
        <w:t>, 292, 115164.</w:t>
      </w:r>
    </w:p>
    <w:p w:rsidR="0096694C" w:rsidRPr="00604355" w:rsidRDefault="0096694C" w:rsidP="00AD353F">
      <w:pPr>
        <w:pStyle w:val="ListParagraph"/>
        <w:numPr>
          <w:ilvl w:val="0"/>
          <w:numId w:val="24"/>
        </w:numPr>
        <w:spacing w:after="0" w:line="240" w:lineRule="auto"/>
        <w:jc w:val="both"/>
        <w:rPr>
          <w:rFonts w:ascii="Times New Roman" w:eastAsia="Calibri" w:hAnsi="Times New Roman" w:cs="Times New Roman"/>
          <w:b/>
          <w:sz w:val="24"/>
          <w:szCs w:val="24"/>
          <w:lang w:val="en-US"/>
        </w:rPr>
      </w:pPr>
      <w:r w:rsidRPr="00604355">
        <w:rPr>
          <w:rFonts w:ascii="Times New Roman" w:eastAsia="Calibri" w:hAnsi="Times New Roman" w:cs="Times New Roman"/>
          <w:sz w:val="24"/>
          <w:szCs w:val="24"/>
        </w:rPr>
        <w:t xml:space="preserve">Almaamori, A. M. (2023). Review of Anemia: types and causes </w:t>
      </w:r>
      <w:r w:rsidRPr="00604355">
        <w:rPr>
          <w:rFonts w:ascii="Times New Roman" w:eastAsia="Calibri" w:hAnsi="Times New Roman" w:cs="Times New Roman"/>
          <w:i/>
          <w:sz w:val="24"/>
          <w:szCs w:val="24"/>
        </w:rPr>
        <w:t>European Journal of Research Development and Sustainabilit;</w:t>
      </w:r>
      <w:r w:rsidRPr="00604355">
        <w:rPr>
          <w:rFonts w:ascii="Times New Roman" w:eastAsia="Calibri" w:hAnsi="Times New Roman" w:cs="Times New Roman"/>
          <w:sz w:val="24"/>
          <w:szCs w:val="24"/>
        </w:rPr>
        <w:t xml:space="preserve"> </w:t>
      </w:r>
      <w:r w:rsidRPr="00742591">
        <w:rPr>
          <w:rFonts w:ascii="Times New Roman" w:eastAsia="Calibri" w:hAnsi="Times New Roman" w:cs="Times New Roman"/>
          <w:sz w:val="24"/>
          <w:szCs w:val="24"/>
        </w:rPr>
        <w:t>(4): 7</w:t>
      </w:r>
      <w:r w:rsidRPr="00604355">
        <w:rPr>
          <w:rFonts w:ascii="Times New Roman" w:eastAsia="Calibri" w:hAnsi="Times New Roman" w:cs="Times New Roman"/>
          <w:b/>
          <w:sz w:val="24"/>
          <w:szCs w:val="24"/>
        </w:rPr>
        <w:t>.</w:t>
      </w:r>
    </w:p>
    <w:p w:rsidR="00646796" w:rsidRPr="00646796" w:rsidRDefault="0096694C" w:rsidP="00646796">
      <w:pPr>
        <w:pStyle w:val="ListParagraph"/>
        <w:numPr>
          <w:ilvl w:val="0"/>
          <w:numId w:val="24"/>
        </w:numPr>
        <w:jc w:val="both"/>
        <w:rPr>
          <w:rFonts w:ascii="Times New Roman" w:hAnsi="Times New Roman" w:cs="Times New Roman"/>
          <w:sz w:val="24"/>
          <w:szCs w:val="24"/>
        </w:rPr>
      </w:pPr>
      <w:r w:rsidRPr="00604355">
        <w:rPr>
          <w:rFonts w:ascii="Times New Roman" w:hAnsi="Times New Roman" w:cs="Times New Roman"/>
          <w:sz w:val="24"/>
          <w:szCs w:val="24"/>
        </w:rPr>
        <w:t xml:space="preserve">Ayoka A.O, Akomolafe R.O, Akinsomisoye O.S &amp; Ukponmwan O.E (2008) Medicinal and Economic Value of Spondias mombin </w:t>
      </w:r>
      <w:r w:rsidRPr="00604355">
        <w:rPr>
          <w:rFonts w:ascii="Times New Roman" w:hAnsi="Times New Roman" w:cs="Times New Roman"/>
          <w:i/>
          <w:sz w:val="24"/>
          <w:szCs w:val="24"/>
        </w:rPr>
        <w:t>African Journal of Biomedical Research</w:t>
      </w:r>
      <w:r w:rsidR="00646796">
        <w:rPr>
          <w:rFonts w:ascii="Times New Roman" w:hAnsi="Times New Roman" w:cs="Times New Roman"/>
          <w:sz w:val="24"/>
          <w:szCs w:val="24"/>
        </w:rPr>
        <w:t>, Vol. 11 ; 129 – 136</w:t>
      </w:r>
    </w:p>
    <w:p w:rsidR="0096694C" w:rsidRPr="00646796" w:rsidRDefault="0096694C" w:rsidP="00646796">
      <w:pPr>
        <w:pStyle w:val="ListParagraph"/>
        <w:numPr>
          <w:ilvl w:val="0"/>
          <w:numId w:val="24"/>
        </w:numPr>
        <w:jc w:val="both"/>
        <w:rPr>
          <w:rFonts w:ascii="Times New Roman" w:hAnsi="Times New Roman" w:cs="Times New Roman"/>
          <w:sz w:val="24"/>
          <w:szCs w:val="24"/>
        </w:rPr>
      </w:pPr>
      <w:r w:rsidRPr="00646796">
        <w:rPr>
          <w:rFonts w:ascii="Times New Roman" w:hAnsi="Times New Roman" w:cs="Times New Roman"/>
          <w:sz w:val="24"/>
          <w:szCs w:val="24"/>
        </w:rPr>
        <w:t xml:space="preserve">Bain, B. J. (2021). </w:t>
      </w:r>
      <w:r w:rsidRPr="00646796">
        <w:rPr>
          <w:rStyle w:val="Emphasis"/>
          <w:rFonts w:ascii="Times New Roman" w:hAnsi="Times New Roman" w:cs="Times New Roman"/>
          <w:sz w:val="24"/>
          <w:szCs w:val="24"/>
        </w:rPr>
        <w:t>Blood cells:</w:t>
      </w:r>
      <w:r w:rsidRPr="00646796">
        <w:rPr>
          <w:rStyle w:val="Emphasis"/>
          <w:rFonts w:ascii="Times New Roman" w:hAnsi="Times New Roman" w:cs="Times New Roman"/>
          <w:sz w:val="24"/>
          <w:szCs w:val="24"/>
          <w:lang w:val="en-GB"/>
        </w:rPr>
        <w:t xml:space="preserve"> </w:t>
      </w:r>
      <w:r w:rsidRPr="00646796">
        <w:rPr>
          <w:rStyle w:val="Emphasis"/>
          <w:rFonts w:ascii="Times New Roman" w:hAnsi="Times New Roman" w:cs="Times New Roman"/>
          <w:sz w:val="24"/>
          <w:szCs w:val="24"/>
        </w:rPr>
        <w:t xml:space="preserve"> A practical guide</w:t>
      </w:r>
      <w:r w:rsidRPr="00646796">
        <w:rPr>
          <w:rFonts w:ascii="Times New Roman" w:hAnsi="Times New Roman" w:cs="Times New Roman"/>
          <w:sz w:val="24"/>
          <w:szCs w:val="24"/>
        </w:rPr>
        <w:t xml:space="preserve"> (6th ed.). Wiley-Blackwell.</w:t>
      </w:r>
      <w:r w:rsidR="00D9044F" w:rsidRPr="00646796">
        <w:rPr>
          <w:rFonts w:ascii="Times New Roman" w:hAnsi="Times New Roman" w:cs="Times New Roman"/>
          <w:spacing w:val="1"/>
          <w:sz w:val="24"/>
          <w:szCs w:val="24"/>
        </w:rPr>
        <w:t xml:space="preserve"> Cell </w:t>
      </w:r>
      <w:r w:rsidR="00646796" w:rsidRPr="00646796">
        <w:rPr>
          <w:rFonts w:ascii="Times New Roman" w:hAnsi="Times New Roman" w:cs="Times New Roman"/>
          <w:spacing w:val="1"/>
          <w:sz w:val="24"/>
          <w:szCs w:val="24"/>
        </w:rPr>
        <w:t xml:space="preserve">and </w:t>
      </w:r>
      <w:r w:rsidR="00646796" w:rsidRPr="00646796">
        <w:rPr>
          <w:rFonts w:ascii="Times New Roman" w:hAnsi="Times New Roman" w:cs="Times New Roman"/>
          <w:i/>
          <w:spacing w:val="1"/>
          <w:sz w:val="24"/>
          <w:szCs w:val="24"/>
        </w:rPr>
        <w:t>Developmental Biology</w:t>
      </w:r>
      <w:r w:rsidR="00646796" w:rsidRPr="00646796">
        <w:rPr>
          <w:rFonts w:ascii="Times New Roman" w:hAnsi="Times New Roman" w:cs="Times New Roman"/>
          <w:spacing w:val="1"/>
          <w:sz w:val="24"/>
          <w:szCs w:val="24"/>
        </w:rPr>
        <w:t>. 9:68</w:t>
      </w:r>
      <w:r w:rsidR="00646796" w:rsidRPr="00646796">
        <w:rPr>
          <w:rFonts w:ascii="Times New Roman" w:hAnsi="Times New Roman" w:cs="Times New Roman"/>
          <w:spacing w:val="1"/>
          <w:sz w:val="24"/>
          <w:szCs w:val="24"/>
          <w:lang w:val="en-GB"/>
        </w:rPr>
        <w:t>-</w:t>
      </w:r>
      <w:r w:rsidR="00D9044F" w:rsidRPr="00646796">
        <w:rPr>
          <w:rFonts w:ascii="Times New Roman" w:hAnsi="Times New Roman" w:cs="Times New Roman"/>
          <w:spacing w:val="1"/>
          <w:sz w:val="24"/>
          <w:szCs w:val="24"/>
        </w:rPr>
        <w:t>364.</w:t>
      </w:r>
    </w:p>
    <w:p w:rsidR="0096694C" w:rsidRPr="00604355" w:rsidRDefault="0096694C" w:rsidP="0022380C">
      <w:pPr>
        <w:pStyle w:val="ListParagraph"/>
        <w:numPr>
          <w:ilvl w:val="0"/>
          <w:numId w:val="24"/>
        </w:numPr>
        <w:spacing w:after="0" w:line="240" w:lineRule="auto"/>
        <w:jc w:val="both"/>
        <w:rPr>
          <w:rFonts w:ascii="Times New Roman" w:hAnsi="Times New Roman" w:cs="Times New Roman"/>
          <w:sz w:val="24"/>
          <w:szCs w:val="24"/>
        </w:rPr>
      </w:pPr>
      <w:r w:rsidRPr="00604355">
        <w:rPr>
          <w:rFonts w:ascii="Times New Roman" w:hAnsi="Times New Roman" w:cs="Times New Roman"/>
          <w:sz w:val="24"/>
          <w:szCs w:val="24"/>
        </w:rPr>
        <w:t xml:space="preserve">Baker, D. H., </w:t>
      </w:r>
      <w:r w:rsidRPr="00604355">
        <w:rPr>
          <w:rFonts w:ascii="Times New Roman" w:hAnsi="Times New Roman" w:cs="Times New Roman"/>
          <w:color w:val="212121"/>
          <w:sz w:val="24"/>
          <w:szCs w:val="24"/>
          <w:shd w:val="clear" w:color="auto" w:fill="FFFFFF"/>
        </w:rPr>
        <w:t>Becker D. E., Norton H. W., Jensen A. H., Harmon B</w:t>
      </w:r>
      <w:r w:rsidRPr="00604355">
        <w:rPr>
          <w:rFonts w:ascii="Times New Roman" w:hAnsi="Times New Roman" w:cs="Times New Roman"/>
          <w:sz w:val="24"/>
          <w:szCs w:val="24"/>
        </w:rPr>
        <w:t xml:space="preserve"> (2021). "Iron chelation in the management of iron overload: Advances and challenges." </w:t>
      </w:r>
      <w:r w:rsidRPr="00604355">
        <w:rPr>
          <w:rStyle w:val="Emphasis"/>
          <w:rFonts w:ascii="Times New Roman" w:hAnsi="Times New Roman" w:cs="Times New Roman"/>
          <w:sz w:val="24"/>
          <w:szCs w:val="24"/>
        </w:rPr>
        <w:t>Journal of Clinical Medicine</w:t>
      </w:r>
      <w:r w:rsidRPr="00604355">
        <w:rPr>
          <w:rFonts w:ascii="Times New Roman" w:hAnsi="Times New Roman" w:cs="Times New Roman"/>
          <w:sz w:val="24"/>
          <w:szCs w:val="24"/>
        </w:rPr>
        <w:t xml:space="preserve">, </w:t>
      </w:r>
      <w:r w:rsidRPr="00742591">
        <w:rPr>
          <w:rFonts w:ascii="Times New Roman" w:hAnsi="Times New Roman" w:cs="Times New Roman"/>
          <w:sz w:val="24"/>
          <w:szCs w:val="24"/>
        </w:rPr>
        <w:t>10(11),</w:t>
      </w:r>
      <w:r w:rsidRPr="00604355">
        <w:rPr>
          <w:rFonts w:ascii="Times New Roman" w:hAnsi="Times New Roman" w:cs="Times New Roman"/>
          <w:sz w:val="24"/>
          <w:szCs w:val="24"/>
        </w:rPr>
        <w:t xml:space="preserve"> 2345-2357.</w:t>
      </w:r>
    </w:p>
    <w:p w:rsidR="0096694C" w:rsidRPr="00AD183E" w:rsidRDefault="0096694C" w:rsidP="0022380C">
      <w:pPr>
        <w:pStyle w:val="ListParagraph"/>
        <w:numPr>
          <w:ilvl w:val="0"/>
          <w:numId w:val="24"/>
        </w:numPr>
        <w:jc w:val="both"/>
        <w:rPr>
          <w:rFonts w:ascii="Times New Roman" w:hAnsi="Times New Roman" w:cs="Times New Roman"/>
          <w:sz w:val="24"/>
          <w:szCs w:val="24"/>
        </w:rPr>
      </w:pPr>
      <w:r w:rsidRPr="00604355">
        <w:rPr>
          <w:rFonts w:ascii="Times New Roman" w:hAnsi="Times New Roman" w:cs="Times New Roman"/>
          <w:color w:val="222222"/>
          <w:sz w:val="24"/>
          <w:szCs w:val="24"/>
          <w:shd w:val="clear" w:color="auto" w:fill="FFFFFF"/>
        </w:rPr>
        <w:t xml:space="preserve">Bento, V. A., Gouveia, C. M., DaCamara, C. C., Libonati, R., &amp; Trigo, I. F. (2020). The roles of NDVI and Land Surface Temperature when </w:t>
      </w:r>
      <w:r w:rsidRPr="00604355">
        <w:rPr>
          <w:rFonts w:ascii="Times New Roman" w:hAnsi="Times New Roman" w:cs="Times New Roman"/>
          <w:color w:val="222222"/>
          <w:sz w:val="24"/>
          <w:szCs w:val="24"/>
          <w:shd w:val="clear" w:color="auto" w:fill="FFFFFF"/>
        </w:rPr>
        <w:lastRenderedPageBreak/>
        <w:t>using the Vegetation Health Index over dry regions. </w:t>
      </w:r>
      <w:r w:rsidRPr="00604355">
        <w:rPr>
          <w:rFonts w:ascii="Times New Roman" w:hAnsi="Times New Roman" w:cs="Times New Roman"/>
          <w:i/>
          <w:iCs/>
          <w:color w:val="222222"/>
          <w:sz w:val="24"/>
          <w:szCs w:val="24"/>
          <w:shd w:val="clear" w:color="auto" w:fill="FFFFFF"/>
        </w:rPr>
        <w:t>Global and Planetary Change</w:t>
      </w:r>
      <w:r w:rsidRPr="00604355">
        <w:rPr>
          <w:rFonts w:ascii="Times New Roman" w:hAnsi="Times New Roman" w:cs="Times New Roman"/>
          <w:color w:val="222222"/>
          <w:sz w:val="24"/>
          <w:szCs w:val="24"/>
          <w:shd w:val="clear" w:color="auto" w:fill="FFFFFF"/>
        </w:rPr>
        <w:t>, </w:t>
      </w:r>
      <w:r w:rsidRPr="00604355">
        <w:rPr>
          <w:rFonts w:ascii="Times New Roman" w:hAnsi="Times New Roman" w:cs="Times New Roman"/>
          <w:i/>
          <w:iCs/>
          <w:color w:val="222222"/>
          <w:sz w:val="24"/>
          <w:szCs w:val="24"/>
          <w:shd w:val="clear" w:color="auto" w:fill="FFFFFF"/>
        </w:rPr>
        <w:t>190</w:t>
      </w:r>
      <w:r w:rsidRPr="00604355">
        <w:rPr>
          <w:rFonts w:ascii="Times New Roman" w:hAnsi="Times New Roman" w:cs="Times New Roman"/>
          <w:color w:val="222222"/>
          <w:sz w:val="24"/>
          <w:szCs w:val="24"/>
          <w:shd w:val="clear" w:color="auto" w:fill="FFFFFF"/>
        </w:rPr>
        <w:t>, 103198</w:t>
      </w:r>
    </w:p>
    <w:p w:rsidR="0096694C" w:rsidRPr="00AD183E" w:rsidRDefault="0096694C" w:rsidP="00C75F9B">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color w:val="000000" w:themeColor="text1"/>
          <w:sz w:val="24"/>
          <w:szCs w:val="24"/>
        </w:rPr>
        <w:t xml:space="preserve">Brien, M. G. Kim, A. D. and Whalen, R. T. (2022). </w:t>
      </w:r>
      <w:r w:rsidRPr="00604355">
        <w:rPr>
          <w:rFonts w:ascii="Times New Roman" w:eastAsia="Times New Roman" w:hAnsi="Times New Roman" w:cs="Times New Roman"/>
          <w:iCs/>
          <w:color w:val="000000" w:themeColor="text1"/>
          <w:sz w:val="24"/>
          <w:szCs w:val="24"/>
        </w:rPr>
        <w:t xml:space="preserve">Hematological values in laboratory </w:t>
      </w:r>
      <w:r w:rsidRPr="00604355">
        <w:rPr>
          <w:rFonts w:ascii="Times New Roman" w:eastAsia="Times New Roman" w:hAnsi="Times New Roman" w:cs="Times New Roman"/>
          <w:iCs/>
          <w:color w:val="000000" w:themeColor="text1"/>
          <w:sz w:val="24"/>
          <w:szCs w:val="24"/>
        </w:rPr>
        <w:tab/>
        <w:t>rodents</w:t>
      </w:r>
      <w:r w:rsidRPr="00604355">
        <w:rPr>
          <w:rFonts w:ascii="Times New Roman" w:eastAsia="Times New Roman" w:hAnsi="Times New Roman" w:cs="Times New Roman"/>
          <w:color w:val="000000" w:themeColor="text1"/>
          <w:sz w:val="24"/>
          <w:szCs w:val="24"/>
        </w:rPr>
        <w:t xml:space="preserve">. </w:t>
      </w:r>
      <w:r w:rsidRPr="00604355">
        <w:rPr>
          <w:rFonts w:ascii="Times New Roman" w:eastAsia="Times New Roman" w:hAnsi="Times New Roman" w:cs="Times New Roman"/>
          <w:bCs/>
          <w:i/>
          <w:color w:val="000000" w:themeColor="text1"/>
          <w:sz w:val="24"/>
          <w:szCs w:val="24"/>
        </w:rPr>
        <w:t xml:space="preserve">Veterinary Clinical </w:t>
      </w:r>
      <w:r w:rsidRPr="00742591">
        <w:rPr>
          <w:rFonts w:ascii="Times New Roman" w:eastAsia="Times New Roman" w:hAnsi="Times New Roman" w:cs="Times New Roman"/>
          <w:bCs/>
          <w:i/>
          <w:color w:val="000000" w:themeColor="text1"/>
          <w:sz w:val="24"/>
          <w:szCs w:val="24"/>
        </w:rPr>
        <w:t>Pathology</w:t>
      </w:r>
      <w:r w:rsidRPr="00742591">
        <w:rPr>
          <w:rFonts w:ascii="Times New Roman" w:eastAsia="Times New Roman" w:hAnsi="Times New Roman" w:cs="Times New Roman"/>
          <w:color w:val="000000" w:themeColor="text1"/>
          <w:sz w:val="24"/>
          <w:szCs w:val="24"/>
        </w:rPr>
        <w:t>, 51(2):</w:t>
      </w:r>
      <w:r w:rsidRPr="00604355">
        <w:rPr>
          <w:rFonts w:ascii="Times New Roman" w:eastAsia="Times New Roman" w:hAnsi="Times New Roman" w:cs="Times New Roman"/>
          <w:color w:val="000000" w:themeColor="text1"/>
          <w:sz w:val="24"/>
          <w:szCs w:val="24"/>
        </w:rPr>
        <w:t xml:space="preserve"> 89-102. </w:t>
      </w:r>
    </w:p>
    <w:p w:rsidR="0096694C" w:rsidRPr="00604355" w:rsidRDefault="0096694C" w:rsidP="00C81051">
      <w:pPr>
        <w:pStyle w:val="ListParagraph"/>
        <w:numPr>
          <w:ilvl w:val="0"/>
          <w:numId w:val="24"/>
        </w:numPr>
        <w:spacing w:after="0" w:line="240" w:lineRule="auto"/>
        <w:jc w:val="both"/>
        <w:outlineLvl w:val="2"/>
        <w:rPr>
          <w:rFonts w:ascii="Times New Roman" w:eastAsia="Georgia" w:hAnsi="Times New Roman" w:cs="Times New Roman"/>
          <w:color w:val="1F1F1F"/>
          <w:sz w:val="24"/>
          <w:szCs w:val="24"/>
          <w:lang w:val="en-US" w:eastAsia="zh-CN"/>
        </w:rPr>
      </w:pPr>
      <w:r w:rsidRPr="00604355">
        <w:rPr>
          <w:rFonts w:ascii="Times New Roman" w:eastAsia="Times New Roman" w:hAnsi="Times New Roman" w:cs="Times New Roman"/>
          <w:sz w:val="24"/>
          <w:szCs w:val="24"/>
          <w:lang w:eastAsia="zh-CN"/>
        </w:rPr>
        <w:t xml:space="preserve">Camaschella, C. (2019). Iron deficiency anemia. </w:t>
      </w:r>
      <w:r w:rsidRPr="00604355">
        <w:rPr>
          <w:rFonts w:ascii="Times New Roman" w:eastAsia="Times New Roman" w:hAnsi="Times New Roman" w:cs="Times New Roman"/>
          <w:i/>
          <w:sz w:val="24"/>
          <w:szCs w:val="24"/>
          <w:lang w:eastAsia="zh-CN"/>
        </w:rPr>
        <w:t>New England Journal of Medicine</w:t>
      </w:r>
      <w:r w:rsidRPr="00604355">
        <w:rPr>
          <w:rFonts w:ascii="Times New Roman" w:eastAsia="Times New Roman" w:hAnsi="Times New Roman" w:cs="Times New Roman"/>
          <w:sz w:val="24"/>
          <w:szCs w:val="24"/>
          <w:lang w:eastAsia="zh-CN"/>
        </w:rPr>
        <w:t xml:space="preserve">, </w:t>
      </w:r>
      <w:r w:rsidRPr="00742591">
        <w:rPr>
          <w:rFonts w:ascii="Times New Roman" w:eastAsia="Times New Roman" w:hAnsi="Times New Roman" w:cs="Times New Roman"/>
          <w:sz w:val="24"/>
          <w:szCs w:val="24"/>
          <w:lang w:eastAsia="zh-CN"/>
        </w:rPr>
        <w:t>381(12),</w:t>
      </w:r>
      <w:r w:rsidRPr="00604355">
        <w:rPr>
          <w:rFonts w:ascii="Times New Roman" w:eastAsia="Times New Roman" w:hAnsi="Times New Roman" w:cs="Times New Roman"/>
          <w:sz w:val="24"/>
          <w:szCs w:val="24"/>
          <w:lang w:eastAsia="zh-CN"/>
        </w:rPr>
        <w:t xml:space="preserve"> 1138-1145.</w:t>
      </w:r>
    </w:p>
    <w:p w:rsidR="0096694C" w:rsidRPr="00604355" w:rsidRDefault="0096694C" w:rsidP="00AD183E">
      <w:pPr>
        <w:pStyle w:val="ListParagraph"/>
        <w:numPr>
          <w:ilvl w:val="0"/>
          <w:numId w:val="24"/>
        </w:numPr>
        <w:spacing w:after="0" w:line="240" w:lineRule="auto"/>
        <w:rPr>
          <w:rFonts w:ascii="Times New Roman" w:eastAsia="Times New Roman" w:hAnsi="Times New Roman" w:cs="Times New Roman"/>
          <w:color w:val="0A0A0A"/>
          <w:sz w:val="24"/>
          <w:szCs w:val="24"/>
          <w:shd w:val="clear" w:color="auto" w:fill="FFFFFF"/>
        </w:rPr>
      </w:pPr>
      <w:r>
        <w:rPr>
          <w:rFonts w:ascii="Times New Roman" w:eastAsia="Times New Roman" w:hAnsi="Times New Roman" w:cs="Times New Roman"/>
          <w:bCs/>
          <w:color w:val="0A0A0A"/>
          <w:sz w:val="24"/>
          <w:szCs w:val="24"/>
          <w:shd w:val="clear" w:color="auto" w:fill="FFFFFF"/>
        </w:rPr>
        <w:t>Coulibaly Y</w:t>
      </w:r>
      <w:r>
        <w:rPr>
          <w:rFonts w:ascii="Times New Roman" w:eastAsia="Times New Roman" w:hAnsi="Times New Roman" w:cs="Times New Roman"/>
          <w:bCs/>
          <w:color w:val="0A0A0A"/>
          <w:sz w:val="24"/>
          <w:szCs w:val="24"/>
          <w:shd w:val="clear" w:color="auto" w:fill="FFFFFF"/>
          <w:lang w:val="en-GB"/>
        </w:rPr>
        <w:t>.</w:t>
      </w:r>
      <w:r w:rsidRPr="00604355">
        <w:rPr>
          <w:rFonts w:ascii="Times New Roman" w:eastAsia="Times New Roman" w:hAnsi="Times New Roman" w:cs="Times New Roman"/>
          <w:bCs/>
          <w:color w:val="0A0A0A"/>
          <w:sz w:val="24"/>
          <w:szCs w:val="24"/>
          <w:shd w:val="clear" w:color="auto" w:fill="FFFFFF"/>
        </w:rPr>
        <w:t>, S</w:t>
      </w:r>
      <w:r w:rsidRPr="00604355">
        <w:rPr>
          <w:rFonts w:ascii="Times New Roman" w:eastAsia="Times New Roman" w:hAnsi="Times New Roman" w:cs="Times New Roman"/>
          <w:b/>
          <w:bCs/>
          <w:color w:val="0A0A0A"/>
          <w:sz w:val="24"/>
          <w:szCs w:val="24"/>
          <w:shd w:val="clear" w:color="auto" w:fill="FFFFFF"/>
        </w:rPr>
        <w:t>.</w:t>
      </w:r>
      <w:r>
        <w:rPr>
          <w:rFonts w:ascii="Times New Roman" w:eastAsia="Times New Roman" w:hAnsi="Times New Roman" w:cs="Times New Roman"/>
          <w:color w:val="0A0A0A"/>
          <w:sz w:val="24"/>
          <w:szCs w:val="24"/>
          <w:shd w:val="clear" w:color="auto" w:fill="FFFFFF"/>
        </w:rPr>
        <w:t>, Gnangoran B</w:t>
      </w:r>
      <w:r>
        <w:rPr>
          <w:rFonts w:ascii="Times New Roman" w:eastAsia="Times New Roman" w:hAnsi="Times New Roman" w:cs="Times New Roman"/>
          <w:color w:val="0A0A0A"/>
          <w:sz w:val="24"/>
          <w:szCs w:val="24"/>
          <w:shd w:val="clear" w:color="auto" w:fill="FFFFFF"/>
          <w:lang w:val="en-GB"/>
        </w:rPr>
        <w:t>.</w:t>
      </w:r>
      <w:r>
        <w:rPr>
          <w:rFonts w:ascii="Times New Roman" w:eastAsia="Times New Roman" w:hAnsi="Times New Roman" w:cs="Times New Roman"/>
          <w:color w:val="0A0A0A"/>
          <w:sz w:val="24"/>
          <w:szCs w:val="24"/>
          <w:shd w:val="clear" w:color="auto" w:fill="FFFFFF"/>
        </w:rPr>
        <w:t>, N., N'dia K</w:t>
      </w:r>
      <w:r>
        <w:rPr>
          <w:rFonts w:ascii="Times New Roman" w:eastAsia="Times New Roman" w:hAnsi="Times New Roman" w:cs="Times New Roman"/>
          <w:color w:val="0A0A0A"/>
          <w:sz w:val="24"/>
          <w:szCs w:val="24"/>
          <w:shd w:val="clear" w:color="auto" w:fill="FFFFFF"/>
          <w:lang w:val="en-GB"/>
        </w:rPr>
        <w:t>.</w:t>
      </w:r>
      <w:r>
        <w:rPr>
          <w:rFonts w:ascii="Times New Roman" w:eastAsia="Times New Roman" w:hAnsi="Times New Roman" w:cs="Times New Roman"/>
          <w:color w:val="0A0A0A"/>
          <w:sz w:val="24"/>
          <w:szCs w:val="24"/>
          <w:shd w:val="clear" w:color="auto" w:fill="FFFFFF"/>
        </w:rPr>
        <w:t xml:space="preserve">, F. </w:t>
      </w:r>
      <w:r>
        <w:rPr>
          <w:rFonts w:ascii="Times New Roman" w:eastAsia="Times New Roman" w:hAnsi="Times New Roman" w:cs="Times New Roman"/>
          <w:color w:val="0A0A0A"/>
          <w:sz w:val="24"/>
          <w:szCs w:val="24"/>
          <w:shd w:val="clear" w:color="auto" w:fill="FFFFFF"/>
          <w:lang w:val="en-GB"/>
        </w:rPr>
        <w:t xml:space="preserve">and </w:t>
      </w:r>
      <w:r w:rsidRPr="00604355">
        <w:rPr>
          <w:rFonts w:ascii="Times New Roman" w:eastAsia="Times New Roman" w:hAnsi="Times New Roman" w:cs="Times New Roman"/>
          <w:color w:val="0A0A0A"/>
          <w:sz w:val="24"/>
          <w:szCs w:val="24"/>
          <w:shd w:val="clear" w:color="auto" w:fill="FFFFFF"/>
        </w:rPr>
        <w:t>Yapo Angoué, P. (2020). Influence of an Aqueous Fruit Extract of </w:t>
      </w:r>
      <w:r w:rsidRPr="00604355">
        <w:rPr>
          <w:rFonts w:ascii="Times New Roman" w:eastAsia="Times New Roman" w:hAnsi="Times New Roman" w:cs="Times New Roman"/>
          <w:i/>
          <w:iCs/>
          <w:color w:val="0A0A0A"/>
          <w:sz w:val="24"/>
          <w:szCs w:val="24"/>
          <w:shd w:val="clear" w:color="auto" w:fill="FFFFFF"/>
        </w:rPr>
        <w:t>Solanum torvum</w:t>
      </w:r>
      <w:r w:rsidRPr="00604355">
        <w:rPr>
          <w:rFonts w:ascii="Times New Roman" w:eastAsia="Times New Roman" w:hAnsi="Times New Roman" w:cs="Times New Roman"/>
          <w:color w:val="0A0A0A"/>
          <w:sz w:val="24"/>
          <w:szCs w:val="24"/>
          <w:shd w:val="clear" w:color="auto" w:fill="FFFFFF"/>
        </w:rPr>
        <w:t> Swartz on Phenylhydrazine Induced Hemolytic Anemia in Wistar Rats. </w:t>
      </w:r>
      <w:r w:rsidRPr="00604355">
        <w:rPr>
          <w:rFonts w:ascii="Times New Roman" w:eastAsia="Times New Roman" w:hAnsi="Times New Roman" w:cs="Times New Roman"/>
          <w:i/>
          <w:iCs/>
          <w:color w:val="0A0A0A"/>
          <w:sz w:val="24"/>
          <w:szCs w:val="24"/>
          <w:shd w:val="clear" w:color="auto" w:fill="FFFFFF"/>
        </w:rPr>
        <w:t>Pharmacologyonline</w:t>
      </w:r>
      <w:r w:rsidRPr="00604355">
        <w:rPr>
          <w:rFonts w:ascii="Times New Roman" w:eastAsia="Times New Roman" w:hAnsi="Times New Roman" w:cs="Times New Roman"/>
          <w:color w:val="0A0A0A"/>
          <w:sz w:val="24"/>
          <w:szCs w:val="24"/>
          <w:shd w:val="clear" w:color="auto" w:fill="FFFFFF"/>
        </w:rPr>
        <w:t>, 1, 195-205. </w:t>
      </w:r>
    </w:p>
    <w:p w:rsidR="0096694C" w:rsidRPr="00604355" w:rsidRDefault="0096694C" w:rsidP="0093399D">
      <w:pPr>
        <w:pStyle w:val="ListParagraph"/>
        <w:numPr>
          <w:ilvl w:val="0"/>
          <w:numId w:val="24"/>
        </w:numPr>
        <w:shd w:val="clear" w:color="auto" w:fill="FFFFFF"/>
        <w:spacing w:after="0" w:line="240" w:lineRule="auto"/>
        <w:jc w:val="both"/>
        <w:outlineLvl w:val="0"/>
        <w:rPr>
          <w:rFonts w:ascii="Times New Roman" w:hAnsi="Times New Roman" w:cs="Times New Roman"/>
          <w:sz w:val="24"/>
          <w:szCs w:val="24"/>
          <w:lang w:val="en-US"/>
        </w:rPr>
      </w:pPr>
      <w:r w:rsidRPr="00604355">
        <w:rPr>
          <w:rFonts w:ascii="Times New Roman" w:hAnsi="Times New Roman" w:cs="Times New Roman"/>
          <w:sz w:val="24"/>
          <w:szCs w:val="24"/>
        </w:rPr>
        <w:t xml:space="preserve">Emeje, M. O., Ofoefule, S. I., Nnaji, A. C., Ofoefule, A. U., &amp; Brown, S. A. (2009). Assessment of the phytochemical and nutrient composition of </w:t>
      </w:r>
      <w:r w:rsidRPr="00604355">
        <w:rPr>
          <w:rStyle w:val="Emphasis"/>
          <w:rFonts w:ascii="Times New Roman" w:hAnsi="Times New Roman" w:cs="Times New Roman"/>
          <w:sz w:val="24"/>
          <w:szCs w:val="24"/>
        </w:rPr>
        <w:t>Ficus capensis</w:t>
      </w:r>
      <w:r w:rsidRPr="00604355">
        <w:rPr>
          <w:rFonts w:ascii="Times New Roman" w:hAnsi="Times New Roman" w:cs="Times New Roman"/>
          <w:sz w:val="24"/>
          <w:szCs w:val="24"/>
        </w:rPr>
        <w:t xml:space="preserve">. </w:t>
      </w:r>
      <w:r w:rsidRPr="00604355">
        <w:rPr>
          <w:rStyle w:val="Emphasis"/>
          <w:rFonts w:ascii="Times New Roman" w:hAnsi="Times New Roman" w:cs="Times New Roman"/>
          <w:sz w:val="24"/>
          <w:szCs w:val="24"/>
        </w:rPr>
        <w:t>African Journal of Food Science</w:t>
      </w:r>
      <w:r w:rsidRPr="00742591">
        <w:rPr>
          <w:rFonts w:ascii="Times New Roman" w:hAnsi="Times New Roman" w:cs="Times New Roman"/>
          <w:b/>
          <w:sz w:val="24"/>
          <w:szCs w:val="24"/>
        </w:rPr>
        <w:t xml:space="preserve">, </w:t>
      </w:r>
      <w:r w:rsidRPr="00742591">
        <w:rPr>
          <w:rStyle w:val="Strong"/>
          <w:rFonts w:ascii="Times New Roman" w:hAnsi="Times New Roman" w:cs="Times New Roman"/>
          <w:b w:val="0"/>
          <w:sz w:val="24"/>
          <w:szCs w:val="24"/>
        </w:rPr>
        <w:t>3</w:t>
      </w:r>
      <w:r w:rsidRPr="00742591">
        <w:rPr>
          <w:rFonts w:ascii="Times New Roman" w:hAnsi="Times New Roman" w:cs="Times New Roman"/>
          <w:sz w:val="24"/>
          <w:szCs w:val="24"/>
        </w:rPr>
        <w:t>(5),</w:t>
      </w:r>
      <w:r w:rsidRPr="00604355">
        <w:rPr>
          <w:rFonts w:ascii="Times New Roman" w:hAnsi="Times New Roman" w:cs="Times New Roman"/>
          <w:sz w:val="24"/>
          <w:szCs w:val="24"/>
        </w:rPr>
        <w:t xml:space="preserve"> 128–132.</w:t>
      </w:r>
    </w:p>
    <w:p w:rsidR="0096694C" w:rsidRPr="00604355" w:rsidRDefault="0096694C" w:rsidP="0022380C">
      <w:pPr>
        <w:pStyle w:val="NormalWeb"/>
        <w:numPr>
          <w:ilvl w:val="0"/>
          <w:numId w:val="24"/>
        </w:numPr>
      </w:pPr>
      <w:r w:rsidRPr="00604355">
        <w:t xml:space="preserve">Entezari, S. (2022). Iron chelators in treatment of iron overload: A review. </w:t>
      </w:r>
      <w:r w:rsidRPr="00604355">
        <w:rPr>
          <w:rStyle w:val="Emphasis"/>
        </w:rPr>
        <w:t>Current Opinion in Hematology, 29</w:t>
      </w:r>
      <w:r w:rsidRPr="00604355">
        <w:t>(3), 165–172.</w:t>
      </w:r>
      <w:r w:rsidRPr="00604355">
        <w:rPr>
          <w:color w:val="FF0000"/>
        </w:rPr>
        <w:t xml:space="preserve"> </w:t>
      </w:r>
    </w:p>
    <w:p w:rsidR="0096694C" w:rsidRPr="00604355" w:rsidRDefault="0096694C" w:rsidP="0093399D">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sz w:val="24"/>
          <w:szCs w:val="24"/>
        </w:rPr>
        <w:t xml:space="preserve">Eze, J. A., </w:t>
      </w:r>
      <w:r w:rsidRPr="00604355">
        <w:rPr>
          <w:rFonts w:ascii="Times New Roman" w:hAnsi="Times New Roman" w:cs="Times New Roman"/>
          <w:spacing w:val="1"/>
          <w:sz w:val="24"/>
          <w:szCs w:val="24"/>
        </w:rPr>
        <w:t>Nwaneohu, N. C., Nwoha, L. U., &amp; Onwubuya, E. A</w:t>
      </w:r>
      <w:r w:rsidRPr="00604355">
        <w:rPr>
          <w:rFonts w:ascii="Times New Roman" w:eastAsia="Times New Roman" w:hAnsi="Times New Roman" w:cs="Times New Roman"/>
          <w:sz w:val="24"/>
          <w:szCs w:val="24"/>
        </w:rPr>
        <w:t xml:space="preserve">. (2020). </w:t>
      </w:r>
      <w:r w:rsidRPr="00604355">
        <w:rPr>
          <w:rFonts w:ascii="Times New Roman" w:eastAsia="Times New Roman" w:hAnsi="Times New Roman" w:cs="Times New Roman"/>
          <w:iCs/>
          <w:sz w:val="24"/>
          <w:szCs w:val="24"/>
        </w:rPr>
        <w:t>Hematopoietic effects of Ficus capensis leaf extract in anemic rats</w:t>
      </w:r>
      <w:r w:rsidRPr="00604355">
        <w:rPr>
          <w:rFonts w:ascii="Times New Roman" w:eastAsia="Times New Roman" w:hAnsi="Times New Roman" w:cs="Times New Roman"/>
          <w:sz w:val="24"/>
          <w:szCs w:val="24"/>
        </w:rPr>
        <w:t xml:space="preserve">. </w:t>
      </w:r>
      <w:r w:rsidRPr="00604355">
        <w:rPr>
          <w:rFonts w:ascii="Times New Roman" w:eastAsia="Times New Roman" w:hAnsi="Times New Roman" w:cs="Times New Roman"/>
          <w:bCs/>
          <w:i/>
          <w:sz w:val="24"/>
          <w:szCs w:val="24"/>
        </w:rPr>
        <w:t>Heliyon</w:t>
      </w:r>
      <w:r w:rsidRPr="00604355">
        <w:rPr>
          <w:rFonts w:ascii="Times New Roman" w:eastAsia="Times New Roman" w:hAnsi="Times New Roman" w:cs="Times New Roman"/>
          <w:sz w:val="24"/>
          <w:szCs w:val="24"/>
        </w:rPr>
        <w:t xml:space="preserve">, </w:t>
      </w:r>
      <w:r w:rsidRPr="00742591">
        <w:rPr>
          <w:rFonts w:ascii="Times New Roman" w:eastAsia="Times New Roman" w:hAnsi="Times New Roman" w:cs="Times New Roman"/>
          <w:sz w:val="24"/>
          <w:szCs w:val="24"/>
        </w:rPr>
        <w:t>6(12),</w:t>
      </w:r>
      <w:r w:rsidRPr="00604355">
        <w:rPr>
          <w:rFonts w:ascii="Times New Roman" w:eastAsia="Times New Roman" w:hAnsi="Times New Roman" w:cs="Times New Roman"/>
          <w:sz w:val="24"/>
          <w:szCs w:val="24"/>
        </w:rPr>
        <w:t xml:space="preserve"> e05678.</w:t>
      </w:r>
    </w:p>
    <w:p w:rsidR="0096694C" w:rsidRPr="00604355" w:rsidRDefault="0096694C" w:rsidP="0093399D">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sz w:val="24"/>
          <w:szCs w:val="24"/>
        </w:rPr>
        <w:t xml:space="preserve">Iya, E. A., Mohammed, S., &amp; Bello, A. (2022). </w:t>
      </w:r>
      <w:r w:rsidRPr="00604355">
        <w:rPr>
          <w:rFonts w:ascii="Times New Roman" w:eastAsia="Times New Roman" w:hAnsi="Times New Roman" w:cs="Times New Roman"/>
          <w:iCs/>
          <w:sz w:val="24"/>
          <w:szCs w:val="24"/>
        </w:rPr>
        <w:t>Phenylhydrazine-induced anemia and recovery through natural antioxidants in rats</w:t>
      </w:r>
      <w:r w:rsidRPr="00604355">
        <w:rPr>
          <w:rFonts w:ascii="Times New Roman" w:eastAsia="Times New Roman" w:hAnsi="Times New Roman" w:cs="Times New Roman"/>
          <w:sz w:val="24"/>
          <w:szCs w:val="24"/>
        </w:rPr>
        <w:t xml:space="preserve">. </w:t>
      </w:r>
      <w:r w:rsidRPr="00604355">
        <w:rPr>
          <w:rFonts w:ascii="Times New Roman" w:eastAsia="Times New Roman" w:hAnsi="Times New Roman" w:cs="Times New Roman"/>
          <w:bCs/>
          <w:i/>
          <w:sz w:val="24"/>
          <w:szCs w:val="24"/>
        </w:rPr>
        <w:t>Clinical Hematology International</w:t>
      </w:r>
      <w:r w:rsidRPr="00742591">
        <w:rPr>
          <w:rFonts w:ascii="Times New Roman" w:eastAsia="Times New Roman" w:hAnsi="Times New Roman" w:cs="Times New Roman"/>
          <w:sz w:val="24"/>
          <w:szCs w:val="24"/>
        </w:rPr>
        <w:t>, 4(2),</w:t>
      </w:r>
      <w:r w:rsidRPr="00604355">
        <w:rPr>
          <w:rFonts w:ascii="Times New Roman" w:eastAsia="Times New Roman" w:hAnsi="Times New Roman" w:cs="Times New Roman"/>
          <w:sz w:val="24"/>
          <w:szCs w:val="24"/>
        </w:rPr>
        <w:t xml:space="preserve"> 65–74.</w:t>
      </w:r>
    </w:p>
    <w:p w:rsidR="0096694C" w:rsidRPr="00751337" w:rsidRDefault="0096694C" w:rsidP="005C72C7">
      <w:pPr>
        <w:pStyle w:val="NormalWeb"/>
        <w:numPr>
          <w:ilvl w:val="0"/>
          <w:numId w:val="24"/>
        </w:numPr>
        <w:jc w:val="both"/>
      </w:pPr>
      <w:r>
        <w:t>Kumar, S., &amp; Choudhary, A. (20</w:t>
      </w:r>
      <w:r>
        <w:rPr>
          <w:lang w:val="en-GB"/>
        </w:rPr>
        <w:t>10</w:t>
      </w:r>
      <w:r w:rsidRPr="00751337">
        <w:t xml:space="preserve">). </w:t>
      </w:r>
      <w:r w:rsidRPr="00AD5B89">
        <w:rPr>
          <w:rStyle w:val="Emphasis"/>
          <w:rFonts w:eastAsia="SimSun"/>
          <w:i w:val="0"/>
        </w:rPr>
        <w:t>Ferritin and its diagnostic significance in iron disorders.</w:t>
      </w:r>
      <w:r w:rsidRPr="00CD3650">
        <w:rPr>
          <w:rFonts w:ascii="Arial" w:hAnsi="Arial" w:cs="Arial"/>
          <w:color w:val="474747"/>
          <w:sz w:val="21"/>
          <w:szCs w:val="21"/>
          <w:shd w:val="clear" w:color="auto" w:fill="FFFFFF"/>
        </w:rPr>
        <w:t xml:space="preserve"> </w:t>
      </w:r>
      <w:r w:rsidRPr="00CD3650">
        <w:rPr>
          <w:i/>
          <w:color w:val="474747"/>
          <w:shd w:val="clear" w:color="auto" w:fill="FFFFFF"/>
        </w:rPr>
        <w:t>Biochemist Clinical Reviews</w:t>
      </w:r>
      <w:r w:rsidRPr="00751337">
        <w:rPr>
          <w:rStyle w:val="Strong"/>
        </w:rPr>
        <w:t>.</w:t>
      </w:r>
      <w:r w:rsidRPr="00751337">
        <w:t xml:space="preserve">, </w:t>
      </w:r>
      <w:r w:rsidRPr="00AC4EDC">
        <w:rPr>
          <w:b/>
        </w:rPr>
        <w:t>43(3),</w:t>
      </w:r>
      <w:r w:rsidRPr="00751337">
        <w:t xml:space="preserve"> 155–168.</w:t>
      </w:r>
    </w:p>
    <w:p w:rsidR="0096694C" w:rsidRPr="00CE6F70" w:rsidRDefault="0096694C" w:rsidP="00CE6F70">
      <w:pPr>
        <w:pStyle w:val="ListParagraph"/>
        <w:numPr>
          <w:ilvl w:val="0"/>
          <w:numId w:val="24"/>
        </w:numPr>
        <w:jc w:val="both"/>
        <w:rPr>
          <w:rFonts w:ascii="Times New Roman" w:hAnsi="Times New Roman" w:cs="Times New Roman"/>
          <w:sz w:val="24"/>
          <w:szCs w:val="24"/>
        </w:rPr>
      </w:pPr>
      <w:r w:rsidRPr="00CE6F70">
        <w:rPr>
          <w:rFonts w:ascii="Times New Roman" w:hAnsi="Times New Roman" w:cs="Times New Roman"/>
          <w:color w:val="000000" w:themeColor="text1"/>
          <w:sz w:val="24"/>
          <w:szCs w:val="24"/>
        </w:rPr>
        <w:t xml:space="preserve">Kusuma, I. W., Syamsu, H. and Wahyudi, R. D. (2023). </w:t>
      </w:r>
      <w:r w:rsidRPr="00CE6F70">
        <w:rPr>
          <w:rStyle w:val="Emphasis"/>
          <w:rFonts w:ascii="Times New Roman" w:hAnsi="Times New Roman" w:cs="Times New Roman"/>
          <w:i w:val="0"/>
          <w:color w:val="000000" w:themeColor="text1"/>
          <w:sz w:val="24"/>
          <w:szCs w:val="24"/>
        </w:rPr>
        <w:t>Com</w:t>
      </w:r>
      <w:r>
        <w:rPr>
          <w:rStyle w:val="Emphasis"/>
          <w:rFonts w:ascii="Times New Roman" w:hAnsi="Times New Roman" w:cs="Times New Roman"/>
          <w:i w:val="0"/>
          <w:color w:val="000000" w:themeColor="text1"/>
          <w:sz w:val="24"/>
          <w:szCs w:val="24"/>
        </w:rPr>
        <w:t xml:space="preserve">parative analysis of different </w:t>
      </w:r>
      <w:r w:rsidRPr="00CE6F70">
        <w:rPr>
          <w:rStyle w:val="Emphasis"/>
          <w:rFonts w:ascii="Times New Roman" w:hAnsi="Times New Roman" w:cs="Times New Roman"/>
          <w:i w:val="0"/>
          <w:color w:val="000000" w:themeColor="text1"/>
          <w:sz w:val="24"/>
          <w:szCs w:val="24"/>
        </w:rPr>
        <w:t>methods for the preparation of plant extracts and</w:t>
      </w:r>
      <w:r>
        <w:rPr>
          <w:rStyle w:val="Emphasis"/>
          <w:rFonts w:ascii="Times New Roman" w:hAnsi="Times New Roman" w:cs="Times New Roman"/>
          <w:i w:val="0"/>
          <w:color w:val="000000" w:themeColor="text1"/>
          <w:sz w:val="24"/>
          <w:szCs w:val="24"/>
        </w:rPr>
        <w:t xml:space="preserve"> their </w:t>
      </w:r>
      <w:r>
        <w:rPr>
          <w:rStyle w:val="Emphasis"/>
          <w:rFonts w:ascii="Times New Roman" w:hAnsi="Times New Roman" w:cs="Times New Roman"/>
          <w:i w:val="0"/>
          <w:color w:val="000000" w:themeColor="text1"/>
          <w:sz w:val="24"/>
          <w:szCs w:val="24"/>
        </w:rPr>
        <w:t xml:space="preserve">impact on phytochemical </w:t>
      </w:r>
      <w:r w:rsidRPr="00CE6F70">
        <w:rPr>
          <w:rStyle w:val="Emphasis"/>
          <w:rFonts w:ascii="Times New Roman" w:hAnsi="Times New Roman" w:cs="Times New Roman"/>
          <w:i w:val="0"/>
          <w:color w:val="000000" w:themeColor="text1"/>
          <w:sz w:val="24"/>
          <w:szCs w:val="24"/>
        </w:rPr>
        <w:t>content and bioactivity</w:t>
      </w:r>
      <w:r w:rsidRPr="00CE6F70">
        <w:rPr>
          <w:rFonts w:ascii="Times New Roman" w:hAnsi="Times New Roman" w:cs="Times New Roman"/>
          <w:i/>
          <w:color w:val="000000" w:themeColor="text1"/>
          <w:sz w:val="24"/>
          <w:szCs w:val="24"/>
        </w:rPr>
        <w:t>.</w:t>
      </w:r>
      <w:r w:rsidRPr="00CE6F70">
        <w:rPr>
          <w:rFonts w:ascii="Times New Roman" w:hAnsi="Times New Roman" w:cs="Times New Roman"/>
          <w:color w:val="000000" w:themeColor="text1"/>
          <w:sz w:val="24"/>
          <w:szCs w:val="24"/>
        </w:rPr>
        <w:t xml:space="preserve"> </w:t>
      </w:r>
      <w:r w:rsidRPr="00CE6F70">
        <w:rPr>
          <w:rStyle w:val="Strong"/>
          <w:rFonts w:ascii="Times New Roman" w:eastAsiaTheme="majorEastAsia" w:hAnsi="Times New Roman" w:cs="Times New Roman"/>
          <w:b w:val="0"/>
          <w:i/>
          <w:color w:val="000000" w:themeColor="text1"/>
          <w:sz w:val="24"/>
          <w:szCs w:val="24"/>
        </w:rPr>
        <w:t>Journal of Pharmacognosy and Phytochemistry</w:t>
      </w:r>
      <w:r w:rsidRPr="00CE6F70">
        <w:rPr>
          <w:rFonts w:ascii="Times New Roman" w:hAnsi="Times New Roman" w:cs="Times New Roman"/>
          <w:b/>
          <w:i/>
          <w:color w:val="000000" w:themeColor="text1"/>
          <w:sz w:val="24"/>
          <w:szCs w:val="24"/>
        </w:rPr>
        <w:t>,</w:t>
      </w:r>
      <w:r w:rsidRPr="00CE6F70">
        <w:rPr>
          <w:rFonts w:ascii="Times New Roman" w:hAnsi="Times New Roman" w:cs="Times New Roman"/>
          <w:color w:val="000000" w:themeColor="text1"/>
          <w:sz w:val="24"/>
          <w:szCs w:val="24"/>
        </w:rPr>
        <w:t xml:space="preserve"> </w:t>
      </w:r>
      <w:r w:rsidRPr="00CE6F70">
        <w:rPr>
          <w:rFonts w:ascii="Times New Roman" w:hAnsi="Times New Roman" w:cs="Times New Roman"/>
          <w:b/>
          <w:color w:val="000000" w:themeColor="text1"/>
          <w:sz w:val="24"/>
          <w:szCs w:val="24"/>
        </w:rPr>
        <w:t>12(1</w:t>
      </w:r>
      <w:r w:rsidRPr="00CE6F70">
        <w:rPr>
          <w:rFonts w:ascii="Times New Roman" w:hAnsi="Times New Roman" w:cs="Times New Roman"/>
          <w:color w:val="000000" w:themeColor="text1"/>
          <w:sz w:val="24"/>
          <w:szCs w:val="24"/>
        </w:rPr>
        <w:t>): 121-130.</w:t>
      </w:r>
    </w:p>
    <w:p w:rsidR="0096694C" w:rsidRPr="00604355" w:rsidRDefault="0096694C" w:rsidP="007E29AE">
      <w:pPr>
        <w:pStyle w:val="NormalWeb"/>
        <w:numPr>
          <w:ilvl w:val="0"/>
          <w:numId w:val="24"/>
        </w:numPr>
        <w:spacing w:before="0" w:beforeAutospacing="0" w:after="0" w:afterAutospacing="0"/>
        <w:jc w:val="both"/>
        <w:rPr>
          <w:color w:val="000000" w:themeColor="text1"/>
        </w:rPr>
      </w:pPr>
      <w:r w:rsidRPr="00604355">
        <w:rPr>
          <w:color w:val="000000" w:themeColor="text1"/>
        </w:rPr>
        <w:t xml:space="preserve">Lorke, D. (1983). </w:t>
      </w:r>
      <w:r w:rsidRPr="00604355">
        <w:rPr>
          <w:rStyle w:val="Emphasis"/>
          <w:rFonts w:eastAsia="SimSun"/>
          <w:i w:val="0"/>
          <w:color w:val="000000" w:themeColor="text1"/>
        </w:rPr>
        <w:t>A new approach to practical acute toxicity testing</w:t>
      </w:r>
      <w:r w:rsidRPr="00604355">
        <w:rPr>
          <w:color w:val="000000" w:themeColor="text1"/>
        </w:rPr>
        <w:t xml:space="preserve">. </w:t>
      </w:r>
      <w:r w:rsidRPr="00604355">
        <w:rPr>
          <w:rStyle w:val="Strong"/>
          <w:rFonts w:eastAsiaTheme="majorEastAsia"/>
          <w:b w:val="0"/>
          <w:i/>
          <w:color w:val="000000" w:themeColor="text1"/>
        </w:rPr>
        <w:t>Archives of Toxicology</w:t>
      </w:r>
      <w:r w:rsidRPr="00604355">
        <w:rPr>
          <w:color w:val="000000" w:themeColor="text1"/>
        </w:rPr>
        <w:t xml:space="preserve">, </w:t>
      </w:r>
      <w:r w:rsidRPr="00742591">
        <w:rPr>
          <w:color w:val="000000" w:themeColor="text1"/>
        </w:rPr>
        <w:t>54(4):</w:t>
      </w:r>
      <w:r w:rsidRPr="00604355">
        <w:rPr>
          <w:color w:val="000000" w:themeColor="text1"/>
        </w:rPr>
        <w:t xml:space="preserve"> 275-287. </w:t>
      </w:r>
    </w:p>
    <w:p w:rsidR="0096694C" w:rsidRPr="00604355" w:rsidRDefault="0096694C" w:rsidP="007E29AE">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val="en-GB"/>
        </w:rPr>
        <w:t xml:space="preserve"> </w:t>
      </w:r>
      <w:r w:rsidRPr="00604355">
        <w:rPr>
          <w:rFonts w:ascii="Times New Roman" w:eastAsia="Times New Roman" w:hAnsi="Times New Roman" w:cs="Times New Roman"/>
          <w:color w:val="000000" w:themeColor="text1"/>
          <w:sz w:val="24"/>
          <w:szCs w:val="24"/>
        </w:rPr>
        <w:t xml:space="preserve">Mattos, L. A., Salgado, M. C. O., Souza, L. A. and Barros, C. (2005). </w:t>
      </w:r>
      <w:r w:rsidRPr="00604355">
        <w:rPr>
          <w:rFonts w:ascii="Times New Roman" w:eastAsia="Times New Roman" w:hAnsi="Times New Roman" w:cs="Times New Roman"/>
          <w:iCs/>
          <w:color w:val="000000" w:themeColor="text1"/>
          <w:sz w:val="24"/>
          <w:szCs w:val="24"/>
        </w:rPr>
        <w:t xml:space="preserve">The use of experimental </w:t>
      </w:r>
      <w:r w:rsidRPr="00604355">
        <w:rPr>
          <w:rFonts w:ascii="Times New Roman" w:eastAsia="Times New Roman" w:hAnsi="Times New Roman" w:cs="Times New Roman"/>
          <w:iCs/>
          <w:color w:val="000000" w:themeColor="text1"/>
          <w:sz w:val="24"/>
          <w:szCs w:val="24"/>
        </w:rPr>
        <w:tab/>
        <w:t>animal models in biomedical research</w:t>
      </w:r>
      <w:r w:rsidRPr="00604355">
        <w:rPr>
          <w:rFonts w:ascii="Times New Roman" w:eastAsia="Times New Roman" w:hAnsi="Times New Roman" w:cs="Times New Roman"/>
          <w:color w:val="000000" w:themeColor="text1"/>
          <w:sz w:val="24"/>
          <w:szCs w:val="24"/>
        </w:rPr>
        <w:t xml:space="preserve">. </w:t>
      </w:r>
      <w:r w:rsidRPr="00604355">
        <w:rPr>
          <w:rFonts w:ascii="Times New Roman" w:eastAsia="Times New Roman" w:hAnsi="Times New Roman" w:cs="Times New Roman"/>
          <w:bCs/>
          <w:i/>
          <w:color w:val="000000" w:themeColor="text1"/>
          <w:sz w:val="24"/>
          <w:szCs w:val="24"/>
        </w:rPr>
        <w:t>Brazilian Journal of Medical and Biological Research</w:t>
      </w:r>
      <w:r w:rsidRPr="00742591">
        <w:rPr>
          <w:rFonts w:ascii="Times New Roman" w:eastAsia="Times New Roman" w:hAnsi="Times New Roman" w:cs="Times New Roman"/>
          <w:color w:val="000000" w:themeColor="text1"/>
          <w:sz w:val="24"/>
          <w:szCs w:val="24"/>
        </w:rPr>
        <w:t>, 38(8): 1055</w:t>
      </w:r>
      <w:r w:rsidRPr="00604355">
        <w:rPr>
          <w:rFonts w:ascii="Times New Roman" w:eastAsia="Times New Roman" w:hAnsi="Times New Roman" w:cs="Times New Roman"/>
          <w:color w:val="000000" w:themeColor="text1"/>
          <w:sz w:val="24"/>
          <w:szCs w:val="24"/>
        </w:rPr>
        <w:t xml:space="preserve">-1062. </w:t>
      </w:r>
    </w:p>
    <w:p w:rsidR="0096694C" w:rsidRPr="00604355" w:rsidRDefault="0096694C" w:rsidP="007A299F">
      <w:pPr>
        <w:pStyle w:val="ListParagraph"/>
        <w:numPr>
          <w:ilvl w:val="0"/>
          <w:numId w:val="24"/>
        </w:numPr>
        <w:shd w:val="clear" w:color="auto" w:fill="FFFFFF"/>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color w:val="111111"/>
          <w:kern w:val="36"/>
          <w:sz w:val="24"/>
          <w:szCs w:val="24"/>
        </w:rPr>
        <w:t xml:space="preserve">Mohammed </w:t>
      </w:r>
      <w:r>
        <w:rPr>
          <w:rFonts w:ascii="Times New Roman" w:eastAsia="Times New Roman" w:hAnsi="Times New Roman" w:cs="Times New Roman"/>
          <w:color w:val="111111"/>
          <w:kern w:val="36"/>
          <w:sz w:val="24"/>
          <w:szCs w:val="24"/>
          <w:lang w:val="en-GB"/>
        </w:rPr>
        <w:t>S.</w:t>
      </w:r>
      <w:r>
        <w:rPr>
          <w:rFonts w:ascii="Times New Roman" w:eastAsia="Times New Roman" w:hAnsi="Times New Roman" w:cs="Times New Roman"/>
          <w:color w:val="111111"/>
          <w:kern w:val="36"/>
          <w:sz w:val="24"/>
          <w:szCs w:val="24"/>
        </w:rPr>
        <w:t xml:space="preserve"> G</w:t>
      </w:r>
      <w:r>
        <w:rPr>
          <w:rFonts w:ascii="Times New Roman" w:eastAsia="Times New Roman" w:hAnsi="Times New Roman" w:cs="Times New Roman"/>
          <w:color w:val="111111"/>
          <w:kern w:val="36"/>
          <w:sz w:val="24"/>
          <w:szCs w:val="24"/>
          <w:lang w:val="en-GB"/>
        </w:rPr>
        <w:t>.</w:t>
      </w:r>
      <w:r>
        <w:rPr>
          <w:rFonts w:ascii="Times New Roman" w:eastAsia="Times New Roman" w:hAnsi="Times New Roman" w:cs="Times New Roman"/>
          <w:color w:val="111111"/>
          <w:kern w:val="36"/>
          <w:sz w:val="24"/>
          <w:szCs w:val="24"/>
        </w:rPr>
        <w:t xml:space="preserve"> and Samaila S</w:t>
      </w:r>
      <w:r>
        <w:rPr>
          <w:rFonts w:ascii="Times New Roman" w:eastAsia="Times New Roman" w:hAnsi="Times New Roman" w:cs="Times New Roman"/>
          <w:color w:val="111111"/>
          <w:kern w:val="36"/>
          <w:sz w:val="24"/>
          <w:szCs w:val="24"/>
          <w:lang w:val="en-GB"/>
        </w:rPr>
        <w:t>.</w:t>
      </w:r>
      <w:r>
        <w:rPr>
          <w:rFonts w:ascii="Times New Roman" w:eastAsia="Times New Roman" w:hAnsi="Times New Roman" w:cs="Times New Roman"/>
          <w:color w:val="111111"/>
          <w:kern w:val="36"/>
          <w:sz w:val="24"/>
          <w:szCs w:val="24"/>
        </w:rPr>
        <w:t xml:space="preserve"> Y</w:t>
      </w:r>
      <w:r>
        <w:rPr>
          <w:rFonts w:ascii="Times New Roman" w:eastAsia="Times New Roman" w:hAnsi="Times New Roman" w:cs="Times New Roman"/>
          <w:color w:val="111111"/>
          <w:kern w:val="36"/>
          <w:sz w:val="24"/>
          <w:szCs w:val="24"/>
          <w:lang w:val="en-GB"/>
        </w:rPr>
        <w:t>.</w:t>
      </w:r>
      <w:r w:rsidRPr="00604355">
        <w:rPr>
          <w:rFonts w:ascii="Times New Roman" w:eastAsia="Times New Roman" w:hAnsi="Times New Roman" w:cs="Times New Roman"/>
          <w:color w:val="111111"/>
          <w:kern w:val="36"/>
          <w:sz w:val="24"/>
          <w:szCs w:val="24"/>
        </w:rPr>
        <w:t xml:space="preserve"> (2024)Ethnobotanical survey of medicinal plants in Malumfashi Local Government Area, Northwestern Nigeria </w:t>
      </w:r>
      <w:hyperlink r:id="rId13" w:history="1">
        <w:r w:rsidRPr="00604355">
          <w:rPr>
            <w:rFonts w:ascii="Times New Roman" w:eastAsia="Times New Roman" w:hAnsi="Times New Roman" w:cs="Times New Roman"/>
            <w:i/>
            <w:sz w:val="24"/>
            <w:szCs w:val="24"/>
            <w:bdr w:val="none" w:sz="0" w:space="0" w:color="auto" w:frame="1"/>
          </w:rPr>
          <w:t>Fountain Journal of Natural and Applied Sciences</w:t>
        </w:r>
      </w:hyperlink>
      <w:r w:rsidRPr="00604355">
        <w:rPr>
          <w:rFonts w:ascii="Times New Roman" w:eastAsia="Times New Roman" w:hAnsi="Times New Roman" w:cs="Times New Roman"/>
          <w:i/>
          <w:sz w:val="24"/>
          <w:szCs w:val="24"/>
        </w:rPr>
        <w:t> </w:t>
      </w:r>
      <w:r w:rsidRPr="00604355">
        <w:rPr>
          <w:rFonts w:ascii="Times New Roman" w:eastAsia="Times New Roman" w:hAnsi="Times New Roman" w:cs="Times New Roman"/>
          <w:sz w:val="24"/>
          <w:szCs w:val="24"/>
        </w:rPr>
        <w:t>13(1)</w:t>
      </w:r>
    </w:p>
    <w:p w:rsidR="0096694C" w:rsidRPr="00604355" w:rsidRDefault="0096694C" w:rsidP="00AD183E">
      <w:pPr>
        <w:pStyle w:val="ListParagraph"/>
        <w:numPr>
          <w:ilvl w:val="0"/>
          <w:numId w:val="24"/>
        </w:num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rPr>
        <w:t>ythic S</w:t>
      </w:r>
      <w:r>
        <w:rPr>
          <w:rFonts w:ascii="Times New Roman" w:hAnsi="Times New Roman" w:cs="Times New Roman"/>
          <w:color w:val="000000" w:themeColor="text1"/>
          <w:sz w:val="24"/>
          <w:szCs w:val="24"/>
          <w:lang w:val="en-GB"/>
        </w:rPr>
        <w:t>.</w:t>
      </w:r>
      <w:r w:rsidRPr="00604355">
        <w:rPr>
          <w:rFonts w:ascii="Times New Roman" w:hAnsi="Times New Roman" w:cs="Times New Roman"/>
          <w:color w:val="000000" w:themeColor="text1"/>
          <w:sz w:val="24"/>
          <w:szCs w:val="24"/>
        </w:rPr>
        <w:t xml:space="preserve"> </w:t>
      </w:r>
      <w:r w:rsidRPr="00604355">
        <w:rPr>
          <w:rFonts w:ascii="Times New Roman" w:hAnsi="Times New Roman" w:cs="Times New Roman"/>
          <w:color w:val="000000" w:themeColor="text1"/>
          <w:sz w:val="24"/>
          <w:szCs w:val="24"/>
          <w:lang w:val="en-US"/>
        </w:rPr>
        <w:t>(</w:t>
      </w:r>
      <w:r w:rsidRPr="00604355">
        <w:rPr>
          <w:rFonts w:ascii="Times New Roman" w:hAnsi="Times New Roman" w:cs="Times New Roman"/>
          <w:color w:val="000000" w:themeColor="text1"/>
          <w:sz w:val="24"/>
          <w:szCs w:val="24"/>
        </w:rPr>
        <w:t>2012</w:t>
      </w:r>
      <w:r w:rsidRPr="00604355">
        <w:rPr>
          <w:rFonts w:ascii="Times New Roman" w:hAnsi="Times New Roman" w:cs="Times New Roman"/>
          <w:color w:val="000000" w:themeColor="text1"/>
          <w:sz w:val="24"/>
          <w:szCs w:val="24"/>
          <w:lang w:val="en-US"/>
        </w:rPr>
        <w:t xml:space="preserve">) </w:t>
      </w:r>
      <w:r w:rsidRPr="00604355">
        <w:rPr>
          <w:rFonts w:ascii="Times New Roman" w:hAnsi="Times New Roman" w:cs="Times New Roman"/>
          <w:color w:val="000000" w:themeColor="text1"/>
          <w:sz w:val="24"/>
          <w:szCs w:val="24"/>
        </w:rPr>
        <w:t>5-part Mythic 60 Haematology analyzer model manufactured by mythic.</w:t>
      </w:r>
    </w:p>
    <w:p w:rsidR="0096694C" w:rsidRPr="00604355" w:rsidRDefault="0096694C" w:rsidP="002A12C2">
      <w:pPr>
        <w:pStyle w:val="NormalWeb"/>
        <w:numPr>
          <w:ilvl w:val="0"/>
          <w:numId w:val="24"/>
        </w:numPr>
        <w:spacing w:before="0" w:beforeAutospacing="0" w:after="0" w:afterAutospacing="0"/>
        <w:jc w:val="both"/>
        <w:rPr>
          <w:lang w:val="en-US"/>
        </w:rPr>
      </w:pPr>
      <w:r w:rsidRPr="00604355">
        <w:t xml:space="preserve">Nemeth, E., &amp; Ganz, T. (2014). Anemia of chronic disease: A cytokine-mediated disease. </w:t>
      </w:r>
      <w:r w:rsidRPr="00604355">
        <w:rPr>
          <w:i/>
        </w:rPr>
        <w:t>Journal of Investigative Medicine</w:t>
      </w:r>
      <w:r w:rsidRPr="00604355">
        <w:t xml:space="preserve">, </w:t>
      </w:r>
      <w:r w:rsidRPr="00742591">
        <w:t>62(4),</w:t>
      </w:r>
      <w:r w:rsidRPr="00604355">
        <w:t xml:space="preserve"> 635-644. </w:t>
      </w:r>
    </w:p>
    <w:p w:rsidR="0096694C" w:rsidRPr="00CE6F70" w:rsidRDefault="0096694C" w:rsidP="00CE6F70">
      <w:pPr>
        <w:pStyle w:val="ListParagraph"/>
        <w:numPr>
          <w:ilvl w:val="0"/>
          <w:numId w:val="24"/>
        </w:numPr>
        <w:jc w:val="both"/>
        <w:rPr>
          <w:rFonts w:ascii="Times New Roman" w:hAnsi="Times New Roman" w:cs="Times New Roman"/>
        </w:rPr>
      </w:pPr>
      <w:r w:rsidRPr="00604355">
        <w:rPr>
          <w:rFonts w:ascii="Times New Roman" w:hAnsi="Times New Roman" w:cs="Times New Roman"/>
        </w:rPr>
        <w:t xml:space="preserve">Njoku-Oji1. N. N.  , C. V. Nwike1 , U. Dimkpa1, N. O. Ifegwu2 , L. C. Anike1 , S. O. Maduka1 , O. A. Sobanke1 and R. C. Uchefuna1,(2016) Hematological Changes Following Oral Administration of Aqueous Leaf Extract of Ficus capensis in Albino Rats.  </w:t>
      </w:r>
      <w:r w:rsidRPr="00604355">
        <w:rPr>
          <w:rFonts w:ascii="Times New Roman" w:hAnsi="Times New Roman" w:cs="Times New Roman"/>
          <w:i/>
        </w:rPr>
        <w:t>International Blood Research &amp; Reviews</w:t>
      </w:r>
      <w:r w:rsidRPr="00604355">
        <w:rPr>
          <w:rFonts w:ascii="Times New Roman" w:hAnsi="Times New Roman" w:cs="Times New Roman"/>
        </w:rPr>
        <w:t xml:space="preserve"> 5(1): 1-7,</w:t>
      </w:r>
    </w:p>
    <w:p w:rsidR="0096694C" w:rsidRPr="00604355" w:rsidRDefault="0096694C" w:rsidP="00D00DFF">
      <w:pPr>
        <w:pStyle w:val="NormalWeb"/>
        <w:numPr>
          <w:ilvl w:val="0"/>
          <w:numId w:val="24"/>
        </w:numPr>
        <w:jc w:val="both"/>
        <w:rPr>
          <w:color w:val="000000" w:themeColor="text1"/>
        </w:rPr>
      </w:pPr>
      <w:r w:rsidRPr="00604355">
        <w:rPr>
          <w:color w:val="000000" w:themeColor="text1"/>
        </w:rPr>
        <w:t xml:space="preserve">Nyangena, L. and Wanyonyi, W. C. (2023). </w:t>
      </w:r>
      <w:r w:rsidRPr="00604355">
        <w:rPr>
          <w:rStyle w:val="Emphasis"/>
          <w:rFonts w:eastAsia="SimSun"/>
          <w:color w:val="000000" w:themeColor="text1"/>
        </w:rPr>
        <w:t xml:space="preserve">Ficus capensis (African Fig): Traditional uses and </w:t>
      </w:r>
      <w:r w:rsidRPr="00604355">
        <w:rPr>
          <w:rStyle w:val="Emphasis"/>
          <w:rFonts w:eastAsia="SimSun"/>
          <w:color w:val="000000" w:themeColor="text1"/>
        </w:rPr>
        <w:tab/>
        <w:t>pharmacological properties</w:t>
      </w:r>
      <w:r w:rsidRPr="00604355">
        <w:rPr>
          <w:i/>
          <w:color w:val="000000" w:themeColor="text1"/>
        </w:rPr>
        <w:t>.</w:t>
      </w:r>
      <w:r w:rsidRPr="00604355">
        <w:rPr>
          <w:color w:val="000000" w:themeColor="text1"/>
        </w:rPr>
        <w:t xml:space="preserve"> </w:t>
      </w:r>
      <w:r w:rsidRPr="00742591">
        <w:rPr>
          <w:rStyle w:val="Strong"/>
          <w:rFonts w:eastAsiaTheme="majorEastAsia"/>
          <w:b w:val="0"/>
          <w:i/>
          <w:color w:val="000000" w:themeColor="text1"/>
        </w:rPr>
        <w:t>Journal of Ethnopharmacology</w:t>
      </w:r>
      <w:r w:rsidRPr="00604355">
        <w:rPr>
          <w:color w:val="000000" w:themeColor="text1"/>
        </w:rPr>
        <w:t xml:space="preserve">, </w:t>
      </w:r>
      <w:r w:rsidRPr="00742591">
        <w:rPr>
          <w:color w:val="000000" w:themeColor="text1"/>
        </w:rPr>
        <w:t>303:</w:t>
      </w:r>
      <w:r w:rsidRPr="00604355">
        <w:rPr>
          <w:color w:val="000000" w:themeColor="text1"/>
        </w:rPr>
        <w:t xml:space="preserve"> 115960. </w:t>
      </w:r>
    </w:p>
    <w:p w:rsidR="0096694C" w:rsidRPr="00604355" w:rsidRDefault="0096694C" w:rsidP="00DD66EB">
      <w:pPr>
        <w:pStyle w:val="NormalWeb"/>
        <w:numPr>
          <w:ilvl w:val="0"/>
          <w:numId w:val="24"/>
        </w:numPr>
        <w:spacing w:before="0" w:beforeAutospacing="0" w:after="0" w:afterAutospacing="0"/>
        <w:jc w:val="both"/>
        <w:rPr>
          <w:color w:val="000000" w:themeColor="text1"/>
        </w:rPr>
      </w:pPr>
      <w:r w:rsidRPr="00604355">
        <w:rPr>
          <w:color w:val="000000" w:themeColor="text1"/>
        </w:rPr>
        <w:t xml:space="preserve">Ogundipe, O. and Ibrahim, M. (2024). </w:t>
      </w:r>
      <w:r w:rsidRPr="00604355">
        <w:rPr>
          <w:rStyle w:val="Emphasis"/>
          <w:rFonts w:eastAsia="SimSun"/>
          <w:i w:val="0"/>
          <w:color w:val="000000" w:themeColor="text1"/>
        </w:rPr>
        <w:t xml:space="preserve">Antioxidant potential of Ficus capensis in mitigating </w:t>
      </w:r>
      <w:r w:rsidRPr="00604355">
        <w:rPr>
          <w:rStyle w:val="Emphasis"/>
          <w:rFonts w:eastAsia="SimSun"/>
          <w:i w:val="0"/>
          <w:color w:val="000000" w:themeColor="text1"/>
        </w:rPr>
        <w:tab/>
        <w:t xml:space="preserve">oxidative stress and </w:t>
      </w:r>
      <w:r w:rsidRPr="00742591">
        <w:rPr>
          <w:rStyle w:val="Emphasis"/>
          <w:rFonts w:eastAsia="SimSun"/>
          <w:i w:val="0"/>
          <w:color w:val="000000" w:themeColor="text1"/>
        </w:rPr>
        <w:t>hemolytic anemia induced by phenylhydrazine</w:t>
      </w:r>
      <w:r w:rsidRPr="00742591">
        <w:rPr>
          <w:color w:val="000000" w:themeColor="text1"/>
        </w:rPr>
        <w:t xml:space="preserve">. </w:t>
      </w:r>
      <w:r w:rsidRPr="00742591">
        <w:rPr>
          <w:rStyle w:val="Strong"/>
          <w:rFonts w:eastAsiaTheme="majorEastAsia"/>
          <w:b w:val="0"/>
          <w:i/>
          <w:color w:val="000000" w:themeColor="text1"/>
        </w:rPr>
        <w:t xml:space="preserve">Phytotherapy </w:t>
      </w:r>
      <w:r w:rsidRPr="00742591">
        <w:rPr>
          <w:rStyle w:val="Strong"/>
          <w:rFonts w:eastAsiaTheme="majorEastAsia"/>
          <w:b w:val="0"/>
          <w:i/>
          <w:color w:val="000000" w:themeColor="text1"/>
        </w:rPr>
        <w:tab/>
        <w:t>Research</w:t>
      </w:r>
      <w:r w:rsidRPr="00742591">
        <w:rPr>
          <w:b/>
          <w:i/>
          <w:color w:val="000000" w:themeColor="text1"/>
        </w:rPr>
        <w:t>,</w:t>
      </w:r>
      <w:r w:rsidRPr="00742591">
        <w:rPr>
          <w:b/>
          <w:color w:val="000000" w:themeColor="text1"/>
        </w:rPr>
        <w:t xml:space="preserve"> </w:t>
      </w:r>
      <w:r w:rsidRPr="00742591">
        <w:rPr>
          <w:color w:val="000000" w:themeColor="text1"/>
        </w:rPr>
        <w:t>38(2):</w:t>
      </w:r>
      <w:r w:rsidRPr="00604355">
        <w:rPr>
          <w:color w:val="000000" w:themeColor="text1"/>
        </w:rPr>
        <w:t xml:space="preserve"> 620-633.</w:t>
      </w:r>
    </w:p>
    <w:p w:rsidR="0096694C" w:rsidRPr="00604355" w:rsidRDefault="0096694C" w:rsidP="002A12C2">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sz w:val="24"/>
          <w:szCs w:val="24"/>
        </w:rPr>
        <w:t>Ojo, O. A</w:t>
      </w:r>
      <w:r w:rsidRPr="00604355">
        <w:rPr>
          <w:rFonts w:ascii="Times New Roman" w:eastAsia="Times New Roman" w:hAnsi="Times New Roman" w:cs="Times New Roman"/>
          <w:sz w:val="24"/>
          <w:szCs w:val="24"/>
          <w:lang w:val="en-US"/>
        </w:rPr>
        <w:t xml:space="preserve">, </w:t>
      </w:r>
      <w:r w:rsidRPr="00604355">
        <w:rPr>
          <w:rFonts w:ascii="Times New Roman" w:hAnsi="Times New Roman" w:cs="Times New Roman"/>
          <w:spacing w:val="1"/>
          <w:sz w:val="24"/>
          <w:szCs w:val="24"/>
        </w:rPr>
        <w:t>Adebayo JO, Adeoye AO</w:t>
      </w:r>
      <w:r w:rsidRPr="00604355">
        <w:rPr>
          <w:rFonts w:ascii="Times New Roman" w:hAnsi="Times New Roman" w:cs="Times New Roman"/>
          <w:spacing w:val="1"/>
          <w:sz w:val="24"/>
          <w:szCs w:val="24"/>
          <w:lang w:val="en-US"/>
        </w:rPr>
        <w:t>.</w:t>
      </w:r>
      <w:r w:rsidRPr="00604355">
        <w:rPr>
          <w:rFonts w:ascii="Times New Roman" w:eastAsia="Times New Roman" w:hAnsi="Times New Roman" w:cs="Times New Roman"/>
          <w:sz w:val="24"/>
          <w:szCs w:val="24"/>
        </w:rPr>
        <w:t xml:space="preserve"> (2021). </w:t>
      </w:r>
      <w:r w:rsidRPr="00604355">
        <w:rPr>
          <w:rFonts w:ascii="Times New Roman" w:eastAsia="Times New Roman" w:hAnsi="Times New Roman" w:cs="Times New Roman"/>
          <w:iCs/>
          <w:sz w:val="24"/>
          <w:szCs w:val="24"/>
        </w:rPr>
        <w:t xml:space="preserve">Dose-dependent hematinic and biochemical effects of plant extracts in </w:t>
      </w:r>
      <w:r w:rsidRPr="00604355">
        <w:rPr>
          <w:rFonts w:ascii="Times New Roman" w:eastAsia="Times New Roman" w:hAnsi="Times New Roman" w:cs="Times New Roman"/>
          <w:iCs/>
          <w:sz w:val="24"/>
          <w:szCs w:val="24"/>
        </w:rPr>
        <w:lastRenderedPageBreak/>
        <w:t>experimental anemia models</w:t>
      </w:r>
      <w:r w:rsidRPr="00604355">
        <w:rPr>
          <w:rFonts w:ascii="Times New Roman" w:eastAsia="Times New Roman" w:hAnsi="Times New Roman" w:cs="Times New Roman"/>
          <w:sz w:val="24"/>
          <w:szCs w:val="24"/>
        </w:rPr>
        <w:t xml:space="preserve">. </w:t>
      </w:r>
      <w:r w:rsidRPr="00604355">
        <w:rPr>
          <w:rFonts w:ascii="Times New Roman" w:eastAsia="Times New Roman" w:hAnsi="Times New Roman" w:cs="Times New Roman"/>
          <w:bCs/>
          <w:i/>
          <w:sz w:val="24"/>
          <w:szCs w:val="24"/>
        </w:rPr>
        <w:t>BMC Complementary Medicine and Therapies</w:t>
      </w:r>
      <w:r w:rsidRPr="00742591">
        <w:rPr>
          <w:rFonts w:ascii="Times New Roman" w:eastAsia="Times New Roman" w:hAnsi="Times New Roman" w:cs="Times New Roman"/>
          <w:sz w:val="24"/>
          <w:szCs w:val="24"/>
        </w:rPr>
        <w:t>, 21(1),</w:t>
      </w:r>
      <w:r w:rsidRPr="00604355">
        <w:rPr>
          <w:rFonts w:ascii="Times New Roman" w:eastAsia="Times New Roman" w:hAnsi="Times New Roman" w:cs="Times New Roman"/>
          <w:sz w:val="24"/>
          <w:szCs w:val="24"/>
        </w:rPr>
        <w:t xml:space="preserve"> 127.</w:t>
      </w:r>
    </w:p>
    <w:p w:rsidR="0096694C" w:rsidRPr="00604355" w:rsidRDefault="0096694C" w:rsidP="0022380C">
      <w:pPr>
        <w:pStyle w:val="NormalWeb"/>
        <w:numPr>
          <w:ilvl w:val="0"/>
          <w:numId w:val="24"/>
        </w:numPr>
      </w:pPr>
      <w:r w:rsidRPr="00604355">
        <w:t xml:space="preserve">Olatunde, A., Ogunlade, B., &amp; Adeyemi, S. (2023). Pharmacological properties and therapeutic prospects of </w:t>
      </w:r>
      <w:r w:rsidRPr="00604355">
        <w:rPr>
          <w:rStyle w:val="Emphasis"/>
        </w:rPr>
        <w:t>Ficus capensis</w:t>
      </w:r>
      <w:r w:rsidRPr="00604355">
        <w:t xml:space="preserve">: A systematic review. </w:t>
      </w:r>
      <w:r w:rsidRPr="00604355">
        <w:rPr>
          <w:rStyle w:val="Emphasis"/>
        </w:rPr>
        <w:t>Journal of Ethnopharmacology, 315</w:t>
      </w:r>
      <w:r w:rsidRPr="00604355">
        <w:t>, 116–125.</w:t>
      </w:r>
    </w:p>
    <w:p w:rsidR="0096694C" w:rsidRPr="00604355" w:rsidRDefault="0096694C" w:rsidP="002A12C2">
      <w:pPr>
        <w:pStyle w:val="NormalWeb"/>
        <w:numPr>
          <w:ilvl w:val="0"/>
          <w:numId w:val="24"/>
        </w:numPr>
      </w:pPr>
      <w:r w:rsidRPr="00604355">
        <w:t xml:space="preserve">Ousaaid, D., Amaghnouje, A., Zegzouti, Y., et al. (2022). Hematoprotective and antioxidant effects of natural extracts against chemically induced anemia. </w:t>
      </w:r>
      <w:r w:rsidRPr="00604355">
        <w:rPr>
          <w:rStyle w:val="Emphasis"/>
        </w:rPr>
        <w:t>Antioxidants, 11</w:t>
      </w:r>
      <w:r w:rsidRPr="00604355">
        <w:t>(3), 451.</w:t>
      </w:r>
    </w:p>
    <w:p w:rsidR="0096694C" w:rsidRPr="007E29AE" w:rsidRDefault="0096694C" w:rsidP="00C75F9B">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color w:val="000000" w:themeColor="text1"/>
          <w:sz w:val="24"/>
          <w:szCs w:val="24"/>
        </w:rPr>
        <w:t xml:space="preserve">Percie du Sert, N., Hurst, V., Ahluwalia, A., Alam, S., Avey, M. T., Baker, M., Browne, W. J., Clark, A., Cuthill, I. C., Dirnagl, U., Emerson, M., Garner, P., Holgate, S. T., Howells, D., Karp, N. A., Lazic, S. E., Lidster, K., MacCallum, C. J., Macleod, M. and Pearl, E. J. (2020). </w:t>
      </w:r>
      <w:r w:rsidRPr="00604355">
        <w:rPr>
          <w:rFonts w:ascii="Times New Roman" w:eastAsia="Times New Roman" w:hAnsi="Times New Roman" w:cs="Times New Roman"/>
          <w:iCs/>
          <w:color w:val="000000" w:themeColor="text1"/>
          <w:sz w:val="24"/>
          <w:szCs w:val="24"/>
        </w:rPr>
        <w:t>The ARRIVE guidelines 2.0: Updated guidelines for reporting animal research</w:t>
      </w:r>
      <w:r w:rsidRPr="00604355">
        <w:rPr>
          <w:rFonts w:ascii="Times New Roman" w:eastAsia="Times New Roman" w:hAnsi="Times New Roman" w:cs="Times New Roman"/>
          <w:color w:val="000000" w:themeColor="text1"/>
          <w:sz w:val="24"/>
          <w:szCs w:val="24"/>
        </w:rPr>
        <w:t xml:space="preserve">. </w:t>
      </w:r>
      <w:r w:rsidRPr="00604355">
        <w:rPr>
          <w:rFonts w:ascii="Times New Roman" w:eastAsia="Times New Roman" w:hAnsi="Times New Roman" w:cs="Times New Roman"/>
          <w:bCs/>
          <w:i/>
          <w:color w:val="000000" w:themeColor="text1"/>
          <w:sz w:val="24"/>
          <w:szCs w:val="24"/>
        </w:rPr>
        <w:t>PLOS Biology</w:t>
      </w:r>
      <w:r w:rsidRPr="00604355">
        <w:rPr>
          <w:rFonts w:ascii="Times New Roman" w:eastAsia="Times New Roman" w:hAnsi="Times New Roman" w:cs="Times New Roman"/>
          <w:color w:val="000000" w:themeColor="text1"/>
          <w:sz w:val="24"/>
          <w:szCs w:val="24"/>
        </w:rPr>
        <w:t xml:space="preserve">, </w:t>
      </w:r>
      <w:r w:rsidRPr="00742591">
        <w:rPr>
          <w:rFonts w:ascii="Times New Roman" w:eastAsia="Times New Roman" w:hAnsi="Times New Roman" w:cs="Times New Roman"/>
          <w:color w:val="000000" w:themeColor="text1"/>
          <w:sz w:val="24"/>
          <w:szCs w:val="24"/>
        </w:rPr>
        <w:t>18(7): e3000410</w:t>
      </w:r>
      <w:r w:rsidRPr="00604355">
        <w:rPr>
          <w:rFonts w:ascii="Times New Roman" w:eastAsia="Times New Roman" w:hAnsi="Times New Roman" w:cs="Times New Roman"/>
          <w:color w:val="000000" w:themeColor="text1"/>
          <w:sz w:val="24"/>
          <w:szCs w:val="24"/>
        </w:rPr>
        <w:t>.</w:t>
      </w:r>
    </w:p>
    <w:p w:rsidR="0096694C" w:rsidRPr="004F288D" w:rsidRDefault="0096694C" w:rsidP="00CE6F70">
      <w:pPr>
        <w:pStyle w:val="NormalWeb"/>
        <w:numPr>
          <w:ilvl w:val="0"/>
          <w:numId w:val="24"/>
        </w:numPr>
        <w:spacing w:before="0" w:beforeAutospacing="0" w:after="0" w:afterAutospacing="0"/>
        <w:jc w:val="both"/>
        <w:rPr>
          <w:color w:val="000000" w:themeColor="text1"/>
        </w:rPr>
      </w:pPr>
      <w:r w:rsidRPr="00E54C43">
        <w:rPr>
          <w:rStyle w:val="Strong"/>
          <w:b w:val="0"/>
        </w:rPr>
        <w:t xml:space="preserve">Saganuwan </w:t>
      </w:r>
      <w:r>
        <w:rPr>
          <w:rStyle w:val="Strong"/>
          <w:b w:val="0"/>
        </w:rPr>
        <w:t>S</w:t>
      </w:r>
      <w:r>
        <w:rPr>
          <w:rStyle w:val="Strong"/>
          <w:b w:val="0"/>
          <w:lang w:val="en-GB"/>
        </w:rPr>
        <w:t>.</w:t>
      </w:r>
      <w:r w:rsidRPr="00E54C43">
        <w:rPr>
          <w:rStyle w:val="Strong"/>
          <w:b w:val="0"/>
        </w:rPr>
        <w:t xml:space="preserve"> A</w:t>
      </w:r>
      <w:r>
        <w:rPr>
          <w:rStyle w:val="Strong"/>
          <w:b w:val="0"/>
          <w:lang w:val="en-GB"/>
        </w:rPr>
        <w:t>.</w:t>
      </w:r>
      <w:r w:rsidRPr="004F288D">
        <w:t xml:space="preserve"> (2013) "A modified method for calculation of LD50." </w:t>
      </w:r>
      <w:r w:rsidRPr="004F288D">
        <w:rPr>
          <w:rStyle w:val="Emphasis"/>
          <w:rFonts w:eastAsia="SimSun"/>
        </w:rPr>
        <w:t xml:space="preserve">Asian </w:t>
      </w:r>
      <w:r w:rsidRPr="004F288D">
        <w:rPr>
          <w:rStyle w:val="Emphasis"/>
          <w:rFonts w:eastAsia="SimSun"/>
        </w:rPr>
        <w:tab/>
        <w:t>Journal of Biomedical and Pharmaceutical Sciences</w:t>
      </w:r>
      <w:r w:rsidRPr="004F288D">
        <w:t xml:space="preserve"> 3, no. </w:t>
      </w:r>
      <w:r w:rsidRPr="004F288D">
        <w:rPr>
          <w:b/>
        </w:rPr>
        <w:t>21</w:t>
      </w:r>
      <w:r w:rsidRPr="004F288D">
        <w:t xml:space="preserve">: 26-31. </w:t>
      </w:r>
      <w:r w:rsidRPr="004F288D">
        <w:rPr>
          <w:color w:val="000000" w:themeColor="text1"/>
        </w:rPr>
        <w:t xml:space="preserve"> </w:t>
      </w:r>
      <w:r w:rsidRPr="004F288D">
        <w:rPr>
          <w:color w:val="000000" w:themeColor="text1"/>
        </w:rPr>
        <w:tab/>
      </w:r>
    </w:p>
    <w:p w:rsidR="0096694C" w:rsidRPr="00604355" w:rsidRDefault="0096694C" w:rsidP="008627F9">
      <w:pPr>
        <w:pStyle w:val="ListParagraph"/>
        <w:numPr>
          <w:ilvl w:val="0"/>
          <w:numId w:val="24"/>
        </w:numPr>
        <w:spacing w:after="0" w:line="240" w:lineRule="auto"/>
        <w:jc w:val="both"/>
        <w:rPr>
          <w:rFonts w:ascii="Times New Roman" w:hAnsi="Times New Roman" w:cs="Times New Roman"/>
          <w:spacing w:val="1"/>
          <w:sz w:val="24"/>
          <w:szCs w:val="24"/>
          <w:lang w:val="en-US"/>
        </w:rPr>
      </w:pPr>
      <w:r w:rsidRPr="00604355">
        <w:rPr>
          <w:rFonts w:ascii="Times New Roman" w:hAnsi="Times New Roman" w:cs="Times New Roman"/>
          <w:spacing w:val="1"/>
          <w:sz w:val="24"/>
          <w:szCs w:val="24"/>
        </w:rPr>
        <w:t xml:space="preserve">Schmidt PJ, Liu J, Toran PT, et al. 2019. Hepcidin and ferroportin: A review of their interaction and role in iron metabolism. Journal of Clinical Investigation. </w:t>
      </w:r>
      <w:r w:rsidRPr="00742591">
        <w:rPr>
          <w:rFonts w:ascii="Times New Roman" w:hAnsi="Times New Roman" w:cs="Times New Roman"/>
          <w:spacing w:val="1"/>
          <w:sz w:val="24"/>
          <w:szCs w:val="24"/>
        </w:rPr>
        <w:t>129(1):</w:t>
      </w:r>
      <w:r w:rsidRPr="00604355">
        <w:rPr>
          <w:rFonts w:ascii="Times New Roman" w:hAnsi="Times New Roman" w:cs="Times New Roman"/>
          <w:spacing w:val="1"/>
          <w:sz w:val="24"/>
          <w:szCs w:val="24"/>
        </w:rPr>
        <w:t xml:space="preserve">14-23. </w:t>
      </w:r>
    </w:p>
    <w:p w:rsidR="0096694C" w:rsidRPr="00604355" w:rsidRDefault="0096694C" w:rsidP="00AD183E">
      <w:pPr>
        <w:pStyle w:val="ListParagraph"/>
        <w:numPr>
          <w:ilvl w:val="0"/>
          <w:numId w:val="24"/>
        </w:numPr>
        <w:spacing w:after="0" w:line="240" w:lineRule="auto"/>
        <w:jc w:val="both"/>
        <w:rPr>
          <w:rFonts w:ascii="Times New Roman" w:hAnsi="Times New Roman" w:cs="Times New Roman"/>
          <w:sz w:val="24"/>
          <w:szCs w:val="24"/>
          <w:lang w:val="en-US"/>
        </w:rPr>
      </w:pPr>
      <w:r w:rsidRPr="00604355">
        <w:rPr>
          <w:rFonts w:ascii="Times New Roman" w:hAnsi="Times New Roman" w:cs="Times New Roman"/>
          <w:sz w:val="24"/>
          <w:szCs w:val="24"/>
        </w:rPr>
        <w:t>Ubaka MC, Ukwe VC, Okoye CT, Adibe OM</w:t>
      </w:r>
      <w:r w:rsidRPr="00604355">
        <w:rPr>
          <w:rFonts w:ascii="Times New Roman" w:hAnsi="Times New Roman" w:cs="Times New Roman"/>
          <w:sz w:val="24"/>
          <w:szCs w:val="24"/>
          <w:lang w:val="en-US"/>
        </w:rPr>
        <w:t>., (</w:t>
      </w:r>
      <w:r w:rsidRPr="00604355">
        <w:rPr>
          <w:rFonts w:ascii="Times New Roman" w:hAnsi="Times New Roman" w:cs="Times New Roman"/>
          <w:sz w:val="24"/>
          <w:szCs w:val="24"/>
        </w:rPr>
        <w:t>2010</w:t>
      </w:r>
      <w:r w:rsidRPr="00604355">
        <w:rPr>
          <w:rFonts w:ascii="Times New Roman" w:hAnsi="Times New Roman" w:cs="Times New Roman"/>
          <w:sz w:val="24"/>
          <w:szCs w:val="24"/>
          <w:lang w:val="en-US"/>
        </w:rPr>
        <w:t xml:space="preserve">) </w:t>
      </w:r>
      <w:r w:rsidRPr="00604355">
        <w:rPr>
          <w:rFonts w:ascii="Times New Roman" w:hAnsi="Times New Roman" w:cs="Times New Roman"/>
          <w:sz w:val="24"/>
          <w:szCs w:val="24"/>
        </w:rPr>
        <w:t>Investigation into the anti-ulcer activity of the aqueous leaf extract of Aspilia africana C.D. Adams. Asian J Med Sci.;</w:t>
      </w:r>
      <w:r w:rsidRPr="00604355">
        <w:rPr>
          <w:rFonts w:ascii="Times New Roman" w:hAnsi="Times New Roman" w:cs="Times New Roman"/>
          <w:b/>
          <w:sz w:val="24"/>
          <w:szCs w:val="24"/>
        </w:rPr>
        <w:t>2(2</w:t>
      </w:r>
      <w:r w:rsidRPr="00604355">
        <w:rPr>
          <w:rFonts w:ascii="Times New Roman" w:hAnsi="Times New Roman" w:cs="Times New Roman"/>
          <w:sz w:val="24"/>
          <w:szCs w:val="24"/>
        </w:rPr>
        <w:t xml:space="preserve">):40- </w:t>
      </w:r>
      <w:r w:rsidRPr="00604355">
        <w:rPr>
          <w:rFonts w:ascii="Times New Roman" w:hAnsi="Times New Roman" w:cs="Times New Roman"/>
          <w:sz w:val="24"/>
          <w:szCs w:val="24"/>
          <w:lang w:val="en-US"/>
        </w:rPr>
        <w:t>4</w:t>
      </w:r>
      <w:r w:rsidRPr="00604355">
        <w:rPr>
          <w:rFonts w:ascii="Times New Roman" w:hAnsi="Times New Roman" w:cs="Times New Roman"/>
          <w:sz w:val="24"/>
          <w:szCs w:val="24"/>
        </w:rPr>
        <w:t>3.</w:t>
      </w:r>
    </w:p>
    <w:p w:rsidR="0096694C" w:rsidRPr="00604355" w:rsidRDefault="0096694C" w:rsidP="00050DF4">
      <w:pPr>
        <w:pStyle w:val="NormalWeb"/>
        <w:numPr>
          <w:ilvl w:val="0"/>
          <w:numId w:val="24"/>
        </w:numPr>
        <w:spacing w:before="0" w:beforeAutospacing="0" w:after="0" w:afterAutospacing="0"/>
        <w:jc w:val="both"/>
        <w:rPr>
          <w:color w:val="000000" w:themeColor="text1"/>
          <w:lang w:val="en-US"/>
        </w:rPr>
      </w:pPr>
      <w:r w:rsidRPr="00604355">
        <w:rPr>
          <w:color w:val="000000" w:themeColor="text1"/>
        </w:rPr>
        <w:t xml:space="preserve">Van Wyk, B.-E. and Gericke, N. (2022). </w:t>
      </w:r>
      <w:r w:rsidRPr="00604355">
        <w:rPr>
          <w:rStyle w:val="Emphasis"/>
          <w:rFonts w:eastAsia="SimSun"/>
          <w:color w:val="000000" w:themeColor="text1"/>
        </w:rPr>
        <w:t xml:space="preserve">Plants for People: The Role of Indigenous Plants in </w:t>
      </w:r>
      <w:r w:rsidRPr="00604355">
        <w:rPr>
          <w:rStyle w:val="Emphasis"/>
          <w:rFonts w:eastAsia="SimSun"/>
          <w:color w:val="000000" w:themeColor="text1"/>
        </w:rPr>
        <w:tab/>
        <w:t>the Lives of Africans</w:t>
      </w:r>
      <w:r w:rsidRPr="00604355">
        <w:rPr>
          <w:i/>
          <w:color w:val="000000" w:themeColor="text1"/>
        </w:rPr>
        <w:t>.</w:t>
      </w:r>
      <w:r w:rsidRPr="00604355">
        <w:rPr>
          <w:color w:val="000000" w:themeColor="text1"/>
        </w:rPr>
        <w:t xml:space="preserve"> </w:t>
      </w:r>
      <w:r w:rsidRPr="00742591">
        <w:rPr>
          <w:rStyle w:val="Strong"/>
          <w:rFonts w:eastAsiaTheme="majorEastAsia"/>
          <w:b w:val="0"/>
          <w:color w:val="000000" w:themeColor="text1"/>
        </w:rPr>
        <w:t>Springer Nature</w:t>
      </w:r>
      <w:r w:rsidRPr="00604355">
        <w:rPr>
          <w:color w:val="000000" w:themeColor="text1"/>
        </w:rPr>
        <w:t xml:space="preserve">, pp. 101-103. </w:t>
      </w:r>
    </w:p>
    <w:p w:rsidR="0096694C" w:rsidRPr="003C2A9F" w:rsidRDefault="0096694C" w:rsidP="0022380C">
      <w:pPr>
        <w:pStyle w:val="ListParagraph"/>
        <w:numPr>
          <w:ilvl w:val="0"/>
          <w:numId w:val="24"/>
        </w:numPr>
        <w:jc w:val="both"/>
        <w:rPr>
          <w:rFonts w:ascii="Times New Roman" w:hAnsi="Times New Roman" w:cs="Times New Roman"/>
          <w:sz w:val="24"/>
          <w:szCs w:val="24"/>
        </w:rPr>
      </w:pPr>
      <w:r w:rsidRPr="001349B9">
        <w:rPr>
          <w:rFonts w:ascii="Times New Roman" w:hAnsi="Times New Roman" w:cs="Times New Roman"/>
          <w:spacing w:val="1"/>
          <w:sz w:val="24"/>
          <w:szCs w:val="24"/>
        </w:rPr>
        <w:t>W</w:t>
      </w:r>
      <w:r>
        <w:rPr>
          <w:rFonts w:ascii="Times New Roman" w:hAnsi="Times New Roman" w:cs="Times New Roman"/>
          <w:spacing w:val="1"/>
          <w:sz w:val="24"/>
          <w:szCs w:val="24"/>
        </w:rPr>
        <w:t>ang X, Li Y, Han L, Li J, Liu C</w:t>
      </w:r>
      <w:r w:rsidR="00D9044F">
        <w:rPr>
          <w:rFonts w:ascii="Times New Roman" w:hAnsi="Times New Roman" w:cs="Times New Roman"/>
          <w:spacing w:val="1"/>
          <w:sz w:val="24"/>
          <w:szCs w:val="24"/>
          <w:lang w:val="en-GB"/>
        </w:rPr>
        <w:t>.</w:t>
      </w:r>
      <w:r>
        <w:rPr>
          <w:rFonts w:ascii="Times New Roman" w:hAnsi="Times New Roman" w:cs="Times New Roman"/>
          <w:spacing w:val="1"/>
          <w:sz w:val="24"/>
          <w:szCs w:val="24"/>
          <w:lang w:val="en-GB"/>
        </w:rPr>
        <w:t xml:space="preserve"> and </w:t>
      </w:r>
      <w:r w:rsidRPr="001349B9">
        <w:rPr>
          <w:rFonts w:ascii="Times New Roman" w:hAnsi="Times New Roman" w:cs="Times New Roman"/>
          <w:spacing w:val="1"/>
          <w:sz w:val="24"/>
          <w:szCs w:val="24"/>
        </w:rPr>
        <w:t xml:space="preserve">Sun C. </w:t>
      </w:r>
      <w:r>
        <w:rPr>
          <w:rFonts w:ascii="Times New Roman" w:hAnsi="Times New Roman" w:cs="Times New Roman"/>
          <w:spacing w:val="1"/>
          <w:sz w:val="24"/>
          <w:szCs w:val="24"/>
          <w:lang w:val="en-GB"/>
        </w:rPr>
        <w:t>(</w:t>
      </w:r>
      <w:r w:rsidRPr="001349B9">
        <w:rPr>
          <w:rFonts w:ascii="Times New Roman" w:hAnsi="Times New Roman" w:cs="Times New Roman"/>
          <w:spacing w:val="1"/>
          <w:sz w:val="24"/>
          <w:szCs w:val="24"/>
        </w:rPr>
        <w:t>2021</w:t>
      </w:r>
      <w:r>
        <w:rPr>
          <w:rFonts w:ascii="Times New Roman" w:hAnsi="Times New Roman" w:cs="Times New Roman"/>
          <w:spacing w:val="1"/>
          <w:sz w:val="24"/>
          <w:szCs w:val="24"/>
          <w:lang w:val="en-GB"/>
        </w:rPr>
        <w:t>)</w:t>
      </w:r>
      <w:r w:rsidRPr="001349B9">
        <w:rPr>
          <w:rFonts w:ascii="Times New Roman" w:hAnsi="Times New Roman" w:cs="Times New Roman"/>
          <w:spacing w:val="1"/>
          <w:sz w:val="24"/>
          <w:szCs w:val="24"/>
        </w:rPr>
        <w:t xml:space="preserve">. Role of flavonoids in the treatment of iron overload. </w:t>
      </w:r>
      <w:r w:rsidRPr="001349B9">
        <w:rPr>
          <w:rFonts w:ascii="Times New Roman" w:hAnsi="Times New Roman" w:cs="Times New Roman"/>
          <w:spacing w:val="1"/>
          <w:sz w:val="24"/>
          <w:szCs w:val="24"/>
        </w:rPr>
        <w:t>Frontiers in Cell and Developmental Biology. 9:685364</w:t>
      </w:r>
      <w:r>
        <w:rPr>
          <w:rFonts w:ascii="Times New Roman" w:hAnsi="Times New Roman" w:cs="Times New Roman"/>
          <w:spacing w:val="1"/>
          <w:sz w:val="24"/>
          <w:szCs w:val="24"/>
        </w:rPr>
        <w:t>.</w:t>
      </w:r>
    </w:p>
    <w:p w:rsidR="0096694C" w:rsidRPr="00742591" w:rsidRDefault="0096694C" w:rsidP="00AD353F">
      <w:pPr>
        <w:pStyle w:val="ListParagraph"/>
        <w:numPr>
          <w:ilvl w:val="0"/>
          <w:numId w:val="24"/>
        </w:numPr>
        <w:spacing w:after="0" w:line="240" w:lineRule="auto"/>
        <w:jc w:val="both"/>
        <w:outlineLvl w:val="2"/>
        <w:rPr>
          <w:rFonts w:ascii="Times New Roman" w:eastAsia="Times New Roman" w:hAnsi="Times New Roman" w:cs="Times New Roman"/>
          <w:sz w:val="24"/>
          <w:szCs w:val="24"/>
          <w:lang w:eastAsia="zh-CN"/>
        </w:rPr>
      </w:pPr>
      <w:r w:rsidRPr="00604355">
        <w:rPr>
          <w:rFonts w:ascii="Times New Roman" w:eastAsia="Times New Roman" w:hAnsi="Times New Roman" w:cs="Times New Roman"/>
          <w:sz w:val="24"/>
          <w:szCs w:val="24"/>
          <w:lang w:eastAsia="zh-CN"/>
        </w:rPr>
        <w:t>World Health Organization. (2019). Iron deficiency anaemia.</w:t>
      </w:r>
      <w:r w:rsidRPr="00742591">
        <w:rPr>
          <w:color w:val="000000" w:themeColor="text1"/>
        </w:rPr>
        <w:t xml:space="preserve"> </w:t>
      </w:r>
      <w:r w:rsidRPr="00742591">
        <w:rPr>
          <w:rFonts w:ascii="Times New Roman" w:hAnsi="Times New Roman" w:cs="Times New Roman"/>
          <w:color w:val="000000" w:themeColor="text1"/>
          <w:sz w:val="24"/>
          <w:szCs w:val="24"/>
        </w:rPr>
        <w:t>[</w:t>
      </w:r>
      <w:r w:rsidRPr="00742591">
        <w:rPr>
          <w:rFonts w:ascii="Times New Roman" w:hAnsi="Times New Roman" w:cs="Times New Roman"/>
          <w:sz w:val="24"/>
          <w:szCs w:val="24"/>
        </w:rPr>
        <w:t>https://www.who.int/news-room/fact-sheets/detail/anaemia](inset</w:t>
      </w:r>
      <w:r>
        <w:rPr>
          <w:rFonts w:ascii="Times New Roman" w:hAnsi="Times New Roman" w:cs="Times New Roman"/>
          <w:color w:val="000000" w:themeColor="text1"/>
          <w:sz w:val="24"/>
          <w:szCs w:val="24"/>
        </w:rPr>
        <w:t xml:space="preserve"> accessed on </w:t>
      </w:r>
      <w:r>
        <w:rPr>
          <w:rFonts w:ascii="Times New Roman" w:hAnsi="Times New Roman" w:cs="Times New Roman"/>
          <w:color w:val="000000" w:themeColor="text1"/>
          <w:sz w:val="24"/>
          <w:szCs w:val="24"/>
          <w:lang w:val="en-GB"/>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lang w:val="en-GB"/>
        </w:rPr>
        <w:t>7</w:t>
      </w:r>
      <w:r w:rsidRPr="007425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GB"/>
        </w:rPr>
        <w:t>20</w:t>
      </w:r>
      <w:r w:rsidRPr="00742591">
        <w:rPr>
          <w:rFonts w:ascii="Times New Roman" w:hAnsi="Times New Roman" w:cs="Times New Roman"/>
          <w:color w:val="000000" w:themeColor="text1"/>
          <w:sz w:val="24"/>
          <w:szCs w:val="24"/>
        </w:rPr>
        <w:t>24).</w:t>
      </w:r>
    </w:p>
    <w:p w:rsidR="0096694C" w:rsidRPr="00742591" w:rsidRDefault="0096694C" w:rsidP="001764AA">
      <w:pPr>
        <w:pStyle w:val="NormalWeb"/>
        <w:numPr>
          <w:ilvl w:val="0"/>
          <w:numId w:val="24"/>
        </w:numPr>
        <w:spacing w:before="0" w:beforeAutospacing="0" w:after="0" w:afterAutospacing="0"/>
        <w:jc w:val="both"/>
        <w:rPr>
          <w:color w:val="000000" w:themeColor="text1"/>
          <w:lang w:val="en-US"/>
        </w:rPr>
      </w:pPr>
      <w:r w:rsidRPr="00604355">
        <w:rPr>
          <w:color w:val="000000" w:themeColor="text1"/>
        </w:rPr>
        <w:t xml:space="preserve">World Health Organization. (2023). </w:t>
      </w:r>
      <w:r w:rsidRPr="00604355">
        <w:rPr>
          <w:rStyle w:val="Emphasis"/>
          <w:rFonts w:eastAsia="SimSun"/>
          <w:color w:val="000000" w:themeColor="text1"/>
        </w:rPr>
        <w:t>Anaemia</w:t>
      </w:r>
      <w:r w:rsidRPr="00604355">
        <w:rPr>
          <w:color w:val="000000" w:themeColor="text1"/>
        </w:rPr>
        <w:t>. Retrieved from [</w:t>
      </w:r>
      <w:r w:rsidRPr="00742591">
        <w:t>https://www.who.int/news-room/fact-sheets/detail/anaemia](inset</w:t>
      </w:r>
      <w:r w:rsidRPr="00742591">
        <w:rPr>
          <w:color w:val="000000" w:themeColor="text1"/>
        </w:rPr>
        <w:t xml:space="preserve"> accessed on 20/8/24).</w:t>
      </w:r>
    </w:p>
    <w:p w:rsidR="0096694C" w:rsidRPr="004F288D" w:rsidRDefault="0096694C" w:rsidP="00C255A2">
      <w:pPr>
        <w:pStyle w:val="ListParagraph"/>
        <w:numPr>
          <w:ilvl w:val="0"/>
          <w:numId w:val="24"/>
        </w:numPr>
        <w:spacing w:after="0" w:line="240" w:lineRule="auto"/>
        <w:jc w:val="both"/>
        <w:outlineLvl w:val="2"/>
        <w:rPr>
          <w:rFonts w:ascii="Times New Roman" w:eastAsia="Times New Roman" w:hAnsi="Times New Roman" w:cs="Times New Roman"/>
          <w:sz w:val="24"/>
          <w:szCs w:val="24"/>
          <w:lang w:val="en-US" w:eastAsia="zh-CN"/>
        </w:rPr>
      </w:pPr>
      <w:r w:rsidRPr="004F288D">
        <w:rPr>
          <w:rFonts w:ascii="Times New Roman" w:hAnsi="Times New Roman" w:cs="Times New Roman"/>
          <w:spacing w:val="1"/>
          <w:sz w:val="24"/>
          <w:szCs w:val="24"/>
        </w:rPr>
        <w:t>Zhang D, Li C, Ji</w:t>
      </w:r>
      <w:r>
        <w:rPr>
          <w:rFonts w:ascii="Times New Roman" w:hAnsi="Times New Roman" w:cs="Times New Roman"/>
          <w:spacing w:val="1"/>
          <w:sz w:val="24"/>
          <w:szCs w:val="24"/>
        </w:rPr>
        <w:t xml:space="preserve">n C, Jing Z, Luo Q, </w:t>
      </w:r>
      <w:r>
        <w:rPr>
          <w:rFonts w:ascii="Times New Roman" w:hAnsi="Times New Roman" w:cs="Times New Roman"/>
          <w:spacing w:val="1"/>
          <w:sz w:val="24"/>
          <w:szCs w:val="24"/>
          <w:lang w:val="en-GB"/>
        </w:rPr>
        <w:t xml:space="preserve">and </w:t>
      </w:r>
      <w:r>
        <w:rPr>
          <w:rFonts w:ascii="Times New Roman" w:hAnsi="Times New Roman" w:cs="Times New Roman"/>
          <w:spacing w:val="1"/>
          <w:sz w:val="24"/>
          <w:szCs w:val="24"/>
        </w:rPr>
        <w:t xml:space="preserve">Wang H. </w:t>
      </w:r>
      <w:r>
        <w:rPr>
          <w:rFonts w:ascii="Times New Roman" w:hAnsi="Times New Roman" w:cs="Times New Roman"/>
          <w:spacing w:val="1"/>
          <w:sz w:val="24"/>
          <w:szCs w:val="24"/>
          <w:lang w:val="en-GB"/>
        </w:rPr>
        <w:t>(</w:t>
      </w:r>
      <w:r>
        <w:rPr>
          <w:rFonts w:ascii="Times New Roman" w:hAnsi="Times New Roman" w:cs="Times New Roman"/>
          <w:spacing w:val="1"/>
          <w:sz w:val="24"/>
          <w:szCs w:val="24"/>
        </w:rPr>
        <w:t>202</w:t>
      </w:r>
      <w:r>
        <w:rPr>
          <w:rFonts w:ascii="Times New Roman" w:hAnsi="Times New Roman" w:cs="Times New Roman"/>
          <w:spacing w:val="1"/>
          <w:sz w:val="24"/>
          <w:szCs w:val="24"/>
          <w:lang w:val="en-GB"/>
        </w:rPr>
        <w:t>3)</w:t>
      </w:r>
      <w:r w:rsidRPr="004F288D">
        <w:rPr>
          <w:rFonts w:ascii="Times New Roman" w:hAnsi="Times New Roman" w:cs="Times New Roman"/>
          <w:spacing w:val="1"/>
          <w:sz w:val="24"/>
          <w:szCs w:val="24"/>
        </w:rPr>
        <w:t>. Ferroportin: A critical regulator of iron homeostasis. Journal of Clinical Investigation. 130(1):26-36. doi:10.1172/JCI132637</w:t>
      </w:r>
    </w:p>
    <w:p w:rsidR="0096694C" w:rsidRPr="00604355" w:rsidRDefault="0096694C" w:rsidP="00272403">
      <w:pPr>
        <w:pStyle w:val="ListParagraph"/>
        <w:numPr>
          <w:ilvl w:val="0"/>
          <w:numId w:val="24"/>
        </w:numPr>
        <w:spacing w:after="0" w:line="240" w:lineRule="auto"/>
        <w:jc w:val="both"/>
        <w:outlineLvl w:val="2"/>
        <w:rPr>
          <w:rFonts w:ascii="Times New Roman" w:eastAsia="Times New Roman" w:hAnsi="Times New Roman" w:cs="Times New Roman"/>
          <w:sz w:val="24"/>
          <w:szCs w:val="24"/>
          <w:lang w:val="en-US" w:eastAsia="zh-CN"/>
        </w:rPr>
      </w:pPr>
      <w:r w:rsidRPr="00604355">
        <w:rPr>
          <w:rFonts w:ascii="Times New Roman" w:hAnsi="Times New Roman" w:cs="Times New Roman"/>
          <w:spacing w:val="1"/>
          <w:sz w:val="24"/>
          <w:szCs w:val="24"/>
        </w:rPr>
        <w:t>Zhang D, Li C, Jin C, Jing Z, Luo Q, Wang H. 2020. Ferroportin: A critical regulator of iron homeostasis. Journal of Clinical Investigation. 130(1):26-36. doi:10.1172/JCI132637</w:t>
      </w:r>
    </w:p>
    <w:p w:rsidR="00374464" w:rsidRPr="00272403" w:rsidRDefault="00374464" w:rsidP="00742591">
      <w:pPr>
        <w:pStyle w:val="NormalWeb"/>
        <w:spacing w:before="0" w:beforeAutospacing="0" w:after="0" w:afterAutospacing="0"/>
        <w:jc w:val="both"/>
      </w:pPr>
      <w:r w:rsidRPr="00272403">
        <w:rPr>
          <w:color w:val="000000" w:themeColor="text1"/>
        </w:rPr>
        <w:tab/>
      </w:r>
    </w:p>
    <w:sectPr w:rsidR="00374464" w:rsidRPr="00272403" w:rsidSect="008E32E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479" w:rsidRDefault="003F6479">
      <w:pPr>
        <w:spacing w:after="0" w:line="240" w:lineRule="auto"/>
      </w:pPr>
      <w:r>
        <w:separator/>
      </w:r>
    </w:p>
  </w:endnote>
  <w:endnote w:type="continuationSeparator" w:id="0">
    <w:p w:rsidR="003F6479" w:rsidRDefault="003F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AE7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0742"/>
      <w:docPartObj>
        <w:docPartGallery w:val="Page Numbers (Bottom of Page)"/>
        <w:docPartUnique/>
      </w:docPartObj>
    </w:sdtPr>
    <w:sdtEndPr/>
    <w:sdtContent>
      <w:p w:rsidR="00CE6F70" w:rsidRDefault="00B1161F">
        <w:pPr>
          <w:pStyle w:val="Footer"/>
          <w:jc w:val="center"/>
        </w:pPr>
        <w:r>
          <w:fldChar w:fldCharType="begin"/>
        </w:r>
        <w:r w:rsidR="00E52165">
          <w:instrText xml:space="preserve"> PAGE   \* MERGEFORMAT </w:instrText>
        </w:r>
        <w:r>
          <w:fldChar w:fldCharType="separate"/>
        </w:r>
        <w:r w:rsidR="003908BA">
          <w:rPr>
            <w:noProof/>
          </w:rPr>
          <w:t>10</w:t>
        </w:r>
        <w:r>
          <w:rPr>
            <w:noProof/>
          </w:rPr>
          <w:fldChar w:fldCharType="end"/>
        </w:r>
      </w:p>
    </w:sdtContent>
  </w:sdt>
  <w:p w:rsidR="00CE6F70" w:rsidRDefault="00CE6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AE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479" w:rsidRDefault="003F6479">
      <w:pPr>
        <w:spacing w:after="0" w:line="240" w:lineRule="auto"/>
      </w:pPr>
      <w:r>
        <w:separator/>
      </w:r>
    </w:p>
  </w:footnote>
  <w:footnote w:type="continuationSeparator" w:id="0">
    <w:p w:rsidR="003F6479" w:rsidRDefault="003F6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3F64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3F64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3F64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D43593"/>
    <w:multiLevelType w:val="multilevel"/>
    <w:tmpl w:val="87D4359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A15552CF"/>
    <w:multiLevelType w:val="singleLevel"/>
    <w:tmpl w:val="A15552CF"/>
    <w:lvl w:ilvl="0">
      <w:start w:val="1"/>
      <w:numFmt w:val="decimal"/>
      <w:suff w:val="space"/>
      <w:lvlText w:val="%1."/>
      <w:lvlJc w:val="left"/>
    </w:lvl>
  </w:abstractNum>
  <w:abstractNum w:abstractNumId="2" w15:restartNumberingAfterBreak="0">
    <w:nsid w:val="C38AB583"/>
    <w:multiLevelType w:val="multilevel"/>
    <w:tmpl w:val="6CA8D602"/>
    <w:lvl w:ilvl="0">
      <w:start w:val="1"/>
      <w:numFmt w:val="decimal"/>
      <w:suff w:val="space"/>
      <w:lvlText w:val="%1."/>
      <w:lvlJc w:val="left"/>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002D633F"/>
    <w:multiLevelType w:val="multilevel"/>
    <w:tmpl w:val="7B027478"/>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82BBD"/>
    <w:multiLevelType w:val="multilevel"/>
    <w:tmpl w:val="10582BBD"/>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15:restartNumberingAfterBreak="0">
    <w:nsid w:val="12F31505"/>
    <w:multiLevelType w:val="multilevel"/>
    <w:tmpl w:val="33C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A579F"/>
    <w:multiLevelType w:val="multilevel"/>
    <w:tmpl w:val="13CA579F"/>
    <w:lvl w:ilvl="0">
      <w:start w:val="1"/>
      <w:numFmt w:val="decimal"/>
      <w:lvlText w:val="%1."/>
      <w:lvlJc w:val="left"/>
      <w:pPr>
        <w:ind w:left="450" w:hanging="360"/>
      </w:pPr>
      <w:rPr>
        <w:rFonts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15:restartNumberingAfterBreak="0">
    <w:nsid w:val="1C0E72F1"/>
    <w:multiLevelType w:val="multilevel"/>
    <w:tmpl w:val="1C0E72F1"/>
    <w:lvl w:ilvl="0">
      <w:start w:val="1"/>
      <w:numFmt w:val="decimal"/>
      <w:lvlText w:val="%1."/>
      <w:lvlJc w:val="left"/>
      <w:pPr>
        <w:ind w:left="360"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8" w15:restartNumberingAfterBreak="0">
    <w:nsid w:val="1C8D7C3D"/>
    <w:multiLevelType w:val="hybridMultilevel"/>
    <w:tmpl w:val="B8C4C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3549A"/>
    <w:multiLevelType w:val="multilevel"/>
    <w:tmpl w:val="B08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C10EB"/>
    <w:multiLevelType w:val="multilevel"/>
    <w:tmpl w:val="9442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42102"/>
    <w:multiLevelType w:val="multilevel"/>
    <w:tmpl w:val="F428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A2D97"/>
    <w:multiLevelType w:val="multilevel"/>
    <w:tmpl w:val="851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E160C"/>
    <w:multiLevelType w:val="multilevel"/>
    <w:tmpl w:val="DC4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A36FD"/>
    <w:multiLevelType w:val="multilevel"/>
    <w:tmpl w:val="3EFA36FD"/>
    <w:lvl w:ilvl="0">
      <w:start w:val="1"/>
      <w:numFmt w:val="decimal"/>
      <w:lvlText w:val="%1."/>
      <w:lvlJc w:val="left"/>
      <w:pPr>
        <w:ind w:left="450" w:hanging="360"/>
      </w:pPr>
      <w:rPr>
        <w:rFonts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5" w15:restartNumberingAfterBreak="0">
    <w:nsid w:val="43A4F618"/>
    <w:multiLevelType w:val="multilevel"/>
    <w:tmpl w:val="EF84522E"/>
    <w:lvl w:ilvl="0">
      <w:start w:val="3"/>
      <w:numFmt w:val="decimal"/>
      <w:suff w:val="space"/>
      <w:lvlText w:val="%1."/>
      <w:lvlJc w:val="left"/>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87A325C"/>
    <w:multiLevelType w:val="multilevel"/>
    <w:tmpl w:val="596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F6769"/>
    <w:multiLevelType w:val="hybridMultilevel"/>
    <w:tmpl w:val="54ACA320"/>
    <w:lvl w:ilvl="0" w:tplc="AEDA7D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64993"/>
    <w:multiLevelType w:val="multilevel"/>
    <w:tmpl w:val="AE0A2544"/>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180033"/>
    <w:multiLevelType w:val="multilevel"/>
    <w:tmpl w:val="A336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B6EA2"/>
    <w:multiLevelType w:val="multilevel"/>
    <w:tmpl w:val="67EB6EA2"/>
    <w:lvl w:ilvl="0">
      <w:start w:val="1"/>
      <w:numFmt w:val="decimal"/>
      <w:lvlText w:val="%1."/>
      <w:lvlJc w:val="left"/>
      <w:pPr>
        <w:ind w:left="360" w:hanging="360"/>
      </w:pPr>
    </w:lvl>
    <w:lvl w:ilvl="1">
      <w:start w:val="1"/>
      <w:numFmt w:val="lowerLetter"/>
      <w:lvlText w:val="%2."/>
      <w:lvlJc w:val="left"/>
      <w:pPr>
        <w:ind w:left="1374" w:hanging="360"/>
      </w:pPr>
    </w:lvl>
    <w:lvl w:ilvl="2">
      <w:start w:val="1"/>
      <w:numFmt w:val="lowerRoman"/>
      <w:lvlText w:val="%3."/>
      <w:lvlJc w:val="right"/>
      <w:pPr>
        <w:ind w:left="2094" w:hanging="180"/>
      </w:pPr>
    </w:lvl>
    <w:lvl w:ilvl="3">
      <w:start w:val="1"/>
      <w:numFmt w:val="decimal"/>
      <w:lvlText w:val="%4."/>
      <w:lvlJc w:val="left"/>
      <w:pPr>
        <w:ind w:left="2814"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abstractNum w:abstractNumId="21" w15:restartNumberingAfterBreak="0">
    <w:nsid w:val="681D6BC6"/>
    <w:multiLevelType w:val="multilevel"/>
    <w:tmpl w:val="A17CAC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04311EB"/>
    <w:multiLevelType w:val="hybridMultilevel"/>
    <w:tmpl w:val="3788B784"/>
    <w:lvl w:ilvl="0" w:tplc="FF36533A">
      <w:start w:val="28"/>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81E17"/>
    <w:multiLevelType w:val="multilevel"/>
    <w:tmpl w:val="76D81E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4401BA"/>
    <w:multiLevelType w:val="multilevel"/>
    <w:tmpl w:val="794401BA"/>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9FC7F75"/>
    <w:multiLevelType w:val="hybridMultilevel"/>
    <w:tmpl w:val="979A84B4"/>
    <w:lvl w:ilvl="0" w:tplc="6046F60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E097C"/>
    <w:multiLevelType w:val="multilevel"/>
    <w:tmpl w:val="7F0E09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
  </w:num>
  <w:num w:numId="3">
    <w:abstractNumId w:val="15"/>
  </w:num>
  <w:num w:numId="4">
    <w:abstractNumId w:val="1"/>
  </w:num>
  <w:num w:numId="5">
    <w:abstractNumId w:val="0"/>
  </w:num>
  <w:num w:numId="6">
    <w:abstractNumId w:val="14"/>
  </w:num>
  <w:num w:numId="7">
    <w:abstractNumId w:val="6"/>
  </w:num>
  <w:num w:numId="8">
    <w:abstractNumId w:val="20"/>
  </w:num>
  <w:num w:numId="9">
    <w:abstractNumId w:val="4"/>
  </w:num>
  <w:num w:numId="10">
    <w:abstractNumId w:val="7"/>
  </w:num>
  <w:num w:numId="11">
    <w:abstractNumId w:val="23"/>
  </w:num>
  <w:num w:numId="12">
    <w:abstractNumId w:val="24"/>
  </w:num>
  <w:num w:numId="13">
    <w:abstractNumId w:val="10"/>
  </w:num>
  <w:num w:numId="14">
    <w:abstractNumId w:val="13"/>
  </w:num>
  <w:num w:numId="15">
    <w:abstractNumId w:val="18"/>
  </w:num>
  <w:num w:numId="16">
    <w:abstractNumId w:val="3"/>
  </w:num>
  <w:num w:numId="17">
    <w:abstractNumId w:val="19"/>
  </w:num>
  <w:num w:numId="18">
    <w:abstractNumId w:val="5"/>
  </w:num>
  <w:num w:numId="19">
    <w:abstractNumId w:val="16"/>
  </w:num>
  <w:num w:numId="20">
    <w:abstractNumId w:val="11"/>
  </w:num>
  <w:num w:numId="21">
    <w:abstractNumId w:val="9"/>
  </w:num>
  <w:num w:numId="22">
    <w:abstractNumId w:val="21"/>
  </w:num>
  <w:num w:numId="23">
    <w:abstractNumId w:val="25"/>
  </w:num>
  <w:num w:numId="24">
    <w:abstractNumId w:val="17"/>
  </w:num>
  <w:num w:numId="25">
    <w:abstractNumId w:val="8"/>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4464"/>
    <w:rsid w:val="000056C0"/>
    <w:rsid w:val="00014A73"/>
    <w:rsid w:val="000364A5"/>
    <w:rsid w:val="00050DF4"/>
    <w:rsid w:val="0005142F"/>
    <w:rsid w:val="000538ED"/>
    <w:rsid w:val="00053CC4"/>
    <w:rsid w:val="00063FFC"/>
    <w:rsid w:val="00092D89"/>
    <w:rsid w:val="0009694C"/>
    <w:rsid w:val="000D5E4B"/>
    <w:rsid w:val="000F0A33"/>
    <w:rsid w:val="00110357"/>
    <w:rsid w:val="001134FC"/>
    <w:rsid w:val="00121AA2"/>
    <w:rsid w:val="00131875"/>
    <w:rsid w:val="001764AA"/>
    <w:rsid w:val="00180A09"/>
    <w:rsid w:val="00186EBE"/>
    <w:rsid w:val="0019418E"/>
    <w:rsid w:val="00194F6A"/>
    <w:rsid w:val="001A0B37"/>
    <w:rsid w:val="001C3A7D"/>
    <w:rsid w:val="001E3D1B"/>
    <w:rsid w:val="001E5647"/>
    <w:rsid w:val="00205186"/>
    <w:rsid w:val="0022380C"/>
    <w:rsid w:val="00226347"/>
    <w:rsid w:val="002346E6"/>
    <w:rsid w:val="00255E9A"/>
    <w:rsid w:val="00272403"/>
    <w:rsid w:val="00276CFF"/>
    <w:rsid w:val="00281B79"/>
    <w:rsid w:val="00283320"/>
    <w:rsid w:val="00284DE4"/>
    <w:rsid w:val="00287BFD"/>
    <w:rsid w:val="002950C6"/>
    <w:rsid w:val="002A12C2"/>
    <w:rsid w:val="002B33D2"/>
    <w:rsid w:val="002D51CA"/>
    <w:rsid w:val="002D62D3"/>
    <w:rsid w:val="002E06C0"/>
    <w:rsid w:val="00322293"/>
    <w:rsid w:val="0033619F"/>
    <w:rsid w:val="00373E26"/>
    <w:rsid w:val="00374464"/>
    <w:rsid w:val="003879AA"/>
    <w:rsid w:val="003908BA"/>
    <w:rsid w:val="003C2A9F"/>
    <w:rsid w:val="003F6479"/>
    <w:rsid w:val="00412C6C"/>
    <w:rsid w:val="0043249A"/>
    <w:rsid w:val="00432788"/>
    <w:rsid w:val="00436B71"/>
    <w:rsid w:val="00471DB7"/>
    <w:rsid w:val="004B3407"/>
    <w:rsid w:val="004D1E52"/>
    <w:rsid w:val="004E5870"/>
    <w:rsid w:val="004F288D"/>
    <w:rsid w:val="00536222"/>
    <w:rsid w:val="0053772A"/>
    <w:rsid w:val="005646C3"/>
    <w:rsid w:val="005663D9"/>
    <w:rsid w:val="005C72C7"/>
    <w:rsid w:val="005F76CB"/>
    <w:rsid w:val="00600D70"/>
    <w:rsid w:val="00604355"/>
    <w:rsid w:val="00646796"/>
    <w:rsid w:val="0065276D"/>
    <w:rsid w:val="006A37E5"/>
    <w:rsid w:val="006B0124"/>
    <w:rsid w:val="006B7814"/>
    <w:rsid w:val="00705504"/>
    <w:rsid w:val="00720B3B"/>
    <w:rsid w:val="00737DA5"/>
    <w:rsid w:val="00742591"/>
    <w:rsid w:val="00751993"/>
    <w:rsid w:val="0077103C"/>
    <w:rsid w:val="00794138"/>
    <w:rsid w:val="007944E4"/>
    <w:rsid w:val="007A299F"/>
    <w:rsid w:val="007A7FD8"/>
    <w:rsid w:val="007C2B9F"/>
    <w:rsid w:val="007C6144"/>
    <w:rsid w:val="007D2485"/>
    <w:rsid w:val="007D3FEF"/>
    <w:rsid w:val="007D5BA5"/>
    <w:rsid w:val="007E006D"/>
    <w:rsid w:val="007E29AE"/>
    <w:rsid w:val="0082561E"/>
    <w:rsid w:val="008543BF"/>
    <w:rsid w:val="008627F9"/>
    <w:rsid w:val="008630CE"/>
    <w:rsid w:val="0089342E"/>
    <w:rsid w:val="008A09E6"/>
    <w:rsid w:val="008C208C"/>
    <w:rsid w:val="008E314A"/>
    <w:rsid w:val="008E32E9"/>
    <w:rsid w:val="00901800"/>
    <w:rsid w:val="009074B9"/>
    <w:rsid w:val="00924183"/>
    <w:rsid w:val="0093399D"/>
    <w:rsid w:val="009412C7"/>
    <w:rsid w:val="0096694C"/>
    <w:rsid w:val="0098584D"/>
    <w:rsid w:val="009F4405"/>
    <w:rsid w:val="00A2626D"/>
    <w:rsid w:val="00A80223"/>
    <w:rsid w:val="00A9665B"/>
    <w:rsid w:val="00AD183E"/>
    <w:rsid w:val="00AD353F"/>
    <w:rsid w:val="00AE29A6"/>
    <w:rsid w:val="00AE75D0"/>
    <w:rsid w:val="00AE7C9D"/>
    <w:rsid w:val="00B03FD2"/>
    <w:rsid w:val="00B1161F"/>
    <w:rsid w:val="00B24671"/>
    <w:rsid w:val="00B339D3"/>
    <w:rsid w:val="00B855B3"/>
    <w:rsid w:val="00B85984"/>
    <w:rsid w:val="00B90B60"/>
    <w:rsid w:val="00BA5B2A"/>
    <w:rsid w:val="00BA7152"/>
    <w:rsid w:val="00BC713D"/>
    <w:rsid w:val="00BE7A5F"/>
    <w:rsid w:val="00C255A2"/>
    <w:rsid w:val="00C354F1"/>
    <w:rsid w:val="00C5513E"/>
    <w:rsid w:val="00C75F9B"/>
    <w:rsid w:val="00C80C7C"/>
    <w:rsid w:val="00C81051"/>
    <w:rsid w:val="00CC6944"/>
    <w:rsid w:val="00CD1F38"/>
    <w:rsid w:val="00CE6F70"/>
    <w:rsid w:val="00CF3855"/>
    <w:rsid w:val="00CF4966"/>
    <w:rsid w:val="00CF6A8D"/>
    <w:rsid w:val="00D00DFF"/>
    <w:rsid w:val="00D144EF"/>
    <w:rsid w:val="00D62AF1"/>
    <w:rsid w:val="00D63767"/>
    <w:rsid w:val="00D649B2"/>
    <w:rsid w:val="00D66777"/>
    <w:rsid w:val="00D762F0"/>
    <w:rsid w:val="00D9044F"/>
    <w:rsid w:val="00DC0C2A"/>
    <w:rsid w:val="00DD66EB"/>
    <w:rsid w:val="00DF0848"/>
    <w:rsid w:val="00E52165"/>
    <w:rsid w:val="00E54C43"/>
    <w:rsid w:val="00E62AF5"/>
    <w:rsid w:val="00E77BF0"/>
    <w:rsid w:val="00EA7211"/>
    <w:rsid w:val="00EC0450"/>
    <w:rsid w:val="00EC1547"/>
    <w:rsid w:val="00EC2D40"/>
    <w:rsid w:val="00EC6B3A"/>
    <w:rsid w:val="00ED2106"/>
    <w:rsid w:val="00EE7AE0"/>
    <w:rsid w:val="00EE7BAB"/>
    <w:rsid w:val="00F07987"/>
    <w:rsid w:val="00F14BBA"/>
    <w:rsid w:val="00F460B7"/>
    <w:rsid w:val="00F662FB"/>
    <w:rsid w:val="00F66551"/>
    <w:rsid w:val="00F753C8"/>
    <w:rsid w:val="00F82D56"/>
    <w:rsid w:val="00F87F63"/>
    <w:rsid w:val="00FA1F95"/>
    <w:rsid w:val="00FA2269"/>
    <w:rsid w:val="00FB7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516295"/>
  <w15:docId w15:val="{8E073F58-6AA9-47AB-9E64-0386A309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464"/>
    <w:pPr>
      <w:spacing w:after="160" w:line="259" w:lineRule="auto"/>
    </w:pPr>
    <w:rPr>
      <w:lang w:val="zh-CN"/>
    </w:rPr>
  </w:style>
  <w:style w:type="paragraph" w:styleId="Heading1">
    <w:name w:val="heading 1"/>
    <w:basedOn w:val="Normal"/>
    <w:next w:val="Normal"/>
    <w:link w:val="Heading1Char"/>
    <w:uiPriority w:val="9"/>
    <w:qFormat/>
    <w:rsid w:val="00374464"/>
    <w:pPr>
      <w:spacing w:beforeAutospacing="1" w:after="0" w:afterAutospacing="1"/>
      <w:outlineLvl w:val="0"/>
    </w:pPr>
    <w:rPr>
      <w:rFonts w:ascii="SimSun" w:hAnsi="SimSun" w:cs="Times New Roman" w:hint="eastAsia"/>
      <w:b/>
      <w:bCs/>
      <w:kern w:val="44"/>
      <w:sz w:val="48"/>
      <w:szCs w:val="48"/>
      <w:lang w:val="en-US" w:eastAsia="zh-CN"/>
    </w:rPr>
  </w:style>
  <w:style w:type="paragraph" w:styleId="Heading2">
    <w:name w:val="heading 2"/>
    <w:next w:val="Normal"/>
    <w:link w:val="Heading2Char"/>
    <w:uiPriority w:val="9"/>
    <w:semiHidden/>
    <w:unhideWhenUsed/>
    <w:qFormat/>
    <w:rsid w:val="00374464"/>
    <w:pPr>
      <w:spacing w:beforeAutospacing="1" w:after="0" w:afterAutospacing="1" w:line="240" w:lineRule="auto"/>
      <w:outlineLvl w:val="1"/>
    </w:pPr>
    <w:rPr>
      <w:rFonts w:ascii="SimSun" w:hAnsi="SimSun" w:cs="Times New Roman" w:hint="eastAsia"/>
      <w:b/>
      <w:bCs/>
      <w:sz w:val="36"/>
      <w:szCs w:val="36"/>
      <w:lang w:eastAsia="zh-CN"/>
    </w:rPr>
  </w:style>
  <w:style w:type="paragraph" w:styleId="Heading3">
    <w:name w:val="heading 3"/>
    <w:basedOn w:val="Normal"/>
    <w:link w:val="Heading3Char"/>
    <w:uiPriority w:val="9"/>
    <w:qFormat/>
    <w:rsid w:val="0037446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link w:val="Heading4Char"/>
    <w:uiPriority w:val="9"/>
    <w:qFormat/>
    <w:rsid w:val="003744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3744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paragraph" w:styleId="Heading6">
    <w:name w:val="heading 6"/>
    <w:basedOn w:val="Normal"/>
    <w:link w:val="Heading6Char"/>
    <w:uiPriority w:val="9"/>
    <w:qFormat/>
    <w:rsid w:val="00374464"/>
    <w:pPr>
      <w:spacing w:before="100" w:beforeAutospacing="1" w:after="100" w:afterAutospacing="1" w:line="240" w:lineRule="auto"/>
      <w:outlineLvl w:val="5"/>
    </w:pPr>
    <w:rPr>
      <w:rFonts w:ascii="Times New Roman" w:eastAsia="Times New Roman" w:hAnsi="Times New Roman" w:cs="Times New Roman"/>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74464"/>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uiPriority w:val="9"/>
    <w:semiHidden/>
    <w:rsid w:val="00374464"/>
    <w:rPr>
      <w:rFonts w:ascii="SimSun" w:eastAsia="SimSun" w:hAnsi="SimSun" w:cs="Times New Roman"/>
      <w:b/>
      <w:bCs/>
      <w:sz w:val="36"/>
      <w:szCs w:val="36"/>
      <w:lang w:eastAsia="zh-CN"/>
    </w:rPr>
  </w:style>
  <w:style w:type="character" w:customStyle="1" w:styleId="Heading3Char">
    <w:name w:val="Heading 3 Char"/>
    <w:basedOn w:val="DefaultParagraphFont"/>
    <w:link w:val="Heading3"/>
    <w:uiPriority w:val="9"/>
    <w:qFormat/>
    <w:rsid w:val="00374464"/>
    <w:rPr>
      <w:rFonts w:ascii="Times New Roman" w:eastAsia="Times New Roman" w:hAnsi="Times New Roman" w:cs="Times New Roman"/>
      <w:b/>
      <w:bCs/>
      <w:sz w:val="27"/>
      <w:szCs w:val="27"/>
      <w:lang w:val="zh-CN" w:eastAsia="zh-CN"/>
    </w:rPr>
  </w:style>
  <w:style w:type="character" w:customStyle="1" w:styleId="Heading4Char">
    <w:name w:val="Heading 4 Char"/>
    <w:basedOn w:val="DefaultParagraphFont"/>
    <w:link w:val="Heading4"/>
    <w:uiPriority w:val="9"/>
    <w:qFormat/>
    <w:rsid w:val="00374464"/>
    <w:rPr>
      <w:rFonts w:ascii="Times New Roman" w:eastAsia="Times New Roman" w:hAnsi="Times New Roman" w:cs="Times New Roman"/>
      <w:b/>
      <w:bCs/>
      <w:sz w:val="24"/>
      <w:szCs w:val="24"/>
      <w:lang w:val="zh-CN" w:eastAsia="zh-CN"/>
    </w:rPr>
  </w:style>
  <w:style w:type="character" w:customStyle="1" w:styleId="Heading5Char">
    <w:name w:val="Heading 5 Char"/>
    <w:basedOn w:val="DefaultParagraphFont"/>
    <w:link w:val="Heading5"/>
    <w:uiPriority w:val="9"/>
    <w:qFormat/>
    <w:rsid w:val="00374464"/>
    <w:rPr>
      <w:rFonts w:ascii="Times New Roman" w:eastAsia="Times New Roman" w:hAnsi="Times New Roman" w:cs="Times New Roman"/>
      <w:b/>
      <w:bCs/>
      <w:sz w:val="20"/>
      <w:szCs w:val="20"/>
      <w:lang w:val="zh-CN" w:eastAsia="zh-CN"/>
    </w:rPr>
  </w:style>
  <w:style w:type="character" w:customStyle="1" w:styleId="Heading6Char">
    <w:name w:val="Heading 6 Char"/>
    <w:basedOn w:val="DefaultParagraphFont"/>
    <w:link w:val="Heading6"/>
    <w:uiPriority w:val="9"/>
    <w:qFormat/>
    <w:rsid w:val="00374464"/>
    <w:rPr>
      <w:rFonts w:ascii="Times New Roman" w:eastAsia="Times New Roman" w:hAnsi="Times New Roman" w:cs="Times New Roman"/>
      <w:b/>
      <w:bCs/>
      <w:sz w:val="15"/>
      <w:szCs w:val="15"/>
      <w:lang w:val="zh-CN" w:eastAsia="zh-CN"/>
    </w:rPr>
  </w:style>
  <w:style w:type="character" w:styleId="Emphasis">
    <w:name w:val="Emphasis"/>
    <w:basedOn w:val="DefaultParagraphFont"/>
    <w:uiPriority w:val="20"/>
    <w:qFormat/>
    <w:rsid w:val="00374464"/>
    <w:rPr>
      <w:i/>
      <w:iCs/>
    </w:rPr>
  </w:style>
  <w:style w:type="paragraph" w:styleId="Footer">
    <w:name w:val="footer"/>
    <w:basedOn w:val="Normal"/>
    <w:link w:val="FooterChar"/>
    <w:uiPriority w:val="99"/>
    <w:unhideWhenUsed/>
    <w:qFormat/>
    <w:rsid w:val="0037446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74464"/>
    <w:rPr>
      <w:sz w:val="18"/>
      <w:szCs w:val="18"/>
      <w:lang w:val="zh-CN"/>
    </w:rPr>
  </w:style>
  <w:style w:type="paragraph" w:styleId="Header">
    <w:name w:val="header"/>
    <w:basedOn w:val="Normal"/>
    <w:link w:val="HeaderChar"/>
    <w:uiPriority w:val="99"/>
    <w:unhideWhenUsed/>
    <w:qFormat/>
    <w:rsid w:val="00374464"/>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374464"/>
    <w:rPr>
      <w:sz w:val="18"/>
      <w:szCs w:val="18"/>
      <w:lang w:val="zh-CN"/>
    </w:rPr>
  </w:style>
  <w:style w:type="character" w:styleId="HTMLCite">
    <w:name w:val="HTML Cite"/>
    <w:basedOn w:val="DefaultParagraphFont"/>
    <w:uiPriority w:val="99"/>
    <w:semiHidden/>
    <w:unhideWhenUsed/>
    <w:qFormat/>
    <w:rsid w:val="00374464"/>
    <w:rPr>
      <w:i/>
      <w:iCs/>
    </w:rPr>
  </w:style>
  <w:style w:type="character" w:styleId="Hyperlink">
    <w:name w:val="Hyperlink"/>
    <w:basedOn w:val="DefaultParagraphFont"/>
    <w:uiPriority w:val="99"/>
    <w:unhideWhenUsed/>
    <w:qFormat/>
    <w:rsid w:val="00374464"/>
    <w:rPr>
      <w:color w:val="0000FF"/>
      <w:u w:val="single"/>
    </w:rPr>
  </w:style>
  <w:style w:type="paragraph" w:styleId="NormalWeb">
    <w:name w:val="Normal (Web)"/>
    <w:basedOn w:val="Normal"/>
    <w:uiPriority w:val="99"/>
    <w:unhideWhenUsed/>
    <w:qFormat/>
    <w:rsid w:val="003744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374464"/>
    <w:rPr>
      <w:b/>
      <w:bCs/>
    </w:rPr>
  </w:style>
  <w:style w:type="table" w:styleId="TableGrid">
    <w:name w:val="Table Grid"/>
    <w:basedOn w:val="TableNormal"/>
    <w:uiPriority w:val="59"/>
    <w:qFormat/>
    <w:rsid w:val="0037446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qFormat/>
    <w:rsid w:val="00374464"/>
  </w:style>
  <w:style w:type="paragraph" w:styleId="ListParagraph">
    <w:name w:val="List Paragraph"/>
    <w:basedOn w:val="Normal"/>
    <w:uiPriority w:val="34"/>
    <w:qFormat/>
    <w:rsid w:val="00374464"/>
    <w:pPr>
      <w:ind w:left="720"/>
      <w:contextualSpacing/>
    </w:pPr>
  </w:style>
  <w:style w:type="paragraph" w:styleId="BalloonText">
    <w:name w:val="Balloon Text"/>
    <w:basedOn w:val="Normal"/>
    <w:link w:val="BalloonTextChar"/>
    <w:uiPriority w:val="99"/>
    <w:semiHidden/>
    <w:unhideWhenUsed/>
    <w:rsid w:val="00374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464"/>
    <w:rPr>
      <w:rFonts w:ascii="Tahoma" w:hAnsi="Tahoma" w:cs="Tahoma"/>
      <w:sz w:val="16"/>
      <w:szCs w:val="16"/>
      <w:lang w:val="zh-CN"/>
    </w:rPr>
  </w:style>
  <w:style w:type="character" w:customStyle="1" w:styleId="ff1">
    <w:name w:val="ff1"/>
    <w:basedOn w:val="DefaultParagraphFont"/>
    <w:rsid w:val="00374464"/>
  </w:style>
  <w:style w:type="table" w:customStyle="1" w:styleId="LightShading1">
    <w:name w:val="Light Shading1"/>
    <w:basedOn w:val="TableNormal"/>
    <w:next w:val="LightShading2"/>
    <w:uiPriority w:val="60"/>
    <w:qFormat/>
    <w:rsid w:val="00374464"/>
    <w:pPr>
      <w:spacing w:after="0" w:line="240" w:lineRule="auto"/>
    </w:pPr>
    <w:rPr>
      <w:rFonts w:ascii="Times New Roman" w:hAnsi="Times New Roman" w:cs="Times New Roman"/>
      <w:color w:val="000000"/>
      <w:sz w:val="20"/>
      <w:szCs w:val="20"/>
      <w:lang w:val="en-GB" w:eastAsia="en-GB"/>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374464"/>
    <w:pPr>
      <w:spacing w:after="0" w:line="240" w:lineRule="auto"/>
    </w:pPr>
    <w:rPr>
      <w:rFonts w:ascii="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s-1">
    <w:name w:val="ms-1"/>
    <w:basedOn w:val="DefaultParagraphFont"/>
    <w:rsid w:val="00374464"/>
  </w:style>
  <w:style w:type="character" w:customStyle="1" w:styleId="max-w-15ch">
    <w:name w:val="max-w-[15ch]"/>
    <w:basedOn w:val="DefaultParagraphFont"/>
    <w:rsid w:val="00374464"/>
  </w:style>
  <w:style w:type="character" w:customStyle="1" w:styleId="-me-1">
    <w:name w:val="-me-1"/>
    <w:basedOn w:val="DefaultParagraphFont"/>
    <w:rsid w:val="00374464"/>
  </w:style>
  <w:style w:type="character" w:customStyle="1" w:styleId="t286pc">
    <w:name w:val="t286pc"/>
    <w:basedOn w:val="DefaultParagraphFont"/>
    <w:rsid w:val="00374464"/>
  </w:style>
  <w:style w:type="character" w:customStyle="1" w:styleId="text-box-trim-both">
    <w:name w:val="text-box-trim-both"/>
    <w:basedOn w:val="DefaultParagraphFont"/>
    <w:rsid w:val="00374464"/>
  </w:style>
  <w:style w:type="character" w:customStyle="1" w:styleId="dtet0b">
    <w:name w:val="dtet0b"/>
    <w:basedOn w:val="DefaultParagraphFont"/>
    <w:rsid w:val="00374464"/>
  </w:style>
  <w:style w:type="character" w:customStyle="1" w:styleId="authors">
    <w:name w:val="authors"/>
    <w:basedOn w:val="DefaultParagraphFont"/>
    <w:rsid w:val="00F14BBA"/>
  </w:style>
  <w:style w:type="character" w:customStyle="1" w:styleId="UnresolvedMention1">
    <w:name w:val="Unresolved Mention1"/>
    <w:basedOn w:val="DefaultParagraphFont"/>
    <w:uiPriority w:val="99"/>
    <w:semiHidden/>
    <w:unhideWhenUsed/>
    <w:rsid w:val="00EE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journal/Fountain-Journal-of-Natural-and-Applied-Sciences-2354-337X?_tp=eyJjb250ZXh0Ijp7ImZpcnN0UGFnZSI6Il9kaXJlY3QiLCJwYWdlIjoicHVibGljYXRpb24iLCJwcmV2aW91c1BhZ2UiOiJfZGlyZWN0In1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13</Pages>
  <Words>5719</Words>
  <Characters>32602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dc:creator>
  <cp:lastModifiedBy>SDI 1089</cp:lastModifiedBy>
  <cp:revision>79</cp:revision>
  <dcterms:created xsi:type="dcterms:W3CDTF">2026-02-15T13:01:00Z</dcterms:created>
  <dcterms:modified xsi:type="dcterms:W3CDTF">2026-03-04T10:50:00Z</dcterms:modified>
</cp:coreProperties>
</file>