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910CB" w14:textId="5A4F66A2" w:rsidR="009A3ABD" w:rsidRDefault="009A3ABD" w:rsidP="001F6A66">
      <w:pPr>
        <w:spacing w:before="100" w:beforeAutospacing="1" w:after="100" w:afterAutospacing="1" w:line="360" w:lineRule="auto"/>
        <w:jc w:val="both"/>
        <w:rPr>
          <w:rFonts w:ascii="Times New Roman" w:eastAsia="Times New Roman" w:hAnsi="Times New Roman" w:cs="Times New Roman"/>
          <w:b/>
          <w:bCs/>
          <w:color w:val="auto"/>
          <w:sz w:val="36"/>
          <w:szCs w:val="36"/>
          <w:lang w:eastAsia="en-IN"/>
        </w:rPr>
      </w:pPr>
      <w:r w:rsidRPr="00C539F3">
        <w:rPr>
          <w:rFonts w:ascii="Times New Roman" w:eastAsia="Times New Roman" w:hAnsi="Times New Roman" w:cs="Times New Roman"/>
          <w:b/>
          <w:bCs/>
          <w:color w:val="auto"/>
          <w:sz w:val="36"/>
          <w:szCs w:val="36"/>
          <w:lang w:eastAsia="en-IN"/>
        </w:rPr>
        <w:t>A Cross-Sectional Study on Clinical and Laboratory Profile of Patients with Thrombocytopenia in a Tertiary Care Teaching Hospital</w:t>
      </w:r>
    </w:p>
    <w:p w14:paraId="11BE73A1" w14:textId="77777777" w:rsidR="008C4A22" w:rsidRDefault="008C4A22" w:rsidP="001F6A66">
      <w:pPr>
        <w:spacing w:before="100" w:beforeAutospacing="1" w:after="100" w:afterAutospacing="1"/>
        <w:jc w:val="both"/>
        <w:outlineLvl w:val="1"/>
        <w:rPr>
          <w:rFonts w:ascii="Times New Roman" w:eastAsia="Times New Roman" w:hAnsi="Times New Roman" w:cs="Times New Roman"/>
          <w:b/>
          <w:bCs/>
          <w:color w:val="auto"/>
          <w:sz w:val="32"/>
          <w:szCs w:val="32"/>
          <w:lang w:eastAsia="en-IN"/>
        </w:rPr>
      </w:pPr>
    </w:p>
    <w:p w14:paraId="49261822" w14:textId="4DC17551" w:rsidR="001F6A66" w:rsidRPr="00C539F3" w:rsidRDefault="001F6A66" w:rsidP="001F6A66">
      <w:pPr>
        <w:spacing w:before="100" w:beforeAutospacing="1" w:after="100" w:afterAutospacing="1"/>
        <w:jc w:val="both"/>
        <w:outlineLvl w:val="1"/>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ABSTRACT</w:t>
      </w:r>
    </w:p>
    <w:p w14:paraId="5578A8C4"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Background</w:t>
      </w:r>
    </w:p>
    <w:p w14:paraId="10EF4DEF"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Thrombocytopenia is a common hematological abnormality encountered in clinical practice and is associated with a wide spectrum of etiologies ranging from transient infections to chronic systemic disorders. The clinical significance of thrombocytopenia depends not only on platelet count but also on the underlying cause and platelet functional parameters. Platelet indices obtained from automated hematology analyzers may provide additional insights into the pathophysiology and bleeding risk in thrombocytopenic patients.</w:t>
      </w:r>
    </w:p>
    <w:p w14:paraId="478D7E6C"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Aim</w:t>
      </w:r>
    </w:p>
    <w:p w14:paraId="1A37E2B5"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To evaluate the clinical and laboratory profile of patients with thrombocytopenia and to assess the association between platelet count, platelet indices, and bleeding manifestations.</w:t>
      </w:r>
    </w:p>
    <w:p w14:paraId="6D00FBB0"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Materials and Methods</w:t>
      </w:r>
    </w:p>
    <w:p w14:paraId="59C48925"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This hospital-based cross-sectional observational study was conducted in the Department of General Medicine at a tertiary care teaching hospital over a period of 18 months. A total of 110 adult patients with platelet counts less than 100,000/µL were included. Detailed demographic and clinical data were recorded using a structured proforma. Laboratory evaluation included complete blood count with platelet indices—mean platelet volume (MPV), platelet distribution width (PDW), plateletcrit (PCT), and platelet large cell ratio (P-LCR). Etiological investigations were performed as clinically indicated. Statistical analysis was carried out using SPSS software, and associations were assessed using appropriate inferential tests, with a p-value &lt;0.05 considered statistically significant.</w:t>
      </w:r>
    </w:p>
    <w:p w14:paraId="63CE342B"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Results</w:t>
      </w:r>
    </w:p>
    <w:p w14:paraId="78B44CC1"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lastRenderedPageBreak/>
        <w:t>The majority of patients were aged 31–45 years with a male predominance. Fever was the most common presenting symptom (70.9%), and bleeding manifestations were observed in 34.5% of patients. Dengue fever was the leading cause of thrombocytopenia (35.5%), followed by sepsis and malaria. Bleeding manifestations were significantly associated with severe thrombocytopenia (&lt;20,000/µL; p&lt;0.001). Patients with bleeding had significantly higher MPV and PDW and lower PCT compared to those without bleeding.</w:t>
      </w:r>
    </w:p>
    <w:p w14:paraId="37F180F9"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Conclusion</w:t>
      </w:r>
    </w:p>
    <w:p w14:paraId="46EDA9D9" w14:textId="77777777" w:rsid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Thrombocytopenia is predominantly caused by infectious etiologies in tropical regions. Platelet indices, in addition to platelet count, serve as valuable adjunctive markers for assessing bleeding risk and underlying mechanisms, aiding in improved clinical evaluation and management</w:t>
      </w:r>
    </w:p>
    <w:p w14:paraId="2699B80F" w14:textId="13C906F2"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b/>
          <w:bCs/>
          <w:color w:val="auto"/>
          <w:sz w:val="24"/>
          <w:szCs w:val="24"/>
          <w:lang w:eastAsia="en-IN"/>
        </w:rPr>
        <w:t>Keywords:</w:t>
      </w:r>
      <w:r w:rsidRPr="001F6A66">
        <w:rPr>
          <w:rFonts w:ascii="Times New Roman" w:eastAsia="Times New Roman" w:hAnsi="Times New Roman" w:cs="Times New Roman"/>
          <w:color w:val="auto"/>
          <w:sz w:val="24"/>
          <w:szCs w:val="24"/>
          <w:lang w:eastAsia="en-IN"/>
        </w:rPr>
        <w:br/>
      </w:r>
      <w:r w:rsidR="00162578" w:rsidRPr="00162578">
        <w:rPr>
          <w:rFonts w:ascii="Times New Roman" w:eastAsia="Times New Roman" w:hAnsi="Times New Roman" w:cs="Times New Roman"/>
          <w:color w:val="auto"/>
          <w:sz w:val="24"/>
          <w:szCs w:val="24"/>
          <w:highlight w:val="yellow"/>
          <w:lang w:eastAsia="en-IN"/>
        </w:rPr>
        <w:t xml:space="preserve">Bleeding manifestations, Dengue fever, Mean platelet volume, Platelet indices, </w:t>
      </w:r>
      <w:r w:rsidRPr="00162578">
        <w:rPr>
          <w:rFonts w:ascii="Times New Roman" w:eastAsia="Times New Roman" w:hAnsi="Times New Roman" w:cs="Times New Roman"/>
          <w:color w:val="auto"/>
          <w:sz w:val="24"/>
          <w:szCs w:val="24"/>
          <w:highlight w:val="yellow"/>
          <w:lang w:eastAsia="en-IN"/>
        </w:rPr>
        <w:t>Thrombocytopenia</w:t>
      </w:r>
      <w:r w:rsidR="00162578" w:rsidRPr="00162578">
        <w:rPr>
          <w:rFonts w:ascii="Times New Roman" w:eastAsia="Times New Roman" w:hAnsi="Times New Roman" w:cs="Times New Roman"/>
          <w:color w:val="auto"/>
          <w:sz w:val="24"/>
          <w:szCs w:val="24"/>
          <w:highlight w:val="yellow"/>
          <w:lang w:eastAsia="en-IN"/>
        </w:rPr>
        <w:t>,</w:t>
      </w:r>
      <w:r w:rsidR="00162578">
        <w:rPr>
          <w:rFonts w:ascii="Times New Roman" w:eastAsia="Times New Roman" w:hAnsi="Times New Roman" w:cs="Times New Roman"/>
          <w:color w:val="auto"/>
          <w:sz w:val="24"/>
          <w:szCs w:val="24"/>
          <w:lang w:eastAsia="en-IN"/>
        </w:rPr>
        <w:t xml:space="preserve"> </w:t>
      </w:r>
    </w:p>
    <w:p w14:paraId="0F9BDEAF" w14:textId="77777777" w:rsidR="009A3ABD" w:rsidRPr="00C539F3" w:rsidRDefault="009A3ABD" w:rsidP="001F6A66">
      <w:pPr>
        <w:spacing w:before="100" w:beforeAutospacing="1" w:after="100" w:afterAutospacing="1" w:line="360" w:lineRule="auto"/>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INTRODUCTION</w:t>
      </w:r>
    </w:p>
    <w:p w14:paraId="69BA9BAA"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Thrombocytopenia is one of the most frequently encountered hematological abnormalities in clinical practice and is defined as a reduction in peripheral blood platelet count below 150,000/mm³. Platelets play a crucial role in primary hemostasis, and a reduction in their number may predispose individuals to bleeding manifestations ranging from minor petechiae to life-threatening hemorrhage. However, the severity of bleeding does not always correlate directly with platelet count, emphasizing the need for a comprehensive clinical and laboratory evaluation in affected patients.¹</w:t>
      </w:r>
    </w:p>
    <w:p w14:paraId="36F2BC86"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The pathophysiology of thrombocytopenia can broadly be attributed to four major mechanisms: decreased platelet production in the bone marrow, increased platelet destruction, abnormal platelet distribution or sequestration (commonly in splenomegaly), and pseudothrombocytopenia due to laboratory artifacts.²˒³ A wide spectrum of conditions including infections, nutritional deficiencies, autoimmune disorders, chronic liver disease, malignancies, and drug-induced causes contribute to thrombocytopenia, making it a diagnostic challenge for clinicians.⁴</w:t>
      </w:r>
    </w:p>
    <w:p w14:paraId="19372C83"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lastRenderedPageBreak/>
        <w:t>In tropical countries like India, thrombocytopenia is frequently associated with acute febrile illnesses, particularly infectious diseases such as dengue fever, malaria, enteric fever, and septicemia. Dengue fever has emerged as one of the leading causes of thrombocytopenia, especially during seasonal outbreaks, and is often associated with significant morbidity.⁵ Several studies have demonstrated that a large proportion of patients with thrombocytopenia present without overt bleeding manifestations, even at markedly low platelet counts.⁶ This highlights the importance of identifying reliable laboratory parameters that can predict bleeding risk and guide appropriate platelet transfusion strategies.</w:t>
      </w:r>
    </w:p>
    <w:p w14:paraId="74B34A2B"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Recent advances in automated hematology analyzers have enabled the assessment of platelet indices such as mean platelet volume (MPV), platelet distribution width (PDW), plateletcrit (PCT), and platelet large cell ratio (P-LCR). These indices provide valuable insights into platelet production and destruction mechanisms and may help differentiate between various etiologies of thrombocytopenia without the need for invasive procedures like bone marrow examination.⁷˒⁸</w:t>
      </w:r>
    </w:p>
    <w:p w14:paraId="1D3156C0"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Despite numerous studies evaluating thrombocytopenia, regional variations in aetiology, clinical presentation, and laboratory profiles necessitate localized data to improve diagnostic accuracy and patient outcomes. Hence, this study aims to evaluate the clinical features, etiological factors, and laboratory parameters of patients with thrombocytopenia presenting to a tertiary care teaching hospital, and to analyse their association with bleeding manifestations.</w:t>
      </w:r>
    </w:p>
    <w:p w14:paraId="08D9B26F"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The aim of this study is to evaluate the clinical and laboratory profile of patients presenting with thrombocytopenia at a tertiary care teaching hospital. The objectives include assessment of demographic characteristics and clinical features such as fever, bleeding manifestations, organomegaly, and associated comorbid conditions; evaluation of haematological parameters including platelet count, platelet indices (mean platelet volume, platelet distribution width, platelet</w:t>
      </w:r>
      <w:r>
        <w:rPr>
          <w:rFonts w:ascii="Times New Roman" w:eastAsia="Times New Roman" w:hAnsi="Times New Roman" w:cs="Times New Roman"/>
          <w:color w:val="auto"/>
          <w:sz w:val="24"/>
          <w:szCs w:val="24"/>
          <w:lang w:eastAsia="en-IN"/>
        </w:rPr>
        <w:t xml:space="preserve"> </w:t>
      </w:r>
      <w:r w:rsidRPr="009A3ABD">
        <w:rPr>
          <w:rFonts w:ascii="Times New Roman" w:eastAsia="Times New Roman" w:hAnsi="Times New Roman" w:cs="Times New Roman"/>
          <w:color w:val="auto"/>
          <w:sz w:val="24"/>
          <w:szCs w:val="24"/>
          <w:lang w:eastAsia="en-IN"/>
        </w:rPr>
        <w:t>crit, and platelet large cell ratio); analysis of relevant biochemical and immunological investigations such as liver and renal function tests, vitamin B12 levels, viral markers, and autoimmune profiles where indicated; and to determine the association between platelet count, platelet indices, and bleeding manifestations in order to identify prognostic indicators and aid in appropriate clinical management of thrombocytopenia</w:t>
      </w:r>
    </w:p>
    <w:p w14:paraId="229F0605"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49B6C269" w14:textId="77777777" w:rsidR="009A3ABD" w:rsidRPr="00C539F3" w:rsidRDefault="009A3ABD" w:rsidP="001F6A66">
      <w:pPr>
        <w:spacing w:line="360" w:lineRule="auto"/>
        <w:jc w:val="both"/>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 xml:space="preserve">METHODOLOGY </w:t>
      </w:r>
    </w:p>
    <w:p w14:paraId="034D12C3"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p>
    <w:p w14:paraId="3ED5636F"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Study Design and Setting</w:t>
      </w:r>
    </w:p>
    <w:p w14:paraId="1B5473B1"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This was a hospital-based cross-sectional observational study conducted in the Department of General Medicine at KVG Medical College and Hospital, Sullia, Karnataka. The study duration was 18 months, from June 2023 to November 2024. Prior to commencement, ethical clearance was obtained from the Institutional Ethics Committee. The study was conducted in accordance with the ethical principles outlined in the Declaration of Helsinki. Written informed consent was obtained from all participants before enrolment.</w:t>
      </w:r>
    </w:p>
    <w:p w14:paraId="11E71A08"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69DE5861"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Participants and Eligibility Criteria</w:t>
      </w:r>
    </w:p>
    <w:p w14:paraId="11F17947"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The study population included adult patients aged 18 years and above who presented to the outpatient or inpatient services and were found to have thrombocytopenia on routine hematological evaluation. Thrombocytopenia was operationally defined as a platelet count less than 100,000/µL measured using an automated hematology analyzer. Patients with known inherited platelet disorders, previously diagnosed hematological malignancies, those receiving chemotherapy or radiotherapy, pregnant women, and patients unwilling or unable to provide informed consent were excluded from the study. A total of 110 eligible patients were included using purposive sampling.</w:t>
      </w:r>
    </w:p>
    <w:p w14:paraId="77C64BD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0D578585"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Variables and Definitions</w:t>
      </w:r>
    </w:p>
    <w:p w14:paraId="71A9E4B4"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The primary outcome variable was thrombocytopenia. Secondary variables included demographic parameters (age, sex), clinical features (fever, fatigue, bleeding manifestations, organomegaly), laboratory parameters, and etiological factors. Bleeding manifestations were classified as mucocutaneous (petechiae, purpura, epistaxis, gum bleeding), gastrointestinal, genitourinary, or intracranial bleeding. Platelet indices studied included mean platelet volume (MPV), platelet distribution width (PDW), plateletcrit (PCT), and platelet large cell ratio (P-LCR), which were used to assess platelet production and destruction patterns.</w:t>
      </w:r>
    </w:p>
    <w:p w14:paraId="1DB7BFBC"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2D4349F8"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Data Sources and Measurement</w:t>
      </w:r>
    </w:p>
    <w:p w14:paraId="09796B3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Data were collected using a pre-designed, structured proforma. A detailed clinical history was obtained focusing on presenting complaints, duration of illness, drug history (including antiplatelet and anticoagulant use), alcohol intake, and associated comorbid conditions such as chronic liver disease and autoimmune disorders. General and systemic examinations were </w:t>
      </w:r>
      <w:r w:rsidRPr="009A3ABD">
        <w:rPr>
          <w:rFonts w:ascii="Times New Roman" w:eastAsia="Times New Roman" w:hAnsi="Times New Roman" w:cs="Times New Roman"/>
          <w:color w:val="auto"/>
          <w:sz w:val="24"/>
          <w:szCs w:val="24"/>
          <w:lang w:eastAsia="en-IN"/>
        </w:rPr>
        <w:lastRenderedPageBreak/>
        <w:t>conducted with emphasis on pallor, petechiae, lymphadenopathy, hepatomegaly, and splenomegaly.</w:t>
      </w:r>
    </w:p>
    <w:p w14:paraId="1211DDD7"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Laboratory investigations included complete blood count with platelet indices using an automated hematology analyzer. Peripheral blood smear examination was performed in all cases to confirm thrombocytopenia and evaluate platelet morphology. Additional investigations such as liver function tests, renal function tests, coagulation profile, and ultrasonography of the abdomen were performed as part of routine evaluation. Etiological investigations including dengue serology, malarial tests, viral markers (HBsAg, anti-HCV, HIV), vitamin B12 levels, autoimmune markers, and bone marrow examination were carried out where clinically indicated.</w:t>
      </w:r>
    </w:p>
    <w:p w14:paraId="52784CEF"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6C2C3FC4"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Bias and Study Size</w:t>
      </w:r>
    </w:p>
    <w:p w14:paraId="78974553"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To minimize selection and measurement bias, uniform inclusion criteria and standardized data collection methods were used. All laboratory investigations were performed in the same institutional laboratory using calibrated equipment. The study size was determined based on feasibility and the number of eligible patients presenting during the study period.</w:t>
      </w:r>
    </w:p>
    <w:p w14:paraId="5E4B7C8F"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10F65A16"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Statistical Analysis</w:t>
      </w:r>
    </w:p>
    <w:p w14:paraId="55EAB33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Data were entered into Microsoft Excel and analyzed using Statistical Package for the Social Sciences (SPSS) software. Continuous variables were summarized using mean and standard deviation or median and interquartile range, while categorical variables were expressed as frequencies and percentages. Associations between platelet count, platelet indices, and bleeding manifestations were assessed using appropriate inferential statistical tests. A p-value of less than 0.05 was considered statistically significant.</w:t>
      </w:r>
    </w:p>
    <w:p w14:paraId="27E9374B"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38FAFF94" w14:textId="5F345F0D" w:rsidR="009A3ABD" w:rsidRPr="009A3ABD" w:rsidRDefault="00C539F3" w:rsidP="001F6A66">
      <w:pPr>
        <w:spacing w:before="100" w:beforeAutospacing="1" w:after="100" w:afterAutospacing="1" w:line="360" w:lineRule="auto"/>
        <w:jc w:val="left"/>
        <w:outlineLvl w:val="1"/>
        <w:rPr>
          <w:rFonts w:ascii="Times New Roman" w:eastAsia="Times New Roman" w:hAnsi="Times New Roman" w:cs="Times New Roman"/>
          <w:b/>
          <w:bCs/>
          <w:color w:val="auto"/>
          <w:sz w:val="32"/>
          <w:szCs w:val="32"/>
          <w:lang w:eastAsia="en-IN"/>
        </w:rPr>
      </w:pPr>
      <w:r w:rsidRPr="009A3ABD">
        <w:rPr>
          <w:rFonts w:ascii="Times New Roman" w:eastAsia="Times New Roman" w:hAnsi="Times New Roman" w:cs="Times New Roman"/>
          <w:b/>
          <w:bCs/>
          <w:color w:val="auto"/>
          <w:sz w:val="32"/>
          <w:szCs w:val="32"/>
          <w:lang w:eastAsia="en-IN"/>
        </w:rPr>
        <w:t>RESULTS</w:t>
      </w:r>
    </w:p>
    <w:p w14:paraId="102BA79C"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1: Demographic Characteristics of Study Participants (n = 110)</w:t>
      </w:r>
    </w:p>
    <w:tbl>
      <w:tblPr>
        <w:tblStyle w:val="PlainTable1"/>
        <w:tblW w:w="0" w:type="auto"/>
        <w:tblLook w:val="04A0" w:firstRow="1" w:lastRow="0" w:firstColumn="1" w:lastColumn="0" w:noHBand="0" w:noVBand="1"/>
      </w:tblPr>
      <w:tblGrid>
        <w:gridCol w:w="1383"/>
        <w:gridCol w:w="1163"/>
        <w:gridCol w:w="1423"/>
        <w:gridCol w:w="1809"/>
      </w:tblGrid>
      <w:tr w:rsidR="009A3ABD" w:rsidRPr="009A3ABD" w14:paraId="55B8B022"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C9D327"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Variable</w:t>
            </w:r>
          </w:p>
        </w:tc>
        <w:tc>
          <w:tcPr>
            <w:tcW w:w="0" w:type="auto"/>
            <w:hideMark/>
          </w:tcPr>
          <w:p w14:paraId="5AB663F2"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Category</w:t>
            </w:r>
          </w:p>
        </w:tc>
        <w:tc>
          <w:tcPr>
            <w:tcW w:w="0" w:type="auto"/>
            <w:hideMark/>
          </w:tcPr>
          <w:p w14:paraId="22252098"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05602D5B"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r>
      <w:tr w:rsidR="009A3ABD" w:rsidRPr="009A3ABD" w14:paraId="358F2A17"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49EB69"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Age (years)</w:t>
            </w:r>
          </w:p>
        </w:tc>
        <w:tc>
          <w:tcPr>
            <w:tcW w:w="0" w:type="auto"/>
            <w:hideMark/>
          </w:tcPr>
          <w:p w14:paraId="13D8D392"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18–30</w:t>
            </w:r>
          </w:p>
        </w:tc>
        <w:tc>
          <w:tcPr>
            <w:tcW w:w="0" w:type="auto"/>
            <w:hideMark/>
          </w:tcPr>
          <w:p w14:paraId="003932E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28</w:t>
            </w:r>
          </w:p>
        </w:tc>
        <w:tc>
          <w:tcPr>
            <w:tcW w:w="0" w:type="auto"/>
            <w:hideMark/>
          </w:tcPr>
          <w:p w14:paraId="2D627780"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25.5</w:t>
            </w:r>
          </w:p>
        </w:tc>
      </w:tr>
      <w:tr w:rsidR="009A3ABD" w:rsidRPr="009A3ABD" w14:paraId="2E9983CC"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504E8C3F"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7067293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31–45</w:t>
            </w:r>
          </w:p>
        </w:tc>
        <w:tc>
          <w:tcPr>
            <w:tcW w:w="0" w:type="auto"/>
            <w:hideMark/>
          </w:tcPr>
          <w:p w14:paraId="40A45AF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36</w:t>
            </w:r>
          </w:p>
        </w:tc>
        <w:tc>
          <w:tcPr>
            <w:tcW w:w="0" w:type="auto"/>
            <w:hideMark/>
          </w:tcPr>
          <w:p w14:paraId="7C42ED60"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32.7</w:t>
            </w:r>
          </w:p>
        </w:tc>
      </w:tr>
      <w:tr w:rsidR="009A3ABD" w:rsidRPr="009A3ABD" w14:paraId="50911D9F"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61EFC4"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1238170F"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46–60</w:t>
            </w:r>
          </w:p>
        </w:tc>
        <w:tc>
          <w:tcPr>
            <w:tcW w:w="0" w:type="auto"/>
            <w:hideMark/>
          </w:tcPr>
          <w:p w14:paraId="0CD960A9"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29</w:t>
            </w:r>
          </w:p>
        </w:tc>
        <w:tc>
          <w:tcPr>
            <w:tcW w:w="0" w:type="auto"/>
            <w:hideMark/>
          </w:tcPr>
          <w:p w14:paraId="0A5DEE7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26.4</w:t>
            </w:r>
          </w:p>
        </w:tc>
      </w:tr>
      <w:tr w:rsidR="009A3ABD" w:rsidRPr="009A3ABD" w14:paraId="2F9E93A0"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6A2A3BEB"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71499A6F"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&gt;60</w:t>
            </w:r>
          </w:p>
        </w:tc>
        <w:tc>
          <w:tcPr>
            <w:tcW w:w="0" w:type="auto"/>
            <w:hideMark/>
          </w:tcPr>
          <w:p w14:paraId="2FB67C07"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17</w:t>
            </w:r>
          </w:p>
        </w:tc>
        <w:tc>
          <w:tcPr>
            <w:tcW w:w="0" w:type="auto"/>
            <w:hideMark/>
          </w:tcPr>
          <w:p w14:paraId="06C0DB0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15.4</w:t>
            </w:r>
          </w:p>
        </w:tc>
      </w:tr>
      <w:tr w:rsidR="009A3ABD" w:rsidRPr="009A3ABD" w14:paraId="1D3A23A1"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9227EE"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Gender</w:t>
            </w:r>
          </w:p>
        </w:tc>
        <w:tc>
          <w:tcPr>
            <w:tcW w:w="0" w:type="auto"/>
            <w:hideMark/>
          </w:tcPr>
          <w:p w14:paraId="0F12C84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Male</w:t>
            </w:r>
          </w:p>
        </w:tc>
        <w:tc>
          <w:tcPr>
            <w:tcW w:w="0" w:type="auto"/>
            <w:hideMark/>
          </w:tcPr>
          <w:p w14:paraId="5E992394"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68</w:t>
            </w:r>
          </w:p>
        </w:tc>
        <w:tc>
          <w:tcPr>
            <w:tcW w:w="0" w:type="auto"/>
            <w:hideMark/>
          </w:tcPr>
          <w:p w14:paraId="33F6C6EC"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61.8</w:t>
            </w:r>
          </w:p>
        </w:tc>
      </w:tr>
      <w:tr w:rsidR="009A3ABD" w:rsidRPr="009A3ABD" w14:paraId="224FE687"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5A758D6F"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6ABFD32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Female</w:t>
            </w:r>
          </w:p>
        </w:tc>
        <w:tc>
          <w:tcPr>
            <w:tcW w:w="0" w:type="auto"/>
            <w:hideMark/>
          </w:tcPr>
          <w:p w14:paraId="5C13AA33"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42</w:t>
            </w:r>
          </w:p>
        </w:tc>
        <w:tc>
          <w:tcPr>
            <w:tcW w:w="0" w:type="auto"/>
            <w:hideMark/>
          </w:tcPr>
          <w:p w14:paraId="7975411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38.2</w:t>
            </w:r>
          </w:p>
        </w:tc>
      </w:tr>
    </w:tbl>
    <w:p w14:paraId="6E4B9F95"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6360F76"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2: Clinical Presentation of Patients with Thrombocytopenia</w:t>
      </w:r>
    </w:p>
    <w:tbl>
      <w:tblPr>
        <w:tblStyle w:val="PlainTable1"/>
        <w:tblW w:w="0" w:type="auto"/>
        <w:tblLook w:val="04A0" w:firstRow="1" w:lastRow="0" w:firstColumn="1" w:lastColumn="0" w:noHBand="0" w:noVBand="1"/>
      </w:tblPr>
      <w:tblGrid>
        <w:gridCol w:w="3823"/>
        <w:gridCol w:w="1423"/>
        <w:gridCol w:w="1809"/>
      </w:tblGrid>
      <w:tr w:rsidR="009A3ABD" w:rsidRPr="009A3ABD" w14:paraId="31A0D8C1"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FC1748"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Clinical Feature</w:t>
            </w:r>
          </w:p>
        </w:tc>
        <w:tc>
          <w:tcPr>
            <w:tcW w:w="0" w:type="auto"/>
            <w:hideMark/>
          </w:tcPr>
          <w:p w14:paraId="5C15F0D5"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50C506C0"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r>
      <w:tr w:rsidR="009A3ABD" w:rsidRPr="009A3ABD" w14:paraId="595158F3"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A83843"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Fever</w:t>
            </w:r>
          </w:p>
        </w:tc>
        <w:tc>
          <w:tcPr>
            <w:tcW w:w="0" w:type="auto"/>
            <w:hideMark/>
          </w:tcPr>
          <w:p w14:paraId="0A831525"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78</w:t>
            </w:r>
          </w:p>
        </w:tc>
        <w:tc>
          <w:tcPr>
            <w:tcW w:w="0" w:type="auto"/>
            <w:hideMark/>
          </w:tcPr>
          <w:p w14:paraId="61CEE5C3"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70.9</w:t>
            </w:r>
          </w:p>
        </w:tc>
      </w:tr>
      <w:tr w:rsidR="009A3ABD" w:rsidRPr="009A3ABD" w14:paraId="6305C58C"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20CE3B25"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Generalized weakness</w:t>
            </w:r>
          </w:p>
        </w:tc>
        <w:tc>
          <w:tcPr>
            <w:tcW w:w="0" w:type="auto"/>
            <w:hideMark/>
          </w:tcPr>
          <w:p w14:paraId="22BFBE41"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64</w:t>
            </w:r>
          </w:p>
        </w:tc>
        <w:tc>
          <w:tcPr>
            <w:tcW w:w="0" w:type="auto"/>
            <w:hideMark/>
          </w:tcPr>
          <w:p w14:paraId="30F285D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58.2</w:t>
            </w:r>
          </w:p>
        </w:tc>
      </w:tr>
      <w:tr w:rsidR="009A3ABD" w:rsidRPr="009A3ABD" w14:paraId="3C9F75D0"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788564"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manifestations</w:t>
            </w:r>
          </w:p>
        </w:tc>
        <w:tc>
          <w:tcPr>
            <w:tcW w:w="0" w:type="auto"/>
            <w:hideMark/>
          </w:tcPr>
          <w:p w14:paraId="7DA23EF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38</w:t>
            </w:r>
          </w:p>
        </w:tc>
        <w:tc>
          <w:tcPr>
            <w:tcW w:w="0" w:type="auto"/>
            <w:hideMark/>
          </w:tcPr>
          <w:p w14:paraId="5457853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34.5</w:t>
            </w:r>
          </w:p>
        </w:tc>
      </w:tr>
      <w:tr w:rsidR="009A3ABD" w:rsidRPr="009A3ABD" w14:paraId="00A096D7"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4C7781AE"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Petechiae / Purpura</w:t>
            </w:r>
          </w:p>
        </w:tc>
        <w:tc>
          <w:tcPr>
            <w:tcW w:w="0" w:type="auto"/>
            <w:hideMark/>
          </w:tcPr>
          <w:p w14:paraId="1FB6D73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26</w:t>
            </w:r>
          </w:p>
        </w:tc>
        <w:tc>
          <w:tcPr>
            <w:tcW w:w="0" w:type="auto"/>
            <w:hideMark/>
          </w:tcPr>
          <w:p w14:paraId="446C0FA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23.6</w:t>
            </w:r>
          </w:p>
        </w:tc>
      </w:tr>
      <w:tr w:rsidR="009A3ABD" w:rsidRPr="009A3ABD" w14:paraId="3D95AAD9"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C7798B"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Epistaxis / Gum bleeding</w:t>
            </w:r>
          </w:p>
        </w:tc>
        <w:tc>
          <w:tcPr>
            <w:tcW w:w="0" w:type="auto"/>
            <w:hideMark/>
          </w:tcPr>
          <w:p w14:paraId="1E8E8F42"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w:t>
            </w:r>
          </w:p>
        </w:tc>
        <w:tc>
          <w:tcPr>
            <w:tcW w:w="0" w:type="auto"/>
            <w:hideMark/>
          </w:tcPr>
          <w:p w14:paraId="5E1A9A13"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16.4</w:t>
            </w:r>
          </w:p>
        </w:tc>
      </w:tr>
      <w:tr w:rsidR="009A3ABD" w:rsidRPr="009A3ABD" w14:paraId="4162F87D"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31C82432"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Gastrointestinal bleeding</w:t>
            </w:r>
          </w:p>
        </w:tc>
        <w:tc>
          <w:tcPr>
            <w:tcW w:w="0" w:type="auto"/>
            <w:hideMark/>
          </w:tcPr>
          <w:p w14:paraId="66215213"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w:t>
            </w:r>
          </w:p>
        </w:tc>
        <w:tc>
          <w:tcPr>
            <w:tcW w:w="0" w:type="auto"/>
            <w:hideMark/>
          </w:tcPr>
          <w:p w14:paraId="2756A0C9"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6.4</w:t>
            </w:r>
          </w:p>
        </w:tc>
      </w:tr>
      <w:tr w:rsidR="009A3ABD" w:rsidRPr="009A3ABD" w14:paraId="5B50AEE6"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3B977"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Headache / Neurological symptoms</w:t>
            </w:r>
          </w:p>
        </w:tc>
        <w:tc>
          <w:tcPr>
            <w:tcW w:w="0" w:type="auto"/>
            <w:hideMark/>
          </w:tcPr>
          <w:p w14:paraId="174ECCD8"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w:t>
            </w:r>
          </w:p>
        </w:tc>
        <w:tc>
          <w:tcPr>
            <w:tcW w:w="0" w:type="auto"/>
            <w:hideMark/>
          </w:tcPr>
          <w:p w14:paraId="4515404D"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8.2</w:t>
            </w:r>
          </w:p>
        </w:tc>
      </w:tr>
      <w:tr w:rsidR="009A3ABD" w:rsidRPr="009A3ABD" w14:paraId="560F3E1F"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4152A118"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Hepatomegaly</w:t>
            </w:r>
          </w:p>
        </w:tc>
        <w:tc>
          <w:tcPr>
            <w:tcW w:w="0" w:type="auto"/>
            <w:hideMark/>
          </w:tcPr>
          <w:p w14:paraId="19FAF30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21</w:t>
            </w:r>
          </w:p>
        </w:tc>
        <w:tc>
          <w:tcPr>
            <w:tcW w:w="0" w:type="auto"/>
            <w:hideMark/>
          </w:tcPr>
          <w:p w14:paraId="4B494CAC"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19.1</w:t>
            </w:r>
          </w:p>
        </w:tc>
      </w:tr>
      <w:tr w:rsidR="009A3ABD" w:rsidRPr="009A3ABD" w14:paraId="1EFE2451"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CF0AB9"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Splenomegaly</w:t>
            </w:r>
          </w:p>
        </w:tc>
        <w:tc>
          <w:tcPr>
            <w:tcW w:w="0" w:type="auto"/>
            <w:hideMark/>
          </w:tcPr>
          <w:p w14:paraId="1EDB1E6C"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27</w:t>
            </w:r>
          </w:p>
        </w:tc>
        <w:tc>
          <w:tcPr>
            <w:tcW w:w="0" w:type="auto"/>
            <w:hideMark/>
          </w:tcPr>
          <w:p w14:paraId="572AC616"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24.5</w:t>
            </w:r>
          </w:p>
        </w:tc>
      </w:tr>
    </w:tbl>
    <w:p w14:paraId="16C4079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7964600E"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3: Distribution of Platelet Count at Presentation</w:t>
      </w:r>
    </w:p>
    <w:tbl>
      <w:tblPr>
        <w:tblStyle w:val="PlainTable1"/>
        <w:tblW w:w="0" w:type="auto"/>
        <w:tblLook w:val="04A0" w:firstRow="1" w:lastRow="0" w:firstColumn="1" w:lastColumn="0" w:noHBand="0" w:noVBand="1"/>
      </w:tblPr>
      <w:tblGrid>
        <w:gridCol w:w="2274"/>
        <w:gridCol w:w="1423"/>
        <w:gridCol w:w="1809"/>
      </w:tblGrid>
      <w:tr w:rsidR="009A3ABD" w:rsidRPr="009A3ABD" w14:paraId="723E2A06"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C5F35F"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Count (/µL)</w:t>
            </w:r>
          </w:p>
        </w:tc>
        <w:tc>
          <w:tcPr>
            <w:tcW w:w="0" w:type="auto"/>
            <w:hideMark/>
          </w:tcPr>
          <w:p w14:paraId="371647C6"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6CCC3C9C"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r>
      <w:tr w:rsidR="009A3ABD" w:rsidRPr="009A3ABD" w14:paraId="6AD7D3A4"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DF2409"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&lt;20,000</w:t>
            </w:r>
          </w:p>
        </w:tc>
        <w:tc>
          <w:tcPr>
            <w:tcW w:w="0" w:type="auto"/>
            <w:hideMark/>
          </w:tcPr>
          <w:p w14:paraId="6C7650D9"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14</w:t>
            </w:r>
          </w:p>
        </w:tc>
        <w:tc>
          <w:tcPr>
            <w:tcW w:w="0" w:type="auto"/>
            <w:hideMark/>
          </w:tcPr>
          <w:p w14:paraId="12087E09"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12.7</w:t>
            </w:r>
          </w:p>
        </w:tc>
      </w:tr>
      <w:tr w:rsidR="009A3ABD" w:rsidRPr="009A3ABD" w14:paraId="7BCC01B5"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74DF3981"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20,000–50,000</w:t>
            </w:r>
          </w:p>
        </w:tc>
        <w:tc>
          <w:tcPr>
            <w:tcW w:w="0" w:type="auto"/>
            <w:hideMark/>
          </w:tcPr>
          <w:p w14:paraId="32ADFEA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w:t>
            </w:r>
          </w:p>
        </w:tc>
        <w:tc>
          <w:tcPr>
            <w:tcW w:w="0" w:type="auto"/>
            <w:hideMark/>
          </w:tcPr>
          <w:p w14:paraId="58101394"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29.1</w:t>
            </w:r>
          </w:p>
        </w:tc>
      </w:tr>
      <w:tr w:rsidR="009A3ABD" w:rsidRPr="009A3ABD" w14:paraId="702F6939"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6A8100"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50,001–75,000</w:t>
            </w:r>
          </w:p>
        </w:tc>
        <w:tc>
          <w:tcPr>
            <w:tcW w:w="0" w:type="auto"/>
            <w:hideMark/>
          </w:tcPr>
          <w:p w14:paraId="7CE3CDC4"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36</w:t>
            </w:r>
          </w:p>
        </w:tc>
        <w:tc>
          <w:tcPr>
            <w:tcW w:w="0" w:type="auto"/>
            <w:hideMark/>
          </w:tcPr>
          <w:p w14:paraId="4A59C034"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32.7</w:t>
            </w:r>
          </w:p>
        </w:tc>
      </w:tr>
      <w:tr w:rsidR="009A3ABD" w:rsidRPr="009A3ABD" w14:paraId="2FAC164A"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65E4A3D8"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75,001–100,000</w:t>
            </w:r>
          </w:p>
        </w:tc>
        <w:tc>
          <w:tcPr>
            <w:tcW w:w="0" w:type="auto"/>
            <w:hideMark/>
          </w:tcPr>
          <w:p w14:paraId="0F6E844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28</w:t>
            </w:r>
          </w:p>
        </w:tc>
        <w:tc>
          <w:tcPr>
            <w:tcW w:w="0" w:type="auto"/>
            <w:hideMark/>
          </w:tcPr>
          <w:p w14:paraId="1DD5D72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25.5</w:t>
            </w:r>
          </w:p>
        </w:tc>
      </w:tr>
    </w:tbl>
    <w:p w14:paraId="77DFD8E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1918683"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4: Etiological Distribution of Thrombocytopenia</w:t>
      </w:r>
    </w:p>
    <w:tbl>
      <w:tblPr>
        <w:tblStyle w:val="PlainTable1"/>
        <w:tblW w:w="0" w:type="auto"/>
        <w:tblLook w:val="04A0" w:firstRow="1" w:lastRow="0" w:firstColumn="1" w:lastColumn="0" w:noHBand="0" w:noVBand="1"/>
      </w:tblPr>
      <w:tblGrid>
        <w:gridCol w:w="3023"/>
        <w:gridCol w:w="1423"/>
        <w:gridCol w:w="1809"/>
      </w:tblGrid>
      <w:tr w:rsidR="009A3ABD" w:rsidRPr="009A3ABD" w14:paraId="3CC814B4"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E23306"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Etiology</w:t>
            </w:r>
          </w:p>
        </w:tc>
        <w:tc>
          <w:tcPr>
            <w:tcW w:w="0" w:type="auto"/>
            <w:hideMark/>
          </w:tcPr>
          <w:p w14:paraId="4ECC2214"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08443C40"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r>
      <w:tr w:rsidR="009A3ABD" w:rsidRPr="009A3ABD" w14:paraId="321CFB96"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CF12BB"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Dengue fever</w:t>
            </w:r>
          </w:p>
        </w:tc>
        <w:tc>
          <w:tcPr>
            <w:tcW w:w="0" w:type="auto"/>
            <w:hideMark/>
          </w:tcPr>
          <w:p w14:paraId="3D0E8BD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39</w:t>
            </w:r>
          </w:p>
        </w:tc>
        <w:tc>
          <w:tcPr>
            <w:tcW w:w="0" w:type="auto"/>
            <w:hideMark/>
          </w:tcPr>
          <w:p w14:paraId="721887C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35.5</w:t>
            </w:r>
          </w:p>
        </w:tc>
      </w:tr>
      <w:tr w:rsidR="009A3ABD" w:rsidRPr="009A3ABD" w14:paraId="55EBC2DC"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1CEC88B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Malaria</w:t>
            </w:r>
          </w:p>
        </w:tc>
        <w:tc>
          <w:tcPr>
            <w:tcW w:w="0" w:type="auto"/>
            <w:hideMark/>
          </w:tcPr>
          <w:p w14:paraId="39461C3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14</w:t>
            </w:r>
          </w:p>
        </w:tc>
        <w:tc>
          <w:tcPr>
            <w:tcW w:w="0" w:type="auto"/>
            <w:hideMark/>
          </w:tcPr>
          <w:p w14:paraId="51B633B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12.7</w:t>
            </w:r>
          </w:p>
        </w:tc>
      </w:tr>
      <w:tr w:rsidR="009A3ABD" w:rsidRPr="009A3ABD" w14:paraId="19C6D0D8"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9F4CA9"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Sepsis</w:t>
            </w:r>
          </w:p>
        </w:tc>
        <w:tc>
          <w:tcPr>
            <w:tcW w:w="0" w:type="auto"/>
            <w:hideMark/>
          </w:tcPr>
          <w:p w14:paraId="0A4CC7F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17</w:t>
            </w:r>
          </w:p>
        </w:tc>
        <w:tc>
          <w:tcPr>
            <w:tcW w:w="0" w:type="auto"/>
            <w:hideMark/>
          </w:tcPr>
          <w:p w14:paraId="3E9FF6AB"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15.5</w:t>
            </w:r>
          </w:p>
        </w:tc>
      </w:tr>
      <w:tr w:rsidR="009A3ABD" w:rsidRPr="009A3ABD" w14:paraId="40A46C39"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7B46B652"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Chronic liver disease</w:t>
            </w:r>
          </w:p>
        </w:tc>
        <w:tc>
          <w:tcPr>
            <w:tcW w:w="0" w:type="auto"/>
            <w:hideMark/>
          </w:tcPr>
          <w:p w14:paraId="62CD6F68"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13</w:t>
            </w:r>
          </w:p>
        </w:tc>
        <w:tc>
          <w:tcPr>
            <w:tcW w:w="0" w:type="auto"/>
            <w:hideMark/>
          </w:tcPr>
          <w:p w14:paraId="7E37E04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11.8</w:t>
            </w:r>
          </w:p>
        </w:tc>
      </w:tr>
      <w:tr w:rsidR="009A3ABD" w:rsidRPr="009A3ABD" w14:paraId="55C7C54D"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D88B90"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lastRenderedPageBreak/>
              <w:t>Megaloblastic anemia</w:t>
            </w:r>
          </w:p>
        </w:tc>
        <w:tc>
          <w:tcPr>
            <w:tcW w:w="0" w:type="auto"/>
            <w:hideMark/>
          </w:tcPr>
          <w:p w14:paraId="546F10B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w:t>
            </w:r>
          </w:p>
        </w:tc>
        <w:tc>
          <w:tcPr>
            <w:tcW w:w="0" w:type="auto"/>
            <w:hideMark/>
          </w:tcPr>
          <w:p w14:paraId="43E2258F"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8.2</w:t>
            </w:r>
          </w:p>
        </w:tc>
      </w:tr>
      <w:tr w:rsidR="009A3ABD" w:rsidRPr="009A3ABD" w14:paraId="44E7F03C"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6BE8F974"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Immune thrombocytopenia</w:t>
            </w:r>
          </w:p>
        </w:tc>
        <w:tc>
          <w:tcPr>
            <w:tcW w:w="0" w:type="auto"/>
            <w:hideMark/>
          </w:tcPr>
          <w:p w14:paraId="63B6D937"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w:t>
            </w:r>
          </w:p>
        </w:tc>
        <w:tc>
          <w:tcPr>
            <w:tcW w:w="0" w:type="auto"/>
            <w:hideMark/>
          </w:tcPr>
          <w:p w14:paraId="78B7F968"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7.3</w:t>
            </w:r>
          </w:p>
        </w:tc>
      </w:tr>
      <w:tr w:rsidR="009A3ABD" w:rsidRPr="009A3ABD" w14:paraId="03FCF41C"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F8058B"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Others</w:t>
            </w:r>
          </w:p>
        </w:tc>
        <w:tc>
          <w:tcPr>
            <w:tcW w:w="0" w:type="auto"/>
            <w:hideMark/>
          </w:tcPr>
          <w:p w14:paraId="15F94D83"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w:t>
            </w:r>
          </w:p>
        </w:tc>
        <w:tc>
          <w:tcPr>
            <w:tcW w:w="0" w:type="auto"/>
            <w:hideMark/>
          </w:tcPr>
          <w:p w14:paraId="181F4DEB"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9.0</w:t>
            </w:r>
          </w:p>
        </w:tc>
      </w:tr>
    </w:tbl>
    <w:p w14:paraId="1A2D9171"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1316986"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5: Platelet Indices among Study Participants</w:t>
      </w:r>
    </w:p>
    <w:tbl>
      <w:tblPr>
        <w:tblStyle w:val="PlainTable1"/>
        <w:tblW w:w="0" w:type="auto"/>
        <w:tblLook w:val="04A0" w:firstRow="1" w:lastRow="0" w:firstColumn="1" w:lastColumn="0" w:noHBand="0" w:noVBand="1"/>
      </w:tblPr>
      <w:tblGrid>
        <w:gridCol w:w="4256"/>
        <w:gridCol w:w="1362"/>
      </w:tblGrid>
      <w:tr w:rsidR="009A3ABD" w:rsidRPr="009A3ABD" w14:paraId="1AFAF799"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AA32D7"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Parameter</w:t>
            </w:r>
          </w:p>
        </w:tc>
        <w:tc>
          <w:tcPr>
            <w:tcW w:w="0" w:type="auto"/>
            <w:hideMark/>
          </w:tcPr>
          <w:p w14:paraId="7F6D30ED"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Mean ± SD</w:t>
            </w:r>
          </w:p>
        </w:tc>
      </w:tr>
      <w:tr w:rsidR="009A3ABD" w:rsidRPr="009A3ABD" w14:paraId="62CB5BEA"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F97A08"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Mean Platelet Volume (MPV) (fL)</w:t>
            </w:r>
          </w:p>
        </w:tc>
        <w:tc>
          <w:tcPr>
            <w:tcW w:w="0" w:type="auto"/>
            <w:hideMark/>
          </w:tcPr>
          <w:p w14:paraId="05CB4965"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11.2 ± 1.4</w:t>
            </w:r>
          </w:p>
        </w:tc>
      </w:tr>
      <w:tr w:rsidR="009A3ABD" w:rsidRPr="009A3ABD" w14:paraId="6CCBBD77"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2E921100"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Distribution Width (PDW) (%)</w:t>
            </w:r>
          </w:p>
        </w:tc>
        <w:tc>
          <w:tcPr>
            <w:tcW w:w="0" w:type="auto"/>
            <w:hideMark/>
          </w:tcPr>
          <w:p w14:paraId="34A3038B"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16.8 ± 2.3</w:t>
            </w:r>
          </w:p>
        </w:tc>
      </w:tr>
      <w:tr w:rsidR="009A3ABD" w:rsidRPr="009A3ABD" w14:paraId="7BEB40DB"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30737E"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Plateletcrit (PCT) (%)</w:t>
            </w:r>
          </w:p>
        </w:tc>
        <w:tc>
          <w:tcPr>
            <w:tcW w:w="0" w:type="auto"/>
            <w:hideMark/>
          </w:tcPr>
          <w:p w14:paraId="60CB8CF3"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0.11 ± 0.04</w:t>
            </w:r>
          </w:p>
        </w:tc>
      </w:tr>
      <w:tr w:rsidR="009A3ABD" w:rsidRPr="009A3ABD" w14:paraId="74DE14AA"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0B24180F"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Large Cell Ratio (P-LCR) (%)</w:t>
            </w:r>
          </w:p>
        </w:tc>
        <w:tc>
          <w:tcPr>
            <w:tcW w:w="0" w:type="auto"/>
            <w:hideMark/>
          </w:tcPr>
          <w:p w14:paraId="02BBACB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32.5 ± 7.1</w:t>
            </w:r>
          </w:p>
        </w:tc>
      </w:tr>
    </w:tbl>
    <w:p w14:paraId="06CBA757"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4DDF5619"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6: Association Between Platelet Count and Bleeding Manifestations</w:t>
      </w:r>
    </w:p>
    <w:tbl>
      <w:tblPr>
        <w:tblStyle w:val="PlainTable1"/>
        <w:tblW w:w="0" w:type="auto"/>
        <w:tblLook w:val="04A0" w:firstRow="1" w:lastRow="0" w:firstColumn="1" w:lastColumn="0" w:noHBand="0" w:noVBand="1"/>
      </w:tblPr>
      <w:tblGrid>
        <w:gridCol w:w="2274"/>
        <w:gridCol w:w="2596"/>
        <w:gridCol w:w="2543"/>
        <w:gridCol w:w="1012"/>
      </w:tblGrid>
      <w:tr w:rsidR="009A3ABD" w:rsidRPr="009A3ABD" w14:paraId="390602E7"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6DE58"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Count (/µL)</w:t>
            </w:r>
          </w:p>
        </w:tc>
        <w:tc>
          <w:tcPr>
            <w:tcW w:w="0" w:type="auto"/>
            <w:hideMark/>
          </w:tcPr>
          <w:p w14:paraId="18BC809B"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Present n (%)</w:t>
            </w:r>
          </w:p>
        </w:tc>
        <w:tc>
          <w:tcPr>
            <w:tcW w:w="0" w:type="auto"/>
            <w:hideMark/>
          </w:tcPr>
          <w:p w14:paraId="129E7B59"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Absent n (%)</w:t>
            </w:r>
          </w:p>
        </w:tc>
        <w:tc>
          <w:tcPr>
            <w:tcW w:w="0" w:type="auto"/>
            <w:hideMark/>
          </w:tcPr>
          <w:p w14:paraId="64EED248"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9A3ABD" w:rsidRPr="009A3ABD" w14:paraId="6C6578F9"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AA1D3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&lt;20,000</w:t>
            </w:r>
          </w:p>
        </w:tc>
        <w:tc>
          <w:tcPr>
            <w:tcW w:w="0" w:type="auto"/>
            <w:hideMark/>
          </w:tcPr>
          <w:p w14:paraId="37301496"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 (85.7)</w:t>
            </w:r>
          </w:p>
        </w:tc>
        <w:tc>
          <w:tcPr>
            <w:tcW w:w="0" w:type="auto"/>
            <w:hideMark/>
          </w:tcPr>
          <w:p w14:paraId="4A92822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 (14.3)</w:t>
            </w:r>
          </w:p>
        </w:tc>
        <w:tc>
          <w:tcPr>
            <w:tcW w:w="0" w:type="auto"/>
            <w:hideMark/>
          </w:tcPr>
          <w:p w14:paraId="7197ECD4"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9A3ABD" w:rsidRPr="009A3ABD" w14:paraId="3C46292D"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0BDEE152"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20,000–50,000</w:t>
            </w:r>
          </w:p>
        </w:tc>
        <w:tc>
          <w:tcPr>
            <w:tcW w:w="0" w:type="auto"/>
            <w:hideMark/>
          </w:tcPr>
          <w:p w14:paraId="0076B9D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 (50.0)</w:t>
            </w:r>
          </w:p>
        </w:tc>
        <w:tc>
          <w:tcPr>
            <w:tcW w:w="0" w:type="auto"/>
            <w:hideMark/>
          </w:tcPr>
          <w:p w14:paraId="65C35526"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 (50.0)</w:t>
            </w:r>
          </w:p>
        </w:tc>
        <w:tc>
          <w:tcPr>
            <w:tcW w:w="0" w:type="auto"/>
            <w:hideMark/>
          </w:tcPr>
          <w:p w14:paraId="11A684E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9A3ABD" w:rsidRPr="009A3ABD" w14:paraId="1673E317"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A67C36"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&gt;50,000</w:t>
            </w:r>
          </w:p>
        </w:tc>
        <w:tc>
          <w:tcPr>
            <w:tcW w:w="0" w:type="auto"/>
            <w:hideMark/>
          </w:tcPr>
          <w:p w14:paraId="0FF80DCB"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 (15.4)</w:t>
            </w:r>
          </w:p>
        </w:tc>
        <w:tc>
          <w:tcPr>
            <w:tcW w:w="0" w:type="auto"/>
            <w:hideMark/>
          </w:tcPr>
          <w:p w14:paraId="3A35E6FC"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55 (84.6)</w:t>
            </w:r>
          </w:p>
        </w:tc>
        <w:tc>
          <w:tcPr>
            <w:tcW w:w="0" w:type="auto"/>
            <w:hideMark/>
          </w:tcPr>
          <w:p w14:paraId="40EB1AE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&lt;0.001*</w:t>
            </w:r>
          </w:p>
        </w:tc>
      </w:tr>
    </w:tbl>
    <w:p w14:paraId="76DBB4A8" w14:textId="77777777" w:rsidR="009A3ABD" w:rsidRPr="009A3ABD" w:rsidRDefault="009A3ABD" w:rsidP="001F6A66">
      <w:pPr>
        <w:spacing w:before="100" w:beforeAutospacing="1" w:after="100" w:afterAutospacing="1"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*Chi-square test; statistically significant</w:t>
      </w:r>
    </w:p>
    <w:p w14:paraId="65AE7FEC"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726E7A57"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7: Comparison of Platelet Indices in Patients With and Without Bleeding</w:t>
      </w:r>
    </w:p>
    <w:tbl>
      <w:tblPr>
        <w:tblStyle w:val="PlainTable1"/>
        <w:tblW w:w="0" w:type="auto"/>
        <w:tblLook w:val="04A0" w:firstRow="1" w:lastRow="0" w:firstColumn="1" w:lastColumn="0" w:noHBand="0" w:noVBand="1"/>
      </w:tblPr>
      <w:tblGrid>
        <w:gridCol w:w="1309"/>
        <w:gridCol w:w="3308"/>
        <w:gridCol w:w="3255"/>
        <w:gridCol w:w="977"/>
      </w:tblGrid>
      <w:tr w:rsidR="009A3ABD" w:rsidRPr="009A3ABD" w14:paraId="2AEB33D5"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58543E"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Parameter</w:t>
            </w:r>
          </w:p>
        </w:tc>
        <w:tc>
          <w:tcPr>
            <w:tcW w:w="0" w:type="auto"/>
            <w:hideMark/>
          </w:tcPr>
          <w:p w14:paraId="3EA49315"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Present (Mean ± SD)</w:t>
            </w:r>
          </w:p>
        </w:tc>
        <w:tc>
          <w:tcPr>
            <w:tcW w:w="0" w:type="auto"/>
            <w:hideMark/>
          </w:tcPr>
          <w:p w14:paraId="4AAB6E2F"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Absent (Mean ± SD)</w:t>
            </w:r>
          </w:p>
        </w:tc>
        <w:tc>
          <w:tcPr>
            <w:tcW w:w="0" w:type="auto"/>
            <w:hideMark/>
          </w:tcPr>
          <w:p w14:paraId="2DAEEDF2"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9A3ABD" w:rsidRPr="009A3ABD" w14:paraId="05ED4756"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3040D5"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MPV (fL)</w:t>
            </w:r>
          </w:p>
        </w:tc>
        <w:tc>
          <w:tcPr>
            <w:tcW w:w="0" w:type="auto"/>
            <w:hideMark/>
          </w:tcPr>
          <w:p w14:paraId="0233E5AD"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12.1 ± 1.3</w:t>
            </w:r>
          </w:p>
        </w:tc>
        <w:tc>
          <w:tcPr>
            <w:tcW w:w="0" w:type="auto"/>
            <w:hideMark/>
          </w:tcPr>
          <w:p w14:paraId="1BFEDD7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10.7 ± 1.2</w:t>
            </w:r>
          </w:p>
        </w:tc>
        <w:tc>
          <w:tcPr>
            <w:tcW w:w="0" w:type="auto"/>
            <w:hideMark/>
          </w:tcPr>
          <w:p w14:paraId="1B82D9E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&lt;0.01*</w:t>
            </w:r>
          </w:p>
        </w:tc>
      </w:tr>
      <w:tr w:rsidR="009A3ABD" w:rsidRPr="009A3ABD" w14:paraId="0F7DA00A"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7AD6635D"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PDW (%)</w:t>
            </w:r>
          </w:p>
        </w:tc>
        <w:tc>
          <w:tcPr>
            <w:tcW w:w="0" w:type="auto"/>
            <w:hideMark/>
          </w:tcPr>
          <w:p w14:paraId="0DAEDEAC"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18.4 ± 2.1</w:t>
            </w:r>
          </w:p>
        </w:tc>
        <w:tc>
          <w:tcPr>
            <w:tcW w:w="0" w:type="auto"/>
            <w:hideMark/>
          </w:tcPr>
          <w:p w14:paraId="08A137F1"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15.9 ± 2.0</w:t>
            </w:r>
          </w:p>
        </w:tc>
        <w:tc>
          <w:tcPr>
            <w:tcW w:w="0" w:type="auto"/>
            <w:hideMark/>
          </w:tcPr>
          <w:p w14:paraId="2BEBC8A8"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&lt;0.01*</w:t>
            </w:r>
          </w:p>
        </w:tc>
      </w:tr>
      <w:tr w:rsidR="009A3ABD" w:rsidRPr="009A3ABD" w14:paraId="7C9CDDFA"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14C4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PCT (%)</w:t>
            </w:r>
          </w:p>
        </w:tc>
        <w:tc>
          <w:tcPr>
            <w:tcW w:w="0" w:type="auto"/>
            <w:hideMark/>
          </w:tcPr>
          <w:p w14:paraId="5288969D"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0.09 ± 0.03</w:t>
            </w:r>
          </w:p>
        </w:tc>
        <w:tc>
          <w:tcPr>
            <w:tcW w:w="0" w:type="auto"/>
            <w:hideMark/>
          </w:tcPr>
          <w:p w14:paraId="5D06D5C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0.13 ± 0.04</w:t>
            </w:r>
          </w:p>
        </w:tc>
        <w:tc>
          <w:tcPr>
            <w:tcW w:w="0" w:type="auto"/>
            <w:hideMark/>
          </w:tcPr>
          <w:p w14:paraId="6A4538B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&lt;0.05*</w:t>
            </w:r>
          </w:p>
        </w:tc>
      </w:tr>
    </w:tbl>
    <w:p w14:paraId="28FCAD71"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2C520A93"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 xml:space="preserve">A total of 110 patients with thrombocytopenia were included in the present study. The demographic characteristics of the study population are summarized in Table 1. The majority of patients belonged to the 31–45 years age group (32.7%), followed by 46–60 years (26.4%) </w:t>
      </w:r>
      <w:r w:rsidRPr="00103215">
        <w:rPr>
          <w:rFonts w:ascii="Times New Roman" w:eastAsia="Times New Roman" w:hAnsi="Times New Roman" w:cs="Times New Roman"/>
          <w:color w:val="auto"/>
          <w:sz w:val="24"/>
          <w:szCs w:val="24"/>
          <w:lang w:eastAsia="en-IN"/>
        </w:rPr>
        <w:lastRenderedPageBreak/>
        <w:t>and 18–30 years (25.5%). Patients aged above 60 years constituted 15.4% of the study population. Males predominated with 68 patients (61.8%), while females accounted for 42 patients (38.2%).</w:t>
      </w:r>
    </w:p>
    <w:p w14:paraId="626C6352"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clinical presentation of patients with thrombocytopenia is depicted in Table 2. Fever was the most common presenting symptom, observed in 78 patients (70.9%), followed by generalized weakness in 64 patients (58.2%). Bleeding manifestations were present in 38 patients (34.5%). Among these, petechiae and purpura were the most frequent bleeding manifestations, occurring in 26 patients (23.6%), while epistaxis or gum bleeding was noted in 18 patients (16.4%). Gastrointestinal bleeding was observed in 7 patients (6.4%). Neurological symptoms such as headache were present in 9 patients (8.2%). On clinical examination, splenomegaly was observed in 27 patients (24.5%) and hepatomegaly in 21 patients (19.1%).</w:t>
      </w:r>
    </w:p>
    <w:p w14:paraId="732B35C9"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distribution of platelet counts at presentation is shown in Table 3. Severe thrombocytopenia with platelet counts less than 20,000/µL was observed in 14 patients (12.7%). Platelet counts between 20,000 and 50,000/µL were seen in 32 patients (29.1%), while 36 patients (32.7%) had counts between 50,001 and 75,000/µL. Platelet counts between 75,001 and 100,000/µL were observed in 28 patients (25.5%).</w:t>
      </w:r>
    </w:p>
    <w:p w14:paraId="5BBB653E"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etiological distribution of thrombocytopenia is presented in Table 4. Dengue fever was the most common cause, accounting for 39 patients (35.5%), followed by sepsis in 17 patients (15.5%) and malaria in 14 patients (12.7%). Chronic liver disease was identified in 13 patients (11.8%), while megaloblastic anemia and immune thrombocytopenia were noted in 9 (8.2%) and 8 patients (7.3%), respectively.</w:t>
      </w:r>
    </w:p>
    <w:p w14:paraId="3F27D3DD"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Platelet indices among the study participants are summarized in Table 5. The mean platelet volume was 11.2 ± 1.4 fL, mean platelet distribution width was 16.8 ± 2.3%, plateletcrit was 0.11 ± 0.04%, and the mean platelet large cell ratio was 32.5 ± 7.1%.</w:t>
      </w:r>
    </w:p>
    <w:p w14:paraId="75F7A50A"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association between platelet count and bleeding manifestations is shown in Table 6. A statistically significant association was observed, with bleeding present in 85.7% of patients with platelet counts below 20,000/µL, compared to 15.4% among those with counts above 50,000/µL (p &lt; 0.001). Comparison of platelet indices between patients with and without bleeding (Table 7) demonstrated significantly higher MPV and PDW and lower PCT in patients with bleeding manifestations (p &lt; 0.05).</w:t>
      </w:r>
    </w:p>
    <w:p w14:paraId="38837615" w14:textId="6D795411" w:rsidR="001F6A66" w:rsidRPr="001F6A66" w:rsidRDefault="00C539F3" w:rsidP="001F6A66">
      <w:pPr>
        <w:spacing w:before="100" w:beforeAutospacing="1" w:after="100" w:afterAutospacing="1" w:line="360" w:lineRule="auto"/>
        <w:jc w:val="left"/>
        <w:outlineLvl w:val="1"/>
        <w:rPr>
          <w:rFonts w:ascii="Times New Roman" w:eastAsia="Times New Roman" w:hAnsi="Times New Roman" w:cs="Times New Roman"/>
          <w:b/>
          <w:bCs/>
          <w:color w:val="auto"/>
          <w:sz w:val="32"/>
          <w:szCs w:val="32"/>
          <w:lang w:eastAsia="en-IN"/>
        </w:rPr>
      </w:pPr>
      <w:r w:rsidRPr="001F6A66">
        <w:rPr>
          <w:rFonts w:ascii="Times New Roman" w:eastAsia="Times New Roman" w:hAnsi="Times New Roman" w:cs="Times New Roman"/>
          <w:b/>
          <w:bCs/>
          <w:color w:val="auto"/>
          <w:sz w:val="32"/>
          <w:szCs w:val="32"/>
          <w:lang w:eastAsia="en-IN"/>
        </w:rPr>
        <w:lastRenderedPageBreak/>
        <w:t xml:space="preserve">DISCUSSION </w:t>
      </w:r>
    </w:p>
    <w:p w14:paraId="2655CA70"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In the present cross-sectional study involving 110 patients with thrombocytopenia, the majority of patients were in the 31–45-year age group with a male predominance, a pattern commonly reported in hospital-based studies from India. Fever and generalized weakness were the most frequent presenting symptoms, while bleeding manifestations were observed in approximately one-third of patients. Severe thrombocytopenia (&lt;20,000/µL) showed a strong association with bleeding manifestations, with more than 85% of patients in this category experiencing haemorrhagic symptoms. Additionally, patients with bleeding had significantly higher MPV and PDW and lower PCT, indicating increased platelet turnover and peripheral destruction. Dengue fever emerged as the most common aetiology, followed by sepsis and malaria, reflecting the predominance of infectious causes of thrombocytopenia in tropical regions. These findings emphasize that both platelet count and platelet indices are important determinants of bleeding risk and underlying pathophysiology in thrombocytopenic patients.</w:t>
      </w:r>
    </w:p>
    <w:p w14:paraId="4443F71D"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Several studies have reported findings comparable to the present study. Aroor et al. demonstrated that infections were the most common cause of thrombocytopenia, with dengue being the leading aetiology, and bleeding manifestations were significantly associated with lower platelet counts, similar to our observations.⁹ A study by Kumar et al. reported that mucocutaneous bleeding was the most frequent haemorrhagic manifestation and that bleeding could occur even at platelet counts above 50,000/µL, supporting our finding that bleeding risk is not solely dependent on platelet count.¹⁰ Srinivasa et al. observed a similar male predominance and fever as the most common presenting symptom in thrombocytopenic patients.¹¹ Studies focusing on dengue-associated thrombocytopenia have consistently shown altered platelet indices, particularly increased MPV and PDW, reflecting increased platelet destruction and marrow response.¹²˒¹³ Reddy et al. found significantly higher MPV and PDW values in dengue patients with bleeding, which aligns with our findings.¹⁴</w:t>
      </w:r>
    </w:p>
    <w:p w14:paraId="7E6BF7DC"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Thrombocytopenia in sepsis has been well documented, with studies showing its association with increased disease severity and mortality.¹⁵˒¹⁶ Platelet indices have also been evaluated as prognostic markers in septic patients, with higher MPV and PDW correlating with adverse outcomes.¹⁷ Similar observations have been made in critically ill patients, where thrombocytopenia and altered platelet indices were associated with poor prognosis.¹⁸ In chronic liver disease, thrombocytopenia has been attributed to hypersplenism, reduced thrombopoietin </w:t>
      </w:r>
      <w:r w:rsidRPr="001F6A66">
        <w:rPr>
          <w:rFonts w:ascii="Times New Roman" w:eastAsia="Times New Roman" w:hAnsi="Times New Roman" w:cs="Times New Roman"/>
          <w:color w:val="auto"/>
          <w:sz w:val="24"/>
          <w:szCs w:val="24"/>
          <w:lang w:eastAsia="en-IN"/>
        </w:rPr>
        <w:lastRenderedPageBreak/>
        <w:t>production, and bone marrow suppression, findings consistent with the chronic liver disease cases observed in our study.¹⁹ Malaria-associated thrombocytopenia has also been shown to involve immune-mediated destruction and splenic sequestration, with variable bleeding manifestations.²⁰˒²¹ Studies on megaloblastic anaemia and immune thrombocytopenia have highlighted the importance of bone marrow dysfunction and immune destruction, respectively, in causing thrombocytopenia.²²˒²³ Overall, the findings of the present study are in agreement with the existing literature and reinforce the multifactorial nature of thrombocytopenia.</w:t>
      </w:r>
    </w:p>
    <w:p w14:paraId="0F10BB72"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The strengths of this study include a comprehensive evaluation of clinical features, etiological factors, and detailed platelet indices in a relatively large cohort of thrombocytopenic patients. Uniform diagnostic criteria and standardized laboratory methods enhanced the reliability of results. However, the study was limited by its single-centre design and cross-sectional nature, which precludes causal inference. Bone marrow examination was not performed in all patients, and long-term follow-up was not assessed.</w:t>
      </w:r>
    </w:p>
    <w:p w14:paraId="0FF3B618"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Routine assessment of platelet indices along with platelet count may aid in early identification of patients at higher risk of bleeding and help guide clinical decision-making. Future longitudinal studies should evaluate dynamic changes in platelet indices during disease progression and recovery. Multicentre studies with larger sample sizes are needed to validate these findings and develop predictive models for bleeding risk in thrombocytopenia.</w:t>
      </w:r>
    </w:p>
    <w:p w14:paraId="139D7A9B" w14:textId="77777777" w:rsidR="001F6A66" w:rsidRPr="00C539F3" w:rsidRDefault="001F6A66" w:rsidP="001F6A66">
      <w:pPr>
        <w:spacing w:before="100" w:beforeAutospacing="1" w:after="100" w:afterAutospacing="1" w:line="360" w:lineRule="auto"/>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CONCLUSION</w:t>
      </w:r>
    </w:p>
    <w:p w14:paraId="1B755584" w14:textId="615B2DEF" w:rsid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The present cross-sectional study highlights that thrombocytopenia is a common hematological abnormality with diverse clinical presentations and etiologies, predominantly affecting adults in the productive age group with a male preponderance. Infectious causes, particularly dengue fever, sepsis, and malaria, constituted the major etiological factors, reflecting the regional and tropical disease burden. Fever and generalized weakness were the most frequent clinical features, while bleeding manifestations were significantly associated with severe thrombocytopenia. Importantly, platelet indices such as mean platelet volume and platelet distribution width were significantly higher, and plateletcrit was lower in patients with bleeding manifestations, indicating increased platelet turnover and peripheral destruction. These findings underscore that platelet count alone may not be sufficient to assess bleeding risk and that platelet indices can serve as useful adjunctive markers in the evaluation and management of thrombocytopenia. Incorporating platelet indices into routine hematological assessment may </w:t>
      </w:r>
      <w:r w:rsidRPr="001F6A66">
        <w:rPr>
          <w:rFonts w:ascii="Times New Roman" w:eastAsia="Times New Roman" w:hAnsi="Times New Roman" w:cs="Times New Roman"/>
          <w:color w:val="auto"/>
          <w:sz w:val="24"/>
          <w:szCs w:val="24"/>
          <w:lang w:eastAsia="en-IN"/>
        </w:rPr>
        <w:lastRenderedPageBreak/>
        <w:t>aid in early risk stratification, improve diagnostic accuracy, and guide timely clinical interventions, thereby reducing morbidity associated with thrombocytopenia.</w:t>
      </w:r>
    </w:p>
    <w:p w14:paraId="4BA0F8B1" w14:textId="77777777" w:rsidR="003A6395" w:rsidRPr="003A6395" w:rsidRDefault="003A6395" w:rsidP="003A6395">
      <w:pPr>
        <w:spacing w:after="200" w:line="276" w:lineRule="auto"/>
        <w:jc w:val="left"/>
        <w:rPr>
          <w:rFonts w:ascii="Calibri" w:eastAsia="Calibri" w:hAnsi="Calibri" w:cs="Times New Roman"/>
          <w:color w:val="auto"/>
          <w:kern w:val="2"/>
          <w:sz w:val="22"/>
          <w:szCs w:val="22"/>
          <w:highlight w:val="yellow"/>
          <w:lang w:val="en-US"/>
          <w14:ligatures w14:val="standardContextual"/>
        </w:rPr>
      </w:pPr>
      <w:r w:rsidRPr="003A6395">
        <w:rPr>
          <w:rFonts w:ascii="Calibri" w:eastAsia="Calibri" w:hAnsi="Calibri" w:cs="Times New Roman"/>
          <w:color w:val="auto"/>
          <w:kern w:val="2"/>
          <w:sz w:val="22"/>
          <w:szCs w:val="22"/>
          <w:highlight w:val="yellow"/>
          <w:lang w:val="en-US"/>
          <w14:ligatures w14:val="standardContextual"/>
        </w:rPr>
        <w:t>Disclaimer (Artificial intelligence)</w:t>
      </w:r>
    </w:p>
    <w:p w14:paraId="797184CD" w14:textId="77777777" w:rsidR="003A6395" w:rsidRPr="003A6395" w:rsidRDefault="003A6395" w:rsidP="003A6395">
      <w:pPr>
        <w:spacing w:after="200" w:line="276" w:lineRule="auto"/>
        <w:jc w:val="left"/>
        <w:rPr>
          <w:rFonts w:ascii="Calibri" w:eastAsia="Calibri" w:hAnsi="Calibri" w:cs="Times New Roman"/>
          <w:color w:val="auto"/>
          <w:kern w:val="2"/>
          <w:sz w:val="22"/>
          <w:szCs w:val="22"/>
          <w:highlight w:val="yellow"/>
          <w:lang w:val="en-US"/>
          <w14:ligatures w14:val="standardContextual"/>
        </w:rPr>
      </w:pPr>
      <w:r w:rsidRPr="003A6395">
        <w:rPr>
          <w:rFonts w:ascii="Calibri" w:eastAsia="Calibri" w:hAnsi="Calibri" w:cs="Times New Roman"/>
          <w:color w:val="auto"/>
          <w:kern w:val="2"/>
          <w:sz w:val="22"/>
          <w:szCs w:val="22"/>
          <w:highlight w:val="yellow"/>
          <w:lang w:val="en-US"/>
          <w14:ligatures w14:val="standardContextual"/>
        </w:rPr>
        <w:t xml:space="preserve">Option 1: </w:t>
      </w:r>
    </w:p>
    <w:p w14:paraId="130098E6" w14:textId="77777777" w:rsidR="003A6395" w:rsidRPr="003A6395" w:rsidRDefault="003A6395" w:rsidP="003A6395">
      <w:pPr>
        <w:spacing w:after="200" w:line="276" w:lineRule="auto"/>
        <w:jc w:val="left"/>
        <w:rPr>
          <w:rFonts w:ascii="Calibri" w:eastAsia="Calibri" w:hAnsi="Calibri" w:cs="Times New Roman"/>
          <w:color w:val="auto"/>
          <w:kern w:val="2"/>
          <w:sz w:val="22"/>
          <w:szCs w:val="22"/>
          <w:highlight w:val="yellow"/>
          <w:lang w:val="en-US"/>
          <w14:ligatures w14:val="standardContextual"/>
        </w:rPr>
      </w:pPr>
      <w:r w:rsidRPr="003A6395">
        <w:rPr>
          <w:rFonts w:ascii="Calibri" w:eastAsia="Calibri" w:hAnsi="Calibri" w:cs="Times New Roman"/>
          <w:color w:val="auto"/>
          <w:kern w:val="2"/>
          <w:sz w:val="22"/>
          <w:szCs w:val="2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1FE1F3E" w14:textId="77777777" w:rsidR="003A6395" w:rsidRPr="001F6A66" w:rsidRDefault="003A639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bookmarkStart w:id="0" w:name="_GoBack"/>
      <w:bookmarkEnd w:id="0"/>
    </w:p>
    <w:p w14:paraId="7F5E6E2F" w14:textId="77777777" w:rsidR="009A3ABD" w:rsidRPr="009A3ABD" w:rsidRDefault="009A3ABD" w:rsidP="009A3ABD">
      <w:pPr>
        <w:jc w:val="both"/>
        <w:rPr>
          <w:rFonts w:ascii="Times New Roman" w:eastAsia="Times New Roman" w:hAnsi="Times New Roman" w:cs="Times New Roman"/>
          <w:color w:val="auto"/>
          <w:sz w:val="24"/>
          <w:szCs w:val="24"/>
          <w:lang w:eastAsia="en-IN"/>
        </w:rPr>
      </w:pPr>
    </w:p>
    <w:p w14:paraId="64B5FAFB" w14:textId="77777777" w:rsidR="009A3ABD" w:rsidRPr="00C539F3" w:rsidRDefault="009A3ABD" w:rsidP="009A3ABD">
      <w:pPr>
        <w:spacing w:before="100" w:beforeAutospacing="1" w:after="100" w:afterAutospacing="1"/>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 xml:space="preserve">REFERENCES </w:t>
      </w:r>
    </w:p>
    <w:p w14:paraId="346A5D67"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George JN, Aster RH. Thrombocytopenia due to diminished platelet production. </w:t>
      </w:r>
      <w:r w:rsidRPr="009A3ABD">
        <w:rPr>
          <w:rFonts w:ascii="Times New Roman" w:eastAsia="Times New Roman" w:hAnsi="Times New Roman" w:cs="Times New Roman"/>
          <w:i/>
          <w:iCs/>
          <w:color w:val="auto"/>
          <w:sz w:val="24"/>
          <w:szCs w:val="24"/>
          <w:lang w:eastAsia="en-IN"/>
        </w:rPr>
        <w:t>Hematology Am Soc Hematol Educ Program</w:t>
      </w:r>
      <w:r w:rsidRPr="009A3ABD">
        <w:rPr>
          <w:rFonts w:ascii="Times New Roman" w:eastAsia="Times New Roman" w:hAnsi="Times New Roman" w:cs="Times New Roman"/>
          <w:color w:val="auto"/>
          <w:sz w:val="24"/>
          <w:szCs w:val="24"/>
          <w:lang w:eastAsia="en-IN"/>
        </w:rPr>
        <w:t>. 2009;2009(1):307-314.</w:t>
      </w:r>
    </w:p>
    <w:p w14:paraId="6F8E19AC"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Schafer AI. Thrombocytopenia. </w:t>
      </w:r>
      <w:r w:rsidRPr="009A3ABD">
        <w:rPr>
          <w:rFonts w:ascii="Times New Roman" w:eastAsia="Times New Roman" w:hAnsi="Times New Roman" w:cs="Times New Roman"/>
          <w:i/>
          <w:iCs/>
          <w:color w:val="auto"/>
          <w:sz w:val="24"/>
          <w:szCs w:val="24"/>
          <w:lang w:eastAsia="en-IN"/>
        </w:rPr>
        <w:t>N Engl J Med</w:t>
      </w:r>
      <w:r w:rsidRPr="009A3ABD">
        <w:rPr>
          <w:rFonts w:ascii="Times New Roman" w:eastAsia="Times New Roman" w:hAnsi="Times New Roman" w:cs="Times New Roman"/>
          <w:color w:val="auto"/>
          <w:sz w:val="24"/>
          <w:szCs w:val="24"/>
          <w:lang w:eastAsia="en-IN"/>
        </w:rPr>
        <w:t>. 2004;350(12):1211-1219.</w:t>
      </w:r>
    </w:p>
    <w:p w14:paraId="397BD2D9" w14:textId="731B2D52"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Provan D, Newland AC. Fifty years of idiopathic thrombocytopenic purpura. </w:t>
      </w:r>
      <w:r w:rsidRPr="009A3ABD">
        <w:rPr>
          <w:rFonts w:ascii="Times New Roman" w:eastAsia="Times New Roman" w:hAnsi="Times New Roman" w:cs="Times New Roman"/>
          <w:i/>
          <w:iCs/>
          <w:color w:val="auto"/>
          <w:sz w:val="24"/>
          <w:szCs w:val="24"/>
          <w:lang w:eastAsia="en-IN"/>
        </w:rPr>
        <w:t>Br J Haematol</w:t>
      </w:r>
      <w:r w:rsidRPr="009A3ABD">
        <w:rPr>
          <w:rFonts w:ascii="Times New Roman" w:eastAsia="Times New Roman" w:hAnsi="Times New Roman" w:cs="Times New Roman"/>
          <w:color w:val="auto"/>
          <w:sz w:val="24"/>
          <w:szCs w:val="24"/>
          <w:lang w:eastAsia="en-IN"/>
        </w:rPr>
        <w:t>. 2002;118(3):812-822.</w:t>
      </w:r>
      <w:r w:rsidR="00056B81">
        <w:rPr>
          <w:rFonts w:ascii="Times New Roman" w:eastAsia="Times New Roman" w:hAnsi="Times New Roman" w:cs="Times New Roman"/>
          <w:color w:val="auto"/>
          <w:sz w:val="24"/>
          <w:szCs w:val="24"/>
          <w:lang w:eastAsia="en-IN"/>
        </w:rPr>
        <w:t xml:space="preserve"> </w:t>
      </w:r>
    </w:p>
    <w:p w14:paraId="5E548FF1"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Stasi R, Amadori S. How to approach thrombocytopenia. </w:t>
      </w:r>
      <w:r w:rsidRPr="009A3ABD">
        <w:rPr>
          <w:rFonts w:ascii="Times New Roman" w:eastAsia="Times New Roman" w:hAnsi="Times New Roman" w:cs="Times New Roman"/>
          <w:i/>
          <w:iCs/>
          <w:color w:val="auto"/>
          <w:sz w:val="24"/>
          <w:szCs w:val="24"/>
          <w:lang w:eastAsia="en-IN"/>
        </w:rPr>
        <w:t>Hematology Am Soc Hematol Educ Program</w:t>
      </w:r>
      <w:r w:rsidRPr="009A3ABD">
        <w:rPr>
          <w:rFonts w:ascii="Times New Roman" w:eastAsia="Times New Roman" w:hAnsi="Times New Roman" w:cs="Times New Roman"/>
          <w:color w:val="auto"/>
          <w:sz w:val="24"/>
          <w:szCs w:val="24"/>
          <w:lang w:eastAsia="en-IN"/>
        </w:rPr>
        <w:t>. 2012;2012:191-197.</w:t>
      </w:r>
    </w:p>
    <w:p w14:paraId="6D230AD5"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World Health Organization. </w:t>
      </w:r>
      <w:r w:rsidRPr="009A3ABD">
        <w:rPr>
          <w:rFonts w:ascii="Times New Roman" w:eastAsia="Times New Roman" w:hAnsi="Times New Roman" w:cs="Times New Roman"/>
          <w:i/>
          <w:iCs/>
          <w:color w:val="auto"/>
          <w:sz w:val="24"/>
          <w:szCs w:val="24"/>
          <w:lang w:eastAsia="en-IN"/>
        </w:rPr>
        <w:t>Dengue: Guidelines for Diagnosis, Treatment, Prevention and Control</w:t>
      </w:r>
      <w:r w:rsidRPr="009A3ABD">
        <w:rPr>
          <w:rFonts w:ascii="Times New Roman" w:eastAsia="Times New Roman" w:hAnsi="Times New Roman" w:cs="Times New Roman"/>
          <w:color w:val="auto"/>
          <w:sz w:val="24"/>
          <w:szCs w:val="24"/>
          <w:lang w:eastAsia="en-IN"/>
        </w:rPr>
        <w:t>. Geneva: WHO; 2009.</w:t>
      </w:r>
    </w:p>
    <w:p w14:paraId="74637800"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Patel S, et al. Evaluation of thrombocytopenia in adults. </w:t>
      </w:r>
      <w:r w:rsidRPr="009A3ABD">
        <w:rPr>
          <w:rFonts w:ascii="Times New Roman" w:eastAsia="Times New Roman" w:hAnsi="Times New Roman" w:cs="Times New Roman"/>
          <w:i/>
          <w:iCs/>
          <w:color w:val="auto"/>
          <w:sz w:val="24"/>
          <w:szCs w:val="24"/>
          <w:lang w:eastAsia="en-IN"/>
        </w:rPr>
        <w:t>J Clin Diagn Res</w:t>
      </w:r>
      <w:r w:rsidRPr="009A3ABD">
        <w:rPr>
          <w:rFonts w:ascii="Times New Roman" w:eastAsia="Times New Roman" w:hAnsi="Times New Roman" w:cs="Times New Roman"/>
          <w:color w:val="auto"/>
          <w:sz w:val="24"/>
          <w:szCs w:val="24"/>
          <w:lang w:eastAsia="en-IN"/>
        </w:rPr>
        <w:t>. 2023;17(3):EC01-EC05.</w:t>
      </w:r>
    </w:p>
    <w:p w14:paraId="26FF8420"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Kaito K, et al. Platelet size deviation width, platelet large cell ratio, and mean platelet volume have sufficient sensitivity and specificity in the diagnosis of immune thrombocytopenia. </w:t>
      </w:r>
      <w:r w:rsidRPr="009A3ABD">
        <w:rPr>
          <w:rFonts w:ascii="Times New Roman" w:eastAsia="Times New Roman" w:hAnsi="Times New Roman" w:cs="Times New Roman"/>
          <w:i/>
          <w:iCs/>
          <w:color w:val="auto"/>
          <w:sz w:val="24"/>
          <w:szCs w:val="24"/>
          <w:lang w:eastAsia="en-IN"/>
        </w:rPr>
        <w:t>Br J Haematol</w:t>
      </w:r>
      <w:r w:rsidRPr="009A3ABD">
        <w:rPr>
          <w:rFonts w:ascii="Times New Roman" w:eastAsia="Times New Roman" w:hAnsi="Times New Roman" w:cs="Times New Roman"/>
          <w:color w:val="auto"/>
          <w:sz w:val="24"/>
          <w:szCs w:val="24"/>
          <w:lang w:eastAsia="en-IN"/>
        </w:rPr>
        <w:t>. 2005;128(5):698-702.</w:t>
      </w:r>
    </w:p>
    <w:p w14:paraId="337C774C" w14:textId="77777777" w:rsid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Mittal V, et al. Platelet indices and their interpretation in thrombocytopenia. </w:t>
      </w:r>
      <w:r w:rsidRPr="009A3ABD">
        <w:rPr>
          <w:rFonts w:ascii="Times New Roman" w:eastAsia="Times New Roman" w:hAnsi="Times New Roman" w:cs="Times New Roman"/>
          <w:i/>
          <w:iCs/>
          <w:color w:val="auto"/>
          <w:sz w:val="24"/>
          <w:szCs w:val="24"/>
          <w:lang w:eastAsia="en-IN"/>
        </w:rPr>
        <w:t>Int J Res Med Sci</w:t>
      </w:r>
      <w:r w:rsidRPr="009A3ABD">
        <w:rPr>
          <w:rFonts w:ascii="Times New Roman" w:eastAsia="Times New Roman" w:hAnsi="Times New Roman" w:cs="Times New Roman"/>
          <w:color w:val="auto"/>
          <w:sz w:val="24"/>
          <w:szCs w:val="24"/>
          <w:lang w:eastAsia="en-IN"/>
        </w:rPr>
        <w:t>. 2021;9(6):1685-1690</w:t>
      </w:r>
    </w:p>
    <w:p w14:paraId="48F976E0"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Aroor S, Kumar S, Mundkur S, Kumar M. Clinical and etiological profile of fever with thrombocytopenia in a tertiary care hospital. J Assoc Physicians India. 2018;66(10):36-40.</w:t>
      </w:r>
    </w:p>
    <w:p w14:paraId="2552482B"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Kumar S, Basu A, Sinha P. Bleeding manifestations in dengue and their correlation with platelet count. J Infect Dev Ctries. 2015;9(5):537-543.</w:t>
      </w:r>
    </w:p>
    <w:p w14:paraId="60A75676"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lastRenderedPageBreak/>
        <w:t>Srinivasa S, Nayak R, Bhat S. Clinical profile of thrombocytopenia in adults. Int J Adv Med. 2017;4(4):1068-1072.</w:t>
      </w:r>
    </w:p>
    <w:p w14:paraId="0EACD997"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Bashir AB, Saeed OK, Mohammed BA, Ageep AK. Role of platelet indices in patients with dengue infection. Indian J Hematol Blood Transfus. 2015;31(2):162-167.</w:t>
      </w:r>
    </w:p>
    <w:p w14:paraId="18243ED7"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Dewi NNW, Sudarmaja IM. Platelet indices in dengue hemorrhagic fever. Int J Res Med Sci. 2019;7(3):835-839.</w:t>
      </w:r>
    </w:p>
    <w:p w14:paraId="418B6E6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Reddy SR, Dutta TK, Soundararajan P. Platelet indices in dengue fever: a prospective study. Asian J Pharm Clin Res. 2022;15(4):122-126.</w:t>
      </w:r>
    </w:p>
    <w:p w14:paraId="1D18783C"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Vanderschueren S, De Weerdt A, Malbrain M, et al. Thrombocytopenia and prognosis in intensive care. Crit Care Med. 2000;28(6):1871-1876.</w:t>
      </w:r>
    </w:p>
    <w:p w14:paraId="4EC95C74"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Claushuis TAM, van Vught LA, Scicluna BP, et al. Thrombocytopenia is associated with mortality in sepsis. Crit Care Med. 2016;44(5):984-993.</w:t>
      </w:r>
    </w:p>
    <w:p w14:paraId="1DECB2F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Zhang S, Cui YL, Diao MY, Chen DC, Lin ZF. Use of platelet indices for determining illness severity in sepsis patients. Chin Med J (Engl</w:t>
      </w:r>
      <w:r w:rsidRPr="001F6A66">
        <w:rPr>
          <w:rFonts w:ascii="Times New Roman" w:eastAsia="Times New Roman" w:hAnsi="Times New Roman" w:cs="Times New Roman"/>
          <w:b/>
          <w:bCs/>
          <w:color w:val="auto"/>
          <w:sz w:val="24"/>
          <w:szCs w:val="24"/>
          <w:lang w:eastAsia="en-IN"/>
        </w:rPr>
        <w:t>)</w:t>
      </w:r>
      <w:r w:rsidRPr="001F6A66">
        <w:rPr>
          <w:rFonts w:ascii="Times New Roman" w:eastAsia="Times New Roman" w:hAnsi="Times New Roman" w:cs="Times New Roman"/>
          <w:color w:val="auto"/>
          <w:sz w:val="24"/>
          <w:szCs w:val="24"/>
          <w:lang w:eastAsia="en-IN"/>
        </w:rPr>
        <w:t>. 2015;128(15):2012-2018.</w:t>
      </w:r>
    </w:p>
    <w:p w14:paraId="1C9BA6D9"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Zampieri FG, Ranzani OT, Sabatoski V, et al. An increase in mean platelet volume after ICU admission is associated with higher mortality. Crit Care. 2014;18(4):R118.</w:t>
      </w:r>
    </w:p>
    <w:p w14:paraId="1A5C8DE1"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Giannini EG, Savarino V. Thrombocytopenia in liver disease. J Hepatol. 2008;48(6):1000-1007.</w:t>
      </w:r>
    </w:p>
    <w:p w14:paraId="6BBBA94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Ladhani S, Lowe B, Cole AO, Kowuondo K, Newton CR. Changes in white blood cells and platelets in children with falciparum malaria. J Infect Dis. 2002;186(8):1154-1157.</w:t>
      </w:r>
    </w:p>
    <w:p w14:paraId="195B1ADC"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Maina RN, Walsh D, Gaddy C, et al. Impact of Plasmodium falciparum infection on hematological parameters in children living in Western Kenya. Malar J. 2010;9(Suppl 3):S4.</w:t>
      </w:r>
    </w:p>
    <w:p w14:paraId="572237C5"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Antony AC. Megaloblastic anemias. N Engl J Med. 2003;349(10):915-926.</w:t>
      </w:r>
    </w:p>
    <w:p w14:paraId="56C27634"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Provan D, Stasi R, Newland AC, et al. International consensus report on the investigation and management of primary immune thrombocytopenia. Blood. 2010;115(2):168-186.</w:t>
      </w:r>
    </w:p>
    <w:p w14:paraId="7D3D8978" w14:textId="77777777" w:rsidR="001F6A66" w:rsidRDefault="001F6A66" w:rsidP="001F6A66">
      <w:pPr>
        <w:spacing w:before="100" w:beforeAutospacing="1" w:after="100" w:afterAutospacing="1"/>
        <w:ind w:left="720"/>
        <w:jc w:val="both"/>
        <w:rPr>
          <w:rFonts w:ascii="Times New Roman" w:eastAsia="Times New Roman" w:hAnsi="Times New Roman" w:cs="Times New Roman"/>
          <w:color w:val="auto"/>
          <w:sz w:val="24"/>
          <w:szCs w:val="24"/>
          <w:lang w:eastAsia="en-IN"/>
        </w:rPr>
      </w:pPr>
    </w:p>
    <w:p w14:paraId="3CCFC5F7" w14:textId="77777777" w:rsidR="009A3ABD" w:rsidRPr="009A3ABD" w:rsidRDefault="009A3ABD" w:rsidP="009A3ABD">
      <w:pPr>
        <w:spacing w:before="100" w:beforeAutospacing="1" w:after="100" w:afterAutospacing="1"/>
        <w:jc w:val="both"/>
        <w:rPr>
          <w:rFonts w:ascii="Times New Roman" w:eastAsia="Times New Roman" w:hAnsi="Times New Roman" w:cs="Times New Roman"/>
          <w:color w:val="auto"/>
          <w:sz w:val="24"/>
          <w:szCs w:val="24"/>
          <w:lang w:eastAsia="en-IN"/>
        </w:rPr>
      </w:pPr>
    </w:p>
    <w:p w14:paraId="09EA7ADD" w14:textId="77777777" w:rsidR="00DE62B7" w:rsidRDefault="00DE62B7"/>
    <w:sectPr w:rsidR="00DE62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DFB95C" w16cex:dateUtc="2026-02-03T07:24:00Z"/>
  <w16cex:commentExtensible w16cex:durableId="2D308751" w16cex:dateUtc="2026-02-06T09:59:00Z"/>
  <w16cex:commentExtensible w16cex:durableId="035DD62E" w16cex:dateUtc="2026-02-03T07:26:00Z"/>
  <w16cex:commentExtensible w16cex:durableId="2D302FB6" w16cex:dateUtc="2026-02-06T0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94B5" w14:textId="77777777" w:rsidR="008C0011" w:rsidRDefault="008C0011" w:rsidP="008C4A22">
      <w:r>
        <w:separator/>
      </w:r>
    </w:p>
  </w:endnote>
  <w:endnote w:type="continuationSeparator" w:id="0">
    <w:p w14:paraId="45ADAD8C" w14:textId="77777777" w:rsidR="008C0011" w:rsidRDefault="008C0011" w:rsidP="008C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5E13" w14:textId="77777777" w:rsidR="008C4A22" w:rsidRDefault="008C4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5B992" w14:textId="77777777" w:rsidR="008C4A22" w:rsidRDefault="008C4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A368" w14:textId="77777777" w:rsidR="008C4A22" w:rsidRDefault="008C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2270E" w14:textId="77777777" w:rsidR="008C0011" w:rsidRDefault="008C0011" w:rsidP="008C4A22">
      <w:r>
        <w:separator/>
      </w:r>
    </w:p>
  </w:footnote>
  <w:footnote w:type="continuationSeparator" w:id="0">
    <w:p w14:paraId="6BDA7313" w14:textId="77777777" w:rsidR="008C0011" w:rsidRDefault="008C0011" w:rsidP="008C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AEF8" w14:textId="03D12A0F" w:rsidR="008C4A22" w:rsidRDefault="008C0011">
    <w:pPr>
      <w:pStyle w:val="Header"/>
    </w:pPr>
    <w:r>
      <w:rPr>
        <w:noProof/>
      </w:rPr>
      <w:pict w14:anchorId="03197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40.25pt;height:95.95pt;rotation:315;z-index:-251655168;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4F1C" w14:textId="3B12AFE7" w:rsidR="008C4A22" w:rsidRDefault="008C0011">
    <w:pPr>
      <w:pStyle w:val="Header"/>
    </w:pPr>
    <w:r>
      <w:rPr>
        <w:noProof/>
      </w:rPr>
      <w:pict w14:anchorId="6CC0C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40.25pt;height:95.95pt;rotation:315;z-index:-251653120;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83EA" w14:textId="622CB556" w:rsidR="008C4A22" w:rsidRDefault="008C0011">
    <w:pPr>
      <w:pStyle w:val="Header"/>
    </w:pPr>
    <w:r>
      <w:rPr>
        <w:noProof/>
      </w:rPr>
      <w:pict w14:anchorId="7DC0A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0.25pt;height:95.95pt;rotation:315;z-index:-251657216;mso-position-horizontal:center;mso-position-horizontal-relative:margin;mso-position-vertical:center;mso-position-vertical-relative:margin" o:allowincell="f" fillcolor="silver" stroked="f">
          <v:fill opacity=".5"/>
          <v:textpath style="font-family:&quot;Courier N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5787C"/>
    <w:multiLevelType w:val="multilevel"/>
    <w:tmpl w:val="E03C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74015"/>
    <w:multiLevelType w:val="multilevel"/>
    <w:tmpl w:val="5E9AA5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BD"/>
    <w:rsid w:val="00056B81"/>
    <w:rsid w:val="00103215"/>
    <w:rsid w:val="00130C8D"/>
    <w:rsid w:val="0013687A"/>
    <w:rsid w:val="00162578"/>
    <w:rsid w:val="001F6A66"/>
    <w:rsid w:val="003A6395"/>
    <w:rsid w:val="0047641F"/>
    <w:rsid w:val="005B62BD"/>
    <w:rsid w:val="008503CC"/>
    <w:rsid w:val="008C0011"/>
    <w:rsid w:val="008C4A22"/>
    <w:rsid w:val="009A3ABD"/>
    <w:rsid w:val="009F74E1"/>
    <w:rsid w:val="00AA09FD"/>
    <w:rsid w:val="00AA5A94"/>
    <w:rsid w:val="00B80F61"/>
    <w:rsid w:val="00BC1A43"/>
    <w:rsid w:val="00C539F3"/>
    <w:rsid w:val="00C5799B"/>
    <w:rsid w:val="00CE19EE"/>
    <w:rsid w:val="00CF229D"/>
    <w:rsid w:val="00D433A0"/>
    <w:rsid w:val="00D70512"/>
    <w:rsid w:val="00DE62B7"/>
    <w:rsid w:val="00F02095"/>
    <w:rsid w:val="00FB28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90FD94"/>
  <w15:chartTrackingRefBased/>
  <w15:docId w15:val="{259E59A4-353B-440B-A62A-BD7D8F59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503CC"/>
    <w:rPr>
      <w:rFonts w:ascii="Courier New" w:hAnsi="Courier New" w:cs="Courier New"/>
      <w:color w:val="000000"/>
      <w:sz w:val="18"/>
      <w:szCs w:val="18"/>
    </w:rPr>
  </w:style>
  <w:style w:type="paragraph" w:styleId="Heading1">
    <w:name w:val="heading 1"/>
    <w:basedOn w:val="Normal"/>
    <w:next w:val="Normal"/>
    <w:link w:val="Heading1Char"/>
    <w:uiPriority w:val="9"/>
    <w:qFormat/>
    <w:rsid w:val="008503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8503CC"/>
    <w:pPr>
      <w:outlineLvl w:val="1"/>
    </w:pPr>
    <w:rPr>
      <w:b/>
      <w:bCs/>
      <w:i/>
      <w:iCs/>
      <w:sz w:val="28"/>
      <w:szCs w:val="28"/>
    </w:rPr>
  </w:style>
  <w:style w:type="paragraph" w:styleId="Heading3">
    <w:name w:val="heading 3"/>
    <w:basedOn w:val="Normal"/>
    <w:next w:val="Normal"/>
    <w:link w:val="Heading3Char"/>
    <w:uiPriority w:val="9"/>
    <w:unhideWhenUsed/>
    <w:qFormat/>
    <w:rsid w:val="008503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503CC"/>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8503C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8503CC"/>
    <w:pPr>
      <w:widowControl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503CC"/>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503CC"/>
    <w:pPr>
      <w:ind w:left="720"/>
      <w:contextualSpacing/>
    </w:pPr>
  </w:style>
  <w:style w:type="paragraph" w:styleId="NormalWeb">
    <w:name w:val="Normal (Web)"/>
    <w:basedOn w:val="Normal"/>
    <w:uiPriority w:val="99"/>
    <w:semiHidden/>
    <w:unhideWhenUsed/>
    <w:rsid w:val="009A3ABD"/>
    <w:pPr>
      <w:spacing w:before="100" w:beforeAutospacing="1" w:after="100" w:afterAutospacing="1"/>
      <w:jc w:val="left"/>
    </w:pPr>
    <w:rPr>
      <w:rFonts w:ascii="Times New Roman" w:eastAsia="Times New Roman" w:hAnsi="Times New Roman" w:cs="Times New Roman"/>
      <w:color w:val="auto"/>
      <w:sz w:val="24"/>
      <w:szCs w:val="24"/>
      <w:lang w:eastAsia="en-IN"/>
    </w:rPr>
  </w:style>
  <w:style w:type="character" w:styleId="Emphasis">
    <w:name w:val="Emphasis"/>
    <w:basedOn w:val="DefaultParagraphFont"/>
    <w:uiPriority w:val="20"/>
    <w:qFormat/>
    <w:rsid w:val="009A3ABD"/>
    <w:rPr>
      <w:i/>
      <w:iCs/>
    </w:rPr>
  </w:style>
  <w:style w:type="character" w:styleId="Strong">
    <w:name w:val="Strong"/>
    <w:basedOn w:val="DefaultParagraphFont"/>
    <w:uiPriority w:val="22"/>
    <w:qFormat/>
    <w:rsid w:val="009A3ABD"/>
    <w:rPr>
      <w:b/>
      <w:bCs/>
    </w:rPr>
  </w:style>
  <w:style w:type="table" w:styleId="PlainTable1">
    <w:name w:val="Plain Table 1"/>
    <w:basedOn w:val="TableNormal"/>
    <w:uiPriority w:val="41"/>
    <w:rsid w:val="009A3A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30C8D"/>
    <w:rPr>
      <w:color w:val="0000FF" w:themeColor="hyperlink"/>
      <w:u w:val="single"/>
    </w:rPr>
  </w:style>
  <w:style w:type="character" w:styleId="UnresolvedMention">
    <w:name w:val="Unresolved Mention"/>
    <w:basedOn w:val="DefaultParagraphFont"/>
    <w:uiPriority w:val="99"/>
    <w:semiHidden/>
    <w:unhideWhenUsed/>
    <w:rsid w:val="00130C8D"/>
    <w:rPr>
      <w:color w:val="605E5C"/>
      <w:shd w:val="clear" w:color="auto" w:fill="E1DFDD"/>
    </w:rPr>
  </w:style>
  <w:style w:type="paragraph" w:styleId="Header">
    <w:name w:val="header"/>
    <w:basedOn w:val="Normal"/>
    <w:link w:val="HeaderChar"/>
    <w:uiPriority w:val="99"/>
    <w:unhideWhenUsed/>
    <w:rsid w:val="008C4A22"/>
    <w:pPr>
      <w:tabs>
        <w:tab w:val="center" w:pos="4680"/>
        <w:tab w:val="right" w:pos="9360"/>
      </w:tabs>
    </w:pPr>
  </w:style>
  <w:style w:type="character" w:customStyle="1" w:styleId="HeaderChar">
    <w:name w:val="Header Char"/>
    <w:basedOn w:val="DefaultParagraphFont"/>
    <w:link w:val="Header"/>
    <w:uiPriority w:val="99"/>
    <w:rsid w:val="008C4A22"/>
    <w:rPr>
      <w:rFonts w:ascii="Courier New" w:hAnsi="Courier New" w:cs="Courier New"/>
      <w:color w:val="000000"/>
      <w:sz w:val="18"/>
      <w:szCs w:val="18"/>
    </w:rPr>
  </w:style>
  <w:style w:type="paragraph" w:styleId="Footer">
    <w:name w:val="footer"/>
    <w:basedOn w:val="Normal"/>
    <w:link w:val="FooterChar"/>
    <w:uiPriority w:val="99"/>
    <w:unhideWhenUsed/>
    <w:rsid w:val="008C4A22"/>
    <w:pPr>
      <w:tabs>
        <w:tab w:val="center" w:pos="4680"/>
        <w:tab w:val="right" w:pos="9360"/>
      </w:tabs>
    </w:pPr>
  </w:style>
  <w:style w:type="character" w:customStyle="1" w:styleId="FooterChar">
    <w:name w:val="Footer Char"/>
    <w:basedOn w:val="DefaultParagraphFont"/>
    <w:link w:val="Footer"/>
    <w:uiPriority w:val="99"/>
    <w:rsid w:val="008C4A22"/>
    <w:rPr>
      <w:rFonts w:ascii="Courier New" w:hAnsi="Courier New" w:cs="Courier New"/>
      <w:color w:val="000000"/>
      <w:sz w:val="18"/>
      <w:szCs w:val="18"/>
    </w:rPr>
  </w:style>
  <w:style w:type="character" w:styleId="CommentReference">
    <w:name w:val="annotation reference"/>
    <w:basedOn w:val="DefaultParagraphFont"/>
    <w:uiPriority w:val="99"/>
    <w:semiHidden/>
    <w:unhideWhenUsed/>
    <w:rsid w:val="00056B81"/>
    <w:rPr>
      <w:sz w:val="16"/>
      <w:szCs w:val="16"/>
    </w:rPr>
  </w:style>
  <w:style w:type="paragraph" w:styleId="CommentText">
    <w:name w:val="annotation text"/>
    <w:basedOn w:val="Normal"/>
    <w:link w:val="CommentTextChar"/>
    <w:uiPriority w:val="99"/>
    <w:unhideWhenUsed/>
    <w:rsid w:val="00056B81"/>
    <w:rPr>
      <w:sz w:val="20"/>
      <w:szCs w:val="20"/>
    </w:rPr>
  </w:style>
  <w:style w:type="character" w:customStyle="1" w:styleId="CommentTextChar">
    <w:name w:val="Comment Text Char"/>
    <w:basedOn w:val="DefaultParagraphFont"/>
    <w:link w:val="CommentText"/>
    <w:uiPriority w:val="99"/>
    <w:rsid w:val="00056B81"/>
    <w:rPr>
      <w:rFonts w:ascii="Courier New" w:hAnsi="Courier New" w:cs="Courier New"/>
      <w:color w:val="000000"/>
      <w:sz w:val="20"/>
      <w:szCs w:val="20"/>
    </w:rPr>
  </w:style>
  <w:style w:type="paragraph" w:styleId="CommentSubject">
    <w:name w:val="annotation subject"/>
    <w:basedOn w:val="CommentText"/>
    <w:next w:val="CommentText"/>
    <w:link w:val="CommentSubjectChar"/>
    <w:uiPriority w:val="99"/>
    <w:semiHidden/>
    <w:unhideWhenUsed/>
    <w:rsid w:val="00056B81"/>
    <w:rPr>
      <w:b/>
      <w:bCs/>
    </w:rPr>
  </w:style>
  <w:style w:type="character" w:customStyle="1" w:styleId="CommentSubjectChar">
    <w:name w:val="Comment Subject Char"/>
    <w:basedOn w:val="CommentTextChar"/>
    <w:link w:val="CommentSubject"/>
    <w:uiPriority w:val="99"/>
    <w:semiHidden/>
    <w:rsid w:val="00056B81"/>
    <w:rPr>
      <w:rFonts w:ascii="Courier New" w:hAnsi="Courier New" w:cs="Courier New"/>
      <w:b/>
      <w:bCs/>
      <w:color w:val="000000"/>
      <w:sz w:val="20"/>
      <w:szCs w:val="20"/>
    </w:rPr>
  </w:style>
  <w:style w:type="paragraph" w:styleId="BalloonText">
    <w:name w:val="Balloon Text"/>
    <w:basedOn w:val="Normal"/>
    <w:link w:val="BalloonTextChar"/>
    <w:uiPriority w:val="99"/>
    <w:semiHidden/>
    <w:unhideWhenUsed/>
    <w:rsid w:val="00FB2855"/>
    <w:rPr>
      <w:rFonts w:ascii="Segoe UI" w:hAnsi="Segoe UI" w:cs="Segoe UI"/>
    </w:rPr>
  </w:style>
  <w:style w:type="character" w:customStyle="1" w:styleId="BalloonTextChar">
    <w:name w:val="Balloon Text Char"/>
    <w:basedOn w:val="DefaultParagraphFont"/>
    <w:link w:val="BalloonText"/>
    <w:uiPriority w:val="99"/>
    <w:semiHidden/>
    <w:rsid w:val="00FB285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83399">
      <w:bodyDiv w:val="1"/>
      <w:marLeft w:val="0"/>
      <w:marRight w:val="0"/>
      <w:marTop w:val="0"/>
      <w:marBottom w:val="0"/>
      <w:divBdr>
        <w:top w:val="none" w:sz="0" w:space="0" w:color="auto"/>
        <w:left w:val="none" w:sz="0" w:space="0" w:color="auto"/>
        <w:bottom w:val="none" w:sz="0" w:space="0" w:color="auto"/>
        <w:right w:val="none" w:sz="0" w:space="0" w:color="auto"/>
      </w:divBdr>
      <w:divsChild>
        <w:div w:id="811868226">
          <w:marLeft w:val="0"/>
          <w:marRight w:val="0"/>
          <w:marTop w:val="0"/>
          <w:marBottom w:val="0"/>
          <w:divBdr>
            <w:top w:val="none" w:sz="0" w:space="0" w:color="auto"/>
            <w:left w:val="none" w:sz="0" w:space="0" w:color="auto"/>
            <w:bottom w:val="none" w:sz="0" w:space="0" w:color="auto"/>
            <w:right w:val="none" w:sz="0" w:space="0" w:color="auto"/>
          </w:divBdr>
          <w:divsChild>
            <w:div w:id="2070952859">
              <w:marLeft w:val="0"/>
              <w:marRight w:val="0"/>
              <w:marTop w:val="0"/>
              <w:marBottom w:val="0"/>
              <w:divBdr>
                <w:top w:val="none" w:sz="0" w:space="0" w:color="auto"/>
                <w:left w:val="none" w:sz="0" w:space="0" w:color="auto"/>
                <w:bottom w:val="none" w:sz="0" w:space="0" w:color="auto"/>
                <w:right w:val="none" w:sz="0" w:space="0" w:color="auto"/>
              </w:divBdr>
              <w:divsChild>
                <w:div w:id="307326693">
                  <w:marLeft w:val="0"/>
                  <w:marRight w:val="0"/>
                  <w:marTop w:val="0"/>
                  <w:marBottom w:val="0"/>
                  <w:divBdr>
                    <w:top w:val="none" w:sz="0" w:space="0" w:color="auto"/>
                    <w:left w:val="none" w:sz="0" w:space="0" w:color="auto"/>
                    <w:bottom w:val="none" w:sz="0" w:space="0" w:color="auto"/>
                    <w:right w:val="none" w:sz="0" w:space="0" w:color="auto"/>
                  </w:divBdr>
                  <w:divsChild>
                    <w:div w:id="1112436604">
                      <w:marLeft w:val="0"/>
                      <w:marRight w:val="0"/>
                      <w:marTop w:val="0"/>
                      <w:marBottom w:val="0"/>
                      <w:divBdr>
                        <w:top w:val="none" w:sz="0" w:space="0" w:color="auto"/>
                        <w:left w:val="none" w:sz="0" w:space="0" w:color="auto"/>
                        <w:bottom w:val="none" w:sz="0" w:space="0" w:color="auto"/>
                        <w:right w:val="none" w:sz="0" w:space="0" w:color="auto"/>
                      </w:divBdr>
                      <w:divsChild>
                        <w:div w:id="2044089141">
                          <w:marLeft w:val="0"/>
                          <w:marRight w:val="0"/>
                          <w:marTop w:val="0"/>
                          <w:marBottom w:val="0"/>
                          <w:divBdr>
                            <w:top w:val="none" w:sz="0" w:space="0" w:color="auto"/>
                            <w:left w:val="none" w:sz="0" w:space="0" w:color="auto"/>
                            <w:bottom w:val="none" w:sz="0" w:space="0" w:color="auto"/>
                            <w:right w:val="none" w:sz="0" w:space="0" w:color="auto"/>
                          </w:divBdr>
                          <w:divsChild>
                            <w:div w:id="1748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25225">
      <w:bodyDiv w:val="1"/>
      <w:marLeft w:val="0"/>
      <w:marRight w:val="0"/>
      <w:marTop w:val="0"/>
      <w:marBottom w:val="0"/>
      <w:divBdr>
        <w:top w:val="none" w:sz="0" w:space="0" w:color="auto"/>
        <w:left w:val="none" w:sz="0" w:space="0" w:color="auto"/>
        <w:bottom w:val="none" w:sz="0" w:space="0" w:color="auto"/>
        <w:right w:val="none" w:sz="0" w:space="0" w:color="auto"/>
      </w:divBdr>
    </w:div>
    <w:div w:id="816800414">
      <w:bodyDiv w:val="1"/>
      <w:marLeft w:val="0"/>
      <w:marRight w:val="0"/>
      <w:marTop w:val="0"/>
      <w:marBottom w:val="0"/>
      <w:divBdr>
        <w:top w:val="none" w:sz="0" w:space="0" w:color="auto"/>
        <w:left w:val="none" w:sz="0" w:space="0" w:color="auto"/>
        <w:bottom w:val="none" w:sz="0" w:space="0" w:color="auto"/>
        <w:right w:val="none" w:sz="0" w:space="0" w:color="auto"/>
      </w:divBdr>
    </w:div>
    <w:div w:id="956251425">
      <w:bodyDiv w:val="1"/>
      <w:marLeft w:val="0"/>
      <w:marRight w:val="0"/>
      <w:marTop w:val="0"/>
      <w:marBottom w:val="0"/>
      <w:divBdr>
        <w:top w:val="none" w:sz="0" w:space="0" w:color="auto"/>
        <w:left w:val="none" w:sz="0" w:space="0" w:color="auto"/>
        <w:bottom w:val="none" w:sz="0" w:space="0" w:color="auto"/>
        <w:right w:val="none" w:sz="0" w:space="0" w:color="auto"/>
      </w:divBdr>
    </w:div>
    <w:div w:id="1361977751">
      <w:bodyDiv w:val="1"/>
      <w:marLeft w:val="0"/>
      <w:marRight w:val="0"/>
      <w:marTop w:val="0"/>
      <w:marBottom w:val="0"/>
      <w:divBdr>
        <w:top w:val="none" w:sz="0" w:space="0" w:color="auto"/>
        <w:left w:val="none" w:sz="0" w:space="0" w:color="auto"/>
        <w:bottom w:val="none" w:sz="0" w:space="0" w:color="auto"/>
        <w:right w:val="none" w:sz="0" w:space="0" w:color="auto"/>
      </w:divBdr>
    </w:div>
    <w:div w:id="1488209153">
      <w:bodyDiv w:val="1"/>
      <w:marLeft w:val="0"/>
      <w:marRight w:val="0"/>
      <w:marTop w:val="0"/>
      <w:marBottom w:val="0"/>
      <w:divBdr>
        <w:top w:val="none" w:sz="0" w:space="0" w:color="auto"/>
        <w:left w:val="none" w:sz="0" w:space="0" w:color="auto"/>
        <w:bottom w:val="none" w:sz="0" w:space="0" w:color="auto"/>
        <w:right w:val="none" w:sz="0" w:space="0" w:color="auto"/>
      </w:divBdr>
      <w:divsChild>
        <w:div w:id="1967346055">
          <w:marLeft w:val="0"/>
          <w:marRight w:val="0"/>
          <w:marTop w:val="0"/>
          <w:marBottom w:val="0"/>
          <w:divBdr>
            <w:top w:val="none" w:sz="0" w:space="0" w:color="auto"/>
            <w:left w:val="none" w:sz="0" w:space="0" w:color="auto"/>
            <w:bottom w:val="none" w:sz="0" w:space="0" w:color="auto"/>
            <w:right w:val="none" w:sz="0" w:space="0" w:color="auto"/>
          </w:divBdr>
          <w:divsChild>
            <w:div w:id="1308167832">
              <w:marLeft w:val="0"/>
              <w:marRight w:val="0"/>
              <w:marTop w:val="0"/>
              <w:marBottom w:val="0"/>
              <w:divBdr>
                <w:top w:val="none" w:sz="0" w:space="0" w:color="auto"/>
                <w:left w:val="none" w:sz="0" w:space="0" w:color="auto"/>
                <w:bottom w:val="none" w:sz="0" w:space="0" w:color="auto"/>
                <w:right w:val="none" w:sz="0" w:space="0" w:color="auto"/>
              </w:divBdr>
              <w:divsChild>
                <w:div w:id="598753453">
                  <w:marLeft w:val="0"/>
                  <w:marRight w:val="0"/>
                  <w:marTop w:val="0"/>
                  <w:marBottom w:val="0"/>
                  <w:divBdr>
                    <w:top w:val="none" w:sz="0" w:space="0" w:color="auto"/>
                    <w:left w:val="none" w:sz="0" w:space="0" w:color="auto"/>
                    <w:bottom w:val="none" w:sz="0" w:space="0" w:color="auto"/>
                    <w:right w:val="none" w:sz="0" w:space="0" w:color="auto"/>
                  </w:divBdr>
                  <w:divsChild>
                    <w:div w:id="245726044">
                      <w:marLeft w:val="0"/>
                      <w:marRight w:val="0"/>
                      <w:marTop w:val="0"/>
                      <w:marBottom w:val="0"/>
                      <w:divBdr>
                        <w:top w:val="none" w:sz="0" w:space="0" w:color="auto"/>
                        <w:left w:val="none" w:sz="0" w:space="0" w:color="auto"/>
                        <w:bottom w:val="none" w:sz="0" w:space="0" w:color="auto"/>
                        <w:right w:val="none" w:sz="0" w:space="0" w:color="auto"/>
                      </w:divBdr>
                      <w:divsChild>
                        <w:div w:id="1547370810">
                          <w:marLeft w:val="0"/>
                          <w:marRight w:val="0"/>
                          <w:marTop w:val="0"/>
                          <w:marBottom w:val="0"/>
                          <w:divBdr>
                            <w:top w:val="none" w:sz="0" w:space="0" w:color="auto"/>
                            <w:left w:val="none" w:sz="0" w:space="0" w:color="auto"/>
                            <w:bottom w:val="none" w:sz="0" w:space="0" w:color="auto"/>
                            <w:right w:val="none" w:sz="0" w:space="0" w:color="auto"/>
                          </w:divBdr>
                          <w:divsChild>
                            <w:div w:id="18937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99018">
      <w:bodyDiv w:val="1"/>
      <w:marLeft w:val="0"/>
      <w:marRight w:val="0"/>
      <w:marTop w:val="0"/>
      <w:marBottom w:val="0"/>
      <w:divBdr>
        <w:top w:val="none" w:sz="0" w:space="0" w:color="auto"/>
        <w:left w:val="none" w:sz="0" w:space="0" w:color="auto"/>
        <w:bottom w:val="none" w:sz="0" w:space="0" w:color="auto"/>
        <w:right w:val="none" w:sz="0" w:space="0" w:color="auto"/>
      </w:divBdr>
    </w:div>
    <w:div w:id="1875847839">
      <w:bodyDiv w:val="1"/>
      <w:marLeft w:val="0"/>
      <w:marRight w:val="0"/>
      <w:marTop w:val="0"/>
      <w:marBottom w:val="0"/>
      <w:divBdr>
        <w:top w:val="none" w:sz="0" w:space="0" w:color="auto"/>
        <w:left w:val="none" w:sz="0" w:space="0" w:color="auto"/>
        <w:bottom w:val="none" w:sz="0" w:space="0" w:color="auto"/>
        <w:right w:val="none" w:sz="0" w:space="0" w:color="auto"/>
      </w:divBdr>
      <w:divsChild>
        <w:div w:id="1345471742">
          <w:marLeft w:val="0"/>
          <w:marRight w:val="0"/>
          <w:marTop w:val="0"/>
          <w:marBottom w:val="0"/>
          <w:divBdr>
            <w:top w:val="none" w:sz="0" w:space="0" w:color="auto"/>
            <w:left w:val="none" w:sz="0" w:space="0" w:color="auto"/>
            <w:bottom w:val="none" w:sz="0" w:space="0" w:color="auto"/>
            <w:right w:val="none" w:sz="0" w:space="0" w:color="auto"/>
          </w:divBdr>
          <w:divsChild>
            <w:div w:id="1170288502">
              <w:marLeft w:val="0"/>
              <w:marRight w:val="0"/>
              <w:marTop w:val="0"/>
              <w:marBottom w:val="0"/>
              <w:divBdr>
                <w:top w:val="none" w:sz="0" w:space="0" w:color="auto"/>
                <w:left w:val="none" w:sz="0" w:space="0" w:color="auto"/>
                <w:bottom w:val="none" w:sz="0" w:space="0" w:color="auto"/>
                <w:right w:val="none" w:sz="0" w:space="0" w:color="auto"/>
              </w:divBdr>
              <w:divsChild>
                <w:div w:id="446587459">
                  <w:marLeft w:val="0"/>
                  <w:marRight w:val="0"/>
                  <w:marTop w:val="0"/>
                  <w:marBottom w:val="0"/>
                  <w:divBdr>
                    <w:top w:val="none" w:sz="0" w:space="0" w:color="auto"/>
                    <w:left w:val="none" w:sz="0" w:space="0" w:color="auto"/>
                    <w:bottom w:val="none" w:sz="0" w:space="0" w:color="auto"/>
                    <w:right w:val="none" w:sz="0" w:space="0" w:color="auto"/>
                  </w:divBdr>
                  <w:divsChild>
                    <w:div w:id="2139300987">
                      <w:marLeft w:val="0"/>
                      <w:marRight w:val="0"/>
                      <w:marTop w:val="0"/>
                      <w:marBottom w:val="0"/>
                      <w:divBdr>
                        <w:top w:val="none" w:sz="0" w:space="0" w:color="auto"/>
                        <w:left w:val="none" w:sz="0" w:space="0" w:color="auto"/>
                        <w:bottom w:val="none" w:sz="0" w:space="0" w:color="auto"/>
                        <w:right w:val="none" w:sz="0" w:space="0" w:color="auto"/>
                      </w:divBdr>
                      <w:divsChild>
                        <w:div w:id="1436755847">
                          <w:marLeft w:val="0"/>
                          <w:marRight w:val="0"/>
                          <w:marTop w:val="0"/>
                          <w:marBottom w:val="0"/>
                          <w:divBdr>
                            <w:top w:val="none" w:sz="0" w:space="0" w:color="auto"/>
                            <w:left w:val="none" w:sz="0" w:space="0" w:color="auto"/>
                            <w:bottom w:val="none" w:sz="0" w:space="0" w:color="auto"/>
                            <w:right w:val="none" w:sz="0" w:space="0" w:color="auto"/>
                          </w:divBdr>
                          <w:divsChild>
                            <w:div w:id="15633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25587">
      <w:bodyDiv w:val="1"/>
      <w:marLeft w:val="0"/>
      <w:marRight w:val="0"/>
      <w:marTop w:val="0"/>
      <w:marBottom w:val="0"/>
      <w:divBdr>
        <w:top w:val="none" w:sz="0" w:space="0" w:color="auto"/>
        <w:left w:val="none" w:sz="0" w:space="0" w:color="auto"/>
        <w:bottom w:val="none" w:sz="0" w:space="0" w:color="auto"/>
        <w:right w:val="none" w:sz="0" w:space="0" w:color="auto"/>
      </w:divBdr>
      <w:divsChild>
        <w:div w:id="1167598255">
          <w:marLeft w:val="0"/>
          <w:marRight w:val="0"/>
          <w:marTop w:val="0"/>
          <w:marBottom w:val="0"/>
          <w:divBdr>
            <w:top w:val="none" w:sz="0" w:space="0" w:color="auto"/>
            <w:left w:val="none" w:sz="0" w:space="0" w:color="auto"/>
            <w:bottom w:val="none" w:sz="0" w:space="0" w:color="auto"/>
            <w:right w:val="none" w:sz="0" w:space="0" w:color="auto"/>
          </w:divBdr>
          <w:divsChild>
            <w:div w:id="250821171">
              <w:marLeft w:val="0"/>
              <w:marRight w:val="0"/>
              <w:marTop w:val="0"/>
              <w:marBottom w:val="0"/>
              <w:divBdr>
                <w:top w:val="none" w:sz="0" w:space="0" w:color="auto"/>
                <w:left w:val="none" w:sz="0" w:space="0" w:color="auto"/>
                <w:bottom w:val="none" w:sz="0" w:space="0" w:color="auto"/>
                <w:right w:val="none" w:sz="0" w:space="0" w:color="auto"/>
              </w:divBdr>
            </w:div>
          </w:divsChild>
        </w:div>
        <w:div w:id="1349941760">
          <w:marLeft w:val="0"/>
          <w:marRight w:val="0"/>
          <w:marTop w:val="0"/>
          <w:marBottom w:val="0"/>
          <w:divBdr>
            <w:top w:val="none" w:sz="0" w:space="0" w:color="auto"/>
            <w:left w:val="none" w:sz="0" w:space="0" w:color="auto"/>
            <w:bottom w:val="none" w:sz="0" w:space="0" w:color="auto"/>
            <w:right w:val="none" w:sz="0" w:space="0" w:color="auto"/>
          </w:divBdr>
          <w:divsChild>
            <w:div w:id="525483218">
              <w:marLeft w:val="0"/>
              <w:marRight w:val="0"/>
              <w:marTop w:val="0"/>
              <w:marBottom w:val="0"/>
              <w:divBdr>
                <w:top w:val="none" w:sz="0" w:space="0" w:color="auto"/>
                <w:left w:val="none" w:sz="0" w:space="0" w:color="auto"/>
                <w:bottom w:val="none" w:sz="0" w:space="0" w:color="auto"/>
                <w:right w:val="none" w:sz="0" w:space="0" w:color="auto"/>
              </w:divBdr>
            </w:div>
          </w:divsChild>
        </w:div>
        <w:div w:id="2117212317">
          <w:marLeft w:val="0"/>
          <w:marRight w:val="0"/>
          <w:marTop w:val="0"/>
          <w:marBottom w:val="0"/>
          <w:divBdr>
            <w:top w:val="none" w:sz="0" w:space="0" w:color="auto"/>
            <w:left w:val="none" w:sz="0" w:space="0" w:color="auto"/>
            <w:bottom w:val="none" w:sz="0" w:space="0" w:color="auto"/>
            <w:right w:val="none" w:sz="0" w:space="0" w:color="auto"/>
          </w:divBdr>
          <w:divsChild>
            <w:div w:id="141973343">
              <w:marLeft w:val="0"/>
              <w:marRight w:val="0"/>
              <w:marTop w:val="0"/>
              <w:marBottom w:val="0"/>
              <w:divBdr>
                <w:top w:val="none" w:sz="0" w:space="0" w:color="auto"/>
                <w:left w:val="none" w:sz="0" w:space="0" w:color="auto"/>
                <w:bottom w:val="none" w:sz="0" w:space="0" w:color="auto"/>
                <w:right w:val="none" w:sz="0" w:space="0" w:color="auto"/>
              </w:divBdr>
            </w:div>
          </w:divsChild>
        </w:div>
        <w:div w:id="1105464807">
          <w:marLeft w:val="0"/>
          <w:marRight w:val="0"/>
          <w:marTop w:val="0"/>
          <w:marBottom w:val="0"/>
          <w:divBdr>
            <w:top w:val="none" w:sz="0" w:space="0" w:color="auto"/>
            <w:left w:val="none" w:sz="0" w:space="0" w:color="auto"/>
            <w:bottom w:val="none" w:sz="0" w:space="0" w:color="auto"/>
            <w:right w:val="none" w:sz="0" w:space="0" w:color="auto"/>
          </w:divBdr>
          <w:divsChild>
            <w:div w:id="774130274">
              <w:marLeft w:val="0"/>
              <w:marRight w:val="0"/>
              <w:marTop w:val="0"/>
              <w:marBottom w:val="0"/>
              <w:divBdr>
                <w:top w:val="none" w:sz="0" w:space="0" w:color="auto"/>
                <w:left w:val="none" w:sz="0" w:space="0" w:color="auto"/>
                <w:bottom w:val="none" w:sz="0" w:space="0" w:color="auto"/>
                <w:right w:val="none" w:sz="0" w:space="0" w:color="auto"/>
              </w:divBdr>
            </w:div>
          </w:divsChild>
        </w:div>
        <w:div w:id="830945938">
          <w:marLeft w:val="0"/>
          <w:marRight w:val="0"/>
          <w:marTop w:val="0"/>
          <w:marBottom w:val="0"/>
          <w:divBdr>
            <w:top w:val="none" w:sz="0" w:space="0" w:color="auto"/>
            <w:left w:val="none" w:sz="0" w:space="0" w:color="auto"/>
            <w:bottom w:val="none" w:sz="0" w:space="0" w:color="auto"/>
            <w:right w:val="none" w:sz="0" w:space="0" w:color="auto"/>
          </w:divBdr>
          <w:divsChild>
            <w:div w:id="1190534991">
              <w:marLeft w:val="0"/>
              <w:marRight w:val="0"/>
              <w:marTop w:val="0"/>
              <w:marBottom w:val="0"/>
              <w:divBdr>
                <w:top w:val="none" w:sz="0" w:space="0" w:color="auto"/>
                <w:left w:val="none" w:sz="0" w:space="0" w:color="auto"/>
                <w:bottom w:val="none" w:sz="0" w:space="0" w:color="auto"/>
                <w:right w:val="none" w:sz="0" w:space="0" w:color="auto"/>
              </w:divBdr>
            </w:div>
          </w:divsChild>
        </w:div>
        <w:div w:id="44379394">
          <w:marLeft w:val="0"/>
          <w:marRight w:val="0"/>
          <w:marTop w:val="0"/>
          <w:marBottom w:val="0"/>
          <w:divBdr>
            <w:top w:val="none" w:sz="0" w:space="0" w:color="auto"/>
            <w:left w:val="none" w:sz="0" w:space="0" w:color="auto"/>
            <w:bottom w:val="none" w:sz="0" w:space="0" w:color="auto"/>
            <w:right w:val="none" w:sz="0" w:space="0" w:color="auto"/>
          </w:divBdr>
          <w:divsChild>
            <w:div w:id="1726567243">
              <w:marLeft w:val="0"/>
              <w:marRight w:val="0"/>
              <w:marTop w:val="0"/>
              <w:marBottom w:val="0"/>
              <w:divBdr>
                <w:top w:val="none" w:sz="0" w:space="0" w:color="auto"/>
                <w:left w:val="none" w:sz="0" w:space="0" w:color="auto"/>
                <w:bottom w:val="none" w:sz="0" w:space="0" w:color="auto"/>
                <w:right w:val="none" w:sz="0" w:space="0" w:color="auto"/>
              </w:divBdr>
            </w:div>
          </w:divsChild>
        </w:div>
        <w:div w:id="1867257380">
          <w:marLeft w:val="0"/>
          <w:marRight w:val="0"/>
          <w:marTop w:val="0"/>
          <w:marBottom w:val="0"/>
          <w:divBdr>
            <w:top w:val="none" w:sz="0" w:space="0" w:color="auto"/>
            <w:left w:val="none" w:sz="0" w:space="0" w:color="auto"/>
            <w:bottom w:val="none" w:sz="0" w:space="0" w:color="auto"/>
            <w:right w:val="none" w:sz="0" w:space="0" w:color="auto"/>
          </w:divBdr>
          <w:divsChild>
            <w:div w:id="5130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12</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Rakshith bk</dc:creator>
  <cp:keywords/>
  <dc:description/>
  <cp:lastModifiedBy>SDI 1022</cp:lastModifiedBy>
  <cp:revision>6</cp:revision>
  <dcterms:created xsi:type="dcterms:W3CDTF">2026-02-06T09:59:00Z</dcterms:created>
  <dcterms:modified xsi:type="dcterms:W3CDTF">2026-02-06T10:57:00Z</dcterms:modified>
</cp:coreProperties>
</file>