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8ED7F" w14:textId="77777777" w:rsidR="005300B0" w:rsidRDefault="005300B0" w:rsidP="00A35991">
      <w:pPr>
        <w:autoSpaceDE w:val="0"/>
        <w:autoSpaceDN w:val="0"/>
        <w:adjustRightInd w:val="0"/>
        <w:spacing w:after="0" w:line="240" w:lineRule="auto"/>
        <w:jc w:val="center"/>
        <w:rPr>
          <w:rFonts w:ascii="Times New Roman" w:hAnsi="Times New Roman" w:cs="Times New Roman"/>
          <w:b/>
          <w:bCs/>
          <w:sz w:val="24"/>
          <w:szCs w:val="24"/>
          <w:lang w:val="en-US"/>
        </w:rPr>
      </w:pPr>
    </w:p>
    <w:p w14:paraId="0F2C114F" w14:textId="1AC51E52" w:rsidR="00A35991" w:rsidRPr="00A35991" w:rsidRDefault="00A35991" w:rsidP="00A35991">
      <w:pPr>
        <w:autoSpaceDE w:val="0"/>
        <w:autoSpaceDN w:val="0"/>
        <w:adjustRightInd w:val="0"/>
        <w:spacing w:after="0" w:line="240" w:lineRule="auto"/>
        <w:jc w:val="center"/>
        <w:rPr>
          <w:rFonts w:ascii="Times New Roman" w:hAnsi="Times New Roman" w:cs="Times New Roman"/>
          <w:b/>
          <w:bCs/>
          <w:sz w:val="24"/>
          <w:szCs w:val="24"/>
        </w:rPr>
      </w:pPr>
      <w:r w:rsidRPr="00A35991">
        <w:rPr>
          <w:rFonts w:ascii="Times New Roman" w:hAnsi="Times New Roman" w:cs="Times New Roman"/>
          <w:b/>
          <w:bCs/>
          <w:sz w:val="24"/>
          <w:szCs w:val="24"/>
          <w:lang w:val="en-US"/>
        </w:rPr>
        <w:t>Survey of the tissue nutrient status of</w:t>
      </w:r>
      <w:r w:rsidRPr="00A35991">
        <w:rPr>
          <w:rFonts w:ascii="Times New Roman" w:hAnsi="Times New Roman" w:cs="Times New Roman"/>
          <w:b/>
          <w:bCs/>
          <w:sz w:val="24"/>
          <w:szCs w:val="24"/>
        </w:rPr>
        <w:t xml:space="preserve"> </w:t>
      </w:r>
      <w:r w:rsidR="00945765">
        <w:rPr>
          <w:rFonts w:ascii="Times New Roman" w:hAnsi="Times New Roman" w:cs="Times New Roman"/>
          <w:b/>
          <w:bCs/>
          <w:sz w:val="24"/>
          <w:szCs w:val="24"/>
        </w:rPr>
        <w:t>s</w:t>
      </w:r>
      <w:r w:rsidRPr="00A35991">
        <w:rPr>
          <w:rFonts w:ascii="Times New Roman" w:hAnsi="Times New Roman" w:cs="Times New Roman"/>
          <w:b/>
          <w:bCs/>
          <w:color w:val="000000"/>
          <w:sz w:val="24"/>
          <w:szCs w:val="24"/>
        </w:rPr>
        <w:t>ugarcane</w:t>
      </w:r>
      <w:r w:rsidRPr="00A35991">
        <w:rPr>
          <w:rFonts w:ascii="Times New Roman" w:hAnsi="Times New Roman" w:cs="Times New Roman"/>
          <w:b/>
          <w:bCs/>
          <w:sz w:val="24"/>
          <w:szCs w:val="24"/>
          <w:lang w:val="en-US"/>
        </w:rPr>
        <w:t xml:space="preserve"> </w:t>
      </w:r>
      <w:r w:rsidRPr="00A35991">
        <w:rPr>
          <w:rFonts w:ascii="Times New Roman" w:hAnsi="Times New Roman" w:cs="Times New Roman"/>
          <w:b/>
          <w:bCs/>
          <w:sz w:val="24"/>
          <w:szCs w:val="24"/>
        </w:rPr>
        <w:t>grown on different soils in Northern Telangana zone of Telangana</w:t>
      </w:r>
      <w:r w:rsidR="00F25DA8">
        <w:rPr>
          <w:rFonts w:ascii="Times New Roman" w:hAnsi="Times New Roman" w:cs="Times New Roman"/>
          <w:b/>
          <w:bCs/>
          <w:sz w:val="24"/>
          <w:szCs w:val="24"/>
        </w:rPr>
        <w:t>, India</w:t>
      </w:r>
    </w:p>
    <w:p w14:paraId="28A0B408" w14:textId="77777777" w:rsidR="00A35991" w:rsidRPr="006535D1" w:rsidRDefault="00A35991" w:rsidP="00A35991">
      <w:pPr>
        <w:autoSpaceDE w:val="0"/>
        <w:autoSpaceDN w:val="0"/>
        <w:adjustRightInd w:val="0"/>
        <w:spacing w:after="0" w:line="240" w:lineRule="auto"/>
        <w:jc w:val="both"/>
        <w:rPr>
          <w:rFonts w:ascii="Times New Roman" w:hAnsi="Times New Roman" w:cs="Times New Roman"/>
          <w:sz w:val="24"/>
          <w:szCs w:val="24"/>
        </w:rPr>
      </w:pPr>
    </w:p>
    <w:p w14:paraId="12F99FF1" w14:textId="77777777" w:rsidR="00F44819" w:rsidRDefault="00F44819" w:rsidP="00B1408D">
      <w:pPr>
        <w:spacing w:before="240" w:after="240" w:line="240" w:lineRule="auto"/>
        <w:rPr>
          <w:rFonts w:ascii="Times New Roman" w:hAnsi="Times New Roman" w:cs="Times New Roman"/>
          <w:b/>
          <w:bCs/>
          <w:sz w:val="28"/>
          <w:szCs w:val="28"/>
        </w:rPr>
      </w:pPr>
      <w:r>
        <w:rPr>
          <w:rFonts w:ascii="Times New Roman" w:hAnsi="Times New Roman" w:cs="Times New Roman"/>
          <w:b/>
          <w:bCs/>
          <w:sz w:val="28"/>
          <w:szCs w:val="28"/>
        </w:rPr>
        <w:t>Abstract</w:t>
      </w:r>
    </w:p>
    <w:p w14:paraId="4EF63A90" w14:textId="4CDDFD8B" w:rsidR="006B3D4F" w:rsidRDefault="005963E7" w:rsidP="00EE5932">
      <w:pPr>
        <w:autoSpaceDE w:val="0"/>
        <w:autoSpaceDN w:val="0"/>
        <w:adjustRightInd w:val="0"/>
        <w:spacing w:before="120" w:after="120" w:line="240" w:lineRule="auto"/>
        <w:jc w:val="both"/>
        <w:rPr>
          <w:rFonts w:ascii="Times New Roman" w:eastAsia="Times New Roman" w:hAnsi="Times New Roman" w:cs="Times New Roman"/>
          <w:sz w:val="24"/>
          <w:szCs w:val="24"/>
        </w:rPr>
      </w:pPr>
      <w:r w:rsidRPr="00F74B4D">
        <w:rPr>
          <w:rFonts w:ascii="Times New Roman" w:hAnsi="Times New Roman" w:cs="Times New Roman"/>
          <w:sz w:val="24"/>
          <w:szCs w:val="24"/>
          <w:lang w:val="en-US"/>
        </w:rPr>
        <w:t xml:space="preserve">The soil and </w:t>
      </w:r>
      <w:r w:rsidR="001043D4" w:rsidRPr="00F74B4D">
        <w:rPr>
          <w:rFonts w:ascii="Times New Roman" w:hAnsi="Times New Roman" w:cs="Times New Roman"/>
          <w:sz w:val="24"/>
          <w:szCs w:val="24"/>
          <w:lang w:val="en-US"/>
        </w:rPr>
        <w:t>tissue</w:t>
      </w:r>
      <w:r w:rsidRPr="00F74B4D">
        <w:rPr>
          <w:rFonts w:ascii="Times New Roman" w:hAnsi="Times New Roman" w:cs="Times New Roman"/>
          <w:sz w:val="24"/>
          <w:szCs w:val="24"/>
          <w:lang w:val="en-US"/>
        </w:rPr>
        <w:t xml:space="preserve"> nutrient survey was carried out in 12 blocks representing all the major sugarcane growing soils of the Nizamabad and </w:t>
      </w:r>
      <w:proofErr w:type="spellStart"/>
      <w:r w:rsidRPr="00F74B4D">
        <w:rPr>
          <w:rFonts w:ascii="Times New Roman" w:hAnsi="Times New Roman" w:cs="Times New Roman"/>
          <w:sz w:val="24"/>
          <w:szCs w:val="24"/>
          <w:lang w:val="en-US"/>
        </w:rPr>
        <w:t>Kamareddy</w:t>
      </w:r>
      <w:proofErr w:type="spellEnd"/>
      <w:r w:rsidRPr="00F74B4D">
        <w:rPr>
          <w:rFonts w:ascii="Times New Roman" w:hAnsi="Times New Roman" w:cs="Times New Roman"/>
          <w:sz w:val="24"/>
          <w:szCs w:val="24"/>
          <w:lang w:val="en-US"/>
        </w:rPr>
        <w:t xml:space="preserve"> Districts</w:t>
      </w:r>
      <w:r w:rsidR="00F74B4D" w:rsidRPr="00F74B4D">
        <w:rPr>
          <w:rFonts w:ascii="Times New Roman" w:hAnsi="Times New Roman" w:cs="Times New Roman"/>
          <w:sz w:val="24"/>
          <w:szCs w:val="24"/>
          <w:lang w:val="en-US"/>
        </w:rPr>
        <w:t xml:space="preserve">. </w:t>
      </w:r>
      <w:r w:rsidR="00F74B4D" w:rsidRPr="00F74B4D">
        <w:rPr>
          <w:rFonts w:ascii="Times New Roman" w:eastAsia="Times New Roman" w:hAnsi="Times New Roman" w:cs="Times New Roman"/>
          <w:sz w:val="24"/>
          <w:szCs w:val="24"/>
        </w:rPr>
        <w:t xml:space="preserve">As per the critical levels suggested for sugarcane, nearly 80.3, 9.45, </w:t>
      </w:r>
      <w:r w:rsidR="009B7690">
        <w:rPr>
          <w:rFonts w:ascii="Times New Roman" w:eastAsia="Times New Roman" w:hAnsi="Times New Roman" w:cs="Times New Roman"/>
          <w:sz w:val="24"/>
          <w:szCs w:val="24"/>
        </w:rPr>
        <w:t>10.02</w:t>
      </w:r>
      <w:r w:rsidR="00F74B4D" w:rsidRPr="00F74B4D">
        <w:rPr>
          <w:rFonts w:ascii="Times New Roman" w:eastAsia="Times New Roman" w:hAnsi="Times New Roman" w:cs="Times New Roman"/>
          <w:sz w:val="24"/>
          <w:szCs w:val="24"/>
        </w:rPr>
        <w:t xml:space="preserve">, 25.9, 18.9 and 62.2 per cent of the plant tissue samples are deficient in N, P, K, Cu, Fe and Zn, respectively. Adequate amounts of Mn </w:t>
      </w:r>
      <w:proofErr w:type="gramStart"/>
      <w:r w:rsidR="00F74B4D" w:rsidRPr="00F74B4D">
        <w:rPr>
          <w:rFonts w:ascii="Times New Roman" w:eastAsia="Times New Roman" w:hAnsi="Times New Roman" w:cs="Times New Roman"/>
          <w:sz w:val="24"/>
          <w:szCs w:val="24"/>
        </w:rPr>
        <w:t>was</w:t>
      </w:r>
      <w:proofErr w:type="gramEnd"/>
      <w:r w:rsidR="00F74B4D" w:rsidRPr="00F74B4D">
        <w:rPr>
          <w:rFonts w:ascii="Times New Roman" w:eastAsia="Times New Roman" w:hAnsi="Times New Roman" w:cs="Times New Roman"/>
          <w:sz w:val="24"/>
          <w:szCs w:val="24"/>
        </w:rPr>
        <w:t xml:space="preserve"> noticed in all the sugarcane plant tissues. The data regarding fertility parameters of the sugarcane growing soils nearly </w:t>
      </w:r>
      <w:r w:rsidR="00F74B4D" w:rsidRPr="00F74B4D">
        <w:rPr>
          <w:rFonts w:ascii="Times New Roman" w:hAnsi="Times New Roman" w:cs="Times New Roman"/>
          <w:sz w:val="24"/>
          <w:szCs w:val="24"/>
        </w:rPr>
        <w:t xml:space="preserve">47.24, </w:t>
      </w:r>
      <w:r w:rsidR="00F74B4D" w:rsidRPr="00F74B4D">
        <w:rPr>
          <w:rFonts w:ascii="Times New Roman" w:eastAsia="Times New Roman" w:hAnsi="Times New Roman" w:cs="Times New Roman"/>
          <w:sz w:val="24"/>
          <w:szCs w:val="24"/>
        </w:rPr>
        <w:t xml:space="preserve">91.33, 13.38 and 34.64 per cent of soils are deficient in </w:t>
      </w:r>
      <w:r w:rsidR="00F74B4D" w:rsidRPr="00F74B4D">
        <w:rPr>
          <w:rFonts w:ascii="Times New Roman" w:hAnsi="Times New Roman" w:cs="Times New Roman"/>
          <w:sz w:val="24"/>
          <w:szCs w:val="24"/>
        </w:rPr>
        <w:t xml:space="preserve">organic carbon, </w:t>
      </w:r>
      <w:r w:rsidR="00F74B4D" w:rsidRPr="00F74B4D">
        <w:rPr>
          <w:rFonts w:ascii="Times New Roman" w:eastAsia="Times New Roman" w:hAnsi="Times New Roman" w:cs="Times New Roman"/>
          <w:sz w:val="24"/>
          <w:szCs w:val="24"/>
        </w:rPr>
        <w:t>N, P</w:t>
      </w:r>
      <w:r w:rsidR="00F74B4D" w:rsidRPr="00F74B4D">
        <w:rPr>
          <w:rFonts w:ascii="Times New Roman" w:eastAsia="Times New Roman" w:hAnsi="Times New Roman" w:cs="Times New Roman"/>
          <w:sz w:val="24"/>
          <w:szCs w:val="24"/>
          <w:vertAlign w:val="subscript"/>
        </w:rPr>
        <w:t>2</w:t>
      </w:r>
      <w:r w:rsidR="00F74B4D" w:rsidRPr="00F74B4D">
        <w:rPr>
          <w:rFonts w:ascii="Times New Roman" w:eastAsia="Times New Roman" w:hAnsi="Times New Roman" w:cs="Times New Roman"/>
          <w:sz w:val="24"/>
          <w:szCs w:val="24"/>
        </w:rPr>
        <w:t>O</w:t>
      </w:r>
      <w:r w:rsidR="00F74B4D" w:rsidRPr="00F74B4D">
        <w:rPr>
          <w:rFonts w:ascii="Times New Roman" w:eastAsia="Times New Roman" w:hAnsi="Times New Roman" w:cs="Times New Roman"/>
          <w:sz w:val="24"/>
          <w:szCs w:val="24"/>
          <w:vertAlign w:val="subscript"/>
        </w:rPr>
        <w:t>5</w:t>
      </w:r>
      <w:r w:rsidR="00F74B4D" w:rsidRPr="00F74B4D">
        <w:rPr>
          <w:rFonts w:ascii="Times New Roman" w:eastAsia="Times New Roman" w:hAnsi="Times New Roman" w:cs="Times New Roman"/>
          <w:sz w:val="24"/>
          <w:szCs w:val="24"/>
        </w:rPr>
        <w:t xml:space="preserve"> and Zn respectively. Adequate amounts of K, Cu, Fe and Mn was noticed in all the sugarcane growing soils. Results on nutrient content of soils and plants, it can be confirmed that the nitrogen deficiency in plants </w:t>
      </w:r>
      <w:proofErr w:type="gramStart"/>
      <w:r w:rsidR="00F74B4D" w:rsidRPr="00F74B4D">
        <w:rPr>
          <w:rFonts w:ascii="Times New Roman" w:eastAsia="Times New Roman" w:hAnsi="Times New Roman" w:cs="Times New Roman"/>
          <w:sz w:val="24"/>
          <w:szCs w:val="24"/>
        </w:rPr>
        <w:t>is a reflection of</w:t>
      </w:r>
      <w:proofErr w:type="gramEnd"/>
      <w:r w:rsidR="00F74B4D" w:rsidRPr="00F74B4D">
        <w:rPr>
          <w:rFonts w:ascii="Times New Roman" w:eastAsia="Times New Roman" w:hAnsi="Times New Roman" w:cs="Times New Roman"/>
          <w:sz w:val="24"/>
          <w:szCs w:val="24"/>
        </w:rPr>
        <w:t xml:space="preserve"> its deficiency in soils. But even though, there is no deficiency of potassium in soils its deficiency in plants is up to 10 per cent.</w:t>
      </w:r>
      <w:r w:rsidR="00DB75B3">
        <w:rPr>
          <w:rFonts w:ascii="Times New Roman" w:eastAsia="Times New Roman" w:hAnsi="Times New Roman" w:cs="Times New Roman"/>
          <w:sz w:val="24"/>
          <w:szCs w:val="24"/>
        </w:rPr>
        <w:t xml:space="preserve"> </w:t>
      </w:r>
      <w:r w:rsidR="00F74B4D" w:rsidRPr="00F74B4D">
        <w:rPr>
          <w:rFonts w:ascii="Times New Roman" w:eastAsia="Times New Roman" w:hAnsi="Times New Roman" w:cs="Times New Roman"/>
          <w:sz w:val="24"/>
          <w:szCs w:val="24"/>
        </w:rPr>
        <w:t xml:space="preserve">Phosphorus is high in soils and the same is also reflected in plants. Regarding micronutrients, the deficiencies of Zn in soils is also reflected in plants also. But copper deficiency was observed in plants, in spite of the soils were sufficient. </w:t>
      </w:r>
    </w:p>
    <w:p w14:paraId="0D799B99" w14:textId="63BC5DF1" w:rsidR="00F74B4D" w:rsidRPr="006B3D4F" w:rsidRDefault="006B3D4F" w:rsidP="00EE5932">
      <w:pPr>
        <w:autoSpaceDE w:val="0"/>
        <w:autoSpaceDN w:val="0"/>
        <w:adjustRightInd w:val="0"/>
        <w:spacing w:before="120" w:after="120" w:line="240" w:lineRule="auto"/>
        <w:jc w:val="both"/>
        <w:rPr>
          <w:rFonts w:ascii="Times New Roman" w:eastAsia="Times New Roman" w:hAnsi="Times New Roman" w:cs="Times New Roman"/>
          <w:color w:val="000000"/>
          <w:sz w:val="24"/>
          <w:szCs w:val="24"/>
        </w:rPr>
      </w:pPr>
      <w:r w:rsidRPr="006B3D4F">
        <w:rPr>
          <w:rFonts w:ascii="Times New Roman" w:eastAsia="Times New Roman" w:hAnsi="Times New Roman" w:cs="Times New Roman"/>
          <w:b/>
          <w:bCs/>
          <w:sz w:val="24"/>
          <w:szCs w:val="24"/>
        </w:rPr>
        <w:t xml:space="preserve">Key Words: </w:t>
      </w:r>
      <w:r w:rsidR="00F74B4D" w:rsidRPr="006B3D4F">
        <w:rPr>
          <w:rFonts w:ascii="Times New Roman" w:eastAsia="Times New Roman" w:hAnsi="Times New Roman" w:cs="Times New Roman"/>
          <w:b/>
          <w:bCs/>
          <w:sz w:val="24"/>
          <w:szCs w:val="24"/>
        </w:rPr>
        <w:t xml:space="preserve"> </w:t>
      </w:r>
      <w:r w:rsidR="004D1EF0">
        <w:rPr>
          <w:rFonts w:ascii="Times New Roman" w:eastAsia="Times New Roman" w:hAnsi="Times New Roman" w:cs="Times New Roman"/>
          <w:sz w:val="24"/>
          <w:szCs w:val="24"/>
        </w:rPr>
        <w:t>Tissue Nutrient Concentration, Soil Fertility Status, Sugarcane, Survey</w:t>
      </w:r>
    </w:p>
    <w:p w14:paraId="4293B854" w14:textId="2A091627" w:rsidR="00F44819" w:rsidRPr="00F44819" w:rsidRDefault="008948AE" w:rsidP="00B1408D">
      <w:pPr>
        <w:spacing w:before="240" w:after="240" w:line="240" w:lineRule="auto"/>
        <w:rPr>
          <w:rFonts w:ascii="Times New Roman" w:hAnsi="Times New Roman" w:cs="Times New Roman"/>
          <w:b/>
          <w:bCs/>
          <w:sz w:val="28"/>
          <w:szCs w:val="28"/>
        </w:rPr>
      </w:pPr>
      <w:r>
        <w:rPr>
          <w:rFonts w:ascii="Times New Roman" w:hAnsi="Times New Roman" w:cs="Times New Roman"/>
          <w:b/>
          <w:bCs/>
          <w:sz w:val="24"/>
          <w:szCs w:val="24"/>
        </w:rPr>
        <w:t xml:space="preserve">1. </w:t>
      </w:r>
      <w:r w:rsidR="00F44819" w:rsidRPr="00F44819">
        <w:rPr>
          <w:rFonts w:ascii="Times New Roman" w:hAnsi="Times New Roman" w:cs="Times New Roman"/>
          <w:b/>
          <w:bCs/>
          <w:sz w:val="24"/>
          <w:szCs w:val="24"/>
        </w:rPr>
        <w:t xml:space="preserve">Introduction </w:t>
      </w:r>
    </w:p>
    <w:p w14:paraId="06E90C39" w14:textId="0EE426DA" w:rsidR="003A7BCD" w:rsidRPr="003A7BCD" w:rsidRDefault="003A7BCD" w:rsidP="00EE5932">
      <w:pPr>
        <w:autoSpaceDE w:val="0"/>
        <w:autoSpaceDN w:val="0"/>
        <w:adjustRightInd w:val="0"/>
        <w:spacing w:before="120" w:after="120" w:line="240" w:lineRule="auto"/>
        <w:ind w:firstLine="720"/>
        <w:jc w:val="both"/>
        <w:rPr>
          <w:rFonts w:ascii="Times New Roman" w:hAnsi="Times New Roman" w:cs="Times New Roman"/>
          <w:sz w:val="24"/>
          <w:szCs w:val="24"/>
        </w:rPr>
      </w:pPr>
      <w:r w:rsidRPr="003A7BCD">
        <w:rPr>
          <w:rFonts w:ascii="Times New Roman" w:hAnsi="Times New Roman" w:cs="Times New Roman"/>
          <w:sz w:val="24"/>
          <w:szCs w:val="24"/>
        </w:rPr>
        <w:t>Sugarcane (</w:t>
      </w:r>
      <w:r w:rsidRPr="003A7BCD">
        <w:rPr>
          <w:rFonts w:ascii="Times New Roman" w:hAnsi="Times New Roman" w:cs="Times New Roman"/>
          <w:i/>
          <w:iCs/>
          <w:sz w:val="24"/>
          <w:szCs w:val="24"/>
        </w:rPr>
        <w:t xml:space="preserve">Saccharum </w:t>
      </w:r>
      <w:proofErr w:type="spellStart"/>
      <w:r w:rsidRPr="003A7BCD">
        <w:rPr>
          <w:rFonts w:ascii="Times New Roman" w:hAnsi="Times New Roman" w:cs="Times New Roman"/>
          <w:i/>
          <w:iCs/>
          <w:sz w:val="24"/>
          <w:szCs w:val="24"/>
        </w:rPr>
        <w:t>officinarum</w:t>
      </w:r>
      <w:proofErr w:type="spellEnd"/>
      <w:r w:rsidRPr="003A7BCD">
        <w:rPr>
          <w:rFonts w:ascii="Times New Roman" w:hAnsi="Times New Roman" w:cs="Times New Roman"/>
          <w:sz w:val="24"/>
          <w:szCs w:val="24"/>
        </w:rPr>
        <w:t xml:space="preserve"> L.) is one of the most important commercial crops cultivated in tropical and subtropical regions and plays a vital role in the </w:t>
      </w:r>
      <w:proofErr w:type="spellStart"/>
      <w:r w:rsidRPr="003A7BCD">
        <w:rPr>
          <w:rFonts w:ascii="Times New Roman" w:hAnsi="Times New Roman" w:cs="Times New Roman"/>
          <w:sz w:val="24"/>
          <w:szCs w:val="24"/>
        </w:rPr>
        <w:t>agro</w:t>
      </w:r>
      <w:proofErr w:type="spellEnd"/>
      <w:r w:rsidRPr="003A7BCD">
        <w:rPr>
          <w:rFonts w:ascii="Times New Roman" w:hAnsi="Times New Roman" w:cs="Times New Roman"/>
          <w:sz w:val="24"/>
          <w:szCs w:val="24"/>
        </w:rPr>
        <w:t>-industrial economy of India. India is the second largest producer of sugarcane in the world, contributing significantly to global sugar production and rural employment. During 2024–25, sugarcane was cultivated in about 5.7 million hectares with a production of nearly 454 million tonnes, reflecting the importance of this crop in the national economy (Ministry of Agriculture and Farmers Welfare, 2025). The productivity of sugarcane is greatly influenced by soil fertility, nutrient management, irrigation, and improved varieties. Proper nutrient management plays a crucial role in improving cane yield, juice quality, and sustainability of sugarcane-based production systems (</w:t>
      </w:r>
      <w:r w:rsidR="00F7458E">
        <w:rPr>
          <w:rFonts w:ascii="Times New Roman" w:hAnsi="Times New Roman" w:cs="Times New Roman"/>
          <w:sz w:val="24"/>
          <w:szCs w:val="24"/>
        </w:rPr>
        <w:t>Reddy</w:t>
      </w:r>
      <w:r w:rsidR="00221B30">
        <w:rPr>
          <w:rFonts w:ascii="Times New Roman" w:hAnsi="Times New Roman" w:cs="Times New Roman"/>
          <w:sz w:val="24"/>
          <w:szCs w:val="24"/>
        </w:rPr>
        <w:t xml:space="preserve"> et al., 2018 and Reddy et al., 2021</w:t>
      </w:r>
      <w:r w:rsidRPr="003A7BCD">
        <w:rPr>
          <w:rFonts w:ascii="Times New Roman" w:hAnsi="Times New Roman" w:cs="Times New Roman"/>
          <w:sz w:val="24"/>
          <w:szCs w:val="24"/>
        </w:rPr>
        <w:t>).</w:t>
      </w:r>
    </w:p>
    <w:p w14:paraId="4B7BC4C2" w14:textId="21387038" w:rsidR="003A7BCD" w:rsidRPr="003A7BCD" w:rsidRDefault="003A7BCD" w:rsidP="00EE5932">
      <w:pPr>
        <w:autoSpaceDE w:val="0"/>
        <w:autoSpaceDN w:val="0"/>
        <w:adjustRightInd w:val="0"/>
        <w:spacing w:before="120" w:after="120" w:line="240" w:lineRule="auto"/>
        <w:ind w:firstLine="720"/>
        <w:jc w:val="both"/>
        <w:rPr>
          <w:rFonts w:ascii="Times New Roman" w:hAnsi="Times New Roman" w:cs="Times New Roman"/>
          <w:sz w:val="24"/>
          <w:szCs w:val="24"/>
        </w:rPr>
      </w:pPr>
      <w:r w:rsidRPr="003A7BCD">
        <w:rPr>
          <w:rFonts w:ascii="Times New Roman" w:hAnsi="Times New Roman" w:cs="Times New Roman"/>
          <w:sz w:val="24"/>
          <w:szCs w:val="24"/>
        </w:rPr>
        <w:t xml:space="preserve">In Telangana, sugarcane cultivation is mainly concentrated in the northern districts such as Nizamabad and </w:t>
      </w:r>
      <w:proofErr w:type="spellStart"/>
      <w:r w:rsidRPr="003A7BCD">
        <w:rPr>
          <w:rFonts w:ascii="Times New Roman" w:hAnsi="Times New Roman" w:cs="Times New Roman"/>
          <w:sz w:val="24"/>
          <w:szCs w:val="24"/>
        </w:rPr>
        <w:t>Kamareddy</w:t>
      </w:r>
      <w:proofErr w:type="spellEnd"/>
      <w:r w:rsidRPr="003A7BCD">
        <w:rPr>
          <w:rFonts w:ascii="Times New Roman" w:hAnsi="Times New Roman" w:cs="Times New Roman"/>
          <w:sz w:val="24"/>
          <w:szCs w:val="24"/>
        </w:rPr>
        <w:t xml:space="preserve">, where favourable soil and irrigation conditions support its production. However, the area under sugarcane has declined in recent years due to the closure of sugar factories and changes in cropping patterns. At present, about 18,000 acres of sugarcane are cultivated in Nizamabad and </w:t>
      </w:r>
      <w:proofErr w:type="spellStart"/>
      <w:r w:rsidRPr="003A7BCD">
        <w:rPr>
          <w:rFonts w:ascii="Times New Roman" w:hAnsi="Times New Roman" w:cs="Times New Roman"/>
          <w:sz w:val="24"/>
          <w:szCs w:val="24"/>
        </w:rPr>
        <w:t>Kamareddy</w:t>
      </w:r>
      <w:proofErr w:type="spellEnd"/>
      <w:r w:rsidRPr="003A7BCD">
        <w:rPr>
          <w:rFonts w:ascii="Times New Roman" w:hAnsi="Times New Roman" w:cs="Times New Roman"/>
          <w:sz w:val="24"/>
          <w:szCs w:val="24"/>
        </w:rPr>
        <w:t xml:space="preserve"> districts, producing nearly 5.76 lakh tonnes of cane with an average productivity of around 80 t ha⁻¹, which is higher than the national average. Efficient management of soil nutrients and adoption of improved cultivation practices are therefore essential to sustain productivity and profitability of sugarcane cultivation in the region</w:t>
      </w:r>
      <w:r w:rsidR="008F5C83">
        <w:rPr>
          <w:rFonts w:ascii="Times New Roman" w:hAnsi="Times New Roman" w:cs="Times New Roman"/>
          <w:sz w:val="24"/>
          <w:szCs w:val="24"/>
        </w:rPr>
        <w:t xml:space="preserve"> </w:t>
      </w:r>
      <w:r w:rsidR="00BF54AC">
        <w:rPr>
          <w:rFonts w:ascii="Times New Roman" w:hAnsi="Times New Roman" w:cs="Times New Roman"/>
          <w:sz w:val="24"/>
          <w:szCs w:val="24"/>
        </w:rPr>
        <w:t>(</w:t>
      </w:r>
      <w:r w:rsidR="008F5C83">
        <w:rPr>
          <w:rFonts w:ascii="Times New Roman" w:hAnsi="Times New Roman" w:cs="Times New Roman"/>
          <w:sz w:val="24"/>
          <w:szCs w:val="24"/>
        </w:rPr>
        <w:t>Reddy et al., 2026</w:t>
      </w:r>
      <w:r w:rsidR="00BF54AC">
        <w:rPr>
          <w:rFonts w:ascii="Times New Roman" w:hAnsi="Times New Roman" w:cs="Times New Roman"/>
          <w:sz w:val="24"/>
          <w:szCs w:val="24"/>
        </w:rPr>
        <w:t>)</w:t>
      </w:r>
      <w:r w:rsidRPr="003A7BCD">
        <w:rPr>
          <w:rFonts w:ascii="Times New Roman" w:hAnsi="Times New Roman" w:cs="Times New Roman"/>
          <w:sz w:val="24"/>
          <w:szCs w:val="24"/>
        </w:rPr>
        <w:t>.</w:t>
      </w:r>
    </w:p>
    <w:p w14:paraId="4FCAFC87" w14:textId="1B49B5E4" w:rsidR="00AD1F73" w:rsidRDefault="007731A0" w:rsidP="00EE5932">
      <w:pPr>
        <w:autoSpaceDE w:val="0"/>
        <w:autoSpaceDN w:val="0"/>
        <w:adjustRightInd w:val="0"/>
        <w:spacing w:before="120" w:after="120" w:line="240" w:lineRule="auto"/>
        <w:jc w:val="both"/>
        <w:rPr>
          <w:rFonts w:ascii="Times New Roman" w:hAnsi="Times New Roman" w:cs="Times New Roman"/>
          <w:sz w:val="24"/>
          <w:szCs w:val="24"/>
        </w:rPr>
      </w:pPr>
      <w:r w:rsidRPr="00AD1F73">
        <w:rPr>
          <w:rFonts w:ascii="Times New Roman" w:hAnsi="Times New Roman" w:cs="Times New Roman"/>
          <w:sz w:val="24"/>
          <w:szCs w:val="24"/>
          <w:lang w:val="en-US"/>
        </w:rPr>
        <w:tab/>
        <w:t>Leaf tissue analysis was probably first established as a useful diagnostic tool by the early chemists who recognized that relationships existed between crop yield and the nutrient content of plant ash</w:t>
      </w:r>
      <w:r w:rsidR="00932990">
        <w:rPr>
          <w:rFonts w:ascii="Times New Roman" w:hAnsi="Times New Roman" w:cs="Times New Roman"/>
          <w:sz w:val="24"/>
          <w:szCs w:val="24"/>
          <w:lang w:val="en-US"/>
        </w:rPr>
        <w:t>.</w:t>
      </w:r>
      <w:r w:rsidR="00324BF1">
        <w:rPr>
          <w:rFonts w:ascii="Times New Roman" w:hAnsi="Times New Roman" w:cs="Times New Roman"/>
          <w:sz w:val="24"/>
          <w:szCs w:val="24"/>
          <w:lang w:val="en-US"/>
        </w:rPr>
        <w:t xml:space="preserve"> </w:t>
      </w:r>
      <w:r w:rsidR="00147FC6" w:rsidRPr="00147FC6">
        <w:rPr>
          <w:rFonts w:ascii="Times New Roman" w:hAnsi="Times New Roman" w:cs="Times New Roman"/>
          <w:sz w:val="24"/>
          <w:szCs w:val="24"/>
        </w:rPr>
        <w:t>Soil test along with specific plant tissue analysis is more suitable in determining the nutrient requirements (</w:t>
      </w:r>
      <w:proofErr w:type="spellStart"/>
      <w:r w:rsidR="00147FC6" w:rsidRPr="00147FC6">
        <w:rPr>
          <w:rFonts w:ascii="Times New Roman" w:hAnsi="Times New Roman" w:cs="Times New Roman"/>
          <w:sz w:val="24"/>
          <w:szCs w:val="24"/>
        </w:rPr>
        <w:t>Memon</w:t>
      </w:r>
      <w:proofErr w:type="spellEnd"/>
      <w:r w:rsidR="00147FC6" w:rsidRPr="00147FC6">
        <w:rPr>
          <w:rFonts w:ascii="Times New Roman" w:hAnsi="Times New Roman" w:cs="Times New Roman"/>
          <w:sz w:val="24"/>
          <w:szCs w:val="24"/>
        </w:rPr>
        <w:t xml:space="preserve"> </w:t>
      </w:r>
      <w:r w:rsidR="00147FC6" w:rsidRPr="00147FC6">
        <w:rPr>
          <w:rFonts w:ascii="Times New Roman" w:hAnsi="Times New Roman" w:cs="Times New Roman"/>
          <w:i/>
          <w:iCs/>
          <w:sz w:val="24"/>
          <w:szCs w:val="24"/>
        </w:rPr>
        <w:t>et al</w:t>
      </w:r>
      <w:r w:rsidR="00147FC6" w:rsidRPr="00147FC6">
        <w:rPr>
          <w:rFonts w:ascii="Times New Roman" w:hAnsi="Times New Roman" w:cs="Times New Roman"/>
          <w:sz w:val="24"/>
          <w:szCs w:val="24"/>
        </w:rPr>
        <w:t xml:space="preserve">., 2005). To interpret the data, critical values for soil and various field crops are established. </w:t>
      </w:r>
      <w:r w:rsidR="00AD1F73" w:rsidRPr="0099061A">
        <w:rPr>
          <w:rFonts w:ascii="Times New Roman" w:hAnsi="Times New Roman" w:cs="Times New Roman"/>
          <w:sz w:val="24"/>
          <w:szCs w:val="24"/>
        </w:rPr>
        <w:t>Plant sampling at the latest acceptable stage (initial flowering) gives the best picture of the general nutritional</w:t>
      </w:r>
      <w:r w:rsidR="00AD1F73">
        <w:rPr>
          <w:rFonts w:ascii="Times New Roman" w:hAnsi="Times New Roman" w:cs="Times New Roman"/>
          <w:sz w:val="24"/>
          <w:szCs w:val="24"/>
        </w:rPr>
        <w:t xml:space="preserve"> </w:t>
      </w:r>
      <w:r w:rsidR="00AD1F73" w:rsidRPr="0099061A">
        <w:rPr>
          <w:rFonts w:ascii="Times New Roman" w:hAnsi="Times New Roman" w:cs="Times New Roman"/>
          <w:sz w:val="24"/>
          <w:szCs w:val="24"/>
        </w:rPr>
        <w:t>status of the plant. At this plant growth stage</w:t>
      </w:r>
      <w:r w:rsidR="00AD1F73">
        <w:rPr>
          <w:rFonts w:ascii="Times New Roman" w:hAnsi="Times New Roman" w:cs="Times New Roman"/>
          <w:sz w:val="24"/>
          <w:szCs w:val="24"/>
        </w:rPr>
        <w:t xml:space="preserve"> </w:t>
      </w:r>
      <w:r w:rsidR="00AD1F73" w:rsidRPr="0099061A">
        <w:rPr>
          <w:rFonts w:ascii="Times New Roman" w:hAnsi="Times New Roman" w:cs="Times New Roman"/>
          <w:sz w:val="24"/>
          <w:szCs w:val="24"/>
        </w:rPr>
        <w:t>most of the nutrient uptake has occurred.</w:t>
      </w:r>
      <w:r w:rsidR="00AD1F73">
        <w:rPr>
          <w:rFonts w:ascii="Times New Roman" w:hAnsi="Times New Roman" w:cs="Times New Roman"/>
          <w:sz w:val="24"/>
          <w:szCs w:val="24"/>
        </w:rPr>
        <w:t xml:space="preserve"> </w:t>
      </w:r>
      <w:r w:rsidR="00AD1F73" w:rsidRPr="0099061A">
        <w:rPr>
          <w:rFonts w:ascii="Times New Roman" w:hAnsi="Times New Roman" w:cs="Times New Roman"/>
          <w:sz w:val="24"/>
          <w:szCs w:val="24"/>
        </w:rPr>
        <w:t>When reproductive growth begins (i.e. seed or</w:t>
      </w:r>
      <w:r w:rsidR="00AD1F73">
        <w:rPr>
          <w:rFonts w:ascii="Times New Roman" w:hAnsi="Times New Roman" w:cs="Times New Roman"/>
          <w:sz w:val="24"/>
          <w:szCs w:val="24"/>
        </w:rPr>
        <w:t xml:space="preserve"> </w:t>
      </w:r>
      <w:r w:rsidR="00AD1F73" w:rsidRPr="0099061A">
        <w:rPr>
          <w:rFonts w:ascii="Times New Roman" w:hAnsi="Times New Roman" w:cs="Times New Roman"/>
          <w:sz w:val="24"/>
          <w:szCs w:val="24"/>
        </w:rPr>
        <w:t>grain development) nutrients contained in the</w:t>
      </w:r>
      <w:r w:rsidR="00AD1F73">
        <w:rPr>
          <w:rFonts w:ascii="Times New Roman" w:hAnsi="Times New Roman" w:cs="Times New Roman"/>
          <w:sz w:val="24"/>
          <w:szCs w:val="24"/>
        </w:rPr>
        <w:t xml:space="preserve"> </w:t>
      </w:r>
      <w:r w:rsidR="00AD1F73" w:rsidRPr="0099061A">
        <w:rPr>
          <w:rFonts w:ascii="Times New Roman" w:hAnsi="Times New Roman" w:cs="Times New Roman"/>
          <w:sz w:val="24"/>
          <w:szCs w:val="24"/>
        </w:rPr>
        <w:t>plant are reallocated from the plant leaves to</w:t>
      </w:r>
      <w:r w:rsidR="00AD1F73">
        <w:rPr>
          <w:rFonts w:ascii="Times New Roman" w:hAnsi="Times New Roman" w:cs="Times New Roman"/>
          <w:sz w:val="24"/>
          <w:szCs w:val="24"/>
        </w:rPr>
        <w:t xml:space="preserve"> </w:t>
      </w:r>
      <w:r w:rsidR="00AD1F73" w:rsidRPr="0099061A">
        <w:rPr>
          <w:rFonts w:ascii="Times New Roman" w:hAnsi="Times New Roman" w:cs="Times New Roman"/>
          <w:sz w:val="24"/>
          <w:szCs w:val="24"/>
        </w:rPr>
        <w:t>seed development</w:t>
      </w:r>
      <w:r w:rsidR="00AD1F73" w:rsidRPr="00AD1F73">
        <w:rPr>
          <w:rFonts w:ascii="Times New Roman" w:hAnsi="Times New Roman" w:cs="Times New Roman"/>
          <w:sz w:val="24"/>
          <w:szCs w:val="24"/>
        </w:rPr>
        <w:t xml:space="preserve"> </w:t>
      </w:r>
      <w:r w:rsidR="00AD1F73">
        <w:rPr>
          <w:rFonts w:ascii="Times New Roman" w:hAnsi="Times New Roman" w:cs="Times New Roman"/>
          <w:sz w:val="24"/>
          <w:szCs w:val="24"/>
        </w:rPr>
        <w:t>(</w:t>
      </w:r>
      <w:proofErr w:type="spellStart"/>
      <w:r w:rsidR="00AD1F73" w:rsidRPr="00147FC6">
        <w:rPr>
          <w:rFonts w:ascii="Times New Roman" w:hAnsi="Times New Roman" w:cs="Times New Roman"/>
          <w:sz w:val="24"/>
          <w:szCs w:val="24"/>
        </w:rPr>
        <w:t>Suggu</w:t>
      </w:r>
      <w:proofErr w:type="spellEnd"/>
      <w:r w:rsidR="00AD1F73" w:rsidRPr="00147FC6">
        <w:rPr>
          <w:rFonts w:ascii="Times New Roman" w:hAnsi="Times New Roman" w:cs="Times New Roman"/>
          <w:sz w:val="24"/>
          <w:szCs w:val="24"/>
        </w:rPr>
        <w:t xml:space="preserve"> </w:t>
      </w:r>
      <w:r w:rsidR="00AD1F73" w:rsidRPr="00147FC6">
        <w:rPr>
          <w:rFonts w:ascii="Times New Roman" w:hAnsi="Times New Roman" w:cs="Times New Roman"/>
          <w:i/>
          <w:iCs/>
          <w:sz w:val="24"/>
          <w:szCs w:val="24"/>
        </w:rPr>
        <w:t>et al</w:t>
      </w:r>
      <w:r w:rsidR="00AD1F73" w:rsidRPr="00147FC6">
        <w:rPr>
          <w:rFonts w:ascii="Times New Roman" w:hAnsi="Times New Roman" w:cs="Times New Roman"/>
          <w:sz w:val="24"/>
          <w:szCs w:val="24"/>
        </w:rPr>
        <w:t>., 2010).</w:t>
      </w:r>
      <w:r w:rsidR="00AD1F73">
        <w:rPr>
          <w:rFonts w:ascii="Times New Roman" w:hAnsi="Times New Roman" w:cs="Times New Roman"/>
          <w:sz w:val="24"/>
          <w:szCs w:val="24"/>
        </w:rPr>
        <w:t xml:space="preserve"> </w:t>
      </w:r>
      <w:r w:rsidR="00AD1F73" w:rsidRPr="00F76B58">
        <w:rPr>
          <w:rFonts w:ascii="Times New Roman" w:hAnsi="Times New Roman" w:cs="Times New Roman"/>
          <w:sz w:val="24"/>
          <w:szCs w:val="24"/>
        </w:rPr>
        <w:t xml:space="preserve">This study targeted to determine the extent variability of </w:t>
      </w:r>
      <w:r w:rsidR="00AD1F73" w:rsidRPr="00F76B58">
        <w:rPr>
          <w:rFonts w:ascii="Times New Roman" w:hAnsi="Times New Roman" w:cs="Times New Roman"/>
          <w:sz w:val="24"/>
          <w:szCs w:val="24"/>
        </w:rPr>
        <w:lastRenderedPageBreak/>
        <w:t>nutrient deficiencies for sugarcane and interpret the results in the light of critical nutrient level (CNL) approach for nutrient deficiency diagnosis and recommendation for sugarcane growers.</w:t>
      </w:r>
    </w:p>
    <w:p w14:paraId="24D5297F" w14:textId="77777777" w:rsidR="00491689" w:rsidRPr="00491689" w:rsidRDefault="00491689" w:rsidP="00491689">
      <w:pPr>
        <w:spacing w:before="100" w:beforeAutospacing="1" w:after="100" w:afterAutospacing="1" w:line="240" w:lineRule="auto"/>
        <w:outlineLvl w:val="2"/>
        <w:rPr>
          <w:rFonts w:ascii="Times New Roman" w:eastAsia="Times New Roman" w:hAnsi="Times New Roman" w:cs="Times New Roman"/>
          <w:b/>
          <w:bCs/>
          <w:sz w:val="27"/>
          <w:szCs w:val="27"/>
          <w:lang w:val="en-US" w:eastAsia="en-US" w:bidi="ar-SA"/>
        </w:rPr>
      </w:pPr>
      <w:r w:rsidRPr="00491689">
        <w:rPr>
          <w:rFonts w:ascii="Times New Roman" w:eastAsia="Times New Roman" w:hAnsi="Times New Roman" w:cs="Times New Roman"/>
          <w:b/>
          <w:bCs/>
          <w:sz w:val="27"/>
          <w:szCs w:val="27"/>
          <w:lang w:val="en-US" w:eastAsia="en-US" w:bidi="ar-SA"/>
        </w:rPr>
        <w:t>2. Materials and Methods</w:t>
      </w:r>
    </w:p>
    <w:p w14:paraId="20A5C362" w14:textId="77777777" w:rsidR="00491689" w:rsidRPr="00491689" w:rsidRDefault="00491689" w:rsidP="00491689">
      <w:pPr>
        <w:spacing w:before="100" w:beforeAutospacing="1" w:after="100" w:afterAutospacing="1" w:line="240" w:lineRule="auto"/>
        <w:rPr>
          <w:rFonts w:ascii="Times New Roman" w:eastAsia="Times New Roman" w:hAnsi="Times New Roman" w:cs="Times New Roman"/>
          <w:sz w:val="24"/>
          <w:szCs w:val="24"/>
          <w:lang w:val="en-US" w:eastAsia="en-US" w:bidi="ar-SA"/>
        </w:rPr>
      </w:pPr>
      <w:r w:rsidRPr="00491689">
        <w:rPr>
          <w:rFonts w:ascii="Times New Roman" w:eastAsia="Times New Roman" w:hAnsi="Times New Roman" w:cs="Times New Roman"/>
          <w:sz w:val="24"/>
          <w:szCs w:val="24"/>
          <w:lang w:val="en-US" w:eastAsia="en-US" w:bidi="ar-SA"/>
        </w:rPr>
        <w:t xml:space="preserve">A comprehensive soil and plant tissue nutrient survey was conducted across 12 administrative blocks encompassing the principal sugarcane-growing soils of the Nizamabad and </w:t>
      </w:r>
      <w:proofErr w:type="spellStart"/>
      <w:r w:rsidRPr="00491689">
        <w:rPr>
          <w:rFonts w:ascii="Times New Roman" w:eastAsia="Times New Roman" w:hAnsi="Times New Roman" w:cs="Times New Roman"/>
          <w:sz w:val="24"/>
          <w:szCs w:val="24"/>
          <w:lang w:val="en-US" w:eastAsia="en-US" w:bidi="ar-SA"/>
        </w:rPr>
        <w:t>Kamareddy</w:t>
      </w:r>
      <w:proofErr w:type="spellEnd"/>
      <w:r w:rsidRPr="00491689">
        <w:rPr>
          <w:rFonts w:ascii="Times New Roman" w:eastAsia="Times New Roman" w:hAnsi="Times New Roman" w:cs="Times New Roman"/>
          <w:sz w:val="24"/>
          <w:szCs w:val="24"/>
          <w:lang w:val="en-US" w:eastAsia="en-US" w:bidi="ar-SA"/>
        </w:rPr>
        <w:t xml:space="preserve"> districts. Surface soil samples (0–15 cm depth) and plant tissue samples (third fully expanded leaf from the spindle) were collected from 127 farmers’ fields during the grand growth stage (140–240 days after planting).</w:t>
      </w:r>
    </w:p>
    <w:p w14:paraId="12453CB4" w14:textId="77777777" w:rsidR="00491689" w:rsidRPr="00491689" w:rsidRDefault="00491689" w:rsidP="00491689">
      <w:pPr>
        <w:spacing w:before="100" w:beforeAutospacing="1" w:after="100" w:afterAutospacing="1" w:line="240" w:lineRule="auto"/>
        <w:rPr>
          <w:rFonts w:ascii="Times New Roman" w:eastAsia="Times New Roman" w:hAnsi="Times New Roman" w:cs="Times New Roman"/>
          <w:sz w:val="24"/>
          <w:szCs w:val="24"/>
          <w:lang w:val="en-US" w:eastAsia="en-US" w:bidi="ar-SA"/>
        </w:rPr>
      </w:pPr>
      <w:r w:rsidRPr="00491689">
        <w:rPr>
          <w:rFonts w:ascii="Times New Roman" w:eastAsia="Times New Roman" w:hAnsi="Times New Roman" w:cs="Times New Roman"/>
          <w:sz w:val="24"/>
          <w:szCs w:val="24"/>
          <w:lang w:val="en-US" w:eastAsia="en-US" w:bidi="ar-SA"/>
        </w:rPr>
        <w:t xml:space="preserve">In addition to sample collection, detailed information on sugarcane variety, cropping pattern, agronomic management practices, and crop status (plant crop or ratoon crop) was systematically recorded using a structured proforma. Composite leaf samples were obtained along a “V”-shaped transect between 07:00 and 10:30 h to </w:t>
      </w:r>
      <w:proofErr w:type="spellStart"/>
      <w:r w:rsidRPr="00491689">
        <w:rPr>
          <w:rFonts w:ascii="Times New Roman" w:eastAsia="Times New Roman" w:hAnsi="Times New Roman" w:cs="Times New Roman"/>
          <w:sz w:val="24"/>
          <w:szCs w:val="24"/>
          <w:lang w:val="en-US" w:eastAsia="en-US" w:bidi="ar-SA"/>
        </w:rPr>
        <w:t>minimise</w:t>
      </w:r>
      <w:proofErr w:type="spellEnd"/>
      <w:r w:rsidRPr="00491689">
        <w:rPr>
          <w:rFonts w:ascii="Times New Roman" w:eastAsia="Times New Roman" w:hAnsi="Times New Roman" w:cs="Times New Roman"/>
          <w:sz w:val="24"/>
          <w:szCs w:val="24"/>
          <w:lang w:val="en-US" w:eastAsia="en-US" w:bidi="ar-SA"/>
        </w:rPr>
        <w:t xml:space="preserve"> diurnal variation. For nitrogen estimation, a 15 cm segment of the leaf blade was excised from the central portion after removal of the midrib. For the analysis of other nutrients, leaf sheath samples were collected after trimming the terminal portions, following </w:t>
      </w:r>
      <w:proofErr w:type="spellStart"/>
      <w:r w:rsidRPr="00491689">
        <w:rPr>
          <w:rFonts w:ascii="Times New Roman" w:eastAsia="Times New Roman" w:hAnsi="Times New Roman" w:cs="Times New Roman"/>
          <w:sz w:val="24"/>
          <w:szCs w:val="24"/>
          <w:lang w:val="en-US" w:eastAsia="en-US" w:bidi="ar-SA"/>
        </w:rPr>
        <w:t>standardised</w:t>
      </w:r>
      <w:proofErr w:type="spellEnd"/>
      <w:r w:rsidRPr="00491689">
        <w:rPr>
          <w:rFonts w:ascii="Times New Roman" w:eastAsia="Times New Roman" w:hAnsi="Times New Roman" w:cs="Times New Roman"/>
          <w:sz w:val="24"/>
          <w:szCs w:val="24"/>
          <w:lang w:val="en-US" w:eastAsia="en-US" w:bidi="ar-SA"/>
        </w:rPr>
        <w:t xml:space="preserve"> protocols (</w:t>
      </w:r>
      <w:proofErr w:type="spellStart"/>
      <w:r w:rsidRPr="00491689">
        <w:rPr>
          <w:rFonts w:ascii="Times New Roman" w:eastAsia="Times New Roman" w:hAnsi="Times New Roman" w:cs="Times New Roman"/>
          <w:sz w:val="24"/>
          <w:szCs w:val="24"/>
          <w:lang w:val="en-US" w:eastAsia="en-US" w:bidi="ar-SA"/>
        </w:rPr>
        <w:t>Mackowiak</w:t>
      </w:r>
      <w:proofErr w:type="spellEnd"/>
      <w:r w:rsidRPr="00491689">
        <w:rPr>
          <w:rFonts w:ascii="Times New Roman" w:eastAsia="Times New Roman" w:hAnsi="Times New Roman" w:cs="Times New Roman"/>
          <w:sz w:val="24"/>
          <w:szCs w:val="24"/>
          <w:lang w:val="en-US" w:eastAsia="en-US" w:bidi="ar-SA"/>
        </w:rPr>
        <w:t xml:space="preserve"> et al., 2013; Keeping et al., 2014).</w:t>
      </w:r>
    </w:p>
    <w:p w14:paraId="05367E6A" w14:textId="77777777" w:rsidR="00491689" w:rsidRPr="00491689" w:rsidRDefault="00491689" w:rsidP="00491689">
      <w:pPr>
        <w:spacing w:before="100" w:beforeAutospacing="1" w:after="100" w:afterAutospacing="1" w:line="240" w:lineRule="auto"/>
        <w:rPr>
          <w:rFonts w:ascii="Times New Roman" w:eastAsia="Times New Roman" w:hAnsi="Times New Roman" w:cs="Times New Roman"/>
          <w:sz w:val="24"/>
          <w:szCs w:val="24"/>
          <w:lang w:val="en-US" w:eastAsia="en-US" w:bidi="ar-SA"/>
        </w:rPr>
      </w:pPr>
      <w:r w:rsidRPr="00491689">
        <w:rPr>
          <w:rFonts w:ascii="Times New Roman" w:eastAsia="Times New Roman" w:hAnsi="Times New Roman" w:cs="Times New Roman"/>
          <w:sz w:val="24"/>
          <w:szCs w:val="24"/>
          <w:lang w:val="en-US" w:eastAsia="en-US" w:bidi="ar-SA"/>
        </w:rPr>
        <w:t xml:space="preserve">Plant samples were thoroughly washed with distilled and </w:t>
      </w:r>
      <w:proofErr w:type="spellStart"/>
      <w:r w:rsidRPr="00491689">
        <w:rPr>
          <w:rFonts w:ascii="Times New Roman" w:eastAsia="Times New Roman" w:hAnsi="Times New Roman" w:cs="Times New Roman"/>
          <w:sz w:val="24"/>
          <w:szCs w:val="24"/>
          <w:lang w:val="en-US" w:eastAsia="en-US" w:bidi="ar-SA"/>
        </w:rPr>
        <w:t>deionised</w:t>
      </w:r>
      <w:proofErr w:type="spellEnd"/>
      <w:r w:rsidRPr="00491689">
        <w:rPr>
          <w:rFonts w:ascii="Times New Roman" w:eastAsia="Times New Roman" w:hAnsi="Times New Roman" w:cs="Times New Roman"/>
          <w:sz w:val="24"/>
          <w:szCs w:val="24"/>
          <w:lang w:val="en-US" w:eastAsia="en-US" w:bidi="ar-SA"/>
        </w:rPr>
        <w:t xml:space="preserve"> water to eliminate surface contaminants, air-dried, and subsequently oven-dried at 70 ± 1 °C for 48 hours in a convection oven. The dried samples were ground using a Wiley mill and sieved through a 60-mesh stainless steel screen to obtain a uniform powder for analysis.</w:t>
      </w:r>
    </w:p>
    <w:p w14:paraId="169C64C1" w14:textId="77777777" w:rsidR="00491689" w:rsidRPr="00491689" w:rsidRDefault="00491689" w:rsidP="00491689">
      <w:pPr>
        <w:spacing w:before="100" w:beforeAutospacing="1" w:after="100" w:afterAutospacing="1" w:line="240" w:lineRule="auto"/>
        <w:rPr>
          <w:rFonts w:ascii="Times New Roman" w:eastAsia="Times New Roman" w:hAnsi="Times New Roman" w:cs="Times New Roman"/>
          <w:sz w:val="24"/>
          <w:szCs w:val="24"/>
          <w:lang w:val="en-US" w:eastAsia="en-US" w:bidi="ar-SA"/>
        </w:rPr>
      </w:pPr>
      <w:r w:rsidRPr="00491689">
        <w:rPr>
          <w:rFonts w:ascii="Times New Roman" w:eastAsia="Times New Roman" w:hAnsi="Times New Roman" w:cs="Times New Roman"/>
          <w:sz w:val="24"/>
          <w:szCs w:val="24"/>
          <w:lang w:val="en-US" w:eastAsia="en-US" w:bidi="ar-SA"/>
        </w:rPr>
        <w:t>Soil samples were air-dried under shade, gently crushed, and passed through a 2 mm nylon sieve prior to laboratory analysis. Standard analytical procedures were followed to determine the physicochemical and nutrient characteristics of both soil and plant samples.</w:t>
      </w:r>
    </w:p>
    <w:p w14:paraId="7F2A59C0" w14:textId="77777777" w:rsidR="00B342CF" w:rsidRPr="00B342CF" w:rsidRDefault="00B342CF" w:rsidP="002F7750">
      <w:pPr>
        <w:spacing w:before="100" w:beforeAutospacing="1" w:after="100" w:afterAutospacing="1" w:line="240" w:lineRule="auto"/>
        <w:jc w:val="both"/>
        <w:outlineLvl w:val="2"/>
        <w:rPr>
          <w:rFonts w:ascii="Times New Roman" w:eastAsia="Times New Roman" w:hAnsi="Times New Roman" w:cs="Times New Roman"/>
          <w:b/>
          <w:bCs/>
          <w:sz w:val="27"/>
          <w:szCs w:val="27"/>
          <w:lang w:val="en-US" w:eastAsia="en-US" w:bidi="ar-SA"/>
        </w:rPr>
      </w:pPr>
      <w:r w:rsidRPr="00B342CF">
        <w:rPr>
          <w:rFonts w:ascii="Times New Roman" w:eastAsia="Times New Roman" w:hAnsi="Times New Roman" w:cs="Times New Roman"/>
          <w:b/>
          <w:bCs/>
          <w:sz w:val="27"/>
          <w:szCs w:val="27"/>
          <w:lang w:val="en-US" w:eastAsia="en-US" w:bidi="ar-SA"/>
        </w:rPr>
        <w:t>2.1 Soil Analysis</w:t>
      </w:r>
      <w:bookmarkStart w:id="0" w:name="_GoBack"/>
      <w:bookmarkEnd w:id="0"/>
    </w:p>
    <w:p w14:paraId="16C20A2C" w14:textId="77777777" w:rsidR="00B342CF" w:rsidRPr="00B342CF" w:rsidRDefault="00B342CF" w:rsidP="002F7750">
      <w:pPr>
        <w:spacing w:before="100" w:beforeAutospacing="1" w:after="100" w:afterAutospacing="1" w:line="240" w:lineRule="auto"/>
        <w:jc w:val="both"/>
        <w:rPr>
          <w:rFonts w:ascii="Times New Roman" w:eastAsia="Times New Roman" w:hAnsi="Times New Roman" w:cs="Times New Roman"/>
          <w:sz w:val="24"/>
          <w:szCs w:val="24"/>
          <w:lang w:val="en-US" w:eastAsia="en-US" w:bidi="ar-SA"/>
        </w:rPr>
      </w:pPr>
      <w:r w:rsidRPr="00B342CF">
        <w:rPr>
          <w:rFonts w:ascii="Times New Roman" w:eastAsia="Times New Roman" w:hAnsi="Times New Roman" w:cs="Times New Roman"/>
          <w:sz w:val="24"/>
          <w:szCs w:val="24"/>
          <w:lang w:val="en-US" w:eastAsia="en-US" w:bidi="ar-SA"/>
        </w:rPr>
        <w:t>All soil samples were air-dried, finely ground, and passed through a 2 mm sieve prior to chemical analysis. Soil pH and electrical conductivity (EC) were determined using a pH meter and conductivity meter, respectively, in a 1:2.5 soil-to-water suspension, following the method described by Jackson (1973).</w:t>
      </w:r>
    </w:p>
    <w:p w14:paraId="2D0CF15C" w14:textId="77777777" w:rsidR="00B342CF" w:rsidRPr="00B342CF" w:rsidRDefault="00B342CF" w:rsidP="002F7750">
      <w:pPr>
        <w:spacing w:before="100" w:beforeAutospacing="1" w:after="100" w:afterAutospacing="1" w:line="240" w:lineRule="auto"/>
        <w:jc w:val="both"/>
        <w:rPr>
          <w:rFonts w:ascii="Times New Roman" w:eastAsia="Times New Roman" w:hAnsi="Times New Roman" w:cs="Times New Roman"/>
          <w:sz w:val="24"/>
          <w:szCs w:val="24"/>
          <w:lang w:val="en-US" w:eastAsia="en-US" w:bidi="ar-SA"/>
        </w:rPr>
      </w:pPr>
      <w:r w:rsidRPr="00B342CF">
        <w:rPr>
          <w:rFonts w:ascii="Times New Roman" w:eastAsia="Times New Roman" w:hAnsi="Times New Roman" w:cs="Times New Roman"/>
          <w:sz w:val="24"/>
          <w:szCs w:val="24"/>
          <w:lang w:val="en-US" w:eastAsia="en-US" w:bidi="ar-SA"/>
        </w:rPr>
        <w:t xml:space="preserve">Representative soil samples were </w:t>
      </w:r>
      <w:proofErr w:type="spellStart"/>
      <w:r w:rsidRPr="00B342CF">
        <w:rPr>
          <w:rFonts w:ascii="Times New Roman" w:eastAsia="Times New Roman" w:hAnsi="Times New Roman" w:cs="Times New Roman"/>
          <w:sz w:val="24"/>
          <w:szCs w:val="24"/>
          <w:lang w:val="en-US" w:eastAsia="en-US" w:bidi="ar-SA"/>
        </w:rPr>
        <w:t>analysed</w:t>
      </w:r>
      <w:proofErr w:type="spellEnd"/>
      <w:r w:rsidRPr="00B342CF">
        <w:rPr>
          <w:rFonts w:ascii="Times New Roman" w:eastAsia="Times New Roman" w:hAnsi="Times New Roman" w:cs="Times New Roman"/>
          <w:sz w:val="24"/>
          <w:szCs w:val="24"/>
          <w:lang w:val="en-US" w:eastAsia="en-US" w:bidi="ar-SA"/>
        </w:rPr>
        <w:t xml:space="preserve"> for key physicochemical and nutrient parameters, including organic carbon (Walkley and Black, 1934), available nitrogen (Subbiah and </w:t>
      </w:r>
      <w:proofErr w:type="spellStart"/>
      <w:r w:rsidRPr="00B342CF">
        <w:rPr>
          <w:rFonts w:ascii="Times New Roman" w:eastAsia="Times New Roman" w:hAnsi="Times New Roman" w:cs="Times New Roman"/>
          <w:sz w:val="24"/>
          <w:szCs w:val="24"/>
          <w:lang w:val="en-US" w:eastAsia="en-US" w:bidi="ar-SA"/>
        </w:rPr>
        <w:t>Asija</w:t>
      </w:r>
      <w:proofErr w:type="spellEnd"/>
      <w:r w:rsidRPr="00B342CF">
        <w:rPr>
          <w:rFonts w:ascii="Times New Roman" w:eastAsia="Times New Roman" w:hAnsi="Times New Roman" w:cs="Times New Roman"/>
          <w:sz w:val="24"/>
          <w:szCs w:val="24"/>
          <w:lang w:val="en-US" w:eastAsia="en-US" w:bidi="ar-SA"/>
        </w:rPr>
        <w:t>, 1956), available phosphorus—estimated using the Olsen method for neutral to alkaline soils (Olsen et al., 1954) and the Bray and Kurtz method for acidic soils (Bray and Kurtz, 1945)—and available potassium (Jackson, 1973). DTPA-extractable micronutrients, namely iron (Fe), manganese (Mn), zinc (Zn), and copper (Cu), were determined following the procedure of Lindsay and Norvell (1978) using an atomic absorption spectrophotometer. Soil analyses were conducted separately for surface and sub-surface samples to capture vertical variability in nutrient distribution.</w:t>
      </w:r>
    </w:p>
    <w:p w14:paraId="649412D0" w14:textId="77777777" w:rsidR="00B342CF" w:rsidRPr="00B342CF" w:rsidRDefault="00B342CF" w:rsidP="002F7750">
      <w:pPr>
        <w:spacing w:before="100" w:beforeAutospacing="1" w:after="100" w:afterAutospacing="1" w:line="240" w:lineRule="auto"/>
        <w:jc w:val="both"/>
        <w:outlineLvl w:val="2"/>
        <w:rPr>
          <w:rFonts w:ascii="Times New Roman" w:eastAsia="Times New Roman" w:hAnsi="Times New Roman" w:cs="Times New Roman"/>
          <w:b/>
          <w:bCs/>
          <w:sz w:val="27"/>
          <w:szCs w:val="27"/>
          <w:lang w:val="en-US" w:eastAsia="en-US" w:bidi="ar-SA"/>
        </w:rPr>
      </w:pPr>
      <w:r w:rsidRPr="00B342CF">
        <w:rPr>
          <w:rFonts w:ascii="Times New Roman" w:eastAsia="Times New Roman" w:hAnsi="Times New Roman" w:cs="Times New Roman"/>
          <w:b/>
          <w:bCs/>
          <w:sz w:val="27"/>
          <w:szCs w:val="27"/>
          <w:lang w:val="en-US" w:eastAsia="en-US" w:bidi="ar-SA"/>
        </w:rPr>
        <w:t>2.2 Plant Tissue Analysis</w:t>
      </w:r>
    </w:p>
    <w:p w14:paraId="1FA29ED7" w14:textId="77777777" w:rsidR="00B342CF" w:rsidRPr="00B342CF" w:rsidRDefault="00B342CF" w:rsidP="002F7750">
      <w:pPr>
        <w:spacing w:before="100" w:beforeAutospacing="1" w:after="100" w:afterAutospacing="1" w:line="240" w:lineRule="auto"/>
        <w:jc w:val="both"/>
        <w:rPr>
          <w:rFonts w:ascii="Times New Roman" w:eastAsia="Times New Roman" w:hAnsi="Times New Roman" w:cs="Times New Roman"/>
          <w:sz w:val="24"/>
          <w:szCs w:val="24"/>
          <w:lang w:val="en-US" w:eastAsia="en-US" w:bidi="ar-SA"/>
        </w:rPr>
      </w:pPr>
      <w:r w:rsidRPr="00B342CF">
        <w:rPr>
          <w:rFonts w:ascii="Times New Roman" w:eastAsia="Times New Roman" w:hAnsi="Times New Roman" w:cs="Times New Roman"/>
          <w:sz w:val="24"/>
          <w:szCs w:val="24"/>
          <w:lang w:val="en-US" w:eastAsia="en-US" w:bidi="ar-SA"/>
        </w:rPr>
        <w:t xml:space="preserve">Plant nitrogen content was determined using the </w:t>
      </w:r>
      <w:proofErr w:type="spellStart"/>
      <w:r w:rsidRPr="00B342CF">
        <w:rPr>
          <w:rFonts w:ascii="Times New Roman" w:eastAsia="Times New Roman" w:hAnsi="Times New Roman" w:cs="Times New Roman"/>
          <w:sz w:val="24"/>
          <w:szCs w:val="24"/>
          <w:lang w:val="en-US" w:eastAsia="en-US" w:bidi="ar-SA"/>
        </w:rPr>
        <w:t>Kjeldahl</w:t>
      </w:r>
      <w:proofErr w:type="spellEnd"/>
      <w:r w:rsidRPr="00B342CF">
        <w:rPr>
          <w:rFonts w:ascii="Times New Roman" w:eastAsia="Times New Roman" w:hAnsi="Times New Roman" w:cs="Times New Roman"/>
          <w:sz w:val="24"/>
          <w:szCs w:val="24"/>
          <w:lang w:val="en-US" w:eastAsia="en-US" w:bidi="ar-SA"/>
        </w:rPr>
        <w:t xml:space="preserve"> distillation method (</w:t>
      </w:r>
      <w:proofErr w:type="spellStart"/>
      <w:r w:rsidRPr="00B342CF">
        <w:rPr>
          <w:rFonts w:ascii="Times New Roman" w:eastAsia="Times New Roman" w:hAnsi="Times New Roman" w:cs="Times New Roman"/>
          <w:sz w:val="24"/>
          <w:szCs w:val="24"/>
          <w:lang w:val="en-US" w:eastAsia="en-US" w:bidi="ar-SA"/>
        </w:rPr>
        <w:t>Helrich</w:t>
      </w:r>
      <w:proofErr w:type="spellEnd"/>
      <w:r w:rsidRPr="00B342CF">
        <w:rPr>
          <w:rFonts w:ascii="Times New Roman" w:eastAsia="Times New Roman" w:hAnsi="Times New Roman" w:cs="Times New Roman"/>
          <w:sz w:val="24"/>
          <w:szCs w:val="24"/>
          <w:lang w:val="en-US" w:eastAsia="en-US" w:bidi="ar-SA"/>
        </w:rPr>
        <w:t xml:space="preserve">, 1990), wherein samples were digested with </w:t>
      </w:r>
      <w:proofErr w:type="spellStart"/>
      <w:r w:rsidRPr="00B342CF">
        <w:rPr>
          <w:rFonts w:ascii="Times New Roman" w:eastAsia="Times New Roman" w:hAnsi="Times New Roman" w:cs="Times New Roman"/>
          <w:sz w:val="24"/>
          <w:szCs w:val="24"/>
          <w:lang w:val="en-US" w:eastAsia="en-US" w:bidi="ar-SA"/>
        </w:rPr>
        <w:t>sulphuric</w:t>
      </w:r>
      <w:proofErr w:type="spellEnd"/>
      <w:r w:rsidRPr="00B342CF">
        <w:rPr>
          <w:rFonts w:ascii="Times New Roman" w:eastAsia="Times New Roman" w:hAnsi="Times New Roman" w:cs="Times New Roman"/>
          <w:sz w:val="24"/>
          <w:szCs w:val="24"/>
          <w:lang w:val="en-US" w:eastAsia="en-US" w:bidi="ar-SA"/>
        </w:rPr>
        <w:t xml:space="preserve"> acid (H₂SO₄) in the presence of a catalyst, followed by distillation of nitrogen into boric acid (H₃BO₄).</w:t>
      </w:r>
    </w:p>
    <w:p w14:paraId="3CB45973" w14:textId="77777777" w:rsidR="00B342CF" w:rsidRPr="00B342CF" w:rsidRDefault="00B342CF" w:rsidP="002F7750">
      <w:pPr>
        <w:spacing w:before="100" w:beforeAutospacing="1" w:after="100" w:afterAutospacing="1" w:line="240" w:lineRule="auto"/>
        <w:jc w:val="both"/>
        <w:rPr>
          <w:rFonts w:ascii="Times New Roman" w:eastAsia="Times New Roman" w:hAnsi="Times New Roman" w:cs="Times New Roman"/>
          <w:sz w:val="24"/>
          <w:szCs w:val="24"/>
          <w:lang w:val="en-US" w:eastAsia="en-US" w:bidi="ar-SA"/>
        </w:rPr>
      </w:pPr>
      <w:r w:rsidRPr="00B342CF">
        <w:rPr>
          <w:rFonts w:ascii="Times New Roman" w:eastAsia="Times New Roman" w:hAnsi="Times New Roman" w:cs="Times New Roman"/>
          <w:sz w:val="24"/>
          <w:szCs w:val="24"/>
          <w:lang w:val="en-US" w:eastAsia="en-US" w:bidi="ar-SA"/>
        </w:rPr>
        <w:lastRenderedPageBreak/>
        <w:t xml:space="preserve">Boron (B) concentration was estimated by dry </w:t>
      </w:r>
      <w:proofErr w:type="spellStart"/>
      <w:r w:rsidRPr="00B342CF">
        <w:rPr>
          <w:rFonts w:ascii="Times New Roman" w:eastAsia="Times New Roman" w:hAnsi="Times New Roman" w:cs="Times New Roman"/>
          <w:sz w:val="24"/>
          <w:szCs w:val="24"/>
          <w:lang w:val="en-US" w:eastAsia="en-US" w:bidi="ar-SA"/>
        </w:rPr>
        <w:t>ashing</w:t>
      </w:r>
      <w:proofErr w:type="spellEnd"/>
      <w:r w:rsidRPr="00B342CF">
        <w:rPr>
          <w:rFonts w:ascii="Times New Roman" w:eastAsia="Times New Roman" w:hAnsi="Times New Roman" w:cs="Times New Roman"/>
          <w:sz w:val="24"/>
          <w:szCs w:val="24"/>
          <w:lang w:val="en-US" w:eastAsia="en-US" w:bidi="ar-SA"/>
        </w:rPr>
        <w:t xml:space="preserve"> of plant material in a muffle furnace, followed by </w:t>
      </w:r>
      <w:proofErr w:type="spellStart"/>
      <w:r w:rsidRPr="00B342CF">
        <w:rPr>
          <w:rFonts w:ascii="Times New Roman" w:eastAsia="Times New Roman" w:hAnsi="Times New Roman" w:cs="Times New Roman"/>
          <w:sz w:val="24"/>
          <w:szCs w:val="24"/>
          <w:lang w:val="en-US" w:eastAsia="en-US" w:bidi="ar-SA"/>
        </w:rPr>
        <w:t>colourimetric</w:t>
      </w:r>
      <w:proofErr w:type="spellEnd"/>
      <w:r w:rsidRPr="00B342CF">
        <w:rPr>
          <w:rFonts w:ascii="Times New Roman" w:eastAsia="Times New Roman" w:hAnsi="Times New Roman" w:cs="Times New Roman"/>
          <w:sz w:val="24"/>
          <w:szCs w:val="24"/>
          <w:lang w:val="en-US" w:eastAsia="en-US" w:bidi="ar-SA"/>
        </w:rPr>
        <w:t xml:space="preserve"> determination using the Azomethine-H method (Gaines and Mitchell, 1979; Keren, 1996). For the determination of phosphorus (P) and micronutrients (Cu, Fe, Mn, and Zn), plant samples were subjected to wet digestion using a di-acid mixture of nitric acid and perchloric acid (HNO</w:t>
      </w:r>
      <w:proofErr w:type="gramStart"/>
      <w:r w:rsidRPr="00B342CF">
        <w:rPr>
          <w:rFonts w:ascii="Times New Roman" w:eastAsia="Times New Roman" w:hAnsi="Times New Roman" w:cs="Times New Roman"/>
          <w:sz w:val="24"/>
          <w:szCs w:val="24"/>
          <w:lang w:val="en-US" w:eastAsia="en-US" w:bidi="ar-SA"/>
        </w:rPr>
        <w:t>₃:</w:t>
      </w:r>
      <w:proofErr w:type="spellStart"/>
      <w:r w:rsidRPr="00B342CF">
        <w:rPr>
          <w:rFonts w:ascii="Times New Roman" w:eastAsia="Times New Roman" w:hAnsi="Times New Roman" w:cs="Times New Roman"/>
          <w:sz w:val="24"/>
          <w:szCs w:val="24"/>
          <w:lang w:val="en-US" w:eastAsia="en-US" w:bidi="ar-SA"/>
        </w:rPr>
        <w:t>HClO</w:t>
      </w:r>
      <w:proofErr w:type="spellEnd"/>
      <w:proofErr w:type="gramEnd"/>
      <w:r w:rsidRPr="00B342CF">
        <w:rPr>
          <w:rFonts w:ascii="Times New Roman" w:eastAsia="Times New Roman" w:hAnsi="Times New Roman" w:cs="Times New Roman"/>
          <w:sz w:val="24"/>
          <w:szCs w:val="24"/>
          <w:lang w:val="en-US" w:eastAsia="en-US" w:bidi="ar-SA"/>
        </w:rPr>
        <w:t>₄ in a 5:1 ratio). The digested extracts were subsequently diluted to a known volume (100 mL) with distilled water.</w:t>
      </w:r>
    </w:p>
    <w:p w14:paraId="6DD86538" w14:textId="77777777" w:rsidR="00B342CF" w:rsidRPr="00B342CF" w:rsidRDefault="00B342CF" w:rsidP="002F7750">
      <w:pPr>
        <w:spacing w:before="100" w:beforeAutospacing="1" w:after="100" w:afterAutospacing="1" w:line="240" w:lineRule="auto"/>
        <w:jc w:val="both"/>
        <w:rPr>
          <w:rFonts w:ascii="Times New Roman" w:eastAsia="Times New Roman" w:hAnsi="Times New Roman" w:cs="Times New Roman"/>
          <w:sz w:val="24"/>
          <w:szCs w:val="24"/>
          <w:lang w:val="en-US" w:eastAsia="en-US" w:bidi="ar-SA"/>
        </w:rPr>
      </w:pPr>
      <w:r w:rsidRPr="00B342CF">
        <w:rPr>
          <w:rFonts w:ascii="Times New Roman" w:eastAsia="Times New Roman" w:hAnsi="Times New Roman" w:cs="Times New Roman"/>
          <w:sz w:val="24"/>
          <w:szCs w:val="24"/>
          <w:lang w:val="en-US" w:eastAsia="en-US" w:bidi="ar-SA"/>
        </w:rPr>
        <w:t xml:space="preserve">Phosphorus concentration was measured </w:t>
      </w:r>
      <w:proofErr w:type="spellStart"/>
      <w:r w:rsidRPr="00B342CF">
        <w:rPr>
          <w:rFonts w:ascii="Times New Roman" w:eastAsia="Times New Roman" w:hAnsi="Times New Roman" w:cs="Times New Roman"/>
          <w:sz w:val="24"/>
          <w:szCs w:val="24"/>
          <w:lang w:val="en-US" w:eastAsia="en-US" w:bidi="ar-SA"/>
        </w:rPr>
        <w:t>colourimetrically</w:t>
      </w:r>
      <w:proofErr w:type="spellEnd"/>
      <w:r w:rsidRPr="00B342CF">
        <w:rPr>
          <w:rFonts w:ascii="Times New Roman" w:eastAsia="Times New Roman" w:hAnsi="Times New Roman" w:cs="Times New Roman"/>
          <w:sz w:val="24"/>
          <w:szCs w:val="24"/>
          <w:lang w:val="en-US" w:eastAsia="en-US" w:bidi="ar-SA"/>
        </w:rPr>
        <w:t xml:space="preserve"> by developing a </w:t>
      </w:r>
      <w:proofErr w:type="spellStart"/>
      <w:r w:rsidRPr="00B342CF">
        <w:rPr>
          <w:rFonts w:ascii="Times New Roman" w:eastAsia="Times New Roman" w:hAnsi="Times New Roman" w:cs="Times New Roman"/>
          <w:sz w:val="24"/>
          <w:szCs w:val="24"/>
          <w:lang w:val="en-US" w:eastAsia="en-US" w:bidi="ar-SA"/>
        </w:rPr>
        <w:t>vanadomolybdophosphoric</w:t>
      </w:r>
      <w:proofErr w:type="spellEnd"/>
      <w:r w:rsidRPr="00B342CF">
        <w:rPr>
          <w:rFonts w:ascii="Times New Roman" w:eastAsia="Times New Roman" w:hAnsi="Times New Roman" w:cs="Times New Roman"/>
          <w:sz w:val="24"/>
          <w:szCs w:val="24"/>
          <w:lang w:val="en-US" w:eastAsia="en-US" w:bidi="ar-SA"/>
        </w:rPr>
        <w:t xml:space="preserve"> yellow complex and recording absorbance at 410 nm (Estefan et al., 2013). Micronutrients (Cu, Fe, Mn, and Zn) were quantified using an atomic absorption spectrophotometer. Potassium (K) content in plant samples was determined using a flame photometer (Wright and </w:t>
      </w:r>
      <w:proofErr w:type="spellStart"/>
      <w:r w:rsidRPr="00B342CF">
        <w:rPr>
          <w:rFonts w:ascii="Times New Roman" w:eastAsia="Times New Roman" w:hAnsi="Times New Roman" w:cs="Times New Roman"/>
          <w:sz w:val="24"/>
          <w:szCs w:val="24"/>
          <w:lang w:val="en-US" w:eastAsia="en-US" w:bidi="ar-SA"/>
        </w:rPr>
        <w:t>Stuczynski</w:t>
      </w:r>
      <w:proofErr w:type="spellEnd"/>
      <w:r w:rsidRPr="00B342CF">
        <w:rPr>
          <w:rFonts w:ascii="Times New Roman" w:eastAsia="Times New Roman" w:hAnsi="Times New Roman" w:cs="Times New Roman"/>
          <w:sz w:val="24"/>
          <w:szCs w:val="24"/>
          <w:lang w:val="en-US" w:eastAsia="en-US" w:bidi="ar-SA"/>
        </w:rPr>
        <w:t>, 1996).</w:t>
      </w:r>
    </w:p>
    <w:p w14:paraId="21B00A62" w14:textId="77777777" w:rsidR="00B342CF" w:rsidRPr="00B342CF" w:rsidRDefault="00B342CF" w:rsidP="002F7750">
      <w:pPr>
        <w:spacing w:before="100" w:beforeAutospacing="1" w:after="100" w:afterAutospacing="1" w:line="240" w:lineRule="auto"/>
        <w:jc w:val="both"/>
        <w:outlineLvl w:val="2"/>
        <w:rPr>
          <w:rFonts w:ascii="Times New Roman" w:eastAsia="Times New Roman" w:hAnsi="Times New Roman" w:cs="Times New Roman"/>
          <w:b/>
          <w:bCs/>
          <w:sz w:val="27"/>
          <w:szCs w:val="27"/>
          <w:lang w:val="en-US" w:eastAsia="en-US" w:bidi="ar-SA"/>
        </w:rPr>
      </w:pPr>
      <w:r w:rsidRPr="00B342CF">
        <w:rPr>
          <w:rFonts w:ascii="Times New Roman" w:eastAsia="Times New Roman" w:hAnsi="Times New Roman" w:cs="Times New Roman"/>
          <w:b/>
          <w:bCs/>
          <w:sz w:val="27"/>
          <w:szCs w:val="27"/>
          <w:lang w:val="en-US" w:eastAsia="en-US" w:bidi="ar-SA"/>
        </w:rPr>
        <w:t>2.3 Statistical Analysis</w:t>
      </w:r>
    </w:p>
    <w:p w14:paraId="798B20F3" w14:textId="77777777" w:rsidR="00B342CF" w:rsidRPr="00B342CF" w:rsidRDefault="00B342CF" w:rsidP="002F7750">
      <w:pPr>
        <w:spacing w:before="100" w:beforeAutospacing="1" w:after="100" w:afterAutospacing="1" w:line="240" w:lineRule="auto"/>
        <w:jc w:val="both"/>
        <w:rPr>
          <w:rFonts w:ascii="Times New Roman" w:eastAsia="Times New Roman" w:hAnsi="Times New Roman" w:cs="Times New Roman"/>
          <w:sz w:val="24"/>
          <w:szCs w:val="24"/>
          <w:lang w:val="en-US" w:eastAsia="en-US" w:bidi="ar-SA"/>
        </w:rPr>
      </w:pPr>
      <w:r w:rsidRPr="00B342CF">
        <w:rPr>
          <w:rFonts w:ascii="Times New Roman" w:eastAsia="Times New Roman" w:hAnsi="Times New Roman" w:cs="Times New Roman"/>
          <w:sz w:val="24"/>
          <w:szCs w:val="24"/>
          <w:lang w:val="en-US" w:eastAsia="en-US" w:bidi="ar-SA"/>
        </w:rPr>
        <w:t xml:space="preserve">Descriptive statistics and correlation analyses were performed using the data analysis tools available in MS Excel 2007. The measured soil and plant nutrient concentrations were evaluated against established critical limits or optimal ranges as reported by McCray and </w:t>
      </w:r>
      <w:proofErr w:type="spellStart"/>
      <w:r w:rsidRPr="00B342CF">
        <w:rPr>
          <w:rFonts w:ascii="Times New Roman" w:eastAsia="Times New Roman" w:hAnsi="Times New Roman" w:cs="Times New Roman"/>
          <w:sz w:val="24"/>
          <w:szCs w:val="24"/>
          <w:lang w:val="en-US" w:eastAsia="en-US" w:bidi="ar-SA"/>
        </w:rPr>
        <w:t>Mylavarapu</w:t>
      </w:r>
      <w:proofErr w:type="spellEnd"/>
      <w:r w:rsidRPr="00B342CF">
        <w:rPr>
          <w:rFonts w:ascii="Times New Roman" w:eastAsia="Times New Roman" w:hAnsi="Times New Roman" w:cs="Times New Roman"/>
          <w:sz w:val="24"/>
          <w:szCs w:val="24"/>
          <w:lang w:val="en-US" w:eastAsia="en-US" w:bidi="ar-SA"/>
        </w:rPr>
        <w:t xml:space="preserve"> (2010) to assess nutrient adequacy and identify potential deficiencies.</w:t>
      </w:r>
    </w:p>
    <w:p w14:paraId="0C218F94" w14:textId="2D18AF69" w:rsidR="00F44819" w:rsidRDefault="008948AE" w:rsidP="00EE5932">
      <w:pPr>
        <w:autoSpaceDE w:val="0"/>
        <w:autoSpaceDN w:val="0"/>
        <w:adjustRightInd w:val="0"/>
        <w:spacing w:before="240" w:after="240" w:line="240" w:lineRule="auto"/>
        <w:jc w:val="both"/>
        <w:rPr>
          <w:rFonts w:ascii="Times New Roman" w:hAnsi="Times New Roman" w:cs="Times New Roman"/>
          <w:b/>
          <w:bCs/>
          <w:sz w:val="28"/>
          <w:szCs w:val="28"/>
        </w:rPr>
      </w:pPr>
      <w:r>
        <w:rPr>
          <w:rFonts w:ascii="Times New Roman" w:eastAsia="Times New Roman" w:hAnsi="Times New Roman" w:cs="Times New Roman"/>
          <w:b/>
          <w:color w:val="000000"/>
          <w:sz w:val="24"/>
          <w:szCs w:val="24"/>
        </w:rPr>
        <w:t xml:space="preserve">3.0 </w:t>
      </w:r>
      <w:r w:rsidR="00F44819" w:rsidRPr="000E4B80">
        <w:rPr>
          <w:rFonts w:ascii="Times New Roman" w:eastAsia="Times New Roman" w:hAnsi="Times New Roman" w:cs="Times New Roman"/>
          <w:b/>
          <w:color w:val="000000"/>
          <w:sz w:val="24"/>
          <w:szCs w:val="24"/>
        </w:rPr>
        <w:t>Results</w:t>
      </w:r>
      <w:r w:rsidR="00907BBA">
        <w:rPr>
          <w:rFonts w:ascii="Times New Roman" w:eastAsia="Times New Roman" w:hAnsi="Times New Roman" w:cs="Times New Roman"/>
          <w:b/>
          <w:color w:val="000000"/>
          <w:sz w:val="24"/>
          <w:szCs w:val="24"/>
        </w:rPr>
        <w:t xml:space="preserve"> and discussion</w:t>
      </w:r>
    </w:p>
    <w:p w14:paraId="09523547" w14:textId="77777777" w:rsidR="00B338DE" w:rsidRDefault="008948AE" w:rsidP="00EE5932">
      <w:pPr>
        <w:spacing w:before="120" w:after="12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3.1 </w:t>
      </w:r>
      <w:r w:rsidR="00F44819" w:rsidRPr="001540BD">
        <w:rPr>
          <w:rFonts w:ascii="Times New Roman" w:eastAsia="Times New Roman" w:hAnsi="Times New Roman" w:cs="Times New Roman"/>
          <w:b/>
          <w:bCs/>
          <w:sz w:val="24"/>
          <w:szCs w:val="24"/>
        </w:rPr>
        <w:t xml:space="preserve">Nutrient concentration in sugarcane </w:t>
      </w:r>
      <w:r w:rsidR="001540BD" w:rsidRPr="001540BD">
        <w:rPr>
          <w:rFonts w:ascii="Times New Roman" w:eastAsia="Times New Roman" w:hAnsi="Times New Roman" w:cs="Times New Roman"/>
          <w:b/>
          <w:bCs/>
          <w:sz w:val="24"/>
          <w:szCs w:val="24"/>
        </w:rPr>
        <w:t>plant tissue</w:t>
      </w:r>
    </w:p>
    <w:p w14:paraId="4850AC91" w14:textId="31D298B8" w:rsidR="004F5C9D" w:rsidRPr="004F5C9D" w:rsidRDefault="004F5C9D" w:rsidP="00C37609">
      <w:pPr>
        <w:spacing w:before="120" w:after="120" w:line="240" w:lineRule="auto"/>
        <w:ind w:firstLine="720"/>
        <w:jc w:val="both"/>
        <w:rPr>
          <w:rFonts w:ascii="Times New Roman" w:hAnsi="Times New Roman" w:cs="Times New Roman"/>
          <w:sz w:val="24"/>
          <w:szCs w:val="24"/>
        </w:rPr>
      </w:pPr>
      <w:r w:rsidRPr="004F5C9D">
        <w:rPr>
          <w:rFonts w:ascii="Times New Roman" w:hAnsi="Times New Roman" w:cs="Times New Roman"/>
          <w:sz w:val="24"/>
          <w:szCs w:val="24"/>
        </w:rPr>
        <w:t>The nutrient concentration in the index leaves exhibited considerable variation, which may be attributed to differences in soil nutrient availability, plant uptake efficiency, and environmental conditions</w:t>
      </w:r>
      <w:r>
        <w:rPr>
          <w:rFonts w:ascii="Times New Roman" w:hAnsi="Times New Roman" w:cs="Times New Roman"/>
          <w:sz w:val="24"/>
          <w:szCs w:val="24"/>
        </w:rPr>
        <w:t xml:space="preserve"> (Table 1)</w:t>
      </w:r>
      <w:r w:rsidRPr="004F5C9D">
        <w:rPr>
          <w:rFonts w:ascii="Times New Roman" w:hAnsi="Times New Roman" w:cs="Times New Roman"/>
          <w:sz w:val="24"/>
          <w:szCs w:val="24"/>
        </w:rPr>
        <w:t>. The nitrogen (N) content in the index leaves ranged from 1.29 to 2.32 per cent with a mean value of 1.70 per cent. The variation in nitrogen concentration observed in the present study may be related to the differences in soil nitrogen availability and management practices. Similar variations in leaf nitrogen content have been reported by researchers who emphasized that plant nitrogen concentration is strongly influenced by soil fertility status and nutrient management practices (</w:t>
      </w:r>
      <w:proofErr w:type="spellStart"/>
      <w:r w:rsidRPr="004F5C9D">
        <w:rPr>
          <w:rFonts w:ascii="Times New Roman" w:hAnsi="Times New Roman" w:cs="Times New Roman"/>
          <w:sz w:val="24"/>
          <w:szCs w:val="24"/>
        </w:rPr>
        <w:t>Havlin</w:t>
      </w:r>
      <w:proofErr w:type="spellEnd"/>
      <w:r w:rsidRPr="004F5C9D">
        <w:rPr>
          <w:rFonts w:ascii="Times New Roman" w:hAnsi="Times New Roman" w:cs="Times New Roman"/>
          <w:sz w:val="24"/>
          <w:szCs w:val="24"/>
        </w:rPr>
        <w:t xml:space="preserve"> et al., 2014).</w:t>
      </w:r>
    </w:p>
    <w:p w14:paraId="41FB9523" w14:textId="0F8BD359" w:rsidR="004F5C9D" w:rsidRPr="004F5C9D" w:rsidRDefault="004F5C9D" w:rsidP="00EE5932">
      <w:pPr>
        <w:spacing w:before="120" w:after="120" w:line="240" w:lineRule="auto"/>
        <w:ind w:firstLine="720"/>
        <w:jc w:val="both"/>
        <w:rPr>
          <w:rFonts w:ascii="Times New Roman" w:hAnsi="Times New Roman" w:cs="Times New Roman"/>
          <w:sz w:val="24"/>
          <w:szCs w:val="24"/>
        </w:rPr>
      </w:pPr>
      <w:r w:rsidRPr="004F5C9D">
        <w:rPr>
          <w:rFonts w:ascii="Times New Roman" w:hAnsi="Times New Roman" w:cs="Times New Roman"/>
          <w:sz w:val="24"/>
          <w:szCs w:val="24"/>
        </w:rPr>
        <w:t>The phosphorus (P) content ranged from 0.12 to 0.42 per cent with a mean value of 0.28 per cent. The observed variation in phosphorus concentration in the index leaves may be associated with the variability in soil phosphorus availability and fertilizer application practices. Comparable findings were reported in earlier studies where phosphorus concentration in plant tissues varied depending on soil phosphorus status and plant uptake efficiency (</w:t>
      </w:r>
      <w:proofErr w:type="spellStart"/>
      <w:r w:rsidRPr="004F5C9D">
        <w:rPr>
          <w:rFonts w:ascii="Times New Roman" w:hAnsi="Times New Roman" w:cs="Times New Roman"/>
          <w:sz w:val="24"/>
          <w:szCs w:val="24"/>
        </w:rPr>
        <w:t>Marschner</w:t>
      </w:r>
      <w:proofErr w:type="spellEnd"/>
      <w:r w:rsidRPr="004F5C9D">
        <w:rPr>
          <w:rFonts w:ascii="Times New Roman" w:hAnsi="Times New Roman" w:cs="Times New Roman"/>
          <w:sz w:val="24"/>
          <w:szCs w:val="24"/>
        </w:rPr>
        <w:t>, 2012).</w:t>
      </w:r>
      <w:r w:rsidR="00DB6360">
        <w:rPr>
          <w:rFonts w:ascii="Times New Roman" w:hAnsi="Times New Roman" w:cs="Times New Roman"/>
          <w:sz w:val="24"/>
          <w:szCs w:val="24"/>
        </w:rPr>
        <w:t xml:space="preserve"> </w:t>
      </w:r>
      <w:r w:rsidRPr="004F5C9D">
        <w:rPr>
          <w:rFonts w:ascii="Times New Roman" w:hAnsi="Times New Roman" w:cs="Times New Roman"/>
          <w:sz w:val="24"/>
          <w:szCs w:val="24"/>
        </w:rPr>
        <w:t>Potassium (K) content in the index leaves ranged from 0.87 to 1.97 per cent with a mean value of 1.61 per cent. Similar observations have been reported in plant nutrient studies where potassium concentration in plant tissues reflected the potassium status of soils and the efficiency of nutrient uptake by plants (Brady and Weil, 2016).</w:t>
      </w:r>
    </w:p>
    <w:p w14:paraId="2EE506B3" w14:textId="6A8114FB" w:rsidR="004F5C9D" w:rsidRPr="004F5C9D" w:rsidRDefault="004F5C9D" w:rsidP="00EE5932">
      <w:pPr>
        <w:spacing w:before="120" w:after="120" w:line="240" w:lineRule="auto"/>
        <w:ind w:firstLine="720"/>
        <w:jc w:val="both"/>
        <w:rPr>
          <w:rFonts w:ascii="Times New Roman" w:hAnsi="Times New Roman" w:cs="Times New Roman"/>
          <w:sz w:val="24"/>
          <w:szCs w:val="24"/>
        </w:rPr>
      </w:pPr>
      <w:r w:rsidRPr="004F5C9D">
        <w:rPr>
          <w:rFonts w:ascii="Times New Roman" w:hAnsi="Times New Roman" w:cs="Times New Roman"/>
          <w:sz w:val="24"/>
          <w:szCs w:val="24"/>
        </w:rPr>
        <w:t>Among the micronutrients, zinc (Zn) content ranged from 8.23 to 34.98 mg kg⁻¹ with a mean value of 19.48 mg kg⁻¹. Zinc plays an important role in enzyme activity, protein synthesis, and growth regulation in plants. Zinc deficiency in plants is commonly associated with low soil zinc levels and high phosphorus fertilization (</w:t>
      </w:r>
      <w:proofErr w:type="spellStart"/>
      <w:r w:rsidRPr="004F5C9D">
        <w:rPr>
          <w:rFonts w:ascii="Times New Roman" w:hAnsi="Times New Roman" w:cs="Times New Roman"/>
          <w:sz w:val="24"/>
          <w:szCs w:val="24"/>
        </w:rPr>
        <w:t>Cakmak</w:t>
      </w:r>
      <w:proofErr w:type="spellEnd"/>
      <w:r w:rsidRPr="004F5C9D">
        <w:rPr>
          <w:rFonts w:ascii="Times New Roman" w:hAnsi="Times New Roman" w:cs="Times New Roman"/>
          <w:sz w:val="24"/>
          <w:szCs w:val="24"/>
        </w:rPr>
        <w:t>, 2008).</w:t>
      </w:r>
      <w:r w:rsidR="00DB6360">
        <w:rPr>
          <w:rFonts w:ascii="Times New Roman" w:hAnsi="Times New Roman" w:cs="Times New Roman"/>
          <w:sz w:val="24"/>
          <w:szCs w:val="24"/>
        </w:rPr>
        <w:t xml:space="preserve"> </w:t>
      </w:r>
      <w:r w:rsidRPr="004F5C9D">
        <w:rPr>
          <w:rFonts w:ascii="Times New Roman" w:hAnsi="Times New Roman" w:cs="Times New Roman"/>
          <w:sz w:val="24"/>
          <w:szCs w:val="24"/>
        </w:rPr>
        <w:t>Copper (Cu) content ranged from 2.33 to 16.28 mg kg⁻¹ with a mean value of 7.10 mg kg⁻¹.</w:t>
      </w:r>
      <w:r w:rsidR="00DB6360">
        <w:rPr>
          <w:rFonts w:ascii="Times New Roman" w:hAnsi="Times New Roman" w:cs="Times New Roman"/>
          <w:sz w:val="24"/>
          <w:szCs w:val="24"/>
        </w:rPr>
        <w:t xml:space="preserve"> </w:t>
      </w:r>
      <w:r w:rsidRPr="004F5C9D">
        <w:rPr>
          <w:rFonts w:ascii="Times New Roman" w:hAnsi="Times New Roman" w:cs="Times New Roman"/>
          <w:sz w:val="24"/>
          <w:szCs w:val="24"/>
        </w:rPr>
        <w:t>Iron (Fe) content ranged from 36.24 to 124.40 mg kg⁻¹ with a mean value of 64.30 mg kg⁻¹, while manganese (Mn) ranged from 3.82 to 74.24 mg kg⁻¹ with a mean value of 40.09 mg kg⁻¹. Similar results have been reported in plant nutrient studies where iron and manganese concentrations in plant tissues were found to be influenced by soil pH, organic matter, and redox conditions (</w:t>
      </w:r>
      <w:proofErr w:type="spellStart"/>
      <w:r w:rsidRPr="004F5C9D">
        <w:rPr>
          <w:rFonts w:ascii="Times New Roman" w:hAnsi="Times New Roman" w:cs="Times New Roman"/>
          <w:sz w:val="24"/>
          <w:szCs w:val="24"/>
        </w:rPr>
        <w:t>Marschner</w:t>
      </w:r>
      <w:proofErr w:type="spellEnd"/>
      <w:r w:rsidRPr="004F5C9D">
        <w:rPr>
          <w:rFonts w:ascii="Times New Roman" w:hAnsi="Times New Roman" w:cs="Times New Roman"/>
          <w:sz w:val="24"/>
          <w:szCs w:val="24"/>
        </w:rPr>
        <w:t>, 2012).</w:t>
      </w:r>
    </w:p>
    <w:p w14:paraId="233ECC68" w14:textId="1C85B928" w:rsidR="004F5C9D" w:rsidRDefault="004F5C9D" w:rsidP="00EE5932">
      <w:pPr>
        <w:spacing w:before="120" w:after="120" w:line="240" w:lineRule="auto"/>
        <w:ind w:firstLine="720"/>
        <w:jc w:val="both"/>
        <w:rPr>
          <w:rFonts w:ascii="Times New Roman" w:hAnsi="Times New Roman" w:cs="Times New Roman"/>
          <w:sz w:val="24"/>
          <w:szCs w:val="24"/>
        </w:rPr>
      </w:pPr>
      <w:r w:rsidRPr="004F5C9D">
        <w:rPr>
          <w:rFonts w:ascii="Times New Roman" w:hAnsi="Times New Roman" w:cs="Times New Roman"/>
          <w:sz w:val="24"/>
          <w:szCs w:val="24"/>
        </w:rPr>
        <w:lastRenderedPageBreak/>
        <w:t>Overall, the nutrient composition of the index leaves reflects the nutrient status of the soils and indicates that macronutrients and micronutrients were present within acceptable ranges, although variations were observed depending on soil fertility and nutrient management practices</w:t>
      </w:r>
      <w:r>
        <w:rPr>
          <w:rFonts w:ascii="Times New Roman" w:hAnsi="Times New Roman" w:cs="Times New Roman"/>
          <w:sz w:val="24"/>
          <w:szCs w:val="24"/>
        </w:rPr>
        <w:t>.</w:t>
      </w:r>
    </w:p>
    <w:p w14:paraId="72A8E3C8" w14:textId="77777777" w:rsidR="007201F6" w:rsidRPr="00C30322" w:rsidRDefault="007201F6" w:rsidP="007201F6">
      <w:pPr>
        <w:spacing w:after="0" w:line="240" w:lineRule="auto"/>
        <w:ind w:left="1080" w:hanging="990"/>
        <w:jc w:val="both"/>
        <w:rPr>
          <w:rFonts w:ascii="Times New Roman" w:hAnsi="Times New Roman" w:cs="Times New Roman"/>
        </w:rPr>
      </w:pPr>
      <w:r w:rsidRPr="00C30322">
        <w:rPr>
          <w:rFonts w:ascii="Times New Roman" w:hAnsi="Times New Roman" w:cs="Times New Roman"/>
          <w:b/>
          <w:bCs/>
        </w:rPr>
        <w:t xml:space="preserve">Table 1:  Summary statistics of nutrient content in </w:t>
      </w:r>
      <w:r>
        <w:rPr>
          <w:rFonts w:ascii="Times New Roman" w:hAnsi="Times New Roman" w:cs="Times New Roman"/>
          <w:b/>
          <w:bCs/>
        </w:rPr>
        <w:t>sugarcane</w:t>
      </w:r>
      <w:r w:rsidRPr="00C30322">
        <w:rPr>
          <w:rFonts w:ascii="Times New Roman" w:hAnsi="Times New Roman" w:cs="Times New Roman"/>
          <w:b/>
          <w:bCs/>
        </w:rPr>
        <w:t xml:space="preserve"> (n</w:t>
      </w:r>
      <w:r>
        <w:rPr>
          <w:rFonts w:ascii="Times New Roman" w:hAnsi="Times New Roman" w:cs="Times New Roman"/>
          <w:b/>
          <w:bCs/>
        </w:rPr>
        <w:t>127)</w:t>
      </w:r>
      <w:r w:rsidRPr="00C30322">
        <w:rPr>
          <w:rFonts w:ascii="Times New Roman" w:hAnsi="Times New Roman" w:cs="Times New Roman"/>
          <w:b/>
          <w:bCs/>
        </w:rPr>
        <w:t xml:space="preserve"> plant tissue, their critical levels and frequency distribution</w:t>
      </w:r>
    </w:p>
    <w:p w14:paraId="54376957" w14:textId="77777777" w:rsidR="007201F6" w:rsidRDefault="007201F6" w:rsidP="007201F6">
      <w:pPr>
        <w:spacing w:after="0" w:line="240" w:lineRule="auto"/>
        <w:jc w:val="both"/>
        <w:rPr>
          <w:rFonts w:ascii="Times New Roman" w:hAnsi="Times New Roman" w:cs="Times New Roman"/>
        </w:rPr>
      </w:pPr>
    </w:p>
    <w:tbl>
      <w:tblPr>
        <w:tblStyle w:val="TableGrid"/>
        <w:tblW w:w="9248" w:type="dxa"/>
        <w:jc w:val="center"/>
        <w:tblLook w:val="04A0" w:firstRow="1" w:lastRow="0" w:firstColumn="1" w:lastColumn="0" w:noHBand="0" w:noVBand="1"/>
      </w:tblPr>
      <w:tblGrid>
        <w:gridCol w:w="2121"/>
        <w:gridCol w:w="1017"/>
        <w:gridCol w:w="1018"/>
        <w:gridCol w:w="979"/>
        <w:gridCol w:w="1057"/>
        <w:gridCol w:w="1019"/>
        <w:gridCol w:w="1018"/>
        <w:gridCol w:w="1019"/>
      </w:tblGrid>
      <w:tr w:rsidR="007201F6" w:rsidRPr="00415F00" w14:paraId="7874B3F1" w14:textId="77777777" w:rsidTr="00AD3BAE">
        <w:trPr>
          <w:jc w:val="center"/>
        </w:trPr>
        <w:tc>
          <w:tcPr>
            <w:tcW w:w="2121" w:type="dxa"/>
            <w:vAlign w:val="center"/>
          </w:tcPr>
          <w:p w14:paraId="6CD107D8" w14:textId="77777777" w:rsidR="007201F6" w:rsidRPr="00415F00" w:rsidRDefault="007201F6" w:rsidP="00AD3BAE">
            <w:pPr>
              <w:tabs>
                <w:tab w:val="left" w:pos="5400"/>
              </w:tabs>
              <w:jc w:val="center"/>
              <w:rPr>
                <w:rFonts w:ascii="Times New Roman" w:hAnsi="Times New Roman" w:cs="Times New Roman"/>
                <w:b/>
                <w:bCs/>
                <w:sz w:val="24"/>
                <w:szCs w:val="24"/>
              </w:rPr>
            </w:pPr>
            <w:r w:rsidRPr="00415F00">
              <w:rPr>
                <w:rFonts w:ascii="Times New Roman" w:hAnsi="Times New Roman" w:cs="Times New Roman"/>
                <w:b/>
                <w:bCs/>
                <w:sz w:val="24"/>
                <w:szCs w:val="24"/>
              </w:rPr>
              <w:t>Particulars</w:t>
            </w:r>
          </w:p>
        </w:tc>
        <w:tc>
          <w:tcPr>
            <w:tcW w:w="3014" w:type="dxa"/>
            <w:gridSpan w:val="3"/>
            <w:vAlign w:val="center"/>
          </w:tcPr>
          <w:p w14:paraId="2A26D01F" w14:textId="77777777" w:rsidR="007201F6" w:rsidRPr="00415F00" w:rsidRDefault="007201F6" w:rsidP="00AD3BAE">
            <w:pPr>
              <w:jc w:val="center"/>
              <w:rPr>
                <w:rFonts w:ascii="Times New Roman" w:eastAsia="Times New Roman" w:hAnsi="Times New Roman" w:cs="Times New Roman"/>
                <w:b/>
                <w:bCs/>
                <w:color w:val="000000"/>
                <w:sz w:val="24"/>
                <w:szCs w:val="24"/>
                <w:lang w:bidi="ar-SA"/>
              </w:rPr>
            </w:pPr>
            <w:r w:rsidRPr="00415F00">
              <w:rPr>
                <w:rFonts w:ascii="Times New Roman" w:eastAsia="Times New Roman" w:hAnsi="Times New Roman" w:cs="Times New Roman"/>
                <w:b/>
                <w:bCs/>
                <w:color w:val="000000"/>
                <w:sz w:val="24"/>
                <w:szCs w:val="24"/>
                <w:lang w:bidi="ar-SA"/>
              </w:rPr>
              <w:t>Major Nutrient Concentration (%)</w:t>
            </w:r>
          </w:p>
        </w:tc>
        <w:tc>
          <w:tcPr>
            <w:tcW w:w="4113" w:type="dxa"/>
            <w:gridSpan w:val="4"/>
            <w:vAlign w:val="center"/>
          </w:tcPr>
          <w:p w14:paraId="2E0B0968" w14:textId="77777777" w:rsidR="007201F6" w:rsidRPr="00415F00" w:rsidRDefault="007201F6" w:rsidP="00AD3BAE">
            <w:pPr>
              <w:jc w:val="center"/>
              <w:rPr>
                <w:rFonts w:ascii="Times New Roman" w:eastAsia="Times New Roman" w:hAnsi="Times New Roman" w:cs="Times New Roman"/>
                <w:b/>
                <w:bCs/>
                <w:color w:val="000000"/>
                <w:sz w:val="24"/>
                <w:szCs w:val="24"/>
                <w:lang w:bidi="ar-SA"/>
              </w:rPr>
            </w:pPr>
            <w:r w:rsidRPr="00415F00">
              <w:rPr>
                <w:rFonts w:ascii="Times New Roman" w:eastAsia="Times New Roman" w:hAnsi="Times New Roman" w:cs="Times New Roman"/>
                <w:b/>
                <w:bCs/>
                <w:color w:val="000000"/>
                <w:sz w:val="24"/>
                <w:szCs w:val="24"/>
                <w:lang w:bidi="ar-SA"/>
              </w:rPr>
              <w:t>Micronutrient Concentration (ppm)</w:t>
            </w:r>
          </w:p>
        </w:tc>
      </w:tr>
      <w:tr w:rsidR="007201F6" w:rsidRPr="00415F00" w14:paraId="73C36AF4" w14:textId="77777777" w:rsidTr="00AD3BAE">
        <w:trPr>
          <w:jc w:val="center"/>
        </w:trPr>
        <w:tc>
          <w:tcPr>
            <w:tcW w:w="2121" w:type="dxa"/>
            <w:vAlign w:val="center"/>
          </w:tcPr>
          <w:p w14:paraId="30282A99" w14:textId="77777777" w:rsidR="007201F6" w:rsidRPr="00415F00" w:rsidRDefault="007201F6" w:rsidP="00AD3BAE">
            <w:pPr>
              <w:tabs>
                <w:tab w:val="left" w:pos="5400"/>
              </w:tabs>
              <w:jc w:val="center"/>
              <w:rPr>
                <w:rFonts w:ascii="Times New Roman" w:hAnsi="Times New Roman" w:cs="Times New Roman"/>
                <w:b/>
                <w:bCs/>
                <w:sz w:val="24"/>
                <w:szCs w:val="24"/>
              </w:rPr>
            </w:pPr>
          </w:p>
        </w:tc>
        <w:tc>
          <w:tcPr>
            <w:tcW w:w="1017" w:type="dxa"/>
            <w:vAlign w:val="center"/>
          </w:tcPr>
          <w:p w14:paraId="0FF707C7" w14:textId="77777777" w:rsidR="007201F6" w:rsidRPr="00415F00" w:rsidRDefault="007201F6" w:rsidP="00AD3BAE">
            <w:pPr>
              <w:jc w:val="center"/>
              <w:rPr>
                <w:rFonts w:ascii="Times New Roman" w:eastAsia="Times New Roman" w:hAnsi="Times New Roman" w:cs="Times New Roman"/>
                <w:b/>
                <w:bCs/>
                <w:color w:val="000000"/>
                <w:sz w:val="24"/>
                <w:szCs w:val="24"/>
                <w:lang w:bidi="ar-SA"/>
              </w:rPr>
            </w:pPr>
            <w:r w:rsidRPr="00415F00">
              <w:rPr>
                <w:rFonts w:ascii="Times New Roman" w:eastAsia="Times New Roman" w:hAnsi="Times New Roman" w:cs="Times New Roman"/>
                <w:b/>
                <w:bCs/>
                <w:color w:val="000000"/>
                <w:sz w:val="24"/>
                <w:szCs w:val="24"/>
                <w:lang w:bidi="ar-SA"/>
              </w:rPr>
              <w:t>N</w:t>
            </w:r>
          </w:p>
        </w:tc>
        <w:tc>
          <w:tcPr>
            <w:tcW w:w="1018" w:type="dxa"/>
            <w:vAlign w:val="center"/>
          </w:tcPr>
          <w:p w14:paraId="12F208C1" w14:textId="77777777" w:rsidR="007201F6" w:rsidRPr="00415F00" w:rsidRDefault="007201F6" w:rsidP="00AD3BAE">
            <w:pPr>
              <w:jc w:val="center"/>
              <w:rPr>
                <w:rFonts w:ascii="Times New Roman" w:eastAsia="Times New Roman" w:hAnsi="Times New Roman" w:cs="Times New Roman"/>
                <w:b/>
                <w:bCs/>
                <w:color w:val="000000"/>
                <w:sz w:val="24"/>
                <w:szCs w:val="24"/>
                <w:lang w:bidi="ar-SA"/>
              </w:rPr>
            </w:pPr>
            <w:r w:rsidRPr="00415F00">
              <w:rPr>
                <w:rFonts w:ascii="Times New Roman" w:eastAsia="Times New Roman" w:hAnsi="Times New Roman" w:cs="Times New Roman"/>
                <w:b/>
                <w:bCs/>
                <w:color w:val="000000"/>
                <w:sz w:val="24"/>
                <w:szCs w:val="24"/>
                <w:lang w:bidi="ar-SA"/>
              </w:rPr>
              <w:t>P</w:t>
            </w:r>
          </w:p>
        </w:tc>
        <w:tc>
          <w:tcPr>
            <w:tcW w:w="979" w:type="dxa"/>
            <w:vAlign w:val="center"/>
          </w:tcPr>
          <w:p w14:paraId="6A469513" w14:textId="77777777" w:rsidR="007201F6" w:rsidRPr="00415F00" w:rsidRDefault="007201F6" w:rsidP="00AD3BAE">
            <w:pPr>
              <w:jc w:val="center"/>
              <w:rPr>
                <w:rFonts w:ascii="Times New Roman" w:eastAsia="Times New Roman" w:hAnsi="Times New Roman" w:cs="Times New Roman"/>
                <w:b/>
                <w:bCs/>
                <w:color w:val="000000"/>
                <w:sz w:val="24"/>
                <w:szCs w:val="24"/>
                <w:lang w:bidi="ar-SA"/>
              </w:rPr>
            </w:pPr>
            <w:r w:rsidRPr="00415F00">
              <w:rPr>
                <w:rFonts w:ascii="Times New Roman" w:eastAsia="Times New Roman" w:hAnsi="Times New Roman" w:cs="Times New Roman"/>
                <w:b/>
                <w:bCs/>
                <w:color w:val="000000"/>
                <w:sz w:val="24"/>
                <w:szCs w:val="24"/>
                <w:lang w:bidi="ar-SA"/>
              </w:rPr>
              <w:t>K</w:t>
            </w:r>
          </w:p>
        </w:tc>
        <w:tc>
          <w:tcPr>
            <w:tcW w:w="1057" w:type="dxa"/>
          </w:tcPr>
          <w:p w14:paraId="30D1E640" w14:textId="77777777" w:rsidR="007201F6" w:rsidRPr="00415F00" w:rsidRDefault="007201F6" w:rsidP="00AD3BAE">
            <w:pPr>
              <w:jc w:val="center"/>
              <w:rPr>
                <w:rFonts w:ascii="Times New Roman" w:eastAsia="Times New Roman" w:hAnsi="Times New Roman" w:cs="Times New Roman"/>
                <w:b/>
                <w:bCs/>
                <w:color w:val="000000"/>
                <w:sz w:val="24"/>
                <w:szCs w:val="24"/>
                <w:lang w:bidi="ar-SA"/>
              </w:rPr>
            </w:pPr>
            <w:r w:rsidRPr="00415F00">
              <w:rPr>
                <w:rFonts w:ascii="Times New Roman" w:eastAsia="Times New Roman" w:hAnsi="Times New Roman" w:cs="Times New Roman"/>
                <w:b/>
                <w:bCs/>
                <w:color w:val="000000"/>
                <w:sz w:val="24"/>
                <w:szCs w:val="24"/>
                <w:lang w:bidi="ar-SA"/>
              </w:rPr>
              <w:t>Cu</w:t>
            </w:r>
          </w:p>
        </w:tc>
        <w:tc>
          <w:tcPr>
            <w:tcW w:w="1019" w:type="dxa"/>
          </w:tcPr>
          <w:p w14:paraId="7F7AF1C0" w14:textId="77777777" w:rsidR="007201F6" w:rsidRPr="00415F00" w:rsidRDefault="007201F6" w:rsidP="00AD3BAE">
            <w:pPr>
              <w:jc w:val="center"/>
              <w:rPr>
                <w:rFonts w:ascii="Times New Roman" w:eastAsia="Times New Roman" w:hAnsi="Times New Roman" w:cs="Times New Roman"/>
                <w:b/>
                <w:bCs/>
                <w:color w:val="000000"/>
                <w:sz w:val="24"/>
                <w:szCs w:val="24"/>
                <w:lang w:bidi="ar-SA"/>
              </w:rPr>
            </w:pPr>
            <w:r w:rsidRPr="00415F00">
              <w:rPr>
                <w:rFonts w:ascii="Times New Roman" w:eastAsia="Times New Roman" w:hAnsi="Times New Roman" w:cs="Times New Roman"/>
                <w:b/>
                <w:bCs/>
                <w:color w:val="000000"/>
                <w:sz w:val="24"/>
                <w:szCs w:val="24"/>
                <w:lang w:bidi="ar-SA"/>
              </w:rPr>
              <w:t>Mn</w:t>
            </w:r>
          </w:p>
        </w:tc>
        <w:tc>
          <w:tcPr>
            <w:tcW w:w="1018" w:type="dxa"/>
          </w:tcPr>
          <w:p w14:paraId="2A993E0D" w14:textId="77777777" w:rsidR="007201F6" w:rsidRPr="00415F00" w:rsidRDefault="007201F6" w:rsidP="00AD3BAE">
            <w:pPr>
              <w:jc w:val="center"/>
              <w:rPr>
                <w:rFonts w:ascii="Times New Roman" w:eastAsia="Times New Roman" w:hAnsi="Times New Roman" w:cs="Times New Roman"/>
                <w:b/>
                <w:bCs/>
                <w:color w:val="000000"/>
                <w:sz w:val="24"/>
                <w:szCs w:val="24"/>
                <w:lang w:bidi="ar-SA"/>
              </w:rPr>
            </w:pPr>
            <w:r w:rsidRPr="00415F00">
              <w:rPr>
                <w:rFonts w:ascii="Times New Roman" w:eastAsia="Times New Roman" w:hAnsi="Times New Roman" w:cs="Times New Roman"/>
                <w:b/>
                <w:bCs/>
                <w:color w:val="000000"/>
                <w:sz w:val="24"/>
                <w:szCs w:val="24"/>
                <w:lang w:bidi="ar-SA"/>
              </w:rPr>
              <w:t>Fe</w:t>
            </w:r>
          </w:p>
        </w:tc>
        <w:tc>
          <w:tcPr>
            <w:tcW w:w="1019" w:type="dxa"/>
          </w:tcPr>
          <w:p w14:paraId="53EE3065" w14:textId="77777777" w:rsidR="007201F6" w:rsidRPr="00415F00" w:rsidRDefault="007201F6" w:rsidP="00AD3BAE">
            <w:pPr>
              <w:jc w:val="center"/>
              <w:rPr>
                <w:rFonts w:ascii="Times New Roman" w:eastAsia="Times New Roman" w:hAnsi="Times New Roman" w:cs="Times New Roman"/>
                <w:b/>
                <w:bCs/>
                <w:color w:val="000000"/>
                <w:sz w:val="24"/>
                <w:szCs w:val="24"/>
                <w:lang w:bidi="ar-SA"/>
              </w:rPr>
            </w:pPr>
            <w:r w:rsidRPr="00415F00">
              <w:rPr>
                <w:rFonts w:ascii="Times New Roman" w:eastAsia="Times New Roman" w:hAnsi="Times New Roman" w:cs="Times New Roman"/>
                <w:b/>
                <w:bCs/>
                <w:color w:val="000000"/>
                <w:sz w:val="24"/>
                <w:szCs w:val="24"/>
                <w:lang w:bidi="ar-SA"/>
              </w:rPr>
              <w:t>Zn</w:t>
            </w:r>
          </w:p>
        </w:tc>
      </w:tr>
      <w:tr w:rsidR="007201F6" w:rsidRPr="00415F00" w14:paraId="5D2443C8" w14:textId="77777777" w:rsidTr="00AD3BAE">
        <w:trPr>
          <w:jc w:val="center"/>
        </w:trPr>
        <w:tc>
          <w:tcPr>
            <w:tcW w:w="2121" w:type="dxa"/>
          </w:tcPr>
          <w:p w14:paraId="2AEB11CC" w14:textId="77777777" w:rsidR="007201F6" w:rsidRPr="00415F00" w:rsidRDefault="007201F6" w:rsidP="00AD3BAE">
            <w:pPr>
              <w:tabs>
                <w:tab w:val="left" w:pos="5400"/>
              </w:tabs>
              <w:jc w:val="right"/>
              <w:rPr>
                <w:rFonts w:ascii="Times New Roman" w:hAnsi="Times New Roman" w:cs="Times New Roman"/>
                <w:b/>
                <w:bCs/>
              </w:rPr>
            </w:pPr>
            <w:r w:rsidRPr="00415F00">
              <w:rPr>
                <w:rFonts w:ascii="Times New Roman" w:hAnsi="Times New Roman" w:cs="Times New Roman"/>
                <w:b/>
                <w:bCs/>
              </w:rPr>
              <w:t>Range</w:t>
            </w:r>
          </w:p>
        </w:tc>
        <w:tc>
          <w:tcPr>
            <w:tcW w:w="1017" w:type="dxa"/>
          </w:tcPr>
          <w:p w14:paraId="17167C07" w14:textId="77777777" w:rsidR="007201F6" w:rsidRPr="003B7306" w:rsidRDefault="007201F6" w:rsidP="00AD3BAE">
            <w:pPr>
              <w:pStyle w:val="NormalWeb"/>
              <w:tabs>
                <w:tab w:val="left" w:pos="5400"/>
              </w:tabs>
              <w:spacing w:before="0" w:beforeAutospacing="0" w:after="0" w:afterAutospacing="0"/>
              <w:jc w:val="center"/>
            </w:pPr>
            <w:r w:rsidRPr="003B7306">
              <w:t>1.29 to 2.32</w:t>
            </w:r>
          </w:p>
        </w:tc>
        <w:tc>
          <w:tcPr>
            <w:tcW w:w="1018" w:type="dxa"/>
          </w:tcPr>
          <w:p w14:paraId="54A0E5DE" w14:textId="77777777" w:rsidR="007201F6" w:rsidRPr="003B7306" w:rsidRDefault="007201F6" w:rsidP="00AD3BAE">
            <w:pPr>
              <w:pStyle w:val="NormalWeb"/>
              <w:tabs>
                <w:tab w:val="left" w:pos="5400"/>
              </w:tabs>
              <w:spacing w:before="0" w:beforeAutospacing="0" w:after="0" w:afterAutospacing="0"/>
              <w:jc w:val="center"/>
            </w:pPr>
            <w:r>
              <w:t>0.12 to 0.42</w:t>
            </w:r>
          </w:p>
        </w:tc>
        <w:tc>
          <w:tcPr>
            <w:tcW w:w="979" w:type="dxa"/>
          </w:tcPr>
          <w:p w14:paraId="3B9F60DF" w14:textId="77777777" w:rsidR="007201F6" w:rsidRPr="003B7306" w:rsidRDefault="007201F6" w:rsidP="00AD3BAE">
            <w:pPr>
              <w:pStyle w:val="NormalWeb"/>
              <w:tabs>
                <w:tab w:val="left" w:pos="5400"/>
              </w:tabs>
              <w:spacing w:before="0" w:beforeAutospacing="0" w:after="0" w:afterAutospacing="0"/>
              <w:jc w:val="center"/>
            </w:pPr>
            <w:r>
              <w:t xml:space="preserve">0.87 to 1.97 </w:t>
            </w:r>
          </w:p>
        </w:tc>
        <w:tc>
          <w:tcPr>
            <w:tcW w:w="1057" w:type="dxa"/>
          </w:tcPr>
          <w:p w14:paraId="6C542213" w14:textId="77777777" w:rsidR="007201F6" w:rsidRPr="003B7306" w:rsidRDefault="007201F6" w:rsidP="00AD3BAE">
            <w:pPr>
              <w:pStyle w:val="NormalWeb"/>
              <w:tabs>
                <w:tab w:val="left" w:pos="5400"/>
              </w:tabs>
              <w:spacing w:before="0" w:beforeAutospacing="0" w:after="0" w:afterAutospacing="0"/>
              <w:jc w:val="center"/>
            </w:pPr>
            <w:r>
              <w:t>2.33 to 16.28</w:t>
            </w:r>
          </w:p>
        </w:tc>
        <w:tc>
          <w:tcPr>
            <w:tcW w:w="1019" w:type="dxa"/>
          </w:tcPr>
          <w:p w14:paraId="72AC35A6" w14:textId="77777777" w:rsidR="007201F6" w:rsidRPr="003B7306" w:rsidRDefault="007201F6" w:rsidP="00AD3BAE">
            <w:pPr>
              <w:pStyle w:val="NormalWeb"/>
              <w:tabs>
                <w:tab w:val="left" w:pos="5400"/>
              </w:tabs>
              <w:spacing w:before="0" w:beforeAutospacing="0" w:after="0" w:afterAutospacing="0"/>
              <w:jc w:val="center"/>
            </w:pPr>
            <w:r>
              <w:t>3.82 to 74.24</w:t>
            </w:r>
          </w:p>
        </w:tc>
        <w:tc>
          <w:tcPr>
            <w:tcW w:w="1018" w:type="dxa"/>
          </w:tcPr>
          <w:p w14:paraId="53932028" w14:textId="77777777" w:rsidR="007201F6" w:rsidRPr="003B7306" w:rsidRDefault="007201F6" w:rsidP="00AD3BAE">
            <w:pPr>
              <w:pStyle w:val="NormalWeb"/>
              <w:tabs>
                <w:tab w:val="left" w:pos="5400"/>
              </w:tabs>
              <w:spacing w:before="0" w:beforeAutospacing="0" w:after="0" w:afterAutospacing="0"/>
              <w:jc w:val="center"/>
            </w:pPr>
            <w:r>
              <w:t>36.24 to 124.4</w:t>
            </w:r>
          </w:p>
        </w:tc>
        <w:tc>
          <w:tcPr>
            <w:tcW w:w="1019" w:type="dxa"/>
          </w:tcPr>
          <w:p w14:paraId="4E458C4D" w14:textId="77777777" w:rsidR="007201F6" w:rsidRPr="003B7306" w:rsidRDefault="007201F6" w:rsidP="00AD3BAE">
            <w:pPr>
              <w:pStyle w:val="NormalWeb"/>
              <w:tabs>
                <w:tab w:val="left" w:pos="5400"/>
              </w:tabs>
              <w:spacing w:before="0" w:beforeAutospacing="0" w:after="0" w:afterAutospacing="0"/>
              <w:jc w:val="center"/>
            </w:pPr>
            <w:r>
              <w:t>8.23 to 34.98</w:t>
            </w:r>
          </w:p>
        </w:tc>
      </w:tr>
      <w:tr w:rsidR="007201F6" w:rsidRPr="00415F00" w14:paraId="381AA226" w14:textId="77777777" w:rsidTr="00AD3BAE">
        <w:trPr>
          <w:jc w:val="center"/>
        </w:trPr>
        <w:tc>
          <w:tcPr>
            <w:tcW w:w="2121" w:type="dxa"/>
          </w:tcPr>
          <w:p w14:paraId="53493961" w14:textId="77777777" w:rsidR="007201F6" w:rsidRPr="00415F00" w:rsidRDefault="007201F6" w:rsidP="00AD3BAE">
            <w:pPr>
              <w:tabs>
                <w:tab w:val="left" w:pos="5400"/>
              </w:tabs>
              <w:jc w:val="right"/>
              <w:rPr>
                <w:rFonts w:ascii="Times New Roman" w:hAnsi="Times New Roman" w:cs="Times New Roman"/>
                <w:b/>
                <w:bCs/>
              </w:rPr>
            </w:pPr>
            <w:r w:rsidRPr="00415F00">
              <w:rPr>
                <w:rFonts w:ascii="Times New Roman" w:hAnsi="Times New Roman" w:cs="Times New Roman"/>
                <w:b/>
                <w:bCs/>
              </w:rPr>
              <w:t>Mean</w:t>
            </w:r>
          </w:p>
        </w:tc>
        <w:tc>
          <w:tcPr>
            <w:tcW w:w="1017" w:type="dxa"/>
            <w:vAlign w:val="bottom"/>
          </w:tcPr>
          <w:p w14:paraId="3B2B2364" w14:textId="77777777" w:rsidR="007201F6" w:rsidRPr="003B7306" w:rsidRDefault="007201F6" w:rsidP="00AD3BAE">
            <w:pPr>
              <w:pStyle w:val="NormalWeb"/>
              <w:spacing w:before="0" w:beforeAutospacing="0" w:after="0" w:afterAutospacing="0"/>
              <w:jc w:val="center"/>
            </w:pPr>
            <w:r>
              <w:t>1.70</w:t>
            </w:r>
          </w:p>
        </w:tc>
        <w:tc>
          <w:tcPr>
            <w:tcW w:w="1018" w:type="dxa"/>
            <w:vAlign w:val="bottom"/>
          </w:tcPr>
          <w:p w14:paraId="00F9956A" w14:textId="77777777" w:rsidR="007201F6" w:rsidRPr="003B7306" w:rsidRDefault="007201F6" w:rsidP="00AD3BAE">
            <w:pPr>
              <w:pStyle w:val="NormalWeb"/>
              <w:spacing w:before="0" w:beforeAutospacing="0" w:after="0" w:afterAutospacing="0"/>
              <w:jc w:val="center"/>
            </w:pPr>
            <w:r>
              <w:t>0.28</w:t>
            </w:r>
          </w:p>
        </w:tc>
        <w:tc>
          <w:tcPr>
            <w:tcW w:w="979" w:type="dxa"/>
            <w:vAlign w:val="bottom"/>
          </w:tcPr>
          <w:p w14:paraId="01E5AE12" w14:textId="77777777" w:rsidR="007201F6" w:rsidRPr="003B7306" w:rsidRDefault="007201F6" w:rsidP="00AD3BAE">
            <w:pPr>
              <w:pStyle w:val="NormalWeb"/>
              <w:spacing w:before="0" w:beforeAutospacing="0" w:after="0" w:afterAutospacing="0"/>
              <w:jc w:val="center"/>
            </w:pPr>
            <w:r>
              <w:t>1.61</w:t>
            </w:r>
          </w:p>
        </w:tc>
        <w:tc>
          <w:tcPr>
            <w:tcW w:w="1057" w:type="dxa"/>
            <w:vAlign w:val="bottom"/>
          </w:tcPr>
          <w:p w14:paraId="6353A29C" w14:textId="77777777" w:rsidR="007201F6" w:rsidRPr="003B7306" w:rsidRDefault="007201F6" w:rsidP="00AD3BAE">
            <w:pPr>
              <w:pStyle w:val="NormalWeb"/>
              <w:spacing w:before="0" w:beforeAutospacing="0" w:after="0" w:afterAutospacing="0"/>
              <w:jc w:val="center"/>
            </w:pPr>
            <w:r>
              <w:t>7.11</w:t>
            </w:r>
          </w:p>
        </w:tc>
        <w:tc>
          <w:tcPr>
            <w:tcW w:w="1019" w:type="dxa"/>
            <w:vAlign w:val="bottom"/>
          </w:tcPr>
          <w:p w14:paraId="1A92173F" w14:textId="77777777" w:rsidR="007201F6" w:rsidRPr="003B7306" w:rsidRDefault="007201F6" w:rsidP="00AD3BAE">
            <w:pPr>
              <w:pStyle w:val="NormalWeb"/>
              <w:spacing w:before="0" w:beforeAutospacing="0" w:after="0" w:afterAutospacing="0"/>
              <w:jc w:val="center"/>
            </w:pPr>
            <w:r>
              <w:t>40.09</w:t>
            </w:r>
          </w:p>
        </w:tc>
        <w:tc>
          <w:tcPr>
            <w:tcW w:w="1018" w:type="dxa"/>
            <w:vAlign w:val="bottom"/>
          </w:tcPr>
          <w:p w14:paraId="71928B93" w14:textId="77777777" w:rsidR="007201F6" w:rsidRPr="003B7306" w:rsidRDefault="007201F6" w:rsidP="00AD3BAE">
            <w:pPr>
              <w:pStyle w:val="NormalWeb"/>
              <w:spacing w:before="0" w:beforeAutospacing="0" w:after="0" w:afterAutospacing="0"/>
              <w:jc w:val="center"/>
            </w:pPr>
            <w:r>
              <w:t>64.30</w:t>
            </w:r>
          </w:p>
        </w:tc>
        <w:tc>
          <w:tcPr>
            <w:tcW w:w="1019" w:type="dxa"/>
            <w:vAlign w:val="bottom"/>
          </w:tcPr>
          <w:p w14:paraId="1E016F61" w14:textId="77777777" w:rsidR="007201F6" w:rsidRPr="003B7306" w:rsidRDefault="007201F6" w:rsidP="00AD3BAE">
            <w:pPr>
              <w:pStyle w:val="NormalWeb"/>
              <w:spacing w:before="0" w:beforeAutospacing="0" w:after="0" w:afterAutospacing="0"/>
              <w:jc w:val="center"/>
            </w:pPr>
            <w:r>
              <w:t>19.48</w:t>
            </w:r>
          </w:p>
        </w:tc>
      </w:tr>
      <w:tr w:rsidR="007201F6" w:rsidRPr="00415F00" w14:paraId="6F66374E" w14:textId="77777777" w:rsidTr="00AD3BAE">
        <w:trPr>
          <w:jc w:val="center"/>
        </w:trPr>
        <w:tc>
          <w:tcPr>
            <w:tcW w:w="2121" w:type="dxa"/>
          </w:tcPr>
          <w:p w14:paraId="70CB5156" w14:textId="77777777" w:rsidR="007201F6" w:rsidRPr="00415F00" w:rsidRDefault="007201F6" w:rsidP="00AD3BAE">
            <w:pPr>
              <w:tabs>
                <w:tab w:val="left" w:pos="5400"/>
              </w:tabs>
              <w:jc w:val="right"/>
              <w:rPr>
                <w:rFonts w:ascii="Times New Roman" w:hAnsi="Times New Roman" w:cs="Times New Roman"/>
                <w:b/>
                <w:bCs/>
              </w:rPr>
            </w:pPr>
            <w:r w:rsidRPr="00415F00">
              <w:rPr>
                <w:rFonts w:ascii="Times New Roman" w:hAnsi="Times New Roman" w:cs="Times New Roman"/>
                <w:b/>
                <w:bCs/>
              </w:rPr>
              <w:t>Critical Level (CL)</w:t>
            </w:r>
          </w:p>
        </w:tc>
        <w:tc>
          <w:tcPr>
            <w:tcW w:w="1017" w:type="dxa"/>
            <w:vAlign w:val="bottom"/>
          </w:tcPr>
          <w:p w14:paraId="42FC3FA9" w14:textId="77777777" w:rsidR="007201F6" w:rsidRPr="003B7306" w:rsidRDefault="007201F6" w:rsidP="00AD3BAE">
            <w:pPr>
              <w:pStyle w:val="NormalWeb"/>
              <w:spacing w:before="0" w:beforeAutospacing="0" w:after="0" w:afterAutospacing="0"/>
              <w:jc w:val="center"/>
            </w:pPr>
            <w:r w:rsidRPr="003B7306">
              <w:rPr>
                <w:color w:val="000514"/>
                <w:kern w:val="24"/>
              </w:rPr>
              <w:t xml:space="preserve">2.0 </w:t>
            </w:r>
          </w:p>
        </w:tc>
        <w:tc>
          <w:tcPr>
            <w:tcW w:w="1018" w:type="dxa"/>
            <w:vAlign w:val="bottom"/>
          </w:tcPr>
          <w:p w14:paraId="62231421" w14:textId="77777777" w:rsidR="007201F6" w:rsidRPr="003B7306" w:rsidRDefault="007201F6" w:rsidP="00AD3BAE">
            <w:pPr>
              <w:pStyle w:val="NormalWeb"/>
              <w:spacing w:before="0" w:beforeAutospacing="0" w:after="0" w:afterAutospacing="0"/>
              <w:jc w:val="center"/>
            </w:pPr>
            <w:r w:rsidRPr="003B7306">
              <w:rPr>
                <w:color w:val="000514"/>
                <w:kern w:val="24"/>
              </w:rPr>
              <w:t xml:space="preserve">0.20 </w:t>
            </w:r>
          </w:p>
        </w:tc>
        <w:tc>
          <w:tcPr>
            <w:tcW w:w="979" w:type="dxa"/>
            <w:vAlign w:val="bottom"/>
          </w:tcPr>
          <w:p w14:paraId="76C818BE" w14:textId="77777777" w:rsidR="007201F6" w:rsidRPr="003B7306" w:rsidRDefault="007201F6" w:rsidP="00AD3BAE">
            <w:pPr>
              <w:pStyle w:val="NormalWeb"/>
              <w:spacing w:before="0" w:beforeAutospacing="0" w:after="0" w:afterAutospacing="0"/>
              <w:jc w:val="center"/>
            </w:pPr>
            <w:r w:rsidRPr="003B7306">
              <w:rPr>
                <w:color w:val="000514"/>
                <w:kern w:val="24"/>
              </w:rPr>
              <w:t xml:space="preserve">1.50 </w:t>
            </w:r>
          </w:p>
        </w:tc>
        <w:tc>
          <w:tcPr>
            <w:tcW w:w="1057" w:type="dxa"/>
            <w:vAlign w:val="bottom"/>
          </w:tcPr>
          <w:p w14:paraId="756A1A4B" w14:textId="77777777" w:rsidR="007201F6" w:rsidRPr="003B7306" w:rsidRDefault="007201F6" w:rsidP="00AD3BAE">
            <w:pPr>
              <w:pStyle w:val="NormalWeb"/>
              <w:spacing w:before="0" w:beforeAutospacing="0" w:after="0" w:afterAutospacing="0"/>
              <w:jc w:val="center"/>
            </w:pPr>
            <w:r w:rsidRPr="003B7306">
              <w:rPr>
                <w:color w:val="000514"/>
                <w:kern w:val="24"/>
              </w:rPr>
              <w:t xml:space="preserve">3 </w:t>
            </w:r>
          </w:p>
        </w:tc>
        <w:tc>
          <w:tcPr>
            <w:tcW w:w="1019" w:type="dxa"/>
            <w:vAlign w:val="bottom"/>
          </w:tcPr>
          <w:p w14:paraId="027FB765" w14:textId="77777777" w:rsidR="007201F6" w:rsidRPr="003B7306" w:rsidRDefault="007201F6" w:rsidP="00AD3BAE">
            <w:pPr>
              <w:pStyle w:val="NormalWeb"/>
              <w:spacing w:before="0" w:beforeAutospacing="0" w:after="0" w:afterAutospacing="0"/>
              <w:jc w:val="center"/>
            </w:pPr>
            <w:r w:rsidRPr="003B7306">
              <w:rPr>
                <w:color w:val="000514"/>
                <w:kern w:val="24"/>
              </w:rPr>
              <w:t xml:space="preserve">20 </w:t>
            </w:r>
          </w:p>
        </w:tc>
        <w:tc>
          <w:tcPr>
            <w:tcW w:w="1018" w:type="dxa"/>
            <w:vAlign w:val="bottom"/>
          </w:tcPr>
          <w:p w14:paraId="78AB52D0" w14:textId="77777777" w:rsidR="007201F6" w:rsidRPr="003B7306" w:rsidRDefault="007201F6" w:rsidP="00AD3BAE">
            <w:pPr>
              <w:pStyle w:val="NormalWeb"/>
              <w:spacing w:before="0" w:beforeAutospacing="0" w:after="0" w:afterAutospacing="0"/>
              <w:jc w:val="center"/>
            </w:pPr>
            <w:r w:rsidRPr="003B7306">
              <w:rPr>
                <w:color w:val="000514"/>
                <w:kern w:val="24"/>
              </w:rPr>
              <w:t>50</w:t>
            </w:r>
          </w:p>
        </w:tc>
        <w:tc>
          <w:tcPr>
            <w:tcW w:w="1019" w:type="dxa"/>
            <w:vAlign w:val="bottom"/>
          </w:tcPr>
          <w:p w14:paraId="5F94ED73" w14:textId="77777777" w:rsidR="007201F6" w:rsidRPr="003B7306" w:rsidRDefault="007201F6" w:rsidP="00AD3BAE">
            <w:pPr>
              <w:pStyle w:val="NormalWeb"/>
              <w:spacing w:before="0" w:beforeAutospacing="0" w:after="0" w:afterAutospacing="0"/>
              <w:jc w:val="center"/>
            </w:pPr>
            <w:r w:rsidRPr="003B7306">
              <w:rPr>
                <w:color w:val="000514"/>
                <w:kern w:val="24"/>
              </w:rPr>
              <w:t xml:space="preserve">15 </w:t>
            </w:r>
          </w:p>
        </w:tc>
      </w:tr>
      <w:tr w:rsidR="007201F6" w:rsidRPr="00415F00" w14:paraId="39B2E8D2" w14:textId="77777777" w:rsidTr="00AD3BAE">
        <w:trPr>
          <w:jc w:val="center"/>
        </w:trPr>
        <w:tc>
          <w:tcPr>
            <w:tcW w:w="2121" w:type="dxa"/>
          </w:tcPr>
          <w:p w14:paraId="3F64A612" w14:textId="77777777" w:rsidR="007201F6" w:rsidRPr="00415F00" w:rsidRDefault="007201F6" w:rsidP="00AD3BAE">
            <w:pPr>
              <w:tabs>
                <w:tab w:val="left" w:pos="5400"/>
              </w:tabs>
              <w:jc w:val="right"/>
              <w:rPr>
                <w:rFonts w:ascii="Times New Roman" w:hAnsi="Times New Roman" w:cs="Times New Roman"/>
                <w:b/>
                <w:bCs/>
              </w:rPr>
            </w:pPr>
            <w:r w:rsidRPr="00415F00">
              <w:rPr>
                <w:rFonts w:ascii="Times New Roman" w:hAnsi="Times New Roman" w:cs="Times New Roman"/>
                <w:b/>
                <w:bCs/>
              </w:rPr>
              <w:t>%Sample below CL</w:t>
            </w:r>
          </w:p>
        </w:tc>
        <w:tc>
          <w:tcPr>
            <w:tcW w:w="1017" w:type="dxa"/>
          </w:tcPr>
          <w:p w14:paraId="1343C866" w14:textId="77777777" w:rsidR="007201F6" w:rsidRPr="00017195" w:rsidRDefault="007201F6" w:rsidP="00AD3BAE">
            <w:pPr>
              <w:pStyle w:val="NormalWeb"/>
              <w:tabs>
                <w:tab w:val="left" w:pos="5400"/>
              </w:tabs>
              <w:spacing w:before="0" w:beforeAutospacing="0" w:after="0" w:afterAutospacing="0"/>
              <w:jc w:val="center"/>
              <w:rPr>
                <w:b/>
              </w:rPr>
            </w:pPr>
            <w:r w:rsidRPr="00017195">
              <w:rPr>
                <w:b/>
              </w:rPr>
              <w:t>80.31</w:t>
            </w:r>
          </w:p>
        </w:tc>
        <w:tc>
          <w:tcPr>
            <w:tcW w:w="1018" w:type="dxa"/>
          </w:tcPr>
          <w:p w14:paraId="2A6BABF3" w14:textId="77777777" w:rsidR="007201F6" w:rsidRPr="00017195" w:rsidRDefault="007201F6" w:rsidP="00AD3BAE">
            <w:pPr>
              <w:pStyle w:val="NormalWeb"/>
              <w:tabs>
                <w:tab w:val="left" w:pos="5400"/>
              </w:tabs>
              <w:spacing w:before="0" w:beforeAutospacing="0" w:after="0" w:afterAutospacing="0"/>
              <w:jc w:val="center"/>
              <w:rPr>
                <w:b/>
              </w:rPr>
            </w:pPr>
            <w:r w:rsidRPr="00017195">
              <w:rPr>
                <w:b/>
              </w:rPr>
              <w:t>9.45</w:t>
            </w:r>
          </w:p>
        </w:tc>
        <w:tc>
          <w:tcPr>
            <w:tcW w:w="979" w:type="dxa"/>
          </w:tcPr>
          <w:p w14:paraId="7FB05A45" w14:textId="77777777" w:rsidR="007201F6" w:rsidRPr="00017195" w:rsidRDefault="007201F6" w:rsidP="00AD3BAE">
            <w:pPr>
              <w:pStyle w:val="NormalWeb"/>
              <w:tabs>
                <w:tab w:val="left" w:pos="5400"/>
              </w:tabs>
              <w:spacing w:before="0" w:beforeAutospacing="0" w:after="0" w:afterAutospacing="0"/>
              <w:jc w:val="center"/>
              <w:rPr>
                <w:b/>
              </w:rPr>
            </w:pPr>
            <w:r w:rsidRPr="00017195">
              <w:rPr>
                <w:b/>
              </w:rPr>
              <w:t>10.02</w:t>
            </w:r>
          </w:p>
        </w:tc>
        <w:tc>
          <w:tcPr>
            <w:tcW w:w="1057" w:type="dxa"/>
          </w:tcPr>
          <w:p w14:paraId="2B8416D5" w14:textId="77777777" w:rsidR="007201F6" w:rsidRPr="00017195" w:rsidRDefault="007201F6" w:rsidP="00AD3BAE">
            <w:pPr>
              <w:pStyle w:val="NormalWeb"/>
              <w:tabs>
                <w:tab w:val="left" w:pos="5400"/>
              </w:tabs>
              <w:spacing w:before="0" w:beforeAutospacing="0" w:after="0" w:afterAutospacing="0"/>
              <w:jc w:val="center"/>
              <w:rPr>
                <w:b/>
              </w:rPr>
            </w:pPr>
            <w:r w:rsidRPr="00017195">
              <w:rPr>
                <w:b/>
              </w:rPr>
              <w:t>25.98</w:t>
            </w:r>
          </w:p>
        </w:tc>
        <w:tc>
          <w:tcPr>
            <w:tcW w:w="1019" w:type="dxa"/>
          </w:tcPr>
          <w:p w14:paraId="056CB656" w14:textId="77777777" w:rsidR="007201F6" w:rsidRPr="00017195" w:rsidRDefault="007201F6" w:rsidP="00AD3BAE">
            <w:pPr>
              <w:pStyle w:val="NormalWeb"/>
              <w:tabs>
                <w:tab w:val="left" w:pos="5400"/>
              </w:tabs>
              <w:spacing w:before="0" w:beforeAutospacing="0" w:after="0" w:afterAutospacing="0"/>
              <w:jc w:val="center"/>
              <w:rPr>
                <w:b/>
              </w:rPr>
            </w:pPr>
            <w:r w:rsidRPr="00017195">
              <w:rPr>
                <w:b/>
                <w:bCs/>
                <w:color w:val="000514"/>
                <w:kern w:val="24"/>
              </w:rPr>
              <w:t xml:space="preserve">0.79 </w:t>
            </w:r>
          </w:p>
        </w:tc>
        <w:tc>
          <w:tcPr>
            <w:tcW w:w="1018" w:type="dxa"/>
          </w:tcPr>
          <w:p w14:paraId="369BA343" w14:textId="77777777" w:rsidR="007201F6" w:rsidRPr="00017195" w:rsidRDefault="007201F6" w:rsidP="00AD3BAE">
            <w:pPr>
              <w:pStyle w:val="NormalWeb"/>
              <w:tabs>
                <w:tab w:val="left" w:pos="5400"/>
              </w:tabs>
              <w:spacing w:before="0" w:beforeAutospacing="0" w:after="0" w:afterAutospacing="0"/>
              <w:jc w:val="center"/>
              <w:rPr>
                <w:b/>
              </w:rPr>
            </w:pPr>
            <w:r w:rsidRPr="00017195">
              <w:rPr>
                <w:b/>
                <w:bCs/>
                <w:color w:val="000514"/>
                <w:kern w:val="24"/>
              </w:rPr>
              <w:t>18.90</w:t>
            </w:r>
          </w:p>
        </w:tc>
        <w:tc>
          <w:tcPr>
            <w:tcW w:w="1019" w:type="dxa"/>
          </w:tcPr>
          <w:p w14:paraId="0BD306A7" w14:textId="77777777" w:rsidR="007201F6" w:rsidRPr="00017195" w:rsidRDefault="007201F6" w:rsidP="00AD3BAE">
            <w:pPr>
              <w:pStyle w:val="NormalWeb"/>
              <w:tabs>
                <w:tab w:val="left" w:pos="5400"/>
              </w:tabs>
              <w:spacing w:before="0" w:beforeAutospacing="0" w:after="0" w:afterAutospacing="0"/>
              <w:jc w:val="center"/>
              <w:rPr>
                <w:b/>
              </w:rPr>
            </w:pPr>
            <w:r w:rsidRPr="00017195">
              <w:rPr>
                <w:b/>
                <w:bCs/>
                <w:color w:val="000514"/>
                <w:kern w:val="24"/>
              </w:rPr>
              <w:t>62.20</w:t>
            </w:r>
          </w:p>
        </w:tc>
      </w:tr>
    </w:tbl>
    <w:p w14:paraId="1F9A83F4" w14:textId="77777777" w:rsidR="007201F6" w:rsidRDefault="007201F6" w:rsidP="007201F6">
      <w:pPr>
        <w:spacing w:after="0" w:line="240" w:lineRule="auto"/>
        <w:jc w:val="both"/>
        <w:rPr>
          <w:rFonts w:ascii="Times New Roman" w:hAnsi="Times New Roman" w:cs="Times New Roman"/>
        </w:rPr>
      </w:pPr>
    </w:p>
    <w:p w14:paraId="68FF2B2D" w14:textId="77777777" w:rsidR="00B338DE" w:rsidRDefault="00B338DE" w:rsidP="00EE5932">
      <w:pPr>
        <w:spacing w:before="120" w:after="12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3.2 </w:t>
      </w:r>
      <w:r w:rsidR="00F44819">
        <w:rPr>
          <w:rFonts w:ascii="Times New Roman" w:eastAsia="Times New Roman" w:hAnsi="Times New Roman" w:cs="Times New Roman"/>
          <w:b/>
          <w:color w:val="000000"/>
          <w:sz w:val="24"/>
          <w:szCs w:val="24"/>
        </w:rPr>
        <w:t>Nutrient Content in Soil</w:t>
      </w:r>
    </w:p>
    <w:p w14:paraId="080EC672" w14:textId="20283CE2" w:rsidR="004F5C9D" w:rsidRPr="004F5C9D" w:rsidRDefault="004F5C9D" w:rsidP="00C37609">
      <w:pPr>
        <w:spacing w:before="120" w:after="120" w:line="240" w:lineRule="auto"/>
        <w:ind w:firstLine="720"/>
        <w:jc w:val="both"/>
        <w:rPr>
          <w:rFonts w:ascii="Times New Roman" w:hAnsi="Times New Roman" w:cs="Times New Roman"/>
          <w:sz w:val="24"/>
          <w:szCs w:val="24"/>
        </w:rPr>
      </w:pPr>
      <w:r w:rsidRPr="004F5C9D">
        <w:rPr>
          <w:rFonts w:ascii="Times New Roman" w:hAnsi="Times New Roman" w:cs="Times New Roman"/>
          <w:sz w:val="24"/>
          <w:szCs w:val="24"/>
        </w:rPr>
        <w:t>The soil fertility status of the study area showed considerable variation in both macro and micronutrients</w:t>
      </w:r>
      <w:r w:rsidRPr="00E771C0">
        <w:rPr>
          <w:rFonts w:ascii="Times New Roman" w:eastAsia="Times New Roman" w:hAnsi="Times New Roman" w:cs="Times New Roman"/>
          <w:sz w:val="24"/>
          <w:szCs w:val="24"/>
        </w:rPr>
        <w:t xml:space="preserve"> (Table</w:t>
      </w:r>
      <w:r>
        <w:rPr>
          <w:rFonts w:ascii="Times New Roman" w:eastAsia="Times New Roman" w:hAnsi="Times New Roman" w:cs="Times New Roman"/>
          <w:sz w:val="24"/>
          <w:szCs w:val="24"/>
        </w:rPr>
        <w:t xml:space="preserve"> 2</w:t>
      </w:r>
      <w:r w:rsidRPr="00E771C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F5C9D">
        <w:rPr>
          <w:rFonts w:ascii="Times New Roman" w:hAnsi="Times New Roman" w:cs="Times New Roman"/>
          <w:sz w:val="24"/>
          <w:szCs w:val="24"/>
        </w:rPr>
        <w:t xml:space="preserve">The organic carbon content ranged from 0.35 to 1.26% with a mean value of 0.54%, indicating that the soils fall under low to medium organic carbon status. About 47.24% of the samples were deficient in organic carbon. </w:t>
      </w:r>
      <w:r w:rsidR="00A323FE">
        <w:rPr>
          <w:rFonts w:ascii="Times New Roman" w:hAnsi="Times New Roman" w:cs="Times New Roman"/>
          <w:sz w:val="24"/>
          <w:szCs w:val="24"/>
        </w:rPr>
        <w:t>Conducted a</w:t>
      </w:r>
      <w:r w:rsidRPr="004F5C9D">
        <w:rPr>
          <w:rFonts w:ascii="Times New Roman" w:hAnsi="Times New Roman" w:cs="Times New Roman"/>
          <w:sz w:val="24"/>
          <w:szCs w:val="24"/>
        </w:rPr>
        <w:t xml:space="preserve"> </w:t>
      </w:r>
      <w:proofErr w:type="gramStart"/>
      <w:r w:rsidRPr="004F5C9D">
        <w:rPr>
          <w:rFonts w:ascii="Times New Roman" w:hAnsi="Times New Roman" w:cs="Times New Roman"/>
          <w:sz w:val="24"/>
          <w:szCs w:val="24"/>
        </w:rPr>
        <w:t>large</w:t>
      </w:r>
      <w:r w:rsidR="00A54280">
        <w:rPr>
          <w:rFonts w:ascii="Times New Roman" w:hAnsi="Times New Roman" w:cs="Times New Roman"/>
          <w:sz w:val="24"/>
          <w:szCs w:val="24"/>
        </w:rPr>
        <w:t xml:space="preserve"> </w:t>
      </w:r>
      <w:r w:rsidRPr="004F5C9D">
        <w:rPr>
          <w:rFonts w:ascii="Times New Roman" w:hAnsi="Times New Roman" w:cs="Times New Roman"/>
          <w:sz w:val="24"/>
          <w:szCs w:val="24"/>
        </w:rPr>
        <w:t>scale</w:t>
      </w:r>
      <w:proofErr w:type="gramEnd"/>
      <w:r w:rsidRPr="004F5C9D">
        <w:rPr>
          <w:rFonts w:ascii="Times New Roman" w:hAnsi="Times New Roman" w:cs="Times New Roman"/>
          <w:sz w:val="24"/>
          <w:szCs w:val="24"/>
        </w:rPr>
        <w:t xml:space="preserve"> assessment of soil fertility across India and found that a major proportion of cultivated soils contain low to medium organic carbon levels due to intensive agricultural practices (Shukla et al., 2021). Organic carbon plays a crucial role in improving soil structure, nutrient availability, microbial activity, and overall soil health.</w:t>
      </w:r>
    </w:p>
    <w:p w14:paraId="39DFB28B" w14:textId="31B48F36" w:rsidR="004F5C9D" w:rsidRPr="004F5C9D" w:rsidRDefault="004F5C9D" w:rsidP="00EE5932">
      <w:pPr>
        <w:autoSpaceDE w:val="0"/>
        <w:autoSpaceDN w:val="0"/>
        <w:adjustRightInd w:val="0"/>
        <w:spacing w:before="120" w:after="120" w:line="240" w:lineRule="auto"/>
        <w:ind w:firstLine="720"/>
        <w:jc w:val="both"/>
        <w:rPr>
          <w:rFonts w:ascii="Times New Roman" w:hAnsi="Times New Roman" w:cs="Times New Roman"/>
          <w:sz w:val="24"/>
          <w:szCs w:val="24"/>
        </w:rPr>
      </w:pPr>
      <w:r w:rsidRPr="004F5C9D">
        <w:rPr>
          <w:rFonts w:ascii="Times New Roman" w:hAnsi="Times New Roman" w:cs="Times New Roman"/>
          <w:sz w:val="24"/>
          <w:szCs w:val="24"/>
        </w:rPr>
        <w:t xml:space="preserve">Available nitrogen in the study area ranged from 110 to 315 kg ha⁻¹ with a mean value of 201 kg ha⁻¹, which is below the critical level of 280 kg ha⁻¹. Nearly 91.33% of the soil samples were deficient in nitrogen, indicating that nitrogen is the most limiting nutrient in the soils of the study area. </w:t>
      </w:r>
      <w:r w:rsidR="007C02F0" w:rsidRPr="004F5C9D">
        <w:rPr>
          <w:rFonts w:ascii="Times New Roman" w:hAnsi="Times New Roman" w:cs="Times New Roman"/>
          <w:sz w:val="24"/>
          <w:szCs w:val="24"/>
        </w:rPr>
        <w:t xml:space="preserve">Soil </w:t>
      </w:r>
      <w:r w:rsidRPr="004F5C9D">
        <w:rPr>
          <w:rFonts w:ascii="Times New Roman" w:hAnsi="Times New Roman" w:cs="Times New Roman"/>
          <w:sz w:val="24"/>
          <w:szCs w:val="24"/>
        </w:rPr>
        <w:t>fertility assessment highlighted nitrogen as the most widespread nutrient deficiency in Indian agricultural soils (</w:t>
      </w:r>
      <w:proofErr w:type="spellStart"/>
      <w:r w:rsidR="002147B7">
        <w:rPr>
          <w:rFonts w:ascii="Times New Roman" w:hAnsi="Times New Roman" w:cs="Times New Roman"/>
          <w:sz w:val="24"/>
          <w:szCs w:val="24"/>
        </w:rPr>
        <w:t>Kamalakar</w:t>
      </w:r>
      <w:proofErr w:type="spellEnd"/>
      <w:r w:rsidR="002147B7">
        <w:rPr>
          <w:rFonts w:ascii="Times New Roman" w:hAnsi="Times New Roman" w:cs="Times New Roman"/>
          <w:sz w:val="24"/>
          <w:szCs w:val="24"/>
        </w:rPr>
        <w:t xml:space="preserve"> et al., </w:t>
      </w:r>
      <w:r w:rsidR="00370463">
        <w:rPr>
          <w:rFonts w:ascii="Times New Roman" w:hAnsi="Times New Roman" w:cs="Times New Roman"/>
          <w:sz w:val="24"/>
          <w:szCs w:val="24"/>
        </w:rPr>
        <w:t>2020</w:t>
      </w:r>
      <w:r w:rsidRPr="004F5C9D">
        <w:rPr>
          <w:rFonts w:ascii="Times New Roman" w:hAnsi="Times New Roman" w:cs="Times New Roman"/>
          <w:sz w:val="24"/>
          <w:szCs w:val="24"/>
        </w:rPr>
        <w:t xml:space="preserve">). Similarly, </w:t>
      </w:r>
      <w:proofErr w:type="spellStart"/>
      <w:r w:rsidRPr="004F5C9D">
        <w:rPr>
          <w:rFonts w:ascii="Times New Roman" w:hAnsi="Times New Roman" w:cs="Times New Roman"/>
          <w:sz w:val="24"/>
          <w:szCs w:val="24"/>
        </w:rPr>
        <w:t>Subba</w:t>
      </w:r>
      <w:proofErr w:type="spellEnd"/>
      <w:r w:rsidRPr="004F5C9D">
        <w:rPr>
          <w:rFonts w:ascii="Times New Roman" w:hAnsi="Times New Roman" w:cs="Times New Roman"/>
          <w:sz w:val="24"/>
          <w:szCs w:val="24"/>
        </w:rPr>
        <w:t xml:space="preserve"> Rao</w:t>
      </w:r>
      <w:r w:rsidR="000A6199">
        <w:rPr>
          <w:rFonts w:ascii="Times New Roman" w:hAnsi="Times New Roman" w:cs="Times New Roman"/>
          <w:sz w:val="24"/>
          <w:szCs w:val="24"/>
        </w:rPr>
        <w:t xml:space="preserve"> (2005)</w:t>
      </w:r>
      <w:r w:rsidRPr="004F5C9D">
        <w:rPr>
          <w:rFonts w:ascii="Times New Roman" w:hAnsi="Times New Roman" w:cs="Times New Roman"/>
          <w:sz w:val="24"/>
          <w:szCs w:val="24"/>
        </w:rPr>
        <w:t xml:space="preserve"> also emphasized that nitrogen deficiency is a major constraint to crop productivity in many tropical soils due to rapid mineralization and losses through leaching and denitrification.</w:t>
      </w:r>
    </w:p>
    <w:p w14:paraId="5CA97C3B" w14:textId="6C68BA6F" w:rsidR="004F5C9D" w:rsidRPr="004F5C9D" w:rsidRDefault="004F5C9D" w:rsidP="00EE5932">
      <w:pPr>
        <w:autoSpaceDE w:val="0"/>
        <w:autoSpaceDN w:val="0"/>
        <w:adjustRightInd w:val="0"/>
        <w:spacing w:before="120" w:after="120" w:line="240" w:lineRule="auto"/>
        <w:ind w:firstLine="720"/>
        <w:jc w:val="both"/>
        <w:rPr>
          <w:rFonts w:ascii="Times New Roman" w:hAnsi="Times New Roman" w:cs="Times New Roman"/>
          <w:sz w:val="24"/>
          <w:szCs w:val="24"/>
        </w:rPr>
      </w:pPr>
      <w:r w:rsidRPr="004F5C9D">
        <w:rPr>
          <w:rFonts w:ascii="Times New Roman" w:hAnsi="Times New Roman" w:cs="Times New Roman"/>
          <w:sz w:val="24"/>
          <w:szCs w:val="24"/>
        </w:rPr>
        <w:t>The available phosphorus (P₂O₅) content varied from 15.89 to 148.2 kg ha⁻¹ with a mean value of 52.12 kg ha⁻¹. Only 13.38% of the samples were deficient in phosphorus, indicating that the majority of soils have adequate phosphorus levels. The available potassium (K₂O) content ranged from 248 to 1124 kg ha⁻¹ with a mean value of 475 kg ha⁻¹, which is well above the critical limit, and no potassium deficiency was observed. Similar findings were reported in several soil fertility studies, which indicated that many Indian soils are naturally rich in potassium due to the mineralogical composition of the parent material (Tandon, 2013).</w:t>
      </w:r>
    </w:p>
    <w:p w14:paraId="109D8F71" w14:textId="5FF9646F" w:rsidR="004F5C9D" w:rsidRPr="004F5C9D" w:rsidRDefault="004F5C9D" w:rsidP="00EE5932">
      <w:pPr>
        <w:autoSpaceDE w:val="0"/>
        <w:autoSpaceDN w:val="0"/>
        <w:adjustRightInd w:val="0"/>
        <w:spacing w:before="120" w:after="120" w:line="240" w:lineRule="auto"/>
        <w:ind w:firstLine="720"/>
        <w:jc w:val="both"/>
        <w:rPr>
          <w:rFonts w:ascii="Times New Roman" w:hAnsi="Times New Roman" w:cs="Times New Roman"/>
          <w:sz w:val="24"/>
          <w:szCs w:val="24"/>
        </w:rPr>
      </w:pPr>
      <w:r w:rsidRPr="004F5C9D">
        <w:rPr>
          <w:rFonts w:ascii="Times New Roman" w:hAnsi="Times New Roman" w:cs="Times New Roman"/>
          <w:sz w:val="24"/>
          <w:szCs w:val="24"/>
        </w:rPr>
        <w:t xml:space="preserve">Among micronutrients, copper, manganese, and iron were found to be adequate in almost all soil samples. Copper content ranged from 0.21 to 8.27 ppm with a mean value of 1.93 ppm, with only 0.79% deficiency. Manganese ranged from 8.35 to 51.59 ppm (mean 22 ppm) and iron ranged from 4.05 to 78.06 ppm (mean 13.69 ppm), both of which were above their critical limits. Adequate availability of these micronutrients may be attributed to </w:t>
      </w:r>
      <w:proofErr w:type="spellStart"/>
      <w:r w:rsidRPr="004F5C9D">
        <w:rPr>
          <w:rFonts w:ascii="Times New Roman" w:hAnsi="Times New Roman" w:cs="Times New Roman"/>
          <w:sz w:val="24"/>
          <w:szCs w:val="24"/>
        </w:rPr>
        <w:t>favorable</w:t>
      </w:r>
      <w:proofErr w:type="spellEnd"/>
      <w:r w:rsidRPr="004F5C9D">
        <w:rPr>
          <w:rFonts w:ascii="Times New Roman" w:hAnsi="Times New Roman" w:cs="Times New Roman"/>
          <w:sz w:val="24"/>
          <w:szCs w:val="24"/>
        </w:rPr>
        <w:t xml:space="preserve"> soil pH conditions, parent material composition, and organic matter interactions that influence micronutrient solubility.</w:t>
      </w:r>
      <w:r>
        <w:rPr>
          <w:rFonts w:ascii="Times New Roman" w:hAnsi="Times New Roman" w:cs="Times New Roman"/>
          <w:sz w:val="24"/>
          <w:szCs w:val="24"/>
        </w:rPr>
        <w:t xml:space="preserve"> </w:t>
      </w:r>
      <w:r w:rsidRPr="004F5C9D">
        <w:rPr>
          <w:rFonts w:ascii="Times New Roman" w:hAnsi="Times New Roman" w:cs="Times New Roman"/>
          <w:sz w:val="24"/>
          <w:szCs w:val="24"/>
        </w:rPr>
        <w:t xml:space="preserve">However, zinc deficiency was observed in a considerable proportion of soil samples. Zinc content ranged from 0.22 to 3.22 ppm with a mean value of 1.10 ppm, and about 34.64% of the samples were deficient. These findings </w:t>
      </w:r>
      <w:proofErr w:type="gramStart"/>
      <w:r w:rsidRPr="004F5C9D">
        <w:rPr>
          <w:rFonts w:ascii="Times New Roman" w:hAnsi="Times New Roman" w:cs="Times New Roman"/>
          <w:sz w:val="24"/>
          <w:szCs w:val="24"/>
        </w:rPr>
        <w:t>are in agreement</w:t>
      </w:r>
      <w:proofErr w:type="gramEnd"/>
      <w:r w:rsidRPr="004F5C9D">
        <w:rPr>
          <w:rFonts w:ascii="Times New Roman" w:hAnsi="Times New Roman" w:cs="Times New Roman"/>
          <w:sz w:val="24"/>
          <w:szCs w:val="24"/>
        </w:rPr>
        <w:t xml:space="preserve"> with the reports of </w:t>
      </w:r>
      <w:proofErr w:type="spellStart"/>
      <w:r w:rsidR="00997184">
        <w:rPr>
          <w:rFonts w:ascii="Times New Roman" w:hAnsi="Times New Roman" w:cs="Times New Roman"/>
          <w:sz w:val="24"/>
          <w:szCs w:val="24"/>
        </w:rPr>
        <w:t>Kamalakar</w:t>
      </w:r>
      <w:proofErr w:type="spellEnd"/>
      <w:r w:rsidR="00997184">
        <w:rPr>
          <w:rFonts w:ascii="Times New Roman" w:hAnsi="Times New Roman" w:cs="Times New Roman"/>
          <w:sz w:val="24"/>
          <w:szCs w:val="24"/>
        </w:rPr>
        <w:t xml:space="preserve"> et al.,</w:t>
      </w:r>
      <w:r w:rsidR="000265CF">
        <w:rPr>
          <w:rFonts w:ascii="Times New Roman" w:hAnsi="Times New Roman" w:cs="Times New Roman"/>
          <w:sz w:val="24"/>
          <w:szCs w:val="24"/>
        </w:rPr>
        <w:t xml:space="preserve"> (</w:t>
      </w:r>
      <w:r w:rsidR="00997184">
        <w:rPr>
          <w:rFonts w:ascii="Times New Roman" w:hAnsi="Times New Roman" w:cs="Times New Roman"/>
          <w:sz w:val="24"/>
          <w:szCs w:val="24"/>
        </w:rPr>
        <w:t>2020</w:t>
      </w:r>
      <w:r w:rsidR="000265CF">
        <w:rPr>
          <w:rFonts w:ascii="Times New Roman" w:hAnsi="Times New Roman" w:cs="Times New Roman"/>
          <w:sz w:val="24"/>
          <w:szCs w:val="24"/>
        </w:rPr>
        <w:t>)</w:t>
      </w:r>
      <w:r w:rsidRPr="004F5C9D">
        <w:rPr>
          <w:rFonts w:ascii="Times New Roman" w:hAnsi="Times New Roman" w:cs="Times New Roman"/>
          <w:sz w:val="24"/>
          <w:szCs w:val="24"/>
        </w:rPr>
        <w:t xml:space="preserve">, who identified zinc deficiency as one of the most widespread micronutrient deficiencies affecting </w:t>
      </w:r>
      <w:r w:rsidR="00997184">
        <w:rPr>
          <w:rFonts w:ascii="Times New Roman" w:hAnsi="Times New Roman" w:cs="Times New Roman"/>
          <w:sz w:val="24"/>
          <w:szCs w:val="24"/>
        </w:rPr>
        <w:t>sugarcane growing soils of Nizamabad District</w:t>
      </w:r>
      <w:r w:rsidRPr="004F5C9D">
        <w:rPr>
          <w:rFonts w:ascii="Times New Roman" w:hAnsi="Times New Roman" w:cs="Times New Roman"/>
          <w:sz w:val="24"/>
          <w:szCs w:val="24"/>
        </w:rPr>
        <w:t xml:space="preserve">. </w:t>
      </w:r>
    </w:p>
    <w:p w14:paraId="07948D97" w14:textId="70BE3D40" w:rsidR="004F5C9D" w:rsidRDefault="004F5C9D" w:rsidP="00EE5932">
      <w:pPr>
        <w:autoSpaceDE w:val="0"/>
        <w:autoSpaceDN w:val="0"/>
        <w:adjustRightInd w:val="0"/>
        <w:spacing w:before="120" w:after="120" w:line="240" w:lineRule="auto"/>
        <w:ind w:firstLine="720"/>
        <w:jc w:val="both"/>
        <w:rPr>
          <w:rFonts w:ascii="Times New Roman" w:hAnsi="Times New Roman" w:cs="Times New Roman"/>
          <w:sz w:val="24"/>
          <w:szCs w:val="24"/>
        </w:rPr>
      </w:pPr>
      <w:r w:rsidRPr="004F5C9D">
        <w:rPr>
          <w:rFonts w:ascii="Times New Roman" w:hAnsi="Times New Roman" w:cs="Times New Roman"/>
          <w:sz w:val="24"/>
          <w:szCs w:val="24"/>
        </w:rPr>
        <w:lastRenderedPageBreak/>
        <w:t>Overall, the results indicate that the soils of the study area are adequate in potassium and most micronutrients such as iron, manganese, and copper. However, nitrogen deficiency is predominant, and moderate deficiencies of organic carbon and zinc were also observed. Therefore, integrated nutrient management practices involving the application of nitrogenous fertilizers, organic manures, green manuring, and zinc fertilizers are essential to improve soil fertility and sustain crop productivity in the study area</w:t>
      </w:r>
      <w:r w:rsidR="00147D6A">
        <w:rPr>
          <w:rFonts w:ascii="Times New Roman" w:hAnsi="Times New Roman" w:cs="Times New Roman"/>
          <w:sz w:val="24"/>
          <w:szCs w:val="24"/>
        </w:rPr>
        <w:t xml:space="preserve"> (</w:t>
      </w:r>
      <w:r w:rsidR="00052DB8">
        <w:rPr>
          <w:rFonts w:ascii="Times New Roman" w:hAnsi="Times New Roman" w:cs="Times New Roman"/>
          <w:sz w:val="24"/>
          <w:szCs w:val="24"/>
        </w:rPr>
        <w:t xml:space="preserve">Reddy </w:t>
      </w:r>
      <w:r w:rsidR="00FE3B44">
        <w:rPr>
          <w:rFonts w:ascii="Times New Roman" w:hAnsi="Times New Roman" w:cs="Times New Roman"/>
          <w:sz w:val="24"/>
          <w:szCs w:val="24"/>
        </w:rPr>
        <w:t>et</w:t>
      </w:r>
      <w:r w:rsidR="00A047D1">
        <w:rPr>
          <w:rFonts w:ascii="Times New Roman" w:hAnsi="Times New Roman" w:cs="Times New Roman"/>
          <w:sz w:val="24"/>
          <w:szCs w:val="24"/>
        </w:rPr>
        <w:t xml:space="preserve"> </w:t>
      </w:r>
      <w:r w:rsidR="00FE3B44">
        <w:rPr>
          <w:rFonts w:ascii="Times New Roman" w:hAnsi="Times New Roman" w:cs="Times New Roman"/>
          <w:sz w:val="24"/>
          <w:szCs w:val="24"/>
        </w:rPr>
        <w:t>al., 2022 and Reddy et al., 2023</w:t>
      </w:r>
      <w:r w:rsidR="00147D6A">
        <w:rPr>
          <w:rFonts w:ascii="Times New Roman" w:hAnsi="Times New Roman" w:cs="Times New Roman"/>
          <w:sz w:val="24"/>
          <w:szCs w:val="24"/>
        </w:rPr>
        <w:t>)</w:t>
      </w:r>
      <w:r w:rsidRPr="004F5C9D">
        <w:rPr>
          <w:rFonts w:ascii="Times New Roman" w:hAnsi="Times New Roman" w:cs="Times New Roman"/>
          <w:sz w:val="24"/>
          <w:szCs w:val="24"/>
        </w:rPr>
        <w:t>.</w:t>
      </w:r>
    </w:p>
    <w:p w14:paraId="3745211F" w14:textId="77777777" w:rsidR="009D7C6C" w:rsidRPr="00C30322" w:rsidRDefault="009D7C6C" w:rsidP="009D7C6C">
      <w:pPr>
        <w:spacing w:after="0" w:line="240" w:lineRule="auto"/>
        <w:ind w:left="900" w:hanging="900"/>
        <w:jc w:val="both"/>
        <w:rPr>
          <w:rFonts w:ascii="Times New Roman" w:hAnsi="Times New Roman" w:cs="Times New Roman"/>
        </w:rPr>
      </w:pPr>
      <w:r w:rsidRPr="00C30322">
        <w:rPr>
          <w:rFonts w:ascii="Times New Roman" w:hAnsi="Times New Roman" w:cs="Times New Roman"/>
          <w:b/>
          <w:bCs/>
        </w:rPr>
        <w:t xml:space="preserve">Table 2: Summary statistics of soil nutrient status in </w:t>
      </w:r>
      <w:r>
        <w:rPr>
          <w:rFonts w:ascii="Times New Roman" w:hAnsi="Times New Roman" w:cs="Times New Roman"/>
          <w:b/>
          <w:bCs/>
        </w:rPr>
        <w:t>sugarcane</w:t>
      </w:r>
      <w:r w:rsidRPr="00C30322">
        <w:rPr>
          <w:rFonts w:ascii="Times New Roman" w:hAnsi="Times New Roman" w:cs="Times New Roman"/>
          <w:b/>
          <w:bCs/>
        </w:rPr>
        <w:t xml:space="preserve"> (n</w:t>
      </w:r>
      <w:r>
        <w:rPr>
          <w:rFonts w:ascii="Times New Roman" w:hAnsi="Times New Roman" w:cs="Times New Roman"/>
          <w:b/>
          <w:bCs/>
        </w:rPr>
        <w:t>127</w:t>
      </w:r>
      <w:r w:rsidRPr="00C30322">
        <w:rPr>
          <w:rFonts w:ascii="Times New Roman" w:hAnsi="Times New Roman" w:cs="Times New Roman"/>
          <w:b/>
          <w:bCs/>
        </w:rPr>
        <w:t>) fields, their critical levels and frequency distribution</w:t>
      </w:r>
    </w:p>
    <w:p w14:paraId="721477FA" w14:textId="77777777" w:rsidR="009D7C6C" w:rsidRDefault="009D7C6C" w:rsidP="009D7C6C">
      <w:pPr>
        <w:spacing w:after="0" w:line="240" w:lineRule="auto"/>
        <w:jc w:val="both"/>
        <w:rPr>
          <w:rFonts w:ascii="Times New Roman" w:hAnsi="Times New Roman" w:cs="Times New Roman"/>
        </w:rPr>
      </w:pPr>
    </w:p>
    <w:tbl>
      <w:tblPr>
        <w:tblStyle w:val="TableGrid"/>
        <w:tblW w:w="9350" w:type="dxa"/>
        <w:jc w:val="center"/>
        <w:tblLook w:val="04A0" w:firstRow="1" w:lastRow="0" w:firstColumn="1" w:lastColumn="0" w:noHBand="0" w:noVBand="1"/>
      </w:tblPr>
      <w:tblGrid>
        <w:gridCol w:w="1654"/>
        <w:gridCol w:w="987"/>
        <w:gridCol w:w="873"/>
        <w:gridCol w:w="1008"/>
        <w:gridCol w:w="976"/>
        <w:gridCol w:w="967"/>
        <w:gridCol w:w="992"/>
        <w:gridCol w:w="992"/>
        <w:gridCol w:w="901"/>
      </w:tblGrid>
      <w:tr w:rsidR="009D7C6C" w14:paraId="348BB2CE" w14:textId="77777777" w:rsidTr="00AD3BAE">
        <w:trPr>
          <w:jc w:val="center"/>
        </w:trPr>
        <w:tc>
          <w:tcPr>
            <w:tcW w:w="1654" w:type="dxa"/>
            <w:vMerge w:val="restart"/>
            <w:vAlign w:val="center"/>
          </w:tcPr>
          <w:p w14:paraId="164BB5B2" w14:textId="77777777" w:rsidR="009D7C6C" w:rsidRDefault="009D7C6C" w:rsidP="00AD3BAE">
            <w:pPr>
              <w:tabs>
                <w:tab w:val="left" w:pos="5400"/>
              </w:tabs>
              <w:jc w:val="center"/>
              <w:rPr>
                <w:rFonts w:ascii="Times New Roman" w:hAnsi="Times New Roman" w:cs="Times New Roman"/>
                <w:b/>
                <w:bCs/>
                <w:sz w:val="24"/>
                <w:szCs w:val="24"/>
              </w:rPr>
            </w:pPr>
            <w:r>
              <w:rPr>
                <w:rFonts w:ascii="Times New Roman" w:hAnsi="Times New Roman" w:cs="Times New Roman"/>
                <w:b/>
                <w:bCs/>
                <w:sz w:val="24"/>
                <w:szCs w:val="24"/>
              </w:rPr>
              <w:t>Particulars</w:t>
            </w:r>
          </w:p>
        </w:tc>
        <w:tc>
          <w:tcPr>
            <w:tcW w:w="987" w:type="dxa"/>
            <w:vMerge w:val="restart"/>
            <w:vAlign w:val="center"/>
          </w:tcPr>
          <w:p w14:paraId="71863B83" w14:textId="77777777" w:rsidR="009D7C6C" w:rsidRDefault="009D7C6C" w:rsidP="00AD3BAE">
            <w:pPr>
              <w:jc w:val="center"/>
              <w:rPr>
                <w:rFonts w:ascii="Times New Roman" w:eastAsia="Times New Roman" w:hAnsi="Times New Roman" w:cs="Times New Roman"/>
                <w:b/>
                <w:bCs/>
                <w:color w:val="000000"/>
                <w:sz w:val="20"/>
                <w:szCs w:val="20"/>
                <w:lang w:bidi="ar-SA"/>
              </w:rPr>
            </w:pPr>
            <w:r>
              <w:rPr>
                <w:rFonts w:ascii="Times New Roman" w:eastAsia="Times New Roman" w:hAnsi="Times New Roman" w:cs="Times New Roman"/>
                <w:b/>
                <w:bCs/>
                <w:color w:val="000000"/>
                <w:sz w:val="20"/>
                <w:szCs w:val="20"/>
                <w:lang w:bidi="ar-SA"/>
              </w:rPr>
              <w:t>Organic Carbon (%)</w:t>
            </w:r>
          </w:p>
        </w:tc>
        <w:tc>
          <w:tcPr>
            <w:tcW w:w="2857" w:type="dxa"/>
            <w:gridSpan w:val="3"/>
            <w:vAlign w:val="center"/>
          </w:tcPr>
          <w:p w14:paraId="45A6063A" w14:textId="77777777" w:rsidR="009D7C6C" w:rsidRDefault="009D7C6C" w:rsidP="00AD3BAE">
            <w:pPr>
              <w:jc w:val="center"/>
              <w:rPr>
                <w:rFonts w:ascii="Times New Roman" w:eastAsia="Times New Roman" w:hAnsi="Times New Roman" w:cs="Times New Roman"/>
                <w:b/>
                <w:bCs/>
                <w:color w:val="000000"/>
                <w:sz w:val="20"/>
                <w:szCs w:val="20"/>
                <w:lang w:bidi="ar-SA"/>
              </w:rPr>
            </w:pPr>
            <w:r>
              <w:rPr>
                <w:rFonts w:ascii="Times New Roman" w:eastAsia="Times New Roman" w:hAnsi="Times New Roman" w:cs="Times New Roman"/>
                <w:b/>
                <w:bCs/>
                <w:color w:val="000000"/>
                <w:sz w:val="20"/>
                <w:szCs w:val="20"/>
                <w:lang w:bidi="ar-SA"/>
              </w:rPr>
              <w:t xml:space="preserve">Major </w:t>
            </w:r>
            <w:r w:rsidRPr="002353DF">
              <w:rPr>
                <w:rFonts w:ascii="Times New Roman" w:eastAsia="Times New Roman" w:hAnsi="Times New Roman" w:cs="Times New Roman"/>
                <w:b/>
                <w:bCs/>
                <w:color w:val="000000"/>
                <w:sz w:val="20"/>
                <w:szCs w:val="20"/>
                <w:lang w:bidi="ar-SA"/>
              </w:rPr>
              <w:t xml:space="preserve">Nutrient </w:t>
            </w:r>
            <w:r>
              <w:rPr>
                <w:rFonts w:ascii="Times New Roman" w:eastAsia="Times New Roman" w:hAnsi="Times New Roman" w:cs="Times New Roman"/>
                <w:b/>
                <w:bCs/>
                <w:color w:val="000000"/>
                <w:sz w:val="20"/>
                <w:szCs w:val="20"/>
                <w:lang w:bidi="ar-SA"/>
              </w:rPr>
              <w:t xml:space="preserve">Status </w:t>
            </w:r>
          </w:p>
          <w:p w14:paraId="0D49BFCE" w14:textId="77777777" w:rsidR="009D7C6C" w:rsidRPr="002353DF" w:rsidRDefault="009D7C6C" w:rsidP="00AD3BAE">
            <w:pPr>
              <w:jc w:val="center"/>
              <w:rPr>
                <w:rFonts w:ascii="Times New Roman" w:eastAsia="Times New Roman" w:hAnsi="Times New Roman" w:cs="Times New Roman"/>
                <w:b/>
                <w:bCs/>
                <w:color w:val="000000"/>
                <w:sz w:val="20"/>
                <w:szCs w:val="20"/>
                <w:lang w:bidi="ar-SA"/>
              </w:rPr>
            </w:pPr>
            <w:r>
              <w:rPr>
                <w:rFonts w:ascii="Times New Roman" w:eastAsia="Times New Roman" w:hAnsi="Times New Roman" w:cs="Times New Roman"/>
                <w:b/>
                <w:bCs/>
                <w:color w:val="000000"/>
                <w:sz w:val="20"/>
                <w:szCs w:val="20"/>
                <w:lang w:bidi="ar-SA"/>
              </w:rPr>
              <w:t>(kg ha</w:t>
            </w:r>
            <w:r w:rsidRPr="00E51310">
              <w:rPr>
                <w:rFonts w:ascii="Times New Roman" w:eastAsia="Times New Roman" w:hAnsi="Times New Roman" w:cs="Times New Roman"/>
                <w:b/>
                <w:bCs/>
                <w:color w:val="000000"/>
                <w:sz w:val="20"/>
                <w:szCs w:val="20"/>
                <w:vertAlign w:val="superscript"/>
                <w:lang w:bidi="ar-SA"/>
              </w:rPr>
              <w:t>-1</w:t>
            </w:r>
            <w:r w:rsidRPr="002353DF">
              <w:rPr>
                <w:rFonts w:ascii="Times New Roman" w:eastAsia="Times New Roman" w:hAnsi="Times New Roman" w:cs="Times New Roman"/>
                <w:b/>
                <w:bCs/>
                <w:color w:val="000000"/>
                <w:sz w:val="20"/>
                <w:szCs w:val="20"/>
                <w:lang w:bidi="ar-SA"/>
              </w:rPr>
              <w:t>)</w:t>
            </w:r>
          </w:p>
        </w:tc>
        <w:tc>
          <w:tcPr>
            <w:tcW w:w="3852" w:type="dxa"/>
            <w:gridSpan w:val="4"/>
            <w:vAlign w:val="center"/>
          </w:tcPr>
          <w:p w14:paraId="6150086B" w14:textId="77777777" w:rsidR="009D7C6C" w:rsidRDefault="009D7C6C" w:rsidP="00AD3BAE">
            <w:pPr>
              <w:jc w:val="center"/>
              <w:rPr>
                <w:rFonts w:ascii="Times New Roman" w:eastAsia="Times New Roman" w:hAnsi="Times New Roman" w:cs="Times New Roman"/>
                <w:b/>
                <w:bCs/>
                <w:color w:val="000000"/>
                <w:sz w:val="20"/>
                <w:szCs w:val="20"/>
                <w:lang w:bidi="ar-SA"/>
              </w:rPr>
            </w:pPr>
            <w:r>
              <w:rPr>
                <w:rFonts w:ascii="Times New Roman" w:eastAsia="Times New Roman" w:hAnsi="Times New Roman" w:cs="Times New Roman"/>
                <w:b/>
                <w:bCs/>
                <w:color w:val="000000"/>
                <w:sz w:val="20"/>
                <w:szCs w:val="20"/>
                <w:lang w:bidi="ar-SA"/>
              </w:rPr>
              <w:t>Micron</w:t>
            </w:r>
            <w:r w:rsidRPr="002353DF">
              <w:rPr>
                <w:rFonts w:ascii="Times New Roman" w:eastAsia="Times New Roman" w:hAnsi="Times New Roman" w:cs="Times New Roman"/>
                <w:b/>
                <w:bCs/>
                <w:color w:val="000000"/>
                <w:sz w:val="20"/>
                <w:szCs w:val="20"/>
                <w:lang w:bidi="ar-SA"/>
              </w:rPr>
              <w:t xml:space="preserve">utrient </w:t>
            </w:r>
            <w:r>
              <w:rPr>
                <w:rFonts w:ascii="Times New Roman" w:eastAsia="Times New Roman" w:hAnsi="Times New Roman" w:cs="Times New Roman"/>
                <w:b/>
                <w:bCs/>
                <w:color w:val="000000"/>
                <w:sz w:val="20"/>
                <w:szCs w:val="20"/>
                <w:lang w:bidi="ar-SA"/>
              </w:rPr>
              <w:t>Status</w:t>
            </w:r>
            <w:r w:rsidRPr="002353DF">
              <w:rPr>
                <w:rFonts w:ascii="Times New Roman" w:eastAsia="Times New Roman" w:hAnsi="Times New Roman" w:cs="Times New Roman"/>
                <w:b/>
                <w:bCs/>
                <w:color w:val="000000"/>
                <w:sz w:val="20"/>
                <w:szCs w:val="20"/>
                <w:lang w:bidi="ar-SA"/>
              </w:rPr>
              <w:t xml:space="preserve"> </w:t>
            </w:r>
          </w:p>
          <w:p w14:paraId="565FCEC1" w14:textId="77777777" w:rsidR="009D7C6C" w:rsidRPr="002353DF" w:rsidRDefault="009D7C6C" w:rsidP="00AD3BAE">
            <w:pPr>
              <w:jc w:val="center"/>
              <w:rPr>
                <w:rFonts w:ascii="Times New Roman" w:eastAsia="Times New Roman" w:hAnsi="Times New Roman" w:cs="Times New Roman"/>
                <w:b/>
                <w:bCs/>
                <w:color w:val="000000"/>
                <w:sz w:val="20"/>
                <w:szCs w:val="20"/>
                <w:lang w:bidi="ar-SA"/>
              </w:rPr>
            </w:pPr>
            <w:r w:rsidRPr="002353DF">
              <w:rPr>
                <w:rFonts w:ascii="Times New Roman" w:eastAsia="Times New Roman" w:hAnsi="Times New Roman" w:cs="Times New Roman"/>
                <w:b/>
                <w:bCs/>
                <w:color w:val="000000"/>
                <w:sz w:val="20"/>
                <w:szCs w:val="20"/>
                <w:lang w:bidi="ar-SA"/>
              </w:rPr>
              <w:t>(</w:t>
            </w:r>
            <w:r>
              <w:rPr>
                <w:rFonts w:ascii="Times New Roman" w:eastAsia="Times New Roman" w:hAnsi="Times New Roman" w:cs="Times New Roman"/>
                <w:b/>
                <w:bCs/>
                <w:color w:val="000000"/>
                <w:sz w:val="20"/>
                <w:szCs w:val="20"/>
                <w:lang w:bidi="ar-SA"/>
              </w:rPr>
              <w:t>ppm</w:t>
            </w:r>
            <w:r w:rsidRPr="002353DF">
              <w:rPr>
                <w:rFonts w:ascii="Times New Roman" w:eastAsia="Times New Roman" w:hAnsi="Times New Roman" w:cs="Times New Roman"/>
                <w:b/>
                <w:bCs/>
                <w:color w:val="000000"/>
                <w:sz w:val="20"/>
                <w:szCs w:val="20"/>
                <w:lang w:bidi="ar-SA"/>
              </w:rPr>
              <w:t>)</w:t>
            </w:r>
          </w:p>
        </w:tc>
      </w:tr>
      <w:tr w:rsidR="009D7C6C" w14:paraId="44BC1A01" w14:textId="77777777" w:rsidTr="00AD3BAE">
        <w:trPr>
          <w:jc w:val="center"/>
        </w:trPr>
        <w:tc>
          <w:tcPr>
            <w:tcW w:w="1654" w:type="dxa"/>
            <w:vMerge/>
            <w:vAlign w:val="center"/>
          </w:tcPr>
          <w:p w14:paraId="6E5769DE" w14:textId="77777777" w:rsidR="009D7C6C" w:rsidRDefault="009D7C6C" w:rsidP="00AD3BAE">
            <w:pPr>
              <w:tabs>
                <w:tab w:val="left" w:pos="5400"/>
              </w:tabs>
              <w:jc w:val="center"/>
              <w:rPr>
                <w:rFonts w:ascii="Times New Roman" w:hAnsi="Times New Roman" w:cs="Times New Roman"/>
                <w:b/>
                <w:bCs/>
                <w:sz w:val="24"/>
                <w:szCs w:val="24"/>
              </w:rPr>
            </w:pPr>
          </w:p>
        </w:tc>
        <w:tc>
          <w:tcPr>
            <w:tcW w:w="987" w:type="dxa"/>
            <w:vMerge/>
          </w:tcPr>
          <w:p w14:paraId="2A854C1B" w14:textId="77777777" w:rsidR="009D7C6C" w:rsidRPr="006774D7" w:rsidRDefault="009D7C6C" w:rsidP="00AD3BAE">
            <w:pPr>
              <w:jc w:val="center"/>
              <w:rPr>
                <w:rFonts w:ascii="Times New Roman" w:eastAsia="Times New Roman" w:hAnsi="Times New Roman" w:cs="Times New Roman"/>
                <w:b/>
                <w:bCs/>
                <w:color w:val="000000"/>
                <w:sz w:val="20"/>
                <w:szCs w:val="20"/>
                <w:lang w:bidi="ar-SA"/>
              </w:rPr>
            </w:pPr>
          </w:p>
        </w:tc>
        <w:tc>
          <w:tcPr>
            <w:tcW w:w="873" w:type="dxa"/>
            <w:vAlign w:val="center"/>
          </w:tcPr>
          <w:p w14:paraId="56C5755C" w14:textId="77777777" w:rsidR="009D7C6C" w:rsidRPr="006774D7" w:rsidRDefault="009D7C6C" w:rsidP="00AD3BAE">
            <w:pPr>
              <w:jc w:val="center"/>
              <w:rPr>
                <w:rFonts w:ascii="Times New Roman" w:eastAsia="Times New Roman" w:hAnsi="Times New Roman" w:cs="Times New Roman"/>
                <w:b/>
                <w:bCs/>
                <w:color w:val="000000"/>
                <w:sz w:val="20"/>
                <w:szCs w:val="20"/>
                <w:lang w:bidi="ar-SA"/>
              </w:rPr>
            </w:pPr>
            <w:r w:rsidRPr="006774D7">
              <w:rPr>
                <w:rFonts w:ascii="Times New Roman" w:eastAsia="Times New Roman" w:hAnsi="Times New Roman" w:cs="Times New Roman"/>
                <w:b/>
                <w:bCs/>
                <w:color w:val="000000"/>
                <w:sz w:val="20"/>
                <w:szCs w:val="20"/>
                <w:lang w:bidi="ar-SA"/>
              </w:rPr>
              <w:t>N</w:t>
            </w:r>
          </w:p>
        </w:tc>
        <w:tc>
          <w:tcPr>
            <w:tcW w:w="1008" w:type="dxa"/>
            <w:vAlign w:val="center"/>
          </w:tcPr>
          <w:p w14:paraId="7034242F" w14:textId="77777777" w:rsidR="009D7C6C" w:rsidRPr="006774D7" w:rsidRDefault="009D7C6C" w:rsidP="00AD3BAE">
            <w:pPr>
              <w:jc w:val="center"/>
              <w:rPr>
                <w:rFonts w:ascii="Times New Roman" w:eastAsia="Times New Roman" w:hAnsi="Times New Roman" w:cs="Times New Roman"/>
                <w:b/>
                <w:bCs/>
                <w:color w:val="000000"/>
                <w:sz w:val="20"/>
                <w:szCs w:val="20"/>
                <w:lang w:bidi="ar-SA"/>
              </w:rPr>
            </w:pPr>
            <w:r w:rsidRPr="006774D7">
              <w:rPr>
                <w:rFonts w:ascii="Times New Roman" w:eastAsia="Times New Roman" w:hAnsi="Times New Roman" w:cs="Times New Roman"/>
                <w:b/>
                <w:bCs/>
                <w:color w:val="000000"/>
                <w:sz w:val="20"/>
                <w:szCs w:val="20"/>
                <w:lang w:bidi="ar-SA"/>
              </w:rPr>
              <w:t>P</w:t>
            </w:r>
            <w:r w:rsidRPr="00E51310">
              <w:rPr>
                <w:rFonts w:ascii="Times New Roman" w:eastAsia="Times New Roman" w:hAnsi="Times New Roman" w:cs="Times New Roman"/>
                <w:b/>
                <w:bCs/>
                <w:color w:val="000000"/>
                <w:sz w:val="20"/>
                <w:szCs w:val="20"/>
                <w:vertAlign w:val="subscript"/>
                <w:lang w:bidi="ar-SA"/>
              </w:rPr>
              <w:t>2</w:t>
            </w:r>
            <w:r>
              <w:rPr>
                <w:rFonts w:ascii="Times New Roman" w:eastAsia="Times New Roman" w:hAnsi="Times New Roman" w:cs="Times New Roman"/>
                <w:b/>
                <w:bCs/>
                <w:color w:val="000000"/>
                <w:sz w:val="20"/>
                <w:szCs w:val="20"/>
                <w:lang w:bidi="ar-SA"/>
              </w:rPr>
              <w:t>O</w:t>
            </w:r>
            <w:r w:rsidRPr="00E51310">
              <w:rPr>
                <w:rFonts w:ascii="Times New Roman" w:eastAsia="Times New Roman" w:hAnsi="Times New Roman" w:cs="Times New Roman"/>
                <w:b/>
                <w:bCs/>
                <w:color w:val="000000"/>
                <w:sz w:val="20"/>
                <w:szCs w:val="20"/>
                <w:vertAlign w:val="subscript"/>
                <w:lang w:bidi="ar-SA"/>
              </w:rPr>
              <w:t>5</w:t>
            </w:r>
          </w:p>
        </w:tc>
        <w:tc>
          <w:tcPr>
            <w:tcW w:w="976" w:type="dxa"/>
            <w:vAlign w:val="center"/>
          </w:tcPr>
          <w:p w14:paraId="1B5D1025" w14:textId="77777777" w:rsidR="009D7C6C" w:rsidRPr="006774D7" w:rsidRDefault="009D7C6C" w:rsidP="00AD3BAE">
            <w:pPr>
              <w:jc w:val="center"/>
              <w:rPr>
                <w:rFonts w:ascii="Times New Roman" w:eastAsia="Times New Roman" w:hAnsi="Times New Roman" w:cs="Times New Roman"/>
                <w:b/>
                <w:bCs/>
                <w:color w:val="000000"/>
                <w:sz w:val="20"/>
                <w:szCs w:val="20"/>
                <w:lang w:bidi="ar-SA"/>
              </w:rPr>
            </w:pPr>
            <w:r w:rsidRPr="006774D7">
              <w:rPr>
                <w:rFonts w:ascii="Times New Roman" w:eastAsia="Times New Roman" w:hAnsi="Times New Roman" w:cs="Times New Roman"/>
                <w:b/>
                <w:bCs/>
                <w:color w:val="000000"/>
                <w:sz w:val="20"/>
                <w:szCs w:val="20"/>
                <w:lang w:bidi="ar-SA"/>
              </w:rPr>
              <w:t>K</w:t>
            </w:r>
            <w:r w:rsidRPr="00E51310">
              <w:rPr>
                <w:rFonts w:ascii="Times New Roman" w:eastAsia="Times New Roman" w:hAnsi="Times New Roman" w:cs="Times New Roman"/>
                <w:b/>
                <w:bCs/>
                <w:color w:val="000000"/>
                <w:sz w:val="20"/>
                <w:szCs w:val="20"/>
                <w:vertAlign w:val="subscript"/>
                <w:lang w:bidi="ar-SA"/>
              </w:rPr>
              <w:t>2</w:t>
            </w:r>
            <w:r>
              <w:rPr>
                <w:rFonts w:ascii="Times New Roman" w:eastAsia="Times New Roman" w:hAnsi="Times New Roman" w:cs="Times New Roman"/>
                <w:b/>
                <w:bCs/>
                <w:color w:val="000000"/>
                <w:sz w:val="20"/>
                <w:szCs w:val="20"/>
                <w:lang w:bidi="ar-SA"/>
              </w:rPr>
              <w:t>O</w:t>
            </w:r>
          </w:p>
        </w:tc>
        <w:tc>
          <w:tcPr>
            <w:tcW w:w="967" w:type="dxa"/>
          </w:tcPr>
          <w:p w14:paraId="5C4112AA" w14:textId="77777777" w:rsidR="009D7C6C" w:rsidRPr="006774D7" w:rsidRDefault="009D7C6C" w:rsidP="00AD3BAE">
            <w:pPr>
              <w:jc w:val="center"/>
              <w:rPr>
                <w:rFonts w:ascii="Times New Roman" w:eastAsia="Times New Roman" w:hAnsi="Times New Roman" w:cs="Times New Roman"/>
                <w:b/>
                <w:bCs/>
                <w:color w:val="000000"/>
                <w:sz w:val="20"/>
                <w:szCs w:val="20"/>
                <w:lang w:bidi="ar-SA"/>
              </w:rPr>
            </w:pPr>
            <w:r>
              <w:rPr>
                <w:rFonts w:ascii="Times New Roman" w:eastAsia="Times New Roman" w:hAnsi="Times New Roman" w:cs="Times New Roman"/>
                <w:b/>
                <w:bCs/>
                <w:color w:val="000000"/>
                <w:sz w:val="20"/>
                <w:szCs w:val="20"/>
                <w:lang w:bidi="ar-SA"/>
              </w:rPr>
              <w:t>Cu</w:t>
            </w:r>
          </w:p>
        </w:tc>
        <w:tc>
          <w:tcPr>
            <w:tcW w:w="992" w:type="dxa"/>
          </w:tcPr>
          <w:p w14:paraId="4775D894" w14:textId="77777777" w:rsidR="009D7C6C" w:rsidRPr="006774D7" w:rsidRDefault="009D7C6C" w:rsidP="00AD3BAE">
            <w:pPr>
              <w:jc w:val="center"/>
              <w:rPr>
                <w:rFonts w:ascii="Times New Roman" w:eastAsia="Times New Roman" w:hAnsi="Times New Roman" w:cs="Times New Roman"/>
                <w:b/>
                <w:bCs/>
                <w:color w:val="000000"/>
                <w:sz w:val="20"/>
                <w:szCs w:val="20"/>
                <w:lang w:bidi="ar-SA"/>
              </w:rPr>
            </w:pPr>
            <w:r>
              <w:rPr>
                <w:rFonts w:ascii="Times New Roman" w:eastAsia="Times New Roman" w:hAnsi="Times New Roman" w:cs="Times New Roman"/>
                <w:b/>
                <w:bCs/>
                <w:color w:val="000000"/>
                <w:sz w:val="20"/>
                <w:szCs w:val="20"/>
                <w:lang w:bidi="ar-SA"/>
              </w:rPr>
              <w:t>Mn</w:t>
            </w:r>
          </w:p>
        </w:tc>
        <w:tc>
          <w:tcPr>
            <w:tcW w:w="992" w:type="dxa"/>
          </w:tcPr>
          <w:p w14:paraId="0F0270EC" w14:textId="77777777" w:rsidR="009D7C6C" w:rsidRPr="006774D7" w:rsidRDefault="009D7C6C" w:rsidP="00AD3BAE">
            <w:pPr>
              <w:jc w:val="center"/>
              <w:rPr>
                <w:rFonts w:ascii="Times New Roman" w:eastAsia="Times New Roman" w:hAnsi="Times New Roman" w:cs="Times New Roman"/>
                <w:b/>
                <w:bCs/>
                <w:color w:val="000000"/>
                <w:sz w:val="20"/>
                <w:szCs w:val="20"/>
                <w:lang w:bidi="ar-SA"/>
              </w:rPr>
            </w:pPr>
            <w:r>
              <w:rPr>
                <w:rFonts w:ascii="Times New Roman" w:eastAsia="Times New Roman" w:hAnsi="Times New Roman" w:cs="Times New Roman"/>
                <w:b/>
                <w:bCs/>
                <w:color w:val="000000"/>
                <w:sz w:val="20"/>
                <w:szCs w:val="20"/>
                <w:lang w:bidi="ar-SA"/>
              </w:rPr>
              <w:t>Fe</w:t>
            </w:r>
          </w:p>
        </w:tc>
        <w:tc>
          <w:tcPr>
            <w:tcW w:w="901" w:type="dxa"/>
          </w:tcPr>
          <w:p w14:paraId="6BB2C853" w14:textId="77777777" w:rsidR="009D7C6C" w:rsidRPr="006774D7" w:rsidRDefault="009D7C6C" w:rsidP="00AD3BAE">
            <w:pPr>
              <w:jc w:val="center"/>
              <w:rPr>
                <w:rFonts w:ascii="Times New Roman" w:eastAsia="Times New Roman" w:hAnsi="Times New Roman" w:cs="Times New Roman"/>
                <w:b/>
                <w:bCs/>
                <w:color w:val="000000"/>
                <w:sz w:val="20"/>
                <w:szCs w:val="20"/>
                <w:lang w:bidi="ar-SA"/>
              </w:rPr>
            </w:pPr>
            <w:r>
              <w:rPr>
                <w:rFonts w:ascii="Times New Roman" w:eastAsia="Times New Roman" w:hAnsi="Times New Roman" w:cs="Times New Roman"/>
                <w:b/>
                <w:bCs/>
                <w:color w:val="000000"/>
                <w:sz w:val="20"/>
                <w:szCs w:val="20"/>
                <w:lang w:bidi="ar-SA"/>
              </w:rPr>
              <w:t>Zn</w:t>
            </w:r>
          </w:p>
        </w:tc>
      </w:tr>
      <w:tr w:rsidR="009D7C6C" w14:paraId="1E351BC6" w14:textId="77777777" w:rsidTr="00AD3BAE">
        <w:trPr>
          <w:jc w:val="center"/>
        </w:trPr>
        <w:tc>
          <w:tcPr>
            <w:tcW w:w="1654" w:type="dxa"/>
          </w:tcPr>
          <w:p w14:paraId="7F3E69F5" w14:textId="77777777" w:rsidR="009D7C6C" w:rsidRPr="00415F00" w:rsidRDefault="009D7C6C" w:rsidP="00AD3BAE">
            <w:pPr>
              <w:tabs>
                <w:tab w:val="left" w:pos="5400"/>
              </w:tabs>
              <w:jc w:val="right"/>
              <w:rPr>
                <w:rFonts w:ascii="Times New Roman" w:hAnsi="Times New Roman" w:cs="Times New Roman"/>
                <w:b/>
                <w:bCs/>
                <w:sz w:val="24"/>
                <w:szCs w:val="24"/>
              </w:rPr>
            </w:pPr>
            <w:r w:rsidRPr="00415F00">
              <w:rPr>
                <w:rFonts w:ascii="Times New Roman" w:hAnsi="Times New Roman" w:cs="Times New Roman"/>
                <w:b/>
                <w:bCs/>
                <w:sz w:val="24"/>
                <w:szCs w:val="24"/>
              </w:rPr>
              <w:t>Range</w:t>
            </w:r>
          </w:p>
        </w:tc>
        <w:tc>
          <w:tcPr>
            <w:tcW w:w="987" w:type="dxa"/>
          </w:tcPr>
          <w:p w14:paraId="1873D4CB" w14:textId="77777777" w:rsidR="009D7C6C" w:rsidRPr="00017195" w:rsidRDefault="009D7C6C" w:rsidP="00AD3BAE">
            <w:pPr>
              <w:pStyle w:val="NormalWeb"/>
              <w:tabs>
                <w:tab w:val="left" w:pos="5400"/>
              </w:tabs>
              <w:spacing w:before="0" w:beforeAutospacing="0" w:after="0" w:afterAutospacing="0" w:line="276" w:lineRule="auto"/>
              <w:jc w:val="center"/>
            </w:pPr>
            <w:r w:rsidRPr="00017195">
              <w:t>0.35 to 1.26</w:t>
            </w:r>
          </w:p>
        </w:tc>
        <w:tc>
          <w:tcPr>
            <w:tcW w:w="873" w:type="dxa"/>
          </w:tcPr>
          <w:p w14:paraId="2EB71BBB" w14:textId="77777777" w:rsidR="009D7C6C" w:rsidRPr="00017195" w:rsidRDefault="009D7C6C" w:rsidP="00AD3BAE">
            <w:pPr>
              <w:pStyle w:val="NormalWeb"/>
              <w:tabs>
                <w:tab w:val="left" w:pos="5400"/>
              </w:tabs>
              <w:spacing w:before="0" w:beforeAutospacing="0" w:after="0" w:afterAutospacing="0" w:line="276" w:lineRule="auto"/>
              <w:jc w:val="center"/>
            </w:pPr>
            <w:r w:rsidRPr="00017195">
              <w:t>110 to 315</w:t>
            </w:r>
          </w:p>
        </w:tc>
        <w:tc>
          <w:tcPr>
            <w:tcW w:w="1008" w:type="dxa"/>
          </w:tcPr>
          <w:p w14:paraId="41AFA050" w14:textId="77777777" w:rsidR="009D7C6C" w:rsidRPr="00017195" w:rsidRDefault="009D7C6C" w:rsidP="00AD3BAE">
            <w:pPr>
              <w:pStyle w:val="NormalWeb"/>
              <w:tabs>
                <w:tab w:val="left" w:pos="5400"/>
              </w:tabs>
              <w:spacing w:before="0" w:beforeAutospacing="0" w:after="0" w:afterAutospacing="0" w:line="276" w:lineRule="auto"/>
              <w:jc w:val="center"/>
            </w:pPr>
            <w:r w:rsidRPr="00017195">
              <w:t>15.89 to 148.2</w:t>
            </w:r>
          </w:p>
        </w:tc>
        <w:tc>
          <w:tcPr>
            <w:tcW w:w="976" w:type="dxa"/>
          </w:tcPr>
          <w:p w14:paraId="09A5EC91" w14:textId="77777777" w:rsidR="009D7C6C" w:rsidRPr="00017195" w:rsidRDefault="009D7C6C" w:rsidP="00AD3BAE">
            <w:pPr>
              <w:pStyle w:val="NormalWeb"/>
              <w:tabs>
                <w:tab w:val="left" w:pos="5400"/>
              </w:tabs>
              <w:spacing w:before="0" w:beforeAutospacing="0" w:after="0" w:afterAutospacing="0" w:line="276" w:lineRule="auto"/>
              <w:jc w:val="center"/>
            </w:pPr>
            <w:r w:rsidRPr="00017195">
              <w:t>248 to 1124</w:t>
            </w:r>
          </w:p>
        </w:tc>
        <w:tc>
          <w:tcPr>
            <w:tcW w:w="967" w:type="dxa"/>
          </w:tcPr>
          <w:p w14:paraId="3D711F70" w14:textId="77777777" w:rsidR="009D7C6C" w:rsidRPr="00017195" w:rsidRDefault="009D7C6C" w:rsidP="00AD3BAE">
            <w:pPr>
              <w:pStyle w:val="NormalWeb"/>
              <w:tabs>
                <w:tab w:val="left" w:pos="5400"/>
              </w:tabs>
              <w:spacing w:before="0" w:beforeAutospacing="0" w:after="0" w:afterAutospacing="0" w:line="276" w:lineRule="auto"/>
              <w:jc w:val="center"/>
            </w:pPr>
            <w:r w:rsidRPr="00017195">
              <w:t>0.21 to 8.27</w:t>
            </w:r>
          </w:p>
        </w:tc>
        <w:tc>
          <w:tcPr>
            <w:tcW w:w="992" w:type="dxa"/>
          </w:tcPr>
          <w:p w14:paraId="37CFDE56" w14:textId="77777777" w:rsidR="009D7C6C" w:rsidRPr="00017195" w:rsidRDefault="009D7C6C" w:rsidP="00AD3BAE">
            <w:pPr>
              <w:pStyle w:val="NormalWeb"/>
              <w:tabs>
                <w:tab w:val="left" w:pos="5400"/>
              </w:tabs>
              <w:spacing w:before="0" w:beforeAutospacing="0" w:after="0" w:afterAutospacing="0" w:line="276" w:lineRule="auto"/>
              <w:jc w:val="center"/>
            </w:pPr>
            <w:r w:rsidRPr="00017195">
              <w:t>8.35 to 51.59</w:t>
            </w:r>
          </w:p>
        </w:tc>
        <w:tc>
          <w:tcPr>
            <w:tcW w:w="992" w:type="dxa"/>
          </w:tcPr>
          <w:p w14:paraId="3C914A21" w14:textId="77777777" w:rsidR="009D7C6C" w:rsidRPr="00017195" w:rsidRDefault="009D7C6C" w:rsidP="00AD3BAE">
            <w:pPr>
              <w:pStyle w:val="NormalWeb"/>
              <w:tabs>
                <w:tab w:val="left" w:pos="5400"/>
              </w:tabs>
              <w:spacing w:before="0" w:beforeAutospacing="0" w:after="0" w:afterAutospacing="0" w:line="276" w:lineRule="auto"/>
              <w:jc w:val="center"/>
            </w:pPr>
            <w:r w:rsidRPr="00017195">
              <w:t>4.05 to 78.06</w:t>
            </w:r>
          </w:p>
        </w:tc>
        <w:tc>
          <w:tcPr>
            <w:tcW w:w="901" w:type="dxa"/>
          </w:tcPr>
          <w:p w14:paraId="2CD5B95E" w14:textId="77777777" w:rsidR="009D7C6C" w:rsidRPr="00017195" w:rsidRDefault="009D7C6C" w:rsidP="00AD3BAE">
            <w:pPr>
              <w:pStyle w:val="NormalWeb"/>
              <w:tabs>
                <w:tab w:val="left" w:pos="5400"/>
              </w:tabs>
              <w:spacing w:before="0" w:beforeAutospacing="0" w:after="0" w:afterAutospacing="0" w:line="276" w:lineRule="auto"/>
              <w:jc w:val="center"/>
            </w:pPr>
            <w:r w:rsidRPr="00017195">
              <w:t>0.22 to 3.22</w:t>
            </w:r>
          </w:p>
        </w:tc>
      </w:tr>
      <w:tr w:rsidR="009D7C6C" w14:paraId="443733B2" w14:textId="77777777" w:rsidTr="00AD3BAE">
        <w:trPr>
          <w:jc w:val="center"/>
        </w:trPr>
        <w:tc>
          <w:tcPr>
            <w:tcW w:w="1654" w:type="dxa"/>
          </w:tcPr>
          <w:p w14:paraId="76773F7C" w14:textId="77777777" w:rsidR="009D7C6C" w:rsidRPr="00415F00" w:rsidRDefault="009D7C6C" w:rsidP="00AD3BAE">
            <w:pPr>
              <w:tabs>
                <w:tab w:val="left" w:pos="5400"/>
              </w:tabs>
              <w:jc w:val="right"/>
              <w:rPr>
                <w:rFonts w:ascii="Times New Roman" w:hAnsi="Times New Roman" w:cs="Times New Roman"/>
                <w:b/>
                <w:bCs/>
                <w:sz w:val="24"/>
                <w:szCs w:val="24"/>
              </w:rPr>
            </w:pPr>
            <w:r w:rsidRPr="00415F00">
              <w:rPr>
                <w:rFonts w:ascii="Times New Roman" w:hAnsi="Times New Roman" w:cs="Times New Roman"/>
                <w:b/>
                <w:bCs/>
                <w:sz w:val="24"/>
                <w:szCs w:val="24"/>
              </w:rPr>
              <w:t>Mean</w:t>
            </w:r>
          </w:p>
        </w:tc>
        <w:tc>
          <w:tcPr>
            <w:tcW w:w="987" w:type="dxa"/>
          </w:tcPr>
          <w:p w14:paraId="57CB7FF7" w14:textId="77777777" w:rsidR="009D7C6C" w:rsidRPr="00017195" w:rsidRDefault="009D7C6C" w:rsidP="00AD3BAE">
            <w:pPr>
              <w:pStyle w:val="NormalWeb"/>
              <w:spacing w:before="0" w:beforeAutospacing="0" w:after="0" w:afterAutospacing="0" w:line="276" w:lineRule="auto"/>
              <w:jc w:val="center"/>
            </w:pPr>
            <w:r w:rsidRPr="00017195">
              <w:t>0.54</w:t>
            </w:r>
          </w:p>
        </w:tc>
        <w:tc>
          <w:tcPr>
            <w:tcW w:w="873" w:type="dxa"/>
            <w:vAlign w:val="bottom"/>
          </w:tcPr>
          <w:p w14:paraId="34F913C1" w14:textId="77777777" w:rsidR="009D7C6C" w:rsidRPr="00017195" w:rsidRDefault="009D7C6C" w:rsidP="00AD3BAE">
            <w:pPr>
              <w:pStyle w:val="NormalWeb"/>
              <w:spacing w:before="0" w:beforeAutospacing="0" w:after="0" w:afterAutospacing="0" w:line="276" w:lineRule="auto"/>
              <w:jc w:val="center"/>
            </w:pPr>
            <w:r w:rsidRPr="00017195">
              <w:t>201</w:t>
            </w:r>
          </w:p>
        </w:tc>
        <w:tc>
          <w:tcPr>
            <w:tcW w:w="1008" w:type="dxa"/>
            <w:vAlign w:val="bottom"/>
          </w:tcPr>
          <w:p w14:paraId="5277919A" w14:textId="77777777" w:rsidR="009D7C6C" w:rsidRPr="00017195" w:rsidRDefault="009D7C6C" w:rsidP="00AD3BAE">
            <w:pPr>
              <w:pStyle w:val="NormalWeb"/>
              <w:spacing w:before="0" w:beforeAutospacing="0" w:after="0" w:afterAutospacing="0" w:line="276" w:lineRule="auto"/>
              <w:jc w:val="center"/>
            </w:pPr>
            <w:r w:rsidRPr="00017195">
              <w:t>52.12</w:t>
            </w:r>
          </w:p>
        </w:tc>
        <w:tc>
          <w:tcPr>
            <w:tcW w:w="976" w:type="dxa"/>
            <w:vAlign w:val="bottom"/>
          </w:tcPr>
          <w:p w14:paraId="5019AD84" w14:textId="77777777" w:rsidR="009D7C6C" w:rsidRPr="00017195" w:rsidRDefault="009D7C6C" w:rsidP="00AD3BAE">
            <w:pPr>
              <w:pStyle w:val="NormalWeb"/>
              <w:spacing w:before="0" w:beforeAutospacing="0" w:after="0" w:afterAutospacing="0" w:line="276" w:lineRule="auto"/>
              <w:jc w:val="center"/>
            </w:pPr>
            <w:r w:rsidRPr="00017195">
              <w:t>475</w:t>
            </w:r>
          </w:p>
        </w:tc>
        <w:tc>
          <w:tcPr>
            <w:tcW w:w="967" w:type="dxa"/>
            <w:vAlign w:val="bottom"/>
          </w:tcPr>
          <w:p w14:paraId="0422825D" w14:textId="77777777" w:rsidR="009D7C6C" w:rsidRPr="00017195" w:rsidRDefault="009D7C6C" w:rsidP="00AD3BAE">
            <w:pPr>
              <w:pStyle w:val="NormalWeb"/>
              <w:spacing w:before="0" w:beforeAutospacing="0" w:after="0" w:afterAutospacing="0" w:line="276" w:lineRule="auto"/>
              <w:jc w:val="center"/>
            </w:pPr>
            <w:r w:rsidRPr="00017195">
              <w:t>1.93</w:t>
            </w:r>
          </w:p>
        </w:tc>
        <w:tc>
          <w:tcPr>
            <w:tcW w:w="992" w:type="dxa"/>
            <w:vAlign w:val="bottom"/>
          </w:tcPr>
          <w:p w14:paraId="3AEFE25B" w14:textId="77777777" w:rsidR="009D7C6C" w:rsidRPr="00017195" w:rsidRDefault="009D7C6C" w:rsidP="00AD3BAE">
            <w:pPr>
              <w:pStyle w:val="NormalWeb"/>
              <w:spacing w:before="0" w:beforeAutospacing="0" w:after="0" w:afterAutospacing="0" w:line="276" w:lineRule="auto"/>
              <w:jc w:val="center"/>
            </w:pPr>
            <w:r w:rsidRPr="00017195">
              <w:t>22</w:t>
            </w:r>
          </w:p>
        </w:tc>
        <w:tc>
          <w:tcPr>
            <w:tcW w:w="992" w:type="dxa"/>
            <w:vAlign w:val="bottom"/>
          </w:tcPr>
          <w:p w14:paraId="1FCB9C38" w14:textId="77777777" w:rsidR="009D7C6C" w:rsidRPr="00017195" w:rsidRDefault="009D7C6C" w:rsidP="00AD3BAE">
            <w:pPr>
              <w:pStyle w:val="NormalWeb"/>
              <w:spacing w:before="0" w:beforeAutospacing="0" w:after="0" w:afterAutospacing="0" w:line="276" w:lineRule="auto"/>
              <w:jc w:val="center"/>
            </w:pPr>
            <w:r w:rsidRPr="00017195">
              <w:t>13.69</w:t>
            </w:r>
          </w:p>
        </w:tc>
        <w:tc>
          <w:tcPr>
            <w:tcW w:w="901" w:type="dxa"/>
            <w:vAlign w:val="bottom"/>
          </w:tcPr>
          <w:p w14:paraId="6134DE0B" w14:textId="77777777" w:rsidR="009D7C6C" w:rsidRPr="00017195" w:rsidRDefault="009D7C6C" w:rsidP="00AD3BAE">
            <w:pPr>
              <w:pStyle w:val="NormalWeb"/>
              <w:spacing w:before="0" w:beforeAutospacing="0" w:after="0" w:afterAutospacing="0" w:line="276" w:lineRule="auto"/>
              <w:jc w:val="center"/>
            </w:pPr>
            <w:r w:rsidRPr="00017195">
              <w:t>1.10</w:t>
            </w:r>
          </w:p>
        </w:tc>
      </w:tr>
      <w:tr w:rsidR="009D7C6C" w14:paraId="6DF332C4" w14:textId="77777777" w:rsidTr="00AD3BAE">
        <w:trPr>
          <w:jc w:val="center"/>
        </w:trPr>
        <w:tc>
          <w:tcPr>
            <w:tcW w:w="1654" w:type="dxa"/>
          </w:tcPr>
          <w:p w14:paraId="14C71C7E" w14:textId="77777777" w:rsidR="009D7C6C" w:rsidRPr="00415F00" w:rsidRDefault="009D7C6C" w:rsidP="00AD3BAE">
            <w:pPr>
              <w:tabs>
                <w:tab w:val="left" w:pos="5400"/>
              </w:tabs>
              <w:jc w:val="right"/>
              <w:rPr>
                <w:rFonts w:ascii="Times New Roman" w:hAnsi="Times New Roman" w:cs="Times New Roman"/>
                <w:b/>
                <w:bCs/>
                <w:sz w:val="24"/>
                <w:szCs w:val="24"/>
              </w:rPr>
            </w:pPr>
            <w:r w:rsidRPr="00415F00">
              <w:rPr>
                <w:rFonts w:ascii="Times New Roman" w:hAnsi="Times New Roman" w:cs="Times New Roman"/>
                <w:b/>
                <w:bCs/>
                <w:sz w:val="24"/>
                <w:szCs w:val="24"/>
              </w:rPr>
              <w:t>Critical levels</w:t>
            </w:r>
          </w:p>
        </w:tc>
        <w:tc>
          <w:tcPr>
            <w:tcW w:w="987" w:type="dxa"/>
            <w:vAlign w:val="center"/>
          </w:tcPr>
          <w:p w14:paraId="359CC5AC" w14:textId="77777777" w:rsidR="009D7C6C" w:rsidRPr="00017195" w:rsidRDefault="009D7C6C" w:rsidP="00AD3BAE">
            <w:pPr>
              <w:pStyle w:val="NormalWeb"/>
              <w:spacing w:before="0" w:beforeAutospacing="0" w:after="0" w:afterAutospacing="0" w:line="276" w:lineRule="auto"/>
              <w:jc w:val="center"/>
            </w:pPr>
            <w:r w:rsidRPr="00017195">
              <w:rPr>
                <w:color w:val="000514"/>
                <w:kern w:val="24"/>
              </w:rPr>
              <w:t>&lt;0.5</w:t>
            </w:r>
          </w:p>
        </w:tc>
        <w:tc>
          <w:tcPr>
            <w:tcW w:w="873" w:type="dxa"/>
            <w:vAlign w:val="center"/>
          </w:tcPr>
          <w:p w14:paraId="5A581E4A" w14:textId="77777777" w:rsidR="009D7C6C" w:rsidRPr="00017195" w:rsidRDefault="009D7C6C" w:rsidP="00AD3BAE">
            <w:pPr>
              <w:pStyle w:val="NormalWeb"/>
              <w:spacing w:before="0" w:beforeAutospacing="0" w:after="0" w:afterAutospacing="0" w:line="276" w:lineRule="auto"/>
              <w:jc w:val="center"/>
            </w:pPr>
            <w:r w:rsidRPr="00017195">
              <w:rPr>
                <w:color w:val="000514"/>
                <w:kern w:val="24"/>
              </w:rPr>
              <w:t>&lt;280</w:t>
            </w:r>
          </w:p>
        </w:tc>
        <w:tc>
          <w:tcPr>
            <w:tcW w:w="1008" w:type="dxa"/>
            <w:vAlign w:val="center"/>
          </w:tcPr>
          <w:p w14:paraId="018EEFAD" w14:textId="77777777" w:rsidR="009D7C6C" w:rsidRPr="00017195" w:rsidRDefault="009D7C6C" w:rsidP="00AD3BAE">
            <w:pPr>
              <w:pStyle w:val="NormalWeb"/>
              <w:spacing w:before="0" w:beforeAutospacing="0" w:after="0" w:afterAutospacing="0" w:line="276" w:lineRule="auto"/>
              <w:jc w:val="center"/>
            </w:pPr>
            <w:r w:rsidRPr="00017195">
              <w:rPr>
                <w:color w:val="000514"/>
                <w:kern w:val="24"/>
              </w:rPr>
              <w:t>&lt;32</w:t>
            </w:r>
          </w:p>
        </w:tc>
        <w:tc>
          <w:tcPr>
            <w:tcW w:w="976" w:type="dxa"/>
            <w:vAlign w:val="center"/>
          </w:tcPr>
          <w:p w14:paraId="638D7DD0" w14:textId="77777777" w:rsidR="009D7C6C" w:rsidRPr="00017195" w:rsidRDefault="009D7C6C" w:rsidP="00AD3BAE">
            <w:pPr>
              <w:pStyle w:val="NormalWeb"/>
              <w:spacing w:before="0" w:beforeAutospacing="0" w:after="0" w:afterAutospacing="0" w:line="276" w:lineRule="auto"/>
              <w:jc w:val="center"/>
            </w:pPr>
            <w:r w:rsidRPr="00017195">
              <w:rPr>
                <w:color w:val="000514"/>
                <w:kern w:val="24"/>
              </w:rPr>
              <w:t>&lt;150</w:t>
            </w:r>
          </w:p>
        </w:tc>
        <w:tc>
          <w:tcPr>
            <w:tcW w:w="967" w:type="dxa"/>
            <w:vAlign w:val="center"/>
          </w:tcPr>
          <w:p w14:paraId="462076B8" w14:textId="77777777" w:rsidR="009D7C6C" w:rsidRPr="00017195" w:rsidRDefault="009D7C6C" w:rsidP="00AD3BAE">
            <w:pPr>
              <w:pStyle w:val="NormalWeb"/>
              <w:spacing w:before="0" w:beforeAutospacing="0" w:after="0" w:afterAutospacing="0" w:line="276" w:lineRule="auto"/>
              <w:jc w:val="center"/>
            </w:pPr>
            <w:r w:rsidRPr="00017195">
              <w:rPr>
                <w:color w:val="000514"/>
                <w:kern w:val="24"/>
              </w:rPr>
              <w:t>0.3</w:t>
            </w:r>
          </w:p>
        </w:tc>
        <w:tc>
          <w:tcPr>
            <w:tcW w:w="992" w:type="dxa"/>
            <w:vAlign w:val="center"/>
          </w:tcPr>
          <w:p w14:paraId="66775432" w14:textId="77777777" w:rsidR="009D7C6C" w:rsidRPr="00017195" w:rsidRDefault="009D7C6C" w:rsidP="00AD3BAE">
            <w:pPr>
              <w:pStyle w:val="NormalWeb"/>
              <w:spacing w:before="0" w:beforeAutospacing="0" w:after="0" w:afterAutospacing="0" w:line="276" w:lineRule="auto"/>
              <w:jc w:val="center"/>
            </w:pPr>
            <w:r w:rsidRPr="00017195">
              <w:rPr>
                <w:color w:val="000514"/>
                <w:kern w:val="24"/>
              </w:rPr>
              <w:t>3.0</w:t>
            </w:r>
          </w:p>
        </w:tc>
        <w:tc>
          <w:tcPr>
            <w:tcW w:w="992" w:type="dxa"/>
            <w:vAlign w:val="center"/>
          </w:tcPr>
          <w:p w14:paraId="0AE5FCD3" w14:textId="77777777" w:rsidR="009D7C6C" w:rsidRPr="00017195" w:rsidRDefault="009D7C6C" w:rsidP="00AD3BAE">
            <w:pPr>
              <w:pStyle w:val="NormalWeb"/>
              <w:spacing w:before="0" w:beforeAutospacing="0" w:after="0" w:afterAutospacing="0" w:line="276" w:lineRule="auto"/>
              <w:jc w:val="center"/>
            </w:pPr>
            <w:r w:rsidRPr="00017195">
              <w:rPr>
                <w:color w:val="000514"/>
                <w:kern w:val="24"/>
              </w:rPr>
              <w:t>4.0</w:t>
            </w:r>
          </w:p>
        </w:tc>
        <w:tc>
          <w:tcPr>
            <w:tcW w:w="901" w:type="dxa"/>
            <w:vAlign w:val="center"/>
          </w:tcPr>
          <w:p w14:paraId="3420EB64" w14:textId="77777777" w:rsidR="009D7C6C" w:rsidRPr="00017195" w:rsidRDefault="009D7C6C" w:rsidP="00AD3BAE">
            <w:pPr>
              <w:pStyle w:val="NormalWeb"/>
              <w:spacing w:before="0" w:beforeAutospacing="0" w:after="0" w:afterAutospacing="0" w:line="276" w:lineRule="auto"/>
              <w:jc w:val="center"/>
            </w:pPr>
            <w:r w:rsidRPr="00017195">
              <w:rPr>
                <w:color w:val="000514"/>
                <w:kern w:val="24"/>
              </w:rPr>
              <w:t>0.7</w:t>
            </w:r>
          </w:p>
        </w:tc>
      </w:tr>
      <w:tr w:rsidR="009D7C6C" w14:paraId="5FDC1654" w14:textId="77777777" w:rsidTr="00AD3BAE">
        <w:trPr>
          <w:jc w:val="center"/>
        </w:trPr>
        <w:tc>
          <w:tcPr>
            <w:tcW w:w="1654" w:type="dxa"/>
          </w:tcPr>
          <w:p w14:paraId="25EF886F" w14:textId="77777777" w:rsidR="009D7C6C" w:rsidRPr="00415F00" w:rsidRDefault="009D7C6C" w:rsidP="00AD3BAE">
            <w:pPr>
              <w:tabs>
                <w:tab w:val="left" w:pos="5400"/>
              </w:tabs>
              <w:jc w:val="right"/>
              <w:rPr>
                <w:rFonts w:ascii="Times New Roman" w:hAnsi="Times New Roman" w:cs="Times New Roman"/>
                <w:b/>
                <w:bCs/>
                <w:sz w:val="24"/>
                <w:szCs w:val="24"/>
              </w:rPr>
            </w:pPr>
            <w:r w:rsidRPr="00415F00">
              <w:rPr>
                <w:rFonts w:ascii="Times New Roman" w:hAnsi="Times New Roman" w:cs="Times New Roman"/>
                <w:b/>
                <w:bCs/>
                <w:sz w:val="24"/>
                <w:szCs w:val="24"/>
              </w:rPr>
              <w:t>PSD</w:t>
            </w:r>
          </w:p>
        </w:tc>
        <w:tc>
          <w:tcPr>
            <w:tcW w:w="987" w:type="dxa"/>
            <w:vAlign w:val="center"/>
          </w:tcPr>
          <w:p w14:paraId="7151CE48" w14:textId="77777777" w:rsidR="009D7C6C" w:rsidRPr="00017195" w:rsidRDefault="009D7C6C" w:rsidP="00AD3BAE">
            <w:pPr>
              <w:pStyle w:val="NormalWeb"/>
              <w:tabs>
                <w:tab w:val="left" w:pos="5400"/>
              </w:tabs>
              <w:spacing w:before="0" w:beforeAutospacing="0" w:after="0" w:afterAutospacing="0" w:line="276" w:lineRule="auto"/>
              <w:jc w:val="center"/>
              <w:rPr>
                <w:b/>
              </w:rPr>
            </w:pPr>
            <w:r w:rsidRPr="00017195">
              <w:rPr>
                <w:b/>
              </w:rPr>
              <w:t>47.24</w:t>
            </w:r>
          </w:p>
        </w:tc>
        <w:tc>
          <w:tcPr>
            <w:tcW w:w="873" w:type="dxa"/>
            <w:vAlign w:val="center"/>
          </w:tcPr>
          <w:p w14:paraId="6A6396B1" w14:textId="77777777" w:rsidR="009D7C6C" w:rsidRPr="00017195" w:rsidRDefault="009D7C6C" w:rsidP="00AD3BAE">
            <w:pPr>
              <w:pStyle w:val="NormalWeb"/>
              <w:tabs>
                <w:tab w:val="left" w:pos="5400"/>
              </w:tabs>
              <w:spacing w:before="0" w:beforeAutospacing="0" w:after="0" w:afterAutospacing="0" w:line="276" w:lineRule="auto"/>
              <w:jc w:val="center"/>
              <w:rPr>
                <w:b/>
              </w:rPr>
            </w:pPr>
            <w:r w:rsidRPr="00017195">
              <w:rPr>
                <w:b/>
              </w:rPr>
              <w:t>91.33</w:t>
            </w:r>
          </w:p>
        </w:tc>
        <w:tc>
          <w:tcPr>
            <w:tcW w:w="1008" w:type="dxa"/>
            <w:vAlign w:val="center"/>
          </w:tcPr>
          <w:p w14:paraId="0998EBEE" w14:textId="77777777" w:rsidR="009D7C6C" w:rsidRPr="00017195" w:rsidRDefault="009D7C6C" w:rsidP="00AD3BAE">
            <w:pPr>
              <w:pStyle w:val="NormalWeb"/>
              <w:tabs>
                <w:tab w:val="left" w:pos="5400"/>
              </w:tabs>
              <w:spacing w:before="0" w:beforeAutospacing="0" w:after="0" w:afterAutospacing="0" w:line="276" w:lineRule="auto"/>
              <w:jc w:val="center"/>
              <w:rPr>
                <w:b/>
              </w:rPr>
            </w:pPr>
            <w:r w:rsidRPr="00017195">
              <w:rPr>
                <w:b/>
              </w:rPr>
              <w:t>13.38</w:t>
            </w:r>
          </w:p>
        </w:tc>
        <w:tc>
          <w:tcPr>
            <w:tcW w:w="976" w:type="dxa"/>
            <w:vAlign w:val="center"/>
          </w:tcPr>
          <w:p w14:paraId="4A9FC4F4" w14:textId="77777777" w:rsidR="009D7C6C" w:rsidRPr="00017195" w:rsidRDefault="009D7C6C" w:rsidP="00AD3BAE">
            <w:pPr>
              <w:pStyle w:val="NormalWeb"/>
              <w:tabs>
                <w:tab w:val="left" w:pos="5400"/>
              </w:tabs>
              <w:spacing w:before="0" w:beforeAutospacing="0" w:after="0" w:afterAutospacing="0" w:line="276" w:lineRule="auto"/>
              <w:jc w:val="center"/>
              <w:rPr>
                <w:b/>
              </w:rPr>
            </w:pPr>
            <w:r w:rsidRPr="00017195">
              <w:rPr>
                <w:b/>
              </w:rPr>
              <w:t xml:space="preserve">Nil </w:t>
            </w:r>
          </w:p>
        </w:tc>
        <w:tc>
          <w:tcPr>
            <w:tcW w:w="967" w:type="dxa"/>
            <w:vAlign w:val="center"/>
          </w:tcPr>
          <w:p w14:paraId="6E53A705" w14:textId="77777777" w:rsidR="009D7C6C" w:rsidRPr="00017195" w:rsidRDefault="009D7C6C" w:rsidP="00AD3BAE">
            <w:pPr>
              <w:pStyle w:val="NormalWeb"/>
              <w:tabs>
                <w:tab w:val="left" w:pos="5400"/>
              </w:tabs>
              <w:spacing w:before="0" w:beforeAutospacing="0" w:after="0" w:afterAutospacing="0" w:line="276" w:lineRule="auto"/>
              <w:jc w:val="center"/>
              <w:rPr>
                <w:b/>
              </w:rPr>
            </w:pPr>
            <w:r w:rsidRPr="00017195">
              <w:rPr>
                <w:b/>
              </w:rPr>
              <w:t>0.79</w:t>
            </w:r>
          </w:p>
        </w:tc>
        <w:tc>
          <w:tcPr>
            <w:tcW w:w="992" w:type="dxa"/>
            <w:vAlign w:val="center"/>
          </w:tcPr>
          <w:p w14:paraId="1A3B579D" w14:textId="77777777" w:rsidR="009D7C6C" w:rsidRPr="00017195" w:rsidRDefault="009D7C6C" w:rsidP="00AD3BAE">
            <w:pPr>
              <w:pStyle w:val="NormalWeb"/>
              <w:tabs>
                <w:tab w:val="left" w:pos="5400"/>
              </w:tabs>
              <w:spacing w:before="0" w:beforeAutospacing="0" w:after="0" w:afterAutospacing="0" w:line="276" w:lineRule="auto"/>
              <w:jc w:val="center"/>
              <w:rPr>
                <w:b/>
              </w:rPr>
            </w:pPr>
            <w:r w:rsidRPr="00017195">
              <w:rPr>
                <w:b/>
                <w:bCs/>
                <w:color w:val="000514"/>
                <w:kern w:val="24"/>
              </w:rPr>
              <w:t>Nil</w:t>
            </w:r>
          </w:p>
        </w:tc>
        <w:tc>
          <w:tcPr>
            <w:tcW w:w="992" w:type="dxa"/>
            <w:vAlign w:val="center"/>
          </w:tcPr>
          <w:p w14:paraId="719CF1FB" w14:textId="77777777" w:rsidR="009D7C6C" w:rsidRPr="00017195" w:rsidRDefault="009D7C6C" w:rsidP="00AD3BAE">
            <w:pPr>
              <w:pStyle w:val="NormalWeb"/>
              <w:tabs>
                <w:tab w:val="left" w:pos="5400"/>
              </w:tabs>
              <w:spacing w:before="0" w:beforeAutospacing="0" w:after="0" w:afterAutospacing="0" w:line="276" w:lineRule="auto"/>
              <w:jc w:val="center"/>
              <w:rPr>
                <w:b/>
              </w:rPr>
            </w:pPr>
            <w:r w:rsidRPr="00017195">
              <w:rPr>
                <w:b/>
                <w:bCs/>
                <w:color w:val="000514"/>
                <w:kern w:val="24"/>
              </w:rPr>
              <w:t xml:space="preserve">Nil </w:t>
            </w:r>
          </w:p>
        </w:tc>
        <w:tc>
          <w:tcPr>
            <w:tcW w:w="901" w:type="dxa"/>
            <w:vAlign w:val="center"/>
          </w:tcPr>
          <w:p w14:paraId="2CFC231F" w14:textId="77777777" w:rsidR="009D7C6C" w:rsidRPr="00017195" w:rsidRDefault="009D7C6C" w:rsidP="00AD3BAE">
            <w:pPr>
              <w:pStyle w:val="NormalWeb"/>
              <w:tabs>
                <w:tab w:val="left" w:pos="5400"/>
              </w:tabs>
              <w:spacing w:before="0" w:beforeAutospacing="0" w:after="0" w:afterAutospacing="0" w:line="276" w:lineRule="auto"/>
              <w:jc w:val="center"/>
              <w:rPr>
                <w:b/>
              </w:rPr>
            </w:pPr>
            <w:r w:rsidRPr="00017195">
              <w:rPr>
                <w:b/>
                <w:bCs/>
                <w:color w:val="000514"/>
                <w:kern w:val="24"/>
              </w:rPr>
              <w:t xml:space="preserve">34.64 </w:t>
            </w:r>
          </w:p>
        </w:tc>
      </w:tr>
    </w:tbl>
    <w:p w14:paraId="00863252" w14:textId="77777777" w:rsidR="009D7C6C" w:rsidRPr="00397CCC" w:rsidRDefault="009D7C6C" w:rsidP="00EE5932">
      <w:pPr>
        <w:autoSpaceDE w:val="0"/>
        <w:autoSpaceDN w:val="0"/>
        <w:adjustRightInd w:val="0"/>
        <w:spacing w:before="120" w:after="120" w:line="240" w:lineRule="auto"/>
        <w:ind w:firstLine="720"/>
        <w:jc w:val="both"/>
        <w:rPr>
          <w:rFonts w:ascii="Times New Roman" w:hAnsi="Times New Roman" w:cs="Times New Roman"/>
          <w:sz w:val="12"/>
          <w:szCs w:val="12"/>
        </w:rPr>
      </w:pPr>
    </w:p>
    <w:p w14:paraId="564EAE6B" w14:textId="0C2E3C48" w:rsidR="00D777B2" w:rsidRPr="00D777B2" w:rsidRDefault="00183DF6" w:rsidP="00D777B2">
      <w:pPr>
        <w:spacing w:before="120" w:after="12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 Discussion </w:t>
      </w:r>
    </w:p>
    <w:p w14:paraId="6B45B865" w14:textId="4348AE2C" w:rsidR="00E543E0" w:rsidRPr="00E543E0" w:rsidRDefault="00E543E0" w:rsidP="00EE5932">
      <w:pPr>
        <w:spacing w:before="120" w:after="120" w:line="240" w:lineRule="auto"/>
        <w:ind w:firstLine="720"/>
        <w:jc w:val="both"/>
        <w:rPr>
          <w:rFonts w:ascii="Times New Roman" w:eastAsia="Times New Roman" w:hAnsi="Times New Roman" w:cs="Times New Roman"/>
          <w:sz w:val="24"/>
          <w:szCs w:val="24"/>
        </w:rPr>
      </w:pPr>
      <w:r w:rsidRPr="00E543E0">
        <w:rPr>
          <w:rFonts w:ascii="Times New Roman" w:eastAsia="Times New Roman" w:hAnsi="Times New Roman" w:cs="Times New Roman"/>
          <w:sz w:val="24"/>
          <w:szCs w:val="24"/>
        </w:rPr>
        <w:t>A comparison of soil and plant nutrient status revealed that nitrogen deficiency observed in sugarcane plants is largely a reflection of its deficiency in soils, indicating a strong soil–plant relationship for nitrogen nutrition. Although potassium was adequate in soils, about 10 per cent of the plant samples showed potassium deficiency, which may be attributed to factors such as nutrient imbalance, poor root activity, soil moisture stress, or antagonistic interactions with other nutrients.</w:t>
      </w:r>
    </w:p>
    <w:p w14:paraId="6CBFF186" w14:textId="77777777" w:rsidR="00E543E0" w:rsidRPr="00E543E0" w:rsidRDefault="00E543E0" w:rsidP="00EE5932">
      <w:pPr>
        <w:spacing w:before="120" w:after="120" w:line="240" w:lineRule="auto"/>
        <w:ind w:firstLine="720"/>
        <w:jc w:val="both"/>
        <w:rPr>
          <w:rFonts w:ascii="Times New Roman" w:eastAsia="Times New Roman" w:hAnsi="Times New Roman" w:cs="Times New Roman"/>
          <w:sz w:val="24"/>
          <w:szCs w:val="24"/>
        </w:rPr>
      </w:pPr>
      <w:r w:rsidRPr="00E543E0">
        <w:rPr>
          <w:rFonts w:ascii="Times New Roman" w:eastAsia="Times New Roman" w:hAnsi="Times New Roman" w:cs="Times New Roman"/>
          <w:sz w:val="24"/>
          <w:szCs w:val="24"/>
        </w:rPr>
        <w:t>The higher phosphorus status in soils was also reflected in the plant tissues, indicating sufficient availability and uptake of phosphorus by sugarcane plants. With regard to micronutrients, zinc deficiency observed in soils was also reflected in the plant tissues, confirming that soil zinc status directly influences plant zinc nutrition. However, copper deficiency was observed in plant tissues despite adequate copper levels in soils, which might be due to factors such as nutrient antagonism, soil pH effects, or restricted uptake by plant roots.</w:t>
      </w:r>
    </w:p>
    <w:p w14:paraId="58453157" w14:textId="764B7378" w:rsidR="00E543E0" w:rsidRPr="00EE5932" w:rsidRDefault="00E543E0" w:rsidP="00EE5932">
      <w:pPr>
        <w:spacing w:before="120" w:after="120" w:line="240" w:lineRule="auto"/>
        <w:ind w:firstLine="720"/>
        <w:jc w:val="both"/>
        <w:rPr>
          <w:rFonts w:ascii="Times New Roman" w:eastAsia="Times New Roman" w:hAnsi="Times New Roman" w:cs="Times New Roman"/>
          <w:sz w:val="24"/>
          <w:szCs w:val="24"/>
        </w:rPr>
      </w:pPr>
      <w:r w:rsidRPr="00EE5932">
        <w:rPr>
          <w:rFonts w:ascii="Times New Roman" w:eastAsia="Times New Roman" w:hAnsi="Times New Roman" w:cs="Times New Roman"/>
          <w:sz w:val="24"/>
          <w:szCs w:val="24"/>
        </w:rPr>
        <w:t xml:space="preserve">These findings highlight the importance of soil–plant nutrient relationship studies for diagnosing nutrient deficiencies and for developing balanced fertilization strategies in sugarcane cultivation. </w:t>
      </w:r>
      <w:r w:rsidRPr="00EE5932">
        <w:rPr>
          <w:rFonts w:ascii="Times New Roman" w:hAnsi="Times New Roman" w:cs="Times New Roman"/>
          <w:sz w:val="24"/>
          <w:szCs w:val="24"/>
          <w:lang w:val="en-US"/>
        </w:rPr>
        <w:t xml:space="preserve">Similar relationships between soil nutrient status and plant nutrient concentration have been reported in several studies. </w:t>
      </w:r>
      <w:r w:rsidR="0049374F" w:rsidRPr="00EE5932">
        <w:rPr>
          <w:rFonts w:ascii="Times New Roman" w:hAnsi="Times New Roman" w:cs="Times New Roman"/>
          <w:sz w:val="24"/>
          <w:szCs w:val="24"/>
          <w:lang w:val="en-US"/>
        </w:rPr>
        <w:t xml:space="preserve">Plant </w:t>
      </w:r>
      <w:r w:rsidRPr="00EE5932">
        <w:rPr>
          <w:rFonts w:ascii="Times New Roman" w:hAnsi="Times New Roman" w:cs="Times New Roman"/>
          <w:sz w:val="24"/>
          <w:szCs w:val="24"/>
          <w:lang w:val="en-US"/>
        </w:rPr>
        <w:t>nutrient composition is strongly influenced by soil nutrient availability, soil chemical properties, and plant uptake efficiency (</w:t>
      </w:r>
      <w:proofErr w:type="spellStart"/>
      <w:r w:rsidRPr="00EE5932">
        <w:rPr>
          <w:rFonts w:ascii="Times New Roman" w:hAnsi="Times New Roman" w:cs="Times New Roman"/>
          <w:sz w:val="24"/>
          <w:szCs w:val="24"/>
          <w:lang w:val="en-US"/>
        </w:rPr>
        <w:t>Marschner</w:t>
      </w:r>
      <w:proofErr w:type="spellEnd"/>
      <w:r w:rsidRPr="00EE5932">
        <w:rPr>
          <w:rFonts w:ascii="Times New Roman" w:hAnsi="Times New Roman" w:cs="Times New Roman"/>
          <w:sz w:val="24"/>
          <w:szCs w:val="24"/>
          <w:lang w:val="en-US"/>
        </w:rPr>
        <w:t>, 2012). Studies on soil fertility and plant nutrition have also indicated that nitrogen deficiency in crops is often closely associated with low soil nitrogen levels due to rapid mineralization and losses in tropical soils (</w:t>
      </w:r>
      <w:proofErr w:type="spellStart"/>
      <w:r w:rsidRPr="00EE5932">
        <w:rPr>
          <w:rFonts w:ascii="Times New Roman" w:hAnsi="Times New Roman" w:cs="Times New Roman"/>
          <w:sz w:val="24"/>
          <w:szCs w:val="24"/>
          <w:lang w:val="en-US"/>
        </w:rPr>
        <w:t>Havlin</w:t>
      </w:r>
      <w:proofErr w:type="spellEnd"/>
      <w:r w:rsidRPr="00EE5932">
        <w:rPr>
          <w:rFonts w:ascii="Times New Roman" w:hAnsi="Times New Roman" w:cs="Times New Roman"/>
          <w:sz w:val="24"/>
          <w:szCs w:val="24"/>
          <w:lang w:val="en-US"/>
        </w:rPr>
        <w:t xml:space="preserve"> et al., 2014). </w:t>
      </w:r>
      <w:r w:rsidRPr="00EE5932">
        <w:rPr>
          <w:rFonts w:ascii="Times New Roman" w:eastAsia="Times New Roman" w:hAnsi="Times New Roman" w:cs="Times New Roman"/>
          <w:sz w:val="24"/>
          <w:szCs w:val="24"/>
        </w:rPr>
        <w:t>Similar observations were reported by Tandon</w:t>
      </w:r>
      <w:r w:rsidR="00923BD2">
        <w:rPr>
          <w:rFonts w:ascii="Times New Roman" w:eastAsia="Times New Roman" w:hAnsi="Times New Roman" w:cs="Times New Roman"/>
          <w:sz w:val="24"/>
          <w:szCs w:val="24"/>
        </w:rPr>
        <w:t xml:space="preserve"> (2013)</w:t>
      </w:r>
      <w:r w:rsidRPr="00EE5932">
        <w:rPr>
          <w:rFonts w:ascii="Times New Roman" w:eastAsia="Times New Roman" w:hAnsi="Times New Roman" w:cs="Times New Roman"/>
          <w:sz w:val="24"/>
          <w:szCs w:val="24"/>
        </w:rPr>
        <w:t>, who noted that balanced fertilization and micronutrient management are essential for sustaining crop productivity in intensively cultivated soils</w:t>
      </w:r>
      <w:r w:rsidR="00923BD2">
        <w:rPr>
          <w:rFonts w:ascii="Times New Roman" w:eastAsia="Times New Roman" w:hAnsi="Times New Roman" w:cs="Times New Roman"/>
          <w:sz w:val="24"/>
          <w:szCs w:val="24"/>
        </w:rPr>
        <w:t>.</w:t>
      </w:r>
    </w:p>
    <w:p w14:paraId="44199DA9" w14:textId="576A7FD9" w:rsidR="009355ED" w:rsidRPr="00C37609" w:rsidRDefault="00C37609" w:rsidP="00EE5932">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B338DE" w:rsidRPr="00C37609">
        <w:rPr>
          <w:rFonts w:ascii="Times New Roman" w:hAnsi="Times New Roman" w:cs="Times New Roman"/>
          <w:b/>
          <w:bCs/>
          <w:sz w:val="24"/>
          <w:szCs w:val="24"/>
        </w:rPr>
        <w:t xml:space="preserve">. </w:t>
      </w:r>
      <w:r w:rsidR="009355ED" w:rsidRPr="00C37609">
        <w:rPr>
          <w:rFonts w:ascii="Times New Roman" w:hAnsi="Times New Roman" w:cs="Times New Roman"/>
          <w:b/>
          <w:bCs/>
          <w:sz w:val="24"/>
          <w:szCs w:val="24"/>
        </w:rPr>
        <w:t xml:space="preserve">Conclusion </w:t>
      </w:r>
    </w:p>
    <w:p w14:paraId="08297387" w14:textId="77777777" w:rsidR="00E543E0" w:rsidRPr="00E543E0" w:rsidRDefault="00E543E0" w:rsidP="00EE5932">
      <w:pPr>
        <w:numPr>
          <w:ilvl w:val="0"/>
          <w:numId w:val="21"/>
        </w:numPr>
        <w:tabs>
          <w:tab w:val="left" w:pos="720"/>
          <w:tab w:val="left" w:pos="851"/>
          <w:tab w:val="left" w:pos="1440"/>
        </w:tabs>
        <w:spacing w:before="120" w:after="120" w:line="240" w:lineRule="auto"/>
        <w:jc w:val="both"/>
        <w:rPr>
          <w:rFonts w:ascii="Times New Roman" w:hAnsi="Times New Roman" w:cs="Times New Roman"/>
          <w:sz w:val="24"/>
          <w:szCs w:val="24"/>
        </w:rPr>
      </w:pPr>
      <w:r w:rsidRPr="00E543E0">
        <w:rPr>
          <w:rFonts w:ascii="Times New Roman" w:hAnsi="Times New Roman" w:cs="Times New Roman"/>
          <w:sz w:val="24"/>
          <w:szCs w:val="24"/>
        </w:rPr>
        <w:t>The study revealed a strong relationship between soil nutrient availability and nutrient concentration in sugarcane plants. Nitrogen deficiency observed in sugarcane plants was largely a reflection of its widespread deficiency in soils, indicating that soil nitrogen status directly influences plant nitrogen nutrition.</w:t>
      </w:r>
    </w:p>
    <w:p w14:paraId="3941BE70" w14:textId="77777777" w:rsidR="00E543E0" w:rsidRPr="00E543E0" w:rsidRDefault="00E543E0" w:rsidP="00EE5932">
      <w:pPr>
        <w:numPr>
          <w:ilvl w:val="0"/>
          <w:numId w:val="21"/>
        </w:numPr>
        <w:tabs>
          <w:tab w:val="left" w:pos="720"/>
          <w:tab w:val="left" w:pos="851"/>
          <w:tab w:val="left" w:pos="1440"/>
        </w:tabs>
        <w:spacing w:before="120" w:after="120" w:line="240" w:lineRule="auto"/>
        <w:jc w:val="both"/>
        <w:rPr>
          <w:rFonts w:ascii="Times New Roman" w:hAnsi="Times New Roman" w:cs="Times New Roman"/>
          <w:sz w:val="24"/>
          <w:szCs w:val="24"/>
        </w:rPr>
      </w:pPr>
      <w:r w:rsidRPr="00E543E0">
        <w:rPr>
          <w:rFonts w:ascii="Times New Roman" w:hAnsi="Times New Roman" w:cs="Times New Roman"/>
          <w:sz w:val="24"/>
          <w:szCs w:val="24"/>
        </w:rPr>
        <w:t xml:space="preserve">Although potassium levels were adequate in the soils, nearly 10 per cent of the plant samples showed potassium deficiency. This suggests that factors such as nutrient </w:t>
      </w:r>
      <w:r w:rsidRPr="00E543E0">
        <w:rPr>
          <w:rFonts w:ascii="Times New Roman" w:hAnsi="Times New Roman" w:cs="Times New Roman"/>
          <w:sz w:val="24"/>
          <w:szCs w:val="24"/>
        </w:rPr>
        <w:lastRenderedPageBreak/>
        <w:t>imbalance, soil moisture conditions, or restricted nutrient uptake may influence potassium availability to plants.</w:t>
      </w:r>
    </w:p>
    <w:p w14:paraId="2A33919A" w14:textId="77777777" w:rsidR="00E543E0" w:rsidRPr="00E543E0" w:rsidRDefault="00E543E0" w:rsidP="00EE5932">
      <w:pPr>
        <w:numPr>
          <w:ilvl w:val="0"/>
          <w:numId w:val="21"/>
        </w:numPr>
        <w:tabs>
          <w:tab w:val="left" w:pos="720"/>
          <w:tab w:val="left" w:pos="851"/>
          <w:tab w:val="left" w:pos="1440"/>
        </w:tabs>
        <w:spacing w:before="120" w:after="120" w:line="240" w:lineRule="auto"/>
        <w:jc w:val="both"/>
        <w:rPr>
          <w:rFonts w:ascii="Times New Roman" w:hAnsi="Times New Roman" w:cs="Times New Roman"/>
          <w:sz w:val="24"/>
          <w:szCs w:val="24"/>
        </w:rPr>
      </w:pPr>
      <w:r w:rsidRPr="00E543E0">
        <w:rPr>
          <w:rFonts w:ascii="Times New Roman" w:hAnsi="Times New Roman" w:cs="Times New Roman"/>
          <w:sz w:val="24"/>
          <w:szCs w:val="24"/>
        </w:rPr>
        <w:t>The relatively higher phosphorus status in soils was also reflected in plant tissues, indicating adequate phosphorus availability and uptake by sugarcane plants in the study area.</w:t>
      </w:r>
    </w:p>
    <w:p w14:paraId="17657C4B" w14:textId="77777777" w:rsidR="00E543E0" w:rsidRPr="00E543E0" w:rsidRDefault="00E543E0" w:rsidP="00EE5932">
      <w:pPr>
        <w:numPr>
          <w:ilvl w:val="0"/>
          <w:numId w:val="21"/>
        </w:numPr>
        <w:tabs>
          <w:tab w:val="left" w:pos="720"/>
          <w:tab w:val="left" w:pos="851"/>
          <w:tab w:val="left" w:pos="1440"/>
        </w:tabs>
        <w:spacing w:before="120" w:after="120" w:line="240" w:lineRule="auto"/>
        <w:jc w:val="both"/>
        <w:rPr>
          <w:rFonts w:ascii="Times New Roman" w:hAnsi="Times New Roman" w:cs="Times New Roman"/>
          <w:sz w:val="24"/>
          <w:szCs w:val="24"/>
        </w:rPr>
      </w:pPr>
      <w:r w:rsidRPr="00E543E0">
        <w:rPr>
          <w:rFonts w:ascii="Times New Roman" w:hAnsi="Times New Roman" w:cs="Times New Roman"/>
          <w:sz w:val="24"/>
          <w:szCs w:val="24"/>
        </w:rPr>
        <w:t>Among micronutrients, zinc deficiency observed in soils was also reflected in the plant tissues, confirming that soil zinc status plays a significant role in determining plant zinc nutrition.</w:t>
      </w:r>
    </w:p>
    <w:p w14:paraId="2B5DF754" w14:textId="77777777" w:rsidR="00E543E0" w:rsidRPr="00E543E0" w:rsidRDefault="00E543E0" w:rsidP="00EE5932">
      <w:pPr>
        <w:numPr>
          <w:ilvl w:val="0"/>
          <w:numId w:val="21"/>
        </w:numPr>
        <w:tabs>
          <w:tab w:val="left" w:pos="720"/>
          <w:tab w:val="left" w:pos="851"/>
          <w:tab w:val="left" w:pos="1440"/>
        </w:tabs>
        <w:spacing w:before="120" w:after="120" w:line="240" w:lineRule="auto"/>
        <w:jc w:val="both"/>
        <w:rPr>
          <w:rFonts w:ascii="Times New Roman" w:hAnsi="Times New Roman" w:cs="Times New Roman"/>
          <w:sz w:val="24"/>
          <w:szCs w:val="24"/>
        </w:rPr>
      </w:pPr>
      <w:r w:rsidRPr="00E543E0">
        <w:rPr>
          <w:rFonts w:ascii="Times New Roman" w:hAnsi="Times New Roman" w:cs="Times New Roman"/>
          <w:sz w:val="24"/>
          <w:szCs w:val="24"/>
        </w:rPr>
        <w:t>Copper deficiency was observed in plant tissues even though soil copper levels were adequate. This indicates that factors such as soil pH, nutrient interactions, or limited root absorption may affect copper uptake by plants.</w:t>
      </w:r>
    </w:p>
    <w:p w14:paraId="4EE62031" w14:textId="77777777" w:rsidR="00E543E0" w:rsidRPr="00E543E0" w:rsidRDefault="00E543E0" w:rsidP="00EE5932">
      <w:pPr>
        <w:numPr>
          <w:ilvl w:val="0"/>
          <w:numId w:val="21"/>
        </w:numPr>
        <w:tabs>
          <w:tab w:val="left" w:pos="720"/>
          <w:tab w:val="left" w:pos="851"/>
          <w:tab w:val="left" w:pos="1440"/>
        </w:tabs>
        <w:spacing w:before="120" w:after="120" w:line="240" w:lineRule="auto"/>
        <w:jc w:val="both"/>
        <w:rPr>
          <w:rFonts w:ascii="Times New Roman" w:hAnsi="Times New Roman" w:cs="Times New Roman"/>
          <w:sz w:val="24"/>
          <w:szCs w:val="24"/>
        </w:rPr>
      </w:pPr>
      <w:r w:rsidRPr="00E543E0">
        <w:rPr>
          <w:rFonts w:ascii="Times New Roman" w:hAnsi="Times New Roman" w:cs="Times New Roman"/>
          <w:sz w:val="24"/>
          <w:szCs w:val="24"/>
        </w:rPr>
        <w:t xml:space="preserve">Iron and manganese were found to be adequate in both soils and plant tissues, indicating </w:t>
      </w:r>
      <w:proofErr w:type="spellStart"/>
      <w:r w:rsidRPr="00E543E0">
        <w:rPr>
          <w:rFonts w:ascii="Times New Roman" w:hAnsi="Times New Roman" w:cs="Times New Roman"/>
          <w:sz w:val="24"/>
          <w:szCs w:val="24"/>
        </w:rPr>
        <w:t>favorable</w:t>
      </w:r>
      <w:proofErr w:type="spellEnd"/>
      <w:r w:rsidRPr="00E543E0">
        <w:rPr>
          <w:rFonts w:ascii="Times New Roman" w:hAnsi="Times New Roman" w:cs="Times New Roman"/>
          <w:sz w:val="24"/>
          <w:szCs w:val="24"/>
        </w:rPr>
        <w:t xml:space="preserve"> soil conditions for their availability and uptake.</w:t>
      </w:r>
    </w:p>
    <w:p w14:paraId="6D6DC6FF" w14:textId="77777777" w:rsidR="00E543E0" w:rsidRPr="00E543E0" w:rsidRDefault="00E543E0" w:rsidP="00EE5932">
      <w:pPr>
        <w:numPr>
          <w:ilvl w:val="0"/>
          <w:numId w:val="21"/>
        </w:numPr>
        <w:tabs>
          <w:tab w:val="left" w:pos="720"/>
          <w:tab w:val="left" w:pos="851"/>
          <w:tab w:val="left" w:pos="1440"/>
        </w:tabs>
        <w:spacing w:before="120" w:after="120" w:line="240" w:lineRule="auto"/>
        <w:jc w:val="both"/>
        <w:rPr>
          <w:rFonts w:ascii="Times New Roman" w:hAnsi="Times New Roman" w:cs="Times New Roman"/>
          <w:sz w:val="24"/>
          <w:szCs w:val="24"/>
        </w:rPr>
      </w:pPr>
      <w:r w:rsidRPr="00E543E0">
        <w:rPr>
          <w:rFonts w:ascii="Times New Roman" w:hAnsi="Times New Roman" w:cs="Times New Roman"/>
          <w:sz w:val="24"/>
          <w:szCs w:val="24"/>
        </w:rPr>
        <w:t>Overall, the results highlight that nitrogen and zinc are the most limiting nutrients in the sugarcane growing soils, emphasizing the need for balanced fertilization and integrated nutrient management practices to improve soil fertility and crop productivity.</w:t>
      </w:r>
    </w:p>
    <w:p w14:paraId="7DB4BEE5" w14:textId="77777777" w:rsidR="009D7C6C" w:rsidRPr="009D7C6C" w:rsidRDefault="007201F6" w:rsidP="00C840AC">
      <w:pPr>
        <w:spacing w:before="120" w:after="120" w:line="26" w:lineRule="atLeast"/>
        <w:ind w:left="360" w:hanging="360"/>
        <w:jc w:val="both"/>
        <w:rPr>
          <w:rFonts w:ascii="Times New Roman" w:hAnsi="Times New Roman" w:cs="Times New Roman"/>
          <w:b/>
          <w:bCs/>
          <w:color w:val="000000"/>
          <w:sz w:val="24"/>
          <w:szCs w:val="24"/>
        </w:rPr>
      </w:pPr>
      <w:r w:rsidRPr="009D7C6C">
        <w:rPr>
          <w:rFonts w:ascii="Times New Roman" w:hAnsi="Times New Roman" w:cs="Times New Roman"/>
          <w:b/>
          <w:bCs/>
          <w:color w:val="000000"/>
          <w:sz w:val="24"/>
          <w:szCs w:val="24"/>
        </w:rPr>
        <w:t>Disclaimer (Artificial Intelligence)</w:t>
      </w:r>
    </w:p>
    <w:p w14:paraId="1E931670" w14:textId="4C703A2F" w:rsidR="00E543E0" w:rsidRDefault="007201F6" w:rsidP="00E543E0">
      <w:pPr>
        <w:spacing w:before="120" w:after="120" w:line="26" w:lineRule="atLeast"/>
        <w:ind w:left="360"/>
        <w:jc w:val="both"/>
        <w:rPr>
          <w:rFonts w:ascii="Times New Roman" w:hAnsi="Times New Roman" w:cs="Times New Roman"/>
          <w:color w:val="000000"/>
          <w:sz w:val="24"/>
          <w:szCs w:val="24"/>
        </w:rPr>
      </w:pPr>
      <w:r w:rsidRPr="007201F6">
        <w:rPr>
          <w:rFonts w:ascii="Times New Roman" w:hAnsi="Times New Roman" w:cs="Times New Roman"/>
          <w:color w:val="000000"/>
          <w:sz w:val="24"/>
          <w:szCs w:val="24"/>
        </w:rPr>
        <w:t xml:space="preserve">Author(s) </w:t>
      </w:r>
      <w:r w:rsidR="0042329A" w:rsidRPr="007201F6">
        <w:rPr>
          <w:rFonts w:ascii="Times New Roman" w:hAnsi="Times New Roman" w:cs="Times New Roman"/>
          <w:color w:val="000000"/>
          <w:sz w:val="24"/>
          <w:szCs w:val="24"/>
        </w:rPr>
        <w:t>hereby declares that NO generative AI technologies such as Large Language Models (</w:t>
      </w:r>
      <w:proofErr w:type="spellStart"/>
      <w:r w:rsidRPr="007201F6">
        <w:rPr>
          <w:rFonts w:ascii="Times New Roman" w:hAnsi="Times New Roman" w:cs="Times New Roman"/>
          <w:color w:val="000000"/>
          <w:sz w:val="24"/>
          <w:szCs w:val="24"/>
        </w:rPr>
        <w:t>ChatGPT</w:t>
      </w:r>
      <w:proofErr w:type="spellEnd"/>
      <w:r w:rsidRPr="007201F6">
        <w:rPr>
          <w:rFonts w:ascii="Times New Roman" w:hAnsi="Times New Roman" w:cs="Times New Roman"/>
          <w:color w:val="000000"/>
          <w:sz w:val="24"/>
          <w:szCs w:val="24"/>
        </w:rPr>
        <w:t>, COPILOT, etc.) and text-to-image generators have been used during the writing or editing of this manuscript.</w:t>
      </w:r>
    </w:p>
    <w:p w14:paraId="13A37B7E" w14:textId="77777777" w:rsidR="00C840AC" w:rsidRDefault="00C840AC" w:rsidP="00C840AC">
      <w:pPr>
        <w:spacing w:before="120" w:after="120" w:line="240" w:lineRule="auto"/>
        <w:ind w:left="720" w:hanging="720"/>
        <w:jc w:val="both"/>
        <w:rPr>
          <w:rFonts w:ascii="Times New Roman" w:hAnsi="Times New Roman" w:cs="Times New Roman"/>
          <w:b/>
          <w:bCs/>
          <w:sz w:val="24"/>
          <w:szCs w:val="24"/>
        </w:rPr>
      </w:pPr>
    </w:p>
    <w:p w14:paraId="576E7859" w14:textId="77777777" w:rsidR="00EC2591" w:rsidRDefault="00EC2591" w:rsidP="00C840AC">
      <w:pPr>
        <w:spacing w:before="120" w:after="120" w:line="240" w:lineRule="auto"/>
        <w:ind w:left="720" w:hanging="720"/>
        <w:jc w:val="both"/>
        <w:rPr>
          <w:rFonts w:ascii="Times New Roman" w:hAnsi="Times New Roman" w:cs="Times New Roman"/>
          <w:b/>
          <w:bCs/>
          <w:sz w:val="24"/>
          <w:szCs w:val="24"/>
        </w:rPr>
      </w:pPr>
    </w:p>
    <w:p w14:paraId="12B4D58A" w14:textId="77777777" w:rsidR="00EC2591" w:rsidRDefault="00EC2591" w:rsidP="00C840AC">
      <w:pPr>
        <w:spacing w:before="120" w:after="120" w:line="240" w:lineRule="auto"/>
        <w:ind w:left="720" w:hanging="720"/>
        <w:jc w:val="both"/>
        <w:rPr>
          <w:rFonts w:ascii="Times New Roman" w:hAnsi="Times New Roman" w:cs="Times New Roman"/>
          <w:b/>
          <w:bCs/>
          <w:sz w:val="24"/>
          <w:szCs w:val="24"/>
        </w:rPr>
      </w:pPr>
    </w:p>
    <w:p w14:paraId="67D6E952" w14:textId="77777777" w:rsidR="00EC2591" w:rsidRDefault="00EC2591" w:rsidP="00C840AC">
      <w:pPr>
        <w:spacing w:before="120" w:after="120" w:line="240" w:lineRule="auto"/>
        <w:ind w:left="720" w:hanging="720"/>
        <w:jc w:val="both"/>
        <w:rPr>
          <w:rFonts w:ascii="Times New Roman" w:hAnsi="Times New Roman" w:cs="Times New Roman"/>
          <w:b/>
          <w:bCs/>
          <w:sz w:val="24"/>
          <w:szCs w:val="24"/>
        </w:rPr>
      </w:pPr>
    </w:p>
    <w:p w14:paraId="5982F8C6" w14:textId="060ACFEA" w:rsidR="00C30322" w:rsidRPr="00C30322" w:rsidRDefault="00C30322" w:rsidP="00C840AC">
      <w:pPr>
        <w:spacing w:before="120" w:after="120" w:line="240" w:lineRule="auto"/>
        <w:ind w:left="720" w:hanging="720"/>
        <w:jc w:val="both"/>
        <w:rPr>
          <w:rFonts w:ascii="Times New Roman" w:hAnsi="Times New Roman" w:cs="Times New Roman"/>
          <w:b/>
          <w:bCs/>
          <w:sz w:val="24"/>
          <w:szCs w:val="24"/>
        </w:rPr>
      </w:pPr>
      <w:r w:rsidRPr="00C30322">
        <w:rPr>
          <w:rFonts w:ascii="Times New Roman" w:hAnsi="Times New Roman" w:cs="Times New Roman"/>
          <w:b/>
          <w:bCs/>
          <w:sz w:val="24"/>
          <w:szCs w:val="24"/>
        </w:rPr>
        <w:t xml:space="preserve">References </w:t>
      </w:r>
    </w:p>
    <w:p w14:paraId="254B2250" w14:textId="61781FC0" w:rsidR="008A05A3" w:rsidRPr="008A05A3" w:rsidRDefault="008A05A3" w:rsidP="008A05A3">
      <w:pPr>
        <w:spacing w:before="120" w:after="120"/>
        <w:ind w:left="720" w:hanging="720"/>
        <w:jc w:val="both"/>
        <w:rPr>
          <w:rFonts w:ascii="Times New Roman" w:hAnsi="Times New Roman" w:cs="Times New Roman"/>
          <w:sz w:val="24"/>
          <w:szCs w:val="24"/>
        </w:rPr>
      </w:pPr>
      <w:r w:rsidRPr="008A05A3">
        <w:rPr>
          <w:rFonts w:ascii="Times New Roman" w:hAnsi="Times New Roman" w:cs="Times New Roman"/>
          <w:sz w:val="24"/>
          <w:szCs w:val="24"/>
        </w:rPr>
        <w:t xml:space="preserve">Brady, N. C., &amp; Weil, R. R. (2016). </w:t>
      </w:r>
      <w:r w:rsidRPr="008A05A3">
        <w:rPr>
          <w:rFonts w:ascii="Times New Roman" w:hAnsi="Times New Roman" w:cs="Times New Roman"/>
          <w:i/>
          <w:iCs/>
          <w:sz w:val="24"/>
          <w:szCs w:val="24"/>
        </w:rPr>
        <w:t>The Nature and Properties of Soils</w:t>
      </w:r>
      <w:r w:rsidRPr="008A05A3">
        <w:rPr>
          <w:rFonts w:ascii="Times New Roman" w:hAnsi="Times New Roman" w:cs="Times New Roman"/>
          <w:sz w:val="24"/>
          <w:szCs w:val="24"/>
        </w:rPr>
        <w:t xml:space="preserve"> (15th ed.). Pearson Education, New Delhi. </w:t>
      </w:r>
    </w:p>
    <w:p w14:paraId="4E701D92" w14:textId="16F51DB4" w:rsidR="008A05A3" w:rsidRPr="008A05A3" w:rsidRDefault="008A05A3" w:rsidP="008A05A3">
      <w:pPr>
        <w:spacing w:before="120" w:after="120"/>
        <w:ind w:left="720" w:hanging="720"/>
        <w:jc w:val="both"/>
        <w:rPr>
          <w:rFonts w:ascii="Times New Roman" w:hAnsi="Times New Roman" w:cs="Times New Roman"/>
          <w:sz w:val="24"/>
          <w:szCs w:val="24"/>
        </w:rPr>
      </w:pPr>
      <w:r w:rsidRPr="008A05A3">
        <w:rPr>
          <w:rFonts w:ascii="Times New Roman" w:hAnsi="Times New Roman" w:cs="Times New Roman"/>
          <w:sz w:val="24"/>
          <w:szCs w:val="24"/>
        </w:rPr>
        <w:t xml:space="preserve">Bray, R. H., &amp; Kurtz, L. T. (1945). Determination of total, organic and available forms of phosphorus in soils. </w:t>
      </w:r>
      <w:r w:rsidRPr="008A05A3">
        <w:rPr>
          <w:rFonts w:ascii="Times New Roman" w:hAnsi="Times New Roman" w:cs="Times New Roman"/>
          <w:i/>
          <w:iCs/>
          <w:sz w:val="24"/>
          <w:szCs w:val="24"/>
        </w:rPr>
        <w:t>Soil Science</w:t>
      </w:r>
      <w:r w:rsidRPr="008A05A3">
        <w:rPr>
          <w:rFonts w:ascii="Times New Roman" w:hAnsi="Times New Roman" w:cs="Times New Roman"/>
          <w:sz w:val="24"/>
          <w:szCs w:val="24"/>
        </w:rPr>
        <w:t>, 59: 39–45.</w:t>
      </w:r>
      <w:r w:rsidR="00124196" w:rsidRPr="00EC2591">
        <w:rPr>
          <w:rFonts w:ascii="Times New Roman" w:hAnsi="Times New Roman" w:cs="Times New Roman"/>
          <w:sz w:val="24"/>
          <w:szCs w:val="24"/>
        </w:rPr>
        <w:t xml:space="preserve"> </w:t>
      </w:r>
      <w:r w:rsidRPr="008A05A3">
        <w:rPr>
          <w:rFonts w:ascii="Times New Roman" w:hAnsi="Times New Roman" w:cs="Times New Roman"/>
          <w:sz w:val="24"/>
          <w:szCs w:val="24"/>
        </w:rPr>
        <w:t>https://doi.org/10.1097/00010694-194501000-00006</w:t>
      </w:r>
      <w:r w:rsidR="00124196" w:rsidRPr="00EC2591">
        <w:rPr>
          <w:rFonts w:ascii="Times New Roman" w:hAnsi="Times New Roman" w:cs="Times New Roman"/>
          <w:sz w:val="24"/>
          <w:szCs w:val="24"/>
        </w:rPr>
        <w:t>.</w:t>
      </w:r>
    </w:p>
    <w:p w14:paraId="3E2B40F5" w14:textId="64E66A50" w:rsidR="008A05A3" w:rsidRPr="008A05A3" w:rsidRDefault="008A05A3" w:rsidP="008A05A3">
      <w:pPr>
        <w:spacing w:before="120" w:after="120"/>
        <w:ind w:left="720" w:hanging="720"/>
        <w:jc w:val="both"/>
        <w:rPr>
          <w:rFonts w:ascii="Times New Roman" w:hAnsi="Times New Roman" w:cs="Times New Roman"/>
          <w:sz w:val="24"/>
          <w:szCs w:val="24"/>
        </w:rPr>
      </w:pPr>
      <w:proofErr w:type="spellStart"/>
      <w:r w:rsidRPr="008A05A3">
        <w:rPr>
          <w:rFonts w:ascii="Times New Roman" w:hAnsi="Times New Roman" w:cs="Times New Roman"/>
          <w:sz w:val="24"/>
          <w:szCs w:val="24"/>
        </w:rPr>
        <w:t>Cakmak</w:t>
      </w:r>
      <w:proofErr w:type="spellEnd"/>
      <w:r w:rsidRPr="008A05A3">
        <w:rPr>
          <w:rFonts w:ascii="Times New Roman" w:hAnsi="Times New Roman" w:cs="Times New Roman"/>
          <w:sz w:val="24"/>
          <w:szCs w:val="24"/>
        </w:rPr>
        <w:t xml:space="preserve">, I. (2008). Enrichment of cereal grains with zinc: Agronomic or genetic biofortification. </w:t>
      </w:r>
      <w:r w:rsidRPr="008A05A3">
        <w:rPr>
          <w:rFonts w:ascii="Times New Roman" w:hAnsi="Times New Roman" w:cs="Times New Roman"/>
          <w:i/>
          <w:iCs/>
          <w:sz w:val="24"/>
          <w:szCs w:val="24"/>
        </w:rPr>
        <w:t>Plant and Soil</w:t>
      </w:r>
      <w:r w:rsidRPr="008A05A3">
        <w:rPr>
          <w:rFonts w:ascii="Times New Roman" w:hAnsi="Times New Roman" w:cs="Times New Roman"/>
          <w:sz w:val="24"/>
          <w:szCs w:val="24"/>
        </w:rPr>
        <w:t>, 302: 1–17. https://doi.org/10.1007/s11104-007-9466-3</w:t>
      </w:r>
      <w:r w:rsidR="00124196" w:rsidRPr="00EC2591">
        <w:rPr>
          <w:rFonts w:ascii="Times New Roman" w:hAnsi="Times New Roman" w:cs="Times New Roman"/>
          <w:sz w:val="24"/>
          <w:szCs w:val="24"/>
        </w:rPr>
        <w:t>.</w:t>
      </w:r>
    </w:p>
    <w:p w14:paraId="1C67C575" w14:textId="76897B84" w:rsidR="008A05A3" w:rsidRPr="008A05A3" w:rsidRDefault="008A05A3" w:rsidP="008A05A3">
      <w:pPr>
        <w:spacing w:before="120" w:after="120"/>
        <w:ind w:left="720" w:hanging="720"/>
        <w:jc w:val="both"/>
        <w:rPr>
          <w:rFonts w:ascii="Times New Roman" w:hAnsi="Times New Roman" w:cs="Times New Roman"/>
          <w:sz w:val="24"/>
          <w:szCs w:val="24"/>
        </w:rPr>
      </w:pPr>
      <w:r w:rsidRPr="008A05A3">
        <w:rPr>
          <w:rFonts w:ascii="Times New Roman" w:hAnsi="Times New Roman" w:cs="Times New Roman"/>
          <w:sz w:val="24"/>
          <w:szCs w:val="24"/>
        </w:rPr>
        <w:t xml:space="preserve">Estefan, G., Sommer, R., &amp; Ryan, J. (2013). </w:t>
      </w:r>
      <w:r w:rsidRPr="008A05A3">
        <w:rPr>
          <w:rFonts w:ascii="Times New Roman" w:hAnsi="Times New Roman" w:cs="Times New Roman"/>
          <w:i/>
          <w:iCs/>
          <w:sz w:val="24"/>
          <w:szCs w:val="24"/>
        </w:rPr>
        <w:t>Methods of Soil, Plant and Water Analysis</w:t>
      </w:r>
      <w:r w:rsidRPr="008A05A3">
        <w:rPr>
          <w:rFonts w:ascii="Times New Roman" w:hAnsi="Times New Roman" w:cs="Times New Roman"/>
          <w:sz w:val="24"/>
          <w:szCs w:val="24"/>
        </w:rPr>
        <w:t xml:space="preserve">. ICARDA, Beirut. </w:t>
      </w:r>
    </w:p>
    <w:p w14:paraId="540ED3CC" w14:textId="026E2DCB" w:rsidR="008A05A3" w:rsidRPr="008A05A3" w:rsidRDefault="008A05A3" w:rsidP="008A05A3">
      <w:pPr>
        <w:spacing w:before="120" w:after="120"/>
        <w:ind w:left="720" w:hanging="720"/>
        <w:jc w:val="both"/>
        <w:rPr>
          <w:rFonts w:ascii="Times New Roman" w:hAnsi="Times New Roman" w:cs="Times New Roman"/>
          <w:sz w:val="24"/>
          <w:szCs w:val="24"/>
        </w:rPr>
      </w:pPr>
      <w:r w:rsidRPr="008A05A3">
        <w:rPr>
          <w:rFonts w:ascii="Times New Roman" w:hAnsi="Times New Roman" w:cs="Times New Roman"/>
          <w:sz w:val="24"/>
          <w:szCs w:val="24"/>
        </w:rPr>
        <w:t xml:space="preserve">Gaines, T. P., &amp; Mitchell, G. A. (1979). Boron determination in plant tissue using Azomethine-H method. </w:t>
      </w:r>
      <w:r w:rsidRPr="008A05A3">
        <w:rPr>
          <w:rFonts w:ascii="Times New Roman" w:hAnsi="Times New Roman" w:cs="Times New Roman"/>
          <w:i/>
          <w:iCs/>
          <w:sz w:val="24"/>
          <w:szCs w:val="24"/>
        </w:rPr>
        <w:t>Communications in Soil Science and Plant Analysis</w:t>
      </w:r>
      <w:r w:rsidRPr="008A05A3">
        <w:rPr>
          <w:rFonts w:ascii="Times New Roman" w:hAnsi="Times New Roman" w:cs="Times New Roman"/>
          <w:sz w:val="24"/>
          <w:szCs w:val="24"/>
        </w:rPr>
        <w:t>, 10: 1099–1108. https://doi.org/10.1080/00103627909366963</w:t>
      </w:r>
      <w:r w:rsidR="00124196" w:rsidRPr="00EC2591">
        <w:rPr>
          <w:rFonts w:ascii="Times New Roman" w:hAnsi="Times New Roman" w:cs="Times New Roman"/>
          <w:sz w:val="24"/>
          <w:szCs w:val="24"/>
        </w:rPr>
        <w:t>.</w:t>
      </w:r>
    </w:p>
    <w:p w14:paraId="57E01F16" w14:textId="3AEE452B" w:rsidR="008A05A3" w:rsidRPr="008A05A3" w:rsidRDefault="008A05A3" w:rsidP="008A05A3">
      <w:pPr>
        <w:spacing w:before="120" w:after="120"/>
        <w:ind w:left="720" w:hanging="720"/>
        <w:jc w:val="both"/>
        <w:rPr>
          <w:rFonts w:ascii="Times New Roman" w:hAnsi="Times New Roman" w:cs="Times New Roman"/>
          <w:sz w:val="24"/>
          <w:szCs w:val="24"/>
        </w:rPr>
      </w:pPr>
      <w:proofErr w:type="spellStart"/>
      <w:r w:rsidRPr="008A05A3">
        <w:rPr>
          <w:rFonts w:ascii="Times New Roman" w:hAnsi="Times New Roman" w:cs="Times New Roman"/>
          <w:sz w:val="24"/>
          <w:szCs w:val="24"/>
        </w:rPr>
        <w:t>Havlin</w:t>
      </w:r>
      <w:proofErr w:type="spellEnd"/>
      <w:r w:rsidRPr="008A05A3">
        <w:rPr>
          <w:rFonts w:ascii="Times New Roman" w:hAnsi="Times New Roman" w:cs="Times New Roman"/>
          <w:sz w:val="24"/>
          <w:szCs w:val="24"/>
        </w:rPr>
        <w:t xml:space="preserve">, J. L., Beaton, J. D., Tisdale, S. L., &amp; Nelson, W. L. (2014). </w:t>
      </w:r>
      <w:r w:rsidRPr="008A05A3">
        <w:rPr>
          <w:rFonts w:ascii="Times New Roman" w:hAnsi="Times New Roman" w:cs="Times New Roman"/>
          <w:i/>
          <w:iCs/>
          <w:sz w:val="24"/>
          <w:szCs w:val="24"/>
        </w:rPr>
        <w:t>Soil Fertility and Fertilizers</w:t>
      </w:r>
      <w:r w:rsidRPr="008A05A3">
        <w:rPr>
          <w:rFonts w:ascii="Times New Roman" w:hAnsi="Times New Roman" w:cs="Times New Roman"/>
          <w:sz w:val="24"/>
          <w:szCs w:val="24"/>
        </w:rPr>
        <w:t xml:space="preserve"> (8th ed.). Pearson Education. </w:t>
      </w:r>
    </w:p>
    <w:p w14:paraId="4C1570FF" w14:textId="61E04C20" w:rsidR="008A05A3" w:rsidRPr="008A05A3" w:rsidRDefault="008A05A3" w:rsidP="008A05A3">
      <w:pPr>
        <w:spacing w:before="120" w:after="120"/>
        <w:ind w:left="720" w:hanging="720"/>
        <w:jc w:val="both"/>
        <w:rPr>
          <w:rFonts w:ascii="Times New Roman" w:hAnsi="Times New Roman" w:cs="Times New Roman"/>
          <w:sz w:val="24"/>
          <w:szCs w:val="24"/>
        </w:rPr>
      </w:pPr>
      <w:proofErr w:type="spellStart"/>
      <w:r w:rsidRPr="008A05A3">
        <w:rPr>
          <w:rFonts w:ascii="Times New Roman" w:hAnsi="Times New Roman" w:cs="Times New Roman"/>
          <w:sz w:val="24"/>
          <w:szCs w:val="24"/>
        </w:rPr>
        <w:t>Helrich</w:t>
      </w:r>
      <w:proofErr w:type="spellEnd"/>
      <w:r w:rsidRPr="008A05A3">
        <w:rPr>
          <w:rFonts w:ascii="Times New Roman" w:hAnsi="Times New Roman" w:cs="Times New Roman"/>
          <w:sz w:val="24"/>
          <w:szCs w:val="24"/>
        </w:rPr>
        <w:t xml:space="preserve">, K. (1990). </w:t>
      </w:r>
      <w:r w:rsidRPr="008A05A3">
        <w:rPr>
          <w:rFonts w:ascii="Times New Roman" w:hAnsi="Times New Roman" w:cs="Times New Roman"/>
          <w:i/>
          <w:iCs/>
          <w:sz w:val="24"/>
          <w:szCs w:val="24"/>
        </w:rPr>
        <w:t>Official Methods of Analysis (AOAC)</w:t>
      </w:r>
      <w:r w:rsidRPr="008A05A3">
        <w:rPr>
          <w:rFonts w:ascii="Times New Roman" w:hAnsi="Times New Roman" w:cs="Times New Roman"/>
          <w:sz w:val="24"/>
          <w:szCs w:val="24"/>
        </w:rPr>
        <w:t xml:space="preserve"> (15th ed.). AOAC, USA. </w:t>
      </w:r>
    </w:p>
    <w:p w14:paraId="6D9CD6F4" w14:textId="74D548BB" w:rsidR="008A05A3" w:rsidRPr="008A05A3" w:rsidRDefault="008A05A3" w:rsidP="008A05A3">
      <w:pPr>
        <w:spacing w:before="120" w:after="120"/>
        <w:ind w:left="720" w:hanging="720"/>
        <w:jc w:val="both"/>
        <w:rPr>
          <w:rFonts w:ascii="Times New Roman" w:hAnsi="Times New Roman" w:cs="Times New Roman"/>
          <w:sz w:val="24"/>
          <w:szCs w:val="24"/>
        </w:rPr>
      </w:pPr>
      <w:r w:rsidRPr="008A05A3">
        <w:rPr>
          <w:rFonts w:ascii="Times New Roman" w:hAnsi="Times New Roman" w:cs="Times New Roman"/>
          <w:sz w:val="24"/>
          <w:szCs w:val="24"/>
        </w:rPr>
        <w:t xml:space="preserve">Jackson, M. L. (1973). </w:t>
      </w:r>
      <w:r w:rsidRPr="008A05A3">
        <w:rPr>
          <w:rFonts w:ascii="Times New Roman" w:hAnsi="Times New Roman" w:cs="Times New Roman"/>
          <w:i/>
          <w:iCs/>
          <w:sz w:val="24"/>
          <w:szCs w:val="24"/>
        </w:rPr>
        <w:t>Soil Chemical Analysis</w:t>
      </w:r>
      <w:r w:rsidRPr="008A05A3">
        <w:rPr>
          <w:rFonts w:ascii="Times New Roman" w:hAnsi="Times New Roman" w:cs="Times New Roman"/>
          <w:sz w:val="24"/>
          <w:szCs w:val="24"/>
        </w:rPr>
        <w:t xml:space="preserve">. Prentice Hall of India. </w:t>
      </w:r>
    </w:p>
    <w:p w14:paraId="34EF3332" w14:textId="027EBE78" w:rsidR="008A05A3" w:rsidRPr="008A05A3" w:rsidRDefault="008A05A3" w:rsidP="008A05A3">
      <w:pPr>
        <w:spacing w:before="120" w:after="120"/>
        <w:ind w:left="720" w:hanging="720"/>
        <w:jc w:val="both"/>
        <w:rPr>
          <w:rFonts w:ascii="Times New Roman" w:hAnsi="Times New Roman" w:cs="Times New Roman"/>
          <w:sz w:val="24"/>
          <w:szCs w:val="24"/>
        </w:rPr>
      </w:pPr>
      <w:proofErr w:type="spellStart"/>
      <w:r w:rsidRPr="008A05A3">
        <w:rPr>
          <w:rFonts w:ascii="Times New Roman" w:hAnsi="Times New Roman" w:cs="Times New Roman"/>
          <w:sz w:val="24"/>
          <w:szCs w:val="24"/>
        </w:rPr>
        <w:lastRenderedPageBreak/>
        <w:t>Kamalakar</w:t>
      </w:r>
      <w:proofErr w:type="spellEnd"/>
      <w:r w:rsidRPr="008A05A3">
        <w:rPr>
          <w:rFonts w:ascii="Times New Roman" w:hAnsi="Times New Roman" w:cs="Times New Roman"/>
          <w:sz w:val="24"/>
          <w:szCs w:val="24"/>
        </w:rPr>
        <w:t xml:space="preserve">, J., Reddy, T. P., Pavan Chandra Reddy, K., Lakshmi, D. V., </w:t>
      </w:r>
      <w:proofErr w:type="spellStart"/>
      <w:r w:rsidRPr="008A05A3">
        <w:rPr>
          <w:rFonts w:ascii="Times New Roman" w:hAnsi="Times New Roman" w:cs="Times New Roman"/>
          <w:sz w:val="24"/>
          <w:szCs w:val="24"/>
        </w:rPr>
        <w:t>Sahana</w:t>
      </w:r>
      <w:proofErr w:type="spellEnd"/>
      <w:r w:rsidRPr="008A05A3">
        <w:rPr>
          <w:rFonts w:ascii="Times New Roman" w:hAnsi="Times New Roman" w:cs="Times New Roman"/>
          <w:sz w:val="24"/>
          <w:szCs w:val="24"/>
        </w:rPr>
        <w:t xml:space="preserve">, F., &amp; Ravinder, J. (2020). Nutrient status of sugarcane growing soils. </w:t>
      </w:r>
      <w:r w:rsidRPr="008A05A3">
        <w:rPr>
          <w:rFonts w:ascii="Times New Roman" w:hAnsi="Times New Roman" w:cs="Times New Roman"/>
          <w:i/>
          <w:iCs/>
          <w:sz w:val="24"/>
          <w:szCs w:val="24"/>
        </w:rPr>
        <w:t>International Research Journal of Pure and Applied Chemistry</w:t>
      </w:r>
      <w:r w:rsidRPr="008A05A3">
        <w:rPr>
          <w:rFonts w:ascii="Times New Roman" w:hAnsi="Times New Roman" w:cs="Times New Roman"/>
          <w:sz w:val="24"/>
          <w:szCs w:val="24"/>
        </w:rPr>
        <w:t>, 21(23): 1–9. https://doi.org/10.9734/irjpac/2020/v21i2330308</w:t>
      </w:r>
      <w:r w:rsidR="00124196" w:rsidRPr="00EC2591">
        <w:rPr>
          <w:rFonts w:ascii="Times New Roman" w:hAnsi="Times New Roman" w:cs="Times New Roman"/>
          <w:sz w:val="24"/>
          <w:szCs w:val="24"/>
        </w:rPr>
        <w:t>.</w:t>
      </w:r>
    </w:p>
    <w:p w14:paraId="578BD603" w14:textId="04BED5FC" w:rsidR="008A05A3" w:rsidRPr="008A05A3" w:rsidRDefault="008A05A3" w:rsidP="008A05A3">
      <w:pPr>
        <w:spacing w:before="120" w:after="120"/>
        <w:ind w:left="720" w:hanging="720"/>
        <w:jc w:val="both"/>
        <w:rPr>
          <w:rFonts w:ascii="Times New Roman" w:hAnsi="Times New Roman" w:cs="Times New Roman"/>
          <w:sz w:val="24"/>
          <w:szCs w:val="24"/>
        </w:rPr>
      </w:pPr>
      <w:r w:rsidRPr="008A05A3">
        <w:rPr>
          <w:rFonts w:ascii="Times New Roman" w:hAnsi="Times New Roman" w:cs="Times New Roman"/>
          <w:sz w:val="24"/>
          <w:szCs w:val="24"/>
        </w:rPr>
        <w:t xml:space="preserve">Keeping, M. G., </w:t>
      </w:r>
      <w:proofErr w:type="spellStart"/>
      <w:r w:rsidRPr="008A05A3">
        <w:rPr>
          <w:rFonts w:ascii="Times New Roman" w:hAnsi="Times New Roman" w:cs="Times New Roman"/>
          <w:sz w:val="24"/>
          <w:szCs w:val="24"/>
        </w:rPr>
        <w:t>Kvedaras</w:t>
      </w:r>
      <w:proofErr w:type="spellEnd"/>
      <w:r w:rsidRPr="008A05A3">
        <w:rPr>
          <w:rFonts w:ascii="Times New Roman" w:hAnsi="Times New Roman" w:cs="Times New Roman"/>
          <w:sz w:val="24"/>
          <w:szCs w:val="24"/>
        </w:rPr>
        <w:t xml:space="preserve">, O. L., &amp; Bruton, A. G. (2014). Nutrient status in sugarcane. </w:t>
      </w:r>
      <w:r w:rsidRPr="008A05A3">
        <w:rPr>
          <w:rFonts w:ascii="Times New Roman" w:hAnsi="Times New Roman" w:cs="Times New Roman"/>
          <w:i/>
          <w:iCs/>
          <w:sz w:val="24"/>
          <w:szCs w:val="24"/>
        </w:rPr>
        <w:t>Crop Science</w:t>
      </w:r>
      <w:r w:rsidRPr="008A05A3">
        <w:rPr>
          <w:rFonts w:ascii="Times New Roman" w:hAnsi="Times New Roman" w:cs="Times New Roman"/>
          <w:sz w:val="24"/>
          <w:szCs w:val="24"/>
        </w:rPr>
        <w:t>, 54: 190–198.</w:t>
      </w:r>
      <w:r w:rsidR="00124196" w:rsidRPr="00EC2591">
        <w:rPr>
          <w:rFonts w:ascii="Times New Roman" w:hAnsi="Times New Roman" w:cs="Times New Roman"/>
          <w:sz w:val="24"/>
          <w:szCs w:val="24"/>
        </w:rPr>
        <w:t xml:space="preserve"> </w:t>
      </w:r>
      <w:r w:rsidRPr="008A05A3">
        <w:rPr>
          <w:rFonts w:ascii="Times New Roman" w:hAnsi="Times New Roman" w:cs="Times New Roman"/>
          <w:sz w:val="24"/>
          <w:szCs w:val="24"/>
        </w:rPr>
        <w:t>https://doi.org/10.2135/cropsci2013.04.0247</w:t>
      </w:r>
      <w:r w:rsidR="00124196" w:rsidRPr="00EC2591">
        <w:rPr>
          <w:rFonts w:ascii="Times New Roman" w:hAnsi="Times New Roman" w:cs="Times New Roman"/>
          <w:sz w:val="24"/>
          <w:szCs w:val="24"/>
        </w:rPr>
        <w:t>.</w:t>
      </w:r>
    </w:p>
    <w:p w14:paraId="2A9E0A8E" w14:textId="0D6120ED" w:rsidR="008A05A3" w:rsidRPr="008A05A3" w:rsidRDefault="008A05A3" w:rsidP="008A05A3">
      <w:pPr>
        <w:spacing w:before="120" w:after="120"/>
        <w:ind w:left="720" w:hanging="720"/>
        <w:jc w:val="both"/>
        <w:rPr>
          <w:rFonts w:ascii="Times New Roman" w:hAnsi="Times New Roman" w:cs="Times New Roman"/>
          <w:sz w:val="24"/>
          <w:szCs w:val="24"/>
        </w:rPr>
      </w:pPr>
      <w:r w:rsidRPr="008A05A3">
        <w:rPr>
          <w:rFonts w:ascii="Times New Roman" w:hAnsi="Times New Roman" w:cs="Times New Roman"/>
          <w:sz w:val="24"/>
          <w:szCs w:val="24"/>
        </w:rPr>
        <w:t xml:space="preserve">Lindsay, W. L., &amp; Norvell, W. A. (1978). DTPA soil test for micronutrients. </w:t>
      </w:r>
      <w:r w:rsidRPr="008A05A3">
        <w:rPr>
          <w:rFonts w:ascii="Times New Roman" w:hAnsi="Times New Roman" w:cs="Times New Roman"/>
          <w:i/>
          <w:iCs/>
          <w:sz w:val="24"/>
          <w:szCs w:val="24"/>
        </w:rPr>
        <w:t>SSSA Journal</w:t>
      </w:r>
      <w:r w:rsidRPr="008A05A3">
        <w:rPr>
          <w:rFonts w:ascii="Times New Roman" w:hAnsi="Times New Roman" w:cs="Times New Roman"/>
          <w:sz w:val="24"/>
          <w:szCs w:val="24"/>
        </w:rPr>
        <w:t xml:space="preserve">, 42: 421–428. </w:t>
      </w:r>
      <w:hyperlink r:id="rId7" w:tgtFrame="_new" w:history="1">
        <w:r w:rsidRPr="008A05A3">
          <w:rPr>
            <w:rStyle w:val="Hyperlink"/>
            <w:rFonts w:ascii="Times New Roman" w:hAnsi="Times New Roman" w:cs="Times New Roman"/>
            <w:color w:val="auto"/>
            <w:sz w:val="24"/>
            <w:szCs w:val="24"/>
            <w:u w:val="none"/>
          </w:rPr>
          <w:t>https://doi.org/10.2136/sssaj1978.03615995004200030009x</w:t>
        </w:r>
      </w:hyperlink>
      <w:r w:rsidR="00124196" w:rsidRPr="00EC2591">
        <w:rPr>
          <w:rFonts w:ascii="Times New Roman" w:hAnsi="Times New Roman" w:cs="Times New Roman"/>
          <w:sz w:val="24"/>
          <w:szCs w:val="24"/>
        </w:rPr>
        <w:t>.</w:t>
      </w:r>
    </w:p>
    <w:p w14:paraId="0C07BEC8" w14:textId="3440B429" w:rsidR="008A05A3" w:rsidRPr="008A05A3" w:rsidRDefault="008A05A3" w:rsidP="008A05A3">
      <w:pPr>
        <w:spacing w:before="120" w:after="120"/>
        <w:ind w:left="720" w:hanging="720"/>
        <w:jc w:val="both"/>
        <w:rPr>
          <w:rFonts w:ascii="Times New Roman" w:hAnsi="Times New Roman" w:cs="Times New Roman"/>
          <w:sz w:val="24"/>
          <w:szCs w:val="24"/>
        </w:rPr>
      </w:pPr>
      <w:proofErr w:type="spellStart"/>
      <w:r w:rsidRPr="008A05A3">
        <w:rPr>
          <w:rFonts w:ascii="Times New Roman" w:hAnsi="Times New Roman" w:cs="Times New Roman"/>
          <w:sz w:val="24"/>
          <w:szCs w:val="24"/>
        </w:rPr>
        <w:t>Mackowiak</w:t>
      </w:r>
      <w:proofErr w:type="spellEnd"/>
      <w:r w:rsidRPr="008A05A3">
        <w:rPr>
          <w:rFonts w:ascii="Times New Roman" w:hAnsi="Times New Roman" w:cs="Times New Roman"/>
          <w:sz w:val="24"/>
          <w:szCs w:val="24"/>
        </w:rPr>
        <w:t xml:space="preserve">, C. L., </w:t>
      </w:r>
      <w:proofErr w:type="spellStart"/>
      <w:r w:rsidRPr="008A05A3">
        <w:rPr>
          <w:rFonts w:ascii="Times New Roman" w:hAnsi="Times New Roman" w:cs="Times New Roman"/>
          <w:sz w:val="24"/>
          <w:szCs w:val="24"/>
        </w:rPr>
        <w:t>Grossl</w:t>
      </w:r>
      <w:proofErr w:type="spellEnd"/>
      <w:r w:rsidRPr="008A05A3">
        <w:rPr>
          <w:rFonts w:ascii="Times New Roman" w:hAnsi="Times New Roman" w:cs="Times New Roman"/>
          <w:sz w:val="24"/>
          <w:szCs w:val="24"/>
        </w:rPr>
        <w:t xml:space="preserve">, P. R., &amp; Bugbee, B. (2013). Nutrient analysis of plant tissues. </w:t>
      </w:r>
      <w:r w:rsidRPr="008A05A3">
        <w:rPr>
          <w:rFonts w:ascii="Times New Roman" w:hAnsi="Times New Roman" w:cs="Times New Roman"/>
          <w:i/>
          <w:iCs/>
          <w:sz w:val="24"/>
          <w:szCs w:val="24"/>
        </w:rPr>
        <w:t>Communications in Soil Science</w:t>
      </w:r>
      <w:r w:rsidRPr="008A05A3">
        <w:rPr>
          <w:rFonts w:ascii="Times New Roman" w:hAnsi="Times New Roman" w:cs="Times New Roman"/>
          <w:sz w:val="24"/>
          <w:szCs w:val="24"/>
        </w:rPr>
        <w:t>, 44: 323–335. https://doi.org/10.1080/00103624.2013.742280</w:t>
      </w:r>
      <w:r w:rsidR="00124196" w:rsidRPr="00EC2591">
        <w:rPr>
          <w:rFonts w:ascii="Times New Roman" w:hAnsi="Times New Roman" w:cs="Times New Roman"/>
          <w:sz w:val="24"/>
          <w:szCs w:val="24"/>
        </w:rPr>
        <w:t>.</w:t>
      </w:r>
    </w:p>
    <w:p w14:paraId="202EC64A" w14:textId="5DC2781A" w:rsidR="008A05A3" w:rsidRPr="008A05A3" w:rsidRDefault="008A05A3" w:rsidP="008A05A3">
      <w:pPr>
        <w:spacing w:before="120" w:after="120"/>
        <w:ind w:left="720" w:hanging="720"/>
        <w:jc w:val="both"/>
        <w:rPr>
          <w:rFonts w:ascii="Times New Roman" w:hAnsi="Times New Roman" w:cs="Times New Roman"/>
          <w:sz w:val="24"/>
          <w:szCs w:val="24"/>
        </w:rPr>
      </w:pPr>
      <w:proofErr w:type="spellStart"/>
      <w:r w:rsidRPr="008A05A3">
        <w:rPr>
          <w:rFonts w:ascii="Times New Roman" w:hAnsi="Times New Roman" w:cs="Times New Roman"/>
          <w:sz w:val="24"/>
          <w:szCs w:val="24"/>
        </w:rPr>
        <w:t>Marschner</w:t>
      </w:r>
      <w:proofErr w:type="spellEnd"/>
      <w:r w:rsidRPr="008A05A3">
        <w:rPr>
          <w:rFonts w:ascii="Times New Roman" w:hAnsi="Times New Roman" w:cs="Times New Roman"/>
          <w:sz w:val="24"/>
          <w:szCs w:val="24"/>
        </w:rPr>
        <w:t xml:space="preserve">, P. (2012). </w:t>
      </w:r>
      <w:r w:rsidRPr="008A05A3">
        <w:rPr>
          <w:rFonts w:ascii="Times New Roman" w:hAnsi="Times New Roman" w:cs="Times New Roman"/>
          <w:i/>
          <w:iCs/>
          <w:sz w:val="24"/>
          <w:szCs w:val="24"/>
        </w:rPr>
        <w:t>Mineral Nutrition of Higher Plants</w:t>
      </w:r>
      <w:r w:rsidRPr="008A05A3">
        <w:rPr>
          <w:rFonts w:ascii="Times New Roman" w:hAnsi="Times New Roman" w:cs="Times New Roman"/>
          <w:sz w:val="24"/>
          <w:szCs w:val="24"/>
        </w:rPr>
        <w:t xml:space="preserve"> (3rd ed.). Academic Press. https://doi.org/10.1016/C2009-0-63043-9</w:t>
      </w:r>
      <w:r w:rsidR="00124196" w:rsidRPr="00EC2591">
        <w:rPr>
          <w:rFonts w:ascii="Times New Roman" w:hAnsi="Times New Roman" w:cs="Times New Roman"/>
          <w:sz w:val="24"/>
          <w:szCs w:val="24"/>
        </w:rPr>
        <w:t>.</w:t>
      </w:r>
    </w:p>
    <w:p w14:paraId="3D79D13C" w14:textId="0886776F" w:rsidR="008A05A3" w:rsidRPr="008A05A3" w:rsidRDefault="008A05A3" w:rsidP="008A05A3">
      <w:pPr>
        <w:spacing w:before="120" w:after="120"/>
        <w:ind w:left="720" w:hanging="720"/>
        <w:jc w:val="both"/>
        <w:rPr>
          <w:rFonts w:ascii="Times New Roman" w:hAnsi="Times New Roman" w:cs="Times New Roman"/>
          <w:sz w:val="24"/>
          <w:szCs w:val="24"/>
        </w:rPr>
      </w:pPr>
      <w:r w:rsidRPr="008A05A3">
        <w:rPr>
          <w:rFonts w:ascii="Times New Roman" w:hAnsi="Times New Roman" w:cs="Times New Roman"/>
          <w:sz w:val="24"/>
          <w:szCs w:val="24"/>
        </w:rPr>
        <w:t xml:space="preserve">McCray, J. M., &amp; Rao, M. (2010). Nutrient management guidelines for sugarcane. IFAS Extension. </w:t>
      </w:r>
    </w:p>
    <w:p w14:paraId="055CC829" w14:textId="590B5F03" w:rsidR="008A05A3" w:rsidRPr="008A05A3" w:rsidRDefault="008A05A3" w:rsidP="008A05A3">
      <w:pPr>
        <w:spacing w:before="120" w:after="120"/>
        <w:ind w:left="720" w:hanging="720"/>
        <w:jc w:val="both"/>
        <w:rPr>
          <w:rFonts w:ascii="Times New Roman" w:hAnsi="Times New Roman" w:cs="Times New Roman"/>
          <w:sz w:val="24"/>
          <w:szCs w:val="24"/>
        </w:rPr>
      </w:pPr>
      <w:proofErr w:type="spellStart"/>
      <w:r w:rsidRPr="008A05A3">
        <w:rPr>
          <w:rFonts w:ascii="Times New Roman" w:hAnsi="Times New Roman" w:cs="Times New Roman"/>
          <w:sz w:val="24"/>
          <w:szCs w:val="24"/>
        </w:rPr>
        <w:t>Memon</w:t>
      </w:r>
      <w:proofErr w:type="spellEnd"/>
      <w:r w:rsidRPr="008A05A3">
        <w:rPr>
          <w:rFonts w:ascii="Times New Roman" w:hAnsi="Times New Roman" w:cs="Times New Roman"/>
          <w:sz w:val="24"/>
          <w:szCs w:val="24"/>
        </w:rPr>
        <w:t xml:space="preserve">, M., et al. (2005). Integrated use of soil and plant analysis. </w:t>
      </w:r>
      <w:r w:rsidRPr="008A05A3">
        <w:rPr>
          <w:rFonts w:ascii="Times New Roman" w:hAnsi="Times New Roman" w:cs="Times New Roman"/>
          <w:i/>
          <w:iCs/>
          <w:sz w:val="24"/>
          <w:szCs w:val="24"/>
        </w:rPr>
        <w:t>Journal of Applied Sciences</w:t>
      </w:r>
      <w:r w:rsidRPr="008A05A3">
        <w:rPr>
          <w:rFonts w:ascii="Times New Roman" w:hAnsi="Times New Roman" w:cs="Times New Roman"/>
          <w:sz w:val="24"/>
          <w:szCs w:val="24"/>
        </w:rPr>
        <w:t>, 5: 181–184. https://doi.org/10.3923/jas.2005.181.184</w:t>
      </w:r>
      <w:r w:rsidR="00124196" w:rsidRPr="00EC2591">
        <w:rPr>
          <w:rFonts w:ascii="Times New Roman" w:hAnsi="Times New Roman" w:cs="Times New Roman"/>
          <w:sz w:val="24"/>
          <w:szCs w:val="24"/>
        </w:rPr>
        <w:t>.</w:t>
      </w:r>
    </w:p>
    <w:p w14:paraId="53778CCF" w14:textId="2448D999" w:rsidR="008A05A3" w:rsidRPr="008A05A3" w:rsidRDefault="008A05A3" w:rsidP="008A05A3">
      <w:pPr>
        <w:spacing w:before="120" w:after="120"/>
        <w:ind w:left="720" w:hanging="720"/>
        <w:jc w:val="both"/>
        <w:rPr>
          <w:rFonts w:ascii="Times New Roman" w:hAnsi="Times New Roman" w:cs="Times New Roman"/>
          <w:sz w:val="24"/>
          <w:szCs w:val="24"/>
        </w:rPr>
      </w:pPr>
      <w:r w:rsidRPr="008A05A3">
        <w:rPr>
          <w:rFonts w:ascii="Times New Roman" w:hAnsi="Times New Roman" w:cs="Times New Roman"/>
          <w:sz w:val="24"/>
          <w:szCs w:val="24"/>
        </w:rPr>
        <w:t xml:space="preserve">Ministry of Agriculture &amp; Farmers Welfare (2025). </w:t>
      </w:r>
      <w:r w:rsidRPr="008A05A3">
        <w:rPr>
          <w:rFonts w:ascii="Times New Roman" w:hAnsi="Times New Roman" w:cs="Times New Roman"/>
          <w:i/>
          <w:iCs/>
          <w:sz w:val="24"/>
          <w:szCs w:val="24"/>
        </w:rPr>
        <w:t>Agricultural Statistics at a Glance</w:t>
      </w:r>
      <w:r w:rsidRPr="008A05A3">
        <w:rPr>
          <w:rFonts w:ascii="Times New Roman" w:hAnsi="Times New Roman" w:cs="Times New Roman"/>
          <w:sz w:val="24"/>
          <w:szCs w:val="24"/>
        </w:rPr>
        <w:t xml:space="preserve">. Govt. of India. </w:t>
      </w:r>
    </w:p>
    <w:p w14:paraId="2C61B8B8" w14:textId="19D07E74" w:rsidR="008A05A3" w:rsidRPr="008A05A3" w:rsidRDefault="008A05A3" w:rsidP="008A05A3">
      <w:pPr>
        <w:spacing w:before="120" w:after="120"/>
        <w:ind w:left="720" w:hanging="720"/>
        <w:jc w:val="both"/>
        <w:rPr>
          <w:rFonts w:ascii="Times New Roman" w:hAnsi="Times New Roman" w:cs="Times New Roman"/>
          <w:sz w:val="24"/>
          <w:szCs w:val="24"/>
        </w:rPr>
      </w:pPr>
      <w:r w:rsidRPr="008A05A3">
        <w:rPr>
          <w:rFonts w:ascii="Times New Roman" w:hAnsi="Times New Roman" w:cs="Times New Roman"/>
          <w:sz w:val="24"/>
          <w:szCs w:val="24"/>
        </w:rPr>
        <w:t xml:space="preserve">Olsen, S. R., et al. (1954). Estimation of available phosphorus. USDA Circular 939. </w:t>
      </w:r>
    </w:p>
    <w:p w14:paraId="3BF82450" w14:textId="6E8FE0A2" w:rsidR="008A05A3" w:rsidRPr="008A05A3" w:rsidRDefault="008A05A3" w:rsidP="008A05A3">
      <w:pPr>
        <w:spacing w:before="120" w:after="120"/>
        <w:ind w:left="720" w:hanging="720"/>
        <w:jc w:val="both"/>
        <w:rPr>
          <w:rFonts w:ascii="Times New Roman" w:hAnsi="Times New Roman" w:cs="Times New Roman"/>
          <w:sz w:val="24"/>
          <w:szCs w:val="24"/>
        </w:rPr>
      </w:pPr>
      <w:r w:rsidRPr="008A05A3">
        <w:rPr>
          <w:rFonts w:ascii="Times New Roman" w:hAnsi="Times New Roman" w:cs="Times New Roman"/>
          <w:sz w:val="24"/>
          <w:szCs w:val="24"/>
        </w:rPr>
        <w:t xml:space="preserve">Reddy, T. P., et al. (2018). Water productivity and yield of sugarcane. </w:t>
      </w:r>
      <w:r w:rsidRPr="008A05A3">
        <w:rPr>
          <w:rFonts w:ascii="Times New Roman" w:hAnsi="Times New Roman" w:cs="Times New Roman"/>
          <w:i/>
          <w:iCs/>
          <w:sz w:val="24"/>
          <w:szCs w:val="24"/>
        </w:rPr>
        <w:t>International Journal of Pure &amp; Applied Bioscience</w:t>
      </w:r>
      <w:r w:rsidRPr="008A05A3">
        <w:rPr>
          <w:rFonts w:ascii="Times New Roman" w:hAnsi="Times New Roman" w:cs="Times New Roman"/>
          <w:sz w:val="24"/>
          <w:szCs w:val="24"/>
        </w:rPr>
        <w:t xml:space="preserve">, 6(6): 1360–1365. </w:t>
      </w:r>
    </w:p>
    <w:p w14:paraId="3995F71E" w14:textId="20A9A568" w:rsidR="008A05A3" w:rsidRPr="008A05A3" w:rsidRDefault="008A05A3" w:rsidP="008A05A3">
      <w:pPr>
        <w:spacing w:before="120" w:after="120"/>
        <w:ind w:left="720" w:hanging="720"/>
        <w:jc w:val="both"/>
        <w:rPr>
          <w:rFonts w:ascii="Times New Roman" w:hAnsi="Times New Roman" w:cs="Times New Roman"/>
          <w:sz w:val="24"/>
          <w:szCs w:val="24"/>
        </w:rPr>
      </w:pPr>
      <w:r w:rsidRPr="008A05A3">
        <w:rPr>
          <w:rFonts w:ascii="Times New Roman" w:hAnsi="Times New Roman" w:cs="Times New Roman"/>
          <w:sz w:val="24"/>
          <w:szCs w:val="24"/>
        </w:rPr>
        <w:t xml:space="preserve">Reddy, T. P., et al. (2026). Sustainable sugarcane production. </w:t>
      </w:r>
      <w:r w:rsidRPr="008A05A3">
        <w:rPr>
          <w:rFonts w:ascii="Times New Roman" w:hAnsi="Times New Roman" w:cs="Times New Roman"/>
          <w:i/>
          <w:iCs/>
          <w:sz w:val="24"/>
          <w:szCs w:val="24"/>
        </w:rPr>
        <w:t>International Journal of Advanced Biochemistry Research</w:t>
      </w:r>
      <w:r w:rsidRPr="008A05A3">
        <w:rPr>
          <w:rFonts w:ascii="Times New Roman" w:hAnsi="Times New Roman" w:cs="Times New Roman"/>
          <w:sz w:val="24"/>
          <w:szCs w:val="24"/>
        </w:rPr>
        <w:t xml:space="preserve">, SP-10(3): 667–669. </w:t>
      </w:r>
    </w:p>
    <w:p w14:paraId="4935FC82" w14:textId="273B58AE" w:rsidR="008A05A3" w:rsidRPr="008A05A3" w:rsidRDefault="008A05A3" w:rsidP="008A05A3">
      <w:pPr>
        <w:spacing w:before="120" w:after="120"/>
        <w:ind w:left="720" w:hanging="720"/>
        <w:jc w:val="both"/>
        <w:rPr>
          <w:rFonts w:ascii="Times New Roman" w:hAnsi="Times New Roman" w:cs="Times New Roman"/>
          <w:sz w:val="24"/>
          <w:szCs w:val="24"/>
        </w:rPr>
      </w:pPr>
      <w:r w:rsidRPr="008A05A3">
        <w:rPr>
          <w:rFonts w:ascii="Times New Roman" w:hAnsi="Times New Roman" w:cs="Times New Roman"/>
          <w:sz w:val="24"/>
          <w:szCs w:val="24"/>
        </w:rPr>
        <w:t xml:space="preserve">Reddy, T. P., et al. (2022). Validation of fertilizer prescription equations. </w:t>
      </w:r>
      <w:r w:rsidRPr="008A05A3">
        <w:rPr>
          <w:rFonts w:ascii="Times New Roman" w:hAnsi="Times New Roman" w:cs="Times New Roman"/>
          <w:i/>
          <w:iCs/>
          <w:sz w:val="24"/>
          <w:szCs w:val="24"/>
        </w:rPr>
        <w:t>Biological Forum</w:t>
      </w:r>
      <w:r w:rsidRPr="008A05A3">
        <w:rPr>
          <w:rFonts w:ascii="Times New Roman" w:hAnsi="Times New Roman" w:cs="Times New Roman"/>
          <w:sz w:val="24"/>
          <w:szCs w:val="24"/>
        </w:rPr>
        <w:t xml:space="preserve">, 14(4a): 385–389. </w:t>
      </w:r>
    </w:p>
    <w:p w14:paraId="3724F36D" w14:textId="37462137" w:rsidR="008A05A3" w:rsidRPr="008A05A3" w:rsidRDefault="008A05A3" w:rsidP="008A05A3">
      <w:pPr>
        <w:spacing w:before="120" w:after="120"/>
        <w:ind w:left="720" w:hanging="720"/>
        <w:jc w:val="both"/>
        <w:rPr>
          <w:rFonts w:ascii="Times New Roman" w:hAnsi="Times New Roman" w:cs="Times New Roman"/>
          <w:sz w:val="24"/>
          <w:szCs w:val="24"/>
        </w:rPr>
      </w:pPr>
      <w:r w:rsidRPr="008A05A3">
        <w:rPr>
          <w:rFonts w:ascii="Times New Roman" w:hAnsi="Times New Roman" w:cs="Times New Roman"/>
          <w:sz w:val="24"/>
          <w:szCs w:val="24"/>
        </w:rPr>
        <w:t xml:space="preserve">Reddy, T. P., et al. (2023). Nutrient requirement of sugarcane varieties. </w:t>
      </w:r>
      <w:r w:rsidRPr="008A05A3">
        <w:rPr>
          <w:rFonts w:ascii="Times New Roman" w:hAnsi="Times New Roman" w:cs="Times New Roman"/>
          <w:i/>
          <w:iCs/>
          <w:sz w:val="24"/>
          <w:szCs w:val="24"/>
        </w:rPr>
        <w:t>International Journal of Plant &amp; Soil Science</w:t>
      </w:r>
      <w:r w:rsidRPr="008A05A3">
        <w:rPr>
          <w:rFonts w:ascii="Times New Roman" w:hAnsi="Times New Roman" w:cs="Times New Roman"/>
          <w:sz w:val="24"/>
          <w:szCs w:val="24"/>
        </w:rPr>
        <w:t>, 35(23): 494–499. https://doi.org/10.9734/ijpss/2023/v35i234050</w:t>
      </w:r>
      <w:r w:rsidR="00124196" w:rsidRPr="00EC2591">
        <w:rPr>
          <w:rFonts w:ascii="Times New Roman" w:hAnsi="Times New Roman" w:cs="Times New Roman"/>
          <w:sz w:val="24"/>
          <w:szCs w:val="24"/>
        </w:rPr>
        <w:t>.</w:t>
      </w:r>
    </w:p>
    <w:p w14:paraId="1F9B5B2A" w14:textId="1874FC66" w:rsidR="008A05A3" w:rsidRPr="008A05A3" w:rsidRDefault="008A05A3" w:rsidP="008A05A3">
      <w:pPr>
        <w:spacing w:before="120" w:after="120"/>
        <w:ind w:left="720" w:hanging="720"/>
        <w:jc w:val="both"/>
        <w:rPr>
          <w:rFonts w:ascii="Times New Roman" w:hAnsi="Times New Roman" w:cs="Times New Roman"/>
          <w:sz w:val="24"/>
          <w:szCs w:val="24"/>
        </w:rPr>
      </w:pPr>
      <w:r w:rsidRPr="008A05A3">
        <w:rPr>
          <w:rFonts w:ascii="Times New Roman" w:hAnsi="Times New Roman" w:cs="Times New Roman"/>
          <w:sz w:val="24"/>
          <w:szCs w:val="24"/>
        </w:rPr>
        <w:t xml:space="preserve">Reddy, T. P., et al. (2021). Targeted yield equations for ratoon sugarcane. </w:t>
      </w:r>
      <w:r w:rsidRPr="008A05A3">
        <w:rPr>
          <w:rFonts w:ascii="Times New Roman" w:hAnsi="Times New Roman" w:cs="Times New Roman"/>
          <w:i/>
          <w:iCs/>
          <w:sz w:val="24"/>
          <w:szCs w:val="24"/>
        </w:rPr>
        <w:t>Chemical Engineering</w:t>
      </w:r>
      <w:r w:rsidRPr="008A05A3">
        <w:rPr>
          <w:rFonts w:ascii="Times New Roman" w:hAnsi="Times New Roman" w:cs="Times New Roman"/>
          <w:sz w:val="24"/>
          <w:szCs w:val="24"/>
        </w:rPr>
        <w:t xml:space="preserve">, 2(4): 29–31. </w:t>
      </w:r>
    </w:p>
    <w:p w14:paraId="26052770" w14:textId="55138E08" w:rsidR="008A05A3" w:rsidRPr="008A05A3" w:rsidRDefault="008A05A3" w:rsidP="008A05A3">
      <w:pPr>
        <w:spacing w:before="120" w:after="120"/>
        <w:ind w:left="720" w:hanging="720"/>
        <w:jc w:val="both"/>
        <w:rPr>
          <w:rFonts w:ascii="Times New Roman" w:hAnsi="Times New Roman" w:cs="Times New Roman"/>
          <w:sz w:val="24"/>
          <w:szCs w:val="24"/>
        </w:rPr>
      </w:pPr>
      <w:r w:rsidRPr="008A05A3">
        <w:rPr>
          <w:rFonts w:ascii="Times New Roman" w:hAnsi="Times New Roman" w:cs="Times New Roman"/>
          <w:sz w:val="24"/>
          <w:szCs w:val="24"/>
        </w:rPr>
        <w:t xml:space="preserve">Shukla, A. K., et al. (2021). Soil fertility assessment in India. </w:t>
      </w:r>
      <w:r w:rsidRPr="008A05A3">
        <w:rPr>
          <w:rFonts w:ascii="Times New Roman" w:hAnsi="Times New Roman" w:cs="Times New Roman"/>
          <w:i/>
          <w:iCs/>
          <w:sz w:val="24"/>
          <w:szCs w:val="24"/>
        </w:rPr>
        <w:t>Scientific Reports</w:t>
      </w:r>
      <w:r w:rsidRPr="008A05A3">
        <w:rPr>
          <w:rFonts w:ascii="Times New Roman" w:hAnsi="Times New Roman" w:cs="Times New Roman"/>
          <w:sz w:val="24"/>
          <w:szCs w:val="24"/>
        </w:rPr>
        <w:t>, 11: 19730. https://doi.org/10.1038/s41598-021-99084-9</w:t>
      </w:r>
      <w:r w:rsidR="00124196" w:rsidRPr="00EC2591">
        <w:rPr>
          <w:rFonts w:ascii="Times New Roman" w:hAnsi="Times New Roman" w:cs="Times New Roman"/>
          <w:sz w:val="24"/>
          <w:szCs w:val="24"/>
        </w:rPr>
        <w:t>.</w:t>
      </w:r>
    </w:p>
    <w:p w14:paraId="2EC6AA9C" w14:textId="6A3CB819" w:rsidR="008A05A3" w:rsidRPr="008A05A3" w:rsidRDefault="008A05A3" w:rsidP="008A05A3">
      <w:pPr>
        <w:spacing w:before="120" w:after="120"/>
        <w:ind w:left="720" w:hanging="720"/>
        <w:jc w:val="both"/>
        <w:rPr>
          <w:rFonts w:ascii="Times New Roman" w:hAnsi="Times New Roman" w:cs="Times New Roman"/>
          <w:sz w:val="24"/>
          <w:szCs w:val="24"/>
        </w:rPr>
      </w:pPr>
      <w:proofErr w:type="spellStart"/>
      <w:r w:rsidRPr="008A05A3">
        <w:rPr>
          <w:rFonts w:ascii="Times New Roman" w:hAnsi="Times New Roman" w:cs="Times New Roman"/>
          <w:sz w:val="24"/>
          <w:szCs w:val="24"/>
        </w:rPr>
        <w:t>Subba</w:t>
      </w:r>
      <w:proofErr w:type="spellEnd"/>
      <w:r w:rsidRPr="008A05A3">
        <w:rPr>
          <w:rFonts w:ascii="Times New Roman" w:hAnsi="Times New Roman" w:cs="Times New Roman"/>
          <w:sz w:val="24"/>
          <w:szCs w:val="24"/>
        </w:rPr>
        <w:t xml:space="preserve"> Rao, N. S. (2005). </w:t>
      </w:r>
      <w:r w:rsidRPr="008A05A3">
        <w:rPr>
          <w:rFonts w:ascii="Times New Roman" w:hAnsi="Times New Roman" w:cs="Times New Roman"/>
          <w:i/>
          <w:iCs/>
          <w:sz w:val="24"/>
          <w:szCs w:val="24"/>
        </w:rPr>
        <w:t>Soil Microbiology</w:t>
      </w:r>
      <w:r w:rsidRPr="008A05A3">
        <w:rPr>
          <w:rFonts w:ascii="Times New Roman" w:hAnsi="Times New Roman" w:cs="Times New Roman"/>
          <w:sz w:val="24"/>
          <w:szCs w:val="24"/>
        </w:rPr>
        <w:t xml:space="preserve">. Oxford &amp; IBH. </w:t>
      </w:r>
    </w:p>
    <w:p w14:paraId="168C01FC" w14:textId="366F8634" w:rsidR="008A05A3" w:rsidRPr="008A05A3" w:rsidRDefault="008A05A3" w:rsidP="008A05A3">
      <w:pPr>
        <w:spacing w:before="120" w:after="120"/>
        <w:ind w:left="720" w:hanging="720"/>
        <w:jc w:val="both"/>
        <w:rPr>
          <w:rFonts w:ascii="Times New Roman" w:hAnsi="Times New Roman" w:cs="Times New Roman"/>
          <w:sz w:val="24"/>
          <w:szCs w:val="24"/>
        </w:rPr>
      </w:pPr>
      <w:r w:rsidRPr="008A05A3">
        <w:rPr>
          <w:rFonts w:ascii="Times New Roman" w:hAnsi="Times New Roman" w:cs="Times New Roman"/>
          <w:sz w:val="24"/>
          <w:szCs w:val="24"/>
        </w:rPr>
        <w:t xml:space="preserve">Subbiah, B. V., &amp; </w:t>
      </w:r>
      <w:proofErr w:type="spellStart"/>
      <w:r w:rsidRPr="008A05A3">
        <w:rPr>
          <w:rFonts w:ascii="Times New Roman" w:hAnsi="Times New Roman" w:cs="Times New Roman"/>
          <w:sz w:val="24"/>
          <w:szCs w:val="24"/>
        </w:rPr>
        <w:t>Asija</w:t>
      </w:r>
      <w:proofErr w:type="spellEnd"/>
      <w:r w:rsidRPr="008A05A3">
        <w:rPr>
          <w:rFonts w:ascii="Times New Roman" w:hAnsi="Times New Roman" w:cs="Times New Roman"/>
          <w:sz w:val="24"/>
          <w:szCs w:val="24"/>
        </w:rPr>
        <w:t xml:space="preserve">, G. L. (1956). Available nitrogen estimation. </w:t>
      </w:r>
      <w:r w:rsidRPr="008A05A3">
        <w:rPr>
          <w:rFonts w:ascii="Times New Roman" w:hAnsi="Times New Roman" w:cs="Times New Roman"/>
          <w:i/>
          <w:iCs/>
          <w:sz w:val="24"/>
          <w:szCs w:val="24"/>
        </w:rPr>
        <w:t>Current Science</w:t>
      </w:r>
      <w:r w:rsidRPr="008A05A3">
        <w:rPr>
          <w:rFonts w:ascii="Times New Roman" w:hAnsi="Times New Roman" w:cs="Times New Roman"/>
          <w:sz w:val="24"/>
          <w:szCs w:val="24"/>
        </w:rPr>
        <w:t xml:space="preserve">, 25: 259–260. </w:t>
      </w:r>
    </w:p>
    <w:p w14:paraId="1434D5D3" w14:textId="6F7C3AAD" w:rsidR="008A05A3" w:rsidRPr="008A05A3" w:rsidRDefault="008A05A3" w:rsidP="008A05A3">
      <w:pPr>
        <w:spacing w:before="120" w:after="120"/>
        <w:ind w:left="720" w:hanging="720"/>
        <w:jc w:val="both"/>
        <w:rPr>
          <w:rFonts w:ascii="Times New Roman" w:hAnsi="Times New Roman" w:cs="Times New Roman"/>
          <w:sz w:val="24"/>
          <w:szCs w:val="24"/>
        </w:rPr>
      </w:pPr>
      <w:proofErr w:type="spellStart"/>
      <w:r w:rsidRPr="008A05A3">
        <w:rPr>
          <w:rFonts w:ascii="Times New Roman" w:hAnsi="Times New Roman" w:cs="Times New Roman"/>
          <w:sz w:val="24"/>
          <w:szCs w:val="24"/>
        </w:rPr>
        <w:t>Suggu</w:t>
      </w:r>
      <w:proofErr w:type="spellEnd"/>
      <w:r w:rsidRPr="008A05A3">
        <w:rPr>
          <w:rFonts w:ascii="Times New Roman" w:hAnsi="Times New Roman" w:cs="Times New Roman"/>
          <w:sz w:val="24"/>
          <w:szCs w:val="24"/>
        </w:rPr>
        <w:t xml:space="preserve">, A. G., et al. (2010). Nutrient uptake in crops. </w:t>
      </w:r>
      <w:r w:rsidRPr="008A05A3">
        <w:rPr>
          <w:rFonts w:ascii="Times New Roman" w:hAnsi="Times New Roman" w:cs="Times New Roman"/>
          <w:i/>
          <w:iCs/>
          <w:sz w:val="24"/>
          <w:szCs w:val="24"/>
        </w:rPr>
        <w:t>Indian Journal of Agronomy</w:t>
      </w:r>
      <w:r w:rsidRPr="008A05A3">
        <w:rPr>
          <w:rFonts w:ascii="Times New Roman" w:hAnsi="Times New Roman" w:cs="Times New Roman"/>
          <w:sz w:val="24"/>
          <w:szCs w:val="24"/>
        </w:rPr>
        <w:t xml:space="preserve">, 55: 78–82. </w:t>
      </w:r>
    </w:p>
    <w:p w14:paraId="49FBB8BF" w14:textId="0BE3EB1F" w:rsidR="008A05A3" w:rsidRPr="008A05A3" w:rsidRDefault="008A05A3" w:rsidP="008A05A3">
      <w:pPr>
        <w:spacing w:before="120" w:after="120"/>
        <w:ind w:left="720" w:hanging="720"/>
        <w:jc w:val="both"/>
        <w:rPr>
          <w:rFonts w:ascii="Times New Roman" w:hAnsi="Times New Roman" w:cs="Times New Roman"/>
          <w:sz w:val="24"/>
          <w:szCs w:val="24"/>
        </w:rPr>
      </w:pPr>
      <w:r w:rsidRPr="008A05A3">
        <w:rPr>
          <w:rFonts w:ascii="Times New Roman" w:hAnsi="Times New Roman" w:cs="Times New Roman"/>
          <w:sz w:val="24"/>
          <w:szCs w:val="24"/>
        </w:rPr>
        <w:t xml:space="preserve">Tandon, H. L. S. (2013). </w:t>
      </w:r>
      <w:r w:rsidRPr="008A05A3">
        <w:rPr>
          <w:rFonts w:ascii="Times New Roman" w:hAnsi="Times New Roman" w:cs="Times New Roman"/>
          <w:i/>
          <w:iCs/>
          <w:sz w:val="24"/>
          <w:szCs w:val="24"/>
        </w:rPr>
        <w:t>Methods of Analysis of Soils and Plants</w:t>
      </w:r>
      <w:r w:rsidRPr="008A05A3">
        <w:rPr>
          <w:rFonts w:ascii="Times New Roman" w:hAnsi="Times New Roman" w:cs="Times New Roman"/>
          <w:sz w:val="24"/>
          <w:szCs w:val="24"/>
        </w:rPr>
        <w:t xml:space="preserve">. FDCO. </w:t>
      </w:r>
    </w:p>
    <w:p w14:paraId="58EB60F6" w14:textId="56FA9EB7" w:rsidR="008A05A3" w:rsidRPr="008A05A3" w:rsidRDefault="008A05A3" w:rsidP="008A05A3">
      <w:pPr>
        <w:spacing w:before="120" w:after="120"/>
        <w:ind w:left="720" w:hanging="720"/>
        <w:jc w:val="both"/>
        <w:rPr>
          <w:rFonts w:ascii="Times New Roman" w:hAnsi="Times New Roman" w:cs="Times New Roman"/>
          <w:sz w:val="24"/>
          <w:szCs w:val="24"/>
        </w:rPr>
      </w:pPr>
      <w:r w:rsidRPr="008A05A3">
        <w:rPr>
          <w:rFonts w:ascii="Times New Roman" w:hAnsi="Times New Roman" w:cs="Times New Roman"/>
          <w:sz w:val="24"/>
          <w:szCs w:val="24"/>
        </w:rPr>
        <w:t xml:space="preserve">Walkley, A., &amp; Black, C. A. (1934). Soil organic matter method. </w:t>
      </w:r>
      <w:r w:rsidRPr="008A05A3">
        <w:rPr>
          <w:rFonts w:ascii="Times New Roman" w:hAnsi="Times New Roman" w:cs="Times New Roman"/>
          <w:i/>
          <w:iCs/>
          <w:sz w:val="24"/>
          <w:szCs w:val="24"/>
        </w:rPr>
        <w:t>Soil Science</w:t>
      </w:r>
      <w:r w:rsidRPr="008A05A3">
        <w:rPr>
          <w:rFonts w:ascii="Times New Roman" w:hAnsi="Times New Roman" w:cs="Times New Roman"/>
          <w:sz w:val="24"/>
          <w:szCs w:val="24"/>
        </w:rPr>
        <w:t xml:space="preserve">, 37: 29–38. </w:t>
      </w:r>
      <w:hyperlink r:id="rId8" w:tgtFrame="_new" w:history="1">
        <w:r w:rsidRPr="008A05A3">
          <w:rPr>
            <w:rStyle w:val="Hyperlink"/>
            <w:rFonts w:ascii="Times New Roman" w:hAnsi="Times New Roman" w:cs="Times New Roman"/>
            <w:color w:val="auto"/>
            <w:sz w:val="24"/>
            <w:szCs w:val="24"/>
            <w:u w:val="none"/>
          </w:rPr>
          <w:t>https://doi.org/10.1097/00010694-193401000-00003</w:t>
        </w:r>
      </w:hyperlink>
      <w:r w:rsidR="00EC2591" w:rsidRPr="00EC2591">
        <w:rPr>
          <w:rFonts w:ascii="Times New Roman" w:hAnsi="Times New Roman" w:cs="Times New Roman"/>
          <w:sz w:val="24"/>
          <w:szCs w:val="24"/>
        </w:rPr>
        <w:t>.</w:t>
      </w:r>
    </w:p>
    <w:p w14:paraId="58F39495" w14:textId="67A7C6FE" w:rsidR="008A05A3" w:rsidRPr="008A05A3" w:rsidRDefault="008A05A3" w:rsidP="008A05A3">
      <w:pPr>
        <w:spacing w:before="120" w:after="120"/>
        <w:ind w:left="720" w:hanging="720"/>
        <w:jc w:val="both"/>
        <w:rPr>
          <w:rFonts w:ascii="Times New Roman" w:hAnsi="Times New Roman" w:cs="Times New Roman"/>
          <w:sz w:val="24"/>
          <w:szCs w:val="24"/>
        </w:rPr>
      </w:pPr>
      <w:r w:rsidRPr="008A05A3">
        <w:rPr>
          <w:rFonts w:ascii="Times New Roman" w:hAnsi="Times New Roman" w:cs="Times New Roman"/>
          <w:sz w:val="24"/>
          <w:szCs w:val="24"/>
        </w:rPr>
        <w:lastRenderedPageBreak/>
        <w:t xml:space="preserve">Wright, R. J., &amp; </w:t>
      </w:r>
      <w:proofErr w:type="spellStart"/>
      <w:r w:rsidRPr="008A05A3">
        <w:rPr>
          <w:rFonts w:ascii="Times New Roman" w:hAnsi="Times New Roman" w:cs="Times New Roman"/>
          <w:sz w:val="24"/>
          <w:szCs w:val="24"/>
        </w:rPr>
        <w:t>Stuczynski</w:t>
      </w:r>
      <w:proofErr w:type="spellEnd"/>
      <w:r w:rsidRPr="008A05A3">
        <w:rPr>
          <w:rFonts w:ascii="Times New Roman" w:hAnsi="Times New Roman" w:cs="Times New Roman"/>
          <w:sz w:val="24"/>
          <w:szCs w:val="24"/>
        </w:rPr>
        <w:t xml:space="preserve">, Z. (1996). Micronutrient determination. In </w:t>
      </w:r>
      <w:r w:rsidRPr="008A05A3">
        <w:rPr>
          <w:rFonts w:ascii="Times New Roman" w:hAnsi="Times New Roman" w:cs="Times New Roman"/>
          <w:i/>
          <w:iCs/>
          <w:sz w:val="24"/>
          <w:szCs w:val="24"/>
        </w:rPr>
        <w:t>Methods of Soil Analysis</w:t>
      </w:r>
      <w:r w:rsidRPr="008A05A3">
        <w:rPr>
          <w:rFonts w:ascii="Times New Roman" w:hAnsi="Times New Roman" w:cs="Times New Roman"/>
          <w:sz w:val="24"/>
          <w:szCs w:val="24"/>
        </w:rPr>
        <w:t xml:space="preserve">. </w:t>
      </w:r>
    </w:p>
    <w:p w14:paraId="154DBE6C" w14:textId="77777777" w:rsidR="008A05A3" w:rsidRPr="004F5835" w:rsidRDefault="008A05A3" w:rsidP="004F5835">
      <w:pPr>
        <w:spacing w:before="120" w:after="120"/>
        <w:ind w:left="720" w:hanging="720"/>
        <w:jc w:val="both"/>
        <w:rPr>
          <w:rFonts w:ascii="Times New Roman" w:hAnsi="Times New Roman" w:cs="Times New Roman"/>
          <w:sz w:val="24"/>
          <w:szCs w:val="24"/>
        </w:rPr>
      </w:pPr>
    </w:p>
    <w:sectPr w:rsidR="008A05A3" w:rsidRPr="004F5835" w:rsidSect="00EC2591">
      <w:headerReference w:type="even" r:id="rId9"/>
      <w:headerReference w:type="default" r:id="rId10"/>
      <w:footerReference w:type="even" r:id="rId11"/>
      <w:footerReference w:type="default" r:id="rId12"/>
      <w:headerReference w:type="first" r:id="rId13"/>
      <w:footerReference w:type="first" r:id="rId14"/>
      <w:pgSz w:w="11906" w:h="16838"/>
      <w:pgMar w:top="1008" w:right="1296" w:bottom="1008" w:left="129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715F4" w14:textId="77777777" w:rsidR="00E44E83" w:rsidRDefault="00E44E83" w:rsidP="00012FE0">
      <w:pPr>
        <w:spacing w:after="0" w:line="240" w:lineRule="auto"/>
      </w:pPr>
      <w:r>
        <w:separator/>
      </w:r>
    </w:p>
  </w:endnote>
  <w:endnote w:type="continuationSeparator" w:id="0">
    <w:p w14:paraId="397B66BA" w14:textId="77777777" w:rsidR="00E44E83" w:rsidRDefault="00E44E83" w:rsidP="00012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E7C15" w14:textId="77777777" w:rsidR="00012FE0" w:rsidRDefault="00012F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40854" w14:textId="77777777" w:rsidR="00012FE0" w:rsidRDefault="00012F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2FC67" w14:textId="77777777" w:rsidR="00012FE0" w:rsidRDefault="00012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788BD" w14:textId="77777777" w:rsidR="00E44E83" w:rsidRDefault="00E44E83" w:rsidP="00012FE0">
      <w:pPr>
        <w:spacing w:after="0" w:line="240" w:lineRule="auto"/>
      </w:pPr>
      <w:r>
        <w:separator/>
      </w:r>
    </w:p>
  </w:footnote>
  <w:footnote w:type="continuationSeparator" w:id="0">
    <w:p w14:paraId="0FA561B8" w14:textId="77777777" w:rsidR="00E44E83" w:rsidRDefault="00E44E83" w:rsidP="00012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47CAF" w14:textId="74FAF796" w:rsidR="00012FE0" w:rsidRDefault="00E44E83">
    <w:pPr>
      <w:pStyle w:val="Header"/>
    </w:pPr>
    <w:r>
      <w:rPr>
        <w:noProof/>
      </w:rPr>
      <w:pict w14:anchorId="42E20C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94797" o:spid="_x0000_s2050" type="#_x0000_t136" style="position:absolute;margin-left:0;margin-top:0;width:552.4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CA96A" w14:textId="12445E92" w:rsidR="00012FE0" w:rsidRDefault="00E44E83">
    <w:pPr>
      <w:pStyle w:val="Header"/>
    </w:pPr>
    <w:r>
      <w:rPr>
        <w:noProof/>
      </w:rPr>
      <w:pict w14:anchorId="72C889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94798" o:spid="_x0000_s2051" type="#_x0000_t136" style="position:absolute;margin-left:0;margin-top:0;width:552.4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238F2" w14:textId="196E7212" w:rsidR="00012FE0" w:rsidRDefault="00E44E83">
    <w:pPr>
      <w:pStyle w:val="Header"/>
    </w:pPr>
    <w:r>
      <w:rPr>
        <w:noProof/>
      </w:rPr>
      <w:pict w14:anchorId="294364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94796" o:spid="_x0000_s2049" type="#_x0000_t136" style="position:absolute;margin-left:0;margin-top:0;width:552.4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6C3C"/>
    <w:multiLevelType w:val="hybridMultilevel"/>
    <w:tmpl w:val="11184CB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3045FBB"/>
    <w:multiLevelType w:val="hybridMultilevel"/>
    <w:tmpl w:val="9D9258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A29AC"/>
    <w:multiLevelType w:val="multilevel"/>
    <w:tmpl w:val="AA9CC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471474"/>
    <w:multiLevelType w:val="hybridMultilevel"/>
    <w:tmpl w:val="CE38BC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55769"/>
    <w:multiLevelType w:val="hybridMultilevel"/>
    <w:tmpl w:val="2054B47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71364F7"/>
    <w:multiLevelType w:val="hybridMultilevel"/>
    <w:tmpl w:val="3A4E1CB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7D331DD"/>
    <w:multiLevelType w:val="hybridMultilevel"/>
    <w:tmpl w:val="E8A479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0047EC4"/>
    <w:multiLevelType w:val="hybridMultilevel"/>
    <w:tmpl w:val="D6806680"/>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15:restartNumberingAfterBreak="0">
    <w:nsid w:val="2528299D"/>
    <w:multiLevelType w:val="hybridMultilevel"/>
    <w:tmpl w:val="6D3649E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5F97987"/>
    <w:multiLevelType w:val="hybridMultilevel"/>
    <w:tmpl w:val="9A064E4A"/>
    <w:lvl w:ilvl="0" w:tplc="04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B6B6FD5"/>
    <w:multiLevelType w:val="hybridMultilevel"/>
    <w:tmpl w:val="0ACEF96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EEF4C44"/>
    <w:multiLevelType w:val="hybridMultilevel"/>
    <w:tmpl w:val="FAFAF2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EC371FC"/>
    <w:multiLevelType w:val="hybridMultilevel"/>
    <w:tmpl w:val="6710586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886752F"/>
    <w:multiLevelType w:val="hybridMultilevel"/>
    <w:tmpl w:val="1D50035C"/>
    <w:lvl w:ilvl="0" w:tplc="23946D3E">
      <w:start w:val="1"/>
      <w:numFmt w:val="bullet"/>
      <w:lvlText w:val=""/>
      <w:lvlJc w:val="left"/>
      <w:pPr>
        <w:ind w:left="720" w:hanging="360"/>
      </w:pPr>
      <w:rPr>
        <w:rFonts w:ascii="Wingdings" w:hAnsi="Wingdings" w:hint="default"/>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E1C4269"/>
    <w:multiLevelType w:val="hybridMultilevel"/>
    <w:tmpl w:val="0AC8D4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5F5654B"/>
    <w:multiLevelType w:val="hybridMultilevel"/>
    <w:tmpl w:val="7C9E4BB6"/>
    <w:lvl w:ilvl="0" w:tplc="04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5887054F"/>
    <w:multiLevelType w:val="hybridMultilevel"/>
    <w:tmpl w:val="8998281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9DB699B"/>
    <w:multiLevelType w:val="hybridMultilevel"/>
    <w:tmpl w:val="44C4809E"/>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62040F62"/>
    <w:multiLevelType w:val="hybridMultilevel"/>
    <w:tmpl w:val="9984C32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63492161"/>
    <w:multiLevelType w:val="hybridMultilevel"/>
    <w:tmpl w:val="7870EB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3CF57AB"/>
    <w:multiLevelType w:val="hybridMultilevel"/>
    <w:tmpl w:val="0ADE543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475164D"/>
    <w:multiLevelType w:val="hybridMultilevel"/>
    <w:tmpl w:val="8710D4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8E14142"/>
    <w:multiLevelType w:val="hybridMultilevel"/>
    <w:tmpl w:val="A10AA7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C326BDD"/>
    <w:multiLevelType w:val="hybridMultilevel"/>
    <w:tmpl w:val="8ACE65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1"/>
  </w:num>
  <w:num w:numId="4">
    <w:abstractNumId w:val="6"/>
  </w:num>
  <w:num w:numId="5">
    <w:abstractNumId w:val="9"/>
  </w:num>
  <w:num w:numId="6">
    <w:abstractNumId w:val="12"/>
  </w:num>
  <w:num w:numId="7">
    <w:abstractNumId w:val="16"/>
  </w:num>
  <w:num w:numId="8">
    <w:abstractNumId w:val="23"/>
  </w:num>
  <w:num w:numId="9">
    <w:abstractNumId w:val="22"/>
  </w:num>
  <w:num w:numId="10">
    <w:abstractNumId w:val="5"/>
  </w:num>
  <w:num w:numId="11">
    <w:abstractNumId w:val="15"/>
  </w:num>
  <w:num w:numId="12">
    <w:abstractNumId w:val="0"/>
  </w:num>
  <w:num w:numId="13">
    <w:abstractNumId w:val="7"/>
  </w:num>
  <w:num w:numId="14">
    <w:abstractNumId w:val="13"/>
  </w:num>
  <w:num w:numId="15">
    <w:abstractNumId w:val="20"/>
  </w:num>
  <w:num w:numId="16">
    <w:abstractNumId w:val="4"/>
  </w:num>
  <w:num w:numId="17">
    <w:abstractNumId w:val="21"/>
  </w:num>
  <w:num w:numId="18">
    <w:abstractNumId w:val="10"/>
  </w:num>
  <w:num w:numId="19">
    <w:abstractNumId w:val="17"/>
  </w:num>
  <w:num w:numId="20">
    <w:abstractNumId w:val="3"/>
  </w:num>
  <w:num w:numId="21">
    <w:abstractNumId w:val="2"/>
  </w:num>
  <w:num w:numId="22">
    <w:abstractNumId w:val="14"/>
  </w:num>
  <w:num w:numId="23">
    <w:abstractNumId w:val="1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LAwsjQxtjSxNDS0MDZV0lEKTi0uzszPAykwrgUAtEZAiCwAAAA="/>
  </w:docVars>
  <w:rsids>
    <w:rsidRoot w:val="00BD7FBA"/>
    <w:rsid w:val="000100CA"/>
    <w:rsid w:val="00012FE0"/>
    <w:rsid w:val="000265CF"/>
    <w:rsid w:val="000370DF"/>
    <w:rsid w:val="00052DB8"/>
    <w:rsid w:val="00064CB1"/>
    <w:rsid w:val="00075E48"/>
    <w:rsid w:val="000A6199"/>
    <w:rsid w:val="000D7A01"/>
    <w:rsid w:val="000E6B32"/>
    <w:rsid w:val="0010182E"/>
    <w:rsid w:val="001043D4"/>
    <w:rsid w:val="00104BF0"/>
    <w:rsid w:val="00124196"/>
    <w:rsid w:val="00142C47"/>
    <w:rsid w:val="00144824"/>
    <w:rsid w:val="00147D6A"/>
    <w:rsid w:val="00147FC6"/>
    <w:rsid w:val="001527BC"/>
    <w:rsid w:val="001540BD"/>
    <w:rsid w:val="00177E94"/>
    <w:rsid w:val="00181C8E"/>
    <w:rsid w:val="00183DF6"/>
    <w:rsid w:val="001C6CD9"/>
    <w:rsid w:val="001D7A34"/>
    <w:rsid w:val="001F1489"/>
    <w:rsid w:val="001F21E7"/>
    <w:rsid w:val="002147B7"/>
    <w:rsid w:val="00221B30"/>
    <w:rsid w:val="00281AC3"/>
    <w:rsid w:val="002858FF"/>
    <w:rsid w:val="00295206"/>
    <w:rsid w:val="002952DC"/>
    <w:rsid w:val="002C474F"/>
    <w:rsid w:val="002D6A48"/>
    <w:rsid w:val="002E6187"/>
    <w:rsid w:val="002F2544"/>
    <w:rsid w:val="002F7750"/>
    <w:rsid w:val="00307A43"/>
    <w:rsid w:val="003246D1"/>
    <w:rsid w:val="00324BF1"/>
    <w:rsid w:val="00333377"/>
    <w:rsid w:val="00370463"/>
    <w:rsid w:val="00375ACC"/>
    <w:rsid w:val="00397CCC"/>
    <w:rsid w:val="003A7BCD"/>
    <w:rsid w:val="003B0E18"/>
    <w:rsid w:val="003E5CCD"/>
    <w:rsid w:val="00402C2E"/>
    <w:rsid w:val="00405132"/>
    <w:rsid w:val="004132D7"/>
    <w:rsid w:val="0042329A"/>
    <w:rsid w:val="00467219"/>
    <w:rsid w:val="004765E0"/>
    <w:rsid w:val="00491689"/>
    <w:rsid w:val="0049374F"/>
    <w:rsid w:val="0049424C"/>
    <w:rsid w:val="004B678E"/>
    <w:rsid w:val="004C1F20"/>
    <w:rsid w:val="004C72E8"/>
    <w:rsid w:val="004D1EF0"/>
    <w:rsid w:val="004F5835"/>
    <w:rsid w:val="004F5C9D"/>
    <w:rsid w:val="005300B0"/>
    <w:rsid w:val="0056213A"/>
    <w:rsid w:val="005703D9"/>
    <w:rsid w:val="00577DCB"/>
    <w:rsid w:val="005865D6"/>
    <w:rsid w:val="005963E7"/>
    <w:rsid w:val="005C61C1"/>
    <w:rsid w:val="005D7F2B"/>
    <w:rsid w:val="005F2728"/>
    <w:rsid w:val="005F3D7A"/>
    <w:rsid w:val="006405D2"/>
    <w:rsid w:val="00644CC4"/>
    <w:rsid w:val="006535D1"/>
    <w:rsid w:val="00654427"/>
    <w:rsid w:val="006A1F3E"/>
    <w:rsid w:val="006B3D4F"/>
    <w:rsid w:val="006D3C75"/>
    <w:rsid w:val="006F74B6"/>
    <w:rsid w:val="007033AD"/>
    <w:rsid w:val="007201F6"/>
    <w:rsid w:val="00735599"/>
    <w:rsid w:val="007623B8"/>
    <w:rsid w:val="007731A0"/>
    <w:rsid w:val="00783499"/>
    <w:rsid w:val="007853B1"/>
    <w:rsid w:val="007A16A1"/>
    <w:rsid w:val="007B7EE3"/>
    <w:rsid w:val="007C02F0"/>
    <w:rsid w:val="007D07C6"/>
    <w:rsid w:val="007D1916"/>
    <w:rsid w:val="007E492D"/>
    <w:rsid w:val="00825509"/>
    <w:rsid w:val="00830720"/>
    <w:rsid w:val="008359A1"/>
    <w:rsid w:val="00863193"/>
    <w:rsid w:val="00865195"/>
    <w:rsid w:val="00872649"/>
    <w:rsid w:val="00875298"/>
    <w:rsid w:val="008948AE"/>
    <w:rsid w:val="008A05A3"/>
    <w:rsid w:val="008E76B8"/>
    <w:rsid w:val="008F5C83"/>
    <w:rsid w:val="00907BBA"/>
    <w:rsid w:val="00917489"/>
    <w:rsid w:val="00923BD2"/>
    <w:rsid w:val="00932990"/>
    <w:rsid w:val="009330DC"/>
    <w:rsid w:val="009355ED"/>
    <w:rsid w:val="00940659"/>
    <w:rsid w:val="00945765"/>
    <w:rsid w:val="009546F8"/>
    <w:rsid w:val="00984815"/>
    <w:rsid w:val="00990D12"/>
    <w:rsid w:val="00996C87"/>
    <w:rsid w:val="00997184"/>
    <w:rsid w:val="009B0608"/>
    <w:rsid w:val="009B20A8"/>
    <w:rsid w:val="009B7690"/>
    <w:rsid w:val="009C0A19"/>
    <w:rsid w:val="009C3765"/>
    <w:rsid w:val="009C6BAA"/>
    <w:rsid w:val="009D3188"/>
    <w:rsid w:val="009D7C6C"/>
    <w:rsid w:val="009E33E8"/>
    <w:rsid w:val="009F20D1"/>
    <w:rsid w:val="00A047D1"/>
    <w:rsid w:val="00A13A45"/>
    <w:rsid w:val="00A323FE"/>
    <w:rsid w:val="00A35991"/>
    <w:rsid w:val="00A54280"/>
    <w:rsid w:val="00A76506"/>
    <w:rsid w:val="00AA4B66"/>
    <w:rsid w:val="00AA5E4A"/>
    <w:rsid w:val="00AB079C"/>
    <w:rsid w:val="00AC258B"/>
    <w:rsid w:val="00AD1F73"/>
    <w:rsid w:val="00AD6B5F"/>
    <w:rsid w:val="00AF5545"/>
    <w:rsid w:val="00B1408D"/>
    <w:rsid w:val="00B27464"/>
    <w:rsid w:val="00B338DE"/>
    <w:rsid w:val="00B342CF"/>
    <w:rsid w:val="00B34A32"/>
    <w:rsid w:val="00B412CF"/>
    <w:rsid w:val="00B619D8"/>
    <w:rsid w:val="00B64366"/>
    <w:rsid w:val="00B87F0C"/>
    <w:rsid w:val="00BB0C84"/>
    <w:rsid w:val="00BB19B5"/>
    <w:rsid w:val="00BD7FBA"/>
    <w:rsid w:val="00BF54AC"/>
    <w:rsid w:val="00C30322"/>
    <w:rsid w:val="00C34540"/>
    <w:rsid w:val="00C37609"/>
    <w:rsid w:val="00C52F35"/>
    <w:rsid w:val="00C840AC"/>
    <w:rsid w:val="00C92A4B"/>
    <w:rsid w:val="00C95090"/>
    <w:rsid w:val="00CA2B17"/>
    <w:rsid w:val="00CC7777"/>
    <w:rsid w:val="00CD3C86"/>
    <w:rsid w:val="00CD5174"/>
    <w:rsid w:val="00CF17AA"/>
    <w:rsid w:val="00D40142"/>
    <w:rsid w:val="00D60BFC"/>
    <w:rsid w:val="00D67D32"/>
    <w:rsid w:val="00D7174F"/>
    <w:rsid w:val="00D733B0"/>
    <w:rsid w:val="00D777B2"/>
    <w:rsid w:val="00DB5F7C"/>
    <w:rsid w:val="00DB6360"/>
    <w:rsid w:val="00DB75B3"/>
    <w:rsid w:val="00DD267F"/>
    <w:rsid w:val="00DD77BD"/>
    <w:rsid w:val="00DF4AF3"/>
    <w:rsid w:val="00E0108D"/>
    <w:rsid w:val="00E12B0A"/>
    <w:rsid w:val="00E13CD9"/>
    <w:rsid w:val="00E17388"/>
    <w:rsid w:val="00E2246C"/>
    <w:rsid w:val="00E26BD4"/>
    <w:rsid w:val="00E27279"/>
    <w:rsid w:val="00E31AD0"/>
    <w:rsid w:val="00E44E83"/>
    <w:rsid w:val="00E543E0"/>
    <w:rsid w:val="00E5713B"/>
    <w:rsid w:val="00EC2591"/>
    <w:rsid w:val="00ED0301"/>
    <w:rsid w:val="00ED23F9"/>
    <w:rsid w:val="00EE24D3"/>
    <w:rsid w:val="00EE5932"/>
    <w:rsid w:val="00F02062"/>
    <w:rsid w:val="00F07219"/>
    <w:rsid w:val="00F1679B"/>
    <w:rsid w:val="00F25DA8"/>
    <w:rsid w:val="00F44819"/>
    <w:rsid w:val="00F47ABD"/>
    <w:rsid w:val="00F50926"/>
    <w:rsid w:val="00F53AF4"/>
    <w:rsid w:val="00F7458E"/>
    <w:rsid w:val="00F74B4D"/>
    <w:rsid w:val="00F76B58"/>
    <w:rsid w:val="00FA5B31"/>
    <w:rsid w:val="00FA6867"/>
    <w:rsid w:val="00FC7002"/>
    <w:rsid w:val="00FE3B44"/>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EFD7D8"/>
  <w15:docId w15:val="{45072A9E-C0D8-4127-8B50-A06FECADB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te-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4A32"/>
    <w:rPr>
      <w:rFonts w:cs="Gautam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7FBA"/>
    <w:pPr>
      <w:ind w:left="720"/>
      <w:contextualSpacing/>
    </w:pPr>
  </w:style>
  <w:style w:type="paragraph" w:styleId="PlainText">
    <w:name w:val="Plain Text"/>
    <w:basedOn w:val="Normal"/>
    <w:link w:val="PlainTextChar"/>
    <w:rsid w:val="00BD7FBA"/>
    <w:pPr>
      <w:spacing w:after="0" w:line="240" w:lineRule="auto"/>
    </w:pPr>
    <w:rPr>
      <w:rFonts w:ascii="Courier New" w:eastAsia="Times New Roman" w:hAnsi="Courier New" w:cs="Courier New"/>
      <w:sz w:val="20"/>
      <w:szCs w:val="20"/>
      <w:lang w:val="en-US" w:eastAsia="en-US" w:bidi="ar-SA"/>
    </w:rPr>
  </w:style>
  <w:style w:type="character" w:customStyle="1" w:styleId="PlainTextChar">
    <w:name w:val="Plain Text Char"/>
    <w:basedOn w:val="DefaultParagraphFont"/>
    <w:link w:val="PlainText"/>
    <w:rsid w:val="00BD7FBA"/>
    <w:rPr>
      <w:rFonts w:ascii="Courier New" w:eastAsia="Times New Roman" w:hAnsi="Courier New" w:cs="Courier New"/>
      <w:sz w:val="20"/>
      <w:szCs w:val="20"/>
      <w:lang w:val="en-US" w:eastAsia="en-US" w:bidi="ar-SA"/>
    </w:rPr>
  </w:style>
  <w:style w:type="paragraph" w:customStyle="1" w:styleId="Default">
    <w:name w:val="Default"/>
    <w:rsid w:val="00CD3C8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A4"/>
    <w:uiPriority w:val="99"/>
    <w:rsid w:val="00CD3C86"/>
    <w:rPr>
      <w:rFonts w:cs="Times New Roman"/>
      <w:color w:val="000000"/>
      <w:sz w:val="20"/>
      <w:szCs w:val="20"/>
    </w:rPr>
  </w:style>
  <w:style w:type="character" w:customStyle="1" w:styleId="A5">
    <w:name w:val="A5"/>
    <w:uiPriority w:val="99"/>
    <w:rsid w:val="00CD3C86"/>
    <w:rPr>
      <w:rFonts w:cs="Times New Roman"/>
      <w:color w:val="000000"/>
      <w:sz w:val="11"/>
      <w:szCs w:val="11"/>
    </w:rPr>
  </w:style>
  <w:style w:type="character" w:customStyle="1" w:styleId="A3">
    <w:name w:val="A3"/>
    <w:uiPriority w:val="99"/>
    <w:rsid w:val="008359A1"/>
    <w:rPr>
      <w:rFonts w:cs="Times New Roman"/>
      <w:color w:val="000000"/>
      <w:sz w:val="18"/>
      <w:szCs w:val="18"/>
    </w:rPr>
  </w:style>
  <w:style w:type="character" w:customStyle="1" w:styleId="A9">
    <w:name w:val="A9"/>
    <w:uiPriority w:val="99"/>
    <w:rsid w:val="008359A1"/>
    <w:rPr>
      <w:rFonts w:cs="Times New Roman"/>
      <w:color w:val="000000"/>
      <w:sz w:val="10"/>
      <w:szCs w:val="10"/>
    </w:rPr>
  </w:style>
  <w:style w:type="paragraph" w:styleId="NormalWeb">
    <w:name w:val="Normal (Web)"/>
    <w:basedOn w:val="Normal"/>
    <w:uiPriority w:val="99"/>
    <w:unhideWhenUsed/>
    <w:rsid w:val="00644CC4"/>
    <w:pPr>
      <w:spacing w:before="100" w:beforeAutospacing="1" w:after="100" w:afterAutospacing="1" w:line="240" w:lineRule="auto"/>
    </w:pPr>
    <w:rPr>
      <w:rFonts w:ascii="Times New Roman" w:eastAsia="Times New Roman" w:hAnsi="Times New Roman" w:cs="Times New Roman"/>
      <w:sz w:val="24"/>
      <w:szCs w:val="24"/>
      <w:lang w:val="en-US" w:eastAsia="en-US" w:bidi="ar-SA"/>
    </w:rPr>
  </w:style>
  <w:style w:type="paragraph" w:styleId="BodyText">
    <w:name w:val="Body Text"/>
    <w:basedOn w:val="Normal"/>
    <w:link w:val="BodyTextChar"/>
    <w:rsid w:val="00F44819"/>
    <w:pPr>
      <w:spacing w:after="0" w:line="480" w:lineRule="auto"/>
      <w:jc w:val="both"/>
    </w:pPr>
    <w:rPr>
      <w:rFonts w:ascii="Times New Roman" w:eastAsia="Times New Roman" w:hAnsi="Times New Roman" w:cs="Times New Roman"/>
      <w:sz w:val="24"/>
      <w:szCs w:val="24"/>
      <w:lang w:val="en-US" w:eastAsia="en-US" w:bidi="ar-SA"/>
    </w:rPr>
  </w:style>
  <w:style w:type="character" w:customStyle="1" w:styleId="BodyTextChar">
    <w:name w:val="Body Text Char"/>
    <w:basedOn w:val="DefaultParagraphFont"/>
    <w:link w:val="BodyText"/>
    <w:rsid w:val="00F44819"/>
    <w:rPr>
      <w:rFonts w:ascii="Times New Roman" w:eastAsia="Times New Roman" w:hAnsi="Times New Roman" w:cs="Times New Roman"/>
      <w:sz w:val="24"/>
      <w:szCs w:val="24"/>
      <w:lang w:val="en-US" w:eastAsia="en-US" w:bidi="ar-SA"/>
    </w:rPr>
  </w:style>
  <w:style w:type="table" w:styleId="TableGrid">
    <w:name w:val="Table Grid"/>
    <w:basedOn w:val="TableNormal"/>
    <w:uiPriority w:val="59"/>
    <w:rsid w:val="000D7A0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D-TXT">
    <w:name w:val="B-D-TXT"/>
    <w:basedOn w:val="Normal"/>
    <w:rsid w:val="00DD267F"/>
    <w:pPr>
      <w:spacing w:before="60" w:after="60" w:line="480" w:lineRule="auto"/>
      <w:ind w:firstLine="720"/>
      <w:jc w:val="both"/>
    </w:pPr>
    <w:rPr>
      <w:rFonts w:ascii="Times New Roman" w:eastAsia="Times New Roman" w:hAnsi="Times New Roman" w:cs="Times New Roman"/>
      <w:b/>
      <w:sz w:val="24"/>
      <w:szCs w:val="28"/>
      <w:lang w:val="en-US" w:eastAsia="en-US" w:bidi="ar-SA"/>
    </w:rPr>
  </w:style>
  <w:style w:type="character" w:styleId="Hyperlink">
    <w:name w:val="Hyperlink"/>
    <w:basedOn w:val="DefaultParagraphFont"/>
    <w:uiPriority w:val="99"/>
    <w:unhideWhenUsed/>
    <w:rsid w:val="00907BBA"/>
    <w:rPr>
      <w:color w:val="0000FF" w:themeColor="hyperlink"/>
      <w:u w:val="single"/>
    </w:rPr>
  </w:style>
  <w:style w:type="character" w:styleId="UnresolvedMention">
    <w:name w:val="Unresolved Mention"/>
    <w:basedOn w:val="DefaultParagraphFont"/>
    <w:uiPriority w:val="99"/>
    <w:semiHidden/>
    <w:unhideWhenUsed/>
    <w:rsid w:val="00907BBA"/>
    <w:rPr>
      <w:color w:val="605E5C"/>
      <w:shd w:val="clear" w:color="auto" w:fill="E1DFDD"/>
    </w:rPr>
  </w:style>
  <w:style w:type="paragraph" w:styleId="Header">
    <w:name w:val="header"/>
    <w:basedOn w:val="Normal"/>
    <w:link w:val="HeaderChar"/>
    <w:uiPriority w:val="99"/>
    <w:unhideWhenUsed/>
    <w:rsid w:val="00012F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FE0"/>
    <w:rPr>
      <w:rFonts w:cs="Gautami"/>
    </w:rPr>
  </w:style>
  <w:style w:type="paragraph" w:styleId="Footer">
    <w:name w:val="footer"/>
    <w:basedOn w:val="Normal"/>
    <w:link w:val="FooterChar"/>
    <w:uiPriority w:val="99"/>
    <w:unhideWhenUsed/>
    <w:rsid w:val="00012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FE0"/>
    <w:rPr>
      <w:rFonts w:cs="Gautami"/>
    </w:rPr>
  </w:style>
  <w:style w:type="paragraph" w:styleId="NoSpacing">
    <w:name w:val="No Spacing"/>
    <w:uiPriority w:val="1"/>
    <w:qFormat/>
    <w:rsid w:val="00B64366"/>
    <w:pPr>
      <w:spacing w:after="0" w:line="240" w:lineRule="auto"/>
    </w:pPr>
    <w:rPr>
      <w:rFonts w:eastAsiaTheme="minorHAnsi"/>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5039">
      <w:bodyDiv w:val="1"/>
      <w:marLeft w:val="0"/>
      <w:marRight w:val="0"/>
      <w:marTop w:val="0"/>
      <w:marBottom w:val="0"/>
      <w:divBdr>
        <w:top w:val="none" w:sz="0" w:space="0" w:color="auto"/>
        <w:left w:val="none" w:sz="0" w:space="0" w:color="auto"/>
        <w:bottom w:val="none" w:sz="0" w:space="0" w:color="auto"/>
        <w:right w:val="none" w:sz="0" w:space="0" w:color="auto"/>
      </w:divBdr>
    </w:div>
    <w:div w:id="409888458">
      <w:bodyDiv w:val="1"/>
      <w:marLeft w:val="0"/>
      <w:marRight w:val="0"/>
      <w:marTop w:val="0"/>
      <w:marBottom w:val="0"/>
      <w:divBdr>
        <w:top w:val="none" w:sz="0" w:space="0" w:color="auto"/>
        <w:left w:val="none" w:sz="0" w:space="0" w:color="auto"/>
        <w:bottom w:val="none" w:sz="0" w:space="0" w:color="auto"/>
        <w:right w:val="none" w:sz="0" w:space="0" w:color="auto"/>
      </w:divBdr>
    </w:div>
    <w:div w:id="901136638">
      <w:bodyDiv w:val="1"/>
      <w:marLeft w:val="0"/>
      <w:marRight w:val="0"/>
      <w:marTop w:val="0"/>
      <w:marBottom w:val="0"/>
      <w:divBdr>
        <w:top w:val="none" w:sz="0" w:space="0" w:color="auto"/>
        <w:left w:val="none" w:sz="0" w:space="0" w:color="auto"/>
        <w:bottom w:val="none" w:sz="0" w:space="0" w:color="auto"/>
        <w:right w:val="none" w:sz="0" w:space="0" w:color="auto"/>
      </w:divBdr>
    </w:div>
    <w:div w:id="128485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7/00010694-193401000-0000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2136/sssaj1978.03615995004200030009x"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3519</Words>
  <Characters>20059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rs&amp;rrs</dc:creator>
  <cp:lastModifiedBy>SDI 1020</cp:lastModifiedBy>
  <cp:revision>9</cp:revision>
  <cp:lastPrinted>2018-04-09T12:12:00Z</cp:lastPrinted>
  <dcterms:created xsi:type="dcterms:W3CDTF">2026-03-22T01:39:00Z</dcterms:created>
  <dcterms:modified xsi:type="dcterms:W3CDTF">2026-03-24T12:47:00Z</dcterms:modified>
</cp:coreProperties>
</file>