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379E" w14:textId="641560EB" w:rsidR="00356E2F" w:rsidRPr="00D21472" w:rsidRDefault="00D21472" w:rsidP="00D21472">
      <w:pPr>
        <w:spacing w:line="360" w:lineRule="auto"/>
        <w:jc w:val="center"/>
        <w:rPr>
          <w:rFonts w:ascii="Times New Roman" w:hAnsi="Times New Roman" w:cs="Times New Roman"/>
          <w:b/>
          <w:bCs/>
          <w:sz w:val="24"/>
          <w:szCs w:val="24"/>
          <w:lang w:val="en-IN"/>
        </w:rPr>
      </w:pPr>
      <w:bookmarkStart w:id="0" w:name="OLE_LINK2"/>
      <w:r w:rsidRPr="00D21472">
        <w:rPr>
          <w:rFonts w:ascii="Times New Roman" w:hAnsi="Times New Roman" w:cs="Times New Roman"/>
          <w:b/>
          <w:bCs/>
          <w:sz w:val="24"/>
          <w:szCs w:val="24"/>
          <w:lang w:val="en-IN"/>
        </w:rPr>
        <w:br/>
        <w:t>Communication Apprehension and Skill Gaps in Higher Agricultural Education: A Multi-Contextual Analysis</w:t>
      </w:r>
    </w:p>
    <w:bookmarkEnd w:id="0"/>
    <w:p w14:paraId="76ED7930" w14:textId="51B5667F" w:rsidR="00E8577E" w:rsidRPr="0070000B" w:rsidRDefault="00FB15A1" w:rsidP="00471569">
      <w:pPr>
        <w:spacing w:after="0" w:line="360" w:lineRule="auto"/>
        <w:jc w:val="both"/>
        <w:rPr>
          <w:rFonts w:ascii="Times New Roman" w:hAnsi="Times New Roman" w:cs="Times New Roman"/>
          <w:b/>
          <w:bCs/>
          <w:sz w:val="24"/>
          <w:szCs w:val="24"/>
        </w:rPr>
      </w:pPr>
      <w:r w:rsidRPr="0070000B">
        <w:rPr>
          <w:rFonts w:ascii="Times New Roman" w:hAnsi="Times New Roman" w:cs="Times New Roman"/>
          <w:b/>
          <w:bCs/>
          <w:sz w:val="24"/>
          <w:szCs w:val="24"/>
        </w:rPr>
        <w:t xml:space="preserve">Abstract </w:t>
      </w:r>
    </w:p>
    <w:p w14:paraId="10BACB24" w14:textId="4C59BB50" w:rsidR="00471569" w:rsidRPr="0070000B" w:rsidRDefault="00A04F52" w:rsidP="00471569">
      <w:pPr>
        <w:spacing w:after="0" w:line="360" w:lineRule="auto"/>
        <w:jc w:val="both"/>
        <w:rPr>
          <w:rFonts w:ascii="Times New Roman" w:hAnsi="Times New Roman" w:cs="Times New Roman"/>
          <w:sz w:val="24"/>
          <w:szCs w:val="24"/>
        </w:rPr>
      </w:pPr>
      <w:r w:rsidRPr="00A04F52">
        <w:rPr>
          <w:rFonts w:ascii="Times New Roman" w:hAnsi="Times New Roman" w:cs="Times New Roman"/>
          <w:sz w:val="24"/>
          <w:szCs w:val="24"/>
        </w:rPr>
        <w:t>This study examines the relationship between communication apprehension (CA) and communication skill gaps among postgraduate students in higher agricultural education in India. Despite extensive research on communication competencies, limited studies have examined the psychological determinants, particularly communication apprehension, influencing communication skill development. A cross-sectional quantitative research design was employed using the Personal Report of Communication Apprehension-24 (PRCA-24) and a Training Need Index (TNI) to assess communication apprehension and skill gaps among 210 postgraduate students from three leading agricultural institutions. The findings indicate that most students exhibit moderate levels of communication apprehension, with higher anxiety observed in group discussions and interpersonal interactions. Writing and speaking skills emerged as the most critical communication gaps. Regression analysis revealed a significant positive relationship between communication apprehension and communication skill gaps (β = 0.635), suggesting that higher apprehension is associated with greater training needs. Grounded in Communication Apprehension Theory and Social Cognitive Theory, the study highlights the role of psychological factors in shaping communication behaviour. The findings underscore the need for targeted, experiential communication training interventions to enhance communication competence and professional readiness among agricultural graduates.</w:t>
      </w:r>
    </w:p>
    <w:p w14:paraId="1F3D7ABA" w14:textId="77777777" w:rsidR="00471569" w:rsidRPr="0070000B" w:rsidRDefault="00471569" w:rsidP="00471569">
      <w:pPr>
        <w:spacing w:after="0" w:line="360" w:lineRule="auto"/>
        <w:jc w:val="both"/>
        <w:rPr>
          <w:rFonts w:ascii="Times New Roman" w:hAnsi="Times New Roman" w:cs="Times New Roman"/>
          <w:sz w:val="24"/>
          <w:szCs w:val="24"/>
        </w:rPr>
      </w:pPr>
    </w:p>
    <w:p w14:paraId="5233CDF9" w14:textId="57796DDD" w:rsidR="009D6799" w:rsidRDefault="009D6799" w:rsidP="00471569">
      <w:pPr>
        <w:spacing w:after="0" w:line="360" w:lineRule="auto"/>
        <w:jc w:val="both"/>
        <w:rPr>
          <w:rFonts w:ascii="Times New Roman" w:hAnsi="Times New Roman" w:cs="Times New Roman"/>
          <w:sz w:val="24"/>
          <w:szCs w:val="24"/>
        </w:rPr>
      </w:pPr>
      <w:r w:rsidRPr="0070000B">
        <w:rPr>
          <w:rFonts w:ascii="Times New Roman" w:hAnsi="Times New Roman" w:cs="Times New Roman"/>
          <w:b/>
          <w:bCs/>
          <w:sz w:val="24"/>
          <w:szCs w:val="24"/>
        </w:rPr>
        <w:t>Keywords</w:t>
      </w:r>
      <w:r w:rsidR="00471569" w:rsidRPr="0070000B">
        <w:rPr>
          <w:rFonts w:ascii="Times New Roman" w:hAnsi="Times New Roman" w:cs="Times New Roman"/>
          <w:b/>
          <w:bCs/>
          <w:sz w:val="24"/>
          <w:szCs w:val="24"/>
        </w:rPr>
        <w:t>:</w:t>
      </w:r>
      <w:r w:rsidR="00471569" w:rsidRPr="0070000B">
        <w:rPr>
          <w:rFonts w:ascii="Times New Roman" w:hAnsi="Times New Roman" w:cs="Times New Roman"/>
          <w:sz w:val="24"/>
          <w:szCs w:val="24"/>
        </w:rPr>
        <w:t xml:space="preserve"> Communication Apprehension; Communication Skill Gaps; Higher Agricultural Education; PRCA-24; Training Need Index (TNI)</w:t>
      </w:r>
    </w:p>
    <w:p w14:paraId="0F028555" w14:textId="77777777" w:rsidR="009F54ED" w:rsidRDefault="009F54ED" w:rsidP="00471569">
      <w:pPr>
        <w:spacing w:after="0" w:line="360" w:lineRule="auto"/>
        <w:jc w:val="both"/>
        <w:rPr>
          <w:rFonts w:ascii="Times New Roman" w:hAnsi="Times New Roman" w:cs="Times New Roman"/>
          <w:sz w:val="24"/>
          <w:szCs w:val="24"/>
        </w:rPr>
      </w:pPr>
    </w:p>
    <w:p w14:paraId="3F20332C" w14:textId="027CCA30" w:rsidR="00E46BB1" w:rsidRPr="0070000B" w:rsidRDefault="00E46BB1" w:rsidP="00471569">
      <w:pPr>
        <w:spacing w:after="0" w:line="360" w:lineRule="auto"/>
        <w:jc w:val="both"/>
        <w:rPr>
          <w:rFonts w:ascii="Times New Roman" w:hAnsi="Times New Roman" w:cs="Times New Roman"/>
          <w:sz w:val="24"/>
          <w:szCs w:val="24"/>
        </w:rPr>
      </w:pPr>
    </w:p>
    <w:p w14:paraId="05FA42DD" w14:textId="05BAA297" w:rsidR="004F0EE1" w:rsidRPr="0070000B" w:rsidRDefault="004F0EE1" w:rsidP="00471569">
      <w:pPr>
        <w:spacing w:line="360" w:lineRule="auto"/>
        <w:jc w:val="both"/>
        <w:rPr>
          <w:rFonts w:ascii="Times New Roman" w:hAnsi="Times New Roman" w:cs="Times New Roman"/>
          <w:b/>
          <w:bCs/>
          <w:sz w:val="24"/>
          <w:szCs w:val="24"/>
        </w:rPr>
      </w:pPr>
      <w:r w:rsidRPr="0070000B">
        <w:rPr>
          <w:rFonts w:ascii="Times New Roman" w:hAnsi="Times New Roman" w:cs="Times New Roman"/>
          <w:b/>
          <w:bCs/>
          <w:sz w:val="24"/>
          <w:szCs w:val="24"/>
        </w:rPr>
        <w:t>Introduction</w:t>
      </w:r>
    </w:p>
    <w:p w14:paraId="26925FBD" w14:textId="358060BD"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Effective communication is an essential professional competency in higher agricultural education</w:t>
      </w:r>
      <w:r w:rsidR="00885C4A" w:rsidRPr="00885C4A">
        <w:t xml:space="preserve"> </w:t>
      </w:r>
      <w:r w:rsidR="00885C4A" w:rsidRPr="00885C4A">
        <w:rPr>
          <w:rFonts w:ascii="Times New Roman" w:eastAsia="Times New Roman" w:hAnsi="Times New Roman" w:cs="Times New Roman"/>
          <w:color w:val="1B1C1D"/>
          <w:sz w:val="24"/>
          <w:szCs w:val="24"/>
        </w:rPr>
        <w:t>and is increasingly recognized as a core component of 21st-century skills and lifelong learning, particularly in professional education contexts (Gündüz, 2023).</w:t>
      </w:r>
      <w:r w:rsidR="00885C4A">
        <w:rPr>
          <w:rFonts w:ascii="Times New Roman" w:eastAsia="Times New Roman" w:hAnsi="Times New Roman" w:cs="Times New Roman"/>
          <w:color w:val="1B1C1D"/>
          <w:sz w:val="24"/>
          <w:szCs w:val="24"/>
          <w:lang w:val="en-IN"/>
        </w:rPr>
        <w:t xml:space="preserve"> </w:t>
      </w:r>
      <w:r w:rsidRPr="0070000B">
        <w:rPr>
          <w:rFonts w:ascii="Times New Roman" w:eastAsia="Times New Roman" w:hAnsi="Times New Roman" w:cs="Times New Roman"/>
          <w:color w:val="1B1C1D"/>
          <w:sz w:val="24"/>
          <w:szCs w:val="24"/>
          <w:lang w:val="en-IN"/>
        </w:rPr>
        <w:t xml:space="preserve">Agricultural graduates are </w:t>
      </w:r>
      <w:r w:rsidRPr="0070000B">
        <w:rPr>
          <w:rFonts w:ascii="Times New Roman" w:eastAsia="Times New Roman" w:hAnsi="Times New Roman" w:cs="Times New Roman"/>
          <w:color w:val="1B1C1D"/>
          <w:sz w:val="24"/>
          <w:szCs w:val="24"/>
          <w:lang w:val="en-IN"/>
        </w:rPr>
        <w:lastRenderedPageBreak/>
        <w:t>expected to communicate scientific knowledge to a wide range of stakeholders, including farmers, policymakers, researchers, and industry professionals. These responsibilities require the ability to present research findings, participate in academic discussions, prepare technical reports, and collaborate within multidisciplinary teams. However, several studies have identified persistent communication skill gaps among agricultural graduates, which limit their effectiveness in professional interactions and knowledge dissemination (Navani et al., 2015; Yadav &amp; Kumar, 2019; Singh et al., 2020). Addressing these gaps requires not only strengthening technical communication skills but also understanding the psychological factors that influence students’ communication behaviour.</w:t>
      </w:r>
    </w:p>
    <w:p w14:paraId="586F9067" w14:textId="3E3E3A79"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 xml:space="preserve">One such factor is communication apprehension (CA). McCroskey (1977) defined communication apprehension as the level of fear or anxiety associated with either real or anticipated communication with others. Individuals experiencing high levels of communication apprehension often avoid communication situations, participate less frequently in discussions, and experience discomfort when expressing their ideas. </w:t>
      </w:r>
      <w:r w:rsidR="000E768A">
        <w:rPr>
          <w:rFonts w:ascii="Times New Roman" w:eastAsia="Times New Roman" w:hAnsi="Times New Roman" w:cs="Times New Roman"/>
          <w:color w:val="1B1C1D"/>
          <w:sz w:val="24"/>
          <w:szCs w:val="24"/>
        </w:rPr>
        <w:t xml:space="preserve">It </w:t>
      </w:r>
      <w:r w:rsidR="000E768A" w:rsidRPr="000E768A">
        <w:rPr>
          <w:rFonts w:ascii="Times New Roman" w:eastAsia="Times New Roman" w:hAnsi="Times New Roman" w:cs="Times New Roman"/>
          <w:color w:val="1B1C1D"/>
          <w:sz w:val="24"/>
          <w:szCs w:val="24"/>
        </w:rPr>
        <w:t>is closely linked with individuals’ willingness to communicate, which is shaped by dynamic psychological processes including anxiety, motivation, and situational factors (MacIntyre, 2020).</w:t>
      </w:r>
      <w:r w:rsidR="000E768A">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color w:val="1B1C1D"/>
          <w:sz w:val="24"/>
          <w:szCs w:val="24"/>
          <w:lang w:val="en-IN"/>
        </w:rPr>
        <w:t>In educational environments, such apprehension can negatively influence classroom participation, academic presentations, and collaborative learning, thereby affecting students’ communication competence and professional development.</w:t>
      </w:r>
    </w:p>
    <w:p w14:paraId="4B03A8D7" w14:textId="5D135F84"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 xml:space="preserve">The relationship between communication apprehension and communication skill development can be explained through established theories of communication and learning. Communication Apprehension Theory suggests that individuals with higher levels of communication anxiety tend to avoid communication situations, which reduces opportunities for practicing communication skills and ultimately affects communication competence (McCroskey, 1977). This relationship is further supported by Social Cognitive Theory, which emphasizes that individuals’ beliefs, emotions, and </w:t>
      </w:r>
      <w:r w:rsidR="00885C4A" w:rsidRPr="0070000B">
        <w:rPr>
          <w:rFonts w:ascii="Times New Roman" w:eastAsia="Times New Roman" w:hAnsi="Times New Roman" w:cs="Times New Roman"/>
          <w:color w:val="1B1C1D"/>
          <w:sz w:val="24"/>
          <w:szCs w:val="24"/>
          <w:lang w:val="en-IN"/>
        </w:rPr>
        <w:t>behavioural</w:t>
      </w:r>
      <w:r w:rsidRPr="0070000B">
        <w:rPr>
          <w:rFonts w:ascii="Times New Roman" w:eastAsia="Times New Roman" w:hAnsi="Times New Roman" w:cs="Times New Roman"/>
          <w:color w:val="1B1C1D"/>
          <w:sz w:val="24"/>
          <w:szCs w:val="24"/>
          <w:lang w:val="en-IN"/>
        </w:rPr>
        <w:t xml:space="preserve"> responses influence learning and performance outcomes (Bandura, 1997). Students who experience higher anxiety in communication situations may engage less frequently in activities such as presentations, group discussions, and interpersonal interactions, limiting their opportunities to develop communication competencies.</w:t>
      </w:r>
    </w:p>
    <w:p w14:paraId="66712FBF"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lastRenderedPageBreak/>
        <w:t>In addition, Communication Competence Theory highlights that effective communication depends on the interaction between knowledge, skills, and motivation to communicate (Spitzberg &amp; Cupach, 1984). Individuals experiencing high communication apprehension may demonstrate lower communication confidence and reduced motivation to engage in communication activities. Consequently, anxiety associated with communication situations may contribute to communication skill gaps among students.</w:t>
      </w:r>
    </w:p>
    <w:p w14:paraId="1F41A4F4"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Communication apprehension is not uniform across situations but varies depending on the communication context. Previous research indicates that individuals may experience different levels of anxiety in situations such as public speaking, group discussions, meetings, and interpersonal conversations (McCroskey, 1977; Richmond &amp; McCroskey, 1995). For postgraduate students in agricultural education, these contexts are particularly relevant because academic training frequently requires seminar presentations, participation in discussions, academic meetings, and interactions with peers and faculty. A multi-situational assessment of communication apprehension is therefore necessary to understand how anxiety varies across different communication environments.</w:t>
      </w:r>
    </w:p>
    <w:p w14:paraId="3461F411"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Despite the recognized importance of communication competence in agricultural education, relatively limited research has examined the role of communication apprehension in shaping communication skill gaps among agricultural students. Most existing studies focus primarily on identifying communication skill deficiencies or employability competencies among graduates (Navani et al., 2015; Singh et al., 2020), with comparatively less attention given to the psychological determinants that influence communication behaviour. Understanding the relationship between communication apprehension and communication skill gaps can therefore provide valuable insights for designing targeted training interventions in higher agricultural education.</w:t>
      </w:r>
    </w:p>
    <w:p w14:paraId="000217B6" w14:textId="77777777" w:rsidR="00222FE2" w:rsidRPr="0070000B" w:rsidRDefault="00222FE2" w:rsidP="00222FE2">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 xml:space="preserve">To examine communication apprehension in multiple communication contexts, the present study employed the Personal Report of Communication Apprehension-24 (PRCA-24) developed by McCroskey (1982). The PRCA-24 was selected because it provides a comprehensive assessment of communication anxiety across four commonly experienced communication situations: group discussions, meetings, interpersonal interactions, and public speaking (McCroskey, 1989). Compared to other communication anxiety measures, the PRCA-24 offers a broader evaluation </w:t>
      </w:r>
      <w:r w:rsidRPr="0070000B">
        <w:rPr>
          <w:rFonts w:ascii="Times New Roman" w:eastAsia="Times New Roman" w:hAnsi="Times New Roman" w:cs="Times New Roman"/>
          <w:color w:val="1B1C1D"/>
          <w:sz w:val="24"/>
          <w:szCs w:val="24"/>
          <w:lang w:val="en-IN"/>
        </w:rPr>
        <w:lastRenderedPageBreak/>
        <w:t>of communication apprehension across everyday academic and professional communication environments.</w:t>
      </w:r>
    </w:p>
    <w:p w14:paraId="6B543FC3" w14:textId="77777777" w:rsidR="00222FE2" w:rsidRPr="0070000B" w:rsidRDefault="00222FE2" w:rsidP="00222FE2">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For example, the Personal Report of Public Speaking Anxiety (PRPSA) focuses exclusively on public speaking anxiety, whereas the PRCA-24 captures apprehension across multiple communication settings. Similarly, the State Communication Apprehension Measure (SCAM) assesses situational or “state” anxiety experienced in a specific moment, while the PRCA-24 measures trait communication apprehension, reflecting a more stable predisposition to experience anxiety across communication contexts (Spielberger et al., 1983). Instruments such as the Unwillingness to Communicate (WTC) scale assess individuals’ tendency to avoid communication situations rather than directly measuring the anxiety experienced during communication (McCroskey &amp; Richmond, 1987). Likewise, broader measures of social anxiety, such as the Social Interaction Anxiety Scale (SIAS) and the Social Phobia Scale (SPS), assess fear of social scrutiny in diverse activities and extend beyond communication contexts (Mattick &amp; Clarke, 1998; Rapee &amp; Heimberg, 1997).</w:t>
      </w:r>
    </w:p>
    <w:p w14:paraId="1A1F00D9" w14:textId="77777777" w:rsidR="00222FE2" w:rsidRPr="0070000B" w:rsidRDefault="00222FE2" w:rsidP="00222FE2">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Earlier instruments such as the Communication Anxiety Inventory (CAI) (Watson &amp; Friend, 1969) represented initial efforts to quantify communication anxiety; however, the PRCA-24 has since become one of the most widely used and psychometrically validated instruments for measuring communication apprehension. Extensive empirical research has demonstrated its reliability and validity across diverse populations and communication settings (Beatty &amp; McCroskey, 2001). Consequently, the PRCA-24 provides a robust and contextually appropriate instrument for assessing communication apprehension among postgraduate agricultural students.</w:t>
      </w:r>
    </w:p>
    <w:p w14:paraId="23D8BFD2" w14:textId="7EDB1725"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In this context, the present study examines the multi-situational nature of communication apprehension and its relationship with communication skill gaps among postgraduate students in agricultural universities. By combining the PRCA-24 scale with a Training Need Index (TNI) assessment of communication competencies across speaking, writing, reading, listening, and non-verbal communication, the study aims to provide a comprehensive understanding of how communication anxiety influences communication skill development in higher agricultural education.</w:t>
      </w:r>
    </w:p>
    <w:p w14:paraId="4D439DD3" w14:textId="77777777" w:rsidR="00DE3E3A" w:rsidRPr="0070000B" w:rsidRDefault="00DE3E3A" w:rsidP="00DE3E3A">
      <w:pPr>
        <w:spacing w:line="360" w:lineRule="auto"/>
        <w:jc w:val="both"/>
        <w:rPr>
          <w:rFonts w:ascii="Times New Roman" w:eastAsia="Times New Roman" w:hAnsi="Times New Roman" w:cs="Times New Roman"/>
          <w:b/>
          <w:bCs/>
          <w:color w:val="1B1C1D"/>
          <w:sz w:val="24"/>
          <w:szCs w:val="24"/>
          <w:lang w:val="en-IN"/>
        </w:rPr>
      </w:pPr>
      <w:r w:rsidRPr="0070000B">
        <w:rPr>
          <w:rFonts w:ascii="Times New Roman" w:eastAsia="Times New Roman" w:hAnsi="Times New Roman" w:cs="Times New Roman"/>
          <w:b/>
          <w:bCs/>
          <w:color w:val="1B1C1D"/>
          <w:sz w:val="24"/>
          <w:szCs w:val="24"/>
          <w:lang w:val="en-IN"/>
        </w:rPr>
        <w:t>Objectives of the Study</w:t>
      </w:r>
    </w:p>
    <w:p w14:paraId="360A8CE2"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lastRenderedPageBreak/>
        <w:t>The study was conducted with the following objectives:</w:t>
      </w:r>
    </w:p>
    <w:p w14:paraId="4DCB7CCA" w14:textId="77777777" w:rsidR="00DE3E3A" w:rsidRPr="0070000B" w:rsidRDefault="00DE3E3A" w:rsidP="00DE3E3A">
      <w:pPr>
        <w:numPr>
          <w:ilvl w:val="0"/>
          <w:numId w:val="19"/>
        </w:num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To assess the level of communication apprehension among postgraduate agricultural students across different communication contexts.</w:t>
      </w:r>
    </w:p>
    <w:p w14:paraId="127F1E30" w14:textId="77777777" w:rsidR="00DE3E3A" w:rsidRPr="0070000B" w:rsidRDefault="00DE3E3A" w:rsidP="00DE3E3A">
      <w:pPr>
        <w:numPr>
          <w:ilvl w:val="0"/>
          <w:numId w:val="19"/>
        </w:num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To identify communication skill gaps among postgraduate agricultural students using the Training Need Index (TNI).</w:t>
      </w:r>
    </w:p>
    <w:p w14:paraId="31B5D1E2" w14:textId="77777777" w:rsidR="00DE3E3A" w:rsidRPr="0070000B" w:rsidRDefault="00DE3E3A" w:rsidP="00DE3E3A">
      <w:pPr>
        <w:numPr>
          <w:ilvl w:val="0"/>
          <w:numId w:val="19"/>
        </w:num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To examine the relationship between communication apprehension and communication skill gaps among postgraduate agricultural students.</w:t>
      </w:r>
    </w:p>
    <w:p w14:paraId="666EF883" w14:textId="77777777" w:rsidR="004F0EE1" w:rsidRPr="0070000B" w:rsidRDefault="004F0EE1" w:rsidP="00471569">
      <w:pPr>
        <w:spacing w:line="360" w:lineRule="auto"/>
        <w:jc w:val="both"/>
        <w:rPr>
          <w:rFonts w:ascii="Times New Roman" w:hAnsi="Times New Roman" w:cs="Times New Roman"/>
          <w:b/>
          <w:bCs/>
          <w:sz w:val="24"/>
          <w:szCs w:val="24"/>
        </w:rPr>
      </w:pPr>
      <w:r w:rsidRPr="0070000B">
        <w:rPr>
          <w:rFonts w:ascii="Times New Roman" w:hAnsi="Times New Roman" w:cs="Times New Roman"/>
          <w:b/>
          <w:bCs/>
          <w:sz w:val="24"/>
          <w:szCs w:val="24"/>
        </w:rPr>
        <w:t>Materials and Methods</w:t>
      </w:r>
    </w:p>
    <w:p w14:paraId="2B088D43" w14:textId="534031AA" w:rsidR="00653A8F" w:rsidRPr="0070000B" w:rsidRDefault="00FB15A1"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An </w:t>
      </w:r>
      <w:r w:rsidRPr="0070000B">
        <w:rPr>
          <w:rFonts w:ascii="Times New Roman" w:hAnsi="Times New Roman" w:cs="Times New Roman"/>
          <w:i/>
          <w:sz w:val="24"/>
          <w:szCs w:val="24"/>
        </w:rPr>
        <w:t>Exploratory</w:t>
      </w:r>
      <w:r w:rsidRPr="0070000B">
        <w:rPr>
          <w:rFonts w:ascii="Times New Roman" w:hAnsi="Times New Roman" w:cs="Times New Roman"/>
          <w:sz w:val="24"/>
          <w:szCs w:val="24"/>
        </w:rPr>
        <w:t xml:space="preserve"> and </w:t>
      </w:r>
      <w:r w:rsidRPr="0070000B">
        <w:rPr>
          <w:rFonts w:ascii="Times New Roman" w:hAnsi="Times New Roman" w:cs="Times New Roman"/>
          <w:i/>
          <w:sz w:val="24"/>
          <w:szCs w:val="24"/>
        </w:rPr>
        <w:t>Descriptive</w:t>
      </w:r>
      <w:r w:rsidRPr="0070000B">
        <w:rPr>
          <w:rFonts w:ascii="Times New Roman" w:hAnsi="Times New Roman" w:cs="Times New Roman"/>
          <w:sz w:val="24"/>
          <w:szCs w:val="24"/>
        </w:rPr>
        <w:t xml:space="preserve"> research design was followed to conduct the study. For this study, three prominent agricultural institutions were purposively selected based on their ranking and reputation in the National Institutional Ranking Framework (NIRF) 2024. Institutes were selected based on the selected indicators under the parameters given NIRF </w:t>
      </w:r>
      <w:r w:rsidRPr="0070000B">
        <w:rPr>
          <w:rFonts w:ascii="Times New Roman" w:hAnsi="Times New Roman" w:cs="Times New Roman"/>
          <w:color w:val="000000" w:themeColor="text1"/>
          <w:sz w:val="24"/>
          <w:szCs w:val="24"/>
        </w:rPr>
        <w:t xml:space="preserve">with varying weights: Research and Professional Practice, Graduation Outcomes, Outreach and Inclusivity, and Perception. The chosen universities represent a diverse institutional landscape, including a Deemed University (Indian Agricultural Research Institute, IARI), a State Agricultural University (G.B. Pant University of Agriculture and Technology, GBPUAT), and a Central University with an agricultural faculty (Banaras Hindu University, BHU). All three institutions were ranked within the top ten, </w:t>
      </w:r>
      <w:r w:rsidR="008011AC" w:rsidRPr="0070000B">
        <w:rPr>
          <w:rFonts w:ascii="Times New Roman" w:hAnsi="Times New Roman" w:cs="Times New Roman"/>
          <w:color w:val="000000" w:themeColor="text1"/>
          <w:sz w:val="24"/>
          <w:szCs w:val="24"/>
        </w:rPr>
        <w:t>this</w:t>
      </w:r>
      <w:r w:rsidRPr="0070000B">
        <w:rPr>
          <w:rFonts w:ascii="Times New Roman" w:hAnsi="Times New Roman" w:cs="Times New Roman"/>
          <w:color w:val="000000" w:themeColor="text1"/>
          <w:sz w:val="24"/>
          <w:szCs w:val="24"/>
        </w:rPr>
        <w:t xml:space="preserve"> rigorous selection process ensures that the research findings are relevant to and representative of high-performing institutions that significantly influence agricultural education in India.</w:t>
      </w:r>
      <w:r w:rsidR="00A83294" w:rsidRPr="0070000B">
        <w:t xml:space="preserve"> </w:t>
      </w:r>
      <w:r w:rsidR="00A83294" w:rsidRPr="0070000B">
        <w:rPr>
          <w:rFonts w:ascii="Times New Roman" w:hAnsi="Times New Roman" w:cs="Times New Roman"/>
          <w:color w:val="000000" w:themeColor="text1"/>
          <w:sz w:val="24"/>
          <w:szCs w:val="24"/>
        </w:rPr>
        <w:t>The study targeted postgraduate students enrolled in agricultural programs across the selected institutions. Inclusion criteria required that respondents be currently registered in a master’s or doctoral program, with exposure to coursework, seminars, and academic writing, ensuring familiarity with communication-related tasks. To ensure representation from diverse institutional setting, seventy students each from three universities were selected through stratified sampling adding a total of 210 students, Care was taken to include students across different disciplines within agriculture, thereby enhancing the generalizability of findings within the postgraduate agricultural education context.</w:t>
      </w:r>
    </w:p>
    <w:p w14:paraId="02201803" w14:textId="77777777" w:rsidR="00653A8F" w:rsidRPr="0070000B" w:rsidRDefault="00653A8F" w:rsidP="00471569">
      <w:pPr>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lastRenderedPageBreak/>
        <w:t>According to James C. McCroskey in 1982, communication apprehension is defined as an individual's level of fear or anxiety associated with either real or anticipated communication with others. In the development of the PRCA-24 (Personal Report of Communication Apprehension) Scale, McCroskey described it as a form of anxiety that can affect an individual's ability to communicate effectively and can impact their willingness to engage in various communication contexts, including public speaking, interpersonal conversations, and group interactions.</w:t>
      </w:r>
    </w:p>
    <w:p w14:paraId="2445E84F" w14:textId="77777777" w:rsidR="00653A8F" w:rsidRPr="0070000B" w:rsidRDefault="00653A8F" w:rsidP="00471569">
      <w:pPr>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The scale consists of 24 items that assess an individual's level of anxiety related to different communication situations. These situations include public speaking, group discussions, and interpersonal conversations. Respondents rate each item on a five-point scale ranging from "strongly agree" to "strongly disagree," indicating the degree to which they experience apprehension in each situation. The items are divided into four subscales:</w:t>
      </w:r>
    </w:p>
    <w:p w14:paraId="28EDE18A" w14:textId="77777777" w:rsidR="00653A8F" w:rsidRPr="0070000B" w:rsidRDefault="00653A8F" w:rsidP="00471569">
      <w:pPr>
        <w:numPr>
          <w:ilvl w:val="0"/>
          <w:numId w:val="18"/>
        </w:numPr>
        <w:tabs>
          <w:tab w:val="num" w:pos="720"/>
        </w:tabs>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Public Speaking: Anxiety related to giving speeches or presentations.</w:t>
      </w:r>
    </w:p>
    <w:p w14:paraId="48F23683" w14:textId="77777777" w:rsidR="00653A8F" w:rsidRPr="0070000B" w:rsidRDefault="00653A8F" w:rsidP="00471569">
      <w:pPr>
        <w:numPr>
          <w:ilvl w:val="0"/>
          <w:numId w:val="18"/>
        </w:numPr>
        <w:tabs>
          <w:tab w:val="num" w:pos="720"/>
        </w:tabs>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Meeting New People: Apprehension about engaging with unfamiliar individuals.</w:t>
      </w:r>
    </w:p>
    <w:p w14:paraId="0F220F18" w14:textId="77777777" w:rsidR="00653A8F" w:rsidRPr="0070000B" w:rsidRDefault="00653A8F" w:rsidP="00471569">
      <w:pPr>
        <w:numPr>
          <w:ilvl w:val="0"/>
          <w:numId w:val="18"/>
        </w:numPr>
        <w:tabs>
          <w:tab w:val="num" w:pos="720"/>
        </w:tabs>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Group Discussions: Anxiety experienced in group interactions.</w:t>
      </w:r>
    </w:p>
    <w:p w14:paraId="28A9B47B" w14:textId="77777777" w:rsidR="00653A8F" w:rsidRPr="0070000B" w:rsidRDefault="00653A8F" w:rsidP="00471569">
      <w:pPr>
        <w:numPr>
          <w:ilvl w:val="0"/>
          <w:numId w:val="18"/>
        </w:numPr>
        <w:tabs>
          <w:tab w:val="num" w:pos="720"/>
        </w:tabs>
        <w:spacing w:after="160" w:line="360" w:lineRule="auto"/>
        <w:jc w:val="both"/>
        <w:rPr>
          <w:rFonts w:ascii="Times New Roman" w:hAnsi="Times New Roman" w:cs="Times New Roman"/>
          <w:sz w:val="24"/>
          <w:szCs w:val="24"/>
        </w:rPr>
      </w:pPr>
      <w:r w:rsidRPr="0070000B">
        <w:rPr>
          <w:rFonts w:ascii="Times New Roman" w:hAnsi="Times New Roman" w:cs="Times New Roman"/>
          <w:sz w:val="24"/>
          <w:szCs w:val="24"/>
        </w:rPr>
        <w:t>Interpersonal Conversations: Apprehension in one-on-one conversations.</w:t>
      </w:r>
    </w:p>
    <w:p w14:paraId="59D02EC8" w14:textId="61F97DEC" w:rsidR="00653A8F" w:rsidRPr="0070000B" w:rsidRDefault="00653A8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To obtain total score for the PRCA, Scores of all subscales were added.</w:t>
      </w:r>
      <w:r w:rsidR="00FB15A1" w:rsidRPr="0070000B">
        <w:rPr>
          <w:rFonts w:ascii="Times New Roman" w:hAnsi="Times New Roman" w:cs="Times New Roman"/>
          <w:sz w:val="24"/>
          <w:szCs w:val="24"/>
        </w:rPr>
        <w:t xml:space="preserve"> </w:t>
      </w:r>
      <w:r w:rsidRPr="0070000B">
        <w:rPr>
          <w:rFonts w:ascii="Times New Roman" w:hAnsi="Times New Roman" w:cs="Times New Roman"/>
          <w:sz w:val="24"/>
          <w:szCs w:val="24"/>
        </w:rPr>
        <w:t>Scores range from 24-120. Scores below 51 represent people who had very low communication apprehension. Scores between</w:t>
      </w:r>
      <w:r w:rsidR="00EA6496" w:rsidRPr="0070000B">
        <w:rPr>
          <w:rFonts w:ascii="Times New Roman" w:hAnsi="Times New Roman" w:cs="Times New Roman"/>
          <w:sz w:val="24"/>
          <w:szCs w:val="24"/>
        </w:rPr>
        <w:t xml:space="preserve"> </w:t>
      </w:r>
      <w:r w:rsidRPr="0070000B">
        <w:rPr>
          <w:rFonts w:ascii="Times New Roman" w:hAnsi="Times New Roman" w:cs="Times New Roman"/>
          <w:sz w:val="24"/>
          <w:szCs w:val="24"/>
        </w:rPr>
        <w:t xml:space="preserve">51-80 represent people with average communication apprehension. Scores above 80 represent people who had high levels of trait communication apprehension. Similarly Scores of each sub scale ranges from 06-30. </w:t>
      </w:r>
    </w:p>
    <w:p w14:paraId="34BC9D0A" w14:textId="5308BCCC" w:rsidR="00222FE2" w:rsidRPr="0070000B" w:rsidRDefault="00222FE2" w:rsidP="00471569">
      <w:pPr>
        <w:spacing w:line="360" w:lineRule="auto"/>
        <w:jc w:val="both"/>
        <w:rPr>
          <w:rFonts w:ascii="Times New Roman" w:hAnsi="Times New Roman" w:cs="Times New Roman"/>
          <w:lang w:val="en-IN"/>
        </w:rPr>
      </w:pPr>
      <w:r w:rsidRPr="0070000B">
        <w:rPr>
          <w:rFonts w:ascii="Times New Roman" w:hAnsi="Times New Roman" w:cs="Times New Roman"/>
          <w:lang w:val="en-IN"/>
        </w:rPr>
        <w:t xml:space="preserve">To ensure the internal consistency of the instrument used in the study, reliability analysis was conducted using Cronbach’s alpha. </w:t>
      </w:r>
      <w:r w:rsidRPr="0070000B">
        <w:rPr>
          <w:rFonts w:ascii="Times New Roman" w:hAnsi="Times New Roman" w:cs="Times New Roman"/>
        </w:rPr>
        <w:t xml:space="preserve">The </w:t>
      </w:r>
      <w:r w:rsidRPr="0070000B">
        <w:rPr>
          <w:rFonts w:ascii="Times New Roman" w:hAnsi="Times New Roman" w:cs="Times New Roman"/>
          <w:sz w:val="24"/>
          <w:szCs w:val="24"/>
        </w:rPr>
        <w:t xml:space="preserve">PRCA-24 (Personal Report of Communication Apprehension) </w:t>
      </w:r>
      <w:r w:rsidRPr="0070000B">
        <w:rPr>
          <w:rFonts w:ascii="Times New Roman" w:hAnsi="Times New Roman" w:cs="Times New Roman"/>
        </w:rPr>
        <w:t xml:space="preserve">showed good internal consistency (Cronbach’s α = 0.84), indicating that scale is suitable for measuring motivational constructs in the present sample of </w:t>
      </w:r>
      <w:r w:rsidRPr="0070000B">
        <w:rPr>
          <w:rFonts w:ascii="Times New Roman" w:hAnsi="Times New Roman" w:cs="Times New Roman"/>
          <w:lang w:val="en-IN"/>
        </w:rPr>
        <w:t>postgraduate agricultural students</w:t>
      </w:r>
      <w:r w:rsidRPr="0070000B">
        <w:rPr>
          <w:rFonts w:ascii="Times New Roman" w:hAnsi="Times New Roman" w:cs="Times New Roman"/>
        </w:rPr>
        <w:t>.</w:t>
      </w:r>
    </w:p>
    <w:p w14:paraId="229F96E2" w14:textId="4D190E43" w:rsidR="00653A8F" w:rsidRPr="0070000B" w:rsidRDefault="00332E8C" w:rsidP="00471569">
      <w:pPr>
        <w:spacing w:line="360" w:lineRule="auto"/>
        <w:jc w:val="both"/>
        <w:rPr>
          <w:rFonts w:ascii="Times New Roman" w:eastAsia="Calibri" w:hAnsi="Times New Roman" w:cs="Times New Roman"/>
          <w:sz w:val="24"/>
          <w:szCs w:val="24"/>
          <w:lang w:val="en-IN"/>
        </w:rPr>
      </w:pPr>
      <w:r w:rsidRPr="0070000B">
        <w:rPr>
          <w:rFonts w:ascii="Times New Roman" w:eastAsia="Calibri" w:hAnsi="Times New Roman" w:cs="Times New Roman"/>
          <w:sz w:val="24"/>
          <w:szCs w:val="24"/>
          <w:lang w:val="en-IN"/>
        </w:rPr>
        <w:t>Required Communication skills for students were gathered with using Delphi technique among five dimensions viz, speaking, writing, reading, listening and non-verbal skills, perceived competency in these Communication skills was gathered with the help of five-point scale. T</w:t>
      </w:r>
      <w:r w:rsidR="00653A8F" w:rsidRPr="0070000B">
        <w:rPr>
          <w:rFonts w:ascii="Times New Roman" w:eastAsia="Calibri" w:hAnsi="Times New Roman" w:cs="Times New Roman"/>
          <w:sz w:val="24"/>
          <w:szCs w:val="24"/>
          <w:lang w:val="en-IN"/>
        </w:rPr>
        <w:t>he Training Need Index (TNI) for communication skills is computed with the help of following formula (Patil and Kokate, 2011). Training need index is calculated by dividing Total obtained score by maximum obtainable score, and by multiplying with 100</w:t>
      </w:r>
    </w:p>
    <w:p w14:paraId="614693F2" w14:textId="2758D900" w:rsidR="00FB15A1" w:rsidRPr="0070000B" w:rsidRDefault="0070000B" w:rsidP="00B92D22">
      <w:pPr>
        <w:spacing w:after="0" w:line="360" w:lineRule="auto"/>
        <w:jc w:val="center"/>
        <w:rPr>
          <w:rFonts w:ascii="Times New Roman" w:eastAsia="Calibri" w:hAnsi="Times New Roman" w:cs="Times New Roman"/>
          <w:sz w:val="24"/>
          <w:szCs w:val="24"/>
          <w:lang w:val="en-IN"/>
        </w:rPr>
      </w:pPr>
      <m:oMath>
        <m:r>
          <m:rPr>
            <m:sty m:val="p"/>
          </m:rPr>
          <w:rPr>
            <w:rFonts w:ascii="Cambria Math" w:eastAsia="Calibri" w:hAnsi="Cambria Math" w:cs="Times New Roman"/>
            <w:sz w:val="24"/>
            <w:szCs w:val="24"/>
            <w:lang w:val="en-IN"/>
          </w:rPr>
          <w:lastRenderedPageBreak/>
          <m:t>TNI</m:t>
        </m:r>
        <m:r>
          <w:rPr>
            <w:rFonts w:ascii="Cambria Math" w:eastAsia="Calibri" w:hAnsi="Cambria Math" w:cs="Times New Roman"/>
            <w:sz w:val="24"/>
            <w:szCs w:val="24"/>
            <w:lang w:val="en-IN"/>
          </w:rPr>
          <m:t xml:space="preserve">= </m:t>
        </m:r>
        <m:f>
          <m:fPr>
            <m:ctrlPr>
              <w:rPr>
                <w:rFonts w:ascii="Cambria Math" w:eastAsia="Calibri" w:hAnsi="Cambria Math" w:cs="Times New Roman"/>
                <w:i/>
                <w:kern w:val="2"/>
                <w:sz w:val="24"/>
                <w:szCs w:val="24"/>
                <w:lang w:val="en-IN"/>
              </w:rPr>
            </m:ctrlPr>
          </m:fPr>
          <m:num>
            <m:r>
              <m:rPr>
                <m:sty m:val="p"/>
              </m:rPr>
              <w:rPr>
                <w:rFonts w:ascii="Cambria Math" w:eastAsia="Calibri" w:hAnsi="Cambria Math" w:cs="Times New Roman"/>
                <w:sz w:val="24"/>
                <w:szCs w:val="24"/>
                <w:u w:val="single"/>
                <w:lang w:val="en-IN"/>
              </w:rPr>
              <m:t>Total obtained score</m:t>
            </m:r>
            <m:r>
              <m:rPr>
                <m:sty m:val="p"/>
              </m:rPr>
              <w:rPr>
                <w:rFonts w:ascii="Cambria Math" w:eastAsia="Calibri" w:hAnsi="Cambria Math" w:cs="Times New Roman"/>
                <w:sz w:val="24"/>
                <w:szCs w:val="24"/>
                <w:lang w:val="en-IN"/>
              </w:rPr>
              <m:t xml:space="preserve"> </m:t>
            </m:r>
          </m:num>
          <m:den>
            <m:r>
              <m:rPr>
                <m:sty m:val="p"/>
              </m:rPr>
              <w:rPr>
                <w:rFonts w:ascii="Cambria Math" w:eastAsia="Calibri" w:hAnsi="Cambria Math" w:cs="Times New Roman"/>
                <w:sz w:val="24"/>
                <w:szCs w:val="24"/>
                <w:lang w:val="en-IN"/>
              </w:rPr>
              <m:t>Maximum obtainable score</m:t>
            </m:r>
          </m:den>
        </m:f>
        <m:r>
          <w:rPr>
            <w:rFonts w:ascii="Cambria Math" w:eastAsia="Calibri" w:hAnsi="Cambria Math" w:cs="Times New Roman"/>
            <w:sz w:val="24"/>
            <w:szCs w:val="24"/>
            <w:lang w:val="en-IN"/>
          </w:rPr>
          <m:t xml:space="preserve"> </m:t>
        </m:r>
        <m:r>
          <m:rPr>
            <m:sty m:val="p"/>
          </m:rPr>
          <w:rPr>
            <w:rFonts w:ascii="Cambria Math" w:eastAsia="Calibri" w:hAnsi="Cambria Math" w:cs="Times New Roman"/>
            <w:sz w:val="24"/>
            <w:szCs w:val="24"/>
            <w:lang w:val="en-IN"/>
          </w:rPr>
          <m:t>X</m:t>
        </m:r>
        <m:r>
          <w:rPr>
            <w:rFonts w:ascii="Cambria Math" w:eastAsia="Calibri" w:hAnsi="Cambria Math" w:cs="Times New Roman"/>
            <w:sz w:val="24"/>
            <w:szCs w:val="24"/>
            <w:lang w:val="en-IN"/>
          </w:rPr>
          <m:t xml:space="preserve"> 100</m:t>
        </m:r>
      </m:oMath>
      <w:r w:rsidR="00FB15A1" w:rsidRPr="0070000B">
        <w:rPr>
          <w:rFonts w:ascii="Times New Roman" w:eastAsia="Calibri" w:hAnsi="Times New Roman" w:cs="Times New Roman"/>
          <w:sz w:val="24"/>
          <w:szCs w:val="24"/>
          <w:lang w:val="en-IN"/>
        </w:rPr>
        <w:t xml:space="preserve">   </w:t>
      </w:r>
      <w:r w:rsidR="00FB15A1" w:rsidRPr="0070000B">
        <w:rPr>
          <w:rFonts w:ascii="Times New Roman" w:eastAsia="Calibri" w:hAnsi="Times New Roman" w:cs="Times New Roman"/>
          <w:sz w:val="24"/>
          <w:szCs w:val="24"/>
          <w:lang w:val="en-IN"/>
        </w:rPr>
        <w:tab/>
        <w:t>-(I)</w:t>
      </w:r>
    </w:p>
    <w:p w14:paraId="1FC9A995" w14:textId="77777777" w:rsidR="00E8577E" w:rsidRPr="0070000B" w:rsidRDefault="00FB15A1" w:rsidP="00471569">
      <w:pPr>
        <w:spacing w:line="360" w:lineRule="auto"/>
        <w:jc w:val="center"/>
        <w:rPr>
          <w:rFonts w:ascii="Times New Roman" w:eastAsia="Calibri" w:hAnsi="Times New Roman" w:cs="Times New Roman"/>
          <w:sz w:val="24"/>
          <w:szCs w:val="24"/>
          <w:lang w:val="en-IN"/>
        </w:rPr>
      </w:pPr>
      <w:r w:rsidRPr="0070000B">
        <w:rPr>
          <w:rFonts w:ascii="Times New Roman" w:eastAsia="Calibri" w:hAnsi="Times New Roman" w:cs="Times New Roman"/>
          <w:sz w:val="24"/>
          <w:szCs w:val="24"/>
          <w:lang w:val="en-IN"/>
        </w:rPr>
        <w:t xml:space="preserve">Skill gap = Training need = 100-TNI </w:t>
      </w:r>
      <w:r w:rsidRPr="0070000B">
        <w:rPr>
          <w:rFonts w:ascii="Times New Roman" w:eastAsia="Calibri" w:hAnsi="Times New Roman" w:cs="Times New Roman"/>
          <w:sz w:val="24"/>
          <w:szCs w:val="24"/>
          <w:lang w:val="en-IN"/>
        </w:rPr>
        <w:tab/>
        <w:t>-(II)</w:t>
      </w:r>
    </w:p>
    <w:p w14:paraId="045E6133" w14:textId="678AAFDB" w:rsidR="003F7601" w:rsidRPr="0070000B" w:rsidRDefault="003F7601" w:rsidP="003F7601">
      <w:pPr>
        <w:spacing w:line="360" w:lineRule="auto"/>
        <w:jc w:val="both"/>
        <w:rPr>
          <w:rFonts w:ascii="Times New Roman" w:eastAsia="Calibri" w:hAnsi="Times New Roman" w:cs="Times New Roman"/>
          <w:lang w:val="en-IN"/>
        </w:rPr>
      </w:pPr>
      <w:r w:rsidRPr="0070000B">
        <w:rPr>
          <w:rFonts w:ascii="Times New Roman" w:eastAsia="Calibri" w:hAnsi="Times New Roman" w:cs="Times New Roman"/>
        </w:rPr>
        <w:t>The communication competencies assessed in this study are based on students’ self-perceived levels of competence and importance of specific communication skills. The Training Need Index therefore reflects perceived communication training needs rather than objectively measured communication proficiency. Perception-based assessment is widely used in training need analysis because it captures learners’ subjective evaluation of their own skill gaps and identifies areas where they feel additional training or support is required. However, such assessments may also be influenced by individual self-evaluation tendencies. Therefore, the findings should be interpreted as indicators of perceived communication skill gaps among postgraduate students.</w:t>
      </w:r>
    </w:p>
    <w:p w14:paraId="6A5E1D7A" w14:textId="2A05137F" w:rsidR="00653A8F" w:rsidRPr="0070000B" w:rsidRDefault="00653A8F" w:rsidP="00471569">
      <w:pPr>
        <w:spacing w:line="360" w:lineRule="auto"/>
        <w:rPr>
          <w:rFonts w:ascii="Times New Roman" w:hAnsi="Times New Roman" w:cs="Times New Roman"/>
          <w:b/>
          <w:bCs/>
          <w:sz w:val="24"/>
          <w:szCs w:val="24"/>
        </w:rPr>
      </w:pPr>
      <w:bookmarkStart w:id="1" w:name="OLE_LINK1"/>
      <w:r w:rsidRPr="0070000B">
        <w:rPr>
          <w:rFonts w:ascii="Times New Roman" w:hAnsi="Times New Roman" w:cs="Times New Roman"/>
          <w:b/>
          <w:bCs/>
          <w:sz w:val="24"/>
          <w:szCs w:val="24"/>
        </w:rPr>
        <w:t>RESULTS</w:t>
      </w:r>
    </w:p>
    <w:p w14:paraId="594C138A" w14:textId="29C4C81D" w:rsidR="009514BF" w:rsidRPr="0070000B" w:rsidRDefault="009514BF" w:rsidP="009514BF">
      <w:pPr>
        <w:spacing w:line="360" w:lineRule="auto"/>
        <w:jc w:val="both"/>
        <w:rPr>
          <w:rFonts w:ascii="Times New Roman" w:eastAsia="Calibri" w:hAnsi="Times New Roman" w:cs="Times New Roman"/>
          <w:sz w:val="24"/>
          <w:szCs w:val="24"/>
          <w:lang w:val="en-IN"/>
        </w:rPr>
      </w:pPr>
      <w:r w:rsidRPr="0070000B">
        <w:rPr>
          <w:rFonts w:ascii="Times New Roman" w:eastAsia="Calibri" w:hAnsi="Times New Roman" w:cs="Times New Roman"/>
          <w:sz w:val="24"/>
          <w:szCs w:val="24"/>
          <w:lang w:val="en-IN"/>
        </w:rPr>
        <w:t>The distribution of students according to communication apprehension in group discussions is presented in Table 1. The results indicate that a majority of students across the three universities fall within the medium apprehension category (61.91%), while 35.71% of students exhibit high communication apprehension, and only 2.38% fall under the low category.</w:t>
      </w:r>
    </w:p>
    <w:p w14:paraId="379DBDF8" w14:textId="054D80EC" w:rsidR="00687A4F" w:rsidRPr="0070000B" w:rsidRDefault="00687A4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Table </w:t>
      </w:r>
      <w:r w:rsidR="00FB15A1" w:rsidRPr="0070000B">
        <w:rPr>
          <w:rFonts w:ascii="Times New Roman" w:hAnsi="Times New Roman" w:cs="Times New Roman"/>
          <w:sz w:val="24"/>
          <w:szCs w:val="24"/>
        </w:rPr>
        <w:t>1</w:t>
      </w:r>
      <w:r w:rsidRPr="0070000B">
        <w:rPr>
          <w:rFonts w:ascii="Times New Roman" w:hAnsi="Times New Roman" w:cs="Times New Roman"/>
          <w:sz w:val="24"/>
          <w:szCs w:val="24"/>
        </w:rPr>
        <w:t xml:space="preserve"> Distribution of students’ according to Subscale Group discussion</w:t>
      </w:r>
    </w:p>
    <w:tbl>
      <w:tblPr>
        <w:tblStyle w:val="TableGrid"/>
        <w:tblW w:w="5000" w:type="pct"/>
        <w:tblLook w:val="04A0" w:firstRow="1" w:lastRow="0" w:firstColumn="1" w:lastColumn="0" w:noHBand="0" w:noVBand="1"/>
      </w:tblPr>
      <w:tblGrid>
        <w:gridCol w:w="643"/>
        <w:gridCol w:w="1869"/>
        <w:gridCol w:w="1603"/>
        <w:gridCol w:w="458"/>
        <w:gridCol w:w="793"/>
        <w:gridCol w:w="456"/>
        <w:gridCol w:w="757"/>
        <w:gridCol w:w="456"/>
        <w:gridCol w:w="873"/>
        <w:gridCol w:w="576"/>
        <w:gridCol w:w="1092"/>
      </w:tblGrid>
      <w:tr w:rsidR="003807B2" w:rsidRPr="0070000B" w14:paraId="22BD1816" w14:textId="77777777" w:rsidTr="009514BF">
        <w:trPr>
          <w:trHeight w:val="351"/>
        </w:trPr>
        <w:tc>
          <w:tcPr>
            <w:tcW w:w="336" w:type="pct"/>
            <w:vMerge w:val="restart"/>
            <w:vAlign w:val="center"/>
          </w:tcPr>
          <w:p w14:paraId="398D951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p>
        </w:tc>
        <w:tc>
          <w:tcPr>
            <w:tcW w:w="976" w:type="pct"/>
            <w:vMerge w:val="restart"/>
            <w:vAlign w:val="center"/>
          </w:tcPr>
          <w:p w14:paraId="079E07A0"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54973E4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Group discussion</w:t>
            </w:r>
            <w:r w:rsidRPr="0070000B">
              <w:rPr>
                <w:rFonts w:ascii="Times New Roman" w:hAnsi="Times New Roman" w:cs="Times New Roman"/>
                <w:color w:val="000000"/>
                <w:sz w:val="24"/>
                <w:szCs w:val="24"/>
              </w:rPr>
              <w:t>)</w:t>
            </w:r>
          </w:p>
        </w:tc>
        <w:tc>
          <w:tcPr>
            <w:tcW w:w="837" w:type="pct"/>
            <w:vMerge w:val="restart"/>
            <w:vAlign w:val="center"/>
          </w:tcPr>
          <w:p w14:paraId="493DB3CA"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653" w:type="pct"/>
            <w:gridSpan w:val="2"/>
            <w:vAlign w:val="center"/>
          </w:tcPr>
          <w:p w14:paraId="5F271F7A"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GBPUAT</w:t>
            </w:r>
          </w:p>
          <w:p w14:paraId="7AEF7604"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633" w:type="pct"/>
            <w:gridSpan w:val="2"/>
            <w:vAlign w:val="center"/>
          </w:tcPr>
          <w:p w14:paraId="4F8F6A78"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IARI (n=70)</w:t>
            </w:r>
          </w:p>
        </w:tc>
        <w:tc>
          <w:tcPr>
            <w:tcW w:w="694" w:type="pct"/>
            <w:gridSpan w:val="2"/>
            <w:vAlign w:val="center"/>
          </w:tcPr>
          <w:p w14:paraId="4BF4508A" w14:textId="0419B91D" w:rsidR="003807B2" w:rsidRPr="0070000B" w:rsidRDefault="00FB15A1"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IAS-</w:t>
            </w:r>
            <w:r w:rsidR="003807B2" w:rsidRPr="0070000B">
              <w:rPr>
                <w:rFonts w:ascii="Times New Roman" w:hAnsi="Times New Roman" w:cs="Times New Roman"/>
                <w:sz w:val="24"/>
                <w:szCs w:val="24"/>
              </w:rPr>
              <w:t>BHU (n=70)</w:t>
            </w:r>
          </w:p>
        </w:tc>
        <w:tc>
          <w:tcPr>
            <w:tcW w:w="871" w:type="pct"/>
            <w:gridSpan w:val="2"/>
            <w:vAlign w:val="center"/>
          </w:tcPr>
          <w:p w14:paraId="76C29AE4"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3807B2" w:rsidRPr="0070000B" w14:paraId="7A541C2D" w14:textId="77777777" w:rsidTr="009514BF">
        <w:trPr>
          <w:trHeight w:val="64"/>
        </w:trPr>
        <w:tc>
          <w:tcPr>
            <w:tcW w:w="336" w:type="pct"/>
            <w:vMerge/>
            <w:vAlign w:val="center"/>
          </w:tcPr>
          <w:p w14:paraId="4B51D630" w14:textId="77777777" w:rsidR="003807B2" w:rsidRPr="0070000B" w:rsidRDefault="003807B2" w:rsidP="00471569">
            <w:pPr>
              <w:spacing w:line="360" w:lineRule="auto"/>
              <w:jc w:val="center"/>
              <w:rPr>
                <w:rFonts w:ascii="Times New Roman" w:hAnsi="Times New Roman" w:cs="Times New Roman"/>
                <w:color w:val="000000"/>
                <w:sz w:val="24"/>
                <w:szCs w:val="24"/>
              </w:rPr>
            </w:pPr>
          </w:p>
        </w:tc>
        <w:tc>
          <w:tcPr>
            <w:tcW w:w="976" w:type="pct"/>
            <w:vMerge/>
            <w:vAlign w:val="center"/>
          </w:tcPr>
          <w:p w14:paraId="1D92D33F" w14:textId="77777777" w:rsidR="003807B2" w:rsidRPr="0070000B" w:rsidRDefault="003807B2" w:rsidP="00471569">
            <w:pPr>
              <w:spacing w:line="360" w:lineRule="auto"/>
              <w:jc w:val="center"/>
              <w:rPr>
                <w:rFonts w:ascii="Times New Roman" w:hAnsi="Times New Roman" w:cs="Times New Roman"/>
                <w:color w:val="000000"/>
                <w:sz w:val="24"/>
                <w:szCs w:val="24"/>
              </w:rPr>
            </w:pPr>
          </w:p>
        </w:tc>
        <w:tc>
          <w:tcPr>
            <w:tcW w:w="837" w:type="pct"/>
            <w:vMerge/>
            <w:vAlign w:val="center"/>
          </w:tcPr>
          <w:p w14:paraId="24BEC944" w14:textId="77777777" w:rsidR="003807B2" w:rsidRPr="0070000B" w:rsidRDefault="003807B2" w:rsidP="00471569">
            <w:pPr>
              <w:spacing w:line="360" w:lineRule="auto"/>
              <w:jc w:val="center"/>
              <w:rPr>
                <w:rFonts w:ascii="Times New Roman" w:hAnsi="Times New Roman" w:cs="Times New Roman"/>
                <w:color w:val="000000"/>
                <w:sz w:val="24"/>
                <w:szCs w:val="24"/>
              </w:rPr>
            </w:pPr>
          </w:p>
        </w:tc>
        <w:tc>
          <w:tcPr>
            <w:tcW w:w="239" w:type="pct"/>
            <w:vAlign w:val="center"/>
          </w:tcPr>
          <w:p w14:paraId="463C0414"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14" w:type="pct"/>
            <w:vAlign w:val="center"/>
          </w:tcPr>
          <w:p w14:paraId="07754CF5"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3A1616BD"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vAlign w:val="center"/>
          </w:tcPr>
          <w:p w14:paraId="7C73324A"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6A5D34B8"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56" w:type="pct"/>
            <w:vAlign w:val="center"/>
          </w:tcPr>
          <w:p w14:paraId="14BC7028"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vAlign w:val="center"/>
          </w:tcPr>
          <w:p w14:paraId="1C2764EF"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570" w:type="pct"/>
            <w:vAlign w:val="center"/>
          </w:tcPr>
          <w:p w14:paraId="2E57D35B"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r>
      <w:tr w:rsidR="003807B2" w:rsidRPr="0070000B" w14:paraId="1813E59B" w14:textId="77777777" w:rsidTr="009514BF">
        <w:tc>
          <w:tcPr>
            <w:tcW w:w="336" w:type="pct"/>
            <w:vAlign w:val="center"/>
          </w:tcPr>
          <w:p w14:paraId="07C9ED8D"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976" w:type="pct"/>
            <w:vAlign w:val="center"/>
          </w:tcPr>
          <w:p w14:paraId="68AAEFC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center"/>
          </w:tcPr>
          <w:p w14:paraId="00BE3A15"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&lt;11</w:t>
            </w:r>
          </w:p>
        </w:tc>
        <w:tc>
          <w:tcPr>
            <w:tcW w:w="239" w:type="pct"/>
            <w:vAlign w:val="center"/>
          </w:tcPr>
          <w:p w14:paraId="1CC6EA5C"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414" w:type="pct"/>
            <w:vAlign w:val="center"/>
          </w:tcPr>
          <w:p w14:paraId="16197DC7"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0.00</w:t>
            </w:r>
          </w:p>
        </w:tc>
        <w:tc>
          <w:tcPr>
            <w:tcW w:w="238" w:type="pct"/>
            <w:vAlign w:val="center"/>
          </w:tcPr>
          <w:p w14:paraId="6AFAFCAA"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w:t>
            </w:r>
          </w:p>
        </w:tc>
        <w:tc>
          <w:tcPr>
            <w:tcW w:w="395" w:type="pct"/>
            <w:vAlign w:val="center"/>
          </w:tcPr>
          <w:p w14:paraId="39BC0540"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5.71</w:t>
            </w:r>
          </w:p>
        </w:tc>
        <w:tc>
          <w:tcPr>
            <w:tcW w:w="238" w:type="pct"/>
            <w:vAlign w:val="center"/>
          </w:tcPr>
          <w:p w14:paraId="7D22314D"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456" w:type="pct"/>
            <w:vAlign w:val="center"/>
          </w:tcPr>
          <w:p w14:paraId="23CA5B00"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301" w:type="pct"/>
            <w:vAlign w:val="center"/>
          </w:tcPr>
          <w:p w14:paraId="2511C493"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570" w:type="pct"/>
            <w:vAlign w:val="center"/>
          </w:tcPr>
          <w:p w14:paraId="35AF105F" w14:textId="611724EF"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2.38</w:t>
            </w:r>
          </w:p>
        </w:tc>
      </w:tr>
      <w:tr w:rsidR="003807B2" w:rsidRPr="0070000B" w14:paraId="73EE1DA4" w14:textId="77777777" w:rsidTr="009514BF">
        <w:tc>
          <w:tcPr>
            <w:tcW w:w="336" w:type="pct"/>
            <w:vAlign w:val="center"/>
          </w:tcPr>
          <w:p w14:paraId="4E5C1DA9"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976" w:type="pct"/>
            <w:vAlign w:val="center"/>
          </w:tcPr>
          <w:p w14:paraId="3EEAB8A2"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center"/>
          </w:tcPr>
          <w:p w14:paraId="4DB9E954"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11-20</w:t>
            </w:r>
          </w:p>
        </w:tc>
        <w:tc>
          <w:tcPr>
            <w:tcW w:w="239" w:type="pct"/>
            <w:vAlign w:val="center"/>
          </w:tcPr>
          <w:p w14:paraId="70392A7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44</w:t>
            </w:r>
          </w:p>
        </w:tc>
        <w:tc>
          <w:tcPr>
            <w:tcW w:w="414" w:type="pct"/>
            <w:vAlign w:val="center"/>
          </w:tcPr>
          <w:p w14:paraId="5C1FB142"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62.86</w:t>
            </w:r>
          </w:p>
        </w:tc>
        <w:tc>
          <w:tcPr>
            <w:tcW w:w="238" w:type="pct"/>
            <w:vAlign w:val="center"/>
          </w:tcPr>
          <w:p w14:paraId="46E0257D"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43</w:t>
            </w:r>
          </w:p>
        </w:tc>
        <w:tc>
          <w:tcPr>
            <w:tcW w:w="395" w:type="pct"/>
            <w:vAlign w:val="center"/>
          </w:tcPr>
          <w:p w14:paraId="200B178F"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61.43</w:t>
            </w:r>
          </w:p>
        </w:tc>
        <w:tc>
          <w:tcPr>
            <w:tcW w:w="238" w:type="pct"/>
            <w:vAlign w:val="center"/>
          </w:tcPr>
          <w:p w14:paraId="6493990C"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43</w:t>
            </w:r>
          </w:p>
        </w:tc>
        <w:tc>
          <w:tcPr>
            <w:tcW w:w="456" w:type="pct"/>
            <w:vAlign w:val="center"/>
          </w:tcPr>
          <w:p w14:paraId="0D6341DF"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61.43</w:t>
            </w:r>
          </w:p>
        </w:tc>
        <w:tc>
          <w:tcPr>
            <w:tcW w:w="301" w:type="pct"/>
            <w:vAlign w:val="center"/>
          </w:tcPr>
          <w:p w14:paraId="33E2B9B1"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130</w:t>
            </w:r>
          </w:p>
        </w:tc>
        <w:tc>
          <w:tcPr>
            <w:tcW w:w="570" w:type="pct"/>
            <w:vAlign w:val="center"/>
          </w:tcPr>
          <w:p w14:paraId="1BFA7F30" w14:textId="3C32F809"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61.9</w:t>
            </w:r>
            <w:r w:rsidR="00FB15A1" w:rsidRPr="0070000B">
              <w:rPr>
                <w:rFonts w:ascii="Times New Roman" w:hAnsi="Times New Roman" w:cs="Times New Roman"/>
                <w:color w:val="000000"/>
                <w:sz w:val="24"/>
                <w:szCs w:val="24"/>
              </w:rPr>
              <w:t>1</w:t>
            </w:r>
          </w:p>
        </w:tc>
      </w:tr>
      <w:tr w:rsidR="003807B2" w:rsidRPr="0070000B" w14:paraId="670985E9" w14:textId="77777777" w:rsidTr="009514BF">
        <w:tc>
          <w:tcPr>
            <w:tcW w:w="336" w:type="pct"/>
            <w:vAlign w:val="center"/>
          </w:tcPr>
          <w:p w14:paraId="10F4082E"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976" w:type="pct"/>
            <w:vAlign w:val="center"/>
          </w:tcPr>
          <w:p w14:paraId="7CEA79E4"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center"/>
          </w:tcPr>
          <w:p w14:paraId="4A530DF9"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&gt;20</w:t>
            </w:r>
          </w:p>
        </w:tc>
        <w:tc>
          <w:tcPr>
            <w:tcW w:w="239" w:type="pct"/>
            <w:vAlign w:val="center"/>
          </w:tcPr>
          <w:p w14:paraId="6F4BE3E5"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26</w:t>
            </w:r>
          </w:p>
        </w:tc>
        <w:tc>
          <w:tcPr>
            <w:tcW w:w="414" w:type="pct"/>
            <w:vAlign w:val="center"/>
          </w:tcPr>
          <w:p w14:paraId="4D72AB3F"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37.14</w:t>
            </w:r>
          </w:p>
        </w:tc>
        <w:tc>
          <w:tcPr>
            <w:tcW w:w="238" w:type="pct"/>
            <w:vAlign w:val="center"/>
          </w:tcPr>
          <w:p w14:paraId="43206ED2"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w:t>
            </w:r>
          </w:p>
        </w:tc>
        <w:tc>
          <w:tcPr>
            <w:tcW w:w="395" w:type="pct"/>
            <w:vAlign w:val="center"/>
          </w:tcPr>
          <w:p w14:paraId="4E484D73"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32.86</w:t>
            </w:r>
          </w:p>
        </w:tc>
        <w:tc>
          <w:tcPr>
            <w:tcW w:w="238" w:type="pct"/>
            <w:vAlign w:val="center"/>
          </w:tcPr>
          <w:p w14:paraId="46D0027A"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26</w:t>
            </w:r>
          </w:p>
        </w:tc>
        <w:tc>
          <w:tcPr>
            <w:tcW w:w="456" w:type="pct"/>
            <w:vAlign w:val="center"/>
          </w:tcPr>
          <w:p w14:paraId="34FBEA06"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37.14</w:t>
            </w:r>
          </w:p>
        </w:tc>
        <w:tc>
          <w:tcPr>
            <w:tcW w:w="301" w:type="pct"/>
            <w:vAlign w:val="center"/>
          </w:tcPr>
          <w:p w14:paraId="3F4DAAA4"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75</w:t>
            </w:r>
          </w:p>
        </w:tc>
        <w:tc>
          <w:tcPr>
            <w:tcW w:w="570" w:type="pct"/>
            <w:vAlign w:val="center"/>
          </w:tcPr>
          <w:p w14:paraId="219833D7" w14:textId="0A623336"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35.71</w:t>
            </w:r>
          </w:p>
        </w:tc>
      </w:tr>
    </w:tbl>
    <w:p w14:paraId="22A8A9C1" w14:textId="77777777" w:rsidR="009514BF" w:rsidRPr="0070000B" w:rsidRDefault="009514BF" w:rsidP="009514BF">
      <w:pPr>
        <w:spacing w:line="360" w:lineRule="auto"/>
        <w:jc w:val="both"/>
        <w:rPr>
          <w:rFonts w:ascii="Times New Roman" w:hAnsi="Times New Roman" w:cs="Times New Roman"/>
          <w:sz w:val="24"/>
          <w:szCs w:val="24"/>
          <w:lang w:val="en-IN"/>
        </w:rPr>
      </w:pPr>
    </w:p>
    <w:p w14:paraId="164CC2D7" w14:textId="086EEDE2" w:rsidR="009514BF" w:rsidRPr="0070000B" w:rsidRDefault="009514BF" w:rsidP="009514BF">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 xml:space="preserve">Institution-wise distribution shows that GBPUAT and IAS-BHU reported the highest proportion of students with high apprehension (37.14%), exceeding the overall sample mean for this category. In comparison, IARI recorded a slightly lower proportion (32.86%) of students with high communication apprehension. These findings indicate that although a substantial proportion </w:t>
      </w:r>
      <w:r w:rsidRPr="0070000B">
        <w:rPr>
          <w:rFonts w:ascii="Times New Roman" w:hAnsi="Times New Roman" w:cs="Times New Roman"/>
          <w:sz w:val="24"/>
          <w:szCs w:val="24"/>
          <w:lang w:val="en-IN"/>
        </w:rPr>
        <w:lastRenderedPageBreak/>
        <w:t>of students can manage their anxiety in group communication contexts, a considerable number still experience difficulties participating effectively in group discussions. Since group discussions are frequently used in academic settings for collaborative learning and idea exchange, high levels of apprehension in this context may hinder students’ participation and communication skill development.</w:t>
      </w:r>
    </w:p>
    <w:p w14:paraId="7D973247" w14:textId="4CE8E755" w:rsidR="009514BF" w:rsidRPr="0070000B" w:rsidRDefault="009514BF" w:rsidP="009514BF">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The distribution of communication apprehension in meeting situations is presented in Table 2. The results show that the majority of students (72.38%) fall within the medium category, while 25.24% exhibit high communication apprehension and only 2.38% fall under the low category.</w:t>
      </w:r>
    </w:p>
    <w:p w14:paraId="688C7FF0" w14:textId="10D925B4" w:rsidR="00D97DC7" w:rsidRPr="0070000B" w:rsidRDefault="00687A4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Table </w:t>
      </w:r>
      <w:r w:rsidR="00FB15A1" w:rsidRPr="0070000B">
        <w:rPr>
          <w:rFonts w:ascii="Times New Roman" w:hAnsi="Times New Roman" w:cs="Times New Roman"/>
          <w:sz w:val="24"/>
          <w:szCs w:val="24"/>
        </w:rPr>
        <w:t>2</w:t>
      </w:r>
      <w:r w:rsidRPr="0070000B">
        <w:rPr>
          <w:rFonts w:ascii="Times New Roman" w:hAnsi="Times New Roman" w:cs="Times New Roman"/>
          <w:sz w:val="24"/>
          <w:szCs w:val="24"/>
        </w:rPr>
        <w:t xml:space="preserve"> Distribution of students’ according to Subscale Meeting</w:t>
      </w:r>
    </w:p>
    <w:tbl>
      <w:tblPr>
        <w:tblStyle w:val="TableGrid"/>
        <w:tblW w:w="10314" w:type="dxa"/>
        <w:tblLayout w:type="fixed"/>
        <w:tblLook w:val="04A0" w:firstRow="1" w:lastRow="0" w:firstColumn="1" w:lastColumn="0" w:noHBand="0" w:noVBand="1"/>
      </w:tblPr>
      <w:tblGrid>
        <w:gridCol w:w="654"/>
        <w:gridCol w:w="2217"/>
        <w:gridCol w:w="1629"/>
        <w:gridCol w:w="465"/>
        <w:gridCol w:w="771"/>
        <w:gridCol w:w="463"/>
        <w:gridCol w:w="1134"/>
        <w:gridCol w:w="483"/>
        <w:gridCol w:w="802"/>
        <w:gridCol w:w="647"/>
        <w:gridCol w:w="1049"/>
      </w:tblGrid>
      <w:tr w:rsidR="00D97DC7" w:rsidRPr="0070000B" w14:paraId="46A1751F" w14:textId="77777777" w:rsidTr="00D16473">
        <w:trPr>
          <w:trHeight w:val="621"/>
        </w:trPr>
        <w:tc>
          <w:tcPr>
            <w:tcW w:w="654" w:type="dxa"/>
            <w:vMerge w:val="restart"/>
            <w:vAlign w:val="center"/>
          </w:tcPr>
          <w:p w14:paraId="71150748"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r w:rsidR="00D97DC7" w:rsidRPr="0070000B">
              <w:rPr>
                <w:rFonts w:ascii="Times New Roman" w:hAnsi="Times New Roman" w:cs="Times New Roman"/>
                <w:iCs/>
                <w:color w:val="000000"/>
                <w:sz w:val="24"/>
                <w:szCs w:val="24"/>
              </w:rPr>
              <w:t>.</w:t>
            </w:r>
          </w:p>
        </w:tc>
        <w:tc>
          <w:tcPr>
            <w:tcW w:w="2217" w:type="dxa"/>
            <w:vMerge w:val="restart"/>
            <w:vAlign w:val="center"/>
          </w:tcPr>
          <w:p w14:paraId="4EC540FA"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005A9F59"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Meeting</w:t>
            </w:r>
            <w:r w:rsidRPr="0070000B">
              <w:rPr>
                <w:rFonts w:ascii="Times New Roman" w:hAnsi="Times New Roman" w:cs="Times New Roman"/>
                <w:color w:val="000000"/>
                <w:sz w:val="24"/>
                <w:szCs w:val="24"/>
              </w:rPr>
              <w:t>)</w:t>
            </w:r>
          </w:p>
        </w:tc>
        <w:tc>
          <w:tcPr>
            <w:tcW w:w="1629" w:type="dxa"/>
            <w:vMerge w:val="restart"/>
            <w:vAlign w:val="center"/>
          </w:tcPr>
          <w:p w14:paraId="2F9FDBB8"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1236" w:type="dxa"/>
            <w:gridSpan w:val="2"/>
            <w:vAlign w:val="center"/>
          </w:tcPr>
          <w:p w14:paraId="22BCF924"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GBPUAT</w:t>
            </w:r>
          </w:p>
          <w:p w14:paraId="46AE8D07"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1597" w:type="dxa"/>
            <w:gridSpan w:val="2"/>
            <w:vAlign w:val="center"/>
          </w:tcPr>
          <w:p w14:paraId="3165332A" w14:textId="569DFFE6" w:rsidR="00D97DC7"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IARI</w:t>
            </w:r>
          </w:p>
          <w:p w14:paraId="1268A222"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1285" w:type="dxa"/>
            <w:gridSpan w:val="2"/>
            <w:vAlign w:val="center"/>
          </w:tcPr>
          <w:p w14:paraId="5320BDF4" w14:textId="3390D73D" w:rsidR="001B675C" w:rsidRPr="0070000B" w:rsidRDefault="00D1647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IAS-</w:t>
            </w:r>
            <w:r w:rsidR="001B675C" w:rsidRPr="0070000B">
              <w:rPr>
                <w:rFonts w:ascii="Times New Roman" w:hAnsi="Times New Roman" w:cs="Times New Roman"/>
                <w:sz w:val="24"/>
                <w:szCs w:val="24"/>
              </w:rPr>
              <w:t>BHU (n=70)</w:t>
            </w:r>
          </w:p>
        </w:tc>
        <w:tc>
          <w:tcPr>
            <w:tcW w:w="1696" w:type="dxa"/>
            <w:gridSpan w:val="2"/>
            <w:vAlign w:val="center"/>
          </w:tcPr>
          <w:p w14:paraId="2A241E0C"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D97DC7" w:rsidRPr="0070000B" w14:paraId="5E193A5A" w14:textId="77777777" w:rsidTr="00D16473">
        <w:trPr>
          <w:trHeight w:val="44"/>
        </w:trPr>
        <w:tc>
          <w:tcPr>
            <w:tcW w:w="654" w:type="dxa"/>
            <w:vMerge/>
            <w:vAlign w:val="center"/>
          </w:tcPr>
          <w:p w14:paraId="3B16FA08" w14:textId="77777777" w:rsidR="001B675C" w:rsidRPr="0070000B" w:rsidRDefault="001B675C" w:rsidP="00471569">
            <w:pPr>
              <w:spacing w:line="360" w:lineRule="auto"/>
              <w:jc w:val="center"/>
              <w:rPr>
                <w:rFonts w:ascii="Times New Roman" w:hAnsi="Times New Roman" w:cs="Times New Roman"/>
                <w:color w:val="000000"/>
                <w:sz w:val="24"/>
                <w:szCs w:val="24"/>
              </w:rPr>
            </w:pPr>
          </w:p>
        </w:tc>
        <w:tc>
          <w:tcPr>
            <w:tcW w:w="2217" w:type="dxa"/>
            <w:vMerge/>
            <w:vAlign w:val="center"/>
          </w:tcPr>
          <w:p w14:paraId="7B82E197" w14:textId="77777777" w:rsidR="001B675C" w:rsidRPr="0070000B" w:rsidRDefault="001B675C" w:rsidP="00471569">
            <w:pPr>
              <w:spacing w:line="360" w:lineRule="auto"/>
              <w:jc w:val="center"/>
              <w:rPr>
                <w:rFonts w:ascii="Times New Roman" w:hAnsi="Times New Roman" w:cs="Times New Roman"/>
                <w:color w:val="000000"/>
                <w:sz w:val="24"/>
                <w:szCs w:val="24"/>
              </w:rPr>
            </w:pPr>
          </w:p>
        </w:tc>
        <w:tc>
          <w:tcPr>
            <w:tcW w:w="1629" w:type="dxa"/>
            <w:vMerge/>
            <w:vAlign w:val="center"/>
          </w:tcPr>
          <w:p w14:paraId="67155224" w14:textId="77777777" w:rsidR="001B675C" w:rsidRPr="0070000B" w:rsidRDefault="001B675C" w:rsidP="00471569">
            <w:pPr>
              <w:spacing w:line="360" w:lineRule="auto"/>
              <w:jc w:val="center"/>
              <w:rPr>
                <w:rFonts w:ascii="Times New Roman" w:hAnsi="Times New Roman" w:cs="Times New Roman"/>
                <w:color w:val="000000"/>
                <w:sz w:val="24"/>
                <w:szCs w:val="24"/>
              </w:rPr>
            </w:pPr>
          </w:p>
        </w:tc>
        <w:tc>
          <w:tcPr>
            <w:tcW w:w="465" w:type="dxa"/>
            <w:vAlign w:val="center"/>
          </w:tcPr>
          <w:p w14:paraId="37FD2BAF"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771" w:type="dxa"/>
            <w:vAlign w:val="center"/>
          </w:tcPr>
          <w:p w14:paraId="0681B50A"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463" w:type="dxa"/>
            <w:vAlign w:val="center"/>
          </w:tcPr>
          <w:p w14:paraId="390AF9A7"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1134" w:type="dxa"/>
            <w:vAlign w:val="center"/>
          </w:tcPr>
          <w:p w14:paraId="75185E45"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483" w:type="dxa"/>
            <w:vAlign w:val="center"/>
          </w:tcPr>
          <w:p w14:paraId="42E57EC4"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802" w:type="dxa"/>
            <w:vAlign w:val="center"/>
          </w:tcPr>
          <w:p w14:paraId="793D0F39"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647" w:type="dxa"/>
            <w:vAlign w:val="center"/>
          </w:tcPr>
          <w:p w14:paraId="367DFEBC"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1049" w:type="dxa"/>
            <w:vAlign w:val="center"/>
          </w:tcPr>
          <w:p w14:paraId="1AA2440C"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r>
      <w:tr w:rsidR="00D97DC7" w:rsidRPr="0070000B" w14:paraId="3BC6F80B" w14:textId="77777777" w:rsidTr="00D16473">
        <w:trPr>
          <w:trHeight w:val="378"/>
        </w:trPr>
        <w:tc>
          <w:tcPr>
            <w:tcW w:w="654" w:type="dxa"/>
            <w:vAlign w:val="center"/>
          </w:tcPr>
          <w:p w14:paraId="08E07F2B"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2217" w:type="dxa"/>
            <w:vAlign w:val="center"/>
          </w:tcPr>
          <w:p w14:paraId="277B3A63"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1629" w:type="dxa"/>
            <w:vAlign w:val="center"/>
          </w:tcPr>
          <w:p w14:paraId="3D7BB06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&lt;13</w:t>
            </w:r>
          </w:p>
        </w:tc>
        <w:tc>
          <w:tcPr>
            <w:tcW w:w="465" w:type="dxa"/>
            <w:vAlign w:val="center"/>
          </w:tcPr>
          <w:p w14:paraId="4D2BEB83"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771" w:type="dxa"/>
            <w:vAlign w:val="center"/>
          </w:tcPr>
          <w:p w14:paraId="28F6D6F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463" w:type="dxa"/>
            <w:vAlign w:val="center"/>
          </w:tcPr>
          <w:p w14:paraId="20A2459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1134" w:type="dxa"/>
            <w:vAlign w:val="center"/>
          </w:tcPr>
          <w:p w14:paraId="0C543C46" w14:textId="301B748B"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4.2</w:t>
            </w:r>
            <w:r w:rsidR="00D16473" w:rsidRPr="0070000B">
              <w:rPr>
                <w:rFonts w:ascii="Times New Roman" w:hAnsi="Times New Roman" w:cs="Times New Roman"/>
                <w:color w:val="000000"/>
                <w:sz w:val="24"/>
                <w:szCs w:val="24"/>
              </w:rPr>
              <w:t>9</w:t>
            </w:r>
          </w:p>
        </w:tc>
        <w:tc>
          <w:tcPr>
            <w:tcW w:w="483" w:type="dxa"/>
            <w:vAlign w:val="center"/>
          </w:tcPr>
          <w:p w14:paraId="1699066D"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802" w:type="dxa"/>
            <w:vAlign w:val="center"/>
          </w:tcPr>
          <w:p w14:paraId="0798318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647" w:type="dxa"/>
            <w:vAlign w:val="center"/>
          </w:tcPr>
          <w:p w14:paraId="74B0EF24"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1049" w:type="dxa"/>
            <w:vAlign w:val="center"/>
          </w:tcPr>
          <w:p w14:paraId="42D335E2" w14:textId="500FDA0D"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2.38</w:t>
            </w:r>
          </w:p>
        </w:tc>
      </w:tr>
      <w:tr w:rsidR="00D97DC7" w:rsidRPr="0070000B" w14:paraId="69380270" w14:textId="77777777" w:rsidTr="00D16473">
        <w:trPr>
          <w:trHeight w:val="388"/>
        </w:trPr>
        <w:tc>
          <w:tcPr>
            <w:tcW w:w="654" w:type="dxa"/>
            <w:vAlign w:val="center"/>
          </w:tcPr>
          <w:p w14:paraId="5B2688C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2217" w:type="dxa"/>
            <w:vAlign w:val="center"/>
          </w:tcPr>
          <w:p w14:paraId="7059F86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1629" w:type="dxa"/>
            <w:vAlign w:val="center"/>
          </w:tcPr>
          <w:p w14:paraId="469B9DE0"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13-20</w:t>
            </w:r>
          </w:p>
        </w:tc>
        <w:tc>
          <w:tcPr>
            <w:tcW w:w="465" w:type="dxa"/>
            <w:vAlign w:val="center"/>
          </w:tcPr>
          <w:p w14:paraId="5B046A0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49</w:t>
            </w:r>
          </w:p>
        </w:tc>
        <w:tc>
          <w:tcPr>
            <w:tcW w:w="771" w:type="dxa"/>
            <w:vAlign w:val="center"/>
          </w:tcPr>
          <w:p w14:paraId="5364453D"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70.00</w:t>
            </w:r>
          </w:p>
        </w:tc>
        <w:tc>
          <w:tcPr>
            <w:tcW w:w="463" w:type="dxa"/>
            <w:vAlign w:val="center"/>
          </w:tcPr>
          <w:p w14:paraId="48C125ED"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53</w:t>
            </w:r>
          </w:p>
        </w:tc>
        <w:tc>
          <w:tcPr>
            <w:tcW w:w="1134" w:type="dxa"/>
            <w:vAlign w:val="center"/>
          </w:tcPr>
          <w:p w14:paraId="34D8DD19" w14:textId="3CDEBF9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75.71</w:t>
            </w:r>
          </w:p>
        </w:tc>
        <w:tc>
          <w:tcPr>
            <w:tcW w:w="483" w:type="dxa"/>
            <w:vAlign w:val="center"/>
          </w:tcPr>
          <w:p w14:paraId="7EA6E66A"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50</w:t>
            </w:r>
          </w:p>
        </w:tc>
        <w:tc>
          <w:tcPr>
            <w:tcW w:w="802" w:type="dxa"/>
            <w:vAlign w:val="center"/>
          </w:tcPr>
          <w:p w14:paraId="63E264A5"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71.43</w:t>
            </w:r>
          </w:p>
        </w:tc>
        <w:tc>
          <w:tcPr>
            <w:tcW w:w="647" w:type="dxa"/>
            <w:vAlign w:val="center"/>
          </w:tcPr>
          <w:p w14:paraId="7F3BFCC2"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152</w:t>
            </w:r>
          </w:p>
        </w:tc>
        <w:tc>
          <w:tcPr>
            <w:tcW w:w="1049" w:type="dxa"/>
            <w:vAlign w:val="center"/>
          </w:tcPr>
          <w:p w14:paraId="3B5C911E" w14:textId="0BD40FC0"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72.38</w:t>
            </w:r>
          </w:p>
        </w:tc>
      </w:tr>
      <w:tr w:rsidR="00D97DC7" w:rsidRPr="0070000B" w14:paraId="1938CC80" w14:textId="77777777" w:rsidTr="00D16473">
        <w:trPr>
          <w:trHeight w:val="388"/>
        </w:trPr>
        <w:tc>
          <w:tcPr>
            <w:tcW w:w="654" w:type="dxa"/>
            <w:vAlign w:val="center"/>
          </w:tcPr>
          <w:p w14:paraId="24C27B0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2217" w:type="dxa"/>
            <w:vAlign w:val="center"/>
          </w:tcPr>
          <w:p w14:paraId="53F66414"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1629" w:type="dxa"/>
            <w:vAlign w:val="center"/>
          </w:tcPr>
          <w:p w14:paraId="2E6A375F"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&gt;20</w:t>
            </w:r>
          </w:p>
        </w:tc>
        <w:tc>
          <w:tcPr>
            <w:tcW w:w="465" w:type="dxa"/>
            <w:vAlign w:val="center"/>
          </w:tcPr>
          <w:p w14:paraId="3BDB04C3"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20</w:t>
            </w:r>
          </w:p>
        </w:tc>
        <w:tc>
          <w:tcPr>
            <w:tcW w:w="771" w:type="dxa"/>
            <w:vAlign w:val="center"/>
          </w:tcPr>
          <w:p w14:paraId="5C52911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28.57</w:t>
            </w:r>
          </w:p>
        </w:tc>
        <w:tc>
          <w:tcPr>
            <w:tcW w:w="463" w:type="dxa"/>
            <w:vAlign w:val="center"/>
          </w:tcPr>
          <w:p w14:paraId="669520E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w:t>
            </w:r>
          </w:p>
        </w:tc>
        <w:tc>
          <w:tcPr>
            <w:tcW w:w="1134" w:type="dxa"/>
            <w:vAlign w:val="center"/>
          </w:tcPr>
          <w:p w14:paraId="021C404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20</w:t>
            </w:r>
          </w:p>
        </w:tc>
        <w:tc>
          <w:tcPr>
            <w:tcW w:w="483" w:type="dxa"/>
            <w:vAlign w:val="center"/>
          </w:tcPr>
          <w:p w14:paraId="10DB5930"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19</w:t>
            </w:r>
          </w:p>
        </w:tc>
        <w:tc>
          <w:tcPr>
            <w:tcW w:w="802" w:type="dxa"/>
            <w:vAlign w:val="center"/>
          </w:tcPr>
          <w:p w14:paraId="49F9350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27.14</w:t>
            </w:r>
          </w:p>
        </w:tc>
        <w:tc>
          <w:tcPr>
            <w:tcW w:w="647" w:type="dxa"/>
            <w:vAlign w:val="center"/>
          </w:tcPr>
          <w:p w14:paraId="7874D71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53</w:t>
            </w:r>
          </w:p>
        </w:tc>
        <w:tc>
          <w:tcPr>
            <w:tcW w:w="1049" w:type="dxa"/>
            <w:vAlign w:val="center"/>
          </w:tcPr>
          <w:p w14:paraId="356C5D01" w14:textId="661BD3A0"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25.2</w:t>
            </w:r>
            <w:r w:rsidR="00D16473" w:rsidRPr="0070000B">
              <w:rPr>
                <w:rFonts w:ascii="Times New Roman" w:hAnsi="Times New Roman" w:cs="Times New Roman"/>
                <w:color w:val="000000"/>
                <w:sz w:val="24"/>
                <w:szCs w:val="24"/>
              </w:rPr>
              <w:t>4</w:t>
            </w:r>
          </w:p>
        </w:tc>
      </w:tr>
    </w:tbl>
    <w:p w14:paraId="19577C33" w14:textId="1A628EA9" w:rsidR="009514BF" w:rsidRPr="0070000B" w:rsidRDefault="009514BF" w:rsidP="009514BF">
      <w:pPr>
        <w:spacing w:before="240"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Institutional comparisons indicate that GBPUAT and IAS-BHU reported relatively higher proportions of students with high apprehension, whereas IARI recorded comparatively lower levels of high apprehension in meetings. Compared to group discussions, where 35.71% of students experienced high apprehension, the proportion of students with high apprehension in meetings is lower (25.24%). This suggests that students may perceive meetings as relatively less intimidating than group discussions, possibly due to the structured nature of meeting environments, which may reduce spontaneity and uncertainty in communication situations. However, the dominance of the medium category indicates that a substantial proportion of students still experience moderate levels of anxiety in formal meeting contexts.</w:t>
      </w:r>
    </w:p>
    <w:p w14:paraId="3B562C63" w14:textId="48C5D598" w:rsidR="009514BF" w:rsidRPr="0070000B" w:rsidRDefault="00B75285" w:rsidP="00471569">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The distribution of students according to communication apprehension in interpersonal communication situations is presented in Table 3. The findings reveal that 67.14% of students fall within the medium apprehension category, while 31.91% report high levels of communication apprehension, and only 0.95% fall under the low category.</w:t>
      </w:r>
    </w:p>
    <w:p w14:paraId="656DF51E" w14:textId="2D83FB8D" w:rsidR="00687A4F" w:rsidRPr="0070000B" w:rsidRDefault="00687A4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lastRenderedPageBreak/>
        <w:t xml:space="preserve">Table </w:t>
      </w:r>
      <w:r w:rsidR="00D16473" w:rsidRPr="0070000B">
        <w:rPr>
          <w:rFonts w:ascii="Times New Roman" w:hAnsi="Times New Roman" w:cs="Times New Roman"/>
          <w:sz w:val="24"/>
          <w:szCs w:val="24"/>
        </w:rPr>
        <w:t>3</w:t>
      </w:r>
      <w:r w:rsidRPr="0070000B">
        <w:rPr>
          <w:rFonts w:ascii="Times New Roman" w:hAnsi="Times New Roman" w:cs="Times New Roman"/>
          <w:sz w:val="24"/>
          <w:szCs w:val="24"/>
        </w:rPr>
        <w:t xml:space="preserve"> Distribution of students’ according to Subscale Interpersonal</w:t>
      </w:r>
    </w:p>
    <w:tbl>
      <w:tblPr>
        <w:tblStyle w:val="TableGrid"/>
        <w:tblW w:w="5000" w:type="pct"/>
        <w:tblLook w:val="04A0" w:firstRow="1" w:lastRow="0" w:firstColumn="1" w:lastColumn="0" w:noHBand="0" w:noVBand="1"/>
      </w:tblPr>
      <w:tblGrid>
        <w:gridCol w:w="643"/>
        <w:gridCol w:w="1907"/>
        <w:gridCol w:w="1603"/>
        <w:gridCol w:w="458"/>
        <w:gridCol w:w="774"/>
        <w:gridCol w:w="456"/>
        <w:gridCol w:w="757"/>
        <w:gridCol w:w="456"/>
        <w:gridCol w:w="854"/>
        <w:gridCol w:w="576"/>
        <w:gridCol w:w="1092"/>
      </w:tblGrid>
      <w:tr w:rsidR="008B0ED3" w:rsidRPr="0070000B" w14:paraId="2FC416DB" w14:textId="77777777" w:rsidTr="00B75285">
        <w:trPr>
          <w:trHeight w:val="888"/>
        </w:trPr>
        <w:tc>
          <w:tcPr>
            <w:tcW w:w="336" w:type="pct"/>
            <w:vMerge w:val="restart"/>
            <w:vAlign w:val="center"/>
          </w:tcPr>
          <w:p w14:paraId="4661734A"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p>
        </w:tc>
        <w:tc>
          <w:tcPr>
            <w:tcW w:w="996" w:type="pct"/>
            <w:vMerge w:val="restart"/>
            <w:vAlign w:val="center"/>
          </w:tcPr>
          <w:p w14:paraId="2390AD3C"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005297FD"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Interpersonal</w:t>
            </w:r>
            <w:r w:rsidRPr="0070000B">
              <w:rPr>
                <w:rFonts w:ascii="Times New Roman" w:hAnsi="Times New Roman" w:cs="Times New Roman"/>
                <w:color w:val="000000"/>
                <w:sz w:val="24"/>
                <w:szCs w:val="24"/>
              </w:rPr>
              <w:t>)</w:t>
            </w:r>
          </w:p>
        </w:tc>
        <w:tc>
          <w:tcPr>
            <w:tcW w:w="837" w:type="pct"/>
            <w:vMerge w:val="restart"/>
            <w:vAlign w:val="center"/>
          </w:tcPr>
          <w:p w14:paraId="7B9D796E"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643" w:type="pct"/>
            <w:gridSpan w:val="2"/>
            <w:vAlign w:val="center"/>
          </w:tcPr>
          <w:p w14:paraId="63487DD3"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GBPUAT</w:t>
            </w:r>
          </w:p>
          <w:p w14:paraId="6F100275"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633" w:type="pct"/>
            <w:gridSpan w:val="2"/>
            <w:vAlign w:val="center"/>
          </w:tcPr>
          <w:p w14:paraId="543B378A"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IARI (n=70)</w:t>
            </w:r>
          </w:p>
        </w:tc>
        <w:tc>
          <w:tcPr>
            <w:tcW w:w="684" w:type="pct"/>
            <w:gridSpan w:val="2"/>
            <w:vAlign w:val="center"/>
          </w:tcPr>
          <w:p w14:paraId="7ECE9ED7" w14:textId="23A4842C" w:rsidR="008B0ED3" w:rsidRPr="0070000B" w:rsidRDefault="00D1647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IAS-</w:t>
            </w:r>
            <w:r w:rsidR="008B0ED3" w:rsidRPr="0070000B">
              <w:rPr>
                <w:rFonts w:ascii="Times New Roman" w:hAnsi="Times New Roman" w:cs="Times New Roman"/>
                <w:sz w:val="24"/>
                <w:szCs w:val="24"/>
              </w:rPr>
              <w:t>BHU (n=70)</w:t>
            </w:r>
          </w:p>
        </w:tc>
        <w:tc>
          <w:tcPr>
            <w:tcW w:w="872" w:type="pct"/>
            <w:gridSpan w:val="2"/>
            <w:vAlign w:val="center"/>
          </w:tcPr>
          <w:p w14:paraId="57B0AC05"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8B0ED3" w:rsidRPr="0070000B" w14:paraId="39A17CB5" w14:textId="77777777" w:rsidTr="00B75285">
        <w:trPr>
          <w:trHeight w:val="64"/>
        </w:trPr>
        <w:tc>
          <w:tcPr>
            <w:tcW w:w="336" w:type="pct"/>
            <w:vMerge/>
            <w:vAlign w:val="center"/>
          </w:tcPr>
          <w:p w14:paraId="10AD9DA3" w14:textId="77777777" w:rsidR="008B0ED3" w:rsidRPr="0070000B" w:rsidRDefault="008B0ED3" w:rsidP="00471569">
            <w:pPr>
              <w:spacing w:line="360" w:lineRule="auto"/>
              <w:jc w:val="center"/>
              <w:rPr>
                <w:rFonts w:ascii="Times New Roman" w:hAnsi="Times New Roman" w:cs="Times New Roman"/>
                <w:color w:val="000000"/>
                <w:sz w:val="24"/>
                <w:szCs w:val="24"/>
              </w:rPr>
            </w:pPr>
          </w:p>
        </w:tc>
        <w:tc>
          <w:tcPr>
            <w:tcW w:w="996" w:type="pct"/>
            <w:vMerge/>
            <w:vAlign w:val="center"/>
          </w:tcPr>
          <w:p w14:paraId="6F853407" w14:textId="77777777" w:rsidR="008B0ED3" w:rsidRPr="0070000B" w:rsidRDefault="008B0ED3" w:rsidP="00471569">
            <w:pPr>
              <w:spacing w:line="360" w:lineRule="auto"/>
              <w:jc w:val="center"/>
              <w:rPr>
                <w:rFonts w:ascii="Times New Roman" w:hAnsi="Times New Roman" w:cs="Times New Roman"/>
                <w:color w:val="000000"/>
                <w:sz w:val="24"/>
                <w:szCs w:val="24"/>
              </w:rPr>
            </w:pPr>
          </w:p>
        </w:tc>
        <w:tc>
          <w:tcPr>
            <w:tcW w:w="837" w:type="pct"/>
            <w:vMerge/>
            <w:vAlign w:val="center"/>
          </w:tcPr>
          <w:p w14:paraId="6429EB20" w14:textId="77777777" w:rsidR="008B0ED3" w:rsidRPr="0070000B" w:rsidRDefault="008B0ED3" w:rsidP="00471569">
            <w:pPr>
              <w:spacing w:line="360" w:lineRule="auto"/>
              <w:jc w:val="center"/>
              <w:rPr>
                <w:rFonts w:ascii="Times New Roman" w:hAnsi="Times New Roman" w:cs="Times New Roman"/>
                <w:color w:val="000000"/>
                <w:sz w:val="24"/>
                <w:szCs w:val="24"/>
              </w:rPr>
            </w:pPr>
          </w:p>
        </w:tc>
        <w:tc>
          <w:tcPr>
            <w:tcW w:w="239" w:type="pct"/>
            <w:vAlign w:val="center"/>
          </w:tcPr>
          <w:p w14:paraId="372E0AC2"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04" w:type="pct"/>
            <w:vAlign w:val="center"/>
          </w:tcPr>
          <w:p w14:paraId="7C5F9009"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7925A81F"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vAlign w:val="center"/>
          </w:tcPr>
          <w:p w14:paraId="34AF9B08"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4FDB5FCA"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46" w:type="pct"/>
            <w:vAlign w:val="center"/>
          </w:tcPr>
          <w:p w14:paraId="2DF6B914"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vAlign w:val="center"/>
          </w:tcPr>
          <w:p w14:paraId="6D26EEEF"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571" w:type="pct"/>
            <w:vAlign w:val="center"/>
          </w:tcPr>
          <w:p w14:paraId="09A92949"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r>
      <w:tr w:rsidR="008B0ED3" w:rsidRPr="0070000B" w14:paraId="6E3D38A0" w14:textId="77777777" w:rsidTr="00B75285">
        <w:tc>
          <w:tcPr>
            <w:tcW w:w="336" w:type="pct"/>
            <w:vAlign w:val="center"/>
          </w:tcPr>
          <w:p w14:paraId="033A0586"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996" w:type="pct"/>
            <w:vAlign w:val="center"/>
          </w:tcPr>
          <w:p w14:paraId="63F28A05"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center"/>
          </w:tcPr>
          <w:p w14:paraId="6AA5BF5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&lt;11</w:t>
            </w:r>
          </w:p>
        </w:tc>
        <w:tc>
          <w:tcPr>
            <w:tcW w:w="239" w:type="pct"/>
            <w:vAlign w:val="center"/>
          </w:tcPr>
          <w:p w14:paraId="73A9DE5E"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404" w:type="pct"/>
            <w:vAlign w:val="center"/>
          </w:tcPr>
          <w:p w14:paraId="56C4A8B8"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0.00</w:t>
            </w:r>
          </w:p>
        </w:tc>
        <w:tc>
          <w:tcPr>
            <w:tcW w:w="238" w:type="pct"/>
            <w:vAlign w:val="center"/>
          </w:tcPr>
          <w:p w14:paraId="51897C53"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395" w:type="pct"/>
            <w:vAlign w:val="center"/>
          </w:tcPr>
          <w:p w14:paraId="2273620F"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238" w:type="pct"/>
            <w:vAlign w:val="center"/>
          </w:tcPr>
          <w:p w14:paraId="3F858E20"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446" w:type="pct"/>
            <w:vAlign w:val="center"/>
          </w:tcPr>
          <w:p w14:paraId="01AA2FB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301" w:type="pct"/>
            <w:vAlign w:val="center"/>
          </w:tcPr>
          <w:p w14:paraId="78F4CA3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571" w:type="pct"/>
            <w:vAlign w:val="center"/>
          </w:tcPr>
          <w:p w14:paraId="61FE2779" w14:textId="4E9289A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0.95</w:t>
            </w:r>
          </w:p>
        </w:tc>
      </w:tr>
      <w:tr w:rsidR="008B0ED3" w:rsidRPr="0070000B" w14:paraId="2C239CF2" w14:textId="77777777" w:rsidTr="00B75285">
        <w:tc>
          <w:tcPr>
            <w:tcW w:w="336" w:type="pct"/>
            <w:vAlign w:val="center"/>
          </w:tcPr>
          <w:p w14:paraId="3DB25301"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996" w:type="pct"/>
            <w:vAlign w:val="center"/>
          </w:tcPr>
          <w:p w14:paraId="7D271105"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center"/>
          </w:tcPr>
          <w:p w14:paraId="5EC4EDD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11-20</w:t>
            </w:r>
          </w:p>
        </w:tc>
        <w:tc>
          <w:tcPr>
            <w:tcW w:w="239" w:type="pct"/>
            <w:vAlign w:val="center"/>
          </w:tcPr>
          <w:p w14:paraId="43E5493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47</w:t>
            </w:r>
          </w:p>
        </w:tc>
        <w:tc>
          <w:tcPr>
            <w:tcW w:w="404" w:type="pct"/>
            <w:vAlign w:val="center"/>
          </w:tcPr>
          <w:p w14:paraId="4E36A356"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67.14</w:t>
            </w:r>
          </w:p>
        </w:tc>
        <w:tc>
          <w:tcPr>
            <w:tcW w:w="238" w:type="pct"/>
            <w:vAlign w:val="center"/>
          </w:tcPr>
          <w:p w14:paraId="21250AB6"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50</w:t>
            </w:r>
          </w:p>
        </w:tc>
        <w:tc>
          <w:tcPr>
            <w:tcW w:w="395" w:type="pct"/>
            <w:vAlign w:val="center"/>
          </w:tcPr>
          <w:p w14:paraId="2518B43F"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71.43</w:t>
            </w:r>
          </w:p>
        </w:tc>
        <w:tc>
          <w:tcPr>
            <w:tcW w:w="238" w:type="pct"/>
            <w:vAlign w:val="center"/>
          </w:tcPr>
          <w:p w14:paraId="3FC79D58"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44</w:t>
            </w:r>
          </w:p>
        </w:tc>
        <w:tc>
          <w:tcPr>
            <w:tcW w:w="446" w:type="pct"/>
            <w:vAlign w:val="center"/>
          </w:tcPr>
          <w:p w14:paraId="67EC053E"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62.86</w:t>
            </w:r>
          </w:p>
        </w:tc>
        <w:tc>
          <w:tcPr>
            <w:tcW w:w="301" w:type="pct"/>
            <w:vAlign w:val="center"/>
          </w:tcPr>
          <w:p w14:paraId="6492184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141</w:t>
            </w:r>
          </w:p>
        </w:tc>
        <w:tc>
          <w:tcPr>
            <w:tcW w:w="571" w:type="pct"/>
            <w:vAlign w:val="center"/>
          </w:tcPr>
          <w:p w14:paraId="53BA4631" w14:textId="4874570A"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67.14</w:t>
            </w:r>
          </w:p>
        </w:tc>
      </w:tr>
      <w:tr w:rsidR="008B0ED3" w:rsidRPr="0070000B" w14:paraId="3C7CCA56" w14:textId="77777777" w:rsidTr="00B75285">
        <w:tc>
          <w:tcPr>
            <w:tcW w:w="336" w:type="pct"/>
            <w:vAlign w:val="center"/>
          </w:tcPr>
          <w:p w14:paraId="6D48ACE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996" w:type="pct"/>
            <w:vAlign w:val="center"/>
          </w:tcPr>
          <w:p w14:paraId="181E149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center"/>
          </w:tcPr>
          <w:p w14:paraId="5508329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&gt;20</w:t>
            </w:r>
          </w:p>
        </w:tc>
        <w:tc>
          <w:tcPr>
            <w:tcW w:w="239" w:type="pct"/>
            <w:vAlign w:val="center"/>
          </w:tcPr>
          <w:p w14:paraId="3689362D"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w:t>
            </w:r>
          </w:p>
        </w:tc>
        <w:tc>
          <w:tcPr>
            <w:tcW w:w="404" w:type="pct"/>
            <w:vAlign w:val="center"/>
          </w:tcPr>
          <w:p w14:paraId="48F0311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32.86</w:t>
            </w:r>
          </w:p>
        </w:tc>
        <w:tc>
          <w:tcPr>
            <w:tcW w:w="238" w:type="pct"/>
            <w:vAlign w:val="center"/>
          </w:tcPr>
          <w:p w14:paraId="419829E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19</w:t>
            </w:r>
          </w:p>
        </w:tc>
        <w:tc>
          <w:tcPr>
            <w:tcW w:w="395" w:type="pct"/>
            <w:vAlign w:val="center"/>
          </w:tcPr>
          <w:p w14:paraId="058C6800"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27.14</w:t>
            </w:r>
          </w:p>
        </w:tc>
        <w:tc>
          <w:tcPr>
            <w:tcW w:w="238" w:type="pct"/>
            <w:vAlign w:val="center"/>
          </w:tcPr>
          <w:p w14:paraId="767E7CBF"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25</w:t>
            </w:r>
          </w:p>
        </w:tc>
        <w:tc>
          <w:tcPr>
            <w:tcW w:w="446" w:type="pct"/>
            <w:vAlign w:val="center"/>
          </w:tcPr>
          <w:p w14:paraId="6D84A6CB"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35.71</w:t>
            </w:r>
          </w:p>
        </w:tc>
        <w:tc>
          <w:tcPr>
            <w:tcW w:w="301" w:type="pct"/>
            <w:vAlign w:val="center"/>
          </w:tcPr>
          <w:p w14:paraId="14FF99E2"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67</w:t>
            </w:r>
          </w:p>
        </w:tc>
        <w:tc>
          <w:tcPr>
            <w:tcW w:w="571" w:type="pct"/>
            <w:vAlign w:val="center"/>
          </w:tcPr>
          <w:p w14:paraId="2CBF2861" w14:textId="17771DEB"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31.9</w:t>
            </w:r>
            <w:r w:rsidR="00D16473" w:rsidRPr="0070000B">
              <w:rPr>
                <w:rFonts w:ascii="Times New Roman" w:hAnsi="Times New Roman" w:cs="Times New Roman"/>
                <w:color w:val="000000"/>
                <w:sz w:val="24"/>
                <w:szCs w:val="24"/>
              </w:rPr>
              <w:t>1</w:t>
            </w:r>
          </w:p>
        </w:tc>
      </w:tr>
    </w:tbl>
    <w:p w14:paraId="79CFB150" w14:textId="77777777" w:rsidR="00B75285" w:rsidRPr="0070000B" w:rsidRDefault="00B75285" w:rsidP="00471569">
      <w:pPr>
        <w:spacing w:line="360" w:lineRule="auto"/>
        <w:jc w:val="both"/>
        <w:rPr>
          <w:rFonts w:ascii="Times New Roman" w:hAnsi="Times New Roman" w:cs="Times New Roman"/>
          <w:sz w:val="24"/>
          <w:szCs w:val="24"/>
          <w:lang w:val="en-IN"/>
        </w:rPr>
      </w:pPr>
    </w:p>
    <w:p w14:paraId="09FE39B4" w14:textId="31753DC6" w:rsidR="006F7E37" w:rsidRPr="0070000B" w:rsidRDefault="00B75285" w:rsidP="00471569">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Across institutions, GBPUAT and IAS-BHU show relatively higher proportions of students experiencing high apprehension, whereas IARI records slightly lower levels of high apprehension in interpersonal communication contexts. When compared with other communication situations, interpersonal communication appears to generate higher levels of anxiety than meetings but slightly lower levels than group discussions. Specifically, while 25.24% of students reported high apprehension in meetings, the proportion rises to 31.91% in interpersonal interactions. These findings suggest that one-on-one communication situations may generate considerable anxiety among students, particularly when they lack confidence or experience in interpersonal communication. The results are consistent with earlier findings by McCroskey (1984), which suggest that individuals with limited exposure to real-world interactions often experience greater anxiety in interpersonal communication situations.</w:t>
      </w:r>
    </w:p>
    <w:p w14:paraId="314146D5" w14:textId="53391587" w:rsidR="00B75285" w:rsidRPr="0070000B" w:rsidRDefault="00B75285" w:rsidP="00471569">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The distribution of students according to communication apprehension in public speaking situations is presented in Table 4. The findings reveal that a large majority of students (86.67%) fall within the medium category, while only 4.76% exhibit high communication apprehension, and 8.57% fall under the low category.</w:t>
      </w:r>
    </w:p>
    <w:p w14:paraId="78F872A6" w14:textId="3301C8F9" w:rsidR="006F7E37" w:rsidRPr="0070000B" w:rsidRDefault="006F7E37"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Table </w:t>
      </w:r>
      <w:r w:rsidR="00D16473" w:rsidRPr="0070000B">
        <w:rPr>
          <w:rFonts w:ascii="Times New Roman" w:hAnsi="Times New Roman" w:cs="Times New Roman"/>
          <w:sz w:val="24"/>
          <w:szCs w:val="24"/>
        </w:rPr>
        <w:t>4</w:t>
      </w:r>
      <w:r w:rsidRPr="0070000B">
        <w:rPr>
          <w:rFonts w:ascii="Times New Roman" w:hAnsi="Times New Roman" w:cs="Times New Roman"/>
          <w:sz w:val="24"/>
          <w:szCs w:val="24"/>
        </w:rPr>
        <w:t xml:space="preserve"> Distribution of students’ according to Subscale Public Speaking</w:t>
      </w:r>
    </w:p>
    <w:tbl>
      <w:tblPr>
        <w:tblStyle w:val="TableGrid"/>
        <w:tblW w:w="5000" w:type="pct"/>
        <w:tblLook w:val="04A0" w:firstRow="1" w:lastRow="0" w:firstColumn="1" w:lastColumn="0" w:noHBand="0" w:noVBand="1"/>
      </w:tblPr>
      <w:tblGrid>
        <w:gridCol w:w="643"/>
        <w:gridCol w:w="1909"/>
        <w:gridCol w:w="1603"/>
        <w:gridCol w:w="458"/>
        <w:gridCol w:w="774"/>
        <w:gridCol w:w="456"/>
        <w:gridCol w:w="757"/>
        <w:gridCol w:w="456"/>
        <w:gridCol w:w="854"/>
        <w:gridCol w:w="576"/>
        <w:gridCol w:w="1090"/>
      </w:tblGrid>
      <w:tr w:rsidR="008B0ED3" w:rsidRPr="0070000B" w14:paraId="5FDDAA6E" w14:textId="77777777" w:rsidTr="00B75285">
        <w:trPr>
          <w:trHeight w:val="888"/>
        </w:trPr>
        <w:tc>
          <w:tcPr>
            <w:tcW w:w="336" w:type="pct"/>
            <w:vMerge w:val="restart"/>
            <w:vAlign w:val="center"/>
          </w:tcPr>
          <w:p w14:paraId="6E533659"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p>
        </w:tc>
        <w:tc>
          <w:tcPr>
            <w:tcW w:w="997" w:type="pct"/>
            <w:vMerge w:val="restart"/>
            <w:vAlign w:val="center"/>
          </w:tcPr>
          <w:p w14:paraId="0958F1D7"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3442822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Public Speaking</w:t>
            </w:r>
            <w:r w:rsidRPr="0070000B">
              <w:rPr>
                <w:rFonts w:ascii="Times New Roman" w:hAnsi="Times New Roman" w:cs="Times New Roman"/>
                <w:color w:val="000000"/>
                <w:sz w:val="24"/>
                <w:szCs w:val="24"/>
              </w:rPr>
              <w:t>)</w:t>
            </w:r>
          </w:p>
        </w:tc>
        <w:tc>
          <w:tcPr>
            <w:tcW w:w="837" w:type="pct"/>
            <w:vMerge w:val="restart"/>
            <w:vAlign w:val="center"/>
          </w:tcPr>
          <w:p w14:paraId="7688AD3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643" w:type="pct"/>
            <w:gridSpan w:val="2"/>
            <w:vAlign w:val="center"/>
          </w:tcPr>
          <w:p w14:paraId="746B2CDD"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GBPUAT</w:t>
            </w:r>
          </w:p>
          <w:p w14:paraId="4EA5188A"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(n=70)</w:t>
            </w:r>
          </w:p>
        </w:tc>
        <w:tc>
          <w:tcPr>
            <w:tcW w:w="633" w:type="pct"/>
            <w:gridSpan w:val="2"/>
            <w:vAlign w:val="center"/>
          </w:tcPr>
          <w:p w14:paraId="2EAB4285"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IARI (n=70)</w:t>
            </w:r>
          </w:p>
        </w:tc>
        <w:tc>
          <w:tcPr>
            <w:tcW w:w="684" w:type="pct"/>
            <w:gridSpan w:val="2"/>
            <w:vAlign w:val="center"/>
          </w:tcPr>
          <w:p w14:paraId="7B23C0BA" w14:textId="069051D6" w:rsidR="008B0ED3" w:rsidRPr="0070000B" w:rsidRDefault="00D1647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IAS-</w:t>
            </w:r>
            <w:r w:rsidR="008B0ED3" w:rsidRPr="0070000B">
              <w:rPr>
                <w:rFonts w:ascii="Times New Roman" w:hAnsi="Times New Roman" w:cs="Times New Roman"/>
                <w:sz w:val="24"/>
                <w:szCs w:val="24"/>
              </w:rPr>
              <w:t>BHU (n=70)</w:t>
            </w:r>
          </w:p>
        </w:tc>
        <w:tc>
          <w:tcPr>
            <w:tcW w:w="870" w:type="pct"/>
            <w:gridSpan w:val="2"/>
            <w:vAlign w:val="center"/>
          </w:tcPr>
          <w:p w14:paraId="25A5ACAA"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8B0ED3" w:rsidRPr="0070000B" w14:paraId="0AF02E9D" w14:textId="77777777" w:rsidTr="00B75285">
        <w:trPr>
          <w:trHeight w:val="64"/>
        </w:trPr>
        <w:tc>
          <w:tcPr>
            <w:tcW w:w="336" w:type="pct"/>
            <w:vMerge/>
            <w:vAlign w:val="center"/>
          </w:tcPr>
          <w:p w14:paraId="55E03266" w14:textId="77777777" w:rsidR="008B0ED3" w:rsidRPr="0070000B" w:rsidRDefault="008B0ED3" w:rsidP="00471569">
            <w:pPr>
              <w:spacing w:line="360" w:lineRule="auto"/>
              <w:jc w:val="both"/>
              <w:rPr>
                <w:rFonts w:ascii="Times New Roman" w:hAnsi="Times New Roman" w:cs="Times New Roman"/>
                <w:color w:val="000000"/>
                <w:sz w:val="24"/>
                <w:szCs w:val="24"/>
              </w:rPr>
            </w:pPr>
          </w:p>
        </w:tc>
        <w:tc>
          <w:tcPr>
            <w:tcW w:w="997" w:type="pct"/>
            <w:vMerge/>
            <w:vAlign w:val="center"/>
          </w:tcPr>
          <w:p w14:paraId="14FA573D" w14:textId="77777777" w:rsidR="008B0ED3" w:rsidRPr="0070000B" w:rsidRDefault="008B0ED3" w:rsidP="00471569">
            <w:pPr>
              <w:spacing w:line="360" w:lineRule="auto"/>
              <w:jc w:val="both"/>
              <w:rPr>
                <w:rFonts w:ascii="Times New Roman" w:hAnsi="Times New Roman" w:cs="Times New Roman"/>
                <w:color w:val="000000"/>
                <w:sz w:val="24"/>
                <w:szCs w:val="24"/>
              </w:rPr>
            </w:pPr>
          </w:p>
        </w:tc>
        <w:tc>
          <w:tcPr>
            <w:tcW w:w="837" w:type="pct"/>
            <w:vMerge/>
            <w:vAlign w:val="center"/>
          </w:tcPr>
          <w:p w14:paraId="62F16D04" w14:textId="77777777" w:rsidR="008B0ED3" w:rsidRPr="0070000B" w:rsidRDefault="008B0ED3" w:rsidP="00471569">
            <w:pPr>
              <w:spacing w:line="360" w:lineRule="auto"/>
              <w:jc w:val="both"/>
              <w:rPr>
                <w:rFonts w:ascii="Times New Roman" w:hAnsi="Times New Roman" w:cs="Times New Roman"/>
                <w:color w:val="000000"/>
                <w:sz w:val="24"/>
                <w:szCs w:val="24"/>
              </w:rPr>
            </w:pPr>
          </w:p>
        </w:tc>
        <w:tc>
          <w:tcPr>
            <w:tcW w:w="239" w:type="pct"/>
          </w:tcPr>
          <w:p w14:paraId="62F01296"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404" w:type="pct"/>
          </w:tcPr>
          <w:p w14:paraId="2F05E00E"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tcPr>
          <w:p w14:paraId="0F715194"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tcPr>
          <w:p w14:paraId="0953621A"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tcPr>
          <w:p w14:paraId="5EE72FEC"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446" w:type="pct"/>
          </w:tcPr>
          <w:p w14:paraId="66265E94"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tcPr>
          <w:p w14:paraId="6907388B"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570" w:type="pct"/>
          </w:tcPr>
          <w:p w14:paraId="55111219"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r>
      <w:tr w:rsidR="008B0ED3" w:rsidRPr="0070000B" w14:paraId="1B0651B1" w14:textId="77777777" w:rsidTr="00B75285">
        <w:tc>
          <w:tcPr>
            <w:tcW w:w="336" w:type="pct"/>
            <w:vAlign w:val="center"/>
          </w:tcPr>
          <w:p w14:paraId="3B38F53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lastRenderedPageBreak/>
              <w:t>1</w:t>
            </w:r>
          </w:p>
        </w:tc>
        <w:tc>
          <w:tcPr>
            <w:tcW w:w="997" w:type="pct"/>
            <w:vAlign w:val="center"/>
          </w:tcPr>
          <w:p w14:paraId="1324BB1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bottom"/>
          </w:tcPr>
          <w:p w14:paraId="032B29D8"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&lt;14</w:t>
            </w:r>
          </w:p>
        </w:tc>
        <w:tc>
          <w:tcPr>
            <w:tcW w:w="239" w:type="pct"/>
            <w:vAlign w:val="bottom"/>
          </w:tcPr>
          <w:p w14:paraId="29F102E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w:t>
            </w:r>
          </w:p>
        </w:tc>
        <w:tc>
          <w:tcPr>
            <w:tcW w:w="404" w:type="pct"/>
            <w:vAlign w:val="bottom"/>
          </w:tcPr>
          <w:p w14:paraId="1E0A5EE6"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10.00</w:t>
            </w:r>
          </w:p>
        </w:tc>
        <w:tc>
          <w:tcPr>
            <w:tcW w:w="238" w:type="pct"/>
            <w:vAlign w:val="bottom"/>
          </w:tcPr>
          <w:p w14:paraId="0EE76065"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6</w:t>
            </w:r>
          </w:p>
        </w:tc>
        <w:tc>
          <w:tcPr>
            <w:tcW w:w="395" w:type="pct"/>
            <w:vAlign w:val="bottom"/>
          </w:tcPr>
          <w:p w14:paraId="5D69B711"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8.57</w:t>
            </w:r>
          </w:p>
        </w:tc>
        <w:tc>
          <w:tcPr>
            <w:tcW w:w="238" w:type="pct"/>
            <w:vAlign w:val="bottom"/>
          </w:tcPr>
          <w:p w14:paraId="3BA0DFB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446" w:type="pct"/>
            <w:vAlign w:val="bottom"/>
          </w:tcPr>
          <w:p w14:paraId="25B44A53"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7.14</w:t>
            </w:r>
          </w:p>
        </w:tc>
        <w:tc>
          <w:tcPr>
            <w:tcW w:w="301" w:type="pct"/>
            <w:vAlign w:val="center"/>
          </w:tcPr>
          <w:p w14:paraId="109424E0"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18</w:t>
            </w:r>
          </w:p>
        </w:tc>
        <w:tc>
          <w:tcPr>
            <w:tcW w:w="570" w:type="pct"/>
            <w:vAlign w:val="bottom"/>
          </w:tcPr>
          <w:p w14:paraId="1E576D3C" w14:textId="7E1278FA"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8.57</w:t>
            </w:r>
          </w:p>
        </w:tc>
      </w:tr>
      <w:tr w:rsidR="008B0ED3" w:rsidRPr="0070000B" w14:paraId="628833E0" w14:textId="77777777" w:rsidTr="00B75285">
        <w:tc>
          <w:tcPr>
            <w:tcW w:w="336" w:type="pct"/>
            <w:vAlign w:val="center"/>
          </w:tcPr>
          <w:p w14:paraId="5C78C44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997" w:type="pct"/>
            <w:vAlign w:val="center"/>
          </w:tcPr>
          <w:p w14:paraId="200F7F03"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bottom"/>
          </w:tcPr>
          <w:p w14:paraId="0D88630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14-24</w:t>
            </w:r>
          </w:p>
        </w:tc>
        <w:tc>
          <w:tcPr>
            <w:tcW w:w="239" w:type="pct"/>
            <w:vAlign w:val="bottom"/>
          </w:tcPr>
          <w:p w14:paraId="444C6560"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58</w:t>
            </w:r>
          </w:p>
        </w:tc>
        <w:tc>
          <w:tcPr>
            <w:tcW w:w="404" w:type="pct"/>
            <w:vAlign w:val="bottom"/>
          </w:tcPr>
          <w:p w14:paraId="41D9FF8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82.86</w:t>
            </w:r>
          </w:p>
        </w:tc>
        <w:tc>
          <w:tcPr>
            <w:tcW w:w="238" w:type="pct"/>
            <w:vAlign w:val="bottom"/>
          </w:tcPr>
          <w:p w14:paraId="632D785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61</w:t>
            </w:r>
          </w:p>
        </w:tc>
        <w:tc>
          <w:tcPr>
            <w:tcW w:w="395" w:type="pct"/>
            <w:vAlign w:val="bottom"/>
          </w:tcPr>
          <w:p w14:paraId="626FBE89"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87.14</w:t>
            </w:r>
          </w:p>
        </w:tc>
        <w:tc>
          <w:tcPr>
            <w:tcW w:w="238" w:type="pct"/>
            <w:vAlign w:val="bottom"/>
          </w:tcPr>
          <w:p w14:paraId="73ED686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63</w:t>
            </w:r>
          </w:p>
        </w:tc>
        <w:tc>
          <w:tcPr>
            <w:tcW w:w="446" w:type="pct"/>
            <w:vAlign w:val="bottom"/>
          </w:tcPr>
          <w:p w14:paraId="75CC3BE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90.00</w:t>
            </w:r>
          </w:p>
        </w:tc>
        <w:tc>
          <w:tcPr>
            <w:tcW w:w="301" w:type="pct"/>
            <w:vAlign w:val="center"/>
          </w:tcPr>
          <w:p w14:paraId="37239F3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182</w:t>
            </w:r>
          </w:p>
        </w:tc>
        <w:tc>
          <w:tcPr>
            <w:tcW w:w="570" w:type="pct"/>
            <w:vAlign w:val="bottom"/>
          </w:tcPr>
          <w:p w14:paraId="6CA073D2" w14:textId="65FD4C8E"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86.6</w:t>
            </w:r>
            <w:r w:rsidR="00D16473" w:rsidRPr="0070000B">
              <w:rPr>
                <w:rFonts w:ascii="Times New Roman" w:hAnsi="Times New Roman" w:cs="Times New Roman"/>
                <w:color w:val="000000"/>
                <w:sz w:val="24"/>
                <w:szCs w:val="24"/>
              </w:rPr>
              <w:t>7</w:t>
            </w:r>
          </w:p>
        </w:tc>
      </w:tr>
      <w:tr w:rsidR="008B0ED3" w:rsidRPr="0070000B" w14:paraId="712BF534" w14:textId="77777777" w:rsidTr="00B75285">
        <w:tc>
          <w:tcPr>
            <w:tcW w:w="336" w:type="pct"/>
            <w:vAlign w:val="center"/>
          </w:tcPr>
          <w:p w14:paraId="1E3B0A7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997" w:type="pct"/>
            <w:vAlign w:val="center"/>
          </w:tcPr>
          <w:p w14:paraId="5A0E4FC0"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bottom"/>
          </w:tcPr>
          <w:p w14:paraId="721659A1"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&gt;24</w:t>
            </w:r>
          </w:p>
        </w:tc>
        <w:tc>
          <w:tcPr>
            <w:tcW w:w="239" w:type="pct"/>
            <w:vAlign w:val="bottom"/>
          </w:tcPr>
          <w:p w14:paraId="5E79705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404" w:type="pct"/>
            <w:vAlign w:val="bottom"/>
          </w:tcPr>
          <w:p w14:paraId="73D8C227"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7.14</w:t>
            </w:r>
          </w:p>
        </w:tc>
        <w:tc>
          <w:tcPr>
            <w:tcW w:w="238" w:type="pct"/>
            <w:vAlign w:val="bottom"/>
          </w:tcPr>
          <w:p w14:paraId="5D9D439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395" w:type="pct"/>
            <w:vAlign w:val="bottom"/>
          </w:tcPr>
          <w:p w14:paraId="753791C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4.29</w:t>
            </w:r>
          </w:p>
        </w:tc>
        <w:tc>
          <w:tcPr>
            <w:tcW w:w="238" w:type="pct"/>
            <w:vAlign w:val="bottom"/>
          </w:tcPr>
          <w:p w14:paraId="6FE19FB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446" w:type="pct"/>
            <w:vAlign w:val="bottom"/>
          </w:tcPr>
          <w:p w14:paraId="3DBA2B71"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2.86</w:t>
            </w:r>
          </w:p>
        </w:tc>
        <w:tc>
          <w:tcPr>
            <w:tcW w:w="301" w:type="pct"/>
            <w:vAlign w:val="center"/>
          </w:tcPr>
          <w:p w14:paraId="2A216BCA"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10</w:t>
            </w:r>
          </w:p>
        </w:tc>
        <w:tc>
          <w:tcPr>
            <w:tcW w:w="570" w:type="pct"/>
            <w:vAlign w:val="bottom"/>
          </w:tcPr>
          <w:p w14:paraId="5F30E0C6" w14:textId="309EEBCD"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4.76</w:t>
            </w:r>
          </w:p>
        </w:tc>
      </w:tr>
    </w:tbl>
    <w:p w14:paraId="02BD8B72" w14:textId="77777777" w:rsidR="00B75285" w:rsidRPr="0070000B" w:rsidRDefault="00B75285" w:rsidP="00B75285">
      <w:pPr>
        <w:pStyle w:val="Default"/>
        <w:spacing w:before="240" w:line="360" w:lineRule="auto"/>
        <w:ind w:right="763"/>
        <w:jc w:val="both"/>
      </w:pPr>
      <w:r w:rsidRPr="0070000B">
        <w:t>Unlike other communication contexts, public speaking shows relatively lower levels of high apprehension among students. While 35.71% of students reported high apprehension in group discussions and 31.91% in interpersonal communication, only 4.76% experienced high apprehension in public speaking situations. This suggests that students may feel more comfortable communicating in structured presentation environments where preparation and rehearsal are possible. Public speaking also shows relatively consistent patterns across the three universities, indicating that apprehension in this context may be influenced more by academic exposure and practice than by institutional differences.</w:t>
      </w:r>
    </w:p>
    <w:p w14:paraId="63975F02" w14:textId="54726B24" w:rsidR="00B75285" w:rsidRPr="0070000B" w:rsidRDefault="00B75285" w:rsidP="00471569">
      <w:pPr>
        <w:pStyle w:val="Default"/>
        <w:spacing w:before="240" w:line="360" w:lineRule="auto"/>
        <w:ind w:right="763"/>
        <w:jc w:val="both"/>
      </w:pPr>
      <w:r w:rsidRPr="0070000B">
        <w:t>These findings contrast with earlier studies by McCroskey (1977, 1984) and Beatty (1988), which identified public speaking as the most common form of communication apprehension. However, the present findings align with Glaser (1981), who suggested that repeated exposure and structured practice in academic environments can reduce anxiety associated with public speaking.</w:t>
      </w:r>
    </w:p>
    <w:p w14:paraId="449F9219" w14:textId="71EA5C8B" w:rsidR="00B75285" w:rsidRPr="0070000B" w:rsidRDefault="00B75285" w:rsidP="00471569">
      <w:pPr>
        <w:pStyle w:val="Default"/>
        <w:spacing w:before="240" w:line="360" w:lineRule="auto"/>
        <w:ind w:right="763"/>
        <w:jc w:val="both"/>
      </w:pPr>
      <w:r w:rsidRPr="0070000B">
        <w:t>The overall distribution of communication apprehension among postgraduate students is presented in Table 5. The results indicate that the majority of students (72.38%) fall within the medium communication apprehension category, while 26.19% exhibit high levels of apprehension, and only 1.43% fall under the low category.</w:t>
      </w:r>
    </w:p>
    <w:p w14:paraId="57C1F0F6" w14:textId="4485306D" w:rsidR="00270572" w:rsidRPr="0070000B" w:rsidRDefault="00653A8F" w:rsidP="00471569">
      <w:pPr>
        <w:pStyle w:val="Default"/>
        <w:spacing w:before="240" w:line="360" w:lineRule="auto"/>
        <w:ind w:right="763"/>
        <w:jc w:val="both"/>
        <w:rPr>
          <w:lang w:val="en-US"/>
        </w:rPr>
      </w:pPr>
      <w:r w:rsidRPr="0070000B">
        <w:t xml:space="preserve">Table </w:t>
      </w:r>
      <w:r w:rsidR="004146BC" w:rsidRPr="0070000B">
        <w:t>5</w:t>
      </w:r>
      <w:r w:rsidRPr="0070000B">
        <w:t xml:space="preserve"> Distribution of students’ according to</w:t>
      </w:r>
      <w:r w:rsidR="00E73234" w:rsidRPr="0070000B">
        <w:t xml:space="preserve"> overall </w:t>
      </w:r>
      <w:r w:rsidRPr="0070000B">
        <w:rPr>
          <w:lang w:val="en-US"/>
        </w:rPr>
        <w:t>Communication Apprehension</w:t>
      </w:r>
    </w:p>
    <w:tbl>
      <w:tblPr>
        <w:tblStyle w:val="TableGrid"/>
        <w:tblW w:w="5000" w:type="pct"/>
        <w:tblLook w:val="04A0" w:firstRow="1" w:lastRow="0" w:firstColumn="1" w:lastColumn="0" w:noHBand="0" w:noVBand="1"/>
      </w:tblPr>
      <w:tblGrid>
        <w:gridCol w:w="643"/>
        <w:gridCol w:w="2609"/>
        <w:gridCol w:w="1603"/>
        <w:gridCol w:w="456"/>
        <w:gridCol w:w="456"/>
        <w:gridCol w:w="463"/>
        <w:gridCol w:w="757"/>
        <w:gridCol w:w="456"/>
        <w:gridCol w:w="801"/>
        <w:gridCol w:w="576"/>
        <w:gridCol w:w="756"/>
      </w:tblGrid>
      <w:tr w:rsidR="00F83E29" w:rsidRPr="0070000B" w14:paraId="243346C9" w14:textId="77777777" w:rsidTr="00B75285">
        <w:trPr>
          <w:trHeight w:val="888"/>
        </w:trPr>
        <w:tc>
          <w:tcPr>
            <w:tcW w:w="336" w:type="pct"/>
            <w:vMerge w:val="restart"/>
            <w:vAlign w:val="center"/>
          </w:tcPr>
          <w:p w14:paraId="59C9474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p>
        </w:tc>
        <w:tc>
          <w:tcPr>
            <w:tcW w:w="1363" w:type="pct"/>
            <w:vMerge w:val="restart"/>
            <w:vAlign w:val="center"/>
          </w:tcPr>
          <w:p w14:paraId="19BF729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tc>
        <w:tc>
          <w:tcPr>
            <w:tcW w:w="837" w:type="pct"/>
            <w:vMerge w:val="restart"/>
            <w:vAlign w:val="center"/>
          </w:tcPr>
          <w:p w14:paraId="609AD20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476" w:type="pct"/>
            <w:gridSpan w:val="2"/>
            <w:vAlign w:val="center"/>
          </w:tcPr>
          <w:p w14:paraId="2E776C72"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IARI (n=70)</w:t>
            </w:r>
          </w:p>
        </w:tc>
        <w:tc>
          <w:tcPr>
            <w:tcW w:w="636" w:type="pct"/>
            <w:gridSpan w:val="2"/>
            <w:vAlign w:val="center"/>
          </w:tcPr>
          <w:p w14:paraId="36882376"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GBPUAT (n=70)</w:t>
            </w:r>
          </w:p>
        </w:tc>
        <w:tc>
          <w:tcPr>
            <w:tcW w:w="656" w:type="pct"/>
            <w:gridSpan w:val="2"/>
            <w:vAlign w:val="center"/>
          </w:tcPr>
          <w:p w14:paraId="1FC53BBD" w14:textId="5552156A" w:rsidR="00F83E29" w:rsidRPr="0070000B" w:rsidRDefault="004146BC"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IAS-</w:t>
            </w:r>
            <w:r w:rsidR="00F83E29" w:rsidRPr="0070000B">
              <w:rPr>
                <w:rFonts w:ascii="Times New Roman" w:hAnsi="Times New Roman" w:cs="Times New Roman"/>
                <w:sz w:val="24"/>
                <w:szCs w:val="24"/>
              </w:rPr>
              <w:t>BHU (n=70)</w:t>
            </w:r>
          </w:p>
        </w:tc>
        <w:tc>
          <w:tcPr>
            <w:tcW w:w="695" w:type="pct"/>
            <w:gridSpan w:val="2"/>
            <w:vAlign w:val="center"/>
          </w:tcPr>
          <w:p w14:paraId="6C917B47"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F83E29" w:rsidRPr="0070000B" w14:paraId="7BFEDBE4" w14:textId="77777777" w:rsidTr="00B75285">
        <w:trPr>
          <w:trHeight w:val="58"/>
        </w:trPr>
        <w:tc>
          <w:tcPr>
            <w:tcW w:w="336" w:type="pct"/>
            <w:vMerge/>
            <w:vAlign w:val="center"/>
          </w:tcPr>
          <w:p w14:paraId="5E2F4763" w14:textId="77777777" w:rsidR="00F83E29" w:rsidRPr="0070000B" w:rsidRDefault="00F83E29" w:rsidP="00471569">
            <w:pPr>
              <w:spacing w:line="360" w:lineRule="auto"/>
              <w:jc w:val="both"/>
              <w:rPr>
                <w:rFonts w:ascii="Times New Roman" w:hAnsi="Times New Roman" w:cs="Times New Roman"/>
                <w:color w:val="000000"/>
                <w:sz w:val="24"/>
                <w:szCs w:val="24"/>
              </w:rPr>
            </w:pPr>
          </w:p>
        </w:tc>
        <w:tc>
          <w:tcPr>
            <w:tcW w:w="1363" w:type="pct"/>
            <w:vMerge/>
            <w:vAlign w:val="center"/>
          </w:tcPr>
          <w:p w14:paraId="56D28DE9" w14:textId="77777777" w:rsidR="00F83E29" w:rsidRPr="0070000B" w:rsidRDefault="00F83E29" w:rsidP="00471569">
            <w:pPr>
              <w:spacing w:line="360" w:lineRule="auto"/>
              <w:jc w:val="both"/>
              <w:rPr>
                <w:rFonts w:ascii="Times New Roman" w:hAnsi="Times New Roman" w:cs="Times New Roman"/>
                <w:color w:val="000000"/>
                <w:sz w:val="24"/>
                <w:szCs w:val="24"/>
              </w:rPr>
            </w:pPr>
          </w:p>
        </w:tc>
        <w:tc>
          <w:tcPr>
            <w:tcW w:w="837" w:type="pct"/>
            <w:vMerge/>
            <w:vAlign w:val="center"/>
          </w:tcPr>
          <w:p w14:paraId="669B0187" w14:textId="77777777" w:rsidR="00F83E29" w:rsidRPr="0070000B" w:rsidRDefault="00F83E29" w:rsidP="00471569">
            <w:pPr>
              <w:spacing w:line="360" w:lineRule="auto"/>
              <w:jc w:val="both"/>
              <w:rPr>
                <w:rFonts w:ascii="Times New Roman" w:hAnsi="Times New Roman" w:cs="Times New Roman"/>
                <w:color w:val="000000"/>
                <w:sz w:val="24"/>
                <w:szCs w:val="24"/>
              </w:rPr>
            </w:pPr>
          </w:p>
        </w:tc>
        <w:tc>
          <w:tcPr>
            <w:tcW w:w="238" w:type="pct"/>
          </w:tcPr>
          <w:p w14:paraId="639688BC"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238" w:type="pct"/>
          </w:tcPr>
          <w:p w14:paraId="21087555"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42" w:type="pct"/>
          </w:tcPr>
          <w:p w14:paraId="5C89F9F8"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tcPr>
          <w:p w14:paraId="344792DC"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tcPr>
          <w:p w14:paraId="38D9CDC0"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418" w:type="pct"/>
          </w:tcPr>
          <w:p w14:paraId="16B711B3"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tcPr>
          <w:p w14:paraId="082EB66E"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tcPr>
          <w:p w14:paraId="0319487F"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r>
      <w:tr w:rsidR="00F83E29" w:rsidRPr="0070000B" w14:paraId="5294CCB6" w14:textId="77777777" w:rsidTr="00B75285">
        <w:tc>
          <w:tcPr>
            <w:tcW w:w="336" w:type="pct"/>
            <w:vAlign w:val="center"/>
          </w:tcPr>
          <w:p w14:paraId="7B46BD0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1363" w:type="pct"/>
            <w:vAlign w:val="center"/>
          </w:tcPr>
          <w:p w14:paraId="63CEA868"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center"/>
          </w:tcPr>
          <w:p w14:paraId="0A1F8928"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&lt;51</w:t>
            </w:r>
          </w:p>
        </w:tc>
        <w:tc>
          <w:tcPr>
            <w:tcW w:w="238" w:type="pct"/>
            <w:vAlign w:val="center"/>
          </w:tcPr>
          <w:p w14:paraId="76DD822B"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238" w:type="pct"/>
            <w:vAlign w:val="center"/>
          </w:tcPr>
          <w:p w14:paraId="2AD7A62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242" w:type="pct"/>
            <w:vAlign w:val="center"/>
          </w:tcPr>
          <w:p w14:paraId="2E0D193B"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395" w:type="pct"/>
            <w:vAlign w:val="center"/>
          </w:tcPr>
          <w:p w14:paraId="478DACB9"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238" w:type="pct"/>
            <w:vAlign w:val="center"/>
          </w:tcPr>
          <w:p w14:paraId="21280934"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418" w:type="pct"/>
            <w:vAlign w:val="center"/>
          </w:tcPr>
          <w:p w14:paraId="17F5DB1F"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2.86</w:t>
            </w:r>
          </w:p>
        </w:tc>
        <w:tc>
          <w:tcPr>
            <w:tcW w:w="301" w:type="pct"/>
          </w:tcPr>
          <w:p w14:paraId="4DE3F5D3"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395" w:type="pct"/>
          </w:tcPr>
          <w:p w14:paraId="3D5A7705"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r>
      <w:tr w:rsidR="00F83E29" w:rsidRPr="0070000B" w14:paraId="11F1C3CC" w14:textId="77777777" w:rsidTr="00B75285">
        <w:tc>
          <w:tcPr>
            <w:tcW w:w="336" w:type="pct"/>
            <w:vAlign w:val="center"/>
          </w:tcPr>
          <w:p w14:paraId="317E506A"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1363" w:type="pct"/>
            <w:vAlign w:val="center"/>
          </w:tcPr>
          <w:p w14:paraId="55DFB45E"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center"/>
          </w:tcPr>
          <w:p w14:paraId="02176D64"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51-80</w:t>
            </w:r>
          </w:p>
        </w:tc>
        <w:tc>
          <w:tcPr>
            <w:tcW w:w="238" w:type="pct"/>
            <w:vAlign w:val="center"/>
          </w:tcPr>
          <w:p w14:paraId="57CC56BD"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47</w:t>
            </w:r>
          </w:p>
        </w:tc>
        <w:tc>
          <w:tcPr>
            <w:tcW w:w="238" w:type="pct"/>
            <w:vAlign w:val="center"/>
          </w:tcPr>
          <w:p w14:paraId="55288074"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70</w:t>
            </w:r>
          </w:p>
        </w:tc>
        <w:tc>
          <w:tcPr>
            <w:tcW w:w="242" w:type="pct"/>
            <w:vAlign w:val="center"/>
          </w:tcPr>
          <w:p w14:paraId="0DD4D349"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49</w:t>
            </w:r>
          </w:p>
        </w:tc>
        <w:tc>
          <w:tcPr>
            <w:tcW w:w="395" w:type="pct"/>
            <w:vAlign w:val="center"/>
          </w:tcPr>
          <w:p w14:paraId="38BA55A3" w14:textId="1553E11C"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74.2</w:t>
            </w:r>
            <w:r w:rsidR="004146BC" w:rsidRPr="0070000B">
              <w:rPr>
                <w:rFonts w:ascii="Times New Roman" w:hAnsi="Times New Roman" w:cs="Times New Roman"/>
                <w:color w:val="000000"/>
                <w:sz w:val="24"/>
                <w:szCs w:val="24"/>
              </w:rPr>
              <w:t>8</w:t>
            </w:r>
          </w:p>
        </w:tc>
        <w:tc>
          <w:tcPr>
            <w:tcW w:w="238" w:type="pct"/>
            <w:vAlign w:val="center"/>
          </w:tcPr>
          <w:p w14:paraId="5F7417F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45</w:t>
            </w:r>
          </w:p>
        </w:tc>
        <w:tc>
          <w:tcPr>
            <w:tcW w:w="418" w:type="pct"/>
            <w:vAlign w:val="center"/>
          </w:tcPr>
          <w:p w14:paraId="03C76E91" w14:textId="5152A42D"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72.8</w:t>
            </w:r>
            <w:r w:rsidR="004146BC" w:rsidRPr="0070000B">
              <w:rPr>
                <w:rFonts w:ascii="Times New Roman" w:hAnsi="Times New Roman" w:cs="Times New Roman"/>
                <w:color w:val="000000"/>
                <w:sz w:val="24"/>
                <w:szCs w:val="24"/>
              </w:rPr>
              <w:t>5</w:t>
            </w:r>
          </w:p>
        </w:tc>
        <w:tc>
          <w:tcPr>
            <w:tcW w:w="301" w:type="pct"/>
          </w:tcPr>
          <w:p w14:paraId="14E96760"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141</w:t>
            </w:r>
          </w:p>
        </w:tc>
        <w:tc>
          <w:tcPr>
            <w:tcW w:w="395" w:type="pct"/>
          </w:tcPr>
          <w:p w14:paraId="592F984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72.38</w:t>
            </w:r>
          </w:p>
        </w:tc>
      </w:tr>
      <w:tr w:rsidR="00F83E29" w:rsidRPr="0070000B" w14:paraId="5F4B5A00" w14:textId="77777777" w:rsidTr="00B75285">
        <w:tc>
          <w:tcPr>
            <w:tcW w:w="336" w:type="pct"/>
            <w:vAlign w:val="center"/>
          </w:tcPr>
          <w:p w14:paraId="02F12116"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lastRenderedPageBreak/>
              <w:t>3</w:t>
            </w:r>
          </w:p>
        </w:tc>
        <w:tc>
          <w:tcPr>
            <w:tcW w:w="1363" w:type="pct"/>
            <w:vAlign w:val="center"/>
          </w:tcPr>
          <w:p w14:paraId="778EF06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center"/>
          </w:tcPr>
          <w:p w14:paraId="41A98E1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&gt;80</w:t>
            </w:r>
          </w:p>
        </w:tc>
        <w:tc>
          <w:tcPr>
            <w:tcW w:w="238" w:type="pct"/>
            <w:vAlign w:val="center"/>
          </w:tcPr>
          <w:p w14:paraId="20BCDDB3"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21</w:t>
            </w:r>
          </w:p>
        </w:tc>
        <w:tc>
          <w:tcPr>
            <w:tcW w:w="238" w:type="pct"/>
            <w:vAlign w:val="center"/>
          </w:tcPr>
          <w:p w14:paraId="0891F199"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30</w:t>
            </w:r>
          </w:p>
        </w:tc>
        <w:tc>
          <w:tcPr>
            <w:tcW w:w="242" w:type="pct"/>
            <w:vAlign w:val="center"/>
          </w:tcPr>
          <w:p w14:paraId="61EE3EB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17</w:t>
            </w:r>
          </w:p>
        </w:tc>
        <w:tc>
          <w:tcPr>
            <w:tcW w:w="395" w:type="pct"/>
            <w:vAlign w:val="center"/>
          </w:tcPr>
          <w:p w14:paraId="0BE7EA6A"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24.29</w:t>
            </w:r>
          </w:p>
        </w:tc>
        <w:tc>
          <w:tcPr>
            <w:tcW w:w="238" w:type="pct"/>
            <w:vAlign w:val="center"/>
          </w:tcPr>
          <w:p w14:paraId="5B189D6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17</w:t>
            </w:r>
          </w:p>
        </w:tc>
        <w:tc>
          <w:tcPr>
            <w:tcW w:w="418" w:type="pct"/>
            <w:vAlign w:val="center"/>
          </w:tcPr>
          <w:p w14:paraId="5A5A66E8" w14:textId="3364D923"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24.2</w:t>
            </w:r>
            <w:r w:rsidR="004146BC" w:rsidRPr="0070000B">
              <w:rPr>
                <w:rFonts w:ascii="Times New Roman" w:hAnsi="Times New Roman" w:cs="Times New Roman"/>
                <w:color w:val="000000"/>
                <w:sz w:val="24"/>
                <w:szCs w:val="24"/>
              </w:rPr>
              <w:t>9</w:t>
            </w:r>
          </w:p>
        </w:tc>
        <w:tc>
          <w:tcPr>
            <w:tcW w:w="301" w:type="pct"/>
          </w:tcPr>
          <w:p w14:paraId="592AB5DC"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55</w:t>
            </w:r>
          </w:p>
        </w:tc>
        <w:tc>
          <w:tcPr>
            <w:tcW w:w="395" w:type="pct"/>
          </w:tcPr>
          <w:p w14:paraId="568FA21F"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26.19</w:t>
            </w:r>
          </w:p>
        </w:tc>
      </w:tr>
    </w:tbl>
    <w:p w14:paraId="099A09A9" w14:textId="77777777" w:rsidR="00B75285" w:rsidRPr="0070000B" w:rsidRDefault="00B75285" w:rsidP="00B75285">
      <w:pPr>
        <w:pStyle w:val="Default"/>
        <w:spacing w:before="240" w:line="360" w:lineRule="auto"/>
        <w:ind w:right="763"/>
        <w:jc w:val="both"/>
      </w:pPr>
      <w:r w:rsidRPr="0070000B">
        <w:t>Institution-wise analysis shows that 74.28% of GBPUAT students, 72.85% of IAS-BHU students, and 70% of IARI students fall within the medium communication apprehension category. These findings suggest that although extreme levels of communication anxiety are relatively limited, a large proportion of students experience moderate apprehension, which may still affect their communication behaviour and participation in academic activities.</w:t>
      </w:r>
    </w:p>
    <w:p w14:paraId="4BB843B2" w14:textId="77777777" w:rsidR="0070000B" w:rsidRDefault="00EF0D9C" w:rsidP="0070000B">
      <w:pPr>
        <w:pStyle w:val="Default"/>
        <w:keepNext/>
        <w:spacing w:before="240" w:line="360" w:lineRule="auto"/>
        <w:ind w:right="763"/>
        <w:jc w:val="both"/>
      </w:pPr>
      <w:r w:rsidRPr="0070000B">
        <w:rPr>
          <w:noProof/>
        </w:rPr>
        <w:drawing>
          <wp:inline distT="0" distB="0" distL="0" distR="0" wp14:anchorId="1854B352" wp14:editId="7FDD1C36">
            <wp:extent cx="4933950" cy="3914775"/>
            <wp:effectExtent l="0" t="0" r="0" b="0"/>
            <wp:docPr id="1164419945" name="Chart 1">
              <a:extLst xmlns:a="http://schemas.openxmlformats.org/drawingml/2006/main">
                <a:ext uri="{FF2B5EF4-FFF2-40B4-BE49-F238E27FC236}">
                  <a16:creationId xmlns:a16="http://schemas.microsoft.com/office/drawing/2014/main" id="{B07A38D1-069C-378D-92BE-6C5985991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1ECA0" w14:textId="4406CF52" w:rsidR="00EF0D9C" w:rsidRPr="0070000B" w:rsidRDefault="0070000B" w:rsidP="0070000B">
      <w:pPr>
        <w:pStyle w:val="Caption"/>
        <w:jc w:val="cente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875F1B">
        <w:t>Distribution of students among the institutes</w:t>
      </w:r>
    </w:p>
    <w:p w14:paraId="351F0F7F" w14:textId="75A42900" w:rsidR="005B1027" w:rsidRPr="0070000B" w:rsidRDefault="008657F0" w:rsidP="00471569">
      <w:pPr>
        <w:pStyle w:val="Default"/>
        <w:spacing w:before="240" w:line="360" w:lineRule="auto"/>
        <w:ind w:right="763"/>
        <w:jc w:val="both"/>
      </w:pPr>
      <w:r>
        <w:rPr>
          <w:bCs/>
          <w:noProof/>
        </w:rPr>
        <w:pict w14:anchorId="04907441">
          <v:rect id="_x0000_s2050" alt="" style="position:absolute;left:0;text-align:left;margin-left:105.5pt;margin-top:8.95pt;width:217pt;height:7.15pt;z-index:251658240;mso-wrap-edited:f;mso-width-percent:0;mso-height-percent:0;mso-width-percent:0;mso-height-percent:0" fillcolor="white [3212]" strokecolor="white [3212]"/>
        </w:pict>
      </w:r>
    </w:p>
    <w:p w14:paraId="26E1A16B" w14:textId="77777777" w:rsidR="0070000B" w:rsidRDefault="00332E8C" w:rsidP="0070000B">
      <w:pPr>
        <w:pStyle w:val="Default"/>
        <w:keepNext/>
        <w:spacing w:before="240" w:line="360" w:lineRule="auto"/>
        <w:ind w:right="763"/>
        <w:jc w:val="both"/>
      </w:pPr>
      <w:r w:rsidRPr="0070000B">
        <w:rPr>
          <w:noProof/>
        </w:rPr>
        <w:lastRenderedPageBreak/>
        <w:drawing>
          <wp:inline distT="0" distB="0" distL="0" distR="0" wp14:anchorId="0607FAD1" wp14:editId="6771E8DB">
            <wp:extent cx="5086350" cy="2720340"/>
            <wp:effectExtent l="0" t="0" r="0" b="0"/>
            <wp:docPr id="544701569" name="Chart 1">
              <a:extLst xmlns:a="http://schemas.openxmlformats.org/drawingml/2006/main">
                <a:ext uri="{FF2B5EF4-FFF2-40B4-BE49-F238E27FC236}">
                  <a16:creationId xmlns:a16="http://schemas.microsoft.com/office/drawing/2014/main" id="{35BCC58C-DF90-131D-CE95-AD736AC0B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CBA650" w14:textId="4D3E1FBB" w:rsidR="00C20B74" w:rsidRPr="0070000B" w:rsidRDefault="0070000B" w:rsidP="0070000B">
      <w:pPr>
        <w:pStyle w:val="Caption"/>
        <w:jc w:val="cente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EE06B9">
        <w:t>distribution of student across all three dimensions of CA</w:t>
      </w:r>
    </w:p>
    <w:p w14:paraId="27E30434" w14:textId="77777777" w:rsidR="009514BF" w:rsidRPr="0070000B" w:rsidRDefault="009514BF" w:rsidP="009514BF">
      <w:bookmarkStart w:id="2" w:name="_Hlk209018724"/>
    </w:p>
    <w:p w14:paraId="3DE02651" w14:textId="0C16A639" w:rsidR="009514BF" w:rsidRPr="0070000B" w:rsidRDefault="00A2358C" w:rsidP="009514BF">
      <w:pPr>
        <w:spacing w:line="360" w:lineRule="auto"/>
        <w:jc w:val="both"/>
        <w:rPr>
          <w:rFonts w:ascii="Times New Roman" w:hAnsi="Times New Roman" w:cs="Times New Roman"/>
        </w:rPr>
      </w:pPr>
      <w:r>
        <w:rPr>
          <w:rFonts w:ascii="Times New Roman" w:hAnsi="Times New Roman" w:cs="Times New Roman"/>
        </w:rPr>
        <w:t xml:space="preserve">Table </w:t>
      </w:r>
      <w:r w:rsidR="004C66A4">
        <w:rPr>
          <w:rFonts w:ascii="Times New Roman" w:hAnsi="Times New Roman" w:cs="Times New Roman"/>
        </w:rPr>
        <w:t>6</w:t>
      </w:r>
      <w:r>
        <w:rPr>
          <w:rFonts w:ascii="Times New Roman" w:hAnsi="Times New Roman" w:cs="Times New Roman"/>
        </w:rPr>
        <w:t xml:space="preserve">: </w:t>
      </w:r>
      <w:r w:rsidR="009514BF" w:rsidRPr="0070000B">
        <w:rPr>
          <w:rFonts w:ascii="Times New Roman" w:hAnsi="Times New Roman" w:cs="Times New Roman"/>
        </w:rPr>
        <w:t xml:space="preserve">Statistical analysis depicting difference of </w:t>
      </w:r>
      <w:r w:rsidR="009514BF" w:rsidRPr="0070000B">
        <w:rPr>
          <w:rFonts w:ascii="Times New Roman" w:hAnsi="Times New Roman" w:cs="Times New Roman"/>
          <w:lang w:val="en-IN"/>
        </w:rPr>
        <w:t xml:space="preserve">self-concept </w:t>
      </w:r>
      <w:r w:rsidR="009514BF" w:rsidRPr="0070000B">
        <w:rPr>
          <w:rFonts w:ascii="Times New Roman" w:hAnsi="Times New Roman" w:cs="Times New Roman"/>
        </w:rPr>
        <w:t>among institutes</w:t>
      </w:r>
    </w:p>
    <w:tbl>
      <w:tblPr>
        <w:tblStyle w:val="TableGrid1"/>
        <w:tblpPr w:leftFromText="180" w:rightFromText="180" w:vertAnchor="text" w:tblpY="1"/>
        <w:tblW w:w="0" w:type="auto"/>
        <w:tblLook w:val="04A0" w:firstRow="1" w:lastRow="0" w:firstColumn="1" w:lastColumn="0" w:noHBand="0" w:noVBand="1"/>
      </w:tblPr>
      <w:tblGrid>
        <w:gridCol w:w="2923"/>
        <w:gridCol w:w="1328"/>
        <w:gridCol w:w="1732"/>
        <w:gridCol w:w="1744"/>
        <w:gridCol w:w="1316"/>
      </w:tblGrid>
      <w:tr w:rsidR="009514BF" w:rsidRPr="0070000B" w14:paraId="130FA987" w14:textId="77777777" w:rsidTr="004B4827">
        <w:trPr>
          <w:trHeight w:val="64"/>
        </w:trPr>
        <w:tc>
          <w:tcPr>
            <w:tcW w:w="0" w:type="auto"/>
            <w:gridSpan w:val="5"/>
            <w:vAlign w:val="center"/>
          </w:tcPr>
          <w:p w14:paraId="5B2AC68B"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Freidman test</w:t>
            </w:r>
          </w:p>
        </w:tc>
      </w:tr>
      <w:tr w:rsidR="009514BF" w:rsidRPr="0070000B" w14:paraId="165147D5" w14:textId="77777777" w:rsidTr="004B4827">
        <w:trPr>
          <w:trHeight w:val="64"/>
        </w:trPr>
        <w:tc>
          <w:tcPr>
            <w:tcW w:w="0" w:type="auto"/>
            <w:vAlign w:val="center"/>
            <w:hideMark/>
          </w:tcPr>
          <w:p w14:paraId="5AE74A2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Indicators</w:t>
            </w:r>
          </w:p>
        </w:tc>
        <w:tc>
          <w:tcPr>
            <w:tcW w:w="0" w:type="auto"/>
            <w:vAlign w:val="center"/>
            <w:hideMark/>
          </w:tcPr>
          <w:p w14:paraId="7614972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Universities</w:t>
            </w:r>
          </w:p>
        </w:tc>
        <w:tc>
          <w:tcPr>
            <w:tcW w:w="0" w:type="auto"/>
            <w:vAlign w:val="center"/>
            <w:hideMark/>
          </w:tcPr>
          <w:p w14:paraId="0EF79CF8"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Mean rank</w:t>
            </w:r>
          </w:p>
        </w:tc>
        <w:tc>
          <w:tcPr>
            <w:tcW w:w="0" w:type="auto"/>
            <w:vAlign w:val="center"/>
            <w:hideMark/>
          </w:tcPr>
          <w:p w14:paraId="4C4D9BDA"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Chi-square</w:t>
            </w:r>
          </w:p>
        </w:tc>
        <w:tc>
          <w:tcPr>
            <w:tcW w:w="0" w:type="auto"/>
            <w:vAlign w:val="center"/>
            <w:hideMark/>
          </w:tcPr>
          <w:p w14:paraId="5860D82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Sig.</w:t>
            </w:r>
          </w:p>
        </w:tc>
      </w:tr>
      <w:tr w:rsidR="009514BF" w:rsidRPr="0070000B" w14:paraId="112E7FEB" w14:textId="77777777" w:rsidTr="004B4827">
        <w:trPr>
          <w:trHeight w:val="64"/>
        </w:trPr>
        <w:tc>
          <w:tcPr>
            <w:tcW w:w="0" w:type="auto"/>
            <w:vMerge w:val="restart"/>
            <w:vAlign w:val="center"/>
            <w:hideMark/>
          </w:tcPr>
          <w:p w14:paraId="473D6CED" w14:textId="114DECDB"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Communication Apprehension</w:t>
            </w:r>
          </w:p>
        </w:tc>
        <w:tc>
          <w:tcPr>
            <w:tcW w:w="0" w:type="auto"/>
            <w:vAlign w:val="center"/>
            <w:hideMark/>
          </w:tcPr>
          <w:p w14:paraId="1A88A2EE"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GBPUAT</w:t>
            </w:r>
          </w:p>
        </w:tc>
        <w:tc>
          <w:tcPr>
            <w:tcW w:w="0" w:type="auto"/>
            <w:vAlign w:val="center"/>
            <w:hideMark/>
          </w:tcPr>
          <w:p w14:paraId="06DF4E58" w14:textId="2E5BC1D6"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2.04</w:t>
            </w:r>
          </w:p>
        </w:tc>
        <w:tc>
          <w:tcPr>
            <w:tcW w:w="0" w:type="auto"/>
            <w:vMerge w:val="restart"/>
            <w:vAlign w:val="center"/>
            <w:hideMark/>
          </w:tcPr>
          <w:p w14:paraId="3FCD3D31" w14:textId="544AEC9C"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11.409</w:t>
            </w:r>
          </w:p>
        </w:tc>
        <w:tc>
          <w:tcPr>
            <w:tcW w:w="0" w:type="auto"/>
            <w:vMerge w:val="restart"/>
            <w:vAlign w:val="center"/>
            <w:hideMark/>
          </w:tcPr>
          <w:p w14:paraId="3FB1559F" w14:textId="6D2DF7A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0.015*</w:t>
            </w:r>
          </w:p>
        </w:tc>
      </w:tr>
      <w:tr w:rsidR="009514BF" w:rsidRPr="0070000B" w14:paraId="3F5AF703" w14:textId="77777777" w:rsidTr="004B4827">
        <w:trPr>
          <w:trHeight w:val="64"/>
        </w:trPr>
        <w:tc>
          <w:tcPr>
            <w:tcW w:w="0" w:type="auto"/>
            <w:vMerge/>
            <w:vAlign w:val="center"/>
            <w:hideMark/>
          </w:tcPr>
          <w:p w14:paraId="3FEE14F7"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Align w:val="center"/>
            <w:hideMark/>
          </w:tcPr>
          <w:p w14:paraId="2BA72338"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IARI</w:t>
            </w:r>
          </w:p>
        </w:tc>
        <w:tc>
          <w:tcPr>
            <w:tcW w:w="0" w:type="auto"/>
            <w:vAlign w:val="center"/>
            <w:hideMark/>
          </w:tcPr>
          <w:p w14:paraId="45FEECDE" w14:textId="0CB66C63"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1.86</w:t>
            </w:r>
          </w:p>
        </w:tc>
        <w:tc>
          <w:tcPr>
            <w:tcW w:w="0" w:type="auto"/>
            <w:vMerge/>
            <w:vAlign w:val="center"/>
            <w:hideMark/>
          </w:tcPr>
          <w:p w14:paraId="5FD1CC1A"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Merge/>
            <w:vAlign w:val="center"/>
            <w:hideMark/>
          </w:tcPr>
          <w:p w14:paraId="0E8FD7EA" w14:textId="77777777" w:rsidR="009514BF" w:rsidRPr="0070000B" w:rsidRDefault="009514BF" w:rsidP="009514BF">
            <w:pPr>
              <w:tabs>
                <w:tab w:val="left" w:pos="3090"/>
              </w:tabs>
              <w:spacing w:line="360" w:lineRule="auto"/>
              <w:jc w:val="center"/>
              <w:rPr>
                <w:rFonts w:ascii="Times New Roman" w:hAnsi="Times New Roman" w:cs="Times New Roman"/>
              </w:rPr>
            </w:pPr>
          </w:p>
        </w:tc>
      </w:tr>
      <w:tr w:rsidR="009514BF" w:rsidRPr="0070000B" w14:paraId="14274BDC" w14:textId="77777777" w:rsidTr="004B4827">
        <w:trPr>
          <w:trHeight w:val="64"/>
        </w:trPr>
        <w:tc>
          <w:tcPr>
            <w:tcW w:w="0" w:type="auto"/>
            <w:vMerge/>
            <w:vAlign w:val="center"/>
            <w:hideMark/>
          </w:tcPr>
          <w:p w14:paraId="1FC3011D"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Align w:val="center"/>
            <w:hideMark/>
          </w:tcPr>
          <w:p w14:paraId="170E72E7"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BHU</w:t>
            </w:r>
          </w:p>
        </w:tc>
        <w:tc>
          <w:tcPr>
            <w:tcW w:w="0" w:type="auto"/>
            <w:vAlign w:val="center"/>
            <w:hideMark/>
          </w:tcPr>
          <w:p w14:paraId="205AD8B1" w14:textId="455789A6"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2.10</w:t>
            </w:r>
          </w:p>
        </w:tc>
        <w:tc>
          <w:tcPr>
            <w:tcW w:w="0" w:type="auto"/>
            <w:vMerge/>
            <w:vAlign w:val="center"/>
            <w:hideMark/>
          </w:tcPr>
          <w:p w14:paraId="5837D0CC"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Merge/>
            <w:vAlign w:val="center"/>
            <w:hideMark/>
          </w:tcPr>
          <w:p w14:paraId="7051FB6C" w14:textId="77777777" w:rsidR="009514BF" w:rsidRPr="0070000B" w:rsidRDefault="009514BF" w:rsidP="009514BF">
            <w:pPr>
              <w:tabs>
                <w:tab w:val="left" w:pos="3090"/>
              </w:tabs>
              <w:spacing w:line="360" w:lineRule="auto"/>
              <w:jc w:val="center"/>
              <w:rPr>
                <w:rFonts w:ascii="Times New Roman" w:hAnsi="Times New Roman" w:cs="Times New Roman"/>
              </w:rPr>
            </w:pPr>
          </w:p>
        </w:tc>
      </w:tr>
      <w:tr w:rsidR="009514BF" w:rsidRPr="0070000B" w14:paraId="46DD76AD" w14:textId="77777777" w:rsidTr="004B4827">
        <w:trPr>
          <w:trHeight w:val="64"/>
        </w:trPr>
        <w:tc>
          <w:tcPr>
            <w:tcW w:w="0" w:type="auto"/>
            <w:gridSpan w:val="5"/>
            <w:vAlign w:val="center"/>
          </w:tcPr>
          <w:p w14:paraId="0ACBC8A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Wilcoxon signed rank test</w:t>
            </w:r>
          </w:p>
        </w:tc>
      </w:tr>
      <w:tr w:rsidR="009514BF" w:rsidRPr="0070000B" w14:paraId="2C9E582E" w14:textId="77777777" w:rsidTr="004B4827">
        <w:trPr>
          <w:trHeight w:val="64"/>
        </w:trPr>
        <w:tc>
          <w:tcPr>
            <w:tcW w:w="0" w:type="auto"/>
            <w:vAlign w:val="center"/>
          </w:tcPr>
          <w:p w14:paraId="391E93AE" w14:textId="77777777" w:rsidR="009514BF" w:rsidRPr="0070000B" w:rsidRDefault="009514BF" w:rsidP="004B4827">
            <w:pPr>
              <w:tabs>
                <w:tab w:val="left" w:pos="3090"/>
              </w:tabs>
              <w:spacing w:line="360" w:lineRule="auto"/>
              <w:jc w:val="center"/>
              <w:rPr>
                <w:rFonts w:ascii="Times New Roman" w:hAnsi="Times New Roman" w:cs="Times New Roman"/>
              </w:rPr>
            </w:pPr>
          </w:p>
        </w:tc>
        <w:tc>
          <w:tcPr>
            <w:tcW w:w="0" w:type="auto"/>
            <w:vAlign w:val="center"/>
          </w:tcPr>
          <w:p w14:paraId="651442F7" w14:textId="77777777" w:rsidR="009514BF" w:rsidRPr="0070000B" w:rsidRDefault="009514BF" w:rsidP="004B4827">
            <w:pPr>
              <w:tabs>
                <w:tab w:val="left" w:pos="3090"/>
              </w:tabs>
              <w:spacing w:line="360" w:lineRule="auto"/>
              <w:jc w:val="center"/>
              <w:rPr>
                <w:rFonts w:ascii="Times New Roman" w:hAnsi="Times New Roman" w:cs="Times New Roman"/>
              </w:rPr>
            </w:pPr>
          </w:p>
        </w:tc>
        <w:tc>
          <w:tcPr>
            <w:tcW w:w="0" w:type="auto"/>
            <w:vAlign w:val="center"/>
          </w:tcPr>
          <w:p w14:paraId="5559E5E1"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IARI - GBPUAT</w:t>
            </w:r>
          </w:p>
        </w:tc>
        <w:tc>
          <w:tcPr>
            <w:tcW w:w="0" w:type="auto"/>
            <w:vAlign w:val="center"/>
          </w:tcPr>
          <w:p w14:paraId="74D4D502"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GBPUAT - BHU</w:t>
            </w:r>
          </w:p>
        </w:tc>
        <w:tc>
          <w:tcPr>
            <w:tcW w:w="0" w:type="auto"/>
            <w:vAlign w:val="center"/>
          </w:tcPr>
          <w:p w14:paraId="23FC99A0"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BHU - IARI</w:t>
            </w:r>
          </w:p>
        </w:tc>
      </w:tr>
      <w:tr w:rsidR="009514BF" w:rsidRPr="0070000B" w14:paraId="66BED5C4" w14:textId="77777777" w:rsidTr="004B4827">
        <w:trPr>
          <w:trHeight w:val="64"/>
        </w:trPr>
        <w:tc>
          <w:tcPr>
            <w:tcW w:w="0" w:type="auto"/>
            <w:vMerge w:val="restart"/>
            <w:vAlign w:val="center"/>
          </w:tcPr>
          <w:p w14:paraId="51A9BA5F" w14:textId="28104E6D"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Communication Apprehension</w:t>
            </w:r>
          </w:p>
        </w:tc>
        <w:tc>
          <w:tcPr>
            <w:tcW w:w="0" w:type="auto"/>
            <w:vAlign w:val="center"/>
          </w:tcPr>
          <w:p w14:paraId="775FAA4C"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Z</w:t>
            </w:r>
          </w:p>
        </w:tc>
        <w:tc>
          <w:tcPr>
            <w:tcW w:w="0" w:type="auto"/>
            <w:vAlign w:val="center"/>
          </w:tcPr>
          <w:p w14:paraId="2C151302" w14:textId="76932255"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-3.403</w:t>
            </w:r>
            <w:r w:rsidRPr="0070000B">
              <w:rPr>
                <w:rFonts w:ascii="Times New Roman" w:hAnsi="Times New Roman" w:cs="Times New Roman"/>
                <w:vertAlign w:val="superscript"/>
              </w:rPr>
              <w:t>b</w:t>
            </w:r>
          </w:p>
        </w:tc>
        <w:tc>
          <w:tcPr>
            <w:tcW w:w="0" w:type="auto"/>
            <w:vAlign w:val="center"/>
          </w:tcPr>
          <w:p w14:paraId="3F86EEB2" w14:textId="6A697F5E"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-0.186</w:t>
            </w:r>
            <w:r w:rsidRPr="0070000B">
              <w:rPr>
                <w:rFonts w:ascii="Times New Roman" w:hAnsi="Times New Roman" w:cs="Times New Roman"/>
                <w:vertAlign w:val="superscript"/>
              </w:rPr>
              <w:t>b</w:t>
            </w:r>
          </w:p>
        </w:tc>
        <w:tc>
          <w:tcPr>
            <w:tcW w:w="0" w:type="auto"/>
            <w:vAlign w:val="center"/>
          </w:tcPr>
          <w:p w14:paraId="367FFAA1" w14:textId="2599F3BD"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-0.186</w:t>
            </w:r>
            <w:r w:rsidRPr="0070000B">
              <w:rPr>
                <w:rFonts w:ascii="Times New Roman" w:hAnsi="Times New Roman" w:cs="Times New Roman"/>
                <w:vertAlign w:val="superscript"/>
              </w:rPr>
              <w:t>c</w:t>
            </w:r>
          </w:p>
        </w:tc>
      </w:tr>
      <w:tr w:rsidR="009514BF" w:rsidRPr="0070000B" w14:paraId="6653CFE9" w14:textId="77777777" w:rsidTr="004B4827">
        <w:trPr>
          <w:trHeight w:val="64"/>
        </w:trPr>
        <w:tc>
          <w:tcPr>
            <w:tcW w:w="0" w:type="auto"/>
            <w:vMerge/>
            <w:vAlign w:val="center"/>
          </w:tcPr>
          <w:p w14:paraId="421BB3E5"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Align w:val="center"/>
          </w:tcPr>
          <w:p w14:paraId="3BD11D0D"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Sig(2-tailed)</w:t>
            </w:r>
          </w:p>
        </w:tc>
        <w:tc>
          <w:tcPr>
            <w:tcW w:w="0" w:type="auto"/>
            <w:vAlign w:val="center"/>
          </w:tcPr>
          <w:p w14:paraId="605452CA" w14:textId="0C157E8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0.014*</w:t>
            </w:r>
          </w:p>
        </w:tc>
        <w:tc>
          <w:tcPr>
            <w:tcW w:w="0" w:type="auto"/>
            <w:vAlign w:val="center"/>
          </w:tcPr>
          <w:p w14:paraId="1DF8EBC6" w14:textId="361D6651"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0.852</w:t>
            </w:r>
          </w:p>
        </w:tc>
        <w:tc>
          <w:tcPr>
            <w:tcW w:w="0" w:type="auto"/>
            <w:vAlign w:val="center"/>
          </w:tcPr>
          <w:p w14:paraId="7179BCFB" w14:textId="73A9068C"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0.018*</w:t>
            </w:r>
          </w:p>
        </w:tc>
      </w:tr>
    </w:tbl>
    <w:p w14:paraId="3F844DB2" w14:textId="10B10BE5" w:rsidR="009514BF" w:rsidRPr="0070000B" w:rsidRDefault="009514BF" w:rsidP="009514BF">
      <w:pPr>
        <w:spacing w:line="360" w:lineRule="auto"/>
        <w:jc w:val="both"/>
        <w:rPr>
          <w:rFonts w:ascii="Times New Roman" w:hAnsi="Times New Roman" w:cs="Times New Roman"/>
        </w:rPr>
      </w:pPr>
      <w:r w:rsidRPr="0070000B">
        <w:rPr>
          <w:rFonts w:ascii="Times New Roman" w:hAnsi="Times New Roman" w:cs="Times New Roman"/>
        </w:rPr>
        <w:t xml:space="preserve">*Significance level at 5 percent, </w:t>
      </w:r>
      <w:r w:rsidRPr="0070000B">
        <w:rPr>
          <w:rFonts w:ascii="Times New Roman" w:hAnsi="Times New Roman" w:cs="Times New Roman"/>
          <w:vertAlign w:val="superscript"/>
        </w:rPr>
        <w:t xml:space="preserve">b </w:t>
      </w:r>
      <w:r w:rsidRPr="0070000B">
        <w:rPr>
          <w:rFonts w:ascii="Times New Roman" w:hAnsi="Times New Roman" w:cs="Times New Roman"/>
        </w:rPr>
        <w:t xml:space="preserve">Based on negative ranks, </w:t>
      </w:r>
      <w:r w:rsidRPr="0070000B">
        <w:rPr>
          <w:rFonts w:ascii="Times New Roman" w:hAnsi="Times New Roman" w:cs="Times New Roman"/>
          <w:vertAlign w:val="superscript"/>
        </w:rPr>
        <w:t xml:space="preserve">c </w:t>
      </w:r>
      <w:r w:rsidRPr="0070000B">
        <w:rPr>
          <w:rFonts w:ascii="Times New Roman" w:hAnsi="Times New Roman" w:cs="Times New Roman"/>
        </w:rPr>
        <w:t>Based on positive ranks</w:t>
      </w:r>
    </w:p>
    <w:bookmarkEnd w:id="1"/>
    <w:p w14:paraId="26E354CE" w14:textId="77777777" w:rsidR="00B75285" w:rsidRPr="0070000B" w:rsidRDefault="00B75285" w:rsidP="00B75285">
      <w:pPr>
        <w:spacing w:before="100" w:beforeAutospacing="1" w:after="100" w:afterAutospacing="1" w:line="360" w:lineRule="auto"/>
        <w:jc w:val="both"/>
        <w:rPr>
          <w:rFonts w:ascii="Times New Roman" w:eastAsia="Times New Roman" w:hAnsi="Times New Roman" w:cs="Times New Roman"/>
          <w:sz w:val="24"/>
          <w:szCs w:val="24"/>
          <w:lang w:val="en-IN" w:eastAsia="en-GB"/>
        </w:rPr>
      </w:pPr>
      <w:r w:rsidRPr="0070000B">
        <w:rPr>
          <w:rFonts w:ascii="Times New Roman" w:eastAsia="Times New Roman" w:hAnsi="Times New Roman" w:cs="Times New Roman"/>
          <w:sz w:val="24"/>
          <w:szCs w:val="24"/>
          <w:lang w:val="en-IN" w:eastAsia="en-GB"/>
        </w:rPr>
        <w:t>To examine differences in communication apprehension among universities, a Friedman test was conducted. The results indicate a significant difference in communication apprehension across institutions (χ² = 11.409, p = 0.015). The mean rank values show that IAS-BHU recorded the highest communication apprehension (mean rank = 2.10), followed by GBPUAT (2.04) and IARI (1.86).</w:t>
      </w:r>
    </w:p>
    <w:p w14:paraId="7A39200D" w14:textId="77777777" w:rsidR="00B75285" w:rsidRPr="0070000B" w:rsidRDefault="00B75285" w:rsidP="00B75285">
      <w:pPr>
        <w:spacing w:before="100" w:beforeAutospacing="1" w:after="100" w:afterAutospacing="1" w:line="360" w:lineRule="auto"/>
        <w:jc w:val="both"/>
        <w:rPr>
          <w:rFonts w:ascii="Times New Roman" w:eastAsia="Times New Roman" w:hAnsi="Times New Roman" w:cs="Times New Roman"/>
          <w:sz w:val="24"/>
          <w:szCs w:val="24"/>
          <w:lang w:val="en-IN" w:eastAsia="en-GB"/>
        </w:rPr>
      </w:pPr>
      <w:r w:rsidRPr="0070000B">
        <w:rPr>
          <w:rFonts w:ascii="Times New Roman" w:eastAsia="Times New Roman" w:hAnsi="Times New Roman" w:cs="Times New Roman"/>
          <w:sz w:val="24"/>
          <w:szCs w:val="24"/>
          <w:lang w:val="en-IN" w:eastAsia="en-GB"/>
        </w:rPr>
        <w:lastRenderedPageBreak/>
        <w:t>Further pairwise comparisons using the Wilcoxon signed-rank test revealed significant differences between IARI and GBPUAT (p = 0.014) and between BHU and IARI (p = 0.018). However, no significant difference was observed between GBPUAT and BHU (p = 0.852). These findings suggest that while communication apprehension levels vary slightly across institutions, the differences are primarily observed between IARI and the other two universities.</w:t>
      </w:r>
    </w:p>
    <w:p w14:paraId="63CECDAE" w14:textId="0758A2B9" w:rsidR="009514BF" w:rsidRPr="0070000B" w:rsidRDefault="009514BF" w:rsidP="009514BF"/>
    <w:bookmarkEnd w:id="2"/>
    <w:p w14:paraId="5499710A" w14:textId="768483B9" w:rsidR="00A03964"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hAnsi="Times New Roman" w:cs="Times New Roman"/>
          <w:sz w:val="24"/>
          <w:szCs w:val="24"/>
        </w:rPr>
        <w:t>Table</w:t>
      </w:r>
      <w:r w:rsidR="004146BC" w:rsidRPr="0070000B">
        <w:rPr>
          <w:rFonts w:ascii="Times New Roman" w:hAnsi="Times New Roman" w:cs="Times New Roman"/>
          <w:sz w:val="24"/>
          <w:szCs w:val="24"/>
        </w:rPr>
        <w:t xml:space="preserve"> </w:t>
      </w:r>
      <w:r w:rsidR="00A2358C">
        <w:rPr>
          <w:rFonts w:ascii="Times New Roman" w:hAnsi="Times New Roman" w:cs="Times New Roman"/>
          <w:sz w:val="24"/>
          <w:szCs w:val="24"/>
        </w:rPr>
        <w:t>7</w:t>
      </w:r>
      <w:r w:rsidRPr="0070000B">
        <w:rPr>
          <w:rFonts w:ascii="Times New Roman" w:hAnsi="Times New Roman" w:cs="Times New Roman"/>
          <w:sz w:val="24"/>
          <w:szCs w:val="24"/>
        </w:rPr>
        <w:t xml:space="preserve"> </w:t>
      </w:r>
      <w:r w:rsidRPr="0070000B">
        <w:rPr>
          <w:rFonts w:ascii="Times New Roman" w:eastAsia="Times New Roman" w:hAnsi="Times New Roman" w:cs="Times New Roman"/>
          <w:kern w:val="24"/>
          <w:sz w:val="24"/>
          <w:szCs w:val="24"/>
        </w:rPr>
        <w:t>Communication skills dimensions</w:t>
      </w:r>
      <w:r w:rsidRPr="0070000B">
        <w:rPr>
          <w:rFonts w:ascii="Times New Roman" w:eastAsia="Calibri" w:hAnsi="Times New Roman" w:cs="Times New Roman"/>
          <w:sz w:val="24"/>
          <w:szCs w:val="24"/>
        </w:rPr>
        <w:t xml:space="preserve"> Results of TNI</w:t>
      </w:r>
    </w:p>
    <w:tbl>
      <w:tblPr>
        <w:tblStyle w:val="TableGrid1"/>
        <w:tblW w:w="10456" w:type="dxa"/>
        <w:tblLayout w:type="fixed"/>
        <w:tblLook w:val="04A0" w:firstRow="1" w:lastRow="0" w:firstColumn="1" w:lastColumn="0" w:noHBand="0" w:noVBand="1"/>
      </w:tblPr>
      <w:tblGrid>
        <w:gridCol w:w="2741"/>
        <w:gridCol w:w="1906"/>
        <w:gridCol w:w="1170"/>
        <w:gridCol w:w="900"/>
        <w:gridCol w:w="900"/>
        <w:gridCol w:w="855"/>
        <w:gridCol w:w="1134"/>
        <w:gridCol w:w="850"/>
      </w:tblGrid>
      <w:tr w:rsidR="004146BC" w:rsidRPr="0070000B" w14:paraId="7BDAFBD1" w14:textId="77777777">
        <w:trPr>
          <w:trHeight w:val="98"/>
        </w:trPr>
        <w:tc>
          <w:tcPr>
            <w:tcW w:w="2741" w:type="dxa"/>
            <w:vAlign w:val="center"/>
            <w:hideMark/>
          </w:tcPr>
          <w:p w14:paraId="3BA2CD5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INDICATORS</w:t>
            </w:r>
          </w:p>
        </w:tc>
        <w:tc>
          <w:tcPr>
            <w:tcW w:w="1906" w:type="dxa"/>
            <w:vAlign w:val="center"/>
            <w:hideMark/>
          </w:tcPr>
          <w:p w14:paraId="6FAD2FD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SCORE</w:t>
            </w:r>
          </w:p>
        </w:tc>
        <w:tc>
          <w:tcPr>
            <w:tcW w:w="1170" w:type="dxa"/>
            <w:vAlign w:val="center"/>
          </w:tcPr>
          <w:p w14:paraId="62104642"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GBPUAT</w:t>
            </w:r>
            <w:r w:rsidRPr="0070000B">
              <w:rPr>
                <w:rFonts w:ascii="Times New Roman" w:eastAsia="Times New Roman" w:hAnsi="Times New Roman" w:cs="Times New Roman"/>
                <w:sz w:val="24"/>
                <w:szCs w:val="24"/>
              </w:rPr>
              <w:t>TNI%</w:t>
            </w:r>
          </w:p>
        </w:tc>
        <w:tc>
          <w:tcPr>
            <w:tcW w:w="900" w:type="dxa"/>
            <w:vAlign w:val="center"/>
          </w:tcPr>
          <w:p w14:paraId="25642A05"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IARI</w:t>
            </w:r>
            <w:r w:rsidRPr="0070000B">
              <w:rPr>
                <w:rFonts w:ascii="Times New Roman" w:eastAsia="Times New Roman" w:hAnsi="Times New Roman" w:cs="Times New Roman"/>
                <w:sz w:val="24"/>
                <w:szCs w:val="24"/>
              </w:rPr>
              <w:t xml:space="preserve"> TNI%</w:t>
            </w:r>
          </w:p>
        </w:tc>
        <w:tc>
          <w:tcPr>
            <w:tcW w:w="900" w:type="dxa"/>
            <w:vAlign w:val="center"/>
          </w:tcPr>
          <w:p w14:paraId="0EACC5B4"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BHU</w:t>
            </w:r>
            <w:r w:rsidRPr="0070000B">
              <w:rPr>
                <w:rFonts w:ascii="Times New Roman" w:eastAsia="Times New Roman" w:hAnsi="Times New Roman" w:cs="Times New Roman"/>
                <w:sz w:val="24"/>
                <w:szCs w:val="24"/>
              </w:rPr>
              <w:t xml:space="preserve"> TNI%</w:t>
            </w:r>
          </w:p>
        </w:tc>
        <w:tc>
          <w:tcPr>
            <w:tcW w:w="855" w:type="dxa"/>
            <w:vAlign w:val="center"/>
            <w:hideMark/>
          </w:tcPr>
          <w:p w14:paraId="15295399"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Over All TNI%</w:t>
            </w:r>
          </w:p>
          <w:p w14:paraId="6D78D9D0" w14:textId="77777777" w:rsidR="004146BC" w:rsidRPr="0070000B" w:rsidRDefault="004146BC" w:rsidP="00471569">
            <w:pPr>
              <w:spacing w:line="360" w:lineRule="auto"/>
              <w:jc w:val="center"/>
              <w:rPr>
                <w:rFonts w:ascii="Times New Roman" w:eastAsia="Times New Roman" w:hAnsi="Times New Roman" w:cs="Times New Roman"/>
                <w:sz w:val="24"/>
                <w:szCs w:val="24"/>
              </w:rPr>
            </w:pPr>
          </w:p>
        </w:tc>
        <w:tc>
          <w:tcPr>
            <w:tcW w:w="1134" w:type="dxa"/>
            <w:vAlign w:val="center"/>
          </w:tcPr>
          <w:p w14:paraId="5048FA78" w14:textId="5999E7FC"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 xml:space="preserve">Skill gap/ </w:t>
            </w:r>
            <w:r w:rsidR="00D21472" w:rsidRPr="0070000B">
              <w:rPr>
                <w:rFonts w:ascii="Times New Roman" w:eastAsia="Times New Roman" w:hAnsi="Times New Roman" w:cs="Times New Roman"/>
                <w:sz w:val="24"/>
                <w:szCs w:val="24"/>
              </w:rPr>
              <w:t>Training</w:t>
            </w:r>
            <w:r w:rsidRPr="0070000B">
              <w:rPr>
                <w:rFonts w:ascii="Times New Roman" w:eastAsia="Times New Roman" w:hAnsi="Times New Roman" w:cs="Times New Roman"/>
                <w:sz w:val="24"/>
                <w:szCs w:val="24"/>
              </w:rPr>
              <w:t xml:space="preserve"> need</w:t>
            </w:r>
          </w:p>
        </w:tc>
        <w:tc>
          <w:tcPr>
            <w:tcW w:w="850" w:type="dxa"/>
            <w:vAlign w:val="center"/>
            <w:hideMark/>
          </w:tcPr>
          <w:p w14:paraId="1ABDBBD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Rank</w:t>
            </w:r>
          </w:p>
        </w:tc>
      </w:tr>
      <w:tr w:rsidR="004146BC" w:rsidRPr="0070000B" w14:paraId="0EE192F6" w14:textId="77777777">
        <w:trPr>
          <w:trHeight w:val="481"/>
        </w:trPr>
        <w:tc>
          <w:tcPr>
            <w:tcW w:w="2741" w:type="dxa"/>
            <w:vAlign w:val="center"/>
            <w:hideMark/>
          </w:tcPr>
          <w:p w14:paraId="1AFB784A"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SPEAKING SKILLS</w:t>
            </w:r>
          </w:p>
        </w:tc>
        <w:tc>
          <w:tcPr>
            <w:tcW w:w="1906" w:type="dxa"/>
            <w:vAlign w:val="center"/>
            <w:hideMark/>
          </w:tcPr>
          <w:p w14:paraId="3C426FFF"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7860 (11 skills)</w:t>
            </w:r>
          </w:p>
        </w:tc>
        <w:tc>
          <w:tcPr>
            <w:tcW w:w="1170" w:type="dxa"/>
            <w:vAlign w:val="center"/>
          </w:tcPr>
          <w:p w14:paraId="5BCF5D8E"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63.12</w:t>
            </w:r>
          </w:p>
        </w:tc>
        <w:tc>
          <w:tcPr>
            <w:tcW w:w="900" w:type="dxa"/>
            <w:vAlign w:val="center"/>
          </w:tcPr>
          <w:p w14:paraId="3D44FB36"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72.55</w:t>
            </w:r>
          </w:p>
        </w:tc>
        <w:tc>
          <w:tcPr>
            <w:tcW w:w="900" w:type="dxa"/>
            <w:vAlign w:val="center"/>
          </w:tcPr>
          <w:p w14:paraId="1A660C4E"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72.31</w:t>
            </w:r>
          </w:p>
        </w:tc>
        <w:tc>
          <w:tcPr>
            <w:tcW w:w="855" w:type="dxa"/>
            <w:vAlign w:val="center"/>
            <w:hideMark/>
          </w:tcPr>
          <w:p w14:paraId="57F2BCF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68.05</w:t>
            </w:r>
          </w:p>
        </w:tc>
        <w:tc>
          <w:tcPr>
            <w:tcW w:w="1134" w:type="dxa"/>
            <w:vAlign w:val="center"/>
          </w:tcPr>
          <w:p w14:paraId="1648252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31.95</w:t>
            </w:r>
          </w:p>
        </w:tc>
        <w:tc>
          <w:tcPr>
            <w:tcW w:w="850" w:type="dxa"/>
            <w:vAlign w:val="center"/>
            <w:hideMark/>
          </w:tcPr>
          <w:p w14:paraId="68C5FF5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2</w:t>
            </w:r>
          </w:p>
        </w:tc>
      </w:tr>
      <w:tr w:rsidR="004146BC" w:rsidRPr="0070000B" w14:paraId="053F50A5" w14:textId="77777777">
        <w:trPr>
          <w:trHeight w:val="481"/>
        </w:trPr>
        <w:tc>
          <w:tcPr>
            <w:tcW w:w="2741" w:type="dxa"/>
            <w:vAlign w:val="center"/>
            <w:hideMark/>
          </w:tcPr>
          <w:p w14:paraId="7ECF9F7C"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WRITING SKILLS</w:t>
            </w:r>
          </w:p>
        </w:tc>
        <w:tc>
          <w:tcPr>
            <w:tcW w:w="1906" w:type="dxa"/>
            <w:vAlign w:val="center"/>
            <w:hideMark/>
          </w:tcPr>
          <w:p w14:paraId="7E265A1E"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11299 (16 skills)</w:t>
            </w:r>
          </w:p>
        </w:tc>
        <w:tc>
          <w:tcPr>
            <w:tcW w:w="1170" w:type="dxa"/>
            <w:vAlign w:val="center"/>
          </w:tcPr>
          <w:p w14:paraId="205C3DB1"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63.09</w:t>
            </w:r>
          </w:p>
        </w:tc>
        <w:tc>
          <w:tcPr>
            <w:tcW w:w="900" w:type="dxa"/>
            <w:vAlign w:val="center"/>
          </w:tcPr>
          <w:p w14:paraId="0DB76E78"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71.51</w:t>
            </w:r>
          </w:p>
        </w:tc>
        <w:tc>
          <w:tcPr>
            <w:tcW w:w="900" w:type="dxa"/>
            <w:vAlign w:val="center"/>
          </w:tcPr>
          <w:p w14:paraId="5115A9C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72.60</w:t>
            </w:r>
          </w:p>
        </w:tc>
        <w:tc>
          <w:tcPr>
            <w:tcW w:w="855" w:type="dxa"/>
            <w:vAlign w:val="center"/>
            <w:hideMark/>
          </w:tcPr>
          <w:p w14:paraId="471F8D10"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67.26</w:t>
            </w:r>
          </w:p>
        </w:tc>
        <w:tc>
          <w:tcPr>
            <w:tcW w:w="1134" w:type="dxa"/>
            <w:vAlign w:val="center"/>
          </w:tcPr>
          <w:p w14:paraId="2073811F"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32.74</w:t>
            </w:r>
          </w:p>
        </w:tc>
        <w:tc>
          <w:tcPr>
            <w:tcW w:w="850" w:type="dxa"/>
            <w:vAlign w:val="center"/>
            <w:hideMark/>
          </w:tcPr>
          <w:p w14:paraId="0A2D41BB"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1</w:t>
            </w:r>
          </w:p>
        </w:tc>
      </w:tr>
      <w:tr w:rsidR="004146BC" w:rsidRPr="0070000B" w14:paraId="76805D56" w14:textId="77777777">
        <w:trPr>
          <w:trHeight w:val="481"/>
        </w:trPr>
        <w:tc>
          <w:tcPr>
            <w:tcW w:w="2741" w:type="dxa"/>
            <w:vAlign w:val="center"/>
            <w:hideMark/>
          </w:tcPr>
          <w:p w14:paraId="690575C6"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LISTENING SKILLS</w:t>
            </w:r>
          </w:p>
        </w:tc>
        <w:tc>
          <w:tcPr>
            <w:tcW w:w="1906" w:type="dxa"/>
            <w:vAlign w:val="center"/>
            <w:hideMark/>
          </w:tcPr>
          <w:p w14:paraId="118410B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13102 (18 skills)</w:t>
            </w:r>
          </w:p>
        </w:tc>
        <w:tc>
          <w:tcPr>
            <w:tcW w:w="1170" w:type="dxa"/>
            <w:vAlign w:val="center"/>
          </w:tcPr>
          <w:p w14:paraId="1282D40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63.25</w:t>
            </w:r>
          </w:p>
        </w:tc>
        <w:tc>
          <w:tcPr>
            <w:tcW w:w="900" w:type="dxa"/>
            <w:vAlign w:val="center"/>
          </w:tcPr>
          <w:p w14:paraId="400D5202"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68.95</w:t>
            </w:r>
          </w:p>
        </w:tc>
        <w:tc>
          <w:tcPr>
            <w:tcW w:w="900" w:type="dxa"/>
            <w:vAlign w:val="center"/>
          </w:tcPr>
          <w:p w14:paraId="5A0FF06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69.57</w:t>
            </w:r>
          </w:p>
        </w:tc>
        <w:tc>
          <w:tcPr>
            <w:tcW w:w="855" w:type="dxa"/>
            <w:vAlign w:val="center"/>
            <w:hideMark/>
          </w:tcPr>
          <w:p w14:paraId="3086FC9C"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69.32</w:t>
            </w:r>
          </w:p>
        </w:tc>
        <w:tc>
          <w:tcPr>
            <w:tcW w:w="1134" w:type="dxa"/>
            <w:vAlign w:val="center"/>
          </w:tcPr>
          <w:p w14:paraId="4595A7F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30.68</w:t>
            </w:r>
          </w:p>
        </w:tc>
        <w:tc>
          <w:tcPr>
            <w:tcW w:w="850" w:type="dxa"/>
            <w:vAlign w:val="center"/>
            <w:hideMark/>
          </w:tcPr>
          <w:p w14:paraId="1958960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4</w:t>
            </w:r>
          </w:p>
        </w:tc>
      </w:tr>
      <w:tr w:rsidR="004146BC" w:rsidRPr="0070000B" w14:paraId="1836F9A8" w14:textId="77777777">
        <w:trPr>
          <w:trHeight w:val="48"/>
        </w:trPr>
        <w:tc>
          <w:tcPr>
            <w:tcW w:w="2741" w:type="dxa"/>
            <w:vAlign w:val="center"/>
            <w:hideMark/>
          </w:tcPr>
          <w:p w14:paraId="3589A16E"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READING SKILLS</w:t>
            </w:r>
          </w:p>
        </w:tc>
        <w:tc>
          <w:tcPr>
            <w:tcW w:w="1906" w:type="dxa"/>
            <w:vAlign w:val="center"/>
            <w:hideMark/>
          </w:tcPr>
          <w:p w14:paraId="7C02D61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7159 (10 skills)</w:t>
            </w:r>
          </w:p>
        </w:tc>
        <w:tc>
          <w:tcPr>
            <w:tcW w:w="1170" w:type="dxa"/>
            <w:vAlign w:val="center"/>
          </w:tcPr>
          <w:p w14:paraId="13DC4E75"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66.40</w:t>
            </w:r>
          </w:p>
        </w:tc>
        <w:tc>
          <w:tcPr>
            <w:tcW w:w="900" w:type="dxa"/>
            <w:vAlign w:val="center"/>
          </w:tcPr>
          <w:p w14:paraId="05BA9C2C"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69.19</w:t>
            </w:r>
          </w:p>
        </w:tc>
        <w:tc>
          <w:tcPr>
            <w:tcW w:w="900" w:type="dxa"/>
            <w:vAlign w:val="center"/>
          </w:tcPr>
          <w:p w14:paraId="63060A44"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72.38</w:t>
            </w:r>
          </w:p>
        </w:tc>
        <w:tc>
          <w:tcPr>
            <w:tcW w:w="855" w:type="dxa"/>
            <w:vAlign w:val="center"/>
            <w:hideMark/>
          </w:tcPr>
          <w:p w14:paraId="79C4BB13"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68.18</w:t>
            </w:r>
          </w:p>
        </w:tc>
        <w:tc>
          <w:tcPr>
            <w:tcW w:w="1134" w:type="dxa"/>
            <w:vAlign w:val="center"/>
          </w:tcPr>
          <w:p w14:paraId="0B49C915"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31.82</w:t>
            </w:r>
          </w:p>
        </w:tc>
        <w:tc>
          <w:tcPr>
            <w:tcW w:w="850" w:type="dxa"/>
            <w:vAlign w:val="center"/>
            <w:hideMark/>
          </w:tcPr>
          <w:p w14:paraId="28B3E3C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3</w:t>
            </w:r>
          </w:p>
        </w:tc>
      </w:tr>
      <w:tr w:rsidR="004146BC" w:rsidRPr="0070000B" w14:paraId="698254B0" w14:textId="77777777">
        <w:trPr>
          <w:trHeight w:val="148"/>
        </w:trPr>
        <w:tc>
          <w:tcPr>
            <w:tcW w:w="2741" w:type="dxa"/>
            <w:vAlign w:val="center"/>
            <w:hideMark/>
          </w:tcPr>
          <w:p w14:paraId="10144EC4"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NON-VERBAL SKILLS</w:t>
            </w:r>
          </w:p>
        </w:tc>
        <w:tc>
          <w:tcPr>
            <w:tcW w:w="1906" w:type="dxa"/>
            <w:vAlign w:val="center"/>
            <w:hideMark/>
          </w:tcPr>
          <w:p w14:paraId="761E7989"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8735 (12 skills)</w:t>
            </w:r>
          </w:p>
        </w:tc>
        <w:tc>
          <w:tcPr>
            <w:tcW w:w="1170" w:type="dxa"/>
            <w:vAlign w:val="center"/>
          </w:tcPr>
          <w:p w14:paraId="0A296FC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63.46</w:t>
            </w:r>
          </w:p>
        </w:tc>
        <w:tc>
          <w:tcPr>
            <w:tcW w:w="900" w:type="dxa"/>
            <w:vAlign w:val="center"/>
          </w:tcPr>
          <w:p w14:paraId="72B244F6"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69.57</w:t>
            </w:r>
          </w:p>
        </w:tc>
        <w:tc>
          <w:tcPr>
            <w:tcW w:w="900" w:type="dxa"/>
            <w:vAlign w:val="center"/>
          </w:tcPr>
          <w:p w14:paraId="3C0C947E"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71.51</w:t>
            </w:r>
          </w:p>
        </w:tc>
        <w:tc>
          <w:tcPr>
            <w:tcW w:w="855" w:type="dxa"/>
            <w:vAlign w:val="center"/>
            <w:hideMark/>
          </w:tcPr>
          <w:p w14:paraId="49A97AD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69.33</w:t>
            </w:r>
          </w:p>
        </w:tc>
        <w:tc>
          <w:tcPr>
            <w:tcW w:w="1134" w:type="dxa"/>
            <w:vAlign w:val="center"/>
          </w:tcPr>
          <w:p w14:paraId="05D983F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30.67</w:t>
            </w:r>
          </w:p>
        </w:tc>
        <w:tc>
          <w:tcPr>
            <w:tcW w:w="850" w:type="dxa"/>
            <w:vAlign w:val="center"/>
            <w:hideMark/>
          </w:tcPr>
          <w:p w14:paraId="04A92F25"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5</w:t>
            </w:r>
          </w:p>
        </w:tc>
      </w:tr>
      <w:tr w:rsidR="004146BC" w:rsidRPr="0070000B" w14:paraId="0A8449E3" w14:textId="77777777">
        <w:trPr>
          <w:trHeight w:val="481"/>
        </w:trPr>
        <w:tc>
          <w:tcPr>
            <w:tcW w:w="2741" w:type="dxa"/>
            <w:vAlign w:val="center"/>
            <w:hideMark/>
          </w:tcPr>
          <w:p w14:paraId="47F7D142"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OVERALL COMMUNICATION SKILLS</w:t>
            </w:r>
          </w:p>
        </w:tc>
        <w:tc>
          <w:tcPr>
            <w:tcW w:w="1906" w:type="dxa"/>
            <w:vAlign w:val="center"/>
            <w:hideMark/>
          </w:tcPr>
          <w:p w14:paraId="0923AB5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48272 (67 skills)</w:t>
            </w:r>
          </w:p>
        </w:tc>
        <w:tc>
          <w:tcPr>
            <w:tcW w:w="1170" w:type="dxa"/>
            <w:vAlign w:val="center"/>
          </w:tcPr>
          <w:p w14:paraId="387104B1" w14:textId="77777777" w:rsidR="004146BC" w:rsidRPr="0070000B" w:rsidRDefault="004146BC" w:rsidP="00471569">
            <w:pPr>
              <w:spacing w:line="360" w:lineRule="auto"/>
              <w:jc w:val="center"/>
              <w:rPr>
                <w:rFonts w:ascii="Times New Roman" w:hAnsi="Times New Roman" w:cs="Times New Roman"/>
                <w:color w:val="000000"/>
                <w:sz w:val="24"/>
                <w:szCs w:val="24"/>
              </w:rPr>
            </w:pPr>
          </w:p>
        </w:tc>
        <w:tc>
          <w:tcPr>
            <w:tcW w:w="900" w:type="dxa"/>
            <w:vAlign w:val="center"/>
          </w:tcPr>
          <w:p w14:paraId="62CDDD34" w14:textId="77777777" w:rsidR="004146BC" w:rsidRPr="0070000B" w:rsidRDefault="004146BC" w:rsidP="00471569">
            <w:pPr>
              <w:spacing w:line="360" w:lineRule="auto"/>
              <w:jc w:val="center"/>
              <w:rPr>
                <w:rFonts w:ascii="Times New Roman" w:hAnsi="Times New Roman" w:cs="Times New Roman"/>
                <w:color w:val="000000"/>
                <w:sz w:val="24"/>
                <w:szCs w:val="24"/>
              </w:rPr>
            </w:pPr>
          </w:p>
        </w:tc>
        <w:tc>
          <w:tcPr>
            <w:tcW w:w="900" w:type="dxa"/>
            <w:vAlign w:val="center"/>
          </w:tcPr>
          <w:p w14:paraId="0EAC0B1B" w14:textId="77777777" w:rsidR="004146BC" w:rsidRPr="0070000B" w:rsidRDefault="004146BC" w:rsidP="00471569">
            <w:pPr>
              <w:spacing w:line="360" w:lineRule="auto"/>
              <w:jc w:val="center"/>
              <w:rPr>
                <w:rFonts w:ascii="Times New Roman" w:hAnsi="Times New Roman" w:cs="Times New Roman"/>
                <w:color w:val="000000"/>
                <w:sz w:val="24"/>
                <w:szCs w:val="24"/>
              </w:rPr>
            </w:pPr>
          </w:p>
        </w:tc>
        <w:tc>
          <w:tcPr>
            <w:tcW w:w="855" w:type="dxa"/>
            <w:vAlign w:val="center"/>
            <w:hideMark/>
          </w:tcPr>
          <w:p w14:paraId="7932BDE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68.62</w:t>
            </w:r>
          </w:p>
        </w:tc>
        <w:tc>
          <w:tcPr>
            <w:tcW w:w="1134" w:type="dxa"/>
            <w:vAlign w:val="center"/>
          </w:tcPr>
          <w:p w14:paraId="2AAC68D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31.38</w:t>
            </w:r>
          </w:p>
        </w:tc>
        <w:tc>
          <w:tcPr>
            <w:tcW w:w="850" w:type="dxa"/>
            <w:vAlign w:val="center"/>
            <w:hideMark/>
          </w:tcPr>
          <w:p w14:paraId="333EC7D0" w14:textId="77777777" w:rsidR="004146BC" w:rsidRPr="0070000B" w:rsidRDefault="004146BC" w:rsidP="00471569">
            <w:pPr>
              <w:spacing w:line="360" w:lineRule="auto"/>
              <w:jc w:val="center"/>
              <w:rPr>
                <w:rFonts w:ascii="Times New Roman" w:eastAsia="Times New Roman" w:hAnsi="Times New Roman" w:cs="Times New Roman"/>
                <w:sz w:val="24"/>
                <w:szCs w:val="24"/>
              </w:rPr>
            </w:pPr>
          </w:p>
        </w:tc>
      </w:tr>
    </w:tbl>
    <w:p w14:paraId="6E6CF563" w14:textId="77777777" w:rsidR="00A03964" w:rsidRPr="0070000B" w:rsidRDefault="00A03964" w:rsidP="00471569">
      <w:pPr>
        <w:spacing w:line="360" w:lineRule="auto"/>
        <w:jc w:val="both"/>
        <w:rPr>
          <w:rFonts w:ascii="Times New Roman" w:eastAsia="Calibri" w:hAnsi="Times New Roman" w:cs="Times New Roman"/>
          <w:sz w:val="24"/>
          <w:szCs w:val="24"/>
        </w:rPr>
      </w:pPr>
    </w:p>
    <w:p w14:paraId="650ECE8C" w14:textId="21E67780" w:rsidR="00A03964"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eastAsia="Calibri" w:hAnsi="Times New Roman" w:cs="Times New Roman"/>
          <w:sz w:val="24"/>
          <w:szCs w:val="24"/>
        </w:rPr>
        <w:t>The table</w:t>
      </w:r>
      <w:r w:rsidR="004146BC" w:rsidRPr="0070000B">
        <w:rPr>
          <w:rFonts w:ascii="Times New Roman" w:eastAsia="Calibri" w:hAnsi="Times New Roman" w:cs="Times New Roman"/>
          <w:sz w:val="24"/>
          <w:szCs w:val="24"/>
        </w:rPr>
        <w:t xml:space="preserve"> </w:t>
      </w:r>
      <w:r w:rsidR="00A2358C">
        <w:rPr>
          <w:rFonts w:ascii="Times New Roman" w:eastAsia="Calibri" w:hAnsi="Times New Roman" w:cs="Times New Roman"/>
          <w:sz w:val="24"/>
          <w:szCs w:val="24"/>
        </w:rPr>
        <w:t>7</w:t>
      </w:r>
      <w:r w:rsidRPr="0070000B">
        <w:rPr>
          <w:rFonts w:ascii="Times New Roman" w:eastAsia="Calibri" w:hAnsi="Times New Roman" w:cs="Times New Roman"/>
          <w:sz w:val="24"/>
          <w:szCs w:val="24"/>
        </w:rPr>
        <w:t xml:space="preserve"> highlights lowest TNI values for Writing and speaking skills indicate these areas require the most immediate training to enhance overall communication skills. </w:t>
      </w:r>
    </w:p>
    <w:p w14:paraId="79C9AB35" w14:textId="09F12B0F" w:rsidR="008B1ADA"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eastAsia="Calibri" w:hAnsi="Times New Roman" w:cs="Times New Roman"/>
          <w:sz w:val="24"/>
          <w:szCs w:val="24"/>
        </w:rPr>
        <w:t>Writing skills emerged as the most critical area requiring intervention. Postgraduate students often face difficulties in academic writing, scientific communication, and technical documentation, which are essential for publishing research, drafting extension reports, and writing grant proposals (Flowerdew, 2015; Hyland, 2019). Studies indicate that structured writing interventions, such as peer review, writing workshops, and guided feedback, significantly improve academic writing proficiency (Graham &amp; Perin, 2007).</w:t>
      </w:r>
      <w:r w:rsidR="004146BC" w:rsidRPr="0070000B">
        <w:rPr>
          <w:rFonts w:ascii="Times New Roman" w:eastAsia="Calibri" w:hAnsi="Times New Roman" w:cs="Times New Roman"/>
          <w:sz w:val="24"/>
          <w:szCs w:val="24"/>
        </w:rPr>
        <w:t xml:space="preserve"> </w:t>
      </w:r>
      <w:r w:rsidRPr="0070000B">
        <w:rPr>
          <w:rFonts w:ascii="Times New Roman" w:hAnsi="Times New Roman" w:cs="Times New Roman"/>
          <w:sz w:val="24"/>
          <w:szCs w:val="24"/>
        </w:rPr>
        <w:t xml:space="preserve">Speaking skills ranked as the </w:t>
      </w:r>
      <w:r w:rsidRPr="0070000B">
        <w:rPr>
          <w:rFonts w:ascii="Times New Roman" w:hAnsi="Times New Roman" w:cs="Times New Roman"/>
          <w:sz w:val="24"/>
          <w:szCs w:val="24"/>
        </w:rPr>
        <w:lastRenderedPageBreak/>
        <w:t>second most important training need, highlighting the necessity of improving verbal communication for academic presentations, professional networking, and extension services. Research suggests that. A study by Segrin and Flora (2019) emphasizes the role of public speaking in professional success, recommending interactive training approaches such as mock presentations and group discussions</w:t>
      </w:r>
      <w:r w:rsidR="004146BC" w:rsidRPr="0070000B">
        <w:rPr>
          <w:rFonts w:ascii="Times New Roman" w:hAnsi="Times New Roman" w:cs="Times New Roman"/>
          <w:sz w:val="24"/>
          <w:szCs w:val="24"/>
        </w:rPr>
        <w:t>.</w:t>
      </w:r>
    </w:p>
    <w:p w14:paraId="76698D71" w14:textId="5D8A77E1" w:rsidR="00A03964" w:rsidRPr="0070000B" w:rsidRDefault="00A03964" w:rsidP="00471569">
      <w:pPr>
        <w:pStyle w:val="NormalWeb"/>
        <w:spacing w:line="360" w:lineRule="auto"/>
        <w:jc w:val="both"/>
      </w:pPr>
      <w:r w:rsidRPr="0070000B">
        <w:t xml:space="preserve">Reading and listening skills are fundamental to academic comprehension and professional growth. Effective reading skills enable students to analyze research papers, interpret policies, and engage in evidence-based decision-making (Lundberg &amp; Linnakyla, 1993). Similarly, active listening enhances knowledge retention, collaboration, and communication in research and extension activities (Brown </w:t>
      </w:r>
      <w:r w:rsidR="00D028E1" w:rsidRPr="0070000B">
        <w:rPr>
          <w:i/>
          <w:iCs/>
        </w:rPr>
        <w:t>et al</w:t>
      </w:r>
      <w:r w:rsidRPr="0070000B">
        <w:t xml:space="preserve">., 2014). Training programs incorporating reading strategies (e.g., skimming and critical analysis) and active listening exercises can significantly enhance these competencies. Although non-verbal communication had the lowest TNI score, it remains an essential skill for effective interpersonal interactions. Research by Mehrabian (2017) underscores the importance of body language, eye contact, and gestures in communication, particularly in multicultural and extension settings. The findings align with previous studies on communication training needs in higher education. Segrin and Flora (2019) emphasize the importance of verbal communication in career advancement. Additionally, Brown </w:t>
      </w:r>
      <w:r w:rsidR="00D028E1" w:rsidRPr="0070000B">
        <w:rPr>
          <w:i/>
          <w:iCs/>
        </w:rPr>
        <w:t>et al</w:t>
      </w:r>
      <w:r w:rsidRPr="0070000B">
        <w:t>. (2014) stress the need for foundational listening and reading skills to enhance learning outcomes.</w:t>
      </w:r>
    </w:p>
    <w:p w14:paraId="4A641393" w14:textId="77777777" w:rsidR="00A03964" w:rsidRPr="0070000B" w:rsidRDefault="00A03964" w:rsidP="00471569">
      <w:pPr>
        <w:pStyle w:val="NormalWeb"/>
        <w:spacing w:line="360" w:lineRule="auto"/>
        <w:jc w:val="both"/>
      </w:pPr>
      <w:r w:rsidRPr="0070000B">
        <w:t xml:space="preserve">These findings suggest that agricultural universities should develop a tailored </w:t>
      </w:r>
      <w:r w:rsidRPr="0070000B">
        <w:rPr>
          <w:rStyle w:val="Strong"/>
          <w:b w:val="0"/>
          <w:bCs w:val="0"/>
        </w:rPr>
        <w:t>comprehensive communication training program</w:t>
      </w:r>
      <w:r w:rsidRPr="0070000B">
        <w:t xml:space="preserve"> prioritizing writing and speaking skills, followed by reading, listening, and non-verbal communication.</w:t>
      </w:r>
    </w:p>
    <w:p w14:paraId="373B2C95" w14:textId="77777777" w:rsidR="0070000B" w:rsidRDefault="00A03964" w:rsidP="0070000B">
      <w:pPr>
        <w:keepNext/>
        <w:spacing w:line="360" w:lineRule="auto"/>
        <w:jc w:val="center"/>
      </w:pPr>
      <w:r w:rsidRPr="0070000B">
        <w:rPr>
          <w:rFonts w:ascii="Times New Roman" w:eastAsia="Calibri" w:hAnsi="Times New Roman" w:cs="Times New Roman"/>
          <w:noProof/>
          <w:sz w:val="24"/>
          <w:szCs w:val="24"/>
        </w:rPr>
        <w:lastRenderedPageBreak/>
        <w:drawing>
          <wp:inline distT="0" distB="0" distL="0" distR="0" wp14:anchorId="7F8DFAF9" wp14:editId="02C28990">
            <wp:extent cx="4581525" cy="2971165"/>
            <wp:effectExtent l="12700" t="12700" r="3175" b="63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srcRect l="15876" r="10686"/>
                    <a:stretch>
                      <a:fillRect/>
                    </a:stretch>
                  </pic:blipFill>
                  <pic:spPr bwMode="auto">
                    <a:xfrm>
                      <a:off x="0" y="0"/>
                      <a:ext cx="4581525" cy="297116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327BEF3" w14:textId="156A2B50" w:rsidR="00A03964" w:rsidRPr="0070000B" w:rsidRDefault="0070000B" w:rsidP="0070000B">
      <w:pPr>
        <w:pStyle w:val="Caption"/>
        <w:jc w:val="center"/>
        <w:rPr>
          <w:rFonts w:ascii="Times New Roman" w:eastAsia="Calibri" w:hAnsi="Times New Roman" w:cs="Times New Roman"/>
          <w:sz w:val="24"/>
          <w:szCs w:val="24"/>
        </w:rPr>
      </w:pPr>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C3216F">
        <w:t>Communication Skill Map</w:t>
      </w:r>
    </w:p>
    <w:p w14:paraId="46D530DE" w14:textId="01D60656" w:rsidR="00A03964"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hAnsi="Times New Roman" w:cs="Times New Roman"/>
          <w:sz w:val="24"/>
          <w:szCs w:val="24"/>
        </w:rPr>
        <w:t xml:space="preserve">Fig </w:t>
      </w:r>
      <w:r w:rsidR="00A2358C">
        <w:rPr>
          <w:rFonts w:ascii="Times New Roman" w:hAnsi="Times New Roman" w:cs="Times New Roman"/>
          <w:sz w:val="24"/>
          <w:szCs w:val="24"/>
        </w:rPr>
        <w:t>3</w:t>
      </w:r>
      <w:r w:rsidRPr="0070000B">
        <w:rPr>
          <w:rFonts w:ascii="Times New Roman" w:hAnsi="Times New Roman" w:cs="Times New Roman"/>
          <w:sz w:val="24"/>
          <w:szCs w:val="24"/>
        </w:rPr>
        <w:t>, Communication skill map showing there is a significant gap between highest obtainable score of TNI% (100 per cent) and perceived importance level of all 5 dimensions of communication skills (speaking skill -89.22</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writing skill - 88.15</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listening skill - 87.98</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reading skill - 89.59</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xml:space="preserve"> and non-verbal skill - 90.63</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While there is a significant gap in perceived performance among students of all the universities from importance level, where Students of IARI-BHU have almost similar and considerably higher in all 5 dimensions of communication skills’ perceived performance compared to students from GBPUAT.</w:t>
      </w:r>
    </w:p>
    <w:p w14:paraId="0DC94472" w14:textId="77777777" w:rsidR="00F77474" w:rsidRPr="00F77474" w:rsidRDefault="00F77474" w:rsidP="00F77474">
      <w:pPr>
        <w:spacing w:before="100" w:beforeAutospacing="1" w:after="100" w:afterAutospacing="1" w:line="360" w:lineRule="auto"/>
        <w:jc w:val="both"/>
        <w:rPr>
          <w:rFonts w:ascii="Times New Roman" w:hAnsi="Times New Roman" w:cs="Times New Roman"/>
          <w:sz w:val="24"/>
          <w:szCs w:val="24"/>
          <w:lang w:val="en-IN"/>
        </w:rPr>
      </w:pPr>
      <w:r w:rsidRPr="00F77474">
        <w:rPr>
          <w:rFonts w:ascii="Times New Roman" w:hAnsi="Times New Roman" w:cs="Times New Roman"/>
          <w:sz w:val="24"/>
          <w:szCs w:val="24"/>
          <w:lang w:val="en-IN"/>
        </w:rPr>
        <w:t>Regression analysis revealed a significant positive relationship between communication apprehension and communication skill gaps (β = 0.635), indicating that higher communication apprehension predicts greater communication skill gaps. Although the correlation coefficient between communication apprehension and communication skill gap was relatively low (r = 0.105), the regression analysis demonstrated a stronger predictive relationship. This difference may be attributed to the multivariate nature of regression analysis, where the effect of communication apprehension is estimated while controlling for other contributing variables. The presence of suppressor effects or interrelationships among independent variables may enhance the predictive strength of communication apprehension in the regression model. This pattern is consistent with suppressor variable effects reported in multivariate behavioural research.</w:t>
      </w:r>
    </w:p>
    <w:p w14:paraId="7D5379AA" w14:textId="77777777" w:rsidR="00F77474" w:rsidRDefault="00F77474" w:rsidP="00F77474">
      <w:pPr>
        <w:spacing w:before="100" w:beforeAutospacing="1" w:after="100" w:afterAutospacing="1" w:line="360" w:lineRule="auto"/>
        <w:jc w:val="both"/>
        <w:rPr>
          <w:rFonts w:ascii="Times New Roman" w:hAnsi="Times New Roman" w:cs="Times New Roman"/>
          <w:sz w:val="24"/>
          <w:szCs w:val="24"/>
          <w:lang w:val="en-IN"/>
        </w:rPr>
      </w:pPr>
      <w:r w:rsidRPr="00F77474">
        <w:rPr>
          <w:rFonts w:ascii="Times New Roman" w:hAnsi="Times New Roman" w:cs="Times New Roman"/>
          <w:sz w:val="24"/>
          <w:szCs w:val="24"/>
          <w:lang w:val="en-IN"/>
        </w:rPr>
        <w:lastRenderedPageBreak/>
        <w:t>The adjusted R² value (0.75) indicates substantial explanatory power of the model, suggesting that the included independent variables collectively explain a large proportion of the variance in communication skill gaps. This high explanatory capacity may be attributed to the inclusion of multiple psychosocial variables such as academic performance, mother’s education, empathy, self-esteem, and self-confidence, which are theoretically linked to communication behaviour. The regression results further indicate that these variables have significant negative contributions, implying that higher levels of these traits are associated with lower communication skill deficits, whereas higher levels of communication apprehension are associated with increased communication skill gaps. However, to ensure robustness, future studies may further examine multicollinearity diagnostics such as Variance Inflation Factor (VIF) and tolerance values.</w:t>
      </w:r>
    </w:p>
    <w:p w14:paraId="4305874F" w14:textId="0FBD926C" w:rsidR="009002FC" w:rsidRPr="00885C4A" w:rsidRDefault="00885C4A" w:rsidP="00471569">
      <w:pPr>
        <w:spacing w:before="100" w:beforeAutospacing="1" w:after="100" w:afterAutospacing="1" w:line="360" w:lineRule="auto"/>
        <w:jc w:val="both"/>
        <w:rPr>
          <w:rFonts w:ascii="Times New Roman" w:hAnsi="Times New Roman" w:cs="Times New Roman"/>
          <w:sz w:val="24"/>
          <w:szCs w:val="24"/>
          <w:lang w:val="en-IN"/>
        </w:rPr>
      </w:pPr>
      <w:r w:rsidRPr="00885C4A">
        <w:rPr>
          <w:rFonts w:ascii="Times New Roman" w:hAnsi="Times New Roman" w:cs="Times New Roman"/>
          <w:sz w:val="24"/>
          <w:szCs w:val="24"/>
        </w:rPr>
        <w:t>These findings align with emerging research emphasizing the role of emotional and psychological factors in communication behaviour (MacIntyre, 2020; Resnik et al., 2025).</w:t>
      </w:r>
      <w:r>
        <w:rPr>
          <w:rFonts w:ascii="Times New Roman" w:hAnsi="Times New Roman" w:cs="Times New Roman"/>
          <w:sz w:val="24"/>
          <w:szCs w:val="24"/>
          <w:lang w:val="en-IN"/>
        </w:rPr>
        <w:t xml:space="preserve"> </w:t>
      </w:r>
      <w:r w:rsidR="009002FC" w:rsidRPr="0070000B">
        <w:rPr>
          <w:rFonts w:ascii="Times New Roman" w:eastAsia="Times New Roman" w:hAnsi="Times New Roman" w:cs="Times New Roman"/>
          <w:sz w:val="24"/>
          <w:szCs w:val="24"/>
        </w:rPr>
        <w:t xml:space="preserve">Agricultural universities should integrate Experiential Learning Approaches such as role-play exercises, simulations, and case studies etc. for academic meetings and group discussions as they found reduce </w:t>
      </w:r>
      <w:r w:rsidR="00E8577E" w:rsidRPr="0070000B">
        <w:rPr>
          <w:rFonts w:ascii="Times New Roman" w:hAnsi="Times New Roman" w:cs="Times New Roman"/>
          <w:sz w:val="24"/>
          <w:szCs w:val="24"/>
        </w:rPr>
        <w:t xml:space="preserve">communication Apprehension </w:t>
      </w:r>
      <w:r w:rsidR="009002FC" w:rsidRPr="0070000B">
        <w:rPr>
          <w:rFonts w:ascii="Times New Roman" w:eastAsia="Times New Roman" w:hAnsi="Times New Roman" w:cs="Times New Roman"/>
          <w:sz w:val="24"/>
          <w:szCs w:val="24"/>
        </w:rPr>
        <w:t xml:space="preserve">in </w:t>
      </w:r>
      <w:r w:rsidR="00E8577E" w:rsidRPr="0070000B">
        <w:rPr>
          <w:rFonts w:ascii="Times New Roman" w:eastAsia="Times New Roman" w:hAnsi="Times New Roman" w:cs="Times New Roman"/>
          <w:sz w:val="24"/>
          <w:szCs w:val="24"/>
        </w:rPr>
        <w:t>these situations (Allen &amp; Bourhis, 1996)</w:t>
      </w:r>
      <w:r w:rsidR="009002FC" w:rsidRPr="0070000B">
        <w:rPr>
          <w:rFonts w:ascii="Times New Roman" w:eastAsia="Times New Roman" w:hAnsi="Times New Roman" w:cs="Times New Roman"/>
          <w:sz w:val="24"/>
          <w:szCs w:val="24"/>
        </w:rPr>
        <w:t>.</w:t>
      </w:r>
      <w:r w:rsidR="00E8577E" w:rsidRPr="0070000B">
        <w:rPr>
          <w:rFonts w:ascii="Times New Roman" w:eastAsia="Times New Roman" w:hAnsi="Times New Roman" w:cs="Times New Roman"/>
          <w:sz w:val="24"/>
          <w:szCs w:val="24"/>
        </w:rPr>
        <w:t xml:space="preserve"> </w:t>
      </w:r>
      <w:r w:rsidR="009002FC" w:rsidRPr="0070000B">
        <w:rPr>
          <w:rFonts w:ascii="Times New Roman" w:eastAsia="Times New Roman" w:hAnsi="Times New Roman" w:cs="Times New Roman"/>
          <w:sz w:val="24"/>
          <w:szCs w:val="24"/>
        </w:rPr>
        <w:t xml:space="preserve">Universities could implement peer mentorship programs that engage in small, supportive discussion groups where students with lower </w:t>
      </w:r>
      <w:r w:rsidR="00E8577E" w:rsidRPr="0070000B">
        <w:rPr>
          <w:rFonts w:ascii="Times New Roman" w:hAnsi="Times New Roman" w:cs="Times New Roman"/>
          <w:sz w:val="24"/>
          <w:szCs w:val="24"/>
        </w:rPr>
        <w:t xml:space="preserve">communication Apprehension </w:t>
      </w:r>
      <w:r w:rsidR="009002FC" w:rsidRPr="0070000B">
        <w:rPr>
          <w:rFonts w:ascii="Times New Roman" w:eastAsia="Times New Roman" w:hAnsi="Times New Roman" w:cs="Times New Roman"/>
          <w:sz w:val="24"/>
          <w:szCs w:val="24"/>
        </w:rPr>
        <w:t>guide those with higher CA this can help reduce anxiety (Rubin, 1990).</w:t>
      </w:r>
    </w:p>
    <w:p w14:paraId="027530CF" w14:textId="77777777" w:rsidR="0070000B" w:rsidRDefault="00432D74" w:rsidP="0070000B">
      <w:pPr>
        <w:keepNext/>
        <w:spacing w:before="100" w:beforeAutospacing="1" w:after="100" w:afterAutospacing="1" w:line="360" w:lineRule="auto"/>
        <w:jc w:val="both"/>
      </w:pPr>
      <w:r w:rsidRPr="0070000B">
        <w:rPr>
          <w:rFonts w:ascii="Times New Roman" w:eastAsia="Times New Roman" w:hAnsi="Times New Roman" w:cs="Times New Roman"/>
          <w:noProof/>
          <w:sz w:val="24"/>
          <w:szCs w:val="24"/>
        </w:rPr>
        <w:drawing>
          <wp:inline distT="0" distB="0" distL="0" distR="0" wp14:anchorId="28FBF940" wp14:editId="1D71F4C2">
            <wp:extent cx="5943600" cy="1676400"/>
            <wp:effectExtent l="12700" t="12700" r="0" b="0"/>
            <wp:docPr id="1562864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4857" name="Picture 1562864857"/>
                    <pic:cNvPicPr/>
                  </pic:nvPicPr>
                  <pic:blipFill rotWithShape="1">
                    <a:blip r:embed="rId11" cstate="print">
                      <a:extLst>
                        <a:ext uri="{28A0092B-C50C-407E-A947-70E740481C1C}">
                          <a14:useLocalDpi xmlns:a14="http://schemas.microsoft.com/office/drawing/2010/main" val="0"/>
                        </a:ext>
                      </a:extLst>
                    </a:blip>
                    <a:srcRect t="25481" b="32212"/>
                    <a:stretch>
                      <a:fillRect/>
                    </a:stretch>
                  </pic:blipFill>
                  <pic:spPr bwMode="auto">
                    <a:xfrm>
                      <a:off x="0" y="0"/>
                      <a:ext cx="5943600" cy="16764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E4D9016" w14:textId="5CF592E1" w:rsidR="00F20EB1" w:rsidRPr="0070000B" w:rsidRDefault="0070000B" w:rsidP="0070000B">
      <w:pPr>
        <w:pStyle w:val="Caption"/>
        <w:jc w:val="center"/>
        <w:rPr>
          <w:rFonts w:ascii="Times New Roman" w:eastAsia="Times New Roman" w:hAnsi="Times New Roman" w:cs="Times New Roman"/>
          <w:sz w:val="24"/>
          <w:szCs w:val="24"/>
        </w:rPr>
      </w:pPr>
      <w:r>
        <w:t xml:space="preserve">Figure </w:t>
      </w:r>
      <w:r>
        <w:fldChar w:fldCharType="begin"/>
      </w:r>
      <w:r>
        <w:instrText xml:space="preserve"> SEQ Figure \* ARABIC </w:instrText>
      </w:r>
      <w:r>
        <w:fldChar w:fldCharType="separate"/>
      </w:r>
      <w:r>
        <w:rPr>
          <w:noProof/>
        </w:rPr>
        <w:t>4</w:t>
      </w:r>
      <w:r>
        <w:rPr>
          <w:noProof/>
        </w:rPr>
        <w:fldChar w:fldCharType="end"/>
      </w:r>
      <w:r>
        <w:t xml:space="preserve"> conceptual framework</w:t>
      </w:r>
    </w:p>
    <w:p w14:paraId="7CF99A4E"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Discussion</w:t>
      </w:r>
    </w:p>
    <w:p w14:paraId="0EA1AB3C" w14:textId="0E00570C"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lastRenderedPageBreak/>
        <w:t>The present study examined communication apprehension among postgraduate agricultural students across four communication contexts</w:t>
      </w:r>
      <w:r w:rsidR="00D51E16" w:rsidRPr="0070000B">
        <w:rPr>
          <w:rFonts w:ascii="Times New Roman" w:eastAsia="Times New Roman" w:hAnsi="Times New Roman" w:cs="Times New Roman"/>
          <w:sz w:val="24"/>
          <w:szCs w:val="24"/>
          <w:lang w:val="en-IN"/>
        </w:rPr>
        <w:t xml:space="preserve"> </w:t>
      </w:r>
      <w:r w:rsidRPr="0070000B">
        <w:rPr>
          <w:rFonts w:ascii="Times New Roman" w:eastAsia="Times New Roman" w:hAnsi="Times New Roman" w:cs="Times New Roman"/>
          <w:sz w:val="24"/>
          <w:szCs w:val="24"/>
          <w:lang w:val="en-IN"/>
        </w:rPr>
        <w:t>group discussions, meetings, interpersonal interactions, and public speaking</w:t>
      </w:r>
      <w:r w:rsidR="00D51E16" w:rsidRPr="0070000B">
        <w:rPr>
          <w:rFonts w:ascii="Times New Roman" w:eastAsia="Times New Roman" w:hAnsi="Times New Roman" w:cs="Times New Roman"/>
          <w:sz w:val="24"/>
          <w:szCs w:val="24"/>
          <w:lang w:val="en-IN"/>
        </w:rPr>
        <w:t xml:space="preserve"> </w:t>
      </w:r>
      <w:r w:rsidRPr="0070000B">
        <w:rPr>
          <w:rFonts w:ascii="Times New Roman" w:eastAsia="Times New Roman" w:hAnsi="Times New Roman" w:cs="Times New Roman"/>
          <w:sz w:val="24"/>
          <w:szCs w:val="24"/>
          <w:lang w:val="en-IN"/>
        </w:rPr>
        <w:t>and its relationship with communication skill gaps. The findings indicate that a large proportion of students experience moderate levels of communication apprehension, suggesting that communication anxiety remains a relevant psychological barrier in higher agricultural education. Similar observations have been reported in communication research indicating that apprehension can influence students’ participation in academic discussions and communication performance (McCroskey, 1977; Beatty &amp; McCroskey, 2001).</w:t>
      </w:r>
    </w:p>
    <w:p w14:paraId="6B32CAE0"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Among the different communication contexts assessed, group discussions generated the highest levels of communication apprehension, followed by interpersonal interactions. These situations typically involve spontaneous responses, active participation, and social evaluation, which may increase anxiety among students who lack confidence in their communication abilities. These findings align with Communication Apprehension Theory, which suggests that individuals with higher communication anxiety tend to avoid communication situations that require active engagement (McCroskey, 1977). Previous studies have also reported that interactive communication environments often create higher anxiety due to uncertainty and perceived evaluation by peers (Richmond &amp; McCroskey, 1995).</w:t>
      </w:r>
    </w:p>
    <w:p w14:paraId="169DE86A"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Interpersonal communication also produced relatively high levels of apprehension. Students may experience anxiety in one-to-one interactions when they perceive themselves to be evaluated directly by others or when they lack experience in professional communication settings. Similar findings have been reported by McCroskey (1984), who observed that individuals with limited exposure to real-world communication situations often demonstrate higher interpersonal communication anxiety.</w:t>
      </w:r>
    </w:p>
    <w:p w14:paraId="42E9F9B5"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 xml:space="preserve">Interestingly, public speaking generated comparatively lower levels of high apprehension among the respondents. While earlier studies frequently identify public speaking as the most anxiety-inducing communication situation (McCroskey, 1977; Beatty, 1988), the present findings suggest that postgraduate students may feel relatively more comfortable in structured presentation environments. This may be attributed to the academic training structure in </w:t>
      </w:r>
      <w:r w:rsidRPr="0070000B">
        <w:rPr>
          <w:rFonts w:ascii="Times New Roman" w:eastAsia="Times New Roman" w:hAnsi="Times New Roman" w:cs="Times New Roman"/>
          <w:sz w:val="24"/>
          <w:szCs w:val="24"/>
          <w:lang w:val="en-IN"/>
        </w:rPr>
        <w:lastRenderedPageBreak/>
        <w:t>agricultural universities, where students regularly deliver seminars and presentations. Repeated exposure to structured communication activities may gradually reduce communication anxiety, supporting earlier findings that practice and preparation can mitigate public speaking anxiety (Glaser, 1981; Allen &amp; Bourhis, 1996).</w:t>
      </w:r>
    </w:p>
    <w:p w14:paraId="251D6E5F"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The study also identified writing and speaking skills as the most prominent communication skill gaps among postgraduate agricultural students. These competencies are essential for professional activities such as research dissemination, report preparation, and stakeholder engagement. Previous studies have similarly highlighted deficiencies in scientific writing and oral communication skills among agricultural graduates (Navani et al., 2015; Yadav &amp; Kumar, 2019).</w:t>
      </w:r>
    </w:p>
    <w:p w14:paraId="751FEF47"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Furthermore, the positive relationship between communication apprehension and communication skill gaps indicates that students experiencing higher communication anxiety tend to report greater training needs. This finding is consistent with Social Cognitive Theory, which emphasizes that emotional states such as anxiety can influence participation and learning outcomes (Bandura, 1997). Students with higher apprehension may participate less frequently in communication-intensive activities, thereby limiting opportunities for skill development.</w:t>
      </w:r>
    </w:p>
    <w:p w14:paraId="7DE3C0B2" w14:textId="1CF5E450" w:rsidR="00885C4A"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Overall, the findings suggest that communication skill gaps among postgraduate agricultural students are influenced not only by technical communication deficiencies but also by psychological factors such as communication apprehension.</w:t>
      </w:r>
      <w:r w:rsidR="000E768A">
        <w:rPr>
          <w:rFonts w:ascii="Times New Roman" w:eastAsia="Times New Roman" w:hAnsi="Times New Roman" w:cs="Times New Roman"/>
          <w:sz w:val="24"/>
          <w:szCs w:val="24"/>
          <w:lang w:val="en-IN"/>
        </w:rPr>
        <w:t xml:space="preserve"> </w:t>
      </w:r>
      <w:r w:rsidR="000E768A" w:rsidRPr="000E768A">
        <w:rPr>
          <w:rFonts w:ascii="Times New Roman" w:eastAsia="Times New Roman" w:hAnsi="Times New Roman" w:cs="Times New Roman"/>
          <w:sz w:val="24"/>
          <w:szCs w:val="24"/>
        </w:rPr>
        <w:t>Recent research also highlights that both positive and negative emotions significantly influence communication behaviour and learning outcomes, reinforcing the role of affective factors in shaping communication competence (Resnik et al., 2025).</w:t>
      </w:r>
      <w:r w:rsidRPr="0070000B">
        <w:rPr>
          <w:rFonts w:ascii="Times New Roman" w:eastAsia="Times New Roman" w:hAnsi="Times New Roman" w:cs="Times New Roman"/>
          <w:sz w:val="24"/>
          <w:szCs w:val="24"/>
          <w:lang w:val="en-IN"/>
        </w:rPr>
        <w:t xml:space="preserve"> Addressing these factors through targeted training interventions may therefore enhance communication competence and professional readiness in higher agricultural education.</w:t>
      </w:r>
    </w:p>
    <w:p w14:paraId="0E5955A1" w14:textId="77777777" w:rsidR="00FD697D"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Practical Implications for Agricultural Education</w:t>
      </w:r>
    </w:p>
    <w:p w14:paraId="1436C334"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 xml:space="preserve">The findings highlight the need to strengthen communication training within postgraduate agricultural education. Since writing and speaking skills emerged as the most prominent communication training needs, agricultural universities should prioritize structured training such as scientific writing workshops, research presentation sessions, and communication-focused </w:t>
      </w:r>
      <w:r w:rsidRPr="0070000B">
        <w:rPr>
          <w:rFonts w:ascii="Times New Roman" w:eastAsia="Times New Roman" w:hAnsi="Times New Roman" w:cs="Times New Roman"/>
          <w:sz w:val="24"/>
          <w:szCs w:val="24"/>
          <w:lang w:val="en-IN"/>
        </w:rPr>
        <w:lastRenderedPageBreak/>
        <w:t>coursework. These initiatives can enhance students’ ability to effectively disseminate research findings and interact with professional stakeholders.</w:t>
      </w:r>
    </w:p>
    <w:p w14:paraId="26D842F4" w14:textId="6F3E09D0"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The results also indicate that communication apprehension influences students’ participation in communication activities. Students experiencing higher anxiety may avoid discussions, presentations, or interpersonal interactions. Therefore, communication training programs should integrate strategies that reduce communication anxiety while improving communication competence. Experiential learning approaches such as student-led seminars, role-play exercises, group discussions, and mock presentations can provide practical opportunities for students to practice communication skills in supportive learning environments. Mentorship and constructive feedback from faculty members can further help students develop confidence and gradually overcome communication apprehension.</w:t>
      </w:r>
    </w:p>
    <w:p w14:paraId="5AAF4FC9"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p>
    <w:p w14:paraId="518D4575"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Limitations</w:t>
      </w:r>
    </w:p>
    <w:p w14:paraId="34F4895A" w14:textId="585B68C9"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The study has certain limitations that should be considered while interpreting the findings. First, communication skill gaps were assessed using self-reported perceptions, which may reflect subjective evaluations of students’ communication abilities. Future studies may incorporate objective measures, such as evaluation of presentations or written assignments, to provide a more comprehensive assessment of communication competence. Second, the study focused on postgraduate students from three agricultural universities in India, which may limit the generalizability of the findings. Expanding the research to include additional institutions and academic disciplines could provide broader insights into communication apprehension in higher education. Finally, the cross-sectional nature of the study limits the ability to examine changes in communication apprehension and communication skills over time. Longitudinal studies may provide deeper insights into how these factors evolve during postgraduate training.</w:t>
      </w:r>
    </w:p>
    <w:p w14:paraId="58C1DA57"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Conclusion</w:t>
      </w:r>
    </w:p>
    <w:p w14:paraId="5FC5DA83" w14:textId="493CC75C"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 xml:space="preserve">This study confirms a significant positive relationship between communication apprehension (CA) and communication skill gaps among postgraduate agricultural students, indicating that </w:t>
      </w:r>
      <w:r w:rsidRPr="0070000B">
        <w:rPr>
          <w:rFonts w:ascii="Times New Roman" w:eastAsia="Times New Roman" w:hAnsi="Times New Roman" w:cs="Times New Roman"/>
          <w:sz w:val="24"/>
          <w:szCs w:val="24"/>
          <w:lang w:val="en-IN"/>
        </w:rPr>
        <w:lastRenderedPageBreak/>
        <w:t>higher levels of communication anxiety are associated with greater communication training needs. Regression analysis showed that a one-unit increase in communication apprehension leads to a 0.635-unit increase in the communication skill gap, highlighting the importance of addressing communication anxiety to improve communication competence. The findings further revealed that students experienced the highest levels of apprehension in group discussions and interpersonal interactions, while public speaking generated comparatively lower levels of anxiety. This observation challenges traditional assumptions that public speaking is the most anxiety-inducing communication context and suggests that structured communication environments may be less intimidating than spontaneous interaction-based situations. In terms of communication competencies, writing and speaking skills emerged as the most critical training needs, as reflected by the lowest Training Need Index (TNI) values, followed by reading, listening, and non-verbal communication skills. These findings emphasize the need for agricultural universities to implement targeted communication training programs that prioritize writing and speaking competencies while incorporating strategies to reduce communication apprehension. Experiential learning approaches such as role-play exercises, group discussions, mock presentations, and peer mentorship programs can help students gradually build confidence and improve communication competence. Such interventions can reduce communication anxiety while enhancing students’ professional readiness and their ability to effectively engage in research dissemination, extension activities, and stakeholder collaboration.</w:t>
      </w:r>
    </w:p>
    <w:p w14:paraId="76EB7AA5" w14:textId="3E83606F" w:rsidR="00B75285" w:rsidRDefault="00FD697D" w:rsidP="00471569">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Finally, the findings suggest that agricultural universities and policymakers should collaborate to design comprehensive capacity-building frameworks that integrate technical knowledge with soft skill development. Embedding communication-focused training within postgraduate curricula can ensure that agricultural graduates are not only technically proficient but also capable of communicating effectively across diverse professional contexts, thereby strengthening their employability and contribution to agricultural innovation and extension systems.</w:t>
      </w:r>
    </w:p>
    <w:p w14:paraId="51174649" w14:textId="04F02EB2" w:rsidR="0059601B" w:rsidRDefault="0059601B" w:rsidP="00471569">
      <w:pPr>
        <w:spacing w:before="100" w:beforeAutospacing="1" w:after="100" w:afterAutospacing="1" w:line="360" w:lineRule="auto"/>
        <w:jc w:val="both"/>
        <w:rPr>
          <w:rFonts w:ascii="Times New Roman" w:eastAsia="Times New Roman" w:hAnsi="Times New Roman" w:cs="Times New Roman"/>
          <w:sz w:val="24"/>
          <w:szCs w:val="24"/>
          <w:lang w:val="en-IN"/>
        </w:rPr>
      </w:pPr>
    </w:p>
    <w:p w14:paraId="57355D36" w14:textId="77777777" w:rsidR="0059601B" w:rsidRPr="00005ED1" w:rsidRDefault="0059601B" w:rsidP="0059601B">
      <w:pPr>
        <w:pStyle w:val="NoSpacing"/>
        <w:rPr>
          <w:rFonts w:ascii="Arial" w:hAnsi="Arial" w:cs="Arial"/>
          <w:highlight w:val="yellow"/>
        </w:rPr>
      </w:pPr>
      <w:bookmarkStart w:id="3" w:name="_Hlk219284361"/>
      <w:bookmarkStart w:id="4" w:name="_Hlk198031404"/>
      <w:bookmarkStart w:id="5" w:name="_Hlk219128673"/>
      <w:r w:rsidRPr="00005ED1">
        <w:rPr>
          <w:rFonts w:ascii="Arial" w:hAnsi="Arial" w:cs="Arial"/>
          <w:highlight w:val="yellow"/>
        </w:rPr>
        <w:t>Disclaimer (Artificial intelligence)</w:t>
      </w:r>
    </w:p>
    <w:p w14:paraId="3545CB3E" w14:textId="77777777" w:rsidR="0059601B" w:rsidRPr="00005ED1" w:rsidRDefault="0059601B" w:rsidP="0059601B">
      <w:pPr>
        <w:pStyle w:val="NoSpacing"/>
        <w:rPr>
          <w:rFonts w:ascii="Arial" w:hAnsi="Arial" w:cs="Arial"/>
          <w:highlight w:val="yellow"/>
        </w:rPr>
      </w:pPr>
    </w:p>
    <w:p w14:paraId="5192CF35" w14:textId="3A61237F" w:rsidR="0059601B" w:rsidRPr="00005ED1" w:rsidRDefault="0059601B" w:rsidP="0059601B">
      <w:pPr>
        <w:pStyle w:val="NoSpacing"/>
        <w:rPr>
          <w:rFonts w:ascii="Arial" w:hAnsi="Arial" w:cs="Arial"/>
          <w:highlight w:val="yellow"/>
        </w:rPr>
      </w:pPr>
      <w:r w:rsidRPr="00005ED1">
        <w:rPr>
          <w:rFonts w:ascii="Arial" w:hAnsi="Arial" w:cs="Arial"/>
          <w:highlight w:val="yellow"/>
        </w:rPr>
        <w:t xml:space="preserve">Author(s) hereby </w:t>
      </w:r>
      <w:r w:rsidR="00D21472" w:rsidRPr="00005ED1">
        <w:rPr>
          <w:rFonts w:ascii="Arial" w:hAnsi="Arial" w:cs="Arial"/>
          <w:highlight w:val="yellow"/>
        </w:rPr>
        <w:t>declares</w:t>
      </w:r>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4"/>
    <w:p w14:paraId="0823FB40" w14:textId="77777777" w:rsidR="0059601B" w:rsidRDefault="0059601B" w:rsidP="0059601B">
      <w:pPr>
        <w:pStyle w:val="NoSpacing"/>
        <w:rPr>
          <w:rFonts w:ascii="Arial" w:hAnsi="Arial" w:cs="Arial"/>
        </w:rPr>
      </w:pPr>
    </w:p>
    <w:bookmarkEnd w:id="5"/>
    <w:p w14:paraId="0D3C23C8" w14:textId="77777777" w:rsidR="0059601B" w:rsidRPr="0070000B" w:rsidRDefault="0059601B" w:rsidP="00471569">
      <w:pPr>
        <w:spacing w:before="100" w:beforeAutospacing="1" w:after="100" w:afterAutospacing="1" w:line="360" w:lineRule="auto"/>
        <w:jc w:val="both"/>
        <w:rPr>
          <w:rFonts w:ascii="Times New Roman" w:eastAsia="Times New Roman" w:hAnsi="Times New Roman" w:cs="Times New Roman"/>
          <w:sz w:val="24"/>
          <w:szCs w:val="24"/>
          <w:lang w:val="en-IN"/>
        </w:rPr>
      </w:pPr>
    </w:p>
    <w:p w14:paraId="5F5D4A38" w14:textId="77777777" w:rsidR="005916BB" w:rsidRPr="0070000B" w:rsidRDefault="005916BB" w:rsidP="00471569">
      <w:pPr>
        <w:spacing w:before="100" w:beforeAutospacing="1" w:after="0" w:line="360" w:lineRule="auto"/>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b/>
          <w:bCs/>
          <w:color w:val="1B1C1D"/>
          <w:sz w:val="24"/>
          <w:szCs w:val="24"/>
        </w:rPr>
        <w:t>References</w:t>
      </w:r>
      <w:r w:rsidRPr="0070000B">
        <w:rPr>
          <w:rFonts w:ascii="Times New Roman" w:eastAsia="Times New Roman" w:hAnsi="Times New Roman" w:cs="Times New Roman"/>
          <w:color w:val="1B1C1D"/>
          <w:sz w:val="24"/>
          <w:szCs w:val="24"/>
        </w:rPr>
        <w:t>:</w:t>
      </w:r>
    </w:p>
    <w:p w14:paraId="62D59F9E"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hAnsi="Times New Roman" w:cs="Times New Roman"/>
          <w:color w:val="222222"/>
          <w:sz w:val="24"/>
          <w:szCs w:val="24"/>
          <w:shd w:val="clear" w:color="auto" w:fill="FFFFFF"/>
        </w:rPr>
        <w:t>Allen, M., &amp; Bourhis, J. (1996). The relationship of communication apprehension to communication behavior: A meta‐analysis. </w:t>
      </w:r>
      <w:r w:rsidRPr="0070000B">
        <w:rPr>
          <w:rFonts w:ascii="Times New Roman" w:hAnsi="Times New Roman" w:cs="Times New Roman"/>
          <w:i/>
          <w:iCs/>
          <w:color w:val="222222"/>
          <w:sz w:val="24"/>
          <w:szCs w:val="24"/>
          <w:shd w:val="clear" w:color="auto" w:fill="FFFFFF"/>
        </w:rPr>
        <w:t>Communication Quarterly</w:t>
      </w:r>
      <w:r w:rsidRPr="0070000B">
        <w:rPr>
          <w:rFonts w:ascii="Times New Roman" w:hAnsi="Times New Roman" w:cs="Times New Roman"/>
          <w:color w:val="222222"/>
          <w:sz w:val="24"/>
          <w:szCs w:val="24"/>
          <w:shd w:val="clear" w:color="auto" w:fill="FFFFFF"/>
        </w:rPr>
        <w:t>, 44(2), 214-226.</w:t>
      </w:r>
    </w:p>
    <w:p w14:paraId="38594ECF" w14:textId="77777777" w:rsidR="00885C4A" w:rsidRPr="0070000B" w:rsidRDefault="00885C4A" w:rsidP="00885C4A">
      <w:pPr>
        <w:spacing w:before="100" w:beforeAutospacing="1" w:after="100" w:afterAutospacing="1" w:line="240" w:lineRule="auto"/>
        <w:jc w:val="both"/>
        <w:rPr>
          <w:rFonts w:ascii="Times New Roman" w:eastAsia="Times New Roman" w:hAnsi="Times New Roman" w:cs="Times New Roman"/>
          <w:sz w:val="24"/>
          <w:szCs w:val="24"/>
          <w:lang w:val="en-IN" w:eastAsia="en-GB"/>
        </w:rPr>
      </w:pPr>
      <w:r w:rsidRPr="0070000B">
        <w:rPr>
          <w:rFonts w:ascii="Times New Roman" w:eastAsia="Times New Roman" w:hAnsi="Times New Roman" w:cs="Times New Roman"/>
          <w:sz w:val="24"/>
          <w:szCs w:val="24"/>
          <w:lang w:val="en-IN" w:eastAsia="en-GB"/>
        </w:rPr>
        <w:t xml:space="preserve">Bandura, A. (1997). </w:t>
      </w:r>
      <w:r w:rsidRPr="0070000B">
        <w:rPr>
          <w:rFonts w:ascii="Times New Roman" w:eastAsia="Times New Roman" w:hAnsi="Times New Roman" w:cs="Times New Roman"/>
          <w:i/>
          <w:iCs/>
          <w:sz w:val="24"/>
          <w:szCs w:val="24"/>
          <w:lang w:val="en-IN" w:eastAsia="en-GB"/>
        </w:rPr>
        <w:t>Self-efficacy: The exercise of control</w:t>
      </w:r>
      <w:r w:rsidRPr="0070000B">
        <w:rPr>
          <w:rFonts w:ascii="Times New Roman" w:eastAsia="Times New Roman" w:hAnsi="Times New Roman" w:cs="Times New Roman"/>
          <w:sz w:val="24"/>
          <w:szCs w:val="24"/>
          <w:lang w:val="en-IN" w:eastAsia="en-GB"/>
        </w:rPr>
        <w:t>. New York: Freeman.</w:t>
      </w:r>
    </w:p>
    <w:p w14:paraId="55312FF1" w14:textId="77777777" w:rsidR="00885C4A" w:rsidRPr="0070000B" w:rsidRDefault="00885C4A" w:rsidP="00885C4A">
      <w:pPr>
        <w:spacing w:before="100" w:beforeAutospacing="1" w:after="0" w:line="360" w:lineRule="auto"/>
        <w:ind w:left="720" w:hanging="720"/>
        <w:jc w:val="both"/>
        <w:rPr>
          <w:rFonts w:ascii="Times New Roman" w:hAnsi="Times New Roman" w:cs="Times New Roman"/>
          <w:color w:val="222222"/>
          <w:sz w:val="24"/>
          <w:szCs w:val="24"/>
          <w:shd w:val="clear" w:color="auto" w:fill="FFFFFF"/>
        </w:rPr>
      </w:pPr>
      <w:r w:rsidRPr="0070000B">
        <w:rPr>
          <w:rFonts w:ascii="Times New Roman" w:hAnsi="Times New Roman" w:cs="Times New Roman"/>
          <w:color w:val="222222"/>
          <w:sz w:val="24"/>
          <w:szCs w:val="24"/>
          <w:shd w:val="clear" w:color="auto" w:fill="FFFFFF"/>
        </w:rPr>
        <w:t>Beatty, M. J. (1988). Situational and predispositional correlates of public speaking anxiety. </w:t>
      </w:r>
      <w:r w:rsidRPr="0070000B">
        <w:rPr>
          <w:rFonts w:ascii="Times New Roman" w:hAnsi="Times New Roman" w:cs="Times New Roman"/>
          <w:i/>
          <w:iCs/>
          <w:color w:val="222222"/>
          <w:sz w:val="24"/>
          <w:szCs w:val="24"/>
          <w:shd w:val="clear" w:color="auto" w:fill="FFFFFF"/>
        </w:rPr>
        <w:t>Communication education</w:t>
      </w:r>
      <w:r w:rsidRPr="0070000B">
        <w:rPr>
          <w:rFonts w:ascii="Times New Roman" w:hAnsi="Times New Roman" w:cs="Times New Roman"/>
          <w:color w:val="222222"/>
          <w:sz w:val="24"/>
          <w:szCs w:val="24"/>
          <w:shd w:val="clear" w:color="auto" w:fill="FFFFFF"/>
        </w:rPr>
        <w:t>, 37(1), 28-39.</w:t>
      </w:r>
    </w:p>
    <w:p w14:paraId="5B091B19"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Beatty, M. J., &amp; McCroskey, J. C. (2001). The PRCA-24 as a valid measure of the predispositional aspect of communication apprehension across communication contexts. </w:t>
      </w:r>
      <w:r w:rsidRPr="0070000B">
        <w:rPr>
          <w:rFonts w:ascii="Times New Roman" w:eastAsia="Times New Roman" w:hAnsi="Times New Roman" w:cs="Times New Roman"/>
          <w:i/>
          <w:iCs/>
          <w:color w:val="1B1C1D"/>
          <w:sz w:val="24"/>
          <w:szCs w:val="24"/>
        </w:rPr>
        <w:t>Communication Quarterly</w:t>
      </w:r>
      <w:r w:rsidRPr="0070000B">
        <w:rPr>
          <w:rFonts w:ascii="Times New Roman" w:eastAsia="Times New Roman" w:hAnsi="Times New Roman" w:cs="Times New Roman"/>
          <w:color w:val="1B1C1D"/>
          <w:sz w:val="24"/>
          <w:szCs w:val="24"/>
        </w:rPr>
        <w:t>, 49(1), 44-54.</w:t>
      </w:r>
    </w:p>
    <w:p w14:paraId="0761732A"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hAnsi="Times New Roman" w:cs="Times New Roman"/>
          <w:color w:val="222222"/>
          <w:sz w:val="24"/>
          <w:szCs w:val="24"/>
          <w:shd w:val="clear" w:color="auto" w:fill="FFFFFF"/>
        </w:rPr>
        <w:t>Brown, T., Yu, M. L., &amp; Etherington, J. (2020). Are listening and interpersonal communication skills predictive of professionalism in undergraduate occupational therapy students?. </w:t>
      </w:r>
      <w:r w:rsidRPr="0070000B">
        <w:rPr>
          <w:rFonts w:ascii="Times New Roman" w:hAnsi="Times New Roman" w:cs="Times New Roman"/>
          <w:i/>
          <w:iCs/>
          <w:color w:val="222222"/>
          <w:sz w:val="24"/>
          <w:szCs w:val="24"/>
          <w:shd w:val="clear" w:color="auto" w:fill="FFFFFF"/>
        </w:rPr>
        <w:t>Health Professions Education</w:t>
      </w:r>
      <w:r w:rsidRPr="0070000B">
        <w:rPr>
          <w:rFonts w:ascii="Times New Roman" w:hAnsi="Times New Roman" w:cs="Times New Roman"/>
          <w:color w:val="222222"/>
          <w:sz w:val="24"/>
          <w:szCs w:val="24"/>
          <w:shd w:val="clear" w:color="auto" w:fill="FFFFFF"/>
        </w:rPr>
        <w:t>, 6(2), 187-200.</w:t>
      </w:r>
    </w:p>
    <w:p w14:paraId="408BC702"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Flowerdew, J., &amp; Wang, S. H. (2015). Identity in academic discourse. Annual Review of Applied Linguistics, 35, 81-99.</w:t>
      </w:r>
    </w:p>
    <w:p w14:paraId="4D5E6CC5"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Glaser, R. (1981). The future of testing: A research agenda for cognitive psychology and psychometrics. </w:t>
      </w:r>
      <w:r w:rsidRPr="0070000B">
        <w:rPr>
          <w:rFonts w:ascii="Times New Roman" w:eastAsia="Times New Roman" w:hAnsi="Times New Roman" w:cs="Times New Roman"/>
          <w:i/>
          <w:color w:val="1B1C1D"/>
          <w:sz w:val="24"/>
          <w:szCs w:val="24"/>
        </w:rPr>
        <w:t>American Psychologist,</w:t>
      </w:r>
      <w:r w:rsidRPr="0070000B">
        <w:rPr>
          <w:rFonts w:ascii="Times New Roman" w:eastAsia="Times New Roman" w:hAnsi="Times New Roman" w:cs="Times New Roman"/>
          <w:color w:val="1B1C1D"/>
          <w:sz w:val="24"/>
          <w:szCs w:val="24"/>
        </w:rPr>
        <w:t> 36(9), 923.</w:t>
      </w:r>
    </w:p>
    <w:p w14:paraId="3A7FA1A0"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Graham, S., &amp; Perin, D. (2007). A meta-analysis of writing instruction for adolescent students. Journal of Educational Psychology, 99(3), 445-476.</w:t>
      </w:r>
    </w:p>
    <w:p w14:paraId="4D684BB8" w14:textId="77777777" w:rsidR="00885C4A" w:rsidRPr="004A7948" w:rsidRDefault="00885C4A" w:rsidP="00885C4A">
      <w:pPr>
        <w:ind w:left="720" w:hanging="720"/>
        <w:jc w:val="both"/>
        <w:rPr>
          <w:rFonts w:ascii="Times New Roman" w:hAnsi="Times New Roman" w:cs="Times New Roman"/>
          <w:sz w:val="24"/>
          <w:szCs w:val="24"/>
          <w:lang w:val="en-IN"/>
        </w:rPr>
      </w:pPr>
      <w:r w:rsidRPr="004A7948">
        <w:rPr>
          <w:rFonts w:ascii="Times New Roman" w:hAnsi="Times New Roman" w:cs="Times New Roman"/>
          <w:sz w:val="24"/>
          <w:szCs w:val="24"/>
        </w:rPr>
        <w:t>Gündüz, A. Y. (2023). The importance of investigating students’ lifelong learning levels and perceptions of 21st-century skills. </w:t>
      </w:r>
      <w:r w:rsidRPr="004A7948">
        <w:rPr>
          <w:rFonts w:ascii="Times New Roman" w:hAnsi="Times New Roman" w:cs="Times New Roman"/>
          <w:i/>
          <w:iCs/>
          <w:sz w:val="24"/>
          <w:szCs w:val="24"/>
        </w:rPr>
        <w:t>International e-Journal of Educational Studies</w:t>
      </w:r>
      <w:r w:rsidRPr="004A7948">
        <w:rPr>
          <w:rFonts w:ascii="Times New Roman" w:hAnsi="Times New Roman" w:cs="Times New Roman"/>
          <w:sz w:val="24"/>
          <w:szCs w:val="24"/>
        </w:rPr>
        <w:t>, </w:t>
      </w:r>
      <w:r w:rsidRPr="004A7948">
        <w:rPr>
          <w:rFonts w:ascii="Times New Roman" w:hAnsi="Times New Roman" w:cs="Times New Roman"/>
          <w:i/>
          <w:iCs/>
          <w:sz w:val="24"/>
          <w:szCs w:val="24"/>
        </w:rPr>
        <w:t>7</w:t>
      </w:r>
      <w:r w:rsidRPr="004A7948">
        <w:rPr>
          <w:rFonts w:ascii="Times New Roman" w:hAnsi="Times New Roman" w:cs="Times New Roman"/>
          <w:sz w:val="24"/>
          <w:szCs w:val="24"/>
        </w:rPr>
        <w:t>(15), 788-796.</w:t>
      </w:r>
      <w:r w:rsidRPr="004A7948">
        <w:t xml:space="preserve"> </w:t>
      </w:r>
      <w:hyperlink r:id="rId12" w:history="1">
        <w:r w:rsidRPr="004A7948">
          <w:rPr>
            <w:rStyle w:val="Hyperlink"/>
            <w:rFonts w:ascii="Times New Roman" w:hAnsi="Times New Roman" w:cs="Times New Roman"/>
            <w:sz w:val="24"/>
            <w:szCs w:val="24"/>
          </w:rPr>
          <w:t>h</w:t>
        </w:r>
        <w:r w:rsidRPr="004A7948">
          <w:rPr>
            <w:rStyle w:val="Hyperlink"/>
            <w:rFonts w:ascii="Times New Roman" w:hAnsi="Times New Roman" w:cs="Times New Roman"/>
            <w:sz w:val="24"/>
            <w:szCs w:val="24"/>
          </w:rPr>
          <w:t>t</w:t>
        </w:r>
        <w:r w:rsidRPr="004A7948">
          <w:rPr>
            <w:rStyle w:val="Hyperlink"/>
            <w:rFonts w:ascii="Times New Roman" w:hAnsi="Times New Roman" w:cs="Times New Roman"/>
            <w:sz w:val="24"/>
            <w:szCs w:val="24"/>
          </w:rPr>
          <w:t>tps://doi.org/10.31458/iejes.1346220</w:t>
        </w:r>
      </w:hyperlink>
    </w:p>
    <w:p w14:paraId="352DAE75" w14:textId="77777777" w:rsidR="00885C4A" w:rsidRPr="0070000B" w:rsidRDefault="00885C4A" w:rsidP="00885C4A">
      <w:pPr>
        <w:spacing w:before="100" w:beforeAutospacing="1" w:after="0" w:line="360" w:lineRule="auto"/>
        <w:ind w:left="1440" w:hanging="144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Hyland, K. (2019). Second language writing. Cambridge University Press.</w:t>
      </w:r>
    </w:p>
    <w:p w14:paraId="348A8576"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lastRenderedPageBreak/>
        <w:t xml:space="preserve">Liebowitz, M. R. (1987). Social phobia. </w:t>
      </w:r>
      <w:r w:rsidRPr="0070000B">
        <w:rPr>
          <w:rFonts w:ascii="Times New Roman" w:eastAsia="Times New Roman" w:hAnsi="Times New Roman" w:cs="Times New Roman"/>
          <w:i/>
          <w:iCs/>
          <w:color w:val="1B1C1D"/>
          <w:sz w:val="24"/>
          <w:szCs w:val="24"/>
        </w:rPr>
        <w:t>Modern Problems of Pharmacopsychiatry</w:t>
      </w:r>
      <w:r w:rsidRPr="0070000B">
        <w:rPr>
          <w:rFonts w:ascii="Times New Roman" w:eastAsia="Times New Roman" w:hAnsi="Times New Roman" w:cs="Times New Roman"/>
          <w:color w:val="1B1C1D"/>
          <w:sz w:val="24"/>
          <w:szCs w:val="24"/>
        </w:rPr>
        <w:t>, 22, 141-173.</w:t>
      </w:r>
    </w:p>
    <w:p w14:paraId="412EDA3B" w14:textId="77777777" w:rsidR="00885C4A" w:rsidRPr="0070000B" w:rsidRDefault="00885C4A" w:rsidP="00885C4A">
      <w:pPr>
        <w:spacing w:before="100" w:beforeAutospacing="1" w:after="0" w:line="360" w:lineRule="auto"/>
        <w:ind w:left="720" w:hanging="720"/>
        <w:jc w:val="both"/>
        <w:rPr>
          <w:rFonts w:ascii="Times New Roman" w:hAnsi="Times New Roman" w:cs="Times New Roman"/>
          <w:color w:val="222222"/>
          <w:sz w:val="24"/>
          <w:szCs w:val="24"/>
          <w:shd w:val="clear" w:color="auto" w:fill="FFFFFF"/>
        </w:rPr>
      </w:pPr>
      <w:r w:rsidRPr="0070000B">
        <w:rPr>
          <w:rFonts w:ascii="Times New Roman" w:hAnsi="Times New Roman" w:cs="Times New Roman"/>
          <w:color w:val="222222"/>
          <w:sz w:val="24"/>
          <w:szCs w:val="24"/>
          <w:shd w:val="clear" w:color="auto" w:fill="FFFFFF"/>
        </w:rPr>
        <w:t>Lundberg, I., &amp; Linnakyla, P. (1993). Teaching Reading around the World. IEA Study of Reading Literacy.</w:t>
      </w:r>
    </w:p>
    <w:p w14:paraId="3D76E585" w14:textId="77777777" w:rsidR="00885C4A" w:rsidRDefault="00885C4A" w:rsidP="00885C4A">
      <w:pPr>
        <w:spacing w:line="360" w:lineRule="auto"/>
        <w:ind w:left="720" w:hanging="720"/>
        <w:jc w:val="both"/>
        <w:rPr>
          <w:rFonts w:ascii="Times New Roman" w:hAnsi="Times New Roman" w:cs="Times New Roman"/>
          <w:sz w:val="24"/>
          <w:szCs w:val="24"/>
        </w:rPr>
      </w:pPr>
      <w:r w:rsidRPr="00E01699">
        <w:rPr>
          <w:rFonts w:ascii="Times New Roman" w:hAnsi="Times New Roman" w:cs="Times New Roman"/>
          <w:sz w:val="24"/>
          <w:szCs w:val="24"/>
        </w:rPr>
        <w:t>MacIntyre, P. (2020). Expanding the theoretical base for the dynamics of willingness to communicate. </w:t>
      </w:r>
      <w:r w:rsidRPr="00E01699">
        <w:rPr>
          <w:rFonts w:ascii="Times New Roman" w:hAnsi="Times New Roman" w:cs="Times New Roman"/>
          <w:i/>
          <w:iCs/>
          <w:sz w:val="24"/>
          <w:szCs w:val="24"/>
        </w:rPr>
        <w:t>Studies in Second Language Learning and Teaching</w:t>
      </w:r>
      <w:r w:rsidRPr="00E01699">
        <w:rPr>
          <w:rFonts w:ascii="Times New Roman" w:hAnsi="Times New Roman" w:cs="Times New Roman"/>
          <w:sz w:val="24"/>
          <w:szCs w:val="24"/>
        </w:rPr>
        <w:t>, </w:t>
      </w:r>
      <w:r w:rsidRPr="00E01699">
        <w:rPr>
          <w:rFonts w:ascii="Times New Roman" w:hAnsi="Times New Roman" w:cs="Times New Roman"/>
          <w:i/>
          <w:iCs/>
          <w:sz w:val="24"/>
          <w:szCs w:val="24"/>
        </w:rPr>
        <w:t>10</w:t>
      </w:r>
      <w:r w:rsidRPr="00E01699">
        <w:rPr>
          <w:rFonts w:ascii="Times New Roman" w:hAnsi="Times New Roman" w:cs="Times New Roman"/>
          <w:sz w:val="24"/>
          <w:szCs w:val="24"/>
        </w:rPr>
        <w:t>(1), 111-131.</w:t>
      </w:r>
    </w:p>
    <w:p w14:paraId="1550023A"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Mattick, R. P., &amp; Clarke, J. C. (1998). Development and validation of measures of social phobia scrutiny fear and social interaction anxiety. </w:t>
      </w:r>
      <w:r w:rsidRPr="0070000B">
        <w:rPr>
          <w:rFonts w:ascii="Times New Roman" w:eastAsia="Times New Roman" w:hAnsi="Times New Roman" w:cs="Times New Roman"/>
          <w:i/>
          <w:iCs/>
          <w:color w:val="1B1C1D"/>
          <w:sz w:val="24"/>
          <w:szCs w:val="24"/>
        </w:rPr>
        <w:t>Behaviour research and therapy</w:t>
      </w:r>
      <w:r w:rsidRPr="0070000B">
        <w:rPr>
          <w:rFonts w:ascii="Times New Roman" w:eastAsia="Times New Roman" w:hAnsi="Times New Roman" w:cs="Times New Roman"/>
          <w:color w:val="1B1C1D"/>
          <w:sz w:val="24"/>
          <w:szCs w:val="24"/>
        </w:rPr>
        <w:t>, 36(4), 455-470.</w:t>
      </w:r>
    </w:p>
    <w:p w14:paraId="3972158E"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575B5F"/>
          <w:sz w:val="24"/>
          <w:szCs w:val="24"/>
          <w:vertAlign w:val="superscript"/>
        </w:rPr>
      </w:pPr>
      <w:r w:rsidRPr="0070000B">
        <w:rPr>
          <w:rFonts w:ascii="Times New Roman" w:eastAsia="Times New Roman" w:hAnsi="Times New Roman" w:cs="Times New Roman"/>
          <w:color w:val="1B1C1D"/>
          <w:sz w:val="24"/>
          <w:szCs w:val="24"/>
        </w:rPr>
        <w:t xml:space="preserve">McCroskey, J. C. (1977). Oral communication apprehension: A summary of recent theory and research. </w:t>
      </w:r>
      <w:r w:rsidRPr="0070000B">
        <w:rPr>
          <w:rFonts w:ascii="Times New Roman" w:eastAsia="Times New Roman" w:hAnsi="Times New Roman" w:cs="Times New Roman"/>
          <w:i/>
          <w:iCs/>
          <w:color w:val="1B1C1D"/>
          <w:sz w:val="24"/>
          <w:szCs w:val="24"/>
        </w:rPr>
        <w:t>Human Communication Research</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4</w:t>
      </w:r>
      <w:r w:rsidRPr="0070000B">
        <w:rPr>
          <w:rFonts w:ascii="Times New Roman" w:eastAsia="Times New Roman" w:hAnsi="Times New Roman" w:cs="Times New Roman"/>
          <w:color w:val="1B1C1D"/>
          <w:sz w:val="24"/>
          <w:szCs w:val="24"/>
        </w:rPr>
        <w:t>(1), 78-96.</w:t>
      </w:r>
    </w:p>
    <w:p w14:paraId="68B1C20C"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McCroskey, J. C. (1982). Oral communication apprehension: A reconceptualization. </w:t>
      </w:r>
      <w:r w:rsidRPr="0070000B">
        <w:rPr>
          <w:rFonts w:ascii="Times New Roman" w:eastAsia="Times New Roman" w:hAnsi="Times New Roman" w:cs="Times New Roman"/>
          <w:i/>
          <w:color w:val="1B1C1D"/>
          <w:sz w:val="24"/>
          <w:szCs w:val="24"/>
        </w:rPr>
        <w:t>Annals of the International Communication Association,</w:t>
      </w:r>
      <w:r w:rsidRPr="0070000B">
        <w:rPr>
          <w:rFonts w:ascii="Times New Roman" w:eastAsia="Times New Roman" w:hAnsi="Times New Roman" w:cs="Times New Roman"/>
          <w:color w:val="1B1C1D"/>
          <w:sz w:val="24"/>
          <w:szCs w:val="24"/>
        </w:rPr>
        <w:t> 6(1), 136-170.</w:t>
      </w:r>
    </w:p>
    <w:p w14:paraId="066E41EC"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McCroskey, J. C. (1984). The communication apprehension perspective. </w:t>
      </w:r>
      <w:r w:rsidRPr="0070000B">
        <w:rPr>
          <w:rFonts w:ascii="Times New Roman" w:eastAsia="Times New Roman" w:hAnsi="Times New Roman" w:cs="Times New Roman"/>
          <w:i/>
          <w:iCs/>
          <w:color w:val="1B1C1D"/>
          <w:sz w:val="24"/>
          <w:szCs w:val="24"/>
        </w:rPr>
        <w:t>Avoiding communication: Shyness, reticence, and communication apprehension</w:t>
      </w:r>
      <w:r w:rsidRPr="0070000B">
        <w:rPr>
          <w:rFonts w:ascii="Times New Roman" w:eastAsia="Times New Roman" w:hAnsi="Times New Roman" w:cs="Times New Roman"/>
          <w:color w:val="1B1C1D"/>
          <w:sz w:val="24"/>
          <w:szCs w:val="24"/>
        </w:rPr>
        <w:t>, 13-38.</w:t>
      </w:r>
    </w:p>
    <w:p w14:paraId="4EE39C01"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McCroskey, J. C. (1989). The PRCA-24 as a measure of communication apprehension across contexts. </w:t>
      </w:r>
      <w:r w:rsidRPr="0070000B">
        <w:rPr>
          <w:rFonts w:ascii="Times New Roman" w:eastAsia="Times New Roman" w:hAnsi="Times New Roman" w:cs="Times New Roman"/>
          <w:i/>
          <w:iCs/>
          <w:color w:val="1B1C1D"/>
          <w:sz w:val="24"/>
          <w:szCs w:val="24"/>
        </w:rPr>
        <w:t>Communication Quarterly</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37</w:t>
      </w:r>
      <w:r w:rsidRPr="0070000B">
        <w:rPr>
          <w:rFonts w:ascii="Times New Roman" w:eastAsia="Times New Roman" w:hAnsi="Times New Roman" w:cs="Times New Roman"/>
          <w:color w:val="1B1C1D"/>
          <w:sz w:val="24"/>
          <w:szCs w:val="24"/>
        </w:rPr>
        <w:t>(1), 69-72.</w:t>
      </w:r>
    </w:p>
    <w:p w14:paraId="0CE49EB8"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575B5F"/>
          <w:sz w:val="24"/>
          <w:szCs w:val="24"/>
          <w:vertAlign w:val="superscript"/>
        </w:rPr>
      </w:pPr>
      <w:r w:rsidRPr="0070000B">
        <w:rPr>
          <w:rFonts w:ascii="Times New Roman" w:eastAsia="Times New Roman" w:hAnsi="Times New Roman" w:cs="Times New Roman"/>
          <w:color w:val="1B1C1D"/>
          <w:sz w:val="24"/>
          <w:szCs w:val="24"/>
        </w:rPr>
        <w:t xml:space="preserve">McCroskey, J. C., &amp; Richmond, V. P. (1987). Willingness to communicate. In J. C. McCroskey &amp; J. A. Daly (Eds.), </w:t>
      </w:r>
      <w:r w:rsidRPr="0070000B">
        <w:rPr>
          <w:rFonts w:ascii="Times New Roman" w:eastAsia="Times New Roman" w:hAnsi="Times New Roman" w:cs="Times New Roman"/>
          <w:i/>
          <w:iCs/>
          <w:color w:val="1B1C1D"/>
          <w:sz w:val="24"/>
          <w:szCs w:val="24"/>
        </w:rPr>
        <w:t>Personality and interpersonal communication</w:t>
      </w:r>
      <w:r w:rsidRPr="0070000B">
        <w:rPr>
          <w:rFonts w:ascii="Times New Roman" w:eastAsia="Times New Roman" w:hAnsi="Times New Roman" w:cs="Times New Roman"/>
          <w:color w:val="1B1C1D"/>
          <w:sz w:val="24"/>
          <w:szCs w:val="24"/>
        </w:rPr>
        <w:t xml:space="preserve"> (129-156). Sage Publications.</w:t>
      </w:r>
    </w:p>
    <w:p w14:paraId="39A9AFD8" w14:textId="77777777" w:rsidR="00885C4A" w:rsidRPr="0070000B" w:rsidRDefault="00885C4A" w:rsidP="00885C4A">
      <w:pPr>
        <w:spacing w:before="100" w:beforeAutospacing="1" w:after="0" w:line="360" w:lineRule="auto"/>
        <w:ind w:left="1440" w:hanging="144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Mehrabian, A. (2007). </w:t>
      </w:r>
      <w:r w:rsidRPr="0070000B">
        <w:rPr>
          <w:rFonts w:ascii="Times New Roman" w:eastAsia="Times New Roman" w:hAnsi="Times New Roman" w:cs="Times New Roman"/>
          <w:i/>
          <w:iCs/>
          <w:color w:val="1B1C1D"/>
          <w:sz w:val="24"/>
          <w:szCs w:val="24"/>
        </w:rPr>
        <w:t>Nonverbal communication</w:t>
      </w:r>
      <w:r w:rsidRPr="0070000B">
        <w:rPr>
          <w:rFonts w:ascii="Times New Roman" w:eastAsia="Times New Roman" w:hAnsi="Times New Roman" w:cs="Times New Roman"/>
          <w:color w:val="1B1C1D"/>
          <w:sz w:val="24"/>
          <w:szCs w:val="24"/>
        </w:rPr>
        <w:t>. Transaction Publishers.</w:t>
      </w:r>
    </w:p>
    <w:p w14:paraId="3DCBB162"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Navani, Y., Kumar, A., &amp; Singh, R. (2015). Employability skills required for agricultural graduates as perceived by employers. </w:t>
      </w:r>
      <w:r w:rsidRPr="0070000B">
        <w:rPr>
          <w:rFonts w:ascii="Times New Roman" w:eastAsia="Times New Roman" w:hAnsi="Times New Roman" w:cs="Times New Roman"/>
          <w:i/>
          <w:iCs/>
          <w:color w:val="1B1C1D"/>
          <w:sz w:val="24"/>
          <w:szCs w:val="24"/>
        </w:rPr>
        <w:t>Indian Journal of Agricultural Sciences</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85</w:t>
      </w:r>
      <w:r w:rsidRPr="0070000B">
        <w:rPr>
          <w:rFonts w:ascii="Times New Roman" w:eastAsia="Times New Roman" w:hAnsi="Times New Roman" w:cs="Times New Roman"/>
          <w:color w:val="1B1C1D"/>
          <w:sz w:val="24"/>
          <w:szCs w:val="24"/>
        </w:rPr>
        <w:t>(11), 1475-1481.</w:t>
      </w:r>
    </w:p>
    <w:p w14:paraId="4A60D41E" w14:textId="77777777" w:rsidR="00885C4A" w:rsidRPr="0070000B" w:rsidRDefault="00885C4A" w:rsidP="00885C4A">
      <w:pPr>
        <w:spacing w:after="0" w:line="360" w:lineRule="auto"/>
        <w:ind w:left="630" w:hanging="710"/>
        <w:jc w:val="both"/>
        <w:rPr>
          <w:rFonts w:ascii="Times New Roman" w:hAnsi="Times New Roman" w:cs="Times New Roman"/>
          <w:sz w:val="24"/>
          <w:szCs w:val="24"/>
        </w:rPr>
      </w:pPr>
      <w:r w:rsidRPr="0070000B">
        <w:rPr>
          <w:rFonts w:ascii="Times New Roman" w:hAnsi="Times New Roman" w:cs="Times New Roman"/>
          <w:sz w:val="24"/>
          <w:szCs w:val="24"/>
        </w:rPr>
        <w:lastRenderedPageBreak/>
        <w:t xml:space="preserve">Patil, S. S. and Kokate, K.D. (2011). Training need assessment of subject matter specialists of KrishiVigyanKendras. </w:t>
      </w:r>
      <w:r w:rsidRPr="0070000B">
        <w:rPr>
          <w:rFonts w:ascii="Times New Roman" w:hAnsi="Times New Roman" w:cs="Times New Roman"/>
          <w:i/>
          <w:sz w:val="24"/>
          <w:szCs w:val="24"/>
        </w:rPr>
        <w:t>Indian Research J Journal of Extension Education,</w:t>
      </w:r>
      <w:r w:rsidRPr="0070000B">
        <w:rPr>
          <w:rFonts w:ascii="Times New Roman" w:hAnsi="Times New Roman" w:cs="Times New Roman"/>
          <w:sz w:val="24"/>
          <w:szCs w:val="24"/>
        </w:rPr>
        <w:t xml:space="preserve"> 11 (1), pp. 18-22</w:t>
      </w:r>
    </w:p>
    <w:p w14:paraId="7FB662BA"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hAnsi="Times New Roman" w:cs="Times New Roman"/>
          <w:color w:val="222222"/>
          <w:sz w:val="24"/>
          <w:szCs w:val="24"/>
          <w:shd w:val="clear" w:color="auto" w:fill="FFFFFF"/>
        </w:rPr>
        <w:t>Rapee, R. M., &amp; Heimberg, R. G. (1997). A cognitive-behavioral model of anxiety in social phobia. </w:t>
      </w:r>
      <w:r w:rsidRPr="0070000B">
        <w:rPr>
          <w:rFonts w:ascii="Times New Roman" w:hAnsi="Times New Roman" w:cs="Times New Roman"/>
          <w:i/>
          <w:iCs/>
          <w:color w:val="222222"/>
          <w:sz w:val="24"/>
          <w:szCs w:val="24"/>
          <w:shd w:val="clear" w:color="auto" w:fill="FFFFFF"/>
        </w:rPr>
        <w:t>Behaviour research and therapy</w:t>
      </w:r>
      <w:r w:rsidRPr="0070000B">
        <w:rPr>
          <w:rFonts w:ascii="Times New Roman" w:hAnsi="Times New Roman" w:cs="Times New Roman"/>
          <w:color w:val="222222"/>
          <w:sz w:val="24"/>
          <w:szCs w:val="24"/>
          <w:shd w:val="clear" w:color="auto" w:fill="FFFFFF"/>
        </w:rPr>
        <w:t>, </w:t>
      </w:r>
      <w:r w:rsidRPr="0070000B">
        <w:rPr>
          <w:rFonts w:ascii="Times New Roman" w:hAnsi="Times New Roman" w:cs="Times New Roman"/>
          <w:i/>
          <w:iCs/>
          <w:color w:val="222222"/>
          <w:sz w:val="24"/>
          <w:szCs w:val="24"/>
          <w:shd w:val="clear" w:color="auto" w:fill="FFFFFF"/>
        </w:rPr>
        <w:t>35</w:t>
      </w:r>
      <w:r w:rsidRPr="0070000B">
        <w:rPr>
          <w:rFonts w:ascii="Times New Roman" w:hAnsi="Times New Roman" w:cs="Times New Roman"/>
          <w:color w:val="222222"/>
          <w:sz w:val="24"/>
          <w:szCs w:val="24"/>
          <w:shd w:val="clear" w:color="auto" w:fill="FFFFFF"/>
        </w:rPr>
        <w:t>(8), 741-756.</w:t>
      </w:r>
    </w:p>
    <w:p w14:paraId="12F685FD" w14:textId="77777777" w:rsidR="00885C4A" w:rsidRDefault="00885C4A" w:rsidP="00885C4A">
      <w:pPr>
        <w:ind w:left="720" w:hanging="720"/>
        <w:jc w:val="both"/>
        <w:rPr>
          <w:rFonts w:ascii="Times New Roman" w:hAnsi="Times New Roman" w:cs="Times New Roman"/>
          <w:sz w:val="24"/>
          <w:szCs w:val="24"/>
        </w:rPr>
      </w:pPr>
      <w:r w:rsidRPr="00E01699">
        <w:rPr>
          <w:rFonts w:ascii="Times New Roman" w:hAnsi="Times New Roman" w:cs="Times New Roman"/>
          <w:sz w:val="24"/>
          <w:szCs w:val="24"/>
        </w:rPr>
        <w:t>Resnik, P., Dewaele, J. M., Li, C., &amp; Botes, E. (2025). The role of positive and negative emotions in foreign language learning: A research agenda. </w:t>
      </w:r>
      <w:r w:rsidRPr="00E01699">
        <w:rPr>
          <w:rFonts w:ascii="Times New Roman" w:hAnsi="Times New Roman" w:cs="Times New Roman"/>
          <w:i/>
          <w:iCs/>
          <w:sz w:val="24"/>
          <w:szCs w:val="24"/>
        </w:rPr>
        <w:t>Language Teaching</w:t>
      </w:r>
      <w:r w:rsidRPr="00E01699">
        <w:rPr>
          <w:rFonts w:ascii="Times New Roman" w:hAnsi="Times New Roman" w:cs="Times New Roman"/>
          <w:sz w:val="24"/>
          <w:szCs w:val="24"/>
        </w:rPr>
        <w:t>, 1-26.</w:t>
      </w:r>
      <w:r w:rsidRPr="00E01699">
        <w:t xml:space="preserve"> </w:t>
      </w:r>
      <w:hyperlink r:id="rId13" w:tgtFrame="_blank" w:history="1">
        <w:r w:rsidRPr="00E01699">
          <w:rPr>
            <w:rStyle w:val="Hyperlink"/>
            <w:rFonts w:ascii="Times New Roman" w:hAnsi="Times New Roman" w:cs="Times New Roman"/>
            <w:sz w:val="24"/>
            <w:szCs w:val="24"/>
          </w:rPr>
          <w:t>https://doi.org/10.1017/S0261444825101031</w:t>
        </w:r>
      </w:hyperlink>
    </w:p>
    <w:p w14:paraId="167EFD86"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Richmond, V. P., &amp; McCroskey, J. C. (1995). </w:t>
      </w:r>
      <w:r w:rsidRPr="0070000B">
        <w:rPr>
          <w:rFonts w:ascii="Times New Roman" w:eastAsia="Times New Roman" w:hAnsi="Times New Roman" w:cs="Times New Roman"/>
          <w:i/>
          <w:iCs/>
          <w:color w:val="1B1C1D"/>
          <w:sz w:val="24"/>
          <w:szCs w:val="24"/>
        </w:rPr>
        <w:t>Communication apprehension, avoidance, and effectiveness</w:t>
      </w:r>
      <w:r w:rsidRPr="0070000B">
        <w:rPr>
          <w:rFonts w:ascii="Times New Roman" w:eastAsia="Times New Roman" w:hAnsi="Times New Roman" w:cs="Times New Roman"/>
          <w:color w:val="1B1C1D"/>
          <w:sz w:val="24"/>
          <w:szCs w:val="24"/>
        </w:rPr>
        <w:t xml:space="preserve">. </w:t>
      </w:r>
    </w:p>
    <w:p w14:paraId="20D0C384" w14:textId="77777777" w:rsidR="00885C4A" w:rsidRPr="0070000B" w:rsidRDefault="00885C4A" w:rsidP="00885C4A">
      <w:pPr>
        <w:spacing w:before="100" w:beforeAutospacing="1" w:after="0" w:line="360" w:lineRule="auto"/>
        <w:ind w:left="720" w:hanging="720"/>
        <w:jc w:val="both"/>
        <w:rPr>
          <w:rFonts w:ascii="Times New Roman" w:hAnsi="Times New Roman" w:cs="Times New Roman"/>
          <w:sz w:val="24"/>
          <w:szCs w:val="24"/>
        </w:rPr>
      </w:pPr>
      <w:r w:rsidRPr="0070000B">
        <w:rPr>
          <w:rStyle w:val="Strong"/>
          <w:rFonts w:ascii="Times New Roman" w:hAnsi="Times New Roman" w:cs="Times New Roman"/>
          <w:b w:val="0"/>
          <w:bCs w:val="0"/>
          <w:sz w:val="24"/>
          <w:szCs w:val="24"/>
        </w:rPr>
        <w:t>Rubin, R. B., Graham, K., &amp; Mignerey, J. T. (1990). Communication apprehension and college student success.</w:t>
      </w:r>
      <w:r w:rsidRPr="0070000B">
        <w:rPr>
          <w:rFonts w:ascii="Times New Roman" w:hAnsi="Times New Roman" w:cs="Times New Roman"/>
          <w:sz w:val="24"/>
          <w:szCs w:val="24"/>
        </w:rPr>
        <w:t xml:space="preserve"> </w:t>
      </w:r>
      <w:r w:rsidRPr="0070000B">
        <w:rPr>
          <w:rStyle w:val="Emphasis"/>
          <w:rFonts w:ascii="Times New Roman" w:hAnsi="Times New Roman" w:cs="Times New Roman"/>
          <w:sz w:val="24"/>
          <w:szCs w:val="24"/>
        </w:rPr>
        <w:t>Communication Education</w:t>
      </w:r>
      <w:r w:rsidRPr="0070000B">
        <w:rPr>
          <w:rFonts w:ascii="Times New Roman" w:hAnsi="Times New Roman" w:cs="Times New Roman"/>
          <w:sz w:val="24"/>
          <w:szCs w:val="24"/>
        </w:rPr>
        <w:t xml:space="preserve">, </w:t>
      </w:r>
      <w:r w:rsidRPr="0070000B">
        <w:rPr>
          <w:rStyle w:val="Emphasis"/>
          <w:rFonts w:ascii="Times New Roman" w:hAnsi="Times New Roman" w:cs="Times New Roman"/>
          <w:i w:val="0"/>
          <w:iCs w:val="0"/>
          <w:sz w:val="24"/>
          <w:szCs w:val="24"/>
        </w:rPr>
        <w:t>39</w:t>
      </w:r>
      <w:r w:rsidRPr="0070000B">
        <w:rPr>
          <w:rFonts w:ascii="Times New Roman" w:hAnsi="Times New Roman" w:cs="Times New Roman"/>
          <w:sz w:val="24"/>
          <w:szCs w:val="24"/>
        </w:rPr>
        <w:t>(3), 298-306</w:t>
      </w:r>
    </w:p>
    <w:p w14:paraId="03E95D86" w14:textId="77777777" w:rsidR="00885C4A" w:rsidRPr="0070000B" w:rsidRDefault="00885C4A" w:rsidP="00885C4A">
      <w:pPr>
        <w:spacing w:before="100" w:beforeAutospacing="1" w:after="0" w:line="360" w:lineRule="auto"/>
        <w:ind w:left="1440" w:hanging="144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Segrin, C., &amp; Flora, J. (2018). Family communication. Routledge.</w:t>
      </w:r>
    </w:p>
    <w:p w14:paraId="2AB5847F"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Singh, R., Sharma, P., &amp; Kumar, A. (2020). Communication skill gaps among postgraduate agricultural students: An empirical study. </w:t>
      </w:r>
      <w:r w:rsidRPr="0070000B">
        <w:rPr>
          <w:rFonts w:ascii="Times New Roman" w:eastAsia="Times New Roman" w:hAnsi="Times New Roman" w:cs="Times New Roman"/>
          <w:i/>
          <w:iCs/>
          <w:color w:val="1B1C1D"/>
          <w:sz w:val="24"/>
          <w:szCs w:val="24"/>
        </w:rPr>
        <w:t>International Journal of Agricultural Research</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15</w:t>
      </w:r>
      <w:r w:rsidRPr="0070000B">
        <w:rPr>
          <w:rFonts w:ascii="Times New Roman" w:eastAsia="Times New Roman" w:hAnsi="Times New Roman" w:cs="Times New Roman"/>
          <w:color w:val="1B1C1D"/>
          <w:sz w:val="24"/>
          <w:szCs w:val="24"/>
        </w:rPr>
        <w:t>(1), 78-92.</w:t>
      </w:r>
    </w:p>
    <w:p w14:paraId="10A8B310"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Spielberger, C. D., Gorsuch, R. L., Lushene, R., Vagg, P. R., &amp; Jacobs, G. A. (1983). Manual for the state-trait anxiety inventory STAI (form Y) (“self-evaluation questionnaire”) Consulting Psychologists Press. </w:t>
      </w:r>
      <w:r w:rsidRPr="0070000B">
        <w:rPr>
          <w:rFonts w:ascii="Times New Roman" w:eastAsia="Times New Roman" w:hAnsi="Times New Roman" w:cs="Times New Roman"/>
          <w:i/>
          <w:iCs/>
          <w:color w:val="1B1C1D"/>
          <w:sz w:val="24"/>
          <w:szCs w:val="24"/>
        </w:rPr>
        <w:t>Palo Alto, CA, USA</w:t>
      </w:r>
      <w:r w:rsidRPr="0070000B">
        <w:rPr>
          <w:rFonts w:ascii="Times New Roman" w:eastAsia="Times New Roman" w:hAnsi="Times New Roman" w:cs="Times New Roman"/>
          <w:color w:val="1B1C1D"/>
          <w:sz w:val="24"/>
          <w:szCs w:val="24"/>
        </w:rPr>
        <w:t>, 1-36.</w:t>
      </w:r>
    </w:p>
    <w:p w14:paraId="32EA25C2"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Watson, D., &amp; Friend, R. (1969). Measurement of social-evaluative anxiety. </w:t>
      </w:r>
      <w:r w:rsidRPr="0070000B">
        <w:rPr>
          <w:rFonts w:ascii="Times New Roman" w:eastAsia="Times New Roman" w:hAnsi="Times New Roman" w:cs="Times New Roman"/>
          <w:i/>
          <w:iCs/>
          <w:color w:val="1B1C1D"/>
          <w:sz w:val="24"/>
          <w:szCs w:val="24"/>
        </w:rPr>
        <w:t>Journal of Consulting and Clinical Psychology</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33</w:t>
      </w:r>
      <w:r w:rsidRPr="0070000B">
        <w:rPr>
          <w:rFonts w:ascii="Times New Roman" w:eastAsia="Times New Roman" w:hAnsi="Times New Roman" w:cs="Times New Roman"/>
          <w:color w:val="1B1C1D"/>
          <w:sz w:val="24"/>
          <w:szCs w:val="24"/>
        </w:rPr>
        <w:t>(4), 448-457</w:t>
      </w:r>
    </w:p>
    <w:p w14:paraId="5BB75F1D" w14:textId="77777777" w:rsidR="00885C4A" w:rsidRPr="0070000B" w:rsidRDefault="00885C4A" w:rsidP="00885C4A">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Yadav, R., &amp; Kumar, A. (2019). Communication skills and employability of agricultural graduates. </w:t>
      </w:r>
      <w:r w:rsidRPr="0070000B">
        <w:rPr>
          <w:rFonts w:ascii="Times New Roman" w:eastAsia="Times New Roman" w:hAnsi="Times New Roman" w:cs="Times New Roman"/>
          <w:i/>
          <w:iCs/>
          <w:color w:val="1B1C1D"/>
          <w:sz w:val="24"/>
          <w:szCs w:val="24"/>
        </w:rPr>
        <w:t>Journal of Community Mobilization and Sustainable Development</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14</w:t>
      </w:r>
      <w:r w:rsidRPr="0070000B">
        <w:rPr>
          <w:rFonts w:ascii="Times New Roman" w:eastAsia="Times New Roman" w:hAnsi="Times New Roman" w:cs="Times New Roman"/>
          <w:color w:val="1B1C1D"/>
          <w:sz w:val="24"/>
          <w:szCs w:val="24"/>
        </w:rPr>
        <w:t>(2), 345-351.</w:t>
      </w:r>
    </w:p>
    <w:p w14:paraId="61E89E40" w14:textId="77777777" w:rsidR="004A7948" w:rsidRPr="00E01699" w:rsidRDefault="004A7948" w:rsidP="00D21472">
      <w:pPr>
        <w:rPr>
          <w:rFonts w:ascii="Times New Roman" w:hAnsi="Times New Roman" w:cs="Times New Roman"/>
          <w:sz w:val="24"/>
          <w:szCs w:val="24"/>
        </w:rPr>
      </w:pPr>
    </w:p>
    <w:sectPr w:rsidR="004A7948" w:rsidRPr="00E01699" w:rsidSect="00AF4F2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6BB0" w14:textId="77777777" w:rsidR="008657F0" w:rsidRDefault="008657F0" w:rsidP="00C20B74">
      <w:pPr>
        <w:spacing w:after="0" w:line="240" w:lineRule="auto"/>
      </w:pPr>
      <w:r>
        <w:separator/>
      </w:r>
    </w:p>
  </w:endnote>
  <w:endnote w:type="continuationSeparator" w:id="0">
    <w:p w14:paraId="0EAE9E5A" w14:textId="77777777" w:rsidR="008657F0" w:rsidRDefault="008657F0" w:rsidP="00C2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D89F" w14:textId="77777777" w:rsidR="00356E2F" w:rsidRDefault="00356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5EE4" w14:textId="77777777" w:rsidR="00356E2F" w:rsidRDefault="00356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C30B" w14:textId="77777777" w:rsidR="00356E2F" w:rsidRDefault="00356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C84E" w14:textId="77777777" w:rsidR="008657F0" w:rsidRDefault="008657F0" w:rsidP="00C20B74">
      <w:pPr>
        <w:spacing w:after="0" w:line="240" w:lineRule="auto"/>
      </w:pPr>
      <w:r>
        <w:separator/>
      </w:r>
    </w:p>
  </w:footnote>
  <w:footnote w:type="continuationSeparator" w:id="0">
    <w:p w14:paraId="083141AB" w14:textId="77777777" w:rsidR="008657F0" w:rsidRDefault="008657F0" w:rsidP="00C20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5ADC" w14:textId="638EC31E" w:rsidR="00356E2F" w:rsidRDefault="008657F0">
    <w:pPr>
      <w:pStyle w:val="Header"/>
    </w:pPr>
    <w:r>
      <w:rPr>
        <w:noProof/>
      </w:rPr>
      <w:pict w14:anchorId="0C75A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1110" o:spid="_x0000_s1027"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2A4E" w14:textId="07B2ABFC" w:rsidR="00356E2F" w:rsidRDefault="008657F0">
    <w:pPr>
      <w:pStyle w:val="Header"/>
    </w:pPr>
    <w:r>
      <w:rPr>
        <w:noProof/>
      </w:rPr>
      <w:pict w14:anchorId="13FD3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1111" o:spid="_x0000_s1026"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FA5F" w14:textId="7A3546A4" w:rsidR="00356E2F" w:rsidRDefault="008657F0">
    <w:pPr>
      <w:pStyle w:val="Header"/>
    </w:pPr>
    <w:r>
      <w:rPr>
        <w:noProof/>
      </w:rPr>
      <w:pict w14:anchorId="10CB0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1109" o:spid="_x0000_s1025"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9CB"/>
    <w:multiLevelType w:val="hybridMultilevel"/>
    <w:tmpl w:val="27A2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60001"/>
    <w:multiLevelType w:val="multilevel"/>
    <w:tmpl w:val="B86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F027B"/>
    <w:multiLevelType w:val="multilevel"/>
    <w:tmpl w:val="CB2C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F24A3"/>
    <w:multiLevelType w:val="hybridMultilevel"/>
    <w:tmpl w:val="5A3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198C"/>
    <w:multiLevelType w:val="multilevel"/>
    <w:tmpl w:val="AF9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A265B"/>
    <w:multiLevelType w:val="hybridMultilevel"/>
    <w:tmpl w:val="33C8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67B8C"/>
    <w:multiLevelType w:val="hybridMultilevel"/>
    <w:tmpl w:val="1F1C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D0289"/>
    <w:multiLevelType w:val="multilevel"/>
    <w:tmpl w:val="F3E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B4D93"/>
    <w:multiLevelType w:val="hybridMultilevel"/>
    <w:tmpl w:val="8B8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153E9"/>
    <w:multiLevelType w:val="multilevel"/>
    <w:tmpl w:val="C4C0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911D4"/>
    <w:multiLevelType w:val="multilevel"/>
    <w:tmpl w:val="45A2A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52B72"/>
    <w:multiLevelType w:val="hybridMultilevel"/>
    <w:tmpl w:val="F544F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032AA"/>
    <w:multiLevelType w:val="multilevel"/>
    <w:tmpl w:val="15BE6992"/>
    <w:lvl w:ilvl="0">
      <w:start w:val="1"/>
      <w:numFmt w:val="decimal"/>
      <w:lvlText w:val="%1."/>
      <w:lvlJc w:val="left"/>
      <w:pPr>
        <w:tabs>
          <w:tab w:val="num" w:pos="720"/>
        </w:tabs>
        <w:ind w:left="720" w:hanging="360"/>
      </w:pPr>
    </w:lvl>
    <w:lvl w:ilvl="1">
      <w:numFmt w:val="bullet"/>
      <w:lvlText w:val="•"/>
      <w:lvlJc w:val="left"/>
      <w:pPr>
        <w:ind w:left="1800" w:hanging="72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8397C"/>
    <w:multiLevelType w:val="multilevel"/>
    <w:tmpl w:val="3698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C76E3"/>
    <w:multiLevelType w:val="multilevel"/>
    <w:tmpl w:val="714C0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9C6934"/>
    <w:multiLevelType w:val="multilevel"/>
    <w:tmpl w:val="9F4CC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F664D"/>
    <w:multiLevelType w:val="multilevel"/>
    <w:tmpl w:val="B03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763FB"/>
    <w:multiLevelType w:val="multilevel"/>
    <w:tmpl w:val="AF0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566A4"/>
    <w:multiLevelType w:val="multilevel"/>
    <w:tmpl w:val="734471E0"/>
    <w:lvl w:ilvl="0">
      <w:start w:val="1"/>
      <w:numFmt w:val="bullet"/>
      <w:lvlText w:val="•"/>
      <w:lvlJc w:val="left"/>
      <w:pPr>
        <w:tabs>
          <w:tab w:val="num" w:pos="360"/>
        </w:tabs>
        <w:ind w:left="360" w:hanging="360"/>
      </w:pPr>
      <w:rPr>
        <w:rFonts w:ascii="Times New Roman" w:hAnsi="Times New Roman" w:hint="default"/>
      </w:rPr>
    </w:lvl>
    <w:lvl w:ilvl="1">
      <w:numFmt w:val="bullet"/>
      <w:lvlText w:val="•"/>
      <w:lvlJc w:val="left"/>
      <w:pPr>
        <w:ind w:left="1440" w:hanging="720"/>
      </w:pPr>
      <w:rPr>
        <w:rFonts w:ascii="Times New Roman" w:eastAsia="Times New Roman" w:hAnsi="Times New Roman"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62709060">
    <w:abstractNumId w:val="12"/>
  </w:num>
  <w:num w:numId="2" w16cid:durableId="1749156759">
    <w:abstractNumId w:val="8"/>
  </w:num>
  <w:num w:numId="3" w16cid:durableId="378433943">
    <w:abstractNumId w:val="13"/>
  </w:num>
  <w:num w:numId="4" w16cid:durableId="954288810">
    <w:abstractNumId w:val="17"/>
  </w:num>
  <w:num w:numId="5" w16cid:durableId="1059784299">
    <w:abstractNumId w:val="0"/>
  </w:num>
  <w:num w:numId="6" w16cid:durableId="1958676458">
    <w:abstractNumId w:val="14"/>
  </w:num>
  <w:num w:numId="7" w16cid:durableId="125047786">
    <w:abstractNumId w:val="10"/>
  </w:num>
  <w:num w:numId="8" w16cid:durableId="645621044">
    <w:abstractNumId w:val="6"/>
  </w:num>
  <w:num w:numId="9" w16cid:durableId="1820733557">
    <w:abstractNumId w:val="15"/>
  </w:num>
  <w:num w:numId="10" w16cid:durableId="918059777">
    <w:abstractNumId w:val="11"/>
  </w:num>
  <w:num w:numId="11" w16cid:durableId="1918589116">
    <w:abstractNumId w:val="4"/>
  </w:num>
  <w:num w:numId="12" w16cid:durableId="1469468805">
    <w:abstractNumId w:val="5"/>
  </w:num>
  <w:num w:numId="13" w16cid:durableId="1205097659">
    <w:abstractNumId w:val="2"/>
  </w:num>
  <w:num w:numId="14" w16cid:durableId="1374580754">
    <w:abstractNumId w:val="1"/>
  </w:num>
  <w:num w:numId="15" w16cid:durableId="952440295">
    <w:abstractNumId w:val="7"/>
  </w:num>
  <w:num w:numId="16" w16cid:durableId="1980841742">
    <w:abstractNumId w:val="16"/>
  </w:num>
  <w:num w:numId="17" w16cid:durableId="725762597">
    <w:abstractNumId w:val="3"/>
  </w:num>
  <w:num w:numId="18" w16cid:durableId="597711767">
    <w:abstractNumId w:val="18"/>
  </w:num>
  <w:num w:numId="19" w16cid:durableId="45495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EE1"/>
    <w:rsid w:val="000619C8"/>
    <w:rsid w:val="000773E2"/>
    <w:rsid w:val="0008312F"/>
    <w:rsid w:val="00096BAD"/>
    <w:rsid w:val="000B161C"/>
    <w:rsid w:val="000E768A"/>
    <w:rsid w:val="00104855"/>
    <w:rsid w:val="001846E1"/>
    <w:rsid w:val="001A5EB6"/>
    <w:rsid w:val="001B134E"/>
    <w:rsid w:val="001B675C"/>
    <w:rsid w:val="001E1005"/>
    <w:rsid w:val="00222F37"/>
    <w:rsid w:val="00222FE2"/>
    <w:rsid w:val="00270572"/>
    <w:rsid w:val="002774DF"/>
    <w:rsid w:val="002948BB"/>
    <w:rsid w:val="00301EB7"/>
    <w:rsid w:val="00332E8C"/>
    <w:rsid w:val="0034158C"/>
    <w:rsid w:val="00356E2F"/>
    <w:rsid w:val="003807B2"/>
    <w:rsid w:val="003C4270"/>
    <w:rsid w:val="003F7601"/>
    <w:rsid w:val="004146BC"/>
    <w:rsid w:val="00432D74"/>
    <w:rsid w:val="0044687B"/>
    <w:rsid w:val="00471569"/>
    <w:rsid w:val="004A7948"/>
    <w:rsid w:val="004C66A4"/>
    <w:rsid w:val="004F0EE1"/>
    <w:rsid w:val="00544B52"/>
    <w:rsid w:val="00561CC4"/>
    <w:rsid w:val="005823E2"/>
    <w:rsid w:val="005916BB"/>
    <w:rsid w:val="005946E7"/>
    <w:rsid w:val="0059601B"/>
    <w:rsid w:val="005B1027"/>
    <w:rsid w:val="005C771C"/>
    <w:rsid w:val="00653A8F"/>
    <w:rsid w:val="00662978"/>
    <w:rsid w:val="00672654"/>
    <w:rsid w:val="00675B4B"/>
    <w:rsid w:val="006875D9"/>
    <w:rsid w:val="00687A4F"/>
    <w:rsid w:val="006B114F"/>
    <w:rsid w:val="006B13E2"/>
    <w:rsid w:val="006C44F4"/>
    <w:rsid w:val="006E6FB9"/>
    <w:rsid w:val="006F4BC4"/>
    <w:rsid w:val="006F7E37"/>
    <w:rsid w:val="0070000B"/>
    <w:rsid w:val="00713216"/>
    <w:rsid w:val="00727EA9"/>
    <w:rsid w:val="00751E54"/>
    <w:rsid w:val="00764E28"/>
    <w:rsid w:val="007821E8"/>
    <w:rsid w:val="00782560"/>
    <w:rsid w:val="00792214"/>
    <w:rsid w:val="007A7F5B"/>
    <w:rsid w:val="008011AC"/>
    <w:rsid w:val="00815822"/>
    <w:rsid w:val="00862725"/>
    <w:rsid w:val="008657F0"/>
    <w:rsid w:val="00885C4A"/>
    <w:rsid w:val="008A4B53"/>
    <w:rsid w:val="008B0ED3"/>
    <w:rsid w:val="008B1ADA"/>
    <w:rsid w:val="008D480A"/>
    <w:rsid w:val="009002FC"/>
    <w:rsid w:val="00916003"/>
    <w:rsid w:val="009514BF"/>
    <w:rsid w:val="009A2C8E"/>
    <w:rsid w:val="009D6799"/>
    <w:rsid w:val="009F54ED"/>
    <w:rsid w:val="00A01431"/>
    <w:rsid w:val="00A03964"/>
    <w:rsid w:val="00A04F52"/>
    <w:rsid w:val="00A1312F"/>
    <w:rsid w:val="00A14835"/>
    <w:rsid w:val="00A2358C"/>
    <w:rsid w:val="00A3633F"/>
    <w:rsid w:val="00A450BE"/>
    <w:rsid w:val="00A52C1F"/>
    <w:rsid w:val="00A83294"/>
    <w:rsid w:val="00AA3F7A"/>
    <w:rsid w:val="00AC3498"/>
    <w:rsid w:val="00AD3294"/>
    <w:rsid w:val="00AF4F24"/>
    <w:rsid w:val="00B31329"/>
    <w:rsid w:val="00B75285"/>
    <w:rsid w:val="00B92D22"/>
    <w:rsid w:val="00B93A4A"/>
    <w:rsid w:val="00BB7921"/>
    <w:rsid w:val="00C01859"/>
    <w:rsid w:val="00C20B74"/>
    <w:rsid w:val="00CC4857"/>
    <w:rsid w:val="00D028E1"/>
    <w:rsid w:val="00D16473"/>
    <w:rsid w:val="00D21472"/>
    <w:rsid w:val="00D30B05"/>
    <w:rsid w:val="00D44157"/>
    <w:rsid w:val="00D51E16"/>
    <w:rsid w:val="00D97DC7"/>
    <w:rsid w:val="00DA206E"/>
    <w:rsid w:val="00DE285A"/>
    <w:rsid w:val="00DE3E3A"/>
    <w:rsid w:val="00E01699"/>
    <w:rsid w:val="00E46BB1"/>
    <w:rsid w:val="00E667C6"/>
    <w:rsid w:val="00E73234"/>
    <w:rsid w:val="00E8577E"/>
    <w:rsid w:val="00E913C4"/>
    <w:rsid w:val="00EA6496"/>
    <w:rsid w:val="00EE04B7"/>
    <w:rsid w:val="00EE5931"/>
    <w:rsid w:val="00EF0D9C"/>
    <w:rsid w:val="00F20EB1"/>
    <w:rsid w:val="00F41F8F"/>
    <w:rsid w:val="00F705E3"/>
    <w:rsid w:val="00F77474"/>
    <w:rsid w:val="00F83E29"/>
    <w:rsid w:val="00FB15A1"/>
    <w:rsid w:val="00FC6C06"/>
    <w:rsid w:val="00FD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4144A0"/>
  <w15:docId w15:val="{C7F80811-87C2-410E-8C65-24FE1BD7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EE1"/>
    <w:pPr>
      <w:spacing w:after="160" w:line="259" w:lineRule="auto"/>
      <w:ind w:left="720"/>
      <w:contextualSpacing/>
    </w:pPr>
    <w:rPr>
      <w:lang w:val="en-IN"/>
    </w:rPr>
  </w:style>
  <w:style w:type="paragraph" w:styleId="NormalWeb">
    <w:name w:val="Normal (Web)"/>
    <w:basedOn w:val="Normal"/>
    <w:uiPriority w:val="99"/>
    <w:unhideWhenUsed/>
    <w:rsid w:val="004F0EE1"/>
    <w:pPr>
      <w:spacing w:after="160" w:line="259" w:lineRule="auto"/>
    </w:pPr>
    <w:rPr>
      <w:rFonts w:ascii="Times New Roman" w:hAnsi="Times New Roman" w:cs="Times New Roman"/>
      <w:kern w:val="2"/>
      <w:sz w:val="24"/>
      <w:szCs w:val="24"/>
    </w:rPr>
  </w:style>
  <w:style w:type="table" w:customStyle="1" w:styleId="TableGrid1">
    <w:name w:val="Table Grid1"/>
    <w:basedOn w:val="TableNormal"/>
    <w:uiPriority w:val="39"/>
    <w:rsid w:val="00653A8F"/>
    <w:pPr>
      <w:spacing w:after="0" w:line="240" w:lineRule="auto"/>
    </w:pPr>
    <w:rPr>
      <w:rFonts w:eastAsiaTheme="minorEastAsi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3A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53A8F"/>
    <w:pPr>
      <w:autoSpaceDE w:val="0"/>
      <w:autoSpaceDN w:val="0"/>
      <w:adjustRightInd w:val="0"/>
      <w:spacing w:after="0" w:line="240" w:lineRule="auto"/>
    </w:pPr>
    <w:rPr>
      <w:rFonts w:ascii="Times New Roman" w:eastAsiaTheme="minorEastAsia"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653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8F"/>
    <w:rPr>
      <w:rFonts w:ascii="Tahoma" w:hAnsi="Tahoma" w:cs="Tahoma"/>
      <w:sz w:val="16"/>
      <w:szCs w:val="16"/>
    </w:rPr>
  </w:style>
  <w:style w:type="character" w:styleId="Strong">
    <w:name w:val="Strong"/>
    <w:basedOn w:val="DefaultParagraphFont"/>
    <w:uiPriority w:val="22"/>
    <w:qFormat/>
    <w:rsid w:val="00A03964"/>
    <w:rPr>
      <w:b/>
      <w:bCs/>
    </w:rPr>
  </w:style>
  <w:style w:type="character" w:customStyle="1" w:styleId="citation-0">
    <w:name w:val="citation-0"/>
    <w:basedOn w:val="DefaultParagraphFont"/>
    <w:rsid w:val="005916BB"/>
  </w:style>
  <w:style w:type="character" w:customStyle="1" w:styleId="citation-1">
    <w:name w:val="citation-1"/>
    <w:basedOn w:val="DefaultParagraphFont"/>
    <w:rsid w:val="005916BB"/>
  </w:style>
  <w:style w:type="character" w:customStyle="1" w:styleId="citation-2">
    <w:name w:val="citation-2"/>
    <w:basedOn w:val="DefaultParagraphFont"/>
    <w:rsid w:val="005916BB"/>
  </w:style>
  <w:style w:type="character" w:customStyle="1" w:styleId="citation-3">
    <w:name w:val="citation-3"/>
    <w:basedOn w:val="DefaultParagraphFont"/>
    <w:rsid w:val="005916BB"/>
  </w:style>
  <w:style w:type="character" w:styleId="Emphasis">
    <w:name w:val="Emphasis"/>
    <w:basedOn w:val="DefaultParagraphFont"/>
    <w:uiPriority w:val="20"/>
    <w:qFormat/>
    <w:rsid w:val="005916BB"/>
    <w:rPr>
      <w:i/>
      <w:iCs/>
    </w:rPr>
  </w:style>
  <w:style w:type="paragraph" w:styleId="Caption">
    <w:name w:val="caption"/>
    <w:basedOn w:val="Normal"/>
    <w:next w:val="Normal"/>
    <w:uiPriority w:val="35"/>
    <w:unhideWhenUsed/>
    <w:qFormat/>
    <w:rsid w:val="00C20B74"/>
    <w:pPr>
      <w:spacing w:line="240" w:lineRule="auto"/>
    </w:pPr>
    <w:rPr>
      <w:i/>
      <w:iCs/>
      <w:color w:val="1F497D" w:themeColor="text2"/>
      <w:sz w:val="18"/>
      <w:szCs w:val="18"/>
    </w:rPr>
  </w:style>
  <w:style w:type="paragraph" w:styleId="Header">
    <w:name w:val="header"/>
    <w:basedOn w:val="Normal"/>
    <w:link w:val="HeaderChar"/>
    <w:uiPriority w:val="99"/>
    <w:unhideWhenUsed/>
    <w:rsid w:val="00C20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B74"/>
  </w:style>
  <w:style w:type="paragraph" w:styleId="Footer">
    <w:name w:val="footer"/>
    <w:basedOn w:val="Normal"/>
    <w:link w:val="FooterChar"/>
    <w:uiPriority w:val="99"/>
    <w:unhideWhenUsed/>
    <w:rsid w:val="00C20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B74"/>
  </w:style>
  <w:style w:type="character" w:styleId="Hyperlink">
    <w:name w:val="Hyperlink"/>
    <w:basedOn w:val="DefaultParagraphFont"/>
    <w:uiPriority w:val="99"/>
    <w:unhideWhenUsed/>
    <w:rsid w:val="00916003"/>
    <w:rPr>
      <w:color w:val="0000FF" w:themeColor="hyperlink"/>
      <w:u w:val="single"/>
    </w:rPr>
  </w:style>
  <w:style w:type="character" w:styleId="UnresolvedMention">
    <w:name w:val="Unresolved Mention"/>
    <w:basedOn w:val="DefaultParagraphFont"/>
    <w:uiPriority w:val="99"/>
    <w:semiHidden/>
    <w:unhideWhenUsed/>
    <w:rsid w:val="00916003"/>
    <w:rPr>
      <w:color w:val="605E5C"/>
      <w:shd w:val="clear" w:color="auto" w:fill="E1DFDD"/>
    </w:rPr>
  </w:style>
  <w:style w:type="paragraph" w:styleId="NoSpacing">
    <w:name w:val="No Spacing"/>
    <w:uiPriority w:val="1"/>
    <w:qFormat/>
    <w:rsid w:val="0059601B"/>
    <w:pPr>
      <w:spacing w:after="0" w:line="240" w:lineRule="auto"/>
    </w:pPr>
    <w:rPr>
      <w:lang w:val="en-GB"/>
    </w:rPr>
  </w:style>
  <w:style w:type="character" w:styleId="FollowedHyperlink">
    <w:name w:val="FollowedHyperlink"/>
    <w:basedOn w:val="DefaultParagraphFont"/>
    <w:uiPriority w:val="99"/>
    <w:semiHidden/>
    <w:unhideWhenUsed/>
    <w:rsid w:val="00885C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3797">
      <w:bodyDiv w:val="1"/>
      <w:marLeft w:val="0"/>
      <w:marRight w:val="0"/>
      <w:marTop w:val="0"/>
      <w:marBottom w:val="0"/>
      <w:divBdr>
        <w:top w:val="none" w:sz="0" w:space="0" w:color="auto"/>
        <w:left w:val="none" w:sz="0" w:space="0" w:color="auto"/>
        <w:bottom w:val="none" w:sz="0" w:space="0" w:color="auto"/>
        <w:right w:val="none" w:sz="0" w:space="0" w:color="auto"/>
      </w:divBdr>
    </w:div>
    <w:div w:id="880627082">
      <w:bodyDiv w:val="1"/>
      <w:marLeft w:val="0"/>
      <w:marRight w:val="0"/>
      <w:marTop w:val="0"/>
      <w:marBottom w:val="0"/>
      <w:divBdr>
        <w:top w:val="none" w:sz="0" w:space="0" w:color="auto"/>
        <w:left w:val="none" w:sz="0" w:space="0" w:color="auto"/>
        <w:bottom w:val="none" w:sz="0" w:space="0" w:color="auto"/>
        <w:right w:val="none" w:sz="0" w:space="0" w:color="auto"/>
      </w:divBdr>
    </w:div>
    <w:div w:id="1366445008">
      <w:bodyDiv w:val="1"/>
      <w:marLeft w:val="0"/>
      <w:marRight w:val="0"/>
      <w:marTop w:val="0"/>
      <w:marBottom w:val="0"/>
      <w:divBdr>
        <w:top w:val="none" w:sz="0" w:space="0" w:color="auto"/>
        <w:left w:val="none" w:sz="0" w:space="0" w:color="auto"/>
        <w:bottom w:val="none" w:sz="0" w:space="0" w:color="auto"/>
        <w:right w:val="none" w:sz="0" w:space="0" w:color="auto"/>
      </w:divBdr>
    </w:div>
    <w:div w:id="1789424863">
      <w:bodyDiv w:val="1"/>
      <w:marLeft w:val="0"/>
      <w:marRight w:val="0"/>
      <w:marTop w:val="0"/>
      <w:marBottom w:val="0"/>
      <w:divBdr>
        <w:top w:val="none" w:sz="0" w:space="0" w:color="auto"/>
        <w:left w:val="none" w:sz="0" w:space="0" w:color="auto"/>
        <w:bottom w:val="none" w:sz="0" w:space="0" w:color="auto"/>
        <w:right w:val="none" w:sz="0" w:space="0" w:color="auto"/>
      </w:divBdr>
    </w:div>
    <w:div w:id="2025278340">
      <w:bodyDiv w:val="1"/>
      <w:marLeft w:val="0"/>
      <w:marRight w:val="0"/>
      <w:marTop w:val="0"/>
      <w:marBottom w:val="0"/>
      <w:divBdr>
        <w:top w:val="none" w:sz="0" w:space="0" w:color="auto"/>
        <w:left w:val="none" w:sz="0" w:space="0" w:color="auto"/>
        <w:bottom w:val="none" w:sz="0" w:space="0" w:color="auto"/>
        <w:right w:val="none" w:sz="0" w:space="0" w:color="auto"/>
      </w:divBdr>
    </w:div>
    <w:div w:id="20987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7/S026144482510103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1458/iejes.13462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yogeshbm\Downloads\PRCA_4_situations_chart_templ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Input_Data!$C$4</c:f>
              <c:strCache>
                <c:ptCount val="1"/>
                <c:pt idx="0">
                  <c:v>Low (%)</c:v>
                </c:pt>
              </c:strCache>
            </c:strRef>
          </c:tx>
          <c:spPr>
            <a:solidFill>
              <a:schemeClr val="accent1"/>
            </a:solidFill>
            <a:ln>
              <a:noFill/>
            </a:ln>
            <a:effectLst/>
          </c:spPr>
          <c:invertIfNegative val="0"/>
          <c:cat>
            <c:multiLvlStrRef>
              <c:f>Input_Data!$A$5:$B$16</c:f>
              <c:multiLvlStrCache>
                <c:ptCount val="12"/>
                <c:lvl>
                  <c:pt idx="0">
                    <c:v>Group Discussions</c:v>
                  </c:pt>
                  <c:pt idx="1">
                    <c:v>Meetings</c:v>
                  </c:pt>
                  <c:pt idx="2">
                    <c:v>Interpersonal Interactions</c:v>
                  </c:pt>
                  <c:pt idx="3">
                    <c:v>Public Speaking</c:v>
                  </c:pt>
                  <c:pt idx="4">
                    <c:v>Group Discussions</c:v>
                  </c:pt>
                  <c:pt idx="5">
                    <c:v>Meetings</c:v>
                  </c:pt>
                  <c:pt idx="6">
                    <c:v>Interpersonal Interactions</c:v>
                  </c:pt>
                  <c:pt idx="7">
                    <c:v>Public Speaking</c:v>
                  </c:pt>
                  <c:pt idx="8">
                    <c:v>Group Discussions</c:v>
                  </c:pt>
                  <c:pt idx="9">
                    <c:v>Meetings</c:v>
                  </c:pt>
                  <c:pt idx="10">
                    <c:v>Interpersonal Interactions</c:v>
                  </c:pt>
                  <c:pt idx="11">
                    <c:v>Public Speaking</c:v>
                  </c:pt>
                </c:lvl>
                <c:lvl>
                  <c:pt idx="0">
                    <c:v>IARI (n=70)</c:v>
                  </c:pt>
                  <c:pt idx="1">
                    <c:v>IARI (n=70)</c:v>
                  </c:pt>
                  <c:pt idx="2">
                    <c:v>IARI (n=70)</c:v>
                  </c:pt>
                  <c:pt idx="3">
                    <c:v>IARI (n=70)</c:v>
                  </c:pt>
                  <c:pt idx="4">
                    <c:v>GBPUAT (n=70)</c:v>
                  </c:pt>
                  <c:pt idx="5">
                    <c:v>GBPUAT (n=70)</c:v>
                  </c:pt>
                  <c:pt idx="6">
                    <c:v>GBPUAT (n=70)</c:v>
                  </c:pt>
                  <c:pt idx="7">
                    <c:v>GBPUAT (n=70)</c:v>
                  </c:pt>
                  <c:pt idx="8">
                    <c:v>IAS-BHU (n=70)</c:v>
                  </c:pt>
                  <c:pt idx="9">
                    <c:v>IAS-BHU (n=70)</c:v>
                  </c:pt>
                  <c:pt idx="10">
                    <c:v>IAS-BHU (n=70)</c:v>
                  </c:pt>
                  <c:pt idx="11">
                    <c:v>IAS-BHU (n=70)</c:v>
                  </c:pt>
                </c:lvl>
              </c:multiLvlStrCache>
            </c:multiLvlStrRef>
          </c:cat>
          <c:val>
            <c:numRef>
              <c:f>Input_Data!$C$5:$C$16</c:f>
              <c:numCache>
                <c:formatCode>General</c:formatCode>
                <c:ptCount val="12"/>
                <c:pt idx="0">
                  <c:v>5.71</c:v>
                </c:pt>
                <c:pt idx="1">
                  <c:v>4.29</c:v>
                </c:pt>
                <c:pt idx="2">
                  <c:v>1.43</c:v>
                </c:pt>
                <c:pt idx="3">
                  <c:v>8.57</c:v>
                </c:pt>
                <c:pt idx="4">
                  <c:v>0</c:v>
                </c:pt>
                <c:pt idx="5">
                  <c:v>1.43</c:v>
                </c:pt>
                <c:pt idx="6">
                  <c:v>0</c:v>
                </c:pt>
                <c:pt idx="7">
                  <c:v>10</c:v>
                </c:pt>
                <c:pt idx="8">
                  <c:v>1.43</c:v>
                </c:pt>
                <c:pt idx="9">
                  <c:v>1.43</c:v>
                </c:pt>
                <c:pt idx="10">
                  <c:v>1.43</c:v>
                </c:pt>
                <c:pt idx="11">
                  <c:v>7.14</c:v>
                </c:pt>
              </c:numCache>
            </c:numRef>
          </c:val>
          <c:extLst>
            <c:ext xmlns:c16="http://schemas.microsoft.com/office/drawing/2014/chart" uri="{C3380CC4-5D6E-409C-BE32-E72D297353CC}">
              <c16:uniqueId val="{00000000-2BEC-F748-9CFB-EFB5A22D9822}"/>
            </c:ext>
          </c:extLst>
        </c:ser>
        <c:ser>
          <c:idx val="1"/>
          <c:order val="1"/>
          <c:tx>
            <c:strRef>
              <c:f>Input_Data!$D$4</c:f>
              <c:strCache>
                <c:ptCount val="1"/>
                <c:pt idx="0">
                  <c:v>Medium (%)</c:v>
                </c:pt>
              </c:strCache>
            </c:strRef>
          </c:tx>
          <c:spPr>
            <a:solidFill>
              <a:schemeClr val="accent2"/>
            </a:solidFill>
            <a:ln>
              <a:noFill/>
            </a:ln>
            <a:effectLst/>
          </c:spPr>
          <c:invertIfNegative val="0"/>
          <c:cat>
            <c:multiLvlStrRef>
              <c:f>Input_Data!$A$5:$B$16</c:f>
              <c:multiLvlStrCache>
                <c:ptCount val="12"/>
                <c:lvl>
                  <c:pt idx="0">
                    <c:v>Group Discussions</c:v>
                  </c:pt>
                  <c:pt idx="1">
                    <c:v>Meetings</c:v>
                  </c:pt>
                  <c:pt idx="2">
                    <c:v>Interpersonal Interactions</c:v>
                  </c:pt>
                  <c:pt idx="3">
                    <c:v>Public Speaking</c:v>
                  </c:pt>
                  <c:pt idx="4">
                    <c:v>Group Discussions</c:v>
                  </c:pt>
                  <c:pt idx="5">
                    <c:v>Meetings</c:v>
                  </c:pt>
                  <c:pt idx="6">
                    <c:v>Interpersonal Interactions</c:v>
                  </c:pt>
                  <c:pt idx="7">
                    <c:v>Public Speaking</c:v>
                  </c:pt>
                  <c:pt idx="8">
                    <c:v>Group Discussions</c:v>
                  </c:pt>
                  <c:pt idx="9">
                    <c:v>Meetings</c:v>
                  </c:pt>
                  <c:pt idx="10">
                    <c:v>Interpersonal Interactions</c:v>
                  </c:pt>
                  <c:pt idx="11">
                    <c:v>Public Speaking</c:v>
                  </c:pt>
                </c:lvl>
                <c:lvl>
                  <c:pt idx="0">
                    <c:v>IARI (n=70)</c:v>
                  </c:pt>
                  <c:pt idx="1">
                    <c:v>IARI (n=70)</c:v>
                  </c:pt>
                  <c:pt idx="2">
                    <c:v>IARI (n=70)</c:v>
                  </c:pt>
                  <c:pt idx="3">
                    <c:v>IARI (n=70)</c:v>
                  </c:pt>
                  <c:pt idx="4">
                    <c:v>GBPUAT (n=70)</c:v>
                  </c:pt>
                  <c:pt idx="5">
                    <c:v>GBPUAT (n=70)</c:v>
                  </c:pt>
                  <c:pt idx="6">
                    <c:v>GBPUAT (n=70)</c:v>
                  </c:pt>
                  <c:pt idx="7">
                    <c:v>GBPUAT (n=70)</c:v>
                  </c:pt>
                  <c:pt idx="8">
                    <c:v>IAS-BHU (n=70)</c:v>
                  </c:pt>
                  <c:pt idx="9">
                    <c:v>IAS-BHU (n=70)</c:v>
                  </c:pt>
                  <c:pt idx="10">
                    <c:v>IAS-BHU (n=70)</c:v>
                  </c:pt>
                  <c:pt idx="11">
                    <c:v>IAS-BHU (n=70)</c:v>
                  </c:pt>
                </c:lvl>
              </c:multiLvlStrCache>
            </c:multiLvlStrRef>
          </c:cat>
          <c:val>
            <c:numRef>
              <c:f>Input_Data!$D$5:$D$16</c:f>
              <c:numCache>
                <c:formatCode>General</c:formatCode>
                <c:ptCount val="12"/>
                <c:pt idx="0">
                  <c:v>61.43</c:v>
                </c:pt>
                <c:pt idx="1">
                  <c:v>75.709999999999994</c:v>
                </c:pt>
                <c:pt idx="2">
                  <c:v>71.430000000000007</c:v>
                </c:pt>
                <c:pt idx="3">
                  <c:v>87.14</c:v>
                </c:pt>
                <c:pt idx="4">
                  <c:v>62.86</c:v>
                </c:pt>
                <c:pt idx="5">
                  <c:v>70</c:v>
                </c:pt>
                <c:pt idx="6">
                  <c:v>67.14</c:v>
                </c:pt>
                <c:pt idx="7">
                  <c:v>82.86</c:v>
                </c:pt>
                <c:pt idx="8">
                  <c:v>61.43</c:v>
                </c:pt>
                <c:pt idx="9">
                  <c:v>71.430000000000007</c:v>
                </c:pt>
                <c:pt idx="10">
                  <c:v>62.86</c:v>
                </c:pt>
                <c:pt idx="11">
                  <c:v>90</c:v>
                </c:pt>
              </c:numCache>
            </c:numRef>
          </c:val>
          <c:extLst>
            <c:ext xmlns:c16="http://schemas.microsoft.com/office/drawing/2014/chart" uri="{C3380CC4-5D6E-409C-BE32-E72D297353CC}">
              <c16:uniqueId val="{00000001-2BEC-F748-9CFB-EFB5A22D9822}"/>
            </c:ext>
          </c:extLst>
        </c:ser>
        <c:ser>
          <c:idx val="2"/>
          <c:order val="2"/>
          <c:tx>
            <c:strRef>
              <c:f>Input_Data!$E$4</c:f>
              <c:strCache>
                <c:ptCount val="1"/>
                <c:pt idx="0">
                  <c:v>High (%)</c:v>
                </c:pt>
              </c:strCache>
            </c:strRef>
          </c:tx>
          <c:spPr>
            <a:solidFill>
              <a:schemeClr val="accent3"/>
            </a:solidFill>
            <a:ln>
              <a:noFill/>
            </a:ln>
            <a:effectLst/>
          </c:spPr>
          <c:invertIfNegative val="0"/>
          <c:cat>
            <c:multiLvlStrRef>
              <c:f>Input_Data!$A$5:$B$16</c:f>
              <c:multiLvlStrCache>
                <c:ptCount val="12"/>
                <c:lvl>
                  <c:pt idx="0">
                    <c:v>Group Discussions</c:v>
                  </c:pt>
                  <c:pt idx="1">
                    <c:v>Meetings</c:v>
                  </c:pt>
                  <c:pt idx="2">
                    <c:v>Interpersonal Interactions</c:v>
                  </c:pt>
                  <c:pt idx="3">
                    <c:v>Public Speaking</c:v>
                  </c:pt>
                  <c:pt idx="4">
                    <c:v>Group Discussions</c:v>
                  </c:pt>
                  <c:pt idx="5">
                    <c:v>Meetings</c:v>
                  </c:pt>
                  <c:pt idx="6">
                    <c:v>Interpersonal Interactions</c:v>
                  </c:pt>
                  <c:pt idx="7">
                    <c:v>Public Speaking</c:v>
                  </c:pt>
                  <c:pt idx="8">
                    <c:v>Group Discussions</c:v>
                  </c:pt>
                  <c:pt idx="9">
                    <c:v>Meetings</c:v>
                  </c:pt>
                  <c:pt idx="10">
                    <c:v>Interpersonal Interactions</c:v>
                  </c:pt>
                  <c:pt idx="11">
                    <c:v>Public Speaking</c:v>
                  </c:pt>
                </c:lvl>
                <c:lvl>
                  <c:pt idx="0">
                    <c:v>IARI (n=70)</c:v>
                  </c:pt>
                  <c:pt idx="1">
                    <c:v>IARI (n=70)</c:v>
                  </c:pt>
                  <c:pt idx="2">
                    <c:v>IARI (n=70)</c:v>
                  </c:pt>
                  <c:pt idx="3">
                    <c:v>IARI (n=70)</c:v>
                  </c:pt>
                  <c:pt idx="4">
                    <c:v>GBPUAT (n=70)</c:v>
                  </c:pt>
                  <c:pt idx="5">
                    <c:v>GBPUAT (n=70)</c:v>
                  </c:pt>
                  <c:pt idx="6">
                    <c:v>GBPUAT (n=70)</c:v>
                  </c:pt>
                  <c:pt idx="7">
                    <c:v>GBPUAT (n=70)</c:v>
                  </c:pt>
                  <c:pt idx="8">
                    <c:v>IAS-BHU (n=70)</c:v>
                  </c:pt>
                  <c:pt idx="9">
                    <c:v>IAS-BHU (n=70)</c:v>
                  </c:pt>
                  <c:pt idx="10">
                    <c:v>IAS-BHU (n=70)</c:v>
                  </c:pt>
                  <c:pt idx="11">
                    <c:v>IAS-BHU (n=70)</c:v>
                  </c:pt>
                </c:lvl>
              </c:multiLvlStrCache>
            </c:multiLvlStrRef>
          </c:cat>
          <c:val>
            <c:numRef>
              <c:f>Input_Data!$E$5:$E$16</c:f>
              <c:numCache>
                <c:formatCode>General</c:formatCode>
                <c:ptCount val="12"/>
                <c:pt idx="0">
                  <c:v>32.86</c:v>
                </c:pt>
                <c:pt idx="1">
                  <c:v>20</c:v>
                </c:pt>
                <c:pt idx="2">
                  <c:v>27.14</c:v>
                </c:pt>
                <c:pt idx="3">
                  <c:v>4.29</c:v>
                </c:pt>
                <c:pt idx="4">
                  <c:v>37.14</c:v>
                </c:pt>
                <c:pt idx="5">
                  <c:v>28.57</c:v>
                </c:pt>
                <c:pt idx="6">
                  <c:v>32.86</c:v>
                </c:pt>
                <c:pt idx="7">
                  <c:v>7.14</c:v>
                </c:pt>
                <c:pt idx="8">
                  <c:v>37.14</c:v>
                </c:pt>
                <c:pt idx="9">
                  <c:v>27.14</c:v>
                </c:pt>
                <c:pt idx="10">
                  <c:v>35.71</c:v>
                </c:pt>
                <c:pt idx="11">
                  <c:v>2.86</c:v>
                </c:pt>
              </c:numCache>
            </c:numRef>
          </c:val>
          <c:extLst>
            <c:ext xmlns:c16="http://schemas.microsoft.com/office/drawing/2014/chart" uri="{C3380CC4-5D6E-409C-BE32-E72D297353CC}">
              <c16:uniqueId val="{00000002-2BEC-F748-9CFB-EFB5A22D9822}"/>
            </c:ext>
          </c:extLst>
        </c:ser>
        <c:dLbls>
          <c:showLegendKey val="0"/>
          <c:showVal val="0"/>
          <c:showCatName val="0"/>
          <c:showSerName val="0"/>
          <c:showPercent val="0"/>
          <c:showBubbleSize val="0"/>
        </c:dLbls>
        <c:gapWidth val="150"/>
        <c:overlap val="100"/>
        <c:axId val="606505151"/>
        <c:axId val="653296511"/>
      </c:barChart>
      <c:catAx>
        <c:axId val="6065051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3296511"/>
        <c:crosses val="autoZero"/>
        <c:auto val="1"/>
        <c:lblAlgn val="ctr"/>
        <c:lblOffset val="100"/>
        <c:noMultiLvlLbl val="0"/>
      </c:catAx>
      <c:valAx>
        <c:axId val="6532965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505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Student distribution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247594050743664E-2"/>
          <c:y val="0.10694444444444444"/>
          <c:w val="0.89575240594925631"/>
          <c:h val="0.67975284339457565"/>
        </c:manualLayout>
      </c:layout>
      <c:barChart>
        <c:barDir val="col"/>
        <c:grouping val="clustered"/>
        <c:varyColors val="0"/>
        <c:ser>
          <c:idx val="0"/>
          <c:order val="0"/>
          <c:tx>
            <c:strRef>
              <c:f>Sheet2!$J$21:$K$21</c:f>
              <c:strCache>
                <c:ptCount val="2"/>
                <c:pt idx="0">
                  <c:v>Low</c:v>
                </c:pt>
              </c:strCache>
            </c:strRef>
          </c:tx>
          <c:spPr>
            <a:solidFill>
              <a:schemeClr val="accent1"/>
            </a:solidFill>
            <a:ln>
              <a:noFill/>
            </a:ln>
            <a:effectLst/>
          </c:spPr>
          <c:invertIfNegative val="0"/>
          <c:cat>
            <c:strRef>
              <c:f>Sheet2!$L$20:$T$20</c:f>
              <c:strCache>
                <c:ptCount val="9"/>
                <c:pt idx="0">
                  <c:v>Group dicussion</c:v>
                </c:pt>
                <c:pt idx="2">
                  <c:v>Meeting</c:v>
                </c:pt>
                <c:pt idx="4">
                  <c:v>Interpersonal</c:v>
                </c:pt>
                <c:pt idx="6">
                  <c:v>Public speaking</c:v>
                </c:pt>
                <c:pt idx="8">
                  <c:v>Overall CA</c:v>
                </c:pt>
              </c:strCache>
            </c:strRef>
          </c:cat>
          <c:val>
            <c:numRef>
              <c:f>Sheet2!$L$21:$T$21</c:f>
              <c:numCache>
                <c:formatCode>General</c:formatCode>
                <c:ptCount val="9"/>
                <c:pt idx="0">
                  <c:v>2.38</c:v>
                </c:pt>
                <c:pt idx="1">
                  <c:v>0</c:v>
                </c:pt>
                <c:pt idx="2">
                  <c:v>2.38</c:v>
                </c:pt>
                <c:pt idx="3">
                  <c:v>0</c:v>
                </c:pt>
                <c:pt idx="4">
                  <c:v>0.95</c:v>
                </c:pt>
                <c:pt idx="5">
                  <c:v>0</c:v>
                </c:pt>
                <c:pt idx="6">
                  <c:v>8.57</c:v>
                </c:pt>
                <c:pt idx="7">
                  <c:v>0</c:v>
                </c:pt>
                <c:pt idx="8">
                  <c:v>1.43</c:v>
                </c:pt>
              </c:numCache>
            </c:numRef>
          </c:val>
          <c:extLst>
            <c:ext xmlns:c16="http://schemas.microsoft.com/office/drawing/2014/chart" uri="{C3380CC4-5D6E-409C-BE32-E72D297353CC}">
              <c16:uniqueId val="{00000000-812B-40C5-AA40-9EE8F15BBA90}"/>
            </c:ext>
          </c:extLst>
        </c:ser>
        <c:ser>
          <c:idx val="1"/>
          <c:order val="1"/>
          <c:tx>
            <c:strRef>
              <c:f>Sheet2!$J$22:$K$22</c:f>
              <c:strCache>
                <c:ptCount val="2"/>
                <c:pt idx="0">
                  <c:v>Medium</c:v>
                </c:pt>
              </c:strCache>
            </c:strRef>
          </c:tx>
          <c:spPr>
            <a:solidFill>
              <a:schemeClr val="accent2"/>
            </a:solidFill>
            <a:ln>
              <a:noFill/>
            </a:ln>
            <a:effectLst/>
          </c:spPr>
          <c:invertIfNegative val="0"/>
          <c:cat>
            <c:strRef>
              <c:f>Sheet2!$L$20:$T$20</c:f>
              <c:strCache>
                <c:ptCount val="9"/>
                <c:pt idx="0">
                  <c:v>Group dicussion</c:v>
                </c:pt>
                <c:pt idx="2">
                  <c:v>Meeting</c:v>
                </c:pt>
                <c:pt idx="4">
                  <c:v>Interpersonal</c:v>
                </c:pt>
                <c:pt idx="6">
                  <c:v>Public speaking</c:v>
                </c:pt>
                <c:pt idx="8">
                  <c:v>Overall CA</c:v>
                </c:pt>
              </c:strCache>
            </c:strRef>
          </c:cat>
          <c:val>
            <c:numRef>
              <c:f>Sheet2!$L$22:$T$22</c:f>
              <c:numCache>
                <c:formatCode>General</c:formatCode>
                <c:ptCount val="9"/>
                <c:pt idx="0">
                  <c:v>61.91</c:v>
                </c:pt>
                <c:pt idx="1">
                  <c:v>0</c:v>
                </c:pt>
                <c:pt idx="2">
                  <c:v>72.38</c:v>
                </c:pt>
                <c:pt idx="3" formatCode="mmm\-yy">
                  <c:v>0</c:v>
                </c:pt>
                <c:pt idx="4">
                  <c:v>67.14</c:v>
                </c:pt>
                <c:pt idx="5">
                  <c:v>0</c:v>
                </c:pt>
                <c:pt idx="6">
                  <c:v>86.67</c:v>
                </c:pt>
                <c:pt idx="7">
                  <c:v>0</c:v>
                </c:pt>
                <c:pt idx="8">
                  <c:v>72.38</c:v>
                </c:pt>
              </c:numCache>
            </c:numRef>
          </c:val>
          <c:extLst>
            <c:ext xmlns:c16="http://schemas.microsoft.com/office/drawing/2014/chart" uri="{C3380CC4-5D6E-409C-BE32-E72D297353CC}">
              <c16:uniqueId val="{00000001-812B-40C5-AA40-9EE8F15BBA90}"/>
            </c:ext>
          </c:extLst>
        </c:ser>
        <c:ser>
          <c:idx val="2"/>
          <c:order val="2"/>
          <c:tx>
            <c:strRef>
              <c:f>Sheet2!$J$23:$K$23</c:f>
              <c:strCache>
                <c:ptCount val="2"/>
                <c:pt idx="0">
                  <c:v>High</c:v>
                </c:pt>
              </c:strCache>
            </c:strRef>
          </c:tx>
          <c:spPr>
            <a:solidFill>
              <a:schemeClr val="accent3"/>
            </a:solidFill>
            <a:ln>
              <a:noFill/>
            </a:ln>
            <a:effectLst/>
          </c:spPr>
          <c:invertIfNegative val="0"/>
          <c:cat>
            <c:strRef>
              <c:f>Sheet2!$L$20:$T$20</c:f>
              <c:strCache>
                <c:ptCount val="9"/>
                <c:pt idx="0">
                  <c:v>Group dicussion</c:v>
                </c:pt>
                <c:pt idx="2">
                  <c:v>Meeting</c:v>
                </c:pt>
                <c:pt idx="4">
                  <c:v>Interpersonal</c:v>
                </c:pt>
                <c:pt idx="6">
                  <c:v>Public speaking</c:v>
                </c:pt>
                <c:pt idx="8">
                  <c:v>Overall CA</c:v>
                </c:pt>
              </c:strCache>
            </c:strRef>
          </c:cat>
          <c:val>
            <c:numRef>
              <c:f>Sheet2!$L$23:$T$23</c:f>
              <c:numCache>
                <c:formatCode>General</c:formatCode>
                <c:ptCount val="9"/>
                <c:pt idx="0">
                  <c:v>35.71</c:v>
                </c:pt>
                <c:pt idx="1">
                  <c:v>0</c:v>
                </c:pt>
                <c:pt idx="2">
                  <c:v>25.24</c:v>
                </c:pt>
                <c:pt idx="3">
                  <c:v>0</c:v>
                </c:pt>
                <c:pt idx="4">
                  <c:v>31.91</c:v>
                </c:pt>
                <c:pt idx="5">
                  <c:v>0</c:v>
                </c:pt>
                <c:pt idx="6">
                  <c:v>4.76</c:v>
                </c:pt>
                <c:pt idx="7">
                  <c:v>0</c:v>
                </c:pt>
                <c:pt idx="8">
                  <c:v>26.19</c:v>
                </c:pt>
              </c:numCache>
            </c:numRef>
          </c:val>
          <c:extLst>
            <c:ext xmlns:c16="http://schemas.microsoft.com/office/drawing/2014/chart" uri="{C3380CC4-5D6E-409C-BE32-E72D297353CC}">
              <c16:uniqueId val="{00000002-812B-40C5-AA40-9EE8F15BBA90}"/>
            </c:ext>
          </c:extLst>
        </c:ser>
        <c:dLbls>
          <c:showLegendKey val="0"/>
          <c:showVal val="0"/>
          <c:showCatName val="0"/>
          <c:showSerName val="0"/>
          <c:showPercent val="0"/>
          <c:showBubbleSize val="0"/>
        </c:dLbls>
        <c:gapWidth val="219"/>
        <c:overlap val="-27"/>
        <c:axId val="1284176783"/>
        <c:axId val="1284177263"/>
      </c:barChart>
      <c:catAx>
        <c:axId val="128417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177263"/>
        <c:crosses val="autoZero"/>
        <c:auto val="1"/>
        <c:lblAlgn val="ctr"/>
        <c:lblOffset val="100"/>
        <c:noMultiLvlLbl val="0"/>
      </c:catAx>
      <c:valAx>
        <c:axId val="1284177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17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7D7F-0D0C-46CC-879A-2648B36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6666</Words>
  <Characters>37998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Yogesh b m</cp:lastModifiedBy>
  <cp:revision>5</cp:revision>
  <dcterms:created xsi:type="dcterms:W3CDTF">2026-03-20T06:36:00Z</dcterms:created>
  <dcterms:modified xsi:type="dcterms:W3CDTF">2026-03-20T07:46:00Z</dcterms:modified>
</cp:coreProperties>
</file>