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042DC" w14:textId="77777777" w:rsidR="0017527E" w:rsidRDefault="0017527E" w:rsidP="004E054A">
      <w:pPr>
        <w:spacing w:line="240" w:lineRule="auto"/>
        <w:jc w:val="right"/>
        <w:rPr>
          <w:rFonts w:ascii="Arial" w:hAnsi="Arial" w:cs="Arial"/>
          <w:b/>
          <w:bCs/>
          <w:sz w:val="36"/>
          <w:szCs w:val="36"/>
        </w:rPr>
      </w:pPr>
      <w:r w:rsidRPr="0017527E">
        <w:rPr>
          <w:rFonts w:ascii="Arial" w:hAnsi="Arial" w:cs="Arial"/>
          <w:b/>
          <w:bCs/>
          <w:sz w:val="36"/>
          <w:szCs w:val="36"/>
        </w:rPr>
        <w:t>Original Research Article</w:t>
      </w:r>
    </w:p>
    <w:p w14:paraId="62083E89" w14:textId="77777777" w:rsidR="0017527E" w:rsidRDefault="0017527E" w:rsidP="004E054A">
      <w:pPr>
        <w:spacing w:line="240" w:lineRule="auto"/>
        <w:jc w:val="right"/>
        <w:rPr>
          <w:rFonts w:ascii="Arial" w:hAnsi="Arial" w:cs="Arial"/>
          <w:b/>
          <w:bCs/>
          <w:sz w:val="36"/>
          <w:szCs w:val="36"/>
        </w:rPr>
      </w:pPr>
    </w:p>
    <w:p w14:paraId="1783F956" w14:textId="5671AD0A" w:rsidR="004E054A" w:rsidRPr="006412A9" w:rsidRDefault="004E054A" w:rsidP="004E054A">
      <w:pPr>
        <w:spacing w:line="240" w:lineRule="auto"/>
        <w:jc w:val="right"/>
        <w:rPr>
          <w:rFonts w:ascii="Arial" w:hAnsi="Arial" w:cs="Arial"/>
          <w:b/>
          <w:bCs/>
          <w:sz w:val="36"/>
          <w:szCs w:val="36"/>
        </w:rPr>
      </w:pPr>
      <w:r w:rsidRPr="006412A9">
        <w:rPr>
          <w:rFonts w:ascii="Arial" w:hAnsi="Arial" w:cs="Arial"/>
          <w:b/>
          <w:bCs/>
          <w:sz w:val="36"/>
          <w:szCs w:val="36"/>
        </w:rPr>
        <w:t>Influence of Chemical Weed Management Strategies on Enhancing Growth and Yield of Quinoa</w:t>
      </w:r>
    </w:p>
    <w:p w14:paraId="71ED19E0" w14:textId="53296992" w:rsidR="00E65E4F" w:rsidRDefault="00E65E4F" w:rsidP="004E054A">
      <w:pPr>
        <w:tabs>
          <w:tab w:val="left" w:pos="2555"/>
        </w:tabs>
        <w:spacing w:after="0" w:line="360" w:lineRule="auto"/>
        <w:jc w:val="right"/>
        <w:rPr>
          <w:rFonts w:ascii="Arial" w:hAnsi="Arial" w:cs="Arial"/>
          <w:sz w:val="16"/>
          <w:szCs w:val="16"/>
        </w:rPr>
      </w:pPr>
    </w:p>
    <w:p w14:paraId="76C3FAD9" w14:textId="77777777" w:rsidR="00F204F1" w:rsidRPr="006412A9" w:rsidRDefault="00F204F1" w:rsidP="004E054A">
      <w:pPr>
        <w:tabs>
          <w:tab w:val="left" w:pos="2555"/>
        </w:tabs>
        <w:spacing w:after="0" w:line="360" w:lineRule="auto"/>
        <w:jc w:val="right"/>
        <w:rPr>
          <w:rFonts w:ascii="Arial" w:hAnsi="Arial" w:cs="Arial"/>
          <w:sz w:val="16"/>
          <w:szCs w:val="16"/>
        </w:rPr>
      </w:pPr>
    </w:p>
    <w:p w14:paraId="2B4F73B9" w14:textId="3F87692C" w:rsidR="0059503D" w:rsidRPr="00E040D5" w:rsidRDefault="0059503D" w:rsidP="0028616A">
      <w:pPr>
        <w:spacing w:line="240" w:lineRule="auto"/>
        <w:jc w:val="both"/>
        <w:rPr>
          <w:rFonts w:ascii="Arial" w:hAnsi="Arial" w:cs="Arial"/>
          <w:b/>
          <w:bCs/>
        </w:rPr>
      </w:pPr>
      <w:r w:rsidRPr="00E040D5">
        <w:rPr>
          <w:rFonts w:ascii="Arial" w:hAnsi="Arial" w:cs="Arial"/>
          <w:b/>
          <w:bCs/>
        </w:rPr>
        <w:t>AB</w:t>
      </w:r>
      <w:r w:rsidR="00B92E7E" w:rsidRPr="00E040D5">
        <w:rPr>
          <w:rFonts w:ascii="Arial" w:hAnsi="Arial" w:cs="Arial"/>
          <w:b/>
          <w:bCs/>
        </w:rPr>
        <w:t>S</w:t>
      </w:r>
      <w:r w:rsidRPr="00E040D5">
        <w:rPr>
          <w:rFonts w:ascii="Arial" w:hAnsi="Arial" w:cs="Arial"/>
          <w:b/>
          <w:bCs/>
        </w:rPr>
        <w:t>TRACT</w:t>
      </w:r>
    </w:p>
    <w:p w14:paraId="378B88D5" w14:textId="10EED460" w:rsidR="0007333A" w:rsidRDefault="0059503D" w:rsidP="0028616A">
      <w:pPr>
        <w:spacing w:before="240" w:line="240" w:lineRule="auto"/>
        <w:jc w:val="both"/>
        <w:rPr>
          <w:rFonts w:ascii="Arial" w:hAnsi="Arial" w:cs="Arial"/>
          <w:sz w:val="20"/>
          <w:szCs w:val="20"/>
        </w:rPr>
      </w:pPr>
      <w:r w:rsidRPr="0028616A">
        <w:rPr>
          <w:rFonts w:ascii="Arial" w:hAnsi="Arial" w:cs="Arial"/>
          <w:sz w:val="20"/>
          <w:szCs w:val="20"/>
        </w:rPr>
        <w:t>This study evaluated the effect of herbicidal treatments on growth components, weed dynamics</w:t>
      </w:r>
      <w:r w:rsidR="00301C68" w:rsidRPr="0028616A">
        <w:rPr>
          <w:rFonts w:ascii="Arial" w:hAnsi="Arial" w:cs="Arial"/>
          <w:sz w:val="20"/>
          <w:szCs w:val="20"/>
        </w:rPr>
        <w:t xml:space="preserve"> </w:t>
      </w:r>
      <w:r w:rsidRPr="0028616A">
        <w:rPr>
          <w:rFonts w:ascii="Arial" w:hAnsi="Arial" w:cs="Arial"/>
          <w:sz w:val="20"/>
          <w:szCs w:val="20"/>
        </w:rPr>
        <w:t xml:space="preserve">and yield in quinoa through a pot experiment conducted during the </w:t>
      </w:r>
      <w:r w:rsidRPr="0028616A">
        <w:rPr>
          <w:rFonts w:ascii="Arial" w:hAnsi="Arial" w:cs="Arial"/>
          <w:i/>
          <w:iCs/>
          <w:sz w:val="20"/>
          <w:szCs w:val="20"/>
        </w:rPr>
        <w:t>rabi</w:t>
      </w:r>
      <w:r w:rsidRPr="0028616A">
        <w:rPr>
          <w:rFonts w:ascii="Arial" w:hAnsi="Arial" w:cs="Arial"/>
          <w:sz w:val="20"/>
          <w:szCs w:val="20"/>
        </w:rPr>
        <w:t xml:space="preserve"> season 2025 at the Instructional North Farm of Karunya Institute of Technology and Sciences, Coimbatore. The experiment followed a Completely Randomized Design (CRD) with twelve treatments and three replications, comparing </w:t>
      </w:r>
      <w:r w:rsidR="00DC5794" w:rsidRPr="0028616A">
        <w:rPr>
          <w:rFonts w:ascii="Arial" w:hAnsi="Arial" w:cs="Arial"/>
          <w:sz w:val="20"/>
          <w:szCs w:val="20"/>
        </w:rPr>
        <w:t xml:space="preserve">different pre-emergence herbicides alone and in combination with post-emergence herbicides, along </w:t>
      </w:r>
      <w:r w:rsidR="00303B0B" w:rsidRPr="0028616A">
        <w:rPr>
          <w:rFonts w:ascii="Arial" w:hAnsi="Arial" w:cs="Arial"/>
          <w:sz w:val="20"/>
          <w:szCs w:val="20"/>
        </w:rPr>
        <w:t>with</w:t>
      </w:r>
      <w:r w:rsidR="00DC5794" w:rsidRPr="0028616A">
        <w:rPr>
          <w:rFonts w:ascii="Arial" w:hAnsi="Arial" w:cs="Arial"/>
          <w:sz w:val="20"/>
          <w:szCs w:val="20"/>
        </w:rPr>
        <w:t xml:space="preserve"> weed-free check and </w:t>
      </w:r>
      <w:proofErr w:type="spellStart"/>
      <w:r w:rsidR="00DC5794" w:rsidRPr="0028616A">
        <w:rPr>
          <w:rFonts w:ascii="Arial" w:hAnsi="Arial" w:cs="Arial"/>
          <w:sz w:val="20"/>
          <w:szCs w:val="20"/>
        </w:rPr>
        <w:t>unweeded</w:t>
      </w:r>
      <w:proofErr w:type="spellEnd"/>
      <w:r w:rsidR="00DC5794" w:rsidRPr="0028616A">
        <w:rPr>
          <w:rFonts w:ascii="Arial" w:hAnsi="Arial" w:cs="Arial"/>
          <w:sz w:val="20"/>
          <w:szCs w:val="20"/>
        </w:rPr>
        <w:t xml:space="preserve"> control treatments. The results indicated that</w:t>
      </w:r>
      <w:r w:rsidR="00256647" w:rsidRPr="0028616A">
        <w:rPr>
          <w:rFonts w:ascii="Arial" w:hAnsi="Arial" w:cs="Arial"/>
          <w:sz w:val="20"/>
          <w:szCs w:val="20"/>
        </w:rPr>
        <w:t xml:space="preserve"> </w:t>
      </w:r>
      <w:r w:rsidR="0001608B" w:rsidRPr="0028616A">
        <w:rPr>
          <w:rFonts w:ascii="Arial" w:hAnsi="Arial" w:cs="Arial"/>
          <w:sz w:val="20"/>
          <w:szCs w:val="20"/>
        </w:rPr>
        <w:t>crop growth attributes varied significantly between treatments at later growth stages</w:t>
      </w:r>
      <w:r w:rsidR="00256647" w:rsidRPr="0028616A">
        <w:rPr>
          <w:rFonts w:ascii="Arial" w:hAnsi="Arial" w:cs="Arial"/>
          <w:sz w:val="20"/>
          <w:szCs w:val="20"/>
        </w:rPr>
        <w:t>. At 30 DAS, the weed-free check (T</w:t>
      </w:r>
      <w:r w:rsidR="00256647" w:rsidRPr="0028616A">
        <w:rPr>
          <w:rFonts w:ascii="Arial" w:hAnsi="Arial" w:cs="Arial"/>
          <w:sz w:val="20"/>
          <w:szCs w:val="20"/>
          <w:vertAlign w:val="subscript"/>
        </w:rPr>
        <w:t>11</w:t>
      </w:r>
      <w:r w:rsidR="00256647" w:rsidRPr="0028616A">
        <w:rPr>
          <w:rFonts w:ascii="Arial" w:hAnsi="Arial" w:cs="Arial"/>
          <w:sz w:val="20"/>
          <w:szCs w:val="20"/>
        </w:rPr>
        <w:t xml:space="preserve">) recorded the </w:t>
      </w:r>
      <w:r w:rsidR="0001608B" w:rsidRPr="0028616A">
        <w:rPr>
          <w:rFonts w:ascii="Arial" w:hAnsi="Arial" w:cs="Arial"/>
          <w:sz w:val="20"/>
          <w:szCs w:val="20"/>
        </w:rPr>
        <w:t>highest plant height (39.28 cm), which was statistically similar to pretilachlor at</w:t>
      </w:r>
      <w:r w:rsidR="00256647" w:rsidRPr="0028616A">
        <w:rPr>
          <w:rFonts w:ascii="Arial" w:hAnsi="Arial" w:cs="Arial"/>
          <w:sz w:val="20"/>
          <w:szCs w:val="20"/>
        </w:rPr>
        <w:t xml:space="preserve"> 750 g a.i. 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applied as pre-emergence (T</w:t>
      </w:r>
      <w:r w:rsidR="00256647" w:rsidRPr="0028616A">
        <w:rPr>
          <w:rFonts w:ascii="Arial" w:hAnsi="Arial" w:cs="Arial"/>
          <w:sz w:val="20"/>
          <w:szCs w:val="20"/>
          <w:vertAlign w:val="subscript"/>
        </w:rPr>
        <w:t>3</w:t>
      </w:r>
      <w:r w:rsidR="00256647" w:rsidRPr="0028616A">
        <w:rPr>
          <w:rFonts w:ascii="Arial" w:hAnsi="Arial" w:cs="Arial"/>
          <w:sz w:val="20"/>
          <w:szCs w:val="20"/>
        </w:rPr>
        <w:t>) and butachlor</w:t>
      </w:r>
      <w:r w:rsidR="0084520D" w:rsidRPr="0028616A">
        <w:rPr>
          <w:rFonts w:ascii="Arial" w:hAnsi="Arial" w:cs="Arial"/>
          <w:sz w:val="20"/>
          <w:szCs w:val="20"/>
        </w:rPr>
        <w:t xml:space="preserve"> (pre-emergence)</w:t>
      </w:r>
      <w:r w:rsidR="00256647" w:rsidRPr="0028616A">
        <w:rPr>
          <w:rFonts w:ascii="Arial" w:hAnsi="Arial" w:cs="Arial"/>
          <w:sz w:val="20"/>
          <w:szCs w:val="20"/>
        </w:rPr>
        <w:t xml:space="preserve"> @ 1000 g a.i.</w:t>
      </w:r>
      <w:r w:rsidR="004A543F" w:rsidRPr="0028616A">
        <w:rPr>
          <w:rFonts w:ascii="Arial" w:hAnsi="Arial" w:cs="Arial"/>
          <w:sz w:val="20"/>
          <w:szCs w:val="20"/>
        </w:rPr>
        <w:t xml:space="preserve"> </w:t>
      </w:r>
      <w:r w:rsidR="00256647" w:rsidRPr="0028616A">
        <w:rPr>
          <w:rFonts w:ascii="Arial" w:hAnsi="Arial" w:cs="Arial"/>
          <w:sz w:val="20"/>
          <w:szCs w:val="20"/>
        </w:rPr>
        <w:t>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at 3 DAS</w:t>
      </w:r>
      <w:r w:rsidR="0084520D" w:rsidRPr="0028616A">
        <w:rPr>
          <w:rFonts w:ascii="Arial" w:hAnsi="Arial" w:cs="Arial"/>
          <w:sz w:val="20"/>
          <w:szCs w:val="20"/>
        </w:rPr>
        <w:t xml:space="preserve"> + </w:t>
      </w:r>
      <w:r w:rsidR="00256647" w:rsidRPr="0028616A">
        <w:rPr>
          <w:rFonts w:ascii="Arial" w:hAnsi="Arial" w:cs="Arial"/>
          <w:sz w:val="20"/>
          <w:szCs w:val="20"/>
        </w:rPr>
        <w:t>Metamifop @ 1000 ml 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as </w:t>
      </w:r>
      <w:r w:rsidR="0084520D" w:rsidRPr="0028616A">
        <w:rPr>
          <w:rFonts w:ascii="Arial" w:hAnsi="Arial" w:cs="Arial"/>
          <w:sz w:val="20"/>
          <w:szCs w:val="20"/>
        </w:rPr>
        <w:t>post-emergence</w:t>
      </w:r>
      <w:r w:rsidR="00256647" w:rsidRPr="0028616A">
        <w:rPr>
          <w:rFonts w:ascii="Arial" w:hAnsi="Arial" w:cs="Arial"/>
          <w:sz w:val="20"/>
          <w:szCs w:val="20"/>
        </w:rPr>
        <w:t xml:space="preserve"> at 25 DAS (T</w:t>
      </w:r>
      <w:r w:rsidR="00256647" w:rsidRPr="0028616A">
        <w:rPr>
          <w:rFonts w:ascii="Arial" w:hAnsi="Arial" w:cs="Arial"/>
          <w:sz w:val="20"/>
          <w:szCs w:val="20"/>
          <w:vertAlign w:val="subscript"/>
        </w:rPr>
        <w:t>9</w:t>
      </w:r>
      <w:r w:rsidR="00256647" w:rsidRPr="0028616A">
        <w:rPr>
          <w:rFonts w:ascii="Arial" w:hAnsi="Arial" w:cs="Arial"/>
          <w:sz w:val="20"/>
          <w:szCs w:val="20"/>
        </w:rPr>
        <w:t>). At 60, 90 DAS</w:t>
      </w:r>
      <w:r w:rsidR="0001608B" w:rsidRPr="0028616A">
        <w:rPr>
          <w:rFonts w:ascii="Arial" w:hAnsi="Arial" w:cs="Arial"/>
          <w:sz w:val="20"/>
          <w:szCs w:val="20"/>
        </w:rPr>
        <w:t xml:space="preserve"> and at harvest, the weed-free check (T</w:t>
      </w:r>
      <w:r w:rsidR="0001608B" w:rsidRPr="0028616A">
        <w:rPr>
          <w:rFonts w:ascii="Arial" w:hAnsi="Arial" w:cs="Arial"/>
          <w:sz w:val="20"/>
          <w:szCs w:val="20"/>
          <w:vertAlign w:val="subscript"/>
        </w:rPr>
        <w:t>11</w:t>
      </w:r>
      <w:r w:rsidR="0001608B" w:rsidRPr="0028616A">
        <w:rPr>
          <w:rFonts w:ascii="Arial" w:hAnsi="Arial" w:cs="Arial"/>
          <w:sz w:val="20"/>
          <w:szCs w:val="20"/>
        </w:rPr>
        <w:t>) consistently recorded superior plant height (95.3, 136.0</w:t>
      </w:r>
      <w:r w:rsidR="0084520D" w:rsidRPr="0028616A">
        <w:rPr>
          <w:rFonts w:ascii="Arial" w:hAnsi="Arial" w:cs="Arial"/>
          <w:sz w:val="20"/>
          <w:szCs w:val="20"/>
        </w:rPr>
        <w:t xml:space="preserve"> </w:t>
      </w:r>
      <w:r w:rsidR="0001608B" w:rsidRPr="0028616A">
        <w:rPr>
          <w:rFonts w:ascii="Arial" w:hAnsi="Arial" w:cs="Arial"/>
          <w:sz w:val="20"/>
          <w:szCs w:val="20"/>
        </w:rPr>
        <w:t>and 158.9 cm)</w:t>
      </w:r>
      <w:r w:rsidR="007E7D30" w:rsidRPr="0028616A">
        <w:rPr>
          <w:rFonts w:ascii="Arial" w:hAnsi="Arial" w:cs="Arial"/>
          <w:sz w:val="20"/>
          <w:szCs w:val="20"/>
        </w:rPr>
        <w:t xml:space="preserve"> </w:t>
      </w:r>
      <w:r w:rsidR="0007333A" w:rsidRPr="0028616A">
        <w:rPr>
          <w:rFonts w:ascii="Arial" w:hAnsi="Arial" w:cs="Arial"/>
          <w:sz w:val="20"/>
          <w:szCs w:val="20"/>
        </w:rPr>
        <w:t>and dry matter production</w:t>
      </w:r>
      <w:r w:rsidR="00A7583F" w:rsidRPr="0028616A">
        <w:rPr>
          <w:rFonts w:ascii="Arial" w:hAnsi="Arial" w:cs="Arial"/>
          <w:sz w:val="20"/>
          <w:szCs w:val="20"/>
        </w:rPr>
        <w:t>(</w:t>
      </w:r>
      <w:r w:rsidR="007E7D30" w:rsidRPr="0028616A">
        <w:rPr>
          <w:rFonts w:ascii="Arial" w:hAnsi="Arial" w:cs="Arial"/>
          <w:sz w:val="20"/>
          <w:szCs w:val="20"/>
        </w:rPr>
        <w:t>18.9, 27.9 and 36.2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07333A" w:rsidRPr="0028616A">
        <w:rPr>
          <w:rFonts w:ascii="Arial" w:hAnsi="Arial" w:cs="Arial"/>
          <w:sz w:val="20"/>
          <w:szCs w:val="20"/>
        </w:rPr>
        <w:t xml:space="preserve"> Among the</w:t>
      </w:r>
      <w:r w:rsidR="00A7583F" w:rsidRPr="0028616A">
        <w:rPr>
          <w:rFonts w:ascii="Arial" w:hAnsi="Arial" w:cs="Arial"/>
          <w:sz w:val="20"/>
          <w:szCs w:val="20"/>
        </w:rPr>
        <w:t xml:space="preserve"> treatments</w:t>
      </w:r>
      <w:r w:rsidR="0007333A" w:rsidRPr="0028616A">
        <w:rPr>
          <w:rFonts w:ascii="Arial" w:hAnsi="Arial" w:cs="Arial"/>
          <w:sz w:val="20"/>
          <w:szCs w:val="20"/>
        </w:rPr>
        <w:t xml:space="preserve"> sequential application of pretilachlor</w:t>
      </w:r>
      <w:r w:rsidR="00A7583F" w:rsidRPr="0028616A">
        <w:rPr>
          <w:rFonts w:ascii="Arial" w:hAnsi="Arial" w:cs="Arial"/>
          <w:sz w:val="20"/>
          <w:szCs w:val="20"/>
        </w:rPr>
        <w:t xml:space="preserve"> (pre-emergence)</w:t>
      </w:r>
      <w:r w:rsidR="0007333A" w:rsidRPr="0028616A">
        <w:rPr>
          <w:rFonts w:ascii="Arial" w:hAnsi="Arial" w:cs="Arial"/>
          <w:sz w:val="20"/>
          <w:szCs w:val="20"/>
        </w:rPr>
        <w:t xml:space="preserve"> @ 750 g a.i. ha</w:t>
      </w:r>
      <w:r w:rsidR="0007333A" w:rsidRPr="0028616A">
        <w:rPr>
          <w:rFonts w:ascii="Arial" w:hAnsi="Arial" w:cs="Arial"/>
          <w:sz w:val="20"/>
          <w:szCs w:val="20"/>
          <w:vertAlign w:val="superscript"/>
        </w:rPr>
        <w:t>-1</w:t>
      </w:r>
      <w:r w:rsidR="0007333A" w:rsidRPr="0028616A">
        <w:rPr>
          <w:rFonts w:ascii="Arial" w:hAnsi="Arial" w:cs="Arial"/>
          <w:sz w:val="20"/>
          <w:szCs w:val="20"/>
        </w:rPr>
        <w:t xml:space="preserve"> at 3 DAS</w:t>
      </w:r>
      <w:r w:rsidR="007E7D30" w:rsidRPr="0028616A">
        <w:rPr>
          <w:rFonts w:ascii="Arial" w:hAnsi="Arial" w:cs="Arial"/>
          <w:sz w:val="20"/>
          <w:szCs w:val="20"/>
        </w:rPr>
        <w:t xml:space="preserve"> </w:t>
      </w:r>
      <w:r w:rsidR="00A7583F" w:rsidRPr="0028616A">
        <w:rPr>
          <w:rFonts w:ascii="Arial" w:hAnsi="Arial" w:cs="Arial"/>
          <w:sz w:val="20"/>
          <w:szCs w:val="20"/>
        </w:rPr>
        <w:t>+</w:t>
      </w:r>
      <w:r w:rsidR="00130DCF" w:rsidRPr="0028616A">
        <w:rPr>
          <w:rFonts w:ascii="Arial" w:hAnsi="Arial" w:cs="Arial"/>
          <w:sz w:val="20"/>
          <w:szCs w:val="20"/>
        </w:rPr>
        <w:t xml:space="preserve"> </w:t>
      </w:r>
      <w:proofErr w:type="spellStart"/>
      <w:r w:rsidR="00A7583F" w:rsidRPr="0028616A">
        <w:rPr>
          <w:rFonts w:ascii="Arial" w:hAnsi="Arial" w:cs="Arial"/>
          <w:sz w:val="20"/>
          <w:szCs w:val="20"/>
        </w:rPr>
        <w:t>h</w:t>
      </w:r>
      <w:r w:rsidR="0007333A" w:rsidRPr="0028616A">
        <w:rPr>
          <w:rFonts w:ascii="Arial" w:hAnsi="Arial" w:cs="Arial"/>
          <w:sz w:val="20"/>
          <w:szCs w:val="20"/>
        </w:rPr>
        <w:t>alosulfuron</w:t>
      </w:r>
      <w:proofErr w:type="spellEnd"/>
      <w:r w:rsidR="0007333A" w:rsidRPr="0028616A">
        <w:rPr>
          <w:rFonts w:ascii="Arial" w:hAnsi="Arial" w:cs="Arial"/>
          <w:sz w:val="20"/>
          <w:szCs w:val="20"/>
        </w:rPr>
        <w:t>-methyl</w:t>
      </w:r>
      <w:r w:rsidR="00A7583F" w:rsidRPr="0028616A">
        <w:rPr>
          <w:rFonts w:ascii="Arial" w:hAnsi="Arial" w:cs="Arial"/>
          <w:sz w:val="20"/>
          <w:szCs w:val="20"/>
        </w:rPr>
        <w:t xml:space="preserve"> (post-emergence)</w:t>
      </w:r>
      <w:r w:rsidR="0007333A" w:rsidRPr="0028616A">
        <w:rPr>
          <w:rFonts w:ascii="Arial" w:hAnsi="Arial" w:cs="Arial"/>
          <w:sz w:val="20"/>
          <w:szCs w:val="20"/>
        </w:rPr>
        <w:t xml:space="preserve"> @ 70 g a.i. ha</w:t>
      </w:r>
      <w:r w:rsidR="0007333A" w:rsidRPr="0028616A">
        <w:rPr>
          <w:rFonts w:ascii="Arial" w:hAnsi="Arial" w:cs="Arial"/>
          <w:sz w:val="20"/>
          <w:szCs w:val="20"/>
          <w:vertAlign w:val="superscript"/>
        </w:rPr>
        <w:t>-1</w:t>
      </w:r>
      <w:r w:rsidR="0007333A" w:rsidRPr="0028616A">
        <w:rPr>
          <w:rFonts w:ascii="Arial" w:hAnsi="Arial" w:cs="Arial"/>
          <w:sz w:val="20"/>
          <w:szCs w:val="20"/>
        </w:rPr>
        <w:t xml:space="preserve"> at 25 DAS</w:t>
      </w:r>
      <w:r w:rsidR="007E7D30" w:rsidRPr="0028616A">
        <w:rPr>
          <w:rFonts w:ascii="Arial" w:hAnsi="Arial" w:cs="Arial"/>
          <w:sz w:val="20"/>
          <w:szCs w:val="20"/>
        </w:rPr>
        <w:t xml:space="preserve"> </w:t>
      </w:r>
      <w:r w:rsidR="00A7583F" w:rsidRPr="0028616A">
        <w:rPr>
          <w:rFonts w:ascii="Arial" w:hAnsi="Arial" w:cs="Arial"/>
          <w:sz w:val="20"/>
          <w:szCs w:val="20"/>
        </w:rPr>
        <w:t>(T</w:t>
      </w:r>
      <w:r w:rsidR="00A7583F" w:rsidRPr="0028616A">
        <w:rPr>
          <w:rFonts w:ascii="Arial" w:hAnsi="Arial" w:cs="Arial"/>
          <w:sz w:val="20"/>
          <w:szCs w:val="20"/>
          <w:vertAlign w:val="subscript"/>
        </w:rPr>
        <w:t>10</w:t>
      </w:r>
      <w:r w:rsidR="00A7583F" w:rsidRPr="0028616A">
        <w:rPr>
          <w:rFonts w:ascii="Arial" w:hAnsi="Arial" w:cs="Arial"/>
          <w:sz w:val="20"/>
          <w:szCs w:val="20"/>
        </w:rPr>
        <w:t xml:space="preserve">) </w:t>
      </w:r>
      <w:r w:rsidR="007E7D30" w:rsidRPr="0028616A">
        <w:rPr>
          <w:rFonts w:ascii="Arial" w:hAnsi="Arial" w:cs="Arial"/>
          <w:sz w:val="20"/>
          <w:szCs w:val="20"/>
        </w:rPr>
        <w:t xml:space="preserve"> </w:t>
      </w:r>
      <w:r w:rsidR="0007333A" w:rsidRPr="0028616A">
        <w:rPr>
          <w:rFonts w:ascii="Arial" w:hAnsi="Arial" w:cs="Arial"/>
          <w:sz w:val="20"/>
          <w:szCs w:val="20"/>
        </w:rPr>
        <w:t xml:space="preserve">recorded lower </w:t>
      </w:r>
      <w:r w:rsidR="00A7583F" w:rsidRPr="0028616A">
        <w:rPr>
          <w:rFonts w:ascii="Arial" w:hAnsi="Arial" w:cs="Arial"/>
          <w:sz w:val="20"/>
          <w:szCs w:val="20"/>
        </w:rPr>
        <w:t xml:space="preserve">total </w:t>
      </w:r>
      <w:r w:rsidR="0007333A" w:rsidRPr="0028616A">
        <w:rPr>
          <w:rFonts w:ascii="Arial" w:hAnsi="Arial" w:cs="Arial"/>
          <w:sz w:val="20"/>
          <w:szCs w:val="20"/>
        </w:rPr>
        <w:t>weed density (2.38, 8.74</w:t>
      </w:r>
      <w:r w:rsidR="0001608B" w:rsidRPr="0028616A">
        <w:rPr>
          <w:rFonts w:ascii="Arial" w:hAnsi="Arial" w:cs="Arial"/>
          <w:sz w:val="20"/>
          <w:szCs w:val="20"/>
        </w:rPr>
        <w:t>, and 8.46 nos.</w:t>
      </w:r>
      <w:r w:rsidR="00A7583F" w:rsidRPr="0028616A">
        <w:rPr>
          <w:rFonts w:ascii="Arial" w:hAnsi="Arial" w:cs="Arial"/>
          <w:sz w:val="20"/>
          <w:szCs w:val="20"/>
        </w:rPr>
        <w:t xml:space="preserve"> </w:t>
      </w:r>
      <w:r w:rsidR="0001608B" w:rsidRPr="0028616A">
        <w:rPr>
          <w:rFonts w:ascii="Arial" w:hAnsi="Arial" w:cs="Arial"/>
          <w:sz w:val="20"/>
          <w:szCs w:val="20"/>
        </w:rPr>
        <w:t>pot</w:t>
      </w:r>
      <w:r w:rsidR="007E7D30" w:rsidRPr="0028616A">
        <w:rPr>
          <w:rFonts w:ascii="Arial" w:hAnsi="Arial" w:cs="Arial"/>
          <w:sz w:val="20"/>
          <w:szCs w:val="20"/>
          <w:vertAlign w:val="superscript"/>
        </w:rPr>
        <w:t>-1</w:t>
      </w:r>
      <w:r w:rsidR="0001608B" w:rsidRPr="0028616A">
        <w:rPr>
          <w:rFonts w:ascii="Arial" w:hAnsi="Arial" w:cs="Arial"/>
          <w:sz w:val="20"/>
          <w:szCs w:val="20"/>
        </w:rPr>
        <w:t xml:space="preserve">), </w:t>
      </w:r>
      <w:r w:rsidR="00A7583F" w:rsidRPr="0028616A">
        <w:rPr>
          <w:rFonts w:ascii="Arial" w:hAnsi="Arial" w:cs="Arial"/>
          <w:sz w:val="20"/>
          <w:szCs w:val="20"/>
        </w:rPr>
        <w:t xml:space="preserve">total </w:t>
      </w:r>
      <w:r w:rsidR="0001608B" w:rsidRPr="0028616A">
        <w:rPr>
          <w:rFonts w:ascii="Arial" w:hAnsi="Arial" w:cs="Arial"/>
          <w:sz w:val="20"/>
          <w:szCs w:val="20"/>
        </w:rPr>
        <w:t>weed dry weight (0.54, 4.86 and 4.19 g pot</w:t>
      </w:r>
      <w:r w:rsidR="0001608B" w:rsidRPr="0028616A">
        <w:rPr>
          <w:rFonts w:ascii="Arial" w:hAnsi="Arial" w:cs="Arial"/>
          <w:sz w:val="20"/>
          <w:szCs w:val="20"/>
          <w:vertAlign w:val="superscript"/>
        </w:rPr>
        <w:t>-1</w:t>
      </w:r>
      <w:r w:rsidR="0001608B" w:rsidRPr="0028616A">
        <w:rPr>
          <w:rFonts w:ascii="Arial" w:hAnsi="Arial" w:cs="Arial"/>
          <w:sz w:val="20"/>
          <w:szCs w:val="20"/>
        </w:rPr>
        <w:t>)</w:t>
      </w:r>
      <w:r w:rsidR="00A7583F" w:rsidRPr="0028616A">
        <w:rPr>
          <w:rFonts w:ascii="Arial" w:hAnsi="Arial" w:cs="Arial"/>
          <w:sz w:val="20"/>
          <w:szCs w:val="20"/>
        </w:rPr>
        <w:t xml:space="preserve"> </w:t>
      </w:r>
      <w:r w:rsidR="0001608B" w:rsidRPr="0028616A">
        <w:rPr>
          <w:rFonts w:ascii="Arial" w:hAnsi="Arial" w:cs="Arial"/>
          <w:sz w:val="20"/>
          <w:szCs w:val="20"/>
        </w:rPr>
        <w:t>and higher weed control efficiency</w:t>
      </w:r>
      <w:r w:rsidR="007E7D30" w:rsidRPr="0028616A">
        <w:rPr>
          <w:rFonts w:ascii="Arial" w:hAnsi="Arial" w:cs="Arial"/>
          <w:sz w:val="20"/>
          <w:szCs w:val="20"/>
        </w:rPr>
        <w:t xml:space="preserve"> (78.32%, 68.79% and 74.96%)</w:t>
      </w:r>
      <w:r w:rsidR="0001608B" w:rsidRPr="0028616A">
        <w:rPr>
          <w:rFonts w:ascii="Arial" w:hAnsi="Arial" w:cs="Arial"/>
          <w:sz w:val="20"/>
          <w:szCs w:val="20"/>
        </w:rPr>
        <w:t xml:space="preserve"> at 15, 30</w:t>
      </w:r>
      <w:r w:rsidR="0007333A" w:rsidRPr="0028616A">
        <w:rPr>
          <w:rFonts w:ascii="Arial" w:hAnsi="Arial" w:cs="Arial"/>
          <w:sz w:val="20"/>
          <w:szCs w:val="20"/>
        </w:rPr>
        <w:t xml:space="preserve"> and 45 DAS, respectively</w:t>
      </w:r>
      <w:r w:rsidR="00130DCF" w:rsidRPr="0028616A">
        <w:rPr>
          <w:rFonts w:ascii="Arial" w:hAnsi="Arial" w:cs="Arial"/>
          <w:sz w:val="20"/>
          <w:szCs w:val="20"/>
        </w:rPr>
        <w:t>. The weed-free check</w:t>
      </w:r>
      <w:r w:rsidR="00A7583F" w:rsidRPr="0028616A">
        <w:rPr>
          <w:rFonts w:ascii="Arial" w:hAnsi="Arial" w:cs="Arial"/>
          <w:sz w:val="20"/>
          <w:szCs w:val="20"/>
        </w:rPr>
        <w:t>(T</w:t>
      </w:r>
      <w:r w:rsidR="00A7583F" w:rsidRPr="0028616A">
        <w:rPr>
          <w:rFonts w:ascii="Arial" w:hAnsi="Arial" w:cs="Arial"/>
          <w:sz w:val="20"/>
          <w:szCs w:val="20"/>
          <w:vertAlign w:val="subscript"/>
        </w:rPr>
        <w:t>11</w:t>
      </w:r>
      <w:r w:rsidR="00A7583F" w:rsidRPr="0028616A">
        <w:rPr>
          <w:rFonts w:ascii="Arial" w:hAnsi="Arial" w:cs="Arial"/>
          <w:sz w:val="20"/>
          <w:szCs w:val="20"/>
        </w:rPr>
        <w:t>)</w:t>
      </w:r>
      <w:r w:rsidR="00130DCF" w:rsidRPr="0028616A">
        <w:rPr>
          <w:rFonts w:ascii="Arial" w:hAnsi="Arial" w:cs="Arial"/>
          <w:sz w:val="20"/>
          <w:szCs w:val="20"/>
        </w:rPr>
        <w:t xml:space="preserve"> produced higher grain</w:t>
      </w:r>
      <w:r w:rsidR="00A7583F" w:rsidRPr="0028616A">
        <w:rPr>
          <w:rFonts w:ascii="Arial" w:hAnsi="Arial" w:cs="Arial"/>
          <w:sz w:val="20"/>
          <w:szCs w:val="20"/>
        </w:rPr>
        <w:t>(</w:t>
      </w:r>
      <w:r w:rsidR="007E7D30" w:rsidRPr="0028616A">
        <w:rPr>
          <w:rFonts w:ascii="Arial" w:hAnsi="Arial" w:cs="Arial"/>
          <w:sz w:val="20"/>
          <w:szCs w:val="20"/>
        </w:rPr>
        <w:t>39.5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130DCF" w:rsidRPr="0028616A">
        <w:rPr>
          <w:rFonts w:ascii="Arial" w:hAnsi="Arial" w:cs="Arial"/>
          <w:sz w:val="20"/>
          <w:szCs w:val="20"/>
        </w:rPr>
        <w:t xml:space="preserve"> and straw </w:t>
      </w:r>
      <w:r w:rsidR="0001608B" w:rsidRPr="0028616A">
        <w:rPr>
          <w:rFonts w:ascii="Arial" w:hAnsi="Arial" w:cs="Arial"/>
          <w:sz w:val="20"/>
          <w:szCs w:val="20"/>
        </w:rPr>
        <w:t>yields</w:t>
      </w:r>
      <w:r w:rsidR="007E7D30" w:rsidRPr="0028616A">
        <w:rPr>
          <w:rFonts w:ascii="Arial" w:hAnsi="Arial" w:cs="Arial"/>
          <w:sz w:val="20"/>
          <w:szCs w:val="20"/>
        </w:rPr>
        <w:t xml:space="preserve"> </w:t>
      </w:r>
      <w:r w:rsidR="00A7583F" w:rsidRPr="0028616A">
        <w:rPr>
          <w:rFonts w:ascii="Arial" w:hAnsi="Arial" w:cs="Arial"/>
          <w:sz w:val="20"/>
          <w:szCs w:val="20"/>
        </w:rPr>
        <w:t>(</w:t>
      </w:r>
      <w:r w:rsidR="007E7D30" w:rsidRPr="0028616A">
        <w:rPr>
          <w:rFonts w:ascii="Arial" w:hAnsi="Arial" w:cs="Arial"/>
          <w:sz w:val="20"/>
          <w:szCs w:val="20"/>
        </w:rPr>
        <w:t>45.05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01608B" w:rsidRPr="0028616A">
        <w:rPr>
          <w:rFonts w:ascii="Arial" w:hAnsi="Arial" w:cs="Arial"/>
          <w:sz w:val="20"/>
          <w:szCs w:val="20"/>
        </w:rPr>
        <w:t>, which were statistically comparable to</w:t>
      </w:r>
      <w:r w:rsidR="00130DCF" w:rsidRPr="0028616A">
        <w:rPr>
          <w:rFonts w:ascii="Arial" w:hAnsi="Arial" w:cs="Arial"/>
          <w:sz w:val="20"/>
          <w:szCs w:val="20"/>
        </w:rPr>
        <w:t xml:space="preserve"> pretilachlor </w:t>
      </w:r>
      <w:r w:rsidR="00A7583F" w:rsidRPr="0028616A">
        <w:rPr>
          <w:rFonts w:ascii="Arial" w:hAnsi="Arial" w:cs="Arial"/>
          <w:sz w:val="20"/>
          <w:szCs w:val="20"/>
        </w:rPr>
        <w:t xml:space="preserve">(pre-emergence) </w:t>
      </w:r>
      <w:r w:rsidR="00130DCF" w:rsidRPr="0028616A">
        <w:rPr>
          <w:rFonts w:ascii="Arial" w:hAnsi="Arial" w:cs="Arial"/>
          <w:sz w:val="20"/>
          <w:szCs w:val="20"/>
        </w:rPr>
        <w:t>@ 750 g a.i. ha</w:t>
      </w:r>
      <w:r w:rsidR="00130DCF" w:rsidRPr="0028616A">
        <w:rPr>
          <w:rFonts w:ascii="Arial" w:hAnsi="Arial" w:cs="Arial"/>
          <w:sz w:val="20"/>
          <w:szCs w:val="20"/>
          <w:vertAlign w:val="superscript"/>
        </w:rPr>
        <w:t>-1</w:t>
      </w:r>
      <w:r w:rsidR="00130DCF" w:rsidRPr="0028616A">
        <w:rPr>
          <w:rFonts w:ascii="Arial" w:hAnsi="Arial" w:cs="Arial"/>
          <w:sz w:val="20"/>
          <w:szCs w:val="20"/>
        </w:rPr>
        <w:t xml:space="preserve"> at 3 DAS </w:t>
      </w:r>
      <w:r w:rsidR="00A7583F" w:rsidRPr="0028616A">
        <w:rPr>
          <w:rFonts w:ascii="Arial" w:hAnsi="Arial" w:cs="Arial"/>
          <w:sz w:val="20"/>
          <w:szCs w:val="20"/>
        </w:rPr>
        <w:t xml:space="preserve">+ </w:t>
      </w:r>
      <w:proofErr w:type="spellStart"/>
      <w:r w:rsidR="00A7583F" w:rsidRPr="0028616A">
        <w:rPr>
          <w:rFonts w:ascii="Arial" w:hAnsi="Arial" w:cs="Arial"/>
          <w:sz w:val="20"/>
          <w:szCs w:val="20"/>
        </w:rPr>
        <w:t>h</w:t>
      </w:r>
      <w:r w:rsidR="00130DCF" w:rsidRPr="0028616A">
        <w:rPr>
          <w:rFonts w:ascii="Arial" w:hAnsi="Arial" w:cs="Arial"/>
          <w:sz w:val="20"/>
          <w:szCs w:val="20"/>
        </w:rPr>
        <w:t>alosulfuron</w:t>
      </w:r>
      <w:proofErr w:type="spellEnd"/>
      <w:r w:rsidR="00130DCF" w:rsidRPr="0028616A">
        <w:rPr>
          <w:rFonts w:ascii="Arial" w:hAnsi="Arial" w:cs="Arial"/>
          <w:sz w:val="20"/>
          <w:szCs w:val="20"/>
        </w:rPr>
        <w:t xml:space="preserve">-methyl </w:t>
      </w:r>
      <w:r w:rsidR="00A7583F" w:rsidRPr="0028616A">
        <w:rPr>
          <w:rFonts w:ascii="Arial" w:hAnsi="Arial" w:cs="Arial"/>
          <w:sz w:val="20"/>
          <w:szCs w:val="20"/>
        </w:rPr>
        <w:t xml:space="preserve">(post-emergence) </w:t>
      </w:r>
      <w:r w:rsidR="00130DCF" w:rsidRPr="0028616A">
        <w:rPr>
          <w:rFonts w:ascii="Arial" w:hAnsi="Arial" w:cs="Arial"/>
          <w:sz w:val="20"/>
          <w:szCs w:val="20"/>
        </w:rPr>
        <w:t>@ 70 g a.i. ha</w:t>
      </w:r>
      <w:r w:rsidR="00130DCF" w:rsidRPr="0028616A">
        <w:rPr>
          <w:rFonts w:ascii="Arial" w:hAnsi="Arial" w:cs="Arial"/>
          <w:sz w:val="20"/>
          <w:szCs w:val="20"/>
          <w:vertAlign w:val="superscript"/>
        </w:rPr>
        <w:t>-1</w:t>
      </w:r>
      <w:r w:rsidR="00130DCF" w:rsidRPr="0028616A">
        <w:rPr>
          <w:rFonts w:ascii="Arial" w:hAnsi="Arial" w:cs="Arial"/>
          <w:sz w:val="20"/>
          <w:szCs w:val="20"/>
        </w:rPr>
        <w:t xml:space="preserve"> at 25 DAS</w:t>
      </w:r>
      <w:r w:rsidR="00A7583F" w:rsidRPr="0028616A">
        <w:rPr>
          <w:rFonts w:ascii="Arial" w:hAnsi="Arial" w:cs="Arial"/>
          <w:sz w:val="20"/>
          <w:szCs w:val="20"/>
        </w:rPr>
        <w:t xml:space="preserve"> (T</w:t>
      </w:r>
      <w:r w:rsidR="00A7583F" w:rsidRPr="0028616A">
        <w:rPr>
          <w:rFonts w:ascii="Arial" w:hAnsi="Arial" w:cs="Arial"/>
          <w:sz w:val="20"/>
          <w:szCs w:val="20"/>
          <w:vertAlign w:val="subscript"/>
        </w:rPr>
        <w:t>10</w:t>
      </w:r>
      <w:r w:rsidR="00A7583F" w:rsidRPr="0028616A">
        <w:rPr>
          <w:rFonts w:ascii="Arial" w:hAnsi="Arial" w:cs="Arial"/>
          <w:sz w:val="20"/>
          <w:szCs w:val="20"/>
        </w:rPr>
        <w:t>)</w:t>
      </w:r>
      <w:r w:rsidR="00130DCF" w:rsidRPr="0028616A">
        <w:rPr>
          <w:rFonts w:ascii="Arial" w:hAnsi="Arial" w:cs="Arial"/>
          <w:sz w:val="20"/>
          <w:szCs w:val="20"/>
        </w:rPr>
        <w:t xml:space="preserve">. </w:t>
      </w:r>
      <w:r w:rsidR="002550FD" w:rsidRPr="0028616A">
        <w:rPr>
          <w:rFonts w:ascii="Arial" w:hAnsi="Arial" w:cs="Arial"/>
          <w:sz w:val="20"/>
          <w:szCs w:val="20"/>
        </w:rPr>
        <w:t xml:space="preserve">In </w:t>
      </w:r>
      <w:proofErr w:type="spellStart"/>
      <w:r w:rsidR="002550FD" w:rsidRPr="0028616A">
        <w:rPr>
          <w:rFonts w:ascii="Arial" w:hAnsi="Arial" w:cs="Arial"/>
          <w:sz w:val="20"/>
          <w:szCs w:val="20"/>
        </w:rPr>
        <w:t>contast</w:t>
      </w:r>
      <w:proofErr w:type="spellEnd"/>
      <w:r w:rsidR="00130DCF" w:rsidRPr="0028616A">
        <w:rPr>
          <w:rFonts w:ascii="Arial" w:hAnsi="Arial" w:cs="Arial"/>
          <w:sz w:val="20"/>
          <w:szCs w:val="20"/>
        </w:rPr>
        <w:t xml:space="preserve">, the </w:t>
      </w:r>
      <w:proofErr w:type="spellStart"/>
      <w:r w:rsidR="00130DCF" w:rsidRPr="0028616A">
        <w:rPr>
          <w:rFonts w:ascii="Arial" w:hAnsi="Arial" w:cs="Arial"/>
          <w:sz w:val="20"/>
          <w:szCs w:val="20"/>
        </w:rPr>
        <w:t>unweeded</w:t>
      </w:r>
      <w:proofErr w:type="spellEnd"/>
      <w:r w:rsidR="00130DCF" w:rsidRPr="0028616A">
        <w:rPr>
          <w:rFonts w:ascii="Arial" w:hAnsi="Arial" w:cs="Arial"/>
          <w:sz w:val="20"/>
          <w:szCs w:val="20"/>
        </w:rPr>
        <w:t xml:space="preserve"> control (T</w:t>
      </w:r>
      <w:r w:rsidR="00130DCF" w:rsidRPr="0028616A">
        <w:rPr>
          <w:rFonts w:ascii="Arial" w:hAnsi="Arial" w:cs="Arial"/>
          <w:sz w:val="20"/>
          <w:szCs w:val="20"/>
          <w:vertAlign w:val="subscript"/>
        </w:rPr>
        <w:t>12</w:t>
      </w:r>
      <w:r w:rsidR="00130DCF" w:rsidRPr="0028616A">
        <w:rPr>
          <w:rFonts w:ascii="Arial" w:hAnsi="Arial" w:cs="Arial"/>
          <w:sz w:val="20"/>
          <w:szCs w:val="20"/>
        </w:rPr>
        <w:t xml:space="preserve">) recorded </w:t>
      </w:r>
      <w:r w:rsidR="00765AB0" w:rsidRPr="0028616A">
        <w:rPr>
          <w:rFonts w:ascii="Arial" w:hAnsi="Arial" w:cs="Arial"/>
          <w:sz w:val="20"/>
          <w:szCs w:val="20"/>
        </w:rPr>
        <w:t xml:space="preserve">the highest </w:t>
      </w:r>
      <w:r w:rsidR="00A7583F" w:rsidRPr="0028616A">
        <w:rPr>
          <w:rFonts w:ascii="Arial" w:hAnsi="Arial" w:cs="Arial"/>
          <w:sz w:val="20"/>
          <w:szCs w:val="20"/>
        </w:rPr>
        <w:t xml:space="preserve">total </w:t>
      </w:r>
      <w:r w:rsidR="00765AB0" w:rsidRPr="0028616A">
        <w:rPr>
          <w:rFonts w:ascii="Arial" w:hAnsi="Arial" w:cs="Arial"/>
          <w:sz w:val="20"/>
          <w:szCs w:val="20"/>
        </w:rPr>
        <w:t xml:space="preserve">weed density </w:t>
      </w:r>
      <w:r w:rsidR="00A7583F" w:rsidRPr="0028616A">
        <w:rPr>
          <w:rFonts w:ascii="Arial" w:hAnsi="Arial" w:cs="Arial"/>
          <w:sz w:val="20"/>
          <w:szCs w:val="20"/>
        </w:rPr>
        <w:t>and weed dry weight</w:t>
      </w:r>
      <w:r w:rsidR="002550FD" w:rsidRPr="0028616A">
        <w:rPr>
          <w:rFonts w:ascii="Arial" w:hAnsi="Arial" w:cs="Arial"/>
          <w:sz w:val="20"/>
          <w:szCs w:val="20"/>
        </w:rPr>
        <w:t xml:space="preserve">, </w:t>
      </w:r>
      <w:r w:rsidR="00130DCF" w:rsidRPr="0028616A">
        <w:rPr>
          <w:rFonts w:ascii="Arial" w:hAnsi="Arial" w:cs="Arial"/>
          <w:sz w:val="20"/>
          <w:szCs w:val="20"/>
        </w:rPr>
        <w:t xml:space="preserve">reduced crop growth and yield due to severe </w:t>
      </w:r>
      <w:r w:rsidR="00A7583F" w:rsidRPr="0028616A">
        <w:rPr>
          <w:rFonts w:ascii="Arial" w:hAnsi="Arial" w:cs="Arial"/>
          <w:sz w:val="20"/>
          <w:szCs w:val="20"/>
        </w:rPr>
        <w:t>crop-</w:t>
      </w:r>
      <w:r w:rsidR="00130DCF" w:rsidRPr="0028616A">
        <w:rPr>
          <w:rFonts w:ascii="Arial" w:hAnsi="Arial" w:cs="Arial"/>
          <w:sz w:val="20"/>
          <w:szCs w:val="20"/>
        </w:rPr>
        <w:t xml:space="preserve">weed competition. </w:t>
      </w:r>
      <w:r w:rsidR="00130DCF" w:rsidRPr="007851E3">
        <w:rPr>
          <w:rFonts w:ascii="Arial" w:hAnsi="Arial" w:cs="Arial"/>
          <w:sz w:val="20"/>
          <w:szCs w:val="20"/>
        </w:rPr>
        <w:t xml:space="preserve">This study </w:t>
      </w:r>
      <w:r w:rsidR="003C6419" w:rsidRPr="007851E3">
        <w:rPr>
          <w:rFonts w:ascii="Arial" w:hAnsi="Arial" w:cs="Arial"/>
          <w:sz w:val="20"/>
          <w:szCs w:val="20"/>
        </w:rPr>
        <w:t xml:space="preserve">suggests that the sequential application of pretilachlor followed by </w:t>
      </w:r>
      <w:proofErr w:type="spellStart"/>
      <w:r w:rsidR="003C6419" w:rsidRPr="007851E3">
        <w:rPr>
          <w:rFonts w:ascii="Arial" w:hAnsi="Arial" w:cs="Arial"/>
          <w:sz w:val="20"/>
          <w:szCs w:val="20"/>
        </w:rPr>
        <w:t>halosulfuron</w:t>
      </w:r>
      <w:proofErr w:type="spellEnd"/>
      <w:r w:rsidR="003C6419" w:rsidRPr="007851E3">
        <w:rPr>
          <w:rFonts w:ascii="Arial" w:hAnsi="Arial" w:cs="Arial"/>
          <w:sz w:val="20"/>
          <w:szCs w:val="20"/>
        </w:rPr>
        <w:t>-methyl has potential for effective weed management in quinoa under controlled conditions; however, further validation through field experiments is necessary before making broader agronomic recommendations.</w:t>
      </w:r>
    </w:p>
    <w:p w14:paraId="5F960481" w14:textId="34F4B704" w:rsidR="005B27E5" w:rsidRPr="0028616A" w:rsidRDefault="005B27E5" w:rsidP="0028616A">
      <w:pPr>
        <w:spacing w:before="240" w:line="240" w:lineRule="auto"/>
        <w:jc w:val="both"/>
        <w:rPr>
          <w:rFonts w:ascii="Arial" w:hAnsi="Arial" w:cs="Arial"/>
          <w:i/>
          <w:iCs/>
          <w:sz w:val="20"/>
          <w:szCs w:val="20"/>
        </w:rPr>
      </w:pPr>
      <w:r w:rsidRPr="0028616A">
        <w:rPr>
          <w:rFonts w:ascii="Arial" w:hAnsi="Arial" w:cs="Arial"/>
          <w:i/>
          <w:iCs/>
          <w:sz w:val="20"/>
          <w:szCs w:val="20"/>
        </w:rPr>
        <w:t>Key words</w:t>
      </w:r>
      <w:r w:rsidR="00F47E82" w:rsidRPr="0028616A">
        <w:rPr>
          <w:rFonts w:ascii="Arial" w:hAnsi="Arial" w:cs="Arial"/>
          <w:i/>
          <w:iCs/>
          <w:sz w:val="20"/>
          <w:szCs w:val="20"/>
        </w:rPr>
        <w:t>: Chemical control; Growth components; Weed management</w:t>
      </w:r>
      <w:r w:rsidR="00661E2F">
        <w:rPr>
          <w:rFonts w:ascii="Arial" w:hAnsi="Arial" w:cs="Arial"/>
          <w:i/>
          <w:iCs/>
          <w:sz w:val="20"/>
          <w:szCs w:val="20"/>
        </w:rPr>
        <w:t xml:space="preserve">, </w:t>
      </w:r>
      <w:r w:rsidR="00F47E82" w:rsidRPr="0028616A">
        <w:rPr>
          <w:rFonts w:ascii="Arial" w:hAnsi="Arial" w:cs="Arial"/>
          <w:i/>
          <w:iCs/>
          <w:sz w:val="20"/>
          <w:szCs w:val="20"/>
        </w:rPr>
        <w:t>Yield</w:t>
      </w:r>
    </w:p>
    <w:p w14:paraId="50BCA050" w14:textId="6E1B2AB7" w:rsidR="00850BAA" w:rsidRPr="0028616A" w:rsidRDefault="00850BAA" w:rsidP="0028616A">
      <w:pPr>
        <w:spacing w:before="240" w:line="240" w:lineRule="auto"/>
        <w:jc w:val="both"/>
        <w:rPr>
          <w:rFonts w:ascii="Arial" w:hAnsi="Arial" w:cs="Arial"/>
          <w:b/>
          <w:bCs/>
          <w:sz w:val="20"/>
          <w:szCs w:val="20"/>
        </w:rPr>
      </w:pPr>
      <w:r w:rsidRPr="0028616A">
        <w:rPr>
          <w:rFonts w:ascii="Arial" w:hAnsi="Arial" w:cs="Arial"/>
          <w:b/>
          <w:bCs/>
          <w:sz w:val="20"/>
          <w:szCs w:val="20"/>
        </w:rPr>
        <w:t>1. INTRODUCTION</w:t>
      </w:r>
    </w:p>
    <w:p w14:paraId="4F25CC60" w14:textId="712E458C" w:rsidR="001B7736" w:rsidRPr="0028616A" w:rsidRDefault="00017B88" w:rsidP="0028616A">
      <w:pPr>
        <w:spacing w:line="240" w:lineRule="auto"/>
        <w:ind w:firstLine="720"/>
        <w:jc w:val="both"/>
        <w:rPr>
          <w:rFonts w:ascii="Arial" w:hAnsi="Arial" w:cs="Arial"/>
          <w:sz w:val="20"/>
          <w:szCs w:val="20"/>
        </w:rPr>
      </w:pPr>
      <w:r w:rsidRPr="0028616A">
        <w:rPr>
          <w:rFonts w:ascii="Arial" w:hAnsi="Arial" w:cs="Arial"/>
          <w:sz w:val="20"/>
          <w:szCs w:val="20"/>
        </w:rPr>
        <w:t>Quinoa (</w:t>
      </w:r>
      <w:r w:rsidRPr="0028616A">
        <w:rPr>
          <w:rFonts w:ascii="Arial" w:hAnsi="Arial" w:cs="Arial"/>
          <w:i/>
          <w:iCs/>
          <w:sz w:val="20"/>
          <w:szCs w:val="20"/>
        </w:rPr>
        <w:t>Chenopodium quinoa Wild.</w:t>
      </w:r>
      <w:r w:rsidRPr="0028616A">
        <w:rPr>
          <w:rFonts w:ascii="Arial" w:hAnsi="Arial" w:cs="Arial"/>
          <w:sz w:val="20"/>
          <w:szCs w:val="20"/>
        </w:rPr>
        <w:t>)</w:t>
      </w:r>
      <w:r w:rsidR="00751A66" w:rsidRPr="0028616A">
        <w:rPr>
          <w:rFonts w:ascii="Arial" w:hAnsi="Arial" w:cs="Arial"/>
          <w:sz w:val="20"/>
          <w:szCs w:val="20"/>
        </w:rPr>
        <w:t>, a traditional pseudo-cereal from the Andean highlands, has known as a viable,</w:t>
      </w:r>
      <w:r w:rsidRPr="0028616A">
        <w:rPr>
          <w:rFonts w:ascii="Arial" w:hAnsi="Arial" w:cs="Arial"/>
          <w:sz w:val="20"/>
          <w:szCs w:val="20"/>
        </w:rPr>
        <w:t xml:space="preserve"> sustainable</w:t>
      </w:r>
      <w:r w:rsidR="00062F7F" w:rsidRPr="0028616A">
        <w:rPr>
          <w:rFonts w:ascii="Arial" w:hAnsi="Arial" w:cs="Arial"/>
          <w:sz w:val="20"/>
          <w:szCs w:val="20"/>
        </w:rPr>
        <w:t xml:space="preserve"> </w:t>
      </w:r>
      <w:r w:rsidRPr="0028616A">
        <w:rPr>
          <w:rFonts w:ascii="Arial" w:hAnsi="Arial" w:cs="Arial"/>
          <w:sz w:val="20"/>
          <w:szCs w:val="20"/>
        </w:rPr>
        <w:t xml:space="preserve">crop </w:t>
      </w:r>
      <w:r w:rsidR="0001608B" w:rsidRPr="0028616A">
        <w:rPr>
          <w:rFonts w:ascii="Arial" w:hAnsi="Arial" w:cs="Arial"/>
          <w:sz w:val="20"/>
          <w:szCs w:val="20"/>
        </w:rPr>
        <w:t>due to its exceptional nutritional qualities and</w:t>
      </w:r>
      <w:r w:rsidR="007E7D30" w:rsidRPr="0028616A">
        <w:rPr>
          <w:rFonts w:ascii="Arial" w:hAnsi="Arial" w:cs="Arial"/>
          <w:sz w:val="20"/>
          <w:szCs w:val="20"/>
        </w:rPr>
        <w:t xml:space="preserve"> </w:t>
      </w:r>
      <w:r w:rsidR="0001608B" w:rsidRPr="0028616A">
        <w:rPr>
          <w:rFonts w:ascii="Arial" w:hAnsi="Arial" w:cs="Arial"/>
          <w:sz w:val="20"/>
          <w:szCs w:val="20"/>
        </w:rPr>
        <w:t xml:space="preserve">ability to thrive </w:t>
      </w:r>
      <w:r w:rsidR="00062F7F" w:rsidRPr="0028616A">
        <w:rPr>
          <w:rFonts w:ascii="Arial" w:hAnsi="Arial" w:cs="Arial"/>
          <w:sz w:val="20"/>
          <w:szCs w:val="20"/>
        </w:rPr>
        <w:t>under</w:t>
      </w:r>
      <w:r w:rsidRPr="0028616A">
        <w:rPr>
          <w:rFonts w:ascii="Arial" w:hAnsi="Arial" w:cs="Arial"/>
          <w:sz w:val="20"/>
          <w:szCs w:val="20"/>
        </w:rPr>
        <w:t xml:space="preserve"> harsh environment</w:t>
      </w:r>
      <w:r w:rsidR="00062F7F" w:rsidRPr="0028616A">
        <w:rPr>
          <w:rFonts w:ascii="Arial" w:hAnsi="Arial" w:cs="Arial"/>
          <w:sz w:val="20"/>
          <w:szCs w:val="20"/>
        </w:rPr>
        <w:t>al conditions such as drought and salinity</w:t>
      </w:r>
      <w:r w:rsidRPr="0028616A">
        <w:rPr>
          <w:rFonts w:ascii="Arial" w:hAnsi="Arial" w:cs="Arial"/>
          <w:sz w:val="20"/>
          <w:szCs w:val="20"/>
        </w:rPr>
        <w:t xml:space="preserve"> (Harshabardhan </w:t>
      </w:r>
      <w:r w:rsidRPr="0028616A">
        <w:rPr>
          <w:rFonts w:ascii="Arial" w:hAnsi="Arial" w:cs="Arial"/>
          <w:i/>
          <w:iCs/>
          <w:sz w:val="20"/>
          <w:szCs w:val="20"/>
        </w:rPr>
        <w:t>et al</w:t>
      </w:r>
      <w:r w:rsidRPr="0028616A">
        <w:rPr>
          <w:rFonts w:ascii="Arial" w:hAnsi="Arial" w:cs="Arial"/>
          <w:sz w:val="20"/>
          <w:szCs w:val="20"/>
        </w:rPr>
        <w:t xml:space="preserve">., 2025). </w:t>
      </w:r>
      <w:r w:rsidR="00062F7F" w:rsidRPr="0028616A">
        <w:rPr>
          <w:rFonts w:ascii="Arial" w:hAnsi="Arial" w:cs="Arial"/>
          <w:sz w:val="20"/>
          <w:szCs w:val="20"/>
        </w:rPr>
        <w:t xml:space="preserve">Owing to its complete protein composition containing essential amino acids, it has gained global recognition as a “super food” or “golden grain” and is increasingly promoted to address food security challenges </w:t>
      </w:r>
      <w:r w:rsidR="00D433DC">
        <w:rPr>
          <w:rFonts w:ascii="Arial" w:hAnsi="Arial" w:cs="Arial"/>
          <w:sz w:val="20"/>
          <w:szCs w:val="20"/>
        </w:rPr>
        <w:t>[1,2]</w:t>
      </w:r>
      <w:r w:rsidR="00062F7F" w:rsidRPr="0028616A">
        <w:rPr>
          <w:rFonts w:ascii="Arial" w:hAnsi="Arial" w:cs="Arial"/>
          <w:sz w:val="20"/>
          <w:szCs w:val="20"/>
        </w:rPr>
        <w:t xml:space="preserve">. </w:t>
      </w:r>
      <w:r w:rsidR="003F6DE9" w:rsidRPr="0028616A">
        <w:rPr>
          <w:rFonts w:ascii="Arial" w:hAnsi="Arial" w:cs="Arial"/>
          <w:sz w:val="20"/>
          <w:szCs w:val="20"/>
        </w:rPr>
        <w:t>Agronomically</w:t>
      </w:r>
      <w:r w:rsidR="00751A66" w:rsidRPr="0028616A">
        <w:rPr>
          <w:rFonts w:ascii="Arial" w:hAnsi="Arial" w:cs="Arial"/>
          <w:sz w:val="20"/>
          <w:szCs w:val="20"/>
        </w:rPr>
        <w:t>, quinoa is a highly versatile annual herbaceous plant belonging to the Amaranthaceae family and is grown worldwide across</w:t>
      </w:r>
      <w:r w:rsidR="003F6DE9" w:rsidRPr="0028616A">
        <w:rPr>
          <w:rFonts w:ascii="Arial" w:hAnsi="Arial" w:cs="Arial"/>
          <w:sz w:val="20"/>
          <w:szCs w:val="20"/>
        </w:rPr>
        <w:t xml:space="preserve"> 1,26,000 hectares, with a production of 1.03 lakh tonnes. In India</w:t>
      </w:r>
      <w:r w:rsidR="00751A66" w:rsidRPr="0028616A">
        <w:rPr>
          <w:rFonts w:ascii="Arial" w:hAnsi="Arial" w:cs="Arial"/>
          <w:sz w:val="20"/>
          <w:szCs w:val="20"/>
        </w:rPr>
        <w:t>,</w:t>
      </w:r>
      <w:r w:rsidR="003F6DE9" w:rsidRPr="0028616A">
        <w:rPr>
          <w:rFonts w:ascii="Arial" w:hAnsi="Arial" w:cs="Arial"/>
          <w:sz w:val="20"/>
          <w:szCs w:val="20"/>
        </w:rPr>
        <w:t xml:space="preserve"> it is cultivated around 440 hectares, with a production of 1053 tonnes</w:t>
      </w:r>
      <w:r w:rsidR="00D433DC">
        <w:rPr>
          <w:rFonts w:ascii="Arial" w:hAnsi="Arial" w:cs="Arial"/>
          <w:sz w:val="20"/>
          <w:szCs w:val="20"/>
        </w:rPr>
        <w:t>.</w:t>
      </w:r>
    </w:p>
    <w:p w14:paraId="4B01E1F0" w14:textId="2E641C62" w:rsidR="004053EB" w:rsidRPr="007851E3" w:rsidRDefault="00B74470" w:rsidP="0028616A">
      <w:pPr>
        <w:spacing w:line="240" w:lineRule="auto"/>
        <w:ind w:firstLine="720"/>
        <w:jc w:val="both"/>
        <w:rPr>
          <w:rFonts w:ascii="Arial" w:hAnsi="Arial" w:cs="Arial"/>
          <w:color w:val="1F1F1F"/>
          <w:sz w:val="20"/>
          <w:szCs w:val="20"/>
        </w:rPr>
      </w:pPr>
      <w:r w:rsidRPr="007851E3">
        <w:rPr>
          <w:rFonts w:ascii="Arial" w:hAnsi="Arial" w:cs="Arial"/>
          <w:sz w:val="20"/>
          <w:szCs w:val="20"/>
        </w:rPr>
        <w:t xml:space="preserve">Despite its potential, quinoa cultivation in India is constrained by the lack of standardized agronomic practices, particularly under diverse </w:t>
      </w:r>
      <w:proofErr w:type="spellStart"/>
      <w:r w:rsidRPr="007851E3">
        <w:rPr>
          <w:rFonts w:ascii="Arial" w:hAnsi="Arial" w:cs="Arial"/>
          <w:sz w:val="20"/>
          <w:szCs w:val="20"/>
        </w:rPr>
        <w:t>agro</w:t>
      </w:r>
      <w:proofErr w:type="spellEnd"/>
      <w:r w:rsidRPr="007851E3">
        <w:rPr>
          <w:rFonts w:ascii="Arial" w:hAnsi="Arial" w:cs="Arial"/>
          <w:sz w:val="20"/>
          <w:szCs w:val="20"/>
        </w:rPr>
        <w:t>-ecological conditions. Among the production constraints, weed management remains</w:t>
      </w:r>
      <w:r w:rsidR="00062F7F" w:rsidRPr="007851E3">
        <w:rPr>
          <w:rFonts w:ascii="Arial" w:hAnsi="Arial" w:cs="Arial"/>
          <w:sz w:val="20"/>
          <w:szCs w:val="20"/>
        </w:rPr>
        <w:t xml:space="preserve"> </w:t>
      </w:r>
      <w:r w:rsidRPr="007851E3">
        <w:rPr>
          <w:rFonts w:ascii="Arial" w:hAnsi="Arial" w:cs="Arial"/>
          <w:sz w:val="20"/>
          <w:szCs w:val="20"/>
        </w:rPr>
        <w:t xml:space="preserve">a major challenge, especially during early crop growth stages when quinoa exhibits slow initial growth and poor competitive ability. Under field conditions, heavy weed infestation is seen dominated by species such as </w:t>
      </w:r>
      <w:r w:rsidRPr="007851E3">
        <w:rPr>
          <w:rFonts w:ascii="Arial" w:hAnsi="Arial" w:cs="Arial"/>
          <w:i/>
          <w:iCs/>
          <w:sz w:val="20"/>
          <w:szCs w:val="20"/>
        </w:rPr>
        <w:t>Chenopodium album</w:t>
      </w:r>
      <w:r w:rsidRPr="007851E3">
        <w:rPr>
          <w:rFonts w:ascii="Arial" w:hAnsi="Arial" w:cs="Arial"/>
          <w:sz w:val="20"/>
          <w:szCs w:val="20"/>
        </w:rPr>
        <w:t xml:space="preserve">, </w:t>
      </w:r>
      <w:r w:rsidRPr="007851E3">
        <w:rPr>
          <w:rFonts w:ascii="Arial" w:hAnsi="Arial" w:cs="Arial"/>
          <w:i/>
          <w:iCs/>
          <w:sz w:val="20"/>
          <w:szCs w:val="20"/>
        </w:rPr>
        <w:t>Amaranthus spp</w:t>
      </w:r>
      <w:r w:rsidRPr="007851E3">
        <w:rPr>
          <w:rFonts w:ascii="Arial" w:hAnsi="Arial" w:cs="Arial"/>
          <w:sz w:val="20"/>
          <w:szCs w:val="20"/>
        </w:rPr>
        <w:t xml:space="preserve">., </w:t>
      </w:r>
      <w:proofErr w:type="spellStart"/>
      <w:r w:rsidRPr="007851E3">
        <w:rPr>
          <w:rFonts w:ascii="Arial" w:hAnsi="Arial" w:cs="Arial"/>
          <w:i/>
          <w:iCs/>
          <w:sz w:val="20"/>
          <w:szCs w:val="20"/>
        </w:rPr>
        <w:t>Cyperus</w:t>
      </w:r>
      <w:proofErr w:type="spellEnd"/>
      <w:r w:rsidRPr="007851E3">
        <w:rPr>
          <w:rFonts w:ascii="Arial" w:hAnsi="Arial" w:cs="Arial"/>
          <w:i/>
          <w:iCs/>
          <w:sz w:val="20"/>
          <w:szCs w:val="20"/>
        </w:rPr>
        <w:t xml:space="preserve"> </w:t>
      </w:r>
      <w:proofErr w:type="spellStart"/>
      <w:r w:rsidRPr="007851E3">
        <w:rPr>
          <w:rFonts w:ascii="Arial" w:hAnsi="Arial" w:cs="Arial"/>
          <w:i/>
          <w:iCs/>
          <w:sz w:val="20"/>
          <w:szCs w:val="20"/>
        </w:rPr>
        <w:t>spp</w:t>
      </w:r>
      <w:proofErr w:type="spellEnd"/>
      <w:r w:rsidRPr="007851E3">
        <w:rPr>
          <w:rFonts w:ascii="Arial" w:hAnsi="Arial" w:cs="Arial"/>
          <w:sz w:val="20"/>
          <w:szCs w:val="20"/>
        </w:rPr>
        <w:t xml:space="preserve">; and </w:t>
      </w:r>
      <w:proofErr w:type="spellStart"/>
      <w:r w:rsidRPr="007851E3">
        <w:rPr>
          <w:rFonts w:ascii="Arial" w:hAnsi="Arial" w:cs="Arial"/>
          <w:i/>
          <w:iCs/>
          <w:sz w:val="20"/>
          <w:szCs w:val="20"/>
        </w:rPr>
        <w:t>Echinocloa</w:t>
      </w:r>
      <w:proofErr w:type="spellEnd"/>
      <w:r w:rsidRPr="007851E3">
        <w:rPr>
          <w:rFonts w:ascii="Arial" w:hAnsi="Arial" w:cs="Arial"/>
          <w:i/>
          <w:iCs/>
          <w:sz w:val="20"/>
          <w:szCs w:val="20"/>
        </w:rPr>
        <w:t xml:space="preserve"> </w:t>
      </w:r>
      <w:proofErr w:type="spellStart"/>
      <w:r w:rsidRPr="007851E3">
        <w:rPr>
          <w:rFonts w:ascii="Arial" w:hAnsi="Arial" w:cs="Arial"/>
          <w:i/>
          <w:iCs/>
          <w:sz w:val="20"/>
          <w:szCs w:val="20"/>
        </w:rPr>
        <w:t>spp</w:t>
      </w:r>
      <w:proofErr w:type="spellEnd"/>
      <w:r w:rsidRPr="007851E3">
        <w:rPr>
          <w:rFonts w:ascii="Arial" w:hAnsi="Arial" w:cs="Arial"/>
          <w:sz w:val="20"/>
          <w:szCs w:val="20"/>
        </w:rPr>
        <w:t xml:space="preserve"> which can cause substantial yield losses due to intense competition for nutrient, moisture and light. Manual weeding, though effective, is labour-intensive, costly, and often impractical under large-scale cultivation, particularly during peak labour scarcity periods. Moreover, the absence of registered and crop-safe herbicides for quinoa in India, further aggravates the</w:t>
      </w:r>
      <w:r w:rsidRPr="007851E3">
        <w:rPr>
          <w:rFonts w:ascii="Arial" w:hAnsi="Arial" w:cs="Arial"/>
          <w:b/>
          <w:bCs/>
          <w:sz w:val="20"/>
          <w:szCs w:val="20"/>
        </w:rPr>
        <w:t xml:space="preserve"> </w:t>
      </w:r>
      <w:r w:rsidRPr="007851E3">
        <w:rPr>
          <w:rFonts w:ascii="Arial" w:hAnsi="Arial" w:cs="Arial"/>
          <w:sz w:val="20"/>
          <w:szCs w:val="20"/>
        </w:rPr>
        <w:t xml:space="preserve">problem, limiting farmers’ ability to adopt efficient weed control strategies </w:t>
      </w:r>
      <w:r w:rsidR="00D433DC" w:rsidRPr="007851E3">
        <w:rPr>
          <w:rFonts w:ascii="Arial" w:hAnsi="Arial" w:cs="Arial"/>
          <w:sz w:val="20"/>
          <w:szCs w:val="20"/>
        </w:rPr>
        <w:t>[3]</w:t>
      </w:r>
      <w:r w:rsidR="00AD166D" w:rsidRPr="007851E3">
        <w:rPr>
          <w:rFonts w:ascii="Arial" w:hAnsi="Arial" w:cs="Arial"/>
          <w:sz w:val="20"/>
          <w:szCs w:val="20"/>
        </w:rPr>
        <w:t>.</w:t>
      </w:r>
      <w:r w:rsidRPr="007851E3">
        <w:rPr>
          <w:rFonts w:ascii="Arial" w:hAnsi="Arial" w:cs="Arial"/>
          <w:sz w:val="20"/>
          <w:szCs w:val="20"/>
        </w:rPr>
        <w:t xml:space="preserve"> Inappropriate herbicide use under field conditions </w:t>
      </w:r>
      <w:r w:rsidRPr="007851E3">
        <w:rPr>
          <w:rFonts w:ascii="Arial" w:hAnsi="Arial" w:cs="Arial"/>
          <w:sz w:val="20"/>
          <w:szCs w:val="20"/>
        </w:rPr>
        <w:lastRenderedPageBreak/>
        <w:t>may also lead to phytotoxicity and yield reduction.</w:t>
      </w:r>
      <w:r w:rsidR="00AD166D" w:rsidRPr="007851E3">
        <w:rPr>
          <w:rFonts w:ascii="Arial" w:hAnsi="Arial" w:cs="Arial"/>
          <w:sz w:val="20"/>
          <w:szCs w:val="20"/>
        </w:rPr>
        <w:t xml:space="preserve"> Therefore, identifying safe, selective, and effective herbicide options and their combinations is crucial for minimizing weed competition and improving crop productivity.</w:t>
      </w:r>
    </w:p>
    <w:p w14:paraId="42B0ACB8" w14:textId="77777777" w:rsidR="00AD166D" w:rsidRDefault="00AD166D" w:rsidP="00AD166D">
      <w:pPr>
        <w:spacing w:line="240" w:lineRule="auto"/>
        <w:ind w:firstLine="720"/>
        <w:jc w:val="both"/>
        <w:rPr>
          <w:rFonts w:ascii="Arial" w:hAnsi="Arial" w:cs="Arial"/>
          <w:color w:val="1F1F1F"/>
          <w:sz w:val="20"/>
          <w:szCs w:val="20"/>
        </w:rPr>
      </w:pPr>
      <w:r w:rsidRPr="007851E3">
        <w:rPr>
          <w:rFonts w:ascii="Arial" w:hAnsi="Arial" w:cs="Arial"/>
          <w:color w:val="1F1F1F"/>
          <w:sz w:val="20"/>
          <w:szCs w:val="20"/>
        </w:rPr>
        <w:t>In this context, the present study was undertaken to evaluate the influence of chemical weed management practices on growth components, weed dynamics, and yield of quinoa under controlled conditions, with a view to generating baseline information for future field-level validation.</w:t>
      </w:r>
    </w:p>
    <w:p w14:paraId="4B746A79" w14:textId="78D9481E" w:rsidR="00850BAA" w:rsidRPr="00E040D5" w:rsidRDefault="00850BAA" w:rsidP="0028616A">
      <w:pPr>
        <w:spacing w:line="240" w:lineRule="auto"/>
        <w:jc w:val="both"/>
        <w:rPr>
          <w:rFonts w:ascii="Arial" w:hAnsi="Arial" w:cs="Arial"/>
        </w:rPr>
      </w:pPr>
      <w:r w:rsidRPr="00E040D5">
        <w:rPr>
          <w:rFonts w:ascii="Arial" w:hAnsi="Arial" w:cs="Arial"/>
          <w:b/>
          <w:bCs/>
          <w:color w:val="1F1F1F"/>
        </w:rPr>
        <w:t>2. MATERIALS AND METHODS</w:t>
      </w:r>
    </w:p>
    <w:p w14:paraId="62F6023D" w14:textId="77777777" w:rsidR="004053EB" w:rsidRPr="0028616A" w:rsidRDefault="004053EB" w:rsidP="0028616A">
      <w:pPr>
        <w:spacing w:line="240" w:lineRule="auto"/>
        <w:jc w:val="both"/>
        <w:rPr>
          <w:rFonts w:ascii="Arial" w:hAnsi="Arial" w:cs="Arial"/>
          <w:b/>
          <w:bCs/>
          <w:color w:val="1F1F1F"/>
          <w:sz w:val="20"/>
          <w:szCs w:val="20"/>
        </w:rPr>
      </w:pPr>
    </w:p>
    <w:p w14:paraId="011828B4" w14:textId="12C0BA2D" w:rsidR="00850BAA" w:rsidRPr="00E040D5" w:rsidRDefault="0095435B" w:rsidP="0028616A">
      <w:pPr>
        <w:spacing w:line="240" w:lineRule="auto"/>
        <w:jc w:val="both"/>
        <w:rPr>
          <w:rFonts w:ascii="Arial" w:hAnsi="Arial" w:cs="Arial"/>
          <w:b/>
          <w:bCs/>
          <w:color w:val="1F1F1F"/>
        </w:rPr>
      </w:pPr>
      <w:r w:rsidRPr="00E040D5">
        <w:rPr>
          <w:rFonts w:ascii="Arial" w:hAnsi="Arial" w:cs="Arial"/>
          <w:b/>
          <w:bCs/>
          <w:color w:val="1F1F1F"/>
        </w:rPr>
        <w:t>2.1. Experimental site</w:t>
      </w:r>
    </w:p>
    <w:p w14:paraId="1846C7FC" w14:textId="7908DC51" w:rsidR="001822F4" w:rsidRPr="0028616A" w:rsidRDefault="0095435B" w:rsidP="0028616A">
      <w:pPr>
        <w:spacing w:line="240" w:lineRule="auto"/>
        <w:jc w:val="both"/>
        <w:rPr>
          <w:rFonts w:ascii="Arial" w:hAnsi="Arial" w:cs="Arial"/>
          <w:sz w:val="20"/>
          <w:szCs w:val="20"/>
        </w:rPr>
      </w:pPr>
      <w:r w:rsidRPr="0028616A">
        <w:rPr>
          <w:rFonts w:ascii="Arial" w:hAnsi="Arial" w:cs="Arial"/>
          <w:color w:val="1F1F1F"/>
          <w:sz w:val="20"/>
          <w:szCs w:val="20"/>
        </w:rPr>
        <w:t>A pot experiment was carried out at Karunya Institute of Technology and Sciences, Coimbatore, Tamil Nadu (</w:t>
      </w:r>
      <w:r w:rsidR="003D1797" w:rsidRPr="0028616A">
        <w:rPr>
          <w:rFonts w:ascii="Arial" w:hAnsi="Arial" w:cs="Arial"/>
          <w:sz w:val="20"/>
          <w:szCs w:val="20"/>
        </w:rPr>
        <w:t>10°94'N latitude, 76°74'E longitude</w:t>
      </w:r>
      <w:r w:rsidR="00F50518" w:rsidRPr="0028616A">
        <w:rPr>
          <w:rFonts w:ascii="Arial" w:hAnsi="Arial" w:cs="Arial"/>
          <w:sz w:val="20"/>
          <w:szCs w:val="20"/>
        </w:rPr>
        <w:t xml:space="preserve"> </w:t>
      </w:r>
      <w:r w:rsidR="003D1797" w:rsidRPr="0028616A">
        <w:rPr>
          <w:rFonts w:ascii="Arial" w:hAnsi="Arial" w:cs="Arial"/>
          <w:sz w:val="20"/>
          <w:szCs w:val="20"/>
        </w:rPr>
        <w:t xml:space="preserve">and 448.6 m altitude above MSL) during the </w:t>
      </w:r>
      <w:r w:rsidR="003D1797" w:rsidRPr="0028616A">
        <w:rPr>
          <w:rFonts w:ascii="Arial" w:hAnsi="Arial" w:cs="Arial"/>
          <w:i/>
          <w:iCs/>
          <w:sz w:val="20"/>
          <w:szCs w:val="20"/>
        </w:rPr>
        <w:t>rabi</w:t>
      </w:r>
      <w:r w:rsidR="003D1797" w:rsidRPr="0028616A">
        <w:rPr>
          <w:rFonts w:ascii="Arial" w:hAnsi="Arial" w:cs="Arial"/>
          <w:sz w:val="20"/>
          <w:szCs w:val="20"/>
        </w:rPr>
        <w:t xml:space="preserve"> season of 2025 to evaluate the i</w:t>
      </w:r>
      <w:r w:rsidR="00F50518" w:rsidRPr="0028616A">
        <w:rPr>
          <w:rFonts w:ascii="Arial" w:hAnsi="Arial" w:cs="Arial"/>
          <w:sz w:val="20"/>
          <w:szCs w:val="20"/>
        </w:rPr>
        <w:t>nfluence</w:t>
      </w:r>
      <w:r w:rsidR="003D1797" w:rsidRPr="0028616A">
        <w:rPr>
          <w:rFonts w:ascii="Arial" w:hAnsi="Arial" w:cs="Arial"/>
          <w:sz w:val="20"/>
          <w:szCs w:val="20"/>
        </w:rPr>
        <w:t xml:space="preserve"> of chemical weed management practices on growth </w:t>
      </w:r>
      <w:r w:rsidR="003D1797" w:rsidRPr="0028616A">
        <w:rPr>
          <w:rFonts w:ascii="Arial" w:hAnsi="Arial" w:cs="Arial"/>
          <w:color w:val="1F1F1F"/>
          <w:sz w:val="20"/>
          <w:szCs w:val="20"/>
        </w:rPr>
        <w:t>components, weed dynamics and yield in quinoa.</w:t>
      </w:r>
      <w:r w:rsidR="00EC0846" w:rsidRPr="0028616A">
        <w:rPr>
          <w:rFonts w:ascii="Arial" w:hAnsi="Arial" w:cs="Arial"/>
          <w:color w:val="1F1F1F"/>
          <w:sz w:val="20"/>
          <w:szCs w:val="20"/>
        </w:rPr>
        <w:t xml:space="preserve"> </w:t>
      </w:r>
    </w:p>
    <w:p w14:paraId="1C144A49" w14:textId="4238CE15" w:rsidR="003D1797" w:rsidRPr="00E040D5" w:rsidRDefault="003D1797" w:rsidP="0028616A">
      <w:pPr>
        <w:spacing w:line="240" w:lineRule="auto"/>
        <w:jc w:val="both"/>
        <w:rPr>
          <w:rFonts w:ascii="Arial" w:hAnsi="Arial" w:cs="Arial"/>
          <w:b/>
          <w:bCs/>
          <w:color w:val="1F1F1F"/>
        </w:rPr>
      </w:pPr>
      <w:r w:rsidRPr="00E040D5">
        <w:rPr>
          <w:rFonts w:ascii="Arial" w:hAnsi="Arial" w:cs="Arial"/>
          <w:b/>
          <w:bCs/>
          <w:color w:val="1F1F1F"/>
        </w:rPr>
        <w:t>2.2. Treatment details</w:t>
      </w:r>
    </w:p>
    <w:p w14:paraId="75EA4214" w14:textId="7722DEE4" w:rsidR="001822F4" w:rsidRDefault="003D1797" w:rsidP="0028616A">
      <w:pPr>
        <w:spacing w:line="240" w:lineRule="auto"/>
        <w:jc w:val="both"/>
        <w:rPr>
          <w:rFonts w:ascii="Arial" w:hAnsi="Arial" w:cs="Arial"/>
          <w:color w:val="1F1F1F"/>
          <w:sz w:val="20"/>
          <w:szCs w:val="20"/>
        </w:rPr>
      </w:pPr>
      <w:r w:rsidRPr="0028616A">
        <w:rPr>
          <w:rFonts w:ascii="Arial" w:hAnsi="Arial" w:cs="Arial"/>
          <w:color w:val="1F1F1F"/>
          <w:sz w:val="20"/>
          <w:szCs w:val="20"/>
        </w:rPr>
        <w:t xml:space="preserve">The experiment was laid out in </w:t>
      </w:r>
      <w:r w:rsidR="00CE56BE" w:rsidRPr="0028616A">
        <w:rPr>
          <w:rFonts w:ascii="Arial" w:hAnsi="Arial" w:cs="Arial"/>
          <w:color w:val="1F1F1F"/>
          <w:sz w:val="20"/>
          <w:szCs w:val="20"/>
        </w:rPr>
        <w:t>a Completely Randomized Design (CRD) with twelve treatments and three replications, as shown</w:t>
      </w:r>
      <w:r w:rsidRPr="0028616A">
        <w:rPr>
          <w:rFonts w:ascii="Arial" w:hAnsi="Arial" w:cs="Arial"/>
          <w:color w:val="1F1F1F"/>
          <w:sz w:val="20"/>
          <w:szCs w:val="20"/>
        </w:rPr>
        <w:t xml:space="preserve"> in Table 1. </w:t>
      </w:r>
      <w:r w:rsidR="004053EB" w:rsidRPr="0028616A">
        <w:rPr>
          <w:rFonts w:ascii="Arial" w:hAnsi="Arial" w:cs="Arial"/>
          <w:color w:val="1F1F1F"/>
          <w:sz w:val="20"/>
          <w:szCs w:val="20"/>
        </w:rPr>
        <w:t xml:space="preserve">Each pot was filled with 25 kg soil and sown with 10 seeds; PE herbicides were applied at 3 DAS and PoE herbicides at 25 DAS using a 50 ml hand sprayer. </w:t>
      </w:r>
      <w:r w:rsidR="001822F4" w:rsidRPr="0028616A">
        <w:rPr>
          <w:rFonts w:ascii="Arial" w:hAnsi="Arial" w:cs="Arial"/>
          <w:color w:val="1F1F1F"/>
          <w:sz w:val="20"/>
          <w:szCs w:val="20"/>
        </w:rPr>
        <w:t xml:space="preserve">The data collected on various parameters were statistically analysed using ANOVA, </w:t>
      </w:r>
      <w:r w:rsidR="00CE56BE" w:rsidRPr="0028616A">
        <w:rPr>
          <w:rFonts w:ascii="Arial" w:hAnsi="Arial" w:cs="Arial"/>
          <w:color w:val="1F1F1F"/>
          <w:sz w:val="20"/>
          <w:szCs w:val="20"/>
        </w:rPr>
        <w:t xml:space="preserve">as </w:t>
      </w:r>
      <w:r w:rsidR="001822F4" w:rsidRPr="0028616A">
        <w:rPr>
          <w:rFonts w:ascii="Arial" w:hAnsi="Arial" w:cs="Arial"/>
          <w:color w:val="1F1F1F"/>
          <w:sz w:val="20"/>
          <w:szCs w:val="20"/>
        </w:rPr>
        <w:t xml:space="preserve">described by </w:t>
      </w:r>
      <w:r w:rsidR="00D433DC">
        <w:rPr>
          <w:rFonts w:ascii="Arial" w:hAnsi="Arial" w:cs="Arial"/>
          <w:color w:val="1F1F1F"/>
          <w:sz w:val="20"/>
          <w:szCs w:val="20"/>
        </w:rPr>
        <w:t>[4]</w:t>
      </w:r>
      <w:r w:rsidR="001822F4" w:rsidRPr="0028616A">
        <w:rPr>
          <w:rFonts w:ascii="Arial" w:hAnsi="Arial" w:cs="Arial"/>
          <w:color w:val="1F1F1F"/>
          <w:sz w:val="20"/>
          <w:szCs w:val="20"/>
        </w:rPr>
        <w:t>.</w:t>
      </w:r>
      <w:r w:rsidR="00D433DC">
        <w:rPr>
          <w:rFonts w:ascii="Arial" w:hAnsi="Arial" w:cs="Arial"/>
          <w:color w:val="1F1F1F"/>
          <w:sz w:val="20"/>
          <w:szCs w:val="20"/>
        </w:rPr>
        <w:t xml:space="preserve"> </w:t>
      </w:r>
      <w:r w:rsidR="001822F4" w:rsidRPr="0028616A">
        <w:rPr>
          <w:rFonts w:ascii="Arial" w:hAnsi="Arial" w:cs="Arial"/>
          <w:color w:val="1F1F1F"/>
          <w:sz w:val="20"/>
          <w:szCs w:val="20"/>
        </w:rPr>
        <w:t>The critical difference was calculated at a 5% probability level.</w:t>
      </w:r>
    </w:p>
    <w:p w14:paraId="3A15B2C9" w14:textId="16BFBB1D" w:rsidR="006D4B18" w:rsidRDefault="006D4B18" w:rsidP="0028616A">
      <w:pPr>
        <w:spacing w:line="240" w:lineRule="auto"/>
        <w:jc w:val="both"/>
        <w:rPr>
          <w:rFonts w:ascii="Arial" w:hAnsi="Arial" w:cs="Arial"/>
          <w:b/>
          <w:bCs/>
          <w:color w:val="1F1F1F"/>
        </w:rPr>
      </w:pPr>
      <w:r w:rsidRPr="006D4B18">
        <w:rPr>
          <w:rFonts w:ascii="Arial" w:hAnsi="Arial" w:cs="Arial"/>
          <w:b/>
          <w:bCs/>
          <w:color w:val="1F1F1F"/>
        </w:rPr>
        <w:t>2.2.1. Herbicide calculation</w:t>
      </w:r>
    </w:p>
    <w:p w14:paraId="1CB699A8" w14:textId="65D76AD8" w:rsidR="006D4B18" w:rsidRPr="006D4B18" w:rsidRDefault="006D4B18" w:rsidP="0028616A">
      <w:pPr>
        <w:spacing w:line="240" w:lineRule="auto"/>
        <w:jc w:val="both"/>
        <w:rPr>
          <w:rFonts w:ascii="Arial" w:hAnsi="Arial" w:cs="Arial"/>
          <w:color w:val="1F1F1F"/>
          <w:sz w:val="20"/>
          <w:szCs w:val="20"/>
        </w:rPr>
      </w:pPr>
      <w:r w:rsidRPr="006D4B18">
        <w:rPr>
          <w:rFonts w:ascii="Arial" w:hAnsi="Arial" w:cs="Arial"/>
          <w:color w:val="1F1F1F"/>
          <w:sz w:val="20"/>
          <w:szCs w:val="20"/>
        </w:rPr>
        <w:t>The quantity of herbicide required per pot was calculated by converting the recommended field dose to pot area and adjusting for the active ingredient concentration of the formulation.</w:t>
      </w:r>
    </w:p>
    <w:p w14:paraId="405C7901" w14:textId="0E5BB405" w:rsidR="006D4B18" w:rsidRPr="006D4B18" w:rsidRDefault="006D4B18" w:rsidP="0028616A">
      <w:pPr>
        <w:spacing w:line="240" w:lineRule="auto"/>
        <w:jc w:val="both"/>
        <w:rPr>
          <w:rFonts w:ascii="Arial" w:hAnsi="Arial" w:cs="Arial"/>
          <w:b/>
          <w:bCs/>
          <w:color w:val="1F1F1F"/>
          <w:sz w:val="20"/>
          <w:szCs w:val="20"/>
        </w:rPr>
      </w:pPr>
      <m:oMathPara>
        <m:oMath>
          <m:r>
            <m:rPr>
              <m:sty m:val="p"/>
            </m:rPr>
            <w:rPr>
              <w:rFonts w:ascii="Cambria Math" w:hAnsi="Cambria Math" w:cs="Times New Roman"/>
              <w:sz w:val="20"/>
              <w:szCs w:val="20"/>
              <w:lang w:val="en-US"/>
            </w:rPr>
            <m:t>Herbicide required</m:t>
          </m:r>
          <m:d>
            <m:dPr>
              <m:ctrlPr>
                <w:rPr>
                  <w:rFonts w:ascii="Cambria Math" w:hAnsi="Cambria Math" w:cs="Times New Roman"/>
                  <w:iCs/>
                  <w:sz w:val="20"/>
                  <w:szCs w:val="20"/>
                  <w:lang w:val="en-US"/>
                </w:rPr>
              </m:ctrlPr>
            </m:dPr>
            <m:e>
              <m:r>
                <m:rPr>
                  <m:sty m:val="p"/>
                </m:rPr>
                <w:rPr>
                  <w:rFonts w:ascii="Cambria Math" w:hAnsi="Cambria Math" w:cs="Times New Roman"/>
                  <w:sz w:val="20"/>
                  <w:szCs w:val="20"/>
                  <w:lang w:val="en-US"/>
                </w:rPr>
                <m:t>g</m:t>
              </m:r>
              <m:r>
                <m:rPr>
                  <m:lit/>
                  <m:sty m:val="p"/>
                </m:rPr>
                <w:rPr>
                  <w:rFonts w:ascii="Cambria Math" w:hAnsi="Cambria Math" w:cs="Times New Roman"/>
                  <w:sz w:val="20"/>
                  <w:szCs w:val="20"/>
                  <w:lang w:val="en-US"/>
                </w:rPr>
                <m:t>/</m:t>
              </m:r>
              <m:r>
                <m:rPr>
                  <m:sty m:val="p"/>
                </m:rPr>
                <w:rPr>
                  <w:rFonts w:ascii="Cambria Math" w:hAnsi="Cambria Math" w:cs="Times New Roman"/>
                  <w:sz w:val="20"/>
                  <w:szCs w:val="20"/>
                  <w:lang w:val="en-US"/>
                </w:rPr>
                <m:t>ml</m:t>
              </m:r>
            </m:e>
          </m:d>
          <m:r>
            <m:rPr>
              <m:sty m:val="p"/>
            </m:rPr>
            <w:rPr>
              <w:rFonts w:ascii="Cambria Math" w:hAnsi="Cambria Math" w:cs="Times New Roman"/>
              <w:sz w:val="20"/>
              <w:szCs w:val="20"/>
              <w:lang w:val="en-US"/>
            </w:rPr>
            <m:t>=</m:t>
          </m:r>
          <m:f>
            <m:fPr>
              <m:ctrlPr>
                <w:rPr>
                  <w:rFonts w:ascii="Cambria Math" w:hAnsi="Cambria Math" w:cs="Times New Roman"/>
                  <w:iCs/>
                  <w:sz w:val="20"/>
                  <w:szCs w:val="20"/>
                  <w:lang w:val="en-US"/>
                </w:rPr>
              </m:ctrlPr>
            </m:fPr>
            <m:num>
              <m:r>
                <m:rPr>
                  <m:sty m:val="p"/>
                </m:rPr>
                <w:rPr>
                  <w:rFonts w:ascii="Cambria Math" w:hAnsi="Cambria Math" w:cs="Times New Roman"/>
                  <w:sz w:val="20"/>
                  <w:szCs w:val="20"/>
                  <w:lang w:val="en-US"/>
                </w:rPr>
                <m:t>Recommended dose (g a.i.</m:t>
              </m:r>
              <m:r>
                <m:rPr>
                  <m:lit/>
                  <m:sty m:val="p"/>
                </m:rPr>
                <w:rPr>
                  <w:rFonts w:ascii="Cambria Math" w:hAnsi="Cambria Math" w:cs="Times New Roman"/>
                  <w:sz w:val="20"/>
                  <w:szCs w:val="20"/>
                  <w:lang w:val="en-US"/>
                </w:rPr>
                <m:t>/</m:t>
              </m:r>
              <m:r>
                <m:rPr>
                  <m:sty m:val="p"/>
                </m:rPr>
                <w:rPr>
                  <w:rFonts w:ascii="Cambria Math" w:hAnsi="Cambria Math" w:cs="Times New Roman"/>
                  <w:sz w:val="20"/>
                  <w:szCs w:val="20"/>
                  <w:lang w:val="en-US"/>
                </w:rPr>
                <m:t>ha)× Pot area (</m:t>
              </m:r>
              <m:sSup>
                <m:sSupPr>
                  <m:ctrlPr>
                    <w:rPr>
                      <w:rFonts w:ascii="Cambria Math" w:hAnsi="Cambria Math" w:cs="Times New Roman"/>
                      <w:iCs/>
                      <w:sz w:val="20"/>
                      <w:szCs w:val="20"/>
                      <w:lang w:val="en-US"/>
                    </w:rPr>
                  </m:ctrlPr>
                </m:sSupPr>
                <m:e>
                  <m:r>
                    <m:rPr>
                      <m:sty m:val="p"/>
                    </m:rPr>
                    <w:rPr>
                      <w:rFonts w:ascii="Cambria Math" w:hAnsi="Cambria Math" w:cs="Times New Roman"/>
                      <w:sz w:val="20"/>
                      <w:szCs w:val="20"/>
                      <w:lang w:val="en-US"/>
                    </w:rPr>
                    <m:t>m</m:t>
                  </m:r>
                </m:e>
                <m:sup>
                  <m:r>
                    <m:rPr>
                      <m:sty m:val="p"/>
                    </m:rPr>
                    <w:rPr>
                      <w:rFonts w:ascii="Cambria Math" w:hAnsi="Cambria Math" w:cs="Times New Roman"/>
                      <w:sz w:val="20"/>
                      <w:szCs w:val="20"/>
                      <w:lang w:val="en-US"/>
                    </w:rPr>
                    <m:t>2</m:t>
                  </m:r>
                </m:sup>
              </m:sSup>
              <m:r>
                <m:rPr>
                  <m:sty m:val="p"/>
                </m:rPr>
                <w:rPr>
                  <w:rFonts w:ascii="Cambria Math" w:hAnsi="Cambria Math" w:cs="Times New Roman"/>
                  <w:sz w:val="20"/>
                  <w:szCs w:val="20"/>
                  <w:lang w:val="en-US"/>
                </w:rPr>
                <m:t>)×100</m:t>
              </m:r>
            </m:num>
            <m:den>
              <m:r>
                <m:rPr>
                  <m:sty m:val="p"/>
                </m:rPr>
                <w:rPr>
                  <w:rFonts w:ascii="Cambria Math" w:hAnsi="Cambria Math" w:cs="Times New Roman"/>
                  <w:sz w:val="20"/>
                  <w:szCs w:val="20"/>
                  <w:lang w:val="en-US"/>
                </w:rPr>
                <m:t>% a.i. in formulation×10000</m:t>
              </m:r>
            </m:den>
          </m:f>
        </m:oMath>
      </m:oMathPara>
    </w:p>
    <w:p w14:paraId="69291688" w14:textId="77777777" w:rsidR="006D4B18" w:rsidRPr="006D4B18" w:rsidRDefault="006D4B18" w:rsidP="0028616A">
      <w:pPr>
        <w:spacing w:line="240" w:lineRule="auto"/>
        <w:jc w:val="both"/>
        <w:rPr>
          <w:rFonts w:ascii="Arial" w:hAnsi="Arial" w:cs="Arial"/>
          <w:b/>
          <w:bCs/>
          <w:color w:val="1F1F1F"/>
          <w:sz w:val="20"/>
          <w:szCs w:val="20"/>
        </w:rPr>
      </w:pPr>
    </w:p>
    <w:p w14:paraId="6D3E86C2" w14:textId="308FFCDA"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2.3. Growth analysis</w:t>
      </w:r>
    </w:p>
    <w:p w14:paraId="049290DE" w14:textId="11EE1B3A" w:rsidR="00245D9D" w:rsidRPr="0028616A" w:rsidRDefault="00245D9D" w:rsidP="0028616A">
      <w:pPr>
        <w:spacing w:line="240" w:lineRule="auto"/>
        <w:jc w:val="both"/>
        <w:rPr>
          <w:rFonts w:ascii="Arial" w:hAnsi="Arial" w:cs="Arial"/>
          <w:color w:val="1F1F1F"/>
          <w:sz w:val="20"/>
          <w:szCs w:val="20"/>
        </w:rPr>
      </w:pPr>
      <w:r w:rsidRPr="0028616A">
        <w:rPr>
          <w:rFonts w:ascii="Arial" w:hAnsi="Arial" w:cs="Arial"/>
          <w:color w:val="1F1F1F"/>
          <w:sz w:val="20"/>
          <w:szCs w:val="20"/>
        </w:rPr>
        <w:t>The growth parameters, including plant height</w:t>
      </w:r>
      <w:r w:rsidR="00F94624" w:rsidRPr="0028616A">
        <w:rPr>
          <w:rFonts w:ascii="Arial" w:hAnsi="Arial" w:cs="Arial"/>
          <w:color w:val="1F1F1F"/>
          <w:sz w:val="20"/>
          <w:szCs w:val="20"/>
        </w:rPr>
        <w:t xml:space="preserve"> </w:t>
      </w:r>
      <w:r w:rsidR="00CE56BE" w:rsidRPr="0028616A">
        <w:rPr>
          <w:rFonts w:ascii="Arial" w:hAnsi="Arial" w:cs="Arial"/>
          <w:color w:val="1F1F1F"/>
          <w:sz w:val="20"/>
          <w:szCs w:val="20"/>
        </w:rPr>
        <w:t>and dry matter production,</w:t>
      </w:r>
      <w:r w:rsidRPr="0028616A">
        <w:rPr>
          <w:rFonts w:ascii="Arial" w:hAnsi="Arial" w:cs="Arial"/>
          <w:color w:val="1F1F1F"/>
          <w:sz w:val="20"/>
          <w:szCs w:val="20"/>
        </w:rPr>
        <w:t xml:space="preserve"> were recorded as per the standard observation.</w:t>
      </w:r>
    </w:p>
    <w:p w14:paraId="11E28BAF" w14:textId="525D165F"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2.4. Weed dynamics</w:t>
      </w:r>
    </w:p>
    <w:p w14:paraId="45DD511A" w14:textId="5DDBE60B"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2.4.1. Weed flora</w:t>
      </w:r>
    </w:p>
    <w:p w14:paraId="7B8F3E10" w14:textId="77777777" w:rsidR="004053EB" w:rsidRPr="0028616A" w:rsidRDefault="004053EB" w:rsidP="0028616A">
      <w:pPr>
        <w:pStyle w:val="BodyText"/>
        <w:spacing w:after="240"/>
        <w:jc w:val="both"/>
        <w:rPr>
          <w:rFonts w:ascii="Arial" w:hAnsi="Arial" w:cs="Arial"/>
          <w:color w:val="1F1F1F"/>
          <w:sz w:val="20"/>
          <w:szCs w:val="20"/>
        </w:rPr>
      </w:pPr>
      <w:r w:rsidRPr="0028616A">
        <w:rPr>
          <w:rFonts w:ascii="Arial" w:hAnsi="Arial" w:cs="Arial"/>
          <w:color w:val="1F1F1F"/>
          <w:sz w:val="20"/>
          <w:szCs w:val="20"/>
        </w:rPr>
        <w:t>Weed flora in the experimental pots was documented at regular intervals, and the identified species were categorized as grasses, sedges, and broad-leaved weeds (BLW).</w:t>
      </w:r>
    </w:p>
    <w:p w14:paraId="442E2BC2" w14:textId="351CE234" w:rsidR="002E05C6" w:rsidRPr="00E040D5" w:rsidRDefault="002E05C6" w:rsidP="0028616A">
      <w:pPr>
        <w:pStyle w:val="BodyText"/>
        <w:spacing w:after="240"/>
        <w:jc w:val="both"/>
        <w:rPr>
          <w:rFonts w:ascii="Arial" w:hAnsi="Arial" w:cs="Arial"/>
          <w:b/>
          <w:bCs/>
          <w:sz w:val="22"/>
          <w:szCs w:val="22"/>
        </w:rPr>
      </w:pPr>
      <w:r w:rsidRPr="00E040D5">
        <w:rPr>
          <w:rFonts w:ascii="Arial" w:hAnsi="Arial" w:cs="Arial"/>
          <w:b/>
          <w:bCs/>
          <w:sz w:val="22"/>
          <w:szCs w:val="22"/>
        </w:rPr>
        <w:t>2.4.2. Weed density</w:t>
      </w:r>
    </w:p>
    <w:p w14:paraId="2710490C" w14:textId="2B88CCB3" w:rsidR="0023583C" w:rsidRPr="0028616A" w:rsidRDefault="0023583C" w:rsidP="0028616A">
      <w:pPr>
        <w:pStyle w:val="BodyText"/>
        <w:spacing w:after="240"/>
        <w:jc w:val="both"/>
        <w:rPr>
          <w:rFonts w:ascii="Arial" w:hAnsi="Arial" w:cs="Arial"/>
          <w:sz w:val="20"/>
          <w:szCs w:val="20"/>
        </w:rPr>
      </w:pPr>
      <w:r w:rsidRPr="0028616A">
        <w:rPr>
          <w:rFonts w:ascii="Arial" w:hAnsi="Arial" w:cs="Arial"/>
          <w:sz w:val="20"/>
          <w:szCs w:val="20"/>
        </w:rPr>
        <w:t xml:space="preserve">Weed density was determined by counting the total number of weeds in each experimental pot at the prescribed observation intervals. All weed species </w:t>
      </w:r>
      <w:r w:rsidR="00761DCB" w:rsidRPr="0028616A">
        <w:rPr>
          <w:rFonts w:ascii="Arial" w:hAnsi="Arial" w:cs="Arial"/>
          <w:sz w:val="20"/>
          <w:szCs w:val="20"/>
        </w:rPr>
        <w:t>that emerged within the pot were</w:t>
      </w:r>
      <w:r w:rsidRPr="0028616A">
        <w:rPr>
          <w:rFonts w:ascii="Arial" w:hAnsi="Arial" w:cs="Arial"/>
          <w:sz w:val="20"/>
          <w:szCs w:val="20"/>
        </w:rPr>
        <w:t xml:space="preserve"> carefully identified and counted manually. The recorded values were expressed as </w:t>
      </w:r>
      <w:r w:rsidR="00761DCB" w:rsidRPr="0028616A">
        <w:rPr>
          <w:rFonts w:ascii="Arial" w:hAnsi="Arial" w:cs="Arial"/>
          <w:sz w:val="20"/>
          <w:szCs w:val="20"/>
        </w:rPr>
        <w:t xml:space="preserve">the </w:t>
      </w:r>
      <w:r w:rsidRPr="0028616A">
        <w:rPr>
          <w:rFonts w:ascii="Arial" w:hAnsi="Arial" w:cs="Arial"/>
          <w:sz w:val="20"/>
          <w:szCs w:val="20"/>
        </w:rPr>
        <w:t xml:space="preserve">number of weeds </w:t>
      </w:r>
      <w:r w:rsidR="00F94624" w:rsidRPr="0028616A">
        <w:rPr>
          <w:rFonts w:ascii="Arial" w:hAnsi="Arial" w:cs="Arial"/>
          <w:sz w:val="20"/>
          <w:szCs w:val="20"/>
        </w:rPr>
        <w:t>pot</w:t>
      </w:r>
      <w:r w:rsidR="00F94624" w:rsidRPr="0028616A">
        <w:rPr>
          <w:rFonts w:ascii="Arial" w:hAnsi="Arial" w:cs="Arial"/>
          <w:sz w:val="20"/>
          <w:szCs w:val="20"/>
          <w:vertAlign w:val="superscript"/>
        </w:rPr>
        <w:t>-1</w:t>
      </w:r>
      <w:r w:rsidR="00F94624" w:rsidRPr="0028616A">
        <w:rPr>
          <w:rFonts w:ascii="Arial" w:hAnsi="Arial" w:cs="Arial"/>
          <w:sz w:val="20"/>
          <w:szCs w:val="20"/>
        </w:rPr>
        <w:t>.</w:t>
      </w:r>
    </w:p>
    <w:p w14:paraId="3A3D5740" w14:textId="5B031C1E" w:rsidR="0023583C" w:rsidRPr="00E040D5" w:rsidRDefault="0023583C" w:rsidP="0028616A">
      <w:pPr>
        <w:pStyle w:val="BodyText"/>
        <w:spacing w:after="240"/>
        <w:jc w:val="both"/>
        <w:rPr>
          <w:rFonts w:ascii="Arial" w:hAnsi="Arial" w:cs="Arial"/>
          <w:b/>
          <w:bCs/>
          <w:sz w:val="22"/>
          <w:szCs w:val="22"/>
        </w:rPr>
      </w:pPr>
      <w:r w:rsidRPr="00E040D5">
        <w:rPr>
          <w:rFonts w:ascii="Arial" w:hAnsi="Arial" w:cs="Arial"/>
          <w:b/>
          <w:bCs/>
          <w:sz w:val="22"/>
          <w:szCs w:val="22"/>
        </w:rPr>
        <w:t>2.4.3. Weed dry weight</w:t>
      </w:r>
    </w:p>
    <w:p w14:paraId="40A2B8DF" w14:textId="3BF7B0D8" w:rsidR="007330D3" w:rsidRPr="0028616A" w:rsidRDefault="007330D3" w:rsidP="0028616A">
      <w:pPr>
        <w:pStyle w:val="BodyText"/>
        <w:spacing w:after="240"/>
        <w:jc w:val="both"/>
        <w:rPr>
          <w:rFonts w:ascii="Arial" w:hAnsi="Arial" w:cs="Arial"/>
          <w:sz w:val="20"/>
          <w:szCs w:val="20"/>
          <w:lang w:val="en-IN"/>
        </w:rPr>
      </w:pPr>
      <w:r w:rsidRPr="0028616A">
        <w:rPr>
          <w:rFonts w:ascii="Arial" w:hAnsi="Arial" w:cs="Arial"/>
          <w:sz w:val="20"/>
          <w:szCs w:val="20"/>
          <w:lang w:val="en-IN"/>
        </w:rPr>
        <w:t xml:space="preserve">Weeds from each pot were uprooted at observation stages, sun-dried and oven-dried at 65 °C to a consistent weight, and the final biomass was recorded as weed dry weight (g </w:t>
      </w:r>
      <w:r w:rsidR="00A25315" w:rsidRPr="0028616A">
        <w:rPr>
          <w:rFonts w:ascii="Arial" w:hAnsi="Arial" w:cs="Arial"/>
          <w:sz w:val="20"/>
          <w:szCs w:val="20"/>
          <w:lang w:val="en-IN"/>
        </w:rPr>
        <w:t>pot</w:t>
      </w:r>
      <w:r w:rsidR="00A25315" w:rsidRPr="0028616A">
        <w:rPr>
          <w:rFonts w:ascii="Arial" w:hAnsi="Arial" w:cs="Arial"/>
          <w:sz w:val="20"/>
          <w:szCs w:val="20"/>
          <w:vertAlign w:val="superscript"/>
          <w:lang w:val="en-IN"/>
        </w:rPr>
        <w:t>-1</w:t>
      </w:r>
      <w:r w:rsidRPr="0028616A">
        <w:rPr>
          <w:rFonts w:ascii="Arial" w:hAnsi="Arial" w:cs="Arial"/>
          <w:sz w:val="20"/>
          <w:szCs w:val="20"/>
          <w:lang w:val="en-IN"/>
        </w:rPr>
        <w:t>) to determine herbicide efficacy.</w:t>
      </w:r>
    </w:p>
    <w:p w14:paraId="018951AA" w14:textId="64A66BCF" w:rsidR="0023583C" w:rsidRPr="00E040D5" w:rsidRDefault="0023583C" w:rsidP="0028616A">
      <w:pPr>
        <w:pStyle w:val="BodyText"/>
        <w:spacing w:after="240"/>
        <w:jc w:val="both"/>
        <w:rPr>
          <w:rFonts w:ascii="Arial" w:hAnsi="Arial" w:cs="Arial"/>
          <w:b/>
          <w:bCs/>
          <w:color w:val="1F1F1F"/>
          <w:sz w:val="22"/>
          <w:szCs w:val="22"/>
        </w:rPr>
      </w:pPr>
      <w:r w:rsidRPr="00E040D5">
        <w:rPr>
          <w:rFonts w:ascii="Arial" w:hAnsi="Arial" w:cs="Arial"/>
          <w:b/>
          <w:bCs/>
          <w:color w:val="1F1F1F"/>
          <w:sz w:val="22"/>
          <w:szCs w:val="22"/>
        </w:rPr>
        <w:t>2.4.4. Weed control efficiency</w:t>
      </w:r>
    </w:p>
    <w:p w14:paraId="56FB3B4A" w14:textId="52255AC1" w:rsidR="0083389D" w:rsidRPr="0028616A" w:rsidRDefault="0083389D"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lastRenderedPageBreak/>
        <w:t xml:space="preserve">To assess the efficacy of different weed control treatments based on their effects on weed density, weed control efficiency was computed </w:t>
      </w:r>
      <w:r w:rsidR="00D433DC">
        <w:rPr>
          <w:rFonts w:ascii="Arial" w:eastAsia="Times New Roman" w:hAnsi="Arial" w:cs="Arial"/>
          <w:kern w:val="0"/>
          <w:sz w:val="20"/>
          <w:szCs w:val="20"/>
          <w:lang w:eastAsia="en-IN"/>
          <w14:ligatures w14:val="none"/>
        </w:rPr>
        <w:t>[5].</w:t>
      </w:r>
    </w:p>
    <w:p w14:paraId="7F1E7513" w14:textId="25F1C6E4" w:rsidR="0083389D" w:rsidRPr="0028616A" w:rsidRDefault="0083389D" w:rsidP="0028616A">
      <w:pPr>
        <w:spacing w:line="240" w:lineRule="auto"/>
        <w:jc w:val="both"/>
        <w:rPr>
          <w:rFonts w:ascii="Arial" w:eastAsia="Times New Roman" w:hAnsi="Arial" w:cs="Arial"/>
          <w:b/>
          <w:bCs/>
          <w:kern w:val="0"/>
          <w:sz w:val="20"/>
          <w:szCs w:val="20"/>
          <w:lang w:eastAsia="en-IN"/>
          <w14:ligatures w14:val="none"/>
        </w:rPr>
      </w:pPr>
      <m:oMathPara>
        <m:oMath>
          <m:r>
            <m:rPr>
              <m:sty m:val="p"/>
            </m:rPr>
            <w:rPr>
              <w:rFonts w:ascii="Cambria Math" w:eastAsia="Times New Roman" w:hAnsi="Cambria Math" w:cs="Arial"/>
              <w:kern w:val="0"/>
              <w:sz w:val="20"/>
              <w:szCs w:val="20"/>
              <w:lang w:eastAsia="en-IN"/>
              <w14:ligatures w14:val="none"/>
            </w:rPr>
            <m:t>WCE(%)=</m:t>
          </m:r>
          <m:f>
            <m:fPr>
              <m:ctrlPr>
                <w:rPr>
                  <w:rFonts w:ascii="Cambria Math" w:eastAsia="Times New Roman" w:hAnsi="Cambria Math" w:cs="Arial"/>
                  <w:iCs/>
                  <w:kern w:val="0"/>
                  <w:sz w:val="20"/>
                  <w:szCs w:val="20"/>
                  <w:lang w:eastAsia="en-IN"/>
                  <w14:ligatures w14:val="none"/>
                </w:rPr>
              </m:ctrlPr>
            </m:fPr>
            <m:num>
              <m:r>
                <m:rPr>
                  <m:sty m:val="p"/>
                </m:rPr>
                <w:rPr>
                  <w:rFonts w:ascii="Cambria Math" w:eastAsia="Times New Roman" w:hAnsi="Cambria Math" w:cs="Arial"/>
                  <w:kern w:val="0"/>
                  <w:sz w:val="20"/>
                  <w:szCs w:val="20"/>
                  <w:lang w:eastAsia="en-IN"/>
                  <w14:ligatures w14:val="none"/>
                </w:rPr>
                <m:t>X-Y</m:t>
              </m:r>
            </m:num>
            <m:den>
              <m:r>
                <m:rPr>
                  <m:sty m:val="p"/>
                </m:rPr>
                <w:rPr>
                  <w:rFonts w:ascii="Cambria Math" w:eastAsia="Times New Roman" w:hAnsi="Cambria Math" w:cs="Arial"/>
                  <w:kern w:val="0"/>
                  <w:sz w:val="20"/>
                  <w:szCs w:val="20"/>
                  <w:lang w:eastAsia="en-IN"/>
                  <w14:ligatures w14:val="none"/>
                </w:rPr>
                <m:t>X</m:t>
              </m:r>
            </m:den>
          </m:f>
          <m:r>
            <m:rPr>
              <m:sty m:val="b"/>
            </m:rPr>
            <w:rPr>
              <w:rFonts w:ascii="Cambria Math" w:eastAsia="Times New Roman" w:hAnsi="Cambria Math" w:cs="Arial"/>
              <w:kern w:val="0"/>
              <w:sz w:val="20"/>
              <w:szCs w:val="20"/>
              <w:lang w:eastAsia="en-IN"/>
              <w14:ligatures w14:val="none"/>
            </w:rPr>
            <m:t>×</m:t>
          </m:r>
          <m:r>
            <m:rPr>
              <m:sty m:val="p"/>
            </m:rPr>
            <w:rPr>
              <w:rFonts w:ascii="Cambria Math" w:eastAsia="Times New Roman" w:hAnsi="Cambria Math" w:cs="Arial"/>
              <w:kern w:val="0"/>
              <w:sz w:val="20"/>
              <w:szCs w:val="20"/>
              <w:lang w:eastAsia="en-IN"/>
              <w14:ligatures w14:val="none"/>
            </w:rPr>
            <m:t>100</m:t>
          </m:r>
        </m:oMath>
      </m:oMathPara>
    </w:p>
    <w:p w14:paraId="4E7E4905" w14:textId="63C977E8" w:rsidR="0083389D" w:rsidRPr="0028616A" w:rsidRDefault="0083389D"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Where</w:t>
      </w:r>
      <w:r w:rsidR="00DE624B">
        <w:rPr>
          <w:rFonts w:ascii="Arial" w:eastAsia="Times New Roman" w:hAnsi="Arial" w:cs="Arial"/>
          <w:kern w:val="0"/>
          <w:sz w:val="20"/>
          <w:szCs w:val="20"/>
          <w:lang w:eastAsia="en-IN"/>
          <w14:ligatures w14:val="none"/>
        </w:rPr>
        <w:t>, X= Weed dry matter in weedy check and Y= Weed dry matter in treated pot.</w:t>
      </w:r>
      <w:r w:rsidR="001A053E" w:rsidRPr="0028616A">
        <w:rPr>
          <w:rFonts w:ascii="Arial" w:eastAsia="Times New Roman" w:hAnsi="Arial" w:cs="Arial"/>
          <w:kern w:val="0"/>
          <w:sz w:val="20"/>
          <w:szCs w:val="20"/>
          <w:lang w:eastAsia="en-IN"/>
          <w14:ligatures w14:val="none"/>
        </w:rPr>
        <w:t xml:space="preserve"> </w:t>
      </w:r>
    </w:p>
    <w:p w14:paraId="0DE23726" w14:textId="0C0317DB" w:rsidR="0083389D" w:rsidRPr="00E040D5" w:rsidRDefault="0083389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 RESULTS AND DISCUSSION</w:t>
      </w:r>
    </w:p>
    <w:p w14:paraId="1B3950E5" w14:textId="1C28370A" w:rsidR="0083389D" w:rsidRPr="00E040D5" w:rsidRDefault="0083389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3.1. Growth components</w:t>
      </w:r>
    </w:p>
    <w:p w14:paraId="191CF264" w14:textId="3253FA65" w:rsidR="00737251" w:rsidRPr="00E040D5" w:rsidRDefault="00737251"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3.1.1. Plant height</w:t>
      </w:r>
    </w:p>
    <w:p w14:paraId="62A79F04" w14:textId="263B69BF" w:rsidR="00CF1897" w:rsidRPr="00CF1897" w:rsidRDefault="00CF1897" w:rsidP="00CF189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CF1897">
        <w:rPr>
          <w:rFonts w:ascii="Times New Roman" w:eastAsia="Times New Roman" w:hAnsi="Times New Roman" w:cs="Times New Roman"/>
          <w:kern w:val="0"/>
          <w:sz w:val="24"/>
          <w:szCs w:val="24"/>
          <w:lang w:val="en-US"/>
          <w14:ligatures w14:val="none"/>
        </w:rPr>
        <w:t xml:space="preserve">The effects of different herbicide treatments on the plant height of quinoa are presented in Table 2. Significant variation in plant height among treatments was observed at 30 DAS. The greatest plant height (39.28 cm) was recorded under the weed-free check (T11), which was statistically comparable to pretilachlor applied at 750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as a pre-emergence treatment (T3), as well as butachlor at 1000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applied at 3 DAS followed by </w:t>
      </w:r>
      <w:proofErr w:type="spellStart"/>
      <w:r w:rsidRPr="00CF1897">
        <w:rPr>
          <w:rFonts w:ascii="Times New Roman" w:eastAsia="Times New Roman" w:hAnsi="Times New Roman" w:cs="Times New Roman"/>
          <w:kern w:val="0"/>
          <w:sz w:val="24"/>
          <w:szCs w:val="24"/>
          <w:lang w:val="en-US"/>
          <w14:ligatures w14:val="none"/>
        </w:rPr>
        <w:t>metamifop</w:t>
      </w:r>
      <w:proofErr w:type="spellEnd"/>
      <w:r w:rsidRPr="00CF1897">
        <w:rPr>
          <w:rFonts w:ascii="Times New Roman" w:eastAsia="Times New Roman" w:hAnsi="Times New Roman" w:cs="Times New Roman"/>
          <w:kern w:val="0"/>
          <w:sz w:val="24"/>
          <w:szCs w:val="24"/>
          <w:lang w:val="en-US"/>
          <w14:ligatures w14:val="none"/>
        </w:rPr>
        <w:t xml:space="preserve"> at 1000 ml ha⁻¹ at 25 DAS as a post-emergence treatment (T9).</w:t>
      </w:r>
      <w:r>
        <w:rPr>
          <w:rFonts w:ascii="Times New Roman" w:eastAsia="Times New Roman" w:hAnsi="Times New Roman" w:cs="Times New Roman"/>
          <w:kern w:val="0"/>
          <w:sz w:val="24"/>
          <w:szCs w:val="24"/>
          <w:lang w:val="en-US"/>
          <w14:ligatures w14:val="none"/>
        </w:rPr>
        <w:t xml:space="preserve"> </w:t>
      </w:r>
      <w:r w:rsidRPr="00CF1897">
        <w:rPr>
          <w:rFonts w:ascii="Times New Roman" w:eastAsia="Times New Roman" w:hAnsi="Times New Roman" w:cs="Times New Roman"/>
          <w:kern w:val="0"/>
          <w:sz w:val="24"/>
          <w:szCs w:val="24"/>
          <w:lang w:val="en-US"/>
          <w14:ligatures w14:val="none"/>
        </w:rPr>
        <w:t xml:space="preserve">At 60 and 90 DAS, and at harvest, the weed-free check (T11) consistently exhibited the highest plant heights (95.3 cm, 136 cm, and 158.9 cm, respectively), remaining statistically at par with the pre-emergence application of pretilachlor at 750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(T3). The improved plant growth observed under these treatments may be attributed to effective weed suppression, which reduced competition for essential resources such as light, nutrients, and moisture, thereby facilitating enhanced crop development [6].</w:t>
      </w:r>
    </w:p>
    <w:p w14:paraId="538C5683" w14:textId="77777777" w:rsidR="00CF1897" w:rsidRPr="00CF1897" w:rsidRDefault="00CF1897" w:rsidP="00CF189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F1897">
        <w:rPr>
          <w:rFonts w:ascii="Times New Roman" w:eastAsia="Times New Roman" w:hAnsi="Times New Roman" w:cs="Times New Roman"/>
          <w:kern w:val="0"/>
          <w:sz w:val="24"/>
          <w:szCs w:val="24"/>
          <w:lang w:val="en-US"/>
          <w14:ligatures w14:val="none"/>
        </w:rPr>
        <w:t xml:space="preserve">In contrast, the </w:t>
      </w:r>
      <w:proofErr w:type="spellStart"/>
      <w:r w:rsidRPr="00CF1897">
        <w:rPr>
          <w:rFonts w:ascii="Times New Roman" w:eastAsia="Times New Roman" w:hAnsi="Times New Roman" w:cs="Times New Roman"/>
          <w:kern w:val="0"/>
          <w:sz w:val="24"/>
          <w:szCs w:val="24"/>
          <w:lang w:val="en-US"/>
          <w14:ligatures w14:val="none"/>
        </w:rPr>
        <w:t>unweeded</w:t>
      </w:r>
      <w:proofErr w:type="spellEnd"/>
      <w:r w:rsidRPr="00CF1897">
        <w:rPr>
          <w:rFonts w:ascii="Times New Roman" w:eastAsia="Times New Roman" w:hAnsi="Times New Roman" w:cs="Times New Roman"/>
          <w:kern w:val="0"/>
          <w:sz w:val="24"/>
          <w:szCs w:val="24"/>
          <w:lang w:val="en-US"/>
          <w14:ligatures w14:val="none"/>
        </w:rPr>
        <w:t xml:space="preserve"> control (T12) recorded the lowest plant height, likely due to intense and prolonged competition between the crop and weeds. These findings </w:t>
      </w:r>
      <w:proofErr w:type="spellStart"/>
      <w:r w:rsidRPr="00CF1897">
        <w:rPr>
          <w:rFonts w:ascii="Times New Roman" w:eastAsia="Times New Roman" w:hAnsi="Times New Roman" w:cs="Times New Roman"/>
          <w:kern w:val="0"/>
          <w:sz w:val="24"/>
          <w:szCs w:val="24"/>
          <w:lang w:val="en-US"/>
          <w14:ligatures w14:val="none"/>
        </w:rPr>
        <w:t>emphasise</w:t>
      </w:r>
      <w:proofErr w:type="spellEnd"/>
      <w:r w:rsidRPr="00CF1897">
        <w:rPr>
          <w:rFonts w:ascii="Times New Roman" w:eastAsia="Times New Roman" w:hAnsi="Times New Roman" w:cs="Times New Roman"/>
          <w:kern w:val="0"/>
          <w:sz w:val="24"/>
          <w:szCs w:val="24"/>
          <w:lang w:val="en-US"/>
          <w14:ligatures w14:val="none"/>
        </w:rPr>
        <w:t xml:space="preserve"> the importance of timely and effective weed management in </w:t>
      </w:r>
      <w:proofErr w:type="spellStart"/>
      <w:r w:rsidRPr="00CF1897">
        <w:rPr>
          <w:rFonts w:ascii="Times New Roman" w:eastAsia="Times New Roman" w:hAnsi="Times New Roman" w:cs="Times New Roman"/>
          <w:kern w:val="0"/>
          <w:sz w:val="24"/>
          <w:szCs w:val="24"/>
          <w:lang w:val="en-US"/>
          <w14:ligatures w14:val="none"/>
        </w:rPr>
        <w:t>optimising</w:t>
      </w:r>
      <w:proofErr w:type="spellEnd"/>
      <w:r w:rsidRPr="00CF1897">
        <w:rPr>
          <w:rFonts w:ascii="Times New Roman" w:eastAsia="Times New Roman" w:hAnsi="Times New Roman" w:cs="Times New Roman"/>
          <w:kern w:val="0"/>
          <w:sz w:val="24"/>
          <w:szCs w:val="24"/>
          <w:lang w:val="en-US"/>
          <w14:ligatures w14:val="none"/>
        </w:rPr>
        <w:t xml:space="preserve"> crop growth.</w:t>
      </w:r>
    </w:p>
    <w:p w14:paraId="3670B5AE" w14:textId="4A08EFD3" w:rsidR="00AD166D" w:rsidRDefault="00AD166D" w:rsidP="0028616A">
      <w:pPr>
        <w:spacing w:line="240" w:lineRule="auto"/>
        <w:jc w:val="both"/>
        <w:rPr>
          <w:rFonts w:ascii="Arial" w:eastAsia="Times New Roman" w:hAnsi="Arial" w:cs="Arial"/>
          <w:kern w:val="0"/>
          <w:sz w:val="20"/>
          <w:szCs w:val="20"/>
          <w:lang w:eastAsia="en-IN"/>
          <w14:ligatures w14:val="none"/>
        </w:rPr>
      </w:pPr>
      <w:r w:rsidRPr="007851E3">
        <w:rPr>
          <w:rFonts w:ascii="Arial" w:eastAsia="Times New Roman" w:hAnsi="Arial" w:cs="Arial"/>
          <w:kern w:val="0"/>
          <w:sz w:val="20"/>
          <w:szCs w:val="20"/>
          <w:lang w:eastAsia="en-IN"/>
          <w14:ligatures w14:val="none"/>
        </w:rPr>
        <w:t>Under field conditions, where weed pressure is often more intense and variable, effective control during the early growth stages is particularly important for ensuring optimal plant development. However, the magnitude of response may vary under field situations due to environmental factors and heterogeneous weed flora, necessitating further validation of these results under open field conditions</w:t>
      </w:r>
    </w:p>
    <w:p w14:paraId="4679FF3D" w14:textId="582249A9" w:rsidR="00B64115" w:rsidRPr="00AD166D" w:rsidRDefault="00B64115" w:rsidP="0028616A">
      <w:pPr>
        <w:spacing w:line="240" w:lineRule="auto"/>
        <w:jc w:val="both"/>
        <w:rPr>
          <w:rFonts w:ascii="Arial" w:eastAsia="Times New Roman" w:hAnsi="Arial" w:cs="Arial"/>
          <w:kern w:val="0"/>
          <w:sz w:val="20"/>
          <w:szCs w:val="20"/>
          <w:lang w:eastAsia="en-IN"/>
          <w14:ligatures w14:val="none"/>
        </w:rPr>
      </w:pPr>
      <w:r w:rsidRPr="00E040D5">
        <w:rPr>
          <w:rFonts w:ascii="Arial" w:eastAsia="Times New Roman" w:hAnsi="Arial" w:cs="Arial"/>
          <w:b/>
          <w:bCs/>
          <w:kern w:val="0"/>
          <w:lang w:eastAsia="en-IN"/>
          <w14:ligatures w14:val="none"/>
        </w:rPr>
        <w:t>3.1.</w:t>
      </w:r>
      <w:r w:rsidR="00E1073D" w:rsidRPr="00E040D5">
        <w:rPr>
          <w:rFonts w:ascii="Arial" w:eastAsia="Times New Roman" w:hAnsi="Arial" w:cs="Arial"/>
          <w:b/>
          <w:bCs/>
          <w:kern w:val="0"/>
          <w:lang w:eastAsia="en-IN"/>
          <w14:ligatures w14:val="none"/>
        </w:rPr>
        <w:t>2</w:t>
      </w:r>
      <w:r w:rsidRPr="00E040D5">
        <w:rPr>
          <w:rFonts w:ascii="Arial" w:eastAsia="Times New Roman" w:hAnsi="Arial" w:cs="Arial"/>
          <w:b/>
          <w:bCs/>
          <w:kern w:val="0"/>
          <w:lang w:eastAsia="en-IN"/>
          <w14:ligatures w14:val="none"/>
        </w:rPr>
        <w:t>. Dry matter production</w:t>
      </w:r>
      <w:r w:rsidR="00E1073D" w:rsidRPr="00E040D5">
        <w:rPr>
          <w:rFonts w:ascii="Arial" w:eastAsia="Times New Roman" w:hAnsi="Arial" w:cs="Arial"/>
          <w:b/>
          <w:bCs/>
          <w:kern w:val="0"/>
          <w:lang w:eastAsia="en-IN"/>
          <w14:ligatures w14:val="none"/>
        </w:rPr>
        <w:t xml:space="preserve"> (DMP)</w:t>
      </w:r>
    </w:p>
    <w:p w14:paraId="6AE0E79D" w14:textId="0197C206" w:rsidR="00AD166D" w:rsidRDefault="009022B5"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influence of herbicides on total dry matter production at various growth stages </w:t>
      </w:r>
      <w:r w:rsidR="002A715B" w:rsidRPr="0028616A">
        <w:rPr>
          <w:rFonts w:ascii="Arial" w:eastAsia="Times New Roman" w:hAnsi="Arial" w:cs="Arial"/>
          <w:kern w:val="0"/>
          <w:sz w:val="20"/>
          <w:szCs w:val="20"/>
          <w:lang w:eastAsia="en-IN"/>
          <w14:ligatures w14:val="none"/>
        </w:rPr>
        <w:t>is</w:t>
      </w:r>
      <w:r w:rsidRPr="0028616A">
        <w:rPr>
          <w:rFonts w:ascii="Arial" w:eastAsia="Times New Roman" w:hAnsi="Arial" w:cs="Arial"/>
          <w:kern w:val="0"/>
          <w:sz w:val="20"/>
          <w:szCs w:val="20"/>
          <w:lang w:eastAsia="en-IN"/>
          <w14:ligatures w14:val="none"/>
        </w:rPr>
        <w:t xml:space="preserve"> depicted in Fig. 1. At 30 DAS</w:t>
      </w:r>
      <w:r w:rsidR="007330D3" w:rsidRPr="0028616A">
        <w:rPr>
          <w:rFonts w:ascii="Arial" w:eastAsia="Times New Roman" w:hAnsi="Arial" w:cs="Arial"/>
          <w:kern w:val="0"/>
          <w:sz w:val="20"/>
          <w:szCs w:val="20"/>
          <w:lang w:eastAsia="en-IN"/>
          <w14:ligatures w14:val="none"/>
        </w:rPr>
        <w:t>, t</w:t>
      </w:r>
      <w:r w:rsidRPr="0028616A">
        <w:rPr>
          <w:rFonts w:ascii="Arial" w:eastAsia="Times New Roman" w:hAnsi="Arial" w:cs="Arial"/>
          <w:kern w:val="0"/>
          <w:sz w:val="20"/>
          <w:szCs w:val="20"/>
          <w:lang w:eastAsia="en-IN"/>
          <w14:ligatures w14:val="none"/>
        </w:rPr>
        <w:t>he 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recorded the highest DMP (16.59 g plant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which was on par with </w:t>
      </w:r>
      <w:r w:rsidR="00E1073D" w:rsidRPr="0028616A">
        <w:rPr>
          <w:rFonts w:ascii="Arial" w:eastAsia="Times New Roman" w:hAnsi="Arial" w:cs="Arial"/>
          <w:kern w:val="0"/>
          <w:sz w:val="20"/>
          <w:szCs w:val="20"/>
          <w:lang w:eastAsia="en-IN"/>
          <w14:ligatures w14:val="none"/>
        </w:rPr>
        <w:t xml:space="preserve"> the application of </w:t>
      </w:r>
      <w:r w:rsidRPr="0028616A">
        <w:rPr>
          <w:rFonts w:ascii="Arial" w:eastAsia="Times New Roman" w:hAnsi="Arial" w:cs="Arial"/>
          <w:kern w:val="0"/>
          <w:sz w:val="20"/>
          <w:szCs w:val="20"/>
          <w:lang w:eastAsia="en-IN"/>
          <w14:ligatures w14:val="none"/>
        </w:rPr>
        <w:t>butachlor</w:t>
      </w:r>
      <w:r w:rsidR="00E1073D" w:rsidRPr="0028616A">
        <w:rPr>
          <w:rFonts w:ascii="Arial" w:eastAsia="Times New Roman" w:hAnsi="Arial" w:cs="Arial"/>
          <w:kern w:val="0"/>
          <w:sz w:val="20"/>
          <w:szCs w:val="20"/>
          <w:lang w:eastAsia="en-IN"/>
          <w14:ligatures w14:val="none"/>
        </w:rPr>
        <w:t xml:space="preserve"> as pre-emergence </w:t>
      </w:r>
      <w:r w:rsidRPr="0028616A">
        <w:rPr>
          <w:rFonts w:ascii="Arial" w:eastAsia="Times New Roman" w:hAnsi="Arial" w:cs="Arial"/>
          <w:kern w:val="0"/>
          <w:sz w:val="20"/>
          <w:szCs w:val="20"/>
          <w:lang w:eastAsia="en-IN"/>
          <w14:ligatures w14:val="none"/>
        </w:rPr>
        <w:t>@ 1000 g a.i.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007330D3" w:rsidRPr="0028616A">
        <w:rPr>
          <w:rFonts w:ascii="Arial" w:eastAsia="Times New Roman" w:hAnsi="Arial" w:cs="Arial"/>
          <w:kern w:val="0"/>
          <w:sz w:val="20"/>
          <w:szCs w:val="20"/>
          <w:lang w:eastAsia="en-IN"/>
          <w14:ligatures w14:val="none"/>
        </w:rPr>
        <w:t>m</w:t>
      </w:r>
      <w:r w:rsidRPr="0028616A">
        <w:rPr>
          <w:rFonts w:ascii="Arial" w:eastAsia="Times New Roman" w:hAnsi="Arial" w:cs="Arial"/>
          <w:kern w:val="0"/>
          <w:sz w:val="20"/>
          <w:szCs w:val="20"/>
          <w:lang w:eastAsia="en-IN"/>
          <w14:ligatures w14:val="none"/>
        </w:rPr>
        <w:t>etamifop</w:t>
      </w:r>
      <w:proofErr w:type="spellEnd"/>
      <w:r w:rsidRPr="0028616A">
        <w:rPr>
          <w:rFonts w:ascii="Arial" w:eastAsia="Times New Roman" w:hAnsi="Arial" w:cs="Arial"/>
          <w:kern w:val="0"/>
          <w:sz w:val="20"/>
          <w:szCs w:val="20"/>
          <w:lang w:eastAsia="en-IN"/>
          <w14:ligatures w14:val="none"/>
        </w:rPr>
        <w:t xml:space="preserve"> @ 1000 ml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w:t>
      </w:r>
      <w:r w:rsidR="00E1073D"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 xml:space="preserve">). At 60, 90 DAS and at harvest, </w:t>
      </w:r>
      <w:r w:rsidR="00876B37" w:rsidRPr="0028616A">
        <w:rPr>
          <w:rFonts w:ascii="Arial" w:eastAsia="Times New Roman" w:hAnsi="Arial" w:cs="Arial"/>
          <w:kern w:val="0"/>
          <w:sz w:val="20"/>
          <w:szCs w:val="20"/>
          <w:lang w:eastAsia="en-IN"/>
          <w14:ligatures w14:val="none"/>
        </w:rPr>
        <w:t>the weed-free check</w:t>
      </w:r>
      <w:r w:rsidR="00E1073D" w:rsidRPr="0028616A">
        <w:rPr>
          <w:rFonts w:ascii="Arial" w:eastAsia="Times New Roman" w:hAnsi="Arial" w:cs="Arial"/>
          <w:kern w:val="0"/>
          <w:sz w:val="20"/>
          <w:szCs w:val="20"/>
          <w:lang w:eastAsia="en-IN"/>
          <w14:ligatures w14:val="none"/>
        </w:rPr>
        <w:t xml:space="preserve"> (T</w:t>
      </w:r>
      <w:r w:rsidR="00E1073D" w:rsidRPr="0028616A">
        <w:rPr>
          <w:rFonts w:ascii="Arial" w:eastAsia="Times New Roman" w:hAnsi="Arial" w:cs="Arial"/>
          <w:kern w:val="0"/>
          <w:sz w:val="20"/>
          <w:szCs w:val="20"/>
          <w:vertAlign w:val="subscript"/>
          <w:lang w:eastAsia="en-IN"/>
          <w14:ligatures w14:val="none"/>
        </w:rPr>
        <w:t>11</w:t>
      </w:r>
      <w:r w:rsidR="00E1073D" w:rsidRPr="0028616A">
        <w:rPr>
          <w:rFonts w:ascii="Arial" w:eastAsia="Times New Roman" w:hAnsi="Arial" w:cs="Arial"/>
          <w:kern w:val="0"/>
          <w:sz w:val="20"/>
          <w:szCs w:val="20"/>
          <w:lang w:eastAsia="en-IN"/>
          <w14:ligatures w14:val="none"/>
        </w:rPr>
        <w:t>)</w:t>
      </w:r>
      <w:r w:rsidR="00876B37" w:rsidRPr="0028616A">
        <w:rPr>
          <w:rFonts w:ascii="Arial" w:eastAsia="Times New Roman" w:hAnsi="Arial" w:cs="Arial"/>
          <w:kern w:val="0"/>
          <w:sz w:val="20"/>
          <w:szCs w:val="20"/>
          <w:lang w:eastAsia="en-IN"/>
          <w14:ligatures w14:val="none"/>
        </w:rPr>
        <w:t xml:space="preserve"> continued to produce higher DMP, which</w:t>
      </w:r>
      <w:r w:rsidRPr="0028616A">
        <w:rPr>
          <w:rFonts w:ascii="Arial" w:eastAsia="Times New Roman" w:hAnsi="Arial" w:cs="Arial"/>
          <w:kern w:val="0"/>
          <w:sz w:val="20"/>
          <w:szCs w:val="20"/>
          <w:lang w:eastAsia="en-IN"/>
          <w14:ligatures w14:val="none"/>
        </w:rPr>
        <w:t xml:space="preserve"> was on par with pretilachlor</w:t>
      </w:r>
      <w:r w:rsidR="00E1073D"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750 g a.i.</w:t>
      </w:r>
      <w:r w:rsidR="00D5297D"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w:t>
      </w:r>
      <w:r w:rsidR="00E1073D" w:rsidRPr="0028616A">
        <w:rPr>
          <w:rFonts w:ascii="Arial" w:eastAsia="Times New Roman" w:hAnsi="Arial" w:cs="Arial"/>
          <w:kern w:val="0"/>
          <w:sz w:val="20"/>
          <w:szCs w:val="20"/>
          <w:lang w:eastAsia="en-IN"/>
          <w14:ligatures w14:val="none"/>
        </w:rPr>
        <w:t xml:space="preserve">at 3 DAS </w:t>
      </w:r>
      <w:r w:rsidRPr="0028616A">
        <w:rPr>
          <w:rFonts w:ascii="Arial" w:eastAsia="Times New Roman" w:hAnsi="Arial" w:cs="Arial"/>
          <w:kern w:val="0"/>
          <w:sz w:val="20"/>
          <w:szCs w:val="20"/>
          <w:lang w:eastAsia="en-IN"/>
          <w14:ligatures w14:val="none"/>
        </w:rPr>
        <w:t>as pre-emergence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 and butachlor @ 1000 g a.i. ha</w:t>
      </w:r>
      <w:r w:rsidR="002B6572"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at 3 DAS</w:t>
      </w:r>
      <w:r w:rsidR="00E1073D" w:rsidRPr="0028616A">
        <w:rPr>
          <w:rFonts w:ascii="Arial" w:eastAsia="Times New Roman" w:hAnsi="Arial" w:cs="Arial"/>
          <w:kern w:val="0"/>
          <w:sz w:val="20"/>
          <w:szCs w:val="20"/>
          <w:lang w:eastAsia="en-IN"/>
          <w14:ligatures w14:val="none"/>
        </w:rPr>
        <w:t xml:space="preserve"> as pre-emergence</w:t>
      </w:r>
      <w:r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vertAlign w:val="subscript"/>
          <w:lang w:eastAsia="en-IN"/>
          <w14:ligatures w14:val="none"/>
        </w:rPr>
        <w:t>2</w:t>
      </w:r>
      <w:r w:rsidRPr="0028616A">
        <w:rPr>
          <w:rFonts w:ascii="Arial" w:eastAsia="Times New Roman" w:hAnsi="Arial" w:cs="Arial"/>
          <w:kern w:val="0"/>
          <w:sz w:val="20"/>
          <w:szCs w:val="20"/>
          <w:lang w:eastAsia="en-IN"/>
          <w14:ligatures w14:val="none"/>
        </w:rPr>
        <w:t xml:space="preserve">). </w:t>
      </w:r>
      <w:r w:rsidR="00AD166D" w:rsidRPr="00AD166D">
        <w:rPr>
          <w:rFonts w:ascii="Arial" w:eastAsia="Times New Roman" w:hAnsi="Arial" w:cs="Arial"/>
          <w:kern w:val="0"/>
          <w:sz w:val="20"/>
          <w:szCs w:val="20"/>
          <w:lang w:eastAsia="en-IN"/>
          <w14:ligatures w14:val="none"/>
        </w:rPr>
        <w:t xml:space="preserve">The increased dry matter accumulation under these treatments can be attributed to effective weed control, which minimized crop–weed competition and ensured better availability of essential resources such as nutrients, moisture, and light, thereby enhancing photosynthetic efficiency and biomass production </w:t>
      </w:r>
      <w:r w:rsidR="00855061">
        <w:rPr>
          <w:rFonts w:ascii="Arial" w:eastAsia="Times New Roman" w:hAnsi="Arial" w:cs="Arial"/>
          <w:kern w:val="0"/>
          <w:sz w:val="20"/>
          <w:szCs w:val="20"/>
          <w:lang w:eastAsia="en-IN"/>
          <w14:ligatures w14:val="none"/>
        </w:rPr>
        <w:t>[7,8]</w:t>
      </w:r>
      <w:r w:rsidR="00AD166D" w:rsidRPr="00AD166D">
        <w:rPr>
          <w:rFonts w:ascii="Arial" w:eastAsia="Times New Roman" w:hAnsi="Arial" w:cs="Arial"/>
          <w:kern w:val="0"/>
          <w:sz w:val="20"/>
          <w:szCs w:val="20"/>
          <w:lang w:eastAsia="en-IN"/>
          <w14:ligatures w14:val="none"/>
        </w:rPr>
        <w:t xml:space="preserve">. In contrast, the </w:t>
      </w:r>
      <w:proofErr w:type="spellStart"/>
      <w:r w:rsidR="00AD166D" w:rsidRPr="00AD166D">
        <w:rPr>
          <w:rFonts w:ascii="Arial" w:eastAsia="Times New Roman" w:hAnsi="Arial" w:cs="Arial"/>
          <w:kern w:val="0"/>
          <w:sz w:val="20"/>
          <w:szCs w:val="20"/>
          <w:lang w:eastAsia="en-IN"/>
          <w14:ligatures w14:val="none"/>
        </w:rPr>
        <w:t>unweeded</w:t>
      </w:r>
      <w:proofErr w:type="spellEnd"/>
      <w:r w:rsidR="00AD166D" w:rsidRPr="00AD166D">
        <w:rPr>
          <w:rFonts w:ascii="Arial" w:eastAsia="Times New Roman" w:hAnsi="Arial" w:cs="Arial"/>
          <w:kern w:val="0"/>
          <w:sz w:val="20"/>
          <w:szCs w:val="20"/>
          <w:lang w:eastAsia="en-IN"/>
          <w14:ligatures w14:val="none"/>
        </w:rPr>
        <w:t xml:space="preserve"> control (T12) recorded the lowest DMP due to intense competition from weeds, leading to greater nutrient depletion and reduced biomass accumulation by the crop</w:t>
      </w:r>
      <w:r w:rsidR="00AD166D" w:rsidRPr="007851E3">
        <w:rPr>
          <w:rFonts w:ascii="Arial" w:eastAsia="Times New Roman" w:hAnsi="Arial" w:cs="Arial"/>
          <w:kern w:val="0"/>
          <w:sz w:val="20"/>
          <w:szCs w:val="20"/>
          <w:lang w:eastAsia="en-IN"/>
          <w14:ligatures w14:val="none"/>
        </w:rPr>
        <w:t>.</w:t>
      </w:r>
      <w:r w:rsidR="00855061" w:rsidRPr="007851E3">
        <w:rPr>
          <w:rFonts w:ascii="Arial" w:eastAsia="Times New Roman" w:hAnsi="Arial" w:cs="Arial"/>
          <w:kern w:val="0"/>
          <w:sz w:val="20"/>
          <w:szCs w:val="20"/>
          <w:lang w:eastAsia="en-IN"/>
          <w14:ligatures w14:val="none"/>
        </w:rPr>
        <w:t xml:space="preserve"> </w:t>
      </w:r>
      <w:r w:rsidR="00AD166D" w:rsidRPr="007851E3">
        <w:rPr>
          <w:rFonts w:ascii="Arial" w:eastAsia="Times New Roman" w:hAnsi="Arial" w:cs="Arial"/>
          <w:kern w:val="0"/>
          <w:sz w:val="20"/>
          <w:szCs w:val="20"/>
          <w:lang w:eastAsia="en-IN"/>
          <w14:ligatures w14:val="none"/>
        </w:rPr>
        <w:t>The results highlight the importance of efficient weed management in improving biomass accumulation in quinoa</w:t>
      </w:r>
      <w:r w:rsidR="00451213" w:rsidRPr="007851E3">
        <w:rPr>
          <w:rFonts w:ascii="Arial" w:eastAsia="Times New Roman" w:hAnsi="Arial" w:cs="Arial"/>
          <w:kern w:val="0"/>
          <w:sz w:val="20"/>
          <w:szCs w:val="20"/>
          <w:lang w:eastAsia="en-IN"/>
          <w14:ligatures w14:val="none"/>
        </w:rPr>
        <w:t xml:space="preserve"> however, field validation is essential due to variability in soil, moisture and weed pressure.</w:t>
      </w:r>
    </w:p>
    <w:p w14:paraId="1E1D91B0" w14:textId="5322AEA3"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3.2. Weed dynamics</w:t>
      </w:r>
    </w:p>
    <w:p w14:paraId="0C7C53FB" w14:textId="05AB4C35"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3.2.1. Weed flora</w:t>
      </w:r>
    </w:p>
    <w:p w14:paraId="2590B430" w14:textId="7C493449" w:rsidR="007330D3" w:rsidRPr="0028616A" w:rsidRDefault="007330D3"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lastRenderedPageBreak/>
        <w:t xml:space="preserve">The experimental pots were dominated by grasses, sedges and BLW, mainly </w:t>
      </w:r>
      <w:proofErr w:type="spellStart"/>
      <w:r w:rsidRPr="0028616A">
        <w:rPr>
          <w:rFonts w:ascii="Arial" w:eastAsia="Times New Roman" w:hAnsi="Arial" w:cs="Arial"/>
          <w:i/>
          <w:iCs/>
          <w:kern w:val="0"/>
          <w:sz w:val="20"/>
          <w:szCs w:val="20"/>
          <w:lang w:eastAsia="en-IN"/>
          <w14:ligatures w14:val="none"/>
        </w:rPr>
        <w:t>Digitaria</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sanguinalis</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Echinocloa</w:t>
      </w:r>
      <w:proofErr w:type="spellEnd"/>
      <w:r w:rsidRPr="0028616A">
        <w:rPr>
          <w:rFonts w:ascii="Arial" w:eastAsia="Times New Roman" w:hAnsi="Arial" w:cs="Arial"/>
          <w:i/>
          <w:iCs/>
          <w:kern w:val="0"/>
          <w:sz w:val="20"/>
          <w:szCs w:val="20"/>
          <w:lang w:eastAsia="en-IN"/>
          <w14:ligatures w14:val="none"/>
        </w:rPr>
        <w:t xml:space="preserve"> crus-</w:t>
      </w:r>
      <w:proofErr w:type="spellStart"/>
      <w:r w:rsidRPr="0028616A">
        <w:rPr>
          <w:rFonts w:ascii="Arial" w:eastAsia="Times New Roman" w:hAnsi="Arial" w:cs="Arial"/>
          <w:i/>
          <w:iCs/>
          <w:kern w:val="0"/>
          <w:sz w:val="20"/>
          <w:szCs w:val="20"/>
          <w:lang w:eastAsia="en-IN"/>
          <w14:ligatures w14:val="none"/>
        </w:rPr>
        <w:t>galli</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Cynodon</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dactylon</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Cyperus</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iria</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Cyperus</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rotundus</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 xml:space="preserve">Amaranthus </w:t>
      </w:r>
      <w:proofErr w:type="spellStart"/>
      <w:r w:rsidRPr="0028616A">
        <w:rPr>
          <w:rFonts w:ascii="Arial" w:eastAsia="Times New Roman" w:hAnsi="Arial" w:cs="Arial"/>
          <w:i/>
          <w:iCs/>
          <w:kern w:val="0"/>
          <w:sz w:val="20"/>
          <w:szCs w:val="20"/>
          <w:lang w:eastAsia="en-IN"/>
          <w14:ligatures w14:val="none"/>
        </w:rPr>
        <w:t>retroflexus</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 xml:space="preserve">Amaranthus </w:t>
      </w:r>
      <w:proofErr w:type="spellStart"/>
      <w:r w:rsidRPr="0028616A">
        <w:rPr>
          <w:rFonts w:ascii="Arial" w:eastAsia="Times New Roman" w:hAnsi="Arial" w:cs="Arial"/>
          <w:i/>
          <w:iCs/>
          <w:kern w:val="0"/>
          <w:sz w:val="20"/>
          <w:szCs w:val="20"/>
          <w:lang w:eastAsia="en-IN"/>
          <w14:ligatures w14:val="none"/>
        </w:rPr>
        <w:t>viridis</w:t>
      </w:r>
      <w:proofErr w:type="spellEnd"/>
      <w:r w:rsidRPr="0028616A">
        <w:rPr>
          <w:rFonts w:ascii="Arial" w:eastAsia="Times New Roman" w:hAnsi="Arial" w:cs="Arial"/>
          <w:kern w:val="0"/>
          <w:sz w:val="20"/>
          <w:szCs w:val="20"/>
          <w:lang w:eastAsia="en-IN"/>
          <w14:ligatures w14:val="none"/>
        </w:rPr>
        <w:t xml:space="preserve"> and </w:t>
      </w:r>
      <w:proofErr w:type="spellStart"/>
      <w:r w:rsidRPr="0028616A">
        <w:rPr>
          <w:rFonts w:ascii="Arial" w:eastAsia="Times New Roman" w:hAnsi="Arial" w:cs="Arial"/>
          <w:i/>
          <w:iCs/>
          <w:kern w:val="0"/>
          <w:sz w:val="20"/>
          <w:szCs w:val="20"/>
          <w:lang w:eastAsia="en-IN"/>
          <w14:ligatures w14:val="none"/>
        </w:rPr>
        <w:t>Portulaca</w:t>
      </w:r>
      <w:proofErr w:type="spellEnd"/>
      <w:r w:rsidRPr="0028616A">
        <w:rPr>
          <w:rFonts w:ascii="Arial" w:eastAsia="Times New Roman" w:hAnsi="Arial" w:cs="Arial"/>
          <w:i/>
          <w:iCs/>
          <w:kern w:val="0"/>
          <w:sz w:val="20"/>
          <w:szCs w:val="20"/>
          <w:lang w:eastAsia="en-IN"/>
          <w14:ligatures w14:val="none"/>
        </w:rPr>
        <w:t xml:space="preserve"> oleracea</w:t>
      </w:r>
      <w:r w:rsidRPr="0028616A">
        <w:rPr>
          <w:rFonts w:ascii="Arial" w:eastAsia="Times New Roman" w:hAnsi="Arial" w:cs="Arial"/>
          <w:kern w:val="0"/>
          <w:sz w:val="20"/>
          <w:szCs w:val="20"/>
          <w:lang w:eastAsia="en-IN"/>
          <w14:ligatures w14:val="none"/>
        </w:rPr>
        <w:t>.</w:t>
      </w:r>
    </w:p>
    <w:p w14:paraId="132ACBB8" w14:textId="434AB17F"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 xml:space="preserve">3.2.2. </w:t>
      </w:r>
      <w:r w:rsidR="00E1073D" w:rsidRPr="00E040D5">
        <w:rPr>
          <w:rFonts w:ascii="Arial" w:eastAsia="Times New Roman" w:hAnsi="Arial" w:cs="Arial"/>
          <w:b/>
          <w:bCs/>
          <w:kern w:val="0"/>
          <w:lang w:eastAsia="en-IN"/>
          <w14:ligatures w14:val="none"/>
        </w:rPr>
        <w:t>Total w</w:t>
      </w:r>
      <w:r w:rsidRPr="00E040D5">
        <w:rPr>
          <w:rFonts w:ascii="Arial" w:eastAsia="Times New Roman" w:hAnsi="Arial" w:cs="Arial"/>
          <w:b/>
          <w:bCs/>
          <w:kern w:val="0"/>
          <w:lang w:eastAsia="en-IN"/>
          <w14:ligatures w14:val="none"/>
        </w:rPr>
        <w:t>eed density</w:t>
      </w:r>
    </w:p>
    <w:p w14:paraId="7D24571C" w14:textId="7C10F30D" w:rsidR="00CF1897" w:rsidRPr="00CF1897" w:rsidRDefault="00CF1897" w:rsidP="00CF189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CF1897">
        <w:rPr>
          <w:rFonts w:ascii="Times New Roman" w:eastAsia="Times New Roman" w:hAnsi="Times New Roman" w:cs="Times New Roman"/>
          <w:kern w:val="0"/>
          <w:sz w:val="24"/>
          <w:szCs w:val="24"/>
          <w:lang w:val="en-US"/>
          <w14:ligatures w14:val="none"/>
        </w:rPr>
        <w:t xml:space="preserve">The total weed density under different herbicidal treatments is presented in Table 3. Significant differences in weed density were observed among treatments at 15, 30, and 45 DAS. The lowest weed densities (2.38, 8.74, and 8.46 plants pot⁻¹, respectively) were recorded under the combined application of pretilachlor at 750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as a pre-emergence treatment at 3 DAS, followed by </w:t>
      </w:r>
      <w:proofErr w:type="spellStart"/>
      <w:r w:rsidRPr="00CF1897">
        <w:rPr>
          <w:rFonts w:ascii="Times New Roman" w:eastAsia="Times New Roman" w:hAnsi="Times New Roman" w:cs="Times New Roman"/>
          <w:kern w:val="0"/>
          <w:sz w:val="24"/>
          <w:szCs w:val="24"/>
          <w:lang w:val="en-US"/>
          <w14:ligatures w14:val="none"/>
        </w:rPr>
        <w:t>halosulfuron</w:t>
      </w:r>
      <w:proofErr w:type="spellEnd"/>
      <w:r w:rsidRPr="00CF1897">
        <w:rPr>
          <w:rFonts w:ascii="Times New Roman" w:eastAsia="Times New Roman" w:hAnsi="Times New Roman" w:cs="Times New Roman"/>
          <w:kern w:val="0"/>
          <w:sz w:val="24"/>
          <w:szCs w:val="24"/>
          <w:lang w:val="en-US"/>
          <w14:ligatures w14:val="none"/>
        </w:rPr>
        <w:t xml:space="preserve">-methyl at 70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as a post-emergence application at 25 DAS. This was closely followed by the treatment involving butachlor at 1000 g </w:t>
      </w:r>
      <w:proofErr w:type="spellStart"/>
      <w:r w:rsidRPr="00CF1897">
        <w:rPr>
          <w:rFonts w:ascii="Times New Roman" w:eastAsia="Times New Roman" w:hAnsi="Times New Roman" w:cs="Times New Roman"/>
          <w:kern w:val="0"/>
          <w:sz w:val="24"/>
          <w:szCs w:val="24"/>
          <w:lang w:val="en-US"/>
          <w14:ligatures w14:val="none"/>
        </w:rPr>
        <w:t>a.i.</w:t>
      </w:r>
      <w:proofErr w:type="spellEnd"/>
      <w:r w:rsidRPr="00CF1897">
        <w:rPr>
          <w:rFonts w:ascii="Times New Roman" w:eastAsia="Times New Roman" w:hAnsi="Times New Roman" w:cs="Times New Roman"/>
          <w:kern w:val="0"/>
          <w:sz w:val="24"/>
          <w:szCs w:val="24"/>
          <w:lang w:val="en-US"/>
          <w14:ligatures w14:val="none"/>
        </w:rPr>
        <w:t xml:space="preserve"> ha⁻¹ applied as a pre-emergence herbicide at 3 DAS, supplemented with </w:t>
      </w:r>
      <w:proofErr w:type="spellStart"/>
      <w:r w:rsidRPr="00CF1897">
        <w:rPr>
          <w:rFonts w:ascii="Times New Roman" w:eastAsia="Times New Roman" w:hAnsi="Times New Roman" w:cs="Times New Roman"/>
          <w:kern w:val="0"/>
          <w:sz w:val="24"/>
          <w:szCs w:val="24"/>
          <w:lang w:val="en-US"/>
          <w14:ligatures w14:val="none"/>
        </w:rPr>
        <w:t>metamifop</w:t>
      </w:r>
      <w:proofErr w:type="spellEnd"/>
      <w:r w:rsidRPr="00CF1897">
        <w:rPr>
          <w:rFonts w:ascii="Times New Roman" w:eastAsia="Times New Roman" w:hAnsi="Times New Roman" w:cs="Times New Roman"/>
          <w:kern w:val="0"/>
          <w:sz w:val="24"/>
          <w:szCs w:val="24"/>
          <w:lang w:val="en-US"/>
          <w14:ligatures w14:val="none"/>
        </w:rPr>
        <w:t xml:space="preserve"> at 1000 ml ha⁻¹ as a post-emergence application at 25 DAS (T9), which recorded weed densities of 3.79, 9.80, and 9.42 plants pot⁻¹, respectively.</w:t>
      </w:r>
      <w:r>
        <w:rPr>
          <w:rFonts w:ascii="Times New Roman" w:eastAsia="Times New Roman" w:hAnsi="Times New Roman" w:cs="Times New Roman"/>
          <w:kern w:val="0"/>
          <w:sz w:val="24"/>
          <w:szCs w:val="24"/>
          <w:lang w:val="en-US"/>
          <w14:ligatures w14:val="none"/>
        </w:rPr>
        <w:t xml:space="preserve"> </w:t>
      </w:r>
      <w:bookmarkStart w:id="0" w:name="_GoBack"/>
      <w:bookmarkEnd w:id="0"/>
      <w:r w:rsidRPr="00CF1897">
        <w:rPr>
          <w:rFonts w:ascii="Times New Roman" w:eastAsia="Times New Roman" w:hAnsi="Times New Roman" w:cs="Times New Roman"/>
          <w:kern w:val="0"/>
          <w:sz w:val="24"/>
          <w:szCs w:val="24"/>
          <w:lang w:val="en-US"/>
          <w14:ligatures w14:val="none"/>
        </w:rPr>
        <w:t>Overall, these findings demonstrate the effectiveness of integrated pre- and post-emergence herbicide applications in reducing weed density.</w:t>
      </w:r>
    </w:p>
    <w:p w14:paraId="0149A194" w14:textId="3BC7AE35" w:rsidR="00451213" w:rsidRDefault="00BA0599" w:rsidP="0028616A">
      <w:pPr>
        <w:spacing w:line="240" w:lineRule="auto"/>
        <w:jc w:val="both"/>
        <w:rPr>
          <w:rFonts w:ascii="Arial" w:eastAsia="Times New Roman" w:hAnsi="Arial" w:cs="Arial"/>
          <w:kern w:val="0"/>
          <w:sz w:val="20"/>
          <w:szCs w:val="20"/>
          <w:lang w:eastAsia="en-IN"/>
          <w14:ligatures w14:val="none"/>
        </w:rPr>
      </w:pPr>
      <w:r w:rsidRPr="007851E3">
        <w:rPr>
          <w:rFonts w:ascii="Arial" w:eastAsia="Times New Roman" w:hAnsi="Arial" w:cs="Arial"/>
          <w:kern w:val="0"/>
          <w:sz w:val="20"/>
          <w:szCs w:val="20"/>
          <w:lang w:eastAsia="en-IN"/>
          <w14:ligatures w14:val="none"/>
        </w:rPr>
        <w:t>Total weed density differed significantly among herbicidal treatments at 15, 30 and 45 DAS, with the lowest under pre-emergence application of pretilachlor @ 750 g a.i. ha</w:t>
      </w:r>
      <w:r w:rsidRPr="007851E3">
        <w:rPr>
          <w:rFonts w:ascii="Arial" w:eastAsia="Times New Roman" w:hAnsi="Arial" w:cs="Arial"/>
          <w:kern w:val="0"/>
          <w:sz w:val="20"/>
          <w:szCs w:val="20"/>
          <w:vertAlign w:val="superscript"/>
          <w:lang w:eastAsia="en-IN"/>
          <w14:ligatures w14:val="none"/>
        </w:rPr>
        <w:t>-1</w:t>
      </w:r>
      <w:r w:rsidRPr="007851E3">
        <w:rPr>
          <w:rFonts w:ascii="Arial" w:eastAsia="Times New Roman" w:hAnsi="Arial" w:cs="Arial"/>
          <w:kern w:val="0"/>
          <w:sz w:val="20"/>
          <w:szCs w:val="20"/>
          <w:lang w:eastAsia="en-IN"/>
          <w14:ligatures w14:val="none"/>
        </w:rPr>
        <w:t xml:space="preserve"> at 3 DAS + Halosulfuron-methyl @ 70 g a.i. ha</w:t>
      </w:r>
      <w:r w:rsidRPr="007851E3">
        <w:rPr>
          <w:rFonts w:ascii="Arial" w:eastAsia="Times New Roman" w:hAnsi="Arial" w:cs="Arial"/>
          <w:kern w:val="0"/>
          <w:sz w:val="20"/>
          <w:szCs w:val="20"/>
          <w:vertAlign w:val="superscript"/>
          <w:lang w:eastAsia="en-IN"/>
          <w14:ligatures w14:val="none"/>
        </w:rPr>
        <w:t>-1</w:t>
      </w:r>
      <w:r w:rsidRPr="007851E3">
        <w:rPr>
          <w:rFonts w:ascii="Arial" w:eastAsia="Times New Roman" w:hAnsi="Arial" w:cs="Arial"/>
          <w:kern w:val="0"/>
          <w:sz w:val="20"/>
          <w:szCs w:val="20"/>
          <w:lang w:eastAsia="en-IN"/>
          <w14:ligatures w14:val="none"/>
        </w:rPr>
        <w:t xml:space="preserve"> at 25 DAS as post-emergence (2.38, 8.74 and 8.46 nos. pot</w:t>
      </w:r>
      <w:r w:rsidRPr="007851E3">
        <w:rPr>
          <w:rFonts w:ascii="Arial" w:eastAsia="Times New Roman" w:hAnsi="Arial" w:cs="Arial"/>
          <w:kern w:val="0"/>
          <w:sz w:val="20"/>
          <w:szCs w:val="20"/>
          <w:vertAlign w:val="superscript"/>
          <w:lang w:eastAsia="en-IN"/>
          <w14:ligatures w14:val="none"/>
        </w:rPr>
        <w:t>-1</w:t>
      </w:r>
      <w:r w:rsidRPr="007851E3">
        <w:rPr>
          <w:rFonts w:ascii="Arial" w:eastAsia="Times New Roman" w:hAnsi="Arial" w:cs="Arial"/>
          <w:kern w:val="0"/>
          <w:sz w:val="20"/>
          <w:szCs w:val="20"/>
          <w:lang w:eastAsia="en-IN"/>
          <w14:ligatures w14:val="none"/>
        </w:rPr>
        <w:t>) and butachlor (pre-emergence) @ 1000 g a.i. ha</w:t>
      </w:r>
      <w:r w:rsidRPr="007851E3">
        <w:rPr>
          <w:rFonts w:ascii="Cambria Math" w:eastAsia="Times New Roman" w:hAnsi="Cambria Math" w:cs="Cambria Math"/>
          <w:kern w:val="0"/>
          <w:sz w:val="20"/>
          <w:szCs w:val="20"/>
          <w:lang w:eastAsia="en-IN"/>
          <w14:ligatures w14:val="none"/>
        </w:rPr>
        <w:t>⁻</w:t>
      </w:r>
      <w:r w:rsidRPr="007851E3">
        <w:rPr>
          <w:rFonts w:ascii="Arial" w:eastAsia="Times New Roman" w:hAnsi="Arial" w:cs="Arial"/>
          <w:kern w:val="0"/>
          <w:sz w:val="20"/>
          <w:szCs w:val="20"/>
          <w:lang w:eastAsia="en-IN"/>
          <w14:ligatures w14:val="none"/>
        </w:rPr>
        <w:t xml:space="preserve">¹ at 3 DAS followed by </w:t>
      </w:r>
      <w:proofErr w:type="spellStart"/>
      <w:r w:rsidRPr="007851E3">
        <w:rPr>
          <w:rFonts w:ascii="Arial" w:eastAsia="Times New Roman" w:hAnsi="Arial" w:cs="Arial"/>
          <w:kern w:val="0"/>
          <w:sz w:val="20"/>
          <w:szCs w:val="20"/>
          <w:lang w:eastAsia="en-IN"/>
          <w14:ligatures w14:val="none"/>
        </w:rPr>
        <w:t>metamifop</w:t>
      </w:r>
      <w:proofErr w:type="spellEnd"/>
      <w:r w:rsidRPr="007851E3">
        <w:rPr>
          <w:rFonts w:ascii="Arial" w:eastAsia="Times New Roman" w:hAnsi="Arial" w:cs="Arial"/>
          <w:kern w:val="0"/>
          <w:sz w:val="20"/>
          <w:szCs w:val="20"/>
          <w:lang w:eastAsia="en-IN"/>
          <w14:ligatures w14:val="none"/>
        </w:rPr>
        <w:t xml:space="preserve"> (post-emergence) @ 1000 ml ha</w:t>
      </w:r>
      <w:r w:rsidRPr="007851E3">
        <w:rPr>
          <w:rFonts w:ascii="Arial" w:eastAsia="Times New Roman" w:hAnsi="Arial" w:cs="Arial"/>
          <w:kern w:val="0"/>
          <w:sz w:val="20"/>
          <w:szCs w:val="20"/>
          <w:vertAlign w:val="superscript"/>
          <w:lang w:eastAsia="en-IN"/>
          <w14:ligatures w14:val="none"/>
        </w:rPr>
        <w:t>-1</w:t>
      </w:r>
      <w:r w:rsidRPr="007851E3">
        <w:rPr>
          <w:rFonts w:ascii="Arial" w:eastAsia="Times New Roman" w:hAnsi="Arial" w:cs="Arial"/>
          <w:kern w:val="0"/>
          <w:sz w:val="20"/>
          <w:szCs w:val="20"/>
          <w:lang w:eastAsia="en-IN"/>
          <w14:ligatures w14:val="none"/>
        </w:rPr>
        <w:t xml:space="preserve"> at 25 DAS (T</w:t>
      </w:r>
      <w:r w:rsidRPr="007851E3">
        <w:rPr>
          <w:rFonts w:ascii="Arial" w:eastAsia="Times New Roman" w:hAnsi="Arial" w:cs="Arial"/>
          <w:kern w:val="0"/>
          <w:sz w:val="20"/>
          <w:szCs w:val="20"/>
          <w:vertAlign w:val="subscript"/>
          <w:lang w:eastAsia="en-IN"/>
          <w14:ligatures w14:val="none"/>
        </w:rPr>
        <w:t>9</w:t>
      </w:r>
      <w:r w:rsidRPr="007851E3">
        <w:rPr>
          <w:rFonts w:ascii="Arial" w:eastAsia="Times New Roman" w:hAnsi="Arial" w:cs="Arial"/>
          <w:kern w:val="0"/>
          <w:sz w:val="20"/>
          <w:szCs w:val="20"/>
          <w:lang w:eastAsia="en-IN"/>
          <w14:ligatures w14:val="none"/>
        </w:rPr>
        <w:t>) (3.79, 9.80 and 9.42 nos. pot</w:t>
      </w:r>
      <w:r w:rsidRPr="007851E3">
        <w:rPr>
          <w:rFonts w:ascii="Arial" w:eastAsia="Times New Roman" w:hAnsi="Arial" w:cs="Arial"/>
          <w:kern w:val="0"/>
          <w:sz w:val="20"/>
          <w:szCs w:val="20"/>
          <w:vertAlign w:val="superscript"/>
          <w:lang w:eastAsia="en-IN"/>
          <w14:ligatures w14:val="none"/>
        </w:rPr>
        <w:t>-1</w:t>
      </w:r>
      <w:r w:rsidRPr="007851E3">
        <w:rPr>
          <w:rFonts w:ascii="Arial" w:eastAsia="Times New Roman" w:hAnsi="Arial" w:cs="Arial"/>
          <w:kern w:val="0"/>
          <w:sz w:val="20"/>
          <w:szCs w:val="20"/>
          <w:lang w:eastAsia="en-IN"/>
          <w14:ligatures w14:val="none"/>
        </w:rPr>
        <w:t xml:space="preserve">). The reduction in weed population was due to the sequential application of pre-emergence and post-emergence herbicides, which effectively controlled grasses, sedges and BLW during the crop growth period, thereby reducing weed emergence </w:t>
      </w:r>
      <w:r w:rsidR="00855061" w:rsidRPr="007851E3">
        <w:rPr>
          <w:rFonts w:ascii="Arial" w:eastAsia="Times New Roman" w:hAnsi="Arial" w:cs="Arial"/>
          <w:kern w:val="0"/>
          <w:sz w:val="20"/>
          <w:szCs w:val="20"/>
          <w:lang w:eastAsia="en-IN"/>
          <w14:ligatures w14:val="none"/>
        </w:rPr>
        <w:t>[9]</w:t>
      </w:r>
      <w:r w:rsidRPr="007851E3">
        <w:rPr>
          <w:rFonts w:ascii="Arial" w:eastAsia="Times New Roman" w:hAnsi="Arial" w:cs="Arial"/>
          <w:kern w:val="0"/>
          <w:sz w:val="20"/>
          <w:szCs w:val="20"/>
          <w:lang w:eastAsia="en-IN"/>
          <w14:ligatures w14:val="none"/>
        </w:rPr>
        <w:t xml:space="preserve">. In contrast, </w:t>
      </w:r>
      <w:proofErr w:type="spellStart"/>
      <w:r w:rsidRPr="007851E3">
        <w:rPr>
          <w:rFonts w:ascii="Arial" w:eastAsia="Times New Roman" w:hAnsi="Arial" w:cs="Arial"/>
          <w:kern w:val="0"/>
          <w:sz w:val="20"/>
          <w:szCs w:val="20"/>
          <w:lang w:eastAsia="en-IN"/>
          <w14:ligatures w14:val="none"/>
        </w:rPr>
        <w:t>unweeded</w:t>
      </w:r>
      <w:proofErr w:type="spellEnd"/>
      <w:r w:rsidRPr="007851E3">
        <w:rPr>
          <w:rFonts w:ascii="Arial" w:eastAsia="Times New Roman" w:hAnsi="Arial" w:cs="Arial"/>
          <w:kern w:val="0"/>
          <w:sz w:val="20"/>
          <w:szCs w:val="20"/>
          <w:lang w:eastAsia="en-IN"/>
          <w14:ligatures w14:val="none"/>
        </w:rPr>
        <w:t xml:space="preserve"> control (T</w:t>
      </w:r>
      <w:r w:rsidRPr="007851E3">
        <w:rPr>
          <w:rFonts w:ascii="Arial" w:eastAsia="Times New Roman" w:hAnsi="Arial" w:cs="Arial"/>
          <w:kern w:val="0"/>
          <w:sz w:val="20"/>
          <w:szCs w:val="20"/>
          <w:vertAlign w:val="subscript"/>
          <w:lang w:eastAsia="en-IN"/>
          <w14:ligatures w14:val="none"/>
        </w:rPr>
        <w:t>12</w:t>
      </w:r>
      <w:r w:rsidRPr="007851E3">
        <w:rPr>
          <w:rFonts w:ascii="Arial" w:eastAsia="Times New Roman" w:hAnsi="Arial" w:cs="Arial"/>
          <w:kern w:val="0"/>
          <w:sz w:val="20"/>
          <w:szCs w:val="20"/>
          <w:lang w:eastAsia="en-IN"/>
          <w14:ligatures w14:val="none"/>
        </w:rPr>
        <w:t xml:space="preserve">) recorded the highest weed density (12.03, 17.63 and 19.96 </w:t>
      </w:r>
      <w:r w:rsidRPr="007851E3">
        <w:rPr>
          <w:rFonts w:ascii="Arial" w:hAnsi="Arial" w:cs="Arial"/>
          <w:sz w:val="20"/>
          <w:szCs w:val="20"/>
        </w:rPr>
        <w:t>nos. pot</w:t>
      </w:r>
      <w:r w:rsidRPr="007851E3">
        <w:rPr>
          <w:rFonts w:ascii="Arial" w:hAnsi="Arial" w:cs="Arial"/>
          <w:sz w:val="20"/>
          <w:szCs w:val="20"/>
          <w:vertAlign w:val="superscript"/>
        </w:rPr>
        <w:t>-1</w:t>
      </w:r>
      <w:r w:rsidRPr="007851E3">
        <w:rPr>
          <w:rFonts w:ascii="Arial" w:hAnsi="Arial" w:cs="Arial"/>
          <w:sz w:val="20"/>
          <w:szCs w:val="20"/>
        </w:rPr>
        <w:t xml:space="preserve">) </w:t>
      </w:r>
      <w:r w:rsidRPr="007851E3">
        <w:rPr>
          <w:rFonts w:ascii="Arial" w:eastAsia="Times New Roman" w:hAnsi="Arial" w:cs="Arial"/>
          <w:kern w:val="0"/>
          <w:sz w:val="20"/>
          <w:szCs w:val="20"/>
          <w:lang w:eastAsia="en-IN"/>
          <w14:ligatures w14:val="none"/>
        </w:rPr>
        <w:t xml:space="preserve">at all stages due to the absence of weed management practices, resulting in severe weed infestation and increased crop-weed competition. These findings are consistent with those of </w:t>
      </w:r>
      <w:r w:rsidR="00855061" w:rsidRPr="007851E3">
        <w:rPr>
          <w:rFonts w:ascii="Arial" w:eastAsia="Times New Roman" w:hAnsi="Arial" w:cs="Arial"/>
          <w:kern w:val="0"/>
          <w:sz w:val="20"/>
          <w:szCs w:val="20"/>
          <w:lang w:eastAsia="en-IN"/>
          <w14:ligatures w14:val="none"/>
        </w:rPr>
        <w:t>[10]</w:t>
      </w:r>
      <w:r w:rsidRPr="007851E3">
        <w:rPr>
          <w:rFonts w:ascii="Arial" w:eastAsia="Times New Roman" w:hAnsi="Arial" w:cs="Arial"/>
          <w:kern w:val="0"/>
          <w:sz w:val="20"/>
          <w:szCs w:val="20"/>
          <w:lang w:eastAsia="en-IN"/>
          <w14:ligatures w14:val="none"/>
        </w:rPr>
        <w:t>.</w:t>
      </w:r>
      <w:r w:rsidRPr="007851E3">
        <w:t xml:space="preserve"> </w:t>
      </w:r>
      <w:r w:rsidR="00451213" w:rsidRPr="007851E3">
        <w:rPr>
          <w:rFonts w:ascii="Arial" w:eastAsia="Times New Roman" w:hAnsi="Arial" w:cs="Arial"/>
          <w:kern w:val="0"/>
          <w:sz w:val="20"/>
          <w:szCs w:val="20"/>
          <w:lang w:eastAsia="en-IN"/>
          <w14:ligatures w14:val="none"/>
        </w:rPr>
        <w:t xml:space="preserve">The results </w:t>
      </w:r>
      <w:r w:rsidR="00855061" w:rsidRPr="007851E3">
        <w:rPr>
          <w:rFonts w:ascii="Arial" w:eastAsia="Times New Roman" w:hAnsi="Arial" w:cs="Arial"/>
          <w:kern w:val="0"/>
          <w:sz w:val="20"/>
          <w:szCs w:val="20"/>
          <w:lang w:eastAsia="en-IN"/>
          <w14:ligatures w14:val="none"/>
        </w:rPr>
        <w:t>emphasize</w:t>
      </w:r>
      <w:r w:rsidR="00451213" w:rsidRPr="007851E3">
        <w:rPr>
          <w:rFonts w:ascii="Arial" w:eastAsia="Times New Roman" w:hAnsi="Arial" w:cs="Arial"/>
          <w:kern w:val="0"/>
          <w:sz w:val="20"/>
          <w:szCs w:val="20"/>
          <w:lang w:eastAsia="en-IN"/>
          <w14:ligatures w14:val="none"/>
        </w:rPr>
        <w:t xml:space="preserve"> the importance of integrated weed management. However, field validation is needed as environmental factors may affect herbicide efficacy.</w:t>
      </w:r>
    </w:p>
    <w:p w14:paraId="49F818C8" w14:textId="57E1821E" w:rsidR="000221FA" w:rsidRPr="00E040D5" w:rsidRDefault="000221FA"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 xml:space="preserve">3.2.3. </w:t>
      </w:r>
      <w:r w:rsidR="004613E4" w:rsidRPr="00E040D5">
        <w:rPr>
          <w:rFonts w:ascii="Arial" w:eastAsia="Times New Roman" w:hAnsi="Arial" w:cs="Arial"/>
          <w:b/>
          <w:bCs/>
          <w:kern w:val="0"/>
          <w:lang w:eastAsia="en-IN"/>
          <w14:ligatures w14:val="none"/>
        </w:rPr>
        <w:t>Total w</w:t>
      </w:r>
      <w:r w:rsidRPr="00E040D5">
        <w:rPr>
          <w:rFonts w:ascii="Arial" w:eastAsia="Times New Roman" w:hAnsi="Arial" w:cs="Arial"/>
          <w:b/>
          <w:bCs/>
          <w:kern w:val="0"/>
          <w:lang w:eastAsia="en-IN"/>
          <w14:ligatures w14:val="none"/>
        </w:rPr>
        <w:t>eed dry weight</w:t>
      </w:r>
    </w:p>
    <w:p w14:paraId="7620F109" w14:textId="21E1AD86" w:rsidR="00BA0599" w:rsidRDefault="002A76D3"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The total weed dry weight differed significantly among the herbicidal treatments</w:t>
      </w:r>
      <w:r w:rsidR="00EB50C8" w:rsidRPr="0028616A">
        <w:rPr>
          <w:rFonts w:ascii="Arial" w:eastAsia="Times New Roman" w:hAnsi="Arial" w:cs="Arial"/>
          <w:kern w:val="0"/>
          <w:sz w:val="20"/>
          <w:szCs w:val="20"/>
          <w:lang w:eastAsia="en-IN"/>
          <w14:ligatures w14:val="none"/>
        </w:rPr>
        <w:t xml:space="preserve"> depicted in Fig 2.</w:t>
      </w:r>
      <w:r w:rsidRPr="0028616A">
        <w:rPr>
          <w:rFonts w:ascii="Arial" w:eastAsia="Times New Roman" w:hAnsi="Arial" w:cs="Arial"/>
          <w:kern w:val="0"/>
          <w:sz w:val="20"/>
          <w:szCs w:val="20"/>
          <w:lang w:eastAsia="en-IN"/>
          <w14:ligatures w14:val="none"/>
        </w:rPr>
        <w:t xml:space="preserve"> Lowest </w:t>
      </w:r>
      <w:r w:rsidR="004613E4" w:rsidRPr="0028616A">
        <w:rPr>
          <w:rFonts w:ascii="Arial" w:eastAsia="Times New Roman" w:hAnsi="Arial" w:cs="Arial"/>
          <w:kern w:val="0"/>
          <w:sz w:val="20"/>
          <w:szCs w:val="20"/>
          <w:lang w:eastAsia="en-IN"/>
          <w14:ligatures w14:val="none"/>
        </w:rPr>
        <w:t xml:space="preserve">weed </w:t>
      </w:r>
      <w:r w:rsidRPr="0028616A">
        <w:rPr>
          <w:rFonts w:ascii="Arial" w:eastAsia="Times New Roman" w:hAnsi="Arial" w:cs="Arial"/>
          <w:kern w:val="0"/>
          <w:sz w:val="20"/>
          <w:szCs w:val="20"/>
          <w:lang w:eastAsia="en-IN"/>
          <w14:ligatures w14:val="none"/>
        </w:rPr>
        <w:t>dry weight at 15, 30</w:t>
      </w:r>
      <w:r w:rsidR="004613E4"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and 45 DAS was measured in</w:t>
      </w:r>
      <w:r w:rsidRPr="0028616A">
        <w:rPr>
          <w:rFonts w:ascii="Arial" w:eastAsia="Times New Roman" w:hAnsi="Arial" w:cs="Arial"/>
          <w:b/>
          <w:bCs/>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pre-emergence application of pretilachlor @ 750 g a.i.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w:t>
      </w:r>
      <w:r w:rsidR="004613E4"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DAS + Halosulfuron-methyl @ 70 g a.i.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 </w:t>
      </w:r>
      <w:r w:rsidR="004613E4" w:rsidRPr="0028616A">
        <w:rPr>
          <w:rFonts w:ascii="Arial" w:eastAsia="Times New Roman" w:hAnsi="Arial" w:cs="Arial"/>
          <w:kern w:val="0"/>
          <w:sz w:val="20"/>
          <w:szCs w:val="20"/>
          <w:lang w:eastAsia="en-IN"/>
          <w14:ligatures w14:val="none"/>
        </w:rPr>
        <w:t xml:space="preserve">post-emergence </w:t>
      </w:r>
      <w:r w:rsidRPr="0028616A">
        <w:rPr>
          <w:rFonts w:ascii="Arial" w:eastAsia="Times New Roman" w:hAnsi="Arial" w:cs="Arial"/>
          <w:kern w:val="0"/>
          <w:sz w:val="20"/>
          <w:szCs w:val="20"/>
          <w:lang w:eastAsia="en-IN"/>
          <w14:ligatures w14:val="none"/>
        </w:rPr>
        <w:t>(0.54, 4.86</w:t>
      </w:r>
      <w:r w:rsidR="004613E4" w:rsidRPr="0028616A">
        <w:rPr>
          <w:rFonts w:ascii="Arial" w:eastAsia="Times New Roman" w:hAnsi="Arial" w:cs="Arial"/>
          <w:kern w:val="0"/>
          <w:sz w:val="20"/>
          <w:szCs w:val="20"/>
          <w:lang w:eastAsia="en-IN"/>
          <w14:ligatures w14:val="none"/>
        </w:rPr>
        <w:t xml:space="preserve"> and</w:t>
      </w:r>
      <w:r w:rsidRPr="0028616A">
        <w:rPr>
          <w:rFonts w:ascii="Arial" w:eastAsia="Times New Roman" w:hAnsi="Arial" w:cs="Arial"/>
          <w:kern w:val="0"/>
          <w:sz w:val="20"/>
          <w:szCs w:val="20"/>
          <w:lang w:eastAsia="en-IN"/>
          <w14:ligatures w14:val="none"/>
        </w:rPr>
        <w:t xml:space="preserve"> 4.19 g pot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followed by butachlor </w:t>
      </w:r>
      <w:r w:rsidR="004613E4" w:rsidRPr="0028616A">
        <w:rPr>
          <w:rFonts w:ascii="Arial" w:eastAsia="Times New Roman" w:hAnsi="Arial" w:cs="Arial"/>
          <w:kern w:val="0"/>
          <w:sz w:val="20"/>
          <w:szCs w:val="20"/>
          <w:lang w:eastAsia="en-IN"/>
          <w14:ligatures w14:val="none"/>
        </w:rPr>
        <w:t xml:space="preserve">(pre-emergence) </w:t>
      </w:r>
      <w:r w:rsidRPr="0028616A">
        <w:rPr>
          <w:rFonts w:ascii="Arial" w:eastAsia="Times New Roman" w:hAnsi="Arial" w:cs="Arial"/>
          <w:kern w:val="0"/>
          <w:sz w:val="20"/>
          <w:szCs w:val="20"/>
          <w:lang w:eastAsia="en-IN"/>
          <w14:ligatures w14:val="none"/>
        </w:rPr>
        <w:t xml:space="preserve">@ 1000 g a.i. </w:t>
      </w:r>
      <w:r w:rsidR="009264B9" w:rsidRPr="0028616A">
        <w:rPr>
          <w:rFonts w:ascii="Arial" w:eastAsia="Times New Roman" w:hAnsi="Arial" w:cs="Arial"/>
          <w:kern w:val="0"/>
          <w:sz w:val="20"/>
          <w:szCs w:val="20"/>
          <w:lang w:eastAsia="en-IN"/>
          <w14:ligatures w14:val="none"/>
        </w:rPr>
        <w:t>ha</w:t>
      </w:r>
      <w:r w:rsidR="009264B9"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009264B9" w:rsidRPr="0028616A">
        <w:rPr>
          <w:rFonts w:ascii="Arial" w:eastAsia="Times New Roman" w:hAnsi="Arial" w:cs="Arial"/>
          <w:kern w:val="0"/>
          <w:sz w:val="20"/>
          <w:szCs w:val="20"/>
          <w:lang w:eastAsia="en-IN"/>
          <w14:ligatures w14:val="none"/>
        </w:rPr>
        <w:t>m</w:t>
      </w:r>
      <w:r w:rsidR="004613E4" w:rsidRPr="0028616A">
        <w:rPr>
          <w:rFonts w:ascii="Arial" w:eastAsia="Times New Roman" w:hAnsi="Arial" w:cs="Arial"/>
          <w:kern w:val="0"/>
          <w:sz w:val="20"/>
          <w:szCs w:val="20"/>
          <w:lang w:eastAsia="en-IN"/>
          <w14:ligatures w14:val="none"/>
        </w:rPr>
        <w:t>etamifop</w:t>
      </w:r>
      <w:proofErr w:type="spellEnd"/>
      <w:r w:rsidR="004613E4" w:rsidRPr="0028616A">
        <w:rPr>
          <w:rFonts w:ascii="Arial" w:eastAsia="Times New Roman" w:hAnsi="Arial" w:cs="Arial"/>
          <w:kern w:val="0"/>
          <w:sz w:val="20"/>
          <w:szCs w:val="20"/>
          <w:lang w:eastAsia="en-IN"/>
          <w14:ligatures w14:val="none"/>
        </w:rPr>
        <w:t xml:space="preserve"> (post-emergence) </w:t>
      </w:r>
      <w:r w:rsidRPr="0028616A">
        <w:rPr>
          <w:rFonts w:ascii="Arial" w:eastAsia="Times New Roman" w:hAnsi="Arial" w:cs="Arial"/>
          <w:kern w:val="0"/>
          <w:sz w:val="20"/>
          <w:szCs w:val="20"/>
          <w:lang w:eastAsia="en-IN"/>
          <w14:ligatures w14:val="none"/>
        </w:rPr>
        <w:t xml:space="preserve">@ 1000 ml </w:t>
      </w:r>
      <w:r w:rsidR="009264B9" w:rsidRPr="0028616A">
        <w:rPr>
          <w:rFonts w:ascii="Arial" w:eastAsia="Times New Roman" w:hAnsi="Arial" w:cs="Arial"/>
          <w:kern w:val="0"/>
          <w:sz w:val="20"/>
          <w:szCs w:val="20"/>
          <w:lang w:eastAsia="en-IN"/>
          <w14:ligatures w14:val="none"/>
        </w:rPr>
        <w:t>ha</w:t>
      </w:r>
      <w:r w:rsidR="009264B9"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at 25 DAS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 (1.99, 5.32</w:t>
      </w:r>
      <w:r w:rsidR="004613E4" w:rsidRPr="0028616A">
        <w:rPr>
          <w:rFonts w:ascii="Arial" w:eastAsia="Times New Roman" w:hAnsi="Arial" w:cs="Arial"/>
          <w:kern w:val="0"/>
          <w:sz w:val="20"/>
          <w:szCs w:val="20"/>
          <w:lang w:eastAsia="en-IN"/>
          <w14:ligatures w14:val="none"/>
        </w:rPr>
        <w:t xml:space="preserve"> and</w:t>
      </w:r>
      <w:r w:rsidRPr="0028616A">
        <w:rPr>
          <w:rFonts w:ascii="Arial" w:eastAsia="Times New Roman" w:hAnsi="Arial" w:cs="Arial"/>
          <w:kern w:val="0"/>
          <w:sz w:val="20"/>
          <w:szCs w:val="20"/>
          <w:lang w:eastAsia="en-IN"/>
          <w14:ligatures w14:val="none"/>
        </w:rPr>
        <w:t xml:space="preserve"> 4.70 </w:t>
      </w:r>
      <w:r w:rsidR="004613E4" w:rsidRPr="0028616A">
        <w:rPr>
          <w:rFonts w:ascii="Arial" w:eastAsia="Times New Roman" w:hAnsi="Arial" w:cs="Arial"/>
          <w:kern w:val="0"/>
          <w:sz w:val="20"/>
          <w:szCs w:val="20"/>
          <w:lang w:eastAsia="en-IN"/>
          <w14:ligatures w14:val="none"/>
        </w:rPr>
        <w:t xml:space="preserve">g </w:t>
      </w:r>
      <w:r w:rsidRPr="0028616A">
        <w:rPr>
          <w:rFonts w:ascii="Arial" w:eastAsia="Times New Roman" w:hAnsi="Arial" w:cs="Arial"/>
          <w:kern w:val="0"/>
          <w:sz w:val="20"/>
          <w:szCs w:val="20"/>
          <w:lang w:eastAsia="en-IN"/>
          <w14:ligatures w14:val="none"/>
        </w:rPr>
        <w:t>pot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w:t>
      </w:r>
      <w:r w:rsidR="00EB50C8" w:rsidRPr="0028616A">
        <w:rPr>
          <w:rFonts w:ascii="Arial" w:eastAsia="Times New Roman" w:hAnsi="Arial" w:cs="Arial"/>
          <w:kern w:val="0"/>
          <w:sz w:val="20"/>
          <w:szCs w:val="20"/>
          <w:lang w:eastAsia="en-IN"/>
          <w14:ligatures w14:val="none"/>
        </w:rPr>
        <w:t xml:space="preserve"> Th</w:t>
      </w:r>
      <w:r w:rsidR="004613E4" w:rsidRPr="0028616A">
        <w:rPr>
          <w:rFonts w:ascii="Arial" w:eastAsia="Times New Roman" w:hAnsi="Arial" w:cs="Arial"/>
          <w:kern w:val="0"/>
          <w:sz w:val="20"/>
          <w:szCs w:val="20"/>
          <w:lang w:eastAsia="en-IN"/>
          <w14:ligatures w14:val="none"/>
        </w:rPr>
        <w:t xml:space="preserve">is was </w:t>
      </w:r>
      <w:r w:rsidR="00EB50C8" w:rsidRPr="0028616A">
        <w:rPr>
          <w:rFonts w:ascii="Arial" w:eastAsia="Times New Roman" w:hAnsi="Arial" w:cs="Arial"/>
          <w:kern w:val="0"/>
          <w:sz w:val="20"/>
          <w:szCs w:val="20"/>
          <w:lang w:eastAsia="en-IN"/>
          <w14:ligatures w14:val="none"/>
        </w:rPr>
        <w:t xml:space="preserve">due to the sequential application of herbicides, which effectively </w:t>
      </w:r>
      <w:r w:rsidR="00BA0599" w:rsidRPr="00BA0599">
        <w:rPr>
          <w:rFonts w:ascii="Arial" w:eastAsia="Times New Roman" w:hAnsi="Arial" w:cs="Arial"/>
          <w:kern w:val="0"/>
          <w:sz w:val="20"/>
          <w:szCs w:val="20"/>
          <w:lang w:eastAsia="en-IN"/>
          <w14:ligatures w14:val="none"/>
        </w:rPr>
        <w:t xml:space="preserve">suppressed a broad spectrum of weeds including grasses, sedges, and broad-leaved weeds, thereby limiting weed growth and biomass accumulation </w:t>
      </w:r>
      <w:r w:rsidR="00855061">
        <w:rPr>
          <w:rFonts w:ascii="Arial" w:eastAsia="Times New Roman" w:hAnsi="Arial" w:cs="Arial"/>
          <w:kern w:val="0"/>
          <w:sz w:val="20"/>
          <w:szCs w:val="20"/>
          <w:lang w:eastAsia="en-IN"/>
          <w14:ligatures w14:val="none"/>
        </w:rPr>
        <w:t>[11,12]</w:t>
      </w:r>
      <w:r w:rsidR="00BA0599" w:rsidRPr="00BA0599">
        <w:rPr>
          <w:rFonts w:ascii="Arial" w:eastAsia="Times New Roman" w:hAnsi="Arial" w:cs="Arial"/>
          <w:kern w:val="0"/>
          <w:sz w:val="20"/>
          <w:szCs w:val="20"/>
          <w:lang w:eastAsia="en-IN"/>
          <w14:ligatures w14:val="none"/>
        </w:rPr>
        <w:t xml:space="preserve">. In contrast, the </w:t>
      </w:r>
      <w:proofErr w:type="spellStart"/>
      <w:r w:rsidR="00BA0599" w:rsidRPr="00BA0599">
        <w:rPr>
          <w:rFonts w:ascii="Arial" w:eastAsia="Times New Roman" w:hAnsi="Arial" w:cs="Arial"/>
          <w:kern w:val="0"/>
          <w:sz w:val="20"/>
          <w:szCs w:val="20"/>
          <w:lang w:eastAsia="en-IN"/>
          <w14:ligatures w14:val="none"/>
        </w:rPr>
        <w:t>unweeded</w:t>
      </w:r>
      <w:proofErr w:type="spellEnd"/>
      <w:r w:rsidR="00BA0599" w:rsidRPr="00BA0599">
        <w:rPr>
          <w:rFonts w:ascii="Arial" w:eastAsia="Times New Roman" w:hAnsi="Arial" w:cs="Arial"/>
          <w:kern w:val="0"/>
          <w:sz w:val="20"/>
          <w:szCs w:val="20"/>
          <w:lang w:eastAsia="en-IN"/>
          <w14:ligatures w14:val="none"/>
        </w:rPr>
        <w:t xml:space="preserve"> control (T12) recorded the highest weed dry weight (7.47, 15.57 and 18.63 g pot</w:t>
      </w:r>
      <w:r w:rsidR="00BA0599" w:rsidRPr="00BA0599">
        <w:rPr>
          <w:rFonts w:ascii="Cambria Math" w:eastAsia="Times New Roman" w:hAnsi="Cambria Math" w:cs="Cambria Math"/>
          <w:kern w:val="0"/>
          <w:sz w:val="20"/>
          <w:szCs w:val="20"/>
          <w:lang w:eastAsia="en-IN"/>
          <w14:ligatures w14:val="none"/>
        </w:rPr>
        <w:t>⁻</w:t>
      </w:r>
      <w:r w:rsidR="00BA0599" w:rsidRPr="00BA0599">
        <w:rPr>
          <w:rFonts w:ascii="Arial" w:eastAsia="Times New Roman" w:hAnsi="Arial" w:cs="Arial"/>
          <w:kern w:val="0"/>
          <w:sz w:val="20"/>
          <w:szCs w:val="20"/>
          <w:lang w:eastAsia="en-IN"/>
          <w14:ligatures w14:val="none"/>
        </w:rPr>
        <w:t xml:space="preserve">¹) due to unchecked weed growth throughout the crop period. These findings are in line with the results reported by </w:t>
      </w:r>
      <w:r w:rsidR="00855061">
        <w:rPr>
          <w:rFonts w:ascii="Arial" w:eastAsia="Times New Roman" w:hAnsi="Arial" w:cs="Arial"/>
          <w:kern w:val="0"/>
          <w:sz w:val="20"/>
          <w:szCs w:val="20"/>
          <w:lang w:eastAsia="en-IN"/>
          <w14:ligatures w14:val="none"/>
        </w:rPr>
        <w:t>[13].</w:t>
      </w:r>
      <w:r w:rsidR="00BA0599" w:rsidRPr="00BA0599">
        <w:t xml:space="preserve"> </w:t>
      </w:r>
      <w:r w:rsidR="00BA0599" w:rsidRPr="007851E3">
        <w:rPr>
          <w:rFonts w:ascii="Arial" w:eastAsia="Times New Roman" w:hAnsi="Arial" w:cs="Arial"/>
          <w:kern w:val="0"/>
          <w:sz w:val="20"/>
          <w:szCs w:val="20"/>
          <w:lang w:eastAsia="en-IN"/>
          <w14:ligatures w14:val="none"/>
        </w:rPr>
        <w:t>The reduction in weed biomass highlights the effectiveness of sequential herbicide application in minimizing crop</w:t>
      </w:r>
      <w:r w:rsidR="00451213" w:rsidRPr="007851E3">
        <w:rPr>
          <w:rFonts w:ascii="Arial" w:eastAsia="Times New Roman" w:hAnsi="Arial" w:cs="Arial"/>
          <w:kern w:val="0"/>
          <w:sz w:val="20"/>
          <w:szCs w:val="20"/>
          <w:lang w:eastAsia="en-IN"/>
          <w14:ligatures w14:val="none"/>
        </w:rPr>
        <w:t>-</w:t>
      </w:r>
      <w:r w:rsidR="00BA0599" w:rsidRPr="007851E3">
        <w:rPr>
          <w:rFonts w:ascii="Arial" w:eastAsia="Times New Roman" w:hAnsi="Arial" w:cs="Arial"/>
          <w:kern w:val="0"/>
          <w:sz w:val="20"/>
          <w:szCs w:val="20"/>
          <w:lang w:eastAsia="en-IN"/>
          <w14:ligatures w14:val="none"/>
        </w:rPr>
        <w:t>weed competition. However, under field conditions, environmental variability may influence herbicide performance; hence, further field validation is required.</w:t>
      </w:r>
    </w:p>
    <w:p w14:paraId="3966288F" w14:textId="6F0C451F" w:rsidR="00EB50C8" w:rsidRPr="00E040D5" w:rsidRDefault="00EB50C8"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3.2.4. Weed control efficiency</w:t>
      </w:r>
      <w:r w:rsidR="005E578B" w:rsidRPr="00E040D5">
        <w:rPr>
          <w:rFonts w:ascii="Arial" w:eastAsia="Times New Roman" w:hAnsi="Arial" w:cs="Arial"/>
          <w:b/>
          <w:bCs/>
          <w:kern w:val="0"/>
          <w:lang w:eastAsia="en-IN"/>
          <w14:ligatures w14:val="none"/>
        </w:rPr>
        <w:t xml:space="preserve"> (WCE)</w:t>
      </w:r>
    </w:p>
    <w:p w14:paraId="434DB5D5" w14:textId="7D641C1A" w:rsidR="004B53E4" w:rsidRPr="004B53E4" w:rsidRDefault="00EB50C8" w:rsidP="004B53E4">
      <w:pPr>
        <w:jc w:val="both"/>
        <w:rPr>
          <w:rFonts w:ascii="Arial" w:hAnsi="Arial" w:cs="Arial"/>
          <w:sz w:val="20"/>
          <w:szCs w:val="20"/>
        </w:rPr>
      </w:pPr>
      <w:r w:rsidRPr="0028616A">
        <w:rPr>
          <w:rFonts w:ascii="Arial" w:eastAsia="Times New Roman" w:hAnsi="Arial" w:cs="Arial"/>
          <w:kern w:val="0"/>
          <w:sz w:val="20"/>
          <w:szCs w:val="20"/>
          <w:lang w:eastAsia="en-IN"/>
          <w14:ligatures w14:val="none"/>
        </w:rPr>
        <w:t>Weed control efficiency</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varied significantly </w:t>
      </w:r>
      <w:r w:rsidR="00F155B1" w:rsidRPr="0028616A">
        <w:rPr>
          <w:rFonts w:ascii="Arial" w:eastAsia="Times New Roman" w:hAnsi="Arial" w:cs="Arial"/>
          <w:kern w:val="0"/>
          <w:sz w:val="20"/>
          <w:szCs w:val="20"/>
          <w:lang w:eastAsia="en-IN"/>
          <w14:ligatures w14:val="none"/>
        </w:rPr>
        <w:t xml:space="preserve">across treatments </w:t>
      </w:r>
      <w:r w:rsidRPr="0028616A">
        <w:rPr>
          <w:rFonts w:ascii="Arial" w:eastAsia="Times New Roman" w:hAnsi="Arial" w:cs="Arial"/>
          <w:kern w:val="0"/>
          <w:sz w:val="20"/>
          <w:szCs w:val="20"/>
          <w:lang w:eastAsia="en-IN"/>
          <w14:ligatures w14:val="none"/>
        </w:rPr>
        <w:t xml:space="preserve">and </w:t>
      </w:r>
      <w:r w:rsidR="00333729" w:rsidRPr="0028616A">
        <w:rPr>
          <w:rFonts w:ascii="Arial" w:eastAsia="Times New Roman" w:hAnsi="Arial" w:cs="Arial"/>
          <w:kern w:val="0"/>
          <w:sz w:val="20"/>
          <w:szCs w:val="20"/>
          <w:lang w:eastAsia="en-IN"/>
          <w14:ligatures w14:val="none"/>
        </w:rPr>
        <w:t xml:space="preserve">is </w:t>
      </w:r>
      <w:r w:rsidRPr="0028616A">
        <w:rPr>
          <w:rFonts w:ascii="Arial" w:eastAsia="Times New Roman" w:hAnsi="Arial" w:cs="Arial"/>
          <w:kern w:val="0"/>
          <w:sz w:val="20"/>
          <w:szCs w:val="20"/>
          <w:lang w:eastAsia="en-IN"/>
          <w14:ligatures w14:val="none"/>
        </w:rPr>
        <w:t xml:space="preserve">presented in Table </w:t>
      </w:r>
      <w:r w:rsidR="005E578B" w:rsidRPr="0028616A">
        <w:rPr>
          <w:rFonts w:ascii="Arial" w:eastAsia="Times New Roman" w:hAnsi="Arial" w:cs="Arial"/>
          <w:kern w:val="0"/>
          <w:sz w:val="20"/>
          <w:szCs w:val="20"/>
          <w:lang w:eastAsia="en-IN"/>
          <w14:ligatures w14:val="none"/>
        </w:rPr>
        <w:t>4</w:t>
      </w:r>
      <w:r w:rsidRPr="0028616A">
        <w:rPr>
          <w:rFonts w:ascii="Arial" w:eastAsia="Times New Roman" w:hAnsi="Arial" w:cs="Arial"/>
          <w:kern w:val="0"/>
          <w:sz w:val="20"/>
          <w:szCs w:val="20"/>
          <w:lang w:eastAsia="en-IN"/>
          <w14:ligatures w14:val="none"/>
        </w:rPr>
        <w:t>. The 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xml:space="preserve">) resulted in 100% WCE at all stages due to </w:t>
      </w:r>
      <w:r w:rsidR="00F155B1" w:rsidRPr="0028616A">
        <w:rPr>
          <w:rFonts w:ascii="Arial" w:eastAsia="Times New Roman" w:hAnsi="Arial" w:cs="Arial"/>
          <w:kern w:val="0"/>
          <w:sz w:val="20"/>
          <w:szCs w:val="20"/>
          <w:lang w:eastAsia="en-IN"/>
          <w14:ligatures w14:val="none"/>
        </w:rPr>
        <w:t>continuous</w:t>
      </w:r>
      <w:r w:rsidRPr="0028616A">
        <w:rPr>
          <w:rFonts w:ascii="Arial" w:eastAsia="Times New Roman" w:hAnsi="Arial" w:cs="Arial"/>
          <w:kern w:val="0"/>
          <w:sz w:val="20"/>
          <w:szCs w:val="20"/>
          <w:lang w:eastAsia="en-IN"/>
          <w14:ligatures w14:val="none"/>
        </w:rPr>
        <w:t xml:space="preserve"> manual weeding.</w:t>
      </w:r>
      <w:r w:rsidR="005E578B"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lang w:eastAsia="en-IN"/>
          <w14:ligatures w14:val="none"/>
        </w:rPr>
        <w:t>he herbicidal</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pre-emergence application of pretilachlor @ 750 g a.i. ha</w:t>
      </w:r>
      <w:r w:rsidRPr="0028616A">
        <w:rPr>
          <w:rFonts w:ascii="Arial" w:eastAsia="Times New Roman" w:hAnsi="Arial" w:cs="Arial"/>
          <w:kern w:val="0"/>
          <w:sz w:val="20"/>
          <w:szCs w:val="20"/>
          <w:vertAlign w:val="superscript"/>
          <w:lang w:eastAsia="en-IN"/>
          <w14:ligatures w14:val="none"/>
        </w:rPr>
        <w:t xml:space="preserve"> -1</w:t>
      </w:r>
      <w:r w:rsidR="00B01E0F" w:rsidRPr="0028616A">
        <w:rPr>
          <w:rFonts w:ascii="Arial" w:eastAsia="Times New Roman" w:hAnsi="Arial" w:cs="Arial"/>
          <w:kern w:val="0"/>
          <w:sz w:val="20"/>
          <w:szCs w:val="20"/>
          <w:vertAlign w:val="superscript"/>
          <w:lang w:eastAsia="en-IN"/>
          <w14:ligatures w14:val="none"/>
        </w:rPr>
        <w:t xml:space="preserve"> </w:t>
      </w:r>
      <w:r w:rsidR="00B01E0F" w:rsidRPr="0028616A">
        <w:rPr>
          <w:rFonts w:ascii="Arial" w:eastAsia="Times New Roman" w:hAnsi="Arial" w:cs="Arial"/>
          <w:kern w:val="0"/>
          <w:sz w:val="20"/>
          <w:szCs w:val="20"/>
          <w:lang w:eastAsia="en-IN"/>
          <w14:ligatures w14:val="none"/>
        </w:rPr>
        <w:t>at</w:t>
      </w:r>
      <w:r w:rsidRPr="0028616A">
        <w:rPr>
          <w:rFonts w:ascii="Arial" w:eastAsia="Times New Roman" w:hAnsi="Arial" w:cs="Arial"/>
          <w:kern w:val="0"/>
          <w:sz w:val="20"/>
          <w:szCs w:val="20"/>
          <w:lang w:eastAsia="en-IN"/>
          <w14:ligatures w14:val="none"/>
        </w:rPr>
        <w:t xml:space="preserve"> 3 DAS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 xml:space="preserve">) recorded higher WCE </w:t>
      </w:r>
      <w:r w:rsidR="005E578B" w:rsidRPr="0028616A">
        <w:rPr>
          <w:rFonts w:ascii="Arial" w:eastAsia="Times New Roman" w:hAnsi="Arial" w:cs="Arial"/>
          <w:kern w:val="0"/>
          <w:sz w:val="20"/>
          <w:szCs w:val="20"/>
          <w:lang w:eastAsia="en-IN"/>
          <w14:ligatures w14:val="none"/>
        </w:rPr>
        <w:t xml:space="preserve">(80.19) </w:t>
      </w:r>
      <w:r w:rsidRPr="0028616A">
        <w:rPr>
          <w:rFonts w:ascii="Arial" w:eastAsia="Times New Roman" w:hAnsi="Arial" w:cs="Arial"/>
          <w:kern w:val="0"/>
          <w:sz w:val="20"/>
          <w:szCs w:val="20"/>
          <w:lang w:eastAsia="en-IN"/>
          <w14:ligatures w14:val="none"/>
        </w:rPr>
        <w:t xml:space="preserve">at </w:t>
      </w:r>
      <w:r w:rsidR="005E578B" w:rsidRPr="0028616A">
        <w:rPr>
          <w:rFonts w:ascii="Arial" w:eastAsia="Times New Roman" w:hAnsi="Arial" w:cs="Arial"/>
          <w:kern w:val="0"/>
          <w:sz w:val="20"/>
          <w:szCs w:val="20"/>
          <w:lang w:eastAsia="en-IN"/>
          <w14:ligatures w14:val="none"/>
        </w:rPr>
        <w:t>15 DAS</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while application of pretilachlor</w:t>
      </w:r>
      <w:r w:rsidR="005E578B" w:rsidRPr="0028616A">
        <w:rPr>
          <w:rFonts w:ascii="Arial" w:eastAsia="Times New Roman" w:hAnsi="Arial" w:cs="Arial"/>
          <w:kern w:val="0"/>
          <w:sz w:val="20"/>
          <w:szCs w:val="20"/>
          <w:lang w:eastAsia="en-IN"/>
          <w14:ligatures w14:val="none"/>
        </w:rPr>
        <w:t xml:space="preserve"> (pre-emergence)</w:t>
      </w:r>
      <w:r w:rsidRPr="0028616A">
        <w:rPr>
          <w:rFonts w:ascii="Arial" w:eastAsia="Times New Roman" w:hAnsi="Arial" w:cs="Arial"/>
          <w:kern w:val="0"/>
          <w:sz w:val="20"/>
          <w:szCs w:val="20"/>
          <w:lang w:eastAsia="en-IN"/>
          <w14:ligatures w14:val="none"/>
        </w:rPr>
        <w:t xml:space="preserve"> @ 750 g a.i. ha</w:t>
      </w:r>
      <w:r w:rsidR="00B01E0F"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Pr="0028616A">
        <w:rPr>
          <w:rFonts w:ascii="Arial" w:eastAsia="Times New Roman" w:hAnsi="Arial" w:cs="Arial"/>
          <w:kern w:val="0"/>
          <w:sz w:val="20"/>
          <w:szCs w:val="20"/>
          <w:lang w:eastAsia="en-IN"/>
          <w14:ligatures w14:val="none"/>
        </w:rPr>
        <w:t>halosulfuron</w:t>
      </w:r>
      <w:proofErr w:type="spellEnd"/>
      <w:r w:rsidRPr="0028616A">
        <w:rPr>
          <w:rFonts w:ascii="Arial" w:eastAsia="Times New Roman" w:hAnsi="Arial" w:cs="Arial"/>
          <w:kern w:val="0"/>
          <w:sz w:val="20"/>
          <w:szCs w:val="20"/>
          <w:lang w:eastAsia="en-IN"/>
          <w14:ligatures w14:val="none"/>
        </w:rPr>
        <w:t>-methyl</w:t>
      </w:r>
      <w:r w:rsidR="005E578B"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 70 g a.i. ha</w:t>
      </w:r>
      <w:r w:rsidR="00333729"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10</w:t>
      </w:r>
      <w:r w:rsidRPr="0028616A">
        <w:rPr>
          <w:rFonts w:ascii="Arial" w:eastAsia="Times New Roman" w:hAnsi="Arial" w:cs="Arial"/>
          <w:kern w:val="0"/>
          <w:sz w:val="20"/>
          <w:szCs w:val="20"/>
          <w:lang w:eastAsia="en-IN"/>
          <w14:ligatures w14:val="none"/>
        </w:rPr>
        <w:t>) recorded the highest WCE at later stages</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74.96</w:t>
      </w:r>
      <w:r w:rsidR="00654C90"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This was followed by S-metolachlor</w:t>
      </w:r>
      <w:r w:rsidR="00654C90" w:rsidRPr="0028616A">
        <w:rPr>
          <w:rFonts w:ascii="Arial" w:eastAsia="Times New Roman" w:hAnsi="Arial" w:cs="Arial"/>
          <w:kern w:val="0"/>
          <w:sz w:val="20"/>
          <w:szCs w:val="20"/>
          <w:lang w:eastAsia="en-IN"/>
          <w14:ligatures w14:val="none"/>
        </w:rPr>
        <w:t xml:space="preserve"> (pre-emergence)</w:t>
      </w:r>
      <w:r w:rsidRPr="0028616A">
        <w:rPr>
          <w:rFonts w:ascii="Arial" w:eastAsia="Times New Roman" w:hAnsi="Arial" w:cs="Arial"/>
          <w:kern w:val="0"/>
          <w:sz w:val="20"/>
          <w:szCs w:val="20"/>
          <w:lang w:eastAsia="en-IN"/>
          <w14:ligatures w14:val="none"/>
        </w:rPr>
        <w:t xml:space="preserve"> @ 1.67 L ha</w:t>
      </w:r>
      <w:r w:rsidR="00B01E0F"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at 3 DAS</w:t>
      </w:r>
      <w:r w:rsidR="00F155B1"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followed by clethodim</w:t>
      </w:r>
      <w:r w:rsidR="00654C90"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 96 g a.i. ha</w:t>
      </w:r>
      <w:r w:rsidR="00B01E0F"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8</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(72.73%)</w:t>
      </w:r>
      <w:r w:rsidRPr="0028616A">
        <w:rPr>
          <w:rFonts w:ascii="Arial" w:eastAsia="Times New Roman" w:hAnsi="Arial" w:cs="Arial"/>
          <w:kern w:val="0"/>
          <w:sz w:val="20"/>
          <w:szCs w:val="20"/>
          <w:lang w:eastAsia="en-IN"/>
          <w14:ligatures w14:val="none"/>
        </w:rPr>
        <w:t>.</w:t>
      </w:r>
      <w:r w:rsidR="00B01E0F" w:rsidRPr="0028616A">
        <w:rPr>
          <w:rFonts w:ascii="Arial" w:eastAsia="Times New Roman" w:hAnsi="Arial" w:cs="Arial"/>
          <w:kern w:val="0"/>
          <w:sz w:val="20"/>
          <w:szCs w:val="20"/>
          <w:lang w:eastAsia="en-IN"/>
          <w14:ligatures w14:val="none"/>
        </w:rPr>
        <w:t xml:space="preserve"> The higher WCE </w:t>
      </w:r>
      <w:r w:rsidR="00B01E0F" w:rsidRPr="007851E3">
        <w:rPr>
          <w:rFonts w:ascii="Arial" w:eastAsia="Times New Roman" w:hAnsi="Arial" w:cs="Arial"/>
          <w:kern w:val="0"/>
          <w:sz w:val="20"/>
          <w:szCs w:val="20"/>
          <w:lang w:eastAsia="en-IN"/>
          <w14:ligatures w14:val="none"/>
        </w:rPr>
        <w:t xml:space="preserve">might be </w:t>
      </w:r>
      <w:r w:rsidR="004B53E4" w:rsidRPr="007851E3">
        <w:rPr>
          <w:rFonts w:ascii="Arial" w:eastAsia="Times New Roman" w:hAnsi="Arial" w:cs="Arial"/>
          <w:kern w:val="0"/>
          <w:sz w:val="20"/>
          <w:szCs w:val="20"/>
          <w:lang w:eastAsia="en-IN"/>
          <w14:ligatures w14:val="none"/>
        </w:rPr>
        <w:t xml:space="preserve">attributed to effective control of both early and late-emerging weeds, ensuring sustained weed suppression </w:t>
      </w:r>
      <w:r w:rsidR="00855061" w:rsidRPr="007851E3">
        <w:rPr>
          <w:rFonts w:ascii="Arial" w:eastAsia="Times New Roman" w:hAnsi="Arial" w:cs="Arial"/>
          <w:kern w:val="0"/>
          <w:sz w:val="20"/>
          <w:szCs w:val="20"/>
          <w:lang w:eastAsia="en-IN"/>
          <w14:ligatures w14:val="none"/>
        </w:rPr>
        <w:t>[14,15]</w:t>
      </w:r>
      <w:r w:rsidR="00B01E0F" w:rsidRPr="007851E3">
        <w:rPr>
          <w:rFonts w:ascii="Arial" w:eastAsia="Times New Roman" w:hAnsi="Arial" w:cs="Arial"/>
          <w:kern w:val="0"/>
          <w:sz w:val="20"/>
          <w:szCs w:val="20"/>
          <w:lang w:eastAsia="en-IN"/>
          <w14:ligatures w14:val="none"/>
        </w:rPr>
        <w:t xml:space="preserve">. In contrast, the </w:t>
      </w:r>
      <w:proofErr w:type="spellStart"/>
      <w:r w:rsidR="00B01E0F" w:rsidRPr="007851E3">
        <w:rPr>
          <w:rFonts w:ascii="Arial" w:eastAsia="Times New Roman" w:hAnsi="Arial" w:cs="Arial"/>
          <w:kern w:val="0"/>
          <w:sz w:val="20"/>
          <w:szCs w:val="20"/>
          <w:lang w:eastAsia="en-IN"/>
          <w14:ligatures w14:val="none"/>
        </w:rPr>
        <w:t>unweeded</w:t>
      </w:r>
      <w:proofErr w:type="spellEnd"/>
      <w:r w:rsidR="00B01E0F" w:rsidRPr="007851E3">
        <w:rPr>
          <w:rFonts w:ascii="Arial" w:eastAsia="Times New Roman" w:hAnsi="Arial" w:cs="Arial"/>
          <w:kern w:val="0"/>
          <w:sz w:val="20"/>
          <w:szCs w:val="20"/>
          <w:lang w:eastAsia="en-IN"/>
          <w14:ligatures w14:val="none"/>
        </w:rPr>
        <w:t xml:space="preserve"> control (T</w:t>
      </w:r>
      <w:r w:rsidR="00B01E0F" w:rsidRPr="007851E3">
        <w:rPr>
          <w:rFonts w:ascii="Arial" w:eastAsia="Times New Roman" w:hAnsi="Arial" w:cs="Arial"/>
          <w:kern w:val="0"/>
          <w:sz w:val="20"/>
          <w:szCs w:val="20"/>
          <w:vertAlign w:val="subscript"/>
          <w:lang w:eastAsia="en-IN"/>
          <w14:ligatures w14:val="none"/>
        </w:rPr>
        <w:t>12</w:t>
      </w:r>
      <w:r w:rsidR="00B01E0F" w:rsidRPr="007851E3">
        <w:rPr>
          <w:rFonts w:ascii="Arial" w:eastAsia="Times New Roman" w:hAnsi="Arial" w:cs="Arial"/>
          <w:kern w:val="0"/>
          <w:sz w:val="20"/>
          <w:szCs w:val="20"/>
          <w:lang w:eastAsia="en-IN"/>
          <w14:ligatures w14:val="none"/>
        </w:rPr>
        <w:t xml:space="preserve">) </w:t>
      </w:r>
      <w:r w:rsidR="004B53E4" w:rsidRPr="007851E3">
        <w:rPr>
          <w:rFonts w:ascii="Arial" w:eastAsia="Times New Roman" w:hAnsi="Arial" w:cs="Arial"/>
          <w:kern w:val="0"/>
          <w:sz w:val="20"/>
          <w:szCs w:val="20"/>
          <w:lang w:eastAsia="en-IN"/>
          <w14:ligatures w14:val="none"/>
        </w:rPr>
        <w:t>recorded</w:t>
      </w:r>
      <w:r w:rsidR="00635531" w:rsidRPr="007851E3">
        <w:rPr>
          <w:rFonts w:ascii="Arial" w:eastAsia="Times New Roman" w:hAnsi="Arial" w:cs="Arial"/>
          <w:kern w:val="0"/>
          <w:sz w:val="20"/>
          <w:szCs w:val="20"/>
          <w:lang w:eastAsia="en-IN"/>
          <w14:ligatures w14:val="none"/>
        </w:rPr>
        <w:t xml:space="preserve"> the lowest WCE due to the absence of </w:t>
      </w:r>
      <w:r w:rsidR="00B01E0F" w:rsidRPr="007851E3">
        <w:rPr>
          <w:rFonts w:ascii="Arial" w:eastAsia="Times New Roman" w:hAnsi="Arial" w:cs="Arial"/>
          <w:kern w:val="0"/>
          <w:sz w:val="20"/>
          <w:szCs w:val="20"/>
          <w:lang w:eastAsia="en-IN"/>
          <w14:ligatures w14:val="none"/>
        </w:rPr>
        <w:t>weed management practices.</w:t>
      </w:r>
      <w:r w:rsidR="004B53E4" w:rsidRPr="007851E3">
        <w:rPr>
          <w:rFonts w:ascii="Times New Roman" w:eastAsia="Times New Roman" w:hAnsi="Times New Roman" w:cs="Times New Roman"/>
          <w:kern w:val="0"/>
          <w:sz w:val="24"/>
          <w:szCs w:val="24"/>
          <w:lang w:eastAsia="en-IN"/>
          <w14:ligatures w14:val="none"/>
        </w:rPr>
        <w:t xml:space="preserve"> </w:t>
      </w:r>
      <w:r w:rsidR="004B53E4" w:rsidRPr="007851E3">
        <w:rPr>
          <w:rFonts w:ascii="Arial" w:hAnsi="Arial" w:cs="Arial"/>
          <w:sz w:val="20"/>
          <w:szCs w:val="20"/>
        </w:rPr>
        <w:t xml:space="preserve">These results indicate the advantage of sequential herbicide </w:t>
      </w:r>
      <w:r w:rsidR="004B53E4" w:rsidRPr="007851E3">
        <w:rPr>
          <w:rFonts w:ascii="Arial" w:hAnsi="Arial" w:cs="Arial"/>
          <w:sz w:val="20"/>
          <w:szCs w:val="20"/>
        </w:rPr>
        <w:lastRenderedPageBreak/>
        <w:t>application; however, field validation is required as environmental factors may influence herbicide efficacy.</w:t>
      </w:r>
    </w:p>
    <w:p w14:paraId="53CF1725" w14:textId="257709D6" w:rsidR="008E5F9B" w:rsidRPr="00E040D5" w:rsidRDefault="008E5F9B"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3.3. Grain and Straw yield</w:t>
      </w:r>
    </w:p>
    <w:p w14:paraId="0CC2E908" w14:textId="088A8E33" w:rsidR="00444E49" w:rsidRPr="0028616A" w:rsidRDefault="00444E49"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w:t>
      </w:r>
      <w:r w:rsidR="00702205" w:rsidRPr="0028616A">
        <w:rPr>
          <w:rFonts w:ascii="Arial" w:eastAsia="Times New Roman" w:hAnsi="Arial" w:cs="Arial"/>
          <w:kern w:val="0"/>
          <w:sz w:val="20"/>
          <w:szCs w:val="20"/>
          <w:lang w:eastAsia="en-IN"/>
          <w14:ligatures w14:val="none"/>
        </w:rPr>
        <w:t xml:space="preserve">effects of various herbicides on quinoa grain and straw yields are shown in Fig. 3, with notable variations among </w:t>
      </w:r>
      <w:r w:rsidRPr="0028616A">
        <w:rPr>
          <w:rFonts w:ascii="Arial" w:eastAsia="Times New Roman" w:hAnsi="Arial" w:cs="Arial"/>
          <w:kern w:val="0"/>
          <w:sz w:val="20"/>
          <w:szCs w:val="20"/>
          <w:lang w:eastAsia="en-IN"/>
          <w14:ligatures w14:val="none"/>
        </w:rPr>
        <w:t>treatments.</w:t>
      </w:r>
      <w:r w:rsidR="005E578B" w:rsidRPr="0028616A">
        <w:rPr>
          <w:rFonts w:ascii="Arial" w:eastAsia="Times New Roman" w:hAnsi="Arial" w:cs="Arial"/>
          <w:kern w:val="0"/>
          <w:sz w:val="20"/>
          <w:szCs w:val="20"/>
          <w:lang w:eastAsia="en-IN"/>
          <w14:ligatures w14:val="none"/>
        </w:rPr>
        <w:t xml:space="preserve"> The </w:t>
      </w:r>
      <w:r w:rsidR="003B23ED" w:rsidRPr="0028616A">
        <w:rPr>
          <w:rFonts w:ascii="Arial" w:eastAsia="Times New Roman" w:hAnsi="Arial" w:cs="Arial"/>
          <w:kern w:val="0"/>
          <w:sz w:val="20"/>
          <w:szCs w:val="20"/>
          <w:lang w:eastAsia="en-IN"/>
          <w14:ligatures w14:val="none"/>
        </w:rPr>
        <w:t>weed-free check (T</w:t>
      </w:r>
      <w:r w:rsidR="003B23ED" w:rsidRPr="0028616A">
        <w:rPr>
          <w:rFonts w:ascii="Arial" w:eastAsia="Times New Roman" w:hAnsi="Arial" w:cs="Arial"/>
          <w:kern w:val="0"/>
          <w:sz w:val="20"/>
          <w:szCs w:val="20"/>
          <w:vertAlign w:val="subscript"/>
          <w:lang w:eastAsia="en-IN"/>
          <w14:ligatures w14:val="none"/>
        </w:rPr>
        <w:t>11</w:t>
      </w:r>
      <w:r w:rsidR="003B23ED" w:rsidRPr="0028616A">
        <w:rPr>
          <w:rFonts w:ascii="Arial" w:eastAsia="Times New Roman" w:hAnsi="Arial" w:cs="Arial"/>
          <w:kern w:val="0"/>
          <w:sz w:val="20"/>
          <w:szCs w:val="20"/>
          <w:lang w:eastAsia="en-IN"/>
          <w14:ligatures w14:val="none"/>
        </w:rPr>
        <w:t xml:space="preserve">) produced more grain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39.5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003B23ED" w:rsidRPr="0028616A">
        <w:rPr>
          <w:rFonts w:ascii="Arial" w:eastAsia="Times New Roman" w:hAnsi="Arial" w:cs="Arial"/>
          <w:kern w:val="0"/>
          <w:sz w:val="20"/>
          <w:szCs w:val="20"/>
          <w:lang w:eastAsia="en-IN"/>
          <w14:ligatures w14:val="none"/>
        </w:rPr>
        <w:t>and straw</w:t>
      </w:r>
      <w:r w:rsidR="00654C90" w:rsidRPr="0028616A">
        <w:rPr>
          <w:rFonts w:ascii="Arial" w:eastAsia="Times New Roman" w:hAnsi="Arial" w:cs="Arial"/>
          <w:kern w:val="0"/>
          <w:sz w:val="20"/>
          <w:szCs w:val="20"/>
          <w:lang w:eastAsia="en-IN"/>
          <w14:ligatures w14:val="none"/>
        </w:rPr>
        <w:t xml:space="preserve"> yield</w:t>
      </w:r>
      <w:r w:rsidR="005E578B" w:rsidRPr="0028616A">
        <w:rPr>
          <w:rFonts w:ascii="Arial" w:eastAsia="Times New Roman" w:hAnsi="Arial" w:cs="Arial"/>
          <w:kern w:val="0"/>
          <w:sz w:val="20"/>
          <w:szCs w:val="20"/>
          <w:lang w:eastAsia="en-IN"/>
          <w14:ligatures w14:val="none"/>
        </w:rPr>
        <w:t xml:space="preserve">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45.05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003B23ED" w:rsidRPr="0028616A">
        <w:rPr>
          <w:rFonts w:ascii="Arial" w:eastAsia="Times New Roman" w:hAnsi="Arial" w:cs="Arial"/>
          <w:kern w:val="0"/>
          <w:sz w:val="20"/>
          <w:szCs w:val="20"/>
          <w:lang w:eastAsia="en-IN"/>
          <w14:ligatures w14:val="none"/>
        </w:rPr>
        <w:t xml:space="preserve">, which was statistically </w:t>
      </w:r>
      <w:r w:rsidR="00654C90" w:rsidRPr="0028616A">
        <w:rPr>
          <w:rFonts w:ascii="Arial" w:eastAsia="Times New Roman" w:hAnsi="Arial" w:cs="Arial"/>
          <w:kern w:val="0"/>
          <w:sz w:val="20"/>
          <w:szCs w:val="20"/>
          <w:lang w:eastAsia="en-IN"/>
          <w14:ligatures w14:val="none"/>
        </w:rPr>
        <w:t xml:space="preserve">comparable </w:t>
      </w:r>
      <w:r w:rsidR="003B23ED" w:rsidRPr="0028616A">
        <w:rPr>
          <w:rFonts w:ascii="Arial" w:eastAsia="Times New Roman" w:hAnsi="Arial" w:cs="Arial"/>
          <w:kern w:val="0"/>
          <w:sz w:val="20"/>
          <w:szCs w:val="20"/>
          <w:lang w:eastAsia="en-IN"/>
          <w14:ligatures w14:val="none"/>
        </w:rPr>
        <w:t>to</w:t>
      </w:r>
      <w:r w:rsidR="001A0824" w:rsidRPr="0028616A">
        <w:rPr>
          <w:rFonts w:ascii="Arial" w:eastAsia="Times New Roman" w:hAnsi="Arial" w:cs="Arial"/>
          <w:kern w:val="0"/>
          <w:sz w:val="20"/>
          <w:szCs w:val="20"/>
          <w:lang w:eastAsia="en-IN"/>
          <w14:ligatures w14:val="none"/>
        </w:rPr>
        <w:t xml:space="preserve"> the </w:t>
      </w:r>
      <w:r w:rsidR="00654C90" w:rsidRPr="0028616A">
        <w:rPr>
          <w:rFonts w:ascii="Arial" w:eastAsia="Times New Roman" w:hAnsi="Arial" w:cs="Arial"/>
          <w:kern w:val="0"/>
          <w:sz w:val="20"/>
          <w:szCs w:val="20"/>
          <w:lang w:eastAsia="en-IN"/>
          <w14:ligatures w14:val="none"/>
        </w:rPr>
        <w:t>pre-emergence</w:t>
      </w:r>
      <w:r w:rsidRPr="0028616A">
        <w:rPr>
          <w:rFonts w:ascii="Arial" w:eastAsia="Times New Roman" w:hAnsi="Arial" w:cs="Arial"/>
          <w:kern w:val="0"/>
          <w:sz w:val="20"/>
          <w:szCs w:val="20"/>
          <w:lang w:eastAsia="en-IN"/>
          <w14:ligatures w14:val="none"/>
        </w:rPr>
        <w:t xml:space="preserve"> application of </w:t>
      </w:r>
      <w:r w:rsidR="00654C90" w:rsidRPr="0028616A">
        <w:rPr>
          <w:rFonts w:ascii="Arial" w:eastAsia="Times New Roman" w:hAnsi="Arial" w:cs="Arial"/>
          <w:kern w:val="0"/>
          <w:sz w:val="20"/>
          <w:szCs w:val="20"/>
          <w:lang w:eastAsia="en-IN"/>
          <w14:ligatures w14:val="none"/>
        </w:rPr>
        <w:t>p</w:t>
      </w:r>
      <w:r w:rsidRPr="0028616A">
        <w:rPr>
          <w:rFonts w:ascii="Arial" w:eastAsia="Times New Roman" w:hAnsi="Arial" w:cs="Arial"/>
          <w:kern w:val="0"/>
          <w:sz w:val="20"/>
          <w:szCs w:val="20"/>
          <w:lang w:eastAsia="en-IN"/>
          <w14:ligatures w14:val="none"/>
        </w:rPr>
        <w:t>retilachlor @ 750 g a.i. ha</w:t>
      </w:r>
      <w:r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 xml:space="preserve">at 3 DAS + </w:t>
      </w:r>
      <w:r w:rsidR="00654C90" w:rsidRPr="0028616A">
        <w:rPr>
          <w:rFonts w:ascii="Arial" w:eastAsia="Times New Roman" w:hAnsi="Arial" w:cs="Arial"/>
          <w:kern w:val="0"/>
          <w:sz w:val="20"/>
          <w:szCs w:val="20"/>
          <w:lang w:eastAsia="en-IN"/>
          <w14:ligatures w14:val="none"/>
        </w:rPr>
        <w:t>post-emergence</w:t>
      </w:r>
      <w:r w:rsidRPr="0028616A">
        <w:rPr>
          <w:rFonts w:ascii="Arial" w:eastAsia="Times New Roman" w:hAnsi="Arial" w:cs="Arial"/>
          <w:kern w:val="0"/>
          <w:sz w:val="20"/>
          <w:szCs w:val="20"/>
          <w:lang w:eastAsia="en-IN"/>
          <w14:ligatures w14:val="none"/>
        </w:rPr>
        <w:t xml:space="preserve"> application of </w:t>
      </w:r>
      <w:proofErr w:type="spellStart"/>
      <w:r w:rsidR="00654C90" w:rsidRPr="0028616A">
        <w:rPr>
          <w:rFonts w:ascii="Arial" w:eastAsia="Times New Roman" w:hAnsi="Arial" w:cs="Arial"/>
          <w:kern w:val="0"/>
          <w:sz w:val="20"/>
          <w:szCs w:val="20"/>
          <w:lang w:eastAsia="en-IN"/>
          <w14:ligatures w14:val="none"/>
        </w:rPr>
        <w:t>h</w:t>
      </w:r>
      <w:r w:rsidRPr="0028616A">
        <w:rPr>
          <w:rFonts w:ascii="Arial" w:eastAsia="Times New Roman" w:hAnsi="Arial" w:cs="Arial"/>
          <w:kern w:val="0"/>
          <w:sz w:val="20"/>
          <w:szCs w:val="20"/>
          <w:lang w:eastAsia="en-IN"/>
          <w14:ligatures w14:val="none"/>
        </w:rPr>
        <w:t>alosulfuron</w:t>
      </w:r>
      <w:proofErr w:type="spellEnd"/>
      <w:r w:rsidRPr="0028616A">
        <w:rPr>
          <w:rFonts w:ascii="Arial" w:eastAsia="Times New Roman" w:hAnsi="Arial" w:cs="Arial"/>
          <w:kern w:val="0"/>
          <w:sz w:val="20"/>
          <w:szCs w:val="20"/>
          <w:lang w:eastAsia="en-IN"/>
          <w14:ligatures w14:val="none"/>
        </w:rPr>
        <w:t>-methyl @ 70 g a.i.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10</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Effective weed control</w:t>
      </w:r>
      <w:r w:rsidR="005E578B" w:rsidRPr="0028616A">
        <w:rPr>
          <w:rFonts w:ascii="Arial" w:eastAsia="Times New Roman" w:hAnsi="Arial" w:cs="Arial"/>
          <w:b/>
          <w:bCs/>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might have increased the availability of nutrients, moisture</w:t>
      </w:r>
      <w:r w:rsidR="00654C90"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and other critical growth resources, hence improving crop development and yield characteristics, resulting in higher grain and straw production </w:t>
      </w:r>
      <w:r w:rsidR="00855061">
        <w:rPr>
          <w:rFonts w:ascii="Arial" w:eastAsia="Times New Roman" w:hAnsi="Arial" w:cs="Arial"/>
          <w:kern w:val="0"/>
          <w:sz w:val="20"/>
          <w:szCs w:val="20"/>
          <w:lang w:eastAsia="en-IN"/>
          <w14:ligatures w14:val="none"/>
        </w:rPr>
        <w:t xml:space="preserve">[16]. </w:t>
      </w:r>
      <w:r w:rsidRPr="0028616A">
        <w:rPr>
          <w:rFonts w:ascii="Arial" w:eastAsia="Times New Roman" w:hAnsi="Arial" w:cs="Arial"/>
          <w:kern w:val="0"/>
          <w:sz w:val="20"/>
          <w:szCs w:val="20"/>
          <w:lang w:eastAsia="en-IN"/>
          <w14:ligatures w14:val="none"/>
        </w:rPr>
        <w:t xml:space="preserve">The </w:t>
      </w:r>
      <w:proofErr w:type="spellStart"/>
      <w:r w:rsidRPr="0028616A">
        <w:rPr>
          <w:rFonts w:ascii="Arial" w:eastAsia="Times New Roman" w:hAnsi="Arial" w:cs="Arial"/>
          <w:kern w:val="0"/>
          <w:sz w:val="20"/>
          <w:szCs w:val="20"/>
          <w:lang w:eastAsia="en-IN"/>
          <w14:ligatures w14:val="none"/>
        </w:rPr>
        <w:t>unweeded</w:t>
      </w:r>
      <w:proofErr w:type="spellEnd"/>
      <w:r w:rsidRPr="0028616A">
        <w:rPr>
          <w:rFonts w:ascii="Arial" w:eastAsia="Times New Roman" w:hAnsi="Arial" w:cs="Arial"/>
          <w:kern w:val="0"/>
          <w:sz w:val="20"/>
          <w:szCs w:val="20"/>
          <w:lang w:eastAsia="en-IN"/>
          <w14:ligatures w14:val="none"/>
        </w:rPr>
        <w:t xml:space="preserve"> control (T</w:t>
      </w:r>
      <w:r w:rsidRPr="0028616A">
        <w:rPr>
          <w:rFonts w:ascii="Arial" w:eastAsia="Times New Roman" w:hAnsi="Arial" w:cs="Arial"/>
          <w:kern w:val="0"/>
          <w:sz w:val="20"/>
          <w:szCs w:val="20"/>
          <w:vertAlign w:val="subscript"/>
          <w:lang w:eastAsia="en-IN"/>
          <w14:ligatures w14:val="none"/>
        </w:rPr>
        <w:t>12</w:t>
      </w:r>
      <w:r w:rsidRPr="0028616A">
        <w:rPr>
          <w:rFonts w:ascii="Arial" w:eastAsia="Times New Roman" w:hAnsi="Arial" w:cs="Arial"/>
          <w:kern w:val="0"/>
          <w:sz w:val="20"/>
          <w:szCs w:val="20"/>
          <w:lang w:eastAsia="en-IN"/>
          <w14:ligatures w14:val="none"/>
        </w:rPr>
        <w:t>) resulted in lower grain</w:t>
      </w:r>
      <w:r w:rsidR="005E578B" w:rsidRPr="0028616A">
        <w:rPr>
          <w:rFonts w:ascii="Arial" w:eastAsia="Times New Roman" w:hAnsi="Arial" w:cs="Arial"/>
          <w:kern w:val="0"/>
          <w:sz w:val="20"/>
          <w:szCs w:val="20"/>
          <w:lang w:eastAsia="en-IN"/>
          <w14:ligatures w14:val="none"/>
        </w:rPr>
        <w:t xml:space="preserve"> (14.73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and straw yield</w:t>
      </w:r>
      <w:r w:rsidR="005E578B" w:rsidRPr="0028616A">
        <w:rPr>
          <w:rFonts w:ascii="Arial" w:eastAsia="Times New Roman" w:hAnsi="Arial" w:cs="Arial"/>
          <w:kern w:val="0"/>
          <w:sz w:val="20"/>
          <w:szCs w:val="20"/>
          <w:lang w:eastAsia="en-IN"/>
          <w14:ligatures w14:val="none"/>
        </w:rPr>
        <w:t xml:space="preserve">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16.4 g plant</w:t>
      </w:r>
      <w:r w:rsidR="005E578B" w:rsidRPr="0028616A">
        <w:rPr>
          <w:rFonts w:ascii="Arial" w:eastAsia="Times New Roman" w:hAnsi="Arial" w:cs="Arial"/>
          <w:kern w:val="0"/>
          <w:sz w:val="20"/>
          <w:szCs w:val="20"/>
          <w:vertAlign w:val="superscript"/>
          <w:lang w:eastAsia="en-IN"/>
          <w14:ligatures w14:val="none"/>
        </w:rPr>
        <w:t>-1</w:t>
      </w:r>
      <w:r w:rsidR="005E578B"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w:t>
      </w:r>
      <w:r w:rsidR="004B53E4" w:rsidRPr="004B53E4">
        <w:rPr>
          <w:rFonts w:ascii="Arial" w:eastAsia="Times New Roman" w:hAnsi="Arial" w:cs="Arial"/>
          <w:kern w:val="0"/>
          <w:sz w:val="20"/>
          <w:szCs w:val="20"/>
          <w:lang w:eastAsia="en-IN"/>
          <w14:ligatures w14:val="none"/>
        </w:rPr>
        <w:t xml:space="preserve">due to severe crop–weed competition, resulting in reduced resource availability </w:t>
      </w:r>
      <w:r w:rsidR="00855061">
        <w:rPr>
          <w:rFonts w:ascii="Arial" w:eastAsia="Times New Roman" w:hAnsi="Arial" w:cs="Arial"/>
          <w:kern w:val="0"/>
          <w:sz w:val="20"/>
          <w:szCs w:val="20"/>
          <w:lang w:eastAsia="en-IN"/>
          <w14:ligatures w14:val="none"/>
        </w:rPr>
        <w:t>[17]</w:t>
      </w:r>
      <w:r w:rsidRPr="0028616A">
        <w:rPr>
          <w:rFonts w:ascii="Arial" w:eastAsia="Times New Roman" w:hAnsi="Arial" w:cs="Arial"/>
          <w:kern w:val="0"/>
          <w:sz w:val="20"/>
          <w:szCs w:val="20"/>
          <w:lang w:eastAsia="en-IN"/>
          <w14:ligatures w14:val="none"/>
        </w:rPr>
        <w:t>.</w:t>
      </w:r>
      <w:r w:rsidR="00855061">
        <w:t xml:space="preserve"> </w:t>
      </w:r>
      <w:r w:rsidR="004B53E4" w:rsidRPr="004B53E4">
        <w:rPr>
          <w:rFonts w:ascii="Arial" w:eastAsia="Times New Roman" w:hAnsi="Arial" w:cs="Arial"/>
          <w:kern w:val="0"/>
          <w:sz w:val="20"/>
          <w:szCs w:val="20"/>
          <w:lang w:eastAsia="en-IN"/>
          <w14:ligatures w14:val="none"/>
        </w:rPr>
        <w:t>These findings highlight the importance of effective weed management in maximizing yield; however, field validation is necessary due to variability in environmental conditions and weed dynamics.</w:t>
      </w:r>
    </w:p>
    <w:p w14:paraId="16346DE2" w14:textId="07431C08" w:rsidR="0042617D" w:rsidRPr="00E040D5" w:rsidRDefault="0042617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4. CONCLUSION</w:t>
      </w:r>
    </w:p>
    <w:p w14:paraId="3E4F82C2" w14:textId="6050CFA8" w:rsidR="004B53E4" w:rsidRDefault="00DA44F8" w:rsidP="0028616A">
      <w:pPr>
        <w:pStyle w:val="NormalWeb"/>
        <w:jc w:val="both"/>
        <w:rPr>
          <w:rFonts w:ascii="Arial" w:eastAsiaTheme="majorEastAsia" w:hAnsi="Arial" w:cs="Arial"/>
          <w:sz w:val="20"/>
          <w:szCs w:val="20"/>
        </w:rPr>
      </w:pPr>
      <w:r w:rsidRPr="007851E3">
        <w:rPr>
          <w:rFonts w:ascii="Arial" w:hAnsi="Arial" w:cs="Arial"/>
          <w:sz w:val="20"/>
          <w:szCs w:val="20"/>
        </w:rPr>
        <w:t>Although the weed-free check resulted in higher growth components, weed dynamics and yield of quinoa, maintaining a completely weed</w:t>
      </w:r>
      <w:r w:rsidR="00DF29AF" w:rsidRPr="007851E3">
        <w:rPr>
          <w:rFonts w:ascii="Arial" w:hAnsi="Arial" w:cs="Arial"/>
          <w:sz w:val="20"/>
          <w:szCs w:val="20"/>
        </w:rPr>
        <w:t xml:space="preserve"> </w:t>
      </w:r>
      <w:r w:rsidRPr="007851E3">
        <w:rPr>
          <w:rFonts w:ascii="Arial" w:hAnsi="Arial" w:cs="Arial"/>
          <w:sz w:val="20"/>
          <w:szCs w:val="20"/>
        </w:rPr>
        <w:t xml:space="preserve">free condition is impractical due to labour shortages and increased cultivation costs. </w:t>
      </w:r>
      <w:r w:rsidR="0042617D" w:rsidRPr="007851E3">
        <w:rPr>
          <w:rFonts w:ascii="Arial" w:hAnsi="Arial" w:cs="Arial"/>
          <w:sz w:val="20"/>
          <w:szCs w:val="20"/>
        </w:rPr>
        <w:t>Hence, the study concluded that the</w:t>
      </w:r>
      <w:r w:rsidR="004B53E4" w:rsidRPr="007851E3">
        <w:rPr>
          <w:rFonts w:ascii="Arial" w:hAnsi="Arial" w:cs="Arial"/>
          <w:sz w:val="20"/>
          <w:szCs w:val="20"/>
        </w:rPr>
        <w:t xml:space="preserve"> sequential</w:t>
      </w:r>
      <w:r w:rsidRPr="007851E3">
        <w:rPr>
          <w:rFonts w:ascii="Arial" w:hAnsi="Arial" w:cs="Arial"/>
          <w:sz w:val="20"/>
          <w:szCs w:val="20"/>
        </w:rPr>
        <w:t xml:space="preserve"> p</w:t>
      </w:r>
      <w:r w:rsidR="00654C90" w:rsidRPr="007851E3">
        <w:rPr>
          <w:rFonts w:ascii="Arial" w:hAnsi="Arial" w:cs="Arial"/>
          <w:iCs/>
          <w:sz w:val="20"/>
          <w:szCs w:val="20"/>
        </w:rPr>
        <w:t>re-emergence</w:t>
      </w:r>
      <w:r w:rsidR="0042617D" w:rsidRPr="007851E3">
        <w:rPr>
          <w:rFonts w:ascii="Arial" w:hAnsi="Arial" w:cs="Arial"/>
          <w:iCs/>
          <w:sz w:val="20"/>
          <w:szCs w:val="20"/>
        </w:rPr>
        <w:t xml:space="preserve"> application of </w:t>
      </w:r>
      <w:r w:rsidR="00654C90" w:rsidRPr="007851E3">
        <w:rPr>
          <w:rFonts w:ascii="Arial" w:hAnsi="Arial" w:cs="Arial"/>
          <w:iCs/>
          <w:sz w:val="20"/>
          <w:szCs w:val="20"/>
        </w:rPr>
        <w:t>p</w:t>
      </w:r>
      <w:r w:rsidR="0042617D" w:rsidRPr="007851E3">
        <w:rPr>
          <w:rFonts w:ascii="Arial" w:hAnsi="Arial" w:cs="Arial"/>
          <w:iCs/>
          <w:sz w:val="20"/>
          <w:szCs w:val="20"/>
        </w:rPr>
        <w:t>retilachlor @ 750 g a.i.ha</w:t>
      </w:r>
      <w:r w:rsidR="00654C90" w:rsidRPr="007851E3">
        <w:rPr>
          <w:rFonts w:ascii="Arial" w:hAnsi="Arial" w:cs="Arial"/>
          <w:iCs/>
          <w:sz w:val="20"/>
          <w:szCs w:val="20"/>
          <w:vertAlign w:val="superscript"/>
        </w:rPr>
        <w:t>-1</w:t>
      </w:r>
      <w:r w:rsidR="0042617D" w:rsidRPr="007851E3">
        <w:rPr>
          <w:rFonts w:ascii="Arial" w:hAnsi="Arial" w:cs="Arial"/>
          <w:iCs/>
          <w:sz w:val="20"/>
          <w:szCs w:val="20"/>
        </w:rPr>
        <w:t xml:space="preserve"> at 3 DAS + </w:t>
      </w:r>
      <w:r w:rsidR="00654C90" w:rsidRPr="007851E3">
        <w:rPr>
          <w:rFonts w:ascii="Arial" w:hAnsi="Arial" w:cs="Arial"/>
          <w:iCs/>
          <w:sz w:val="20"/>
          <w:szCs w:val="20"/>
        </w:rPr>
        <w:t>post-emergence</w:t>
      </w:r>
      <w:r w:rsidR="0042617D" w:rsidRPr="007851E3">
        <w:rPr>
          <w:rFonts w:ascii="Arial" w:hAnsi="Arial" w:cs="Arial"/>
          <w:iCs/>
          <w:sz w:val="20"/>
          <w:szCs w:val="20"/>
        </w:rPr>
        <w:t xml:space="preserve"> application of </w:t>
      </w:r>
      <w:proofErr w:type="spellStart"/>
      <w:r w:rsidR="00654C90" w:rsidRPr="007851E3">
        <w:rPr>
          <w:rFonts w:ascii="Arial" w:hAnsi="Arial" w:cs="Arial"/>
          <w:iCs/>
          <w:sz w:val="20"/>
          <w:szCs w:val="20"/>
        </w:rPr>
        <w:t>h</w:t>
      </w:r>
      <w:r w:rsidR="0042617D" w:rsidRPr="007851E3">
        <w:rPr>
          <w:rFonts w:ascii="Arial" w:hAnsi="Arial" w:cs="Arial"/>
          <w:iCs/>
          <w:sz w:val="20"/>
          <w:szCs w:val="20"/>
        </w:rPr>
        <w:t>alosulfuron</w:t>
      </w:r>
      <w:proofErr w:type="spellEnd"/>
      <w:r w:rsidR="0042617D" w:rsidRPr="007851E3">
        <w:rPr>
          <w:rFonts w:ascii="Arial" w:hAnsi="Arial" w:cs="Arial"/>
          <w:iCs/>
          <w:sz w:val="20"/>
          <w:szCs w:val="20"/>
        </w:rPr>
        <w:t>-methyl @ 70 g a.i.ha</w:t>
      </w:r>
      <w:r w:rsidR="00654C90" w:rsidRPr="007851E3">
        <w:rPr>
          <w:rFonts w:ascii="Arial" w:hAnsi="Arial" w:cs="Arial"/>
          <w:iCs/>
          <w:sz w:val="20"/>
          <w:szCs w:val="20"/>
          <w:vertAlign w:val="superscript"/>
        </w:rPr>
        <w:t>-1</w:t>
      </w:r>
      <w:r w:rsidR="0042617D" w:rsidRPr="007851E3">
        <w:rPr>
          <w:rFonts w:ascii="Arial" w:hAnsi="Arial" w:cs="Arial"/>
          <w:iCs/>
          <w:sz w:val="20"/>
          <w:szCs w:val="20"/>
        </w:rPr>
        <w:t xml:space="preserve"> at 25 DAS (T</w:t>
      </w:r>
      <w:r w:rsidR="0042617D" w:rsidRPr="007851E3">
        <w:rPr>
          <w:rFonts w:ascii="Arial" w:hAnsi="Arial" w:cs="Arial"/>
          <w:iCs/>
          <w:sz w:val="20"/>
          <w:szCs w:val="20"/>
          <w:vertAlign w:val="subscript"/>
        </w:rPr>
        <w:t>10</w:t>
      </w:r>
      <w:r w:rsidR="0042617D" w:rsidRPr="007851E3">
        <w:rPr>
          <w:rFonts w:ascii="Arial" w:hAnsi="Arial" w:cs="Arial"/>
          <w:iCs/>
          <w:sz w:val="20"/>
          <w:szCs w:val="20"/>
        </w:rPr>
        <w:t>)</w:t>
      </w:r>
      <w:r w:rsidRPr="007851E3">
        <w:rPr>
          <w:rFonts w:ascii="Arial" w:hAnsi="Arial" w:cs="Arial"/>
          <w:iCs/>
          <w:sz w:val="20"/>
          <w:szCs w:val="20"/>
        </w:rPr>
        <w:t xml:space="preserve"> </w:t>
      </w:r>
      <w:r w:rsidR="004B53E4" w:rsidRPr="004B53E4">
        <w:rPr>
          <w:rFonts w:ascii="Arial" w:eastAsiaTheme="majorEastAsia" w:hAnsi="Arial" w:cs="Arial"/>
          <w:sz w:val="20"/>
          <w:szCs w:val="20"/>
        </w:rPr>
        <w:t>proved effective in reducing weed pressure and improving crop performance under controlled conditions.</w:t>
      </w:r>
      <w:r w:rsidR="004B53E4" w:rsidRPr="007851E3">
        <w:rPr>
          <w:rFonts w:ascii="Arial" w:eastAsiaTheme="majorEastAsia" w:hAnsi="Arial" w:cs="Arial"/>
          <w:sz w:val="20"/>
          <w:szCs w:val="20"/>
        </w:rPr>
        <w:t xml:space="preserve"> </w:t>
      </w:r>
      <w:r w:rsidR="004B53E4" w:rsidRPr="004B53E4">
        <w:rPr>
          <w:rFonts w:ascii="Arial" w:eastAsiaTheme="majorEastAsia" w:hAnsi="Arial" w:cs="Arial"/>
          <w:sz w:val="20"/>
          <w:szCs w:val="20"/>
        </w:rPr>
        <w:t>However, as the findings are based on a pot experiment, further validation under field conditions is essential before recommending this treatment for large-scale adoption</w:t>
      </w:r>
      <w:r w:rsidR="004B53E4">
        <w:rPr>
          <w:rFonts w:ascii="Arial" w:eastAsiaTheme="majorEastAsia" w:hAnsi="Arial" w:cs="Arial"/>
          <w:sz w:val="20"/>
          <w:szCs w:val="20"/>
        </w:rPr>
        <w:t>.</w:t>
      </w:r>
    </w:p>
    <w:p w14:paraId="45B785DB" w14:textId="77777777" w:rsidR="000D0C4C" w:rsidRPr="000D0C4C" w:rsidRDefault="000D0C4C" w:rsidP="000D0C4C">
      <w:pPr>
        <w:pStyle w:val="NormalWeb"/>
        <w:jc w:val="both"/>
        <w:rPr>
          <w:rStyle w:val="Strong"/>
          <w:rFonts w:ascii="Arial" w:eastAsiaTheme="majorEastAsia" w:hAnsi="Arial" w:cs="Arial"/>
          <w:b w:val="0"/>
          <w:bCs w:val="0"/>
          <w:sz w:val="20"/>
          <w:szCs w:val="20"/>
        </w:rPr>
      </w:pPr>
      <w:r w:rsidRPr="000D0C4C">
        <w:rPr>
          <w:rStyle w:val="Strong"/>
          <w:rFonts w:ascii="Arial" w:eastAsiaTheme="majorEastAsia" w:hAnsi="Arial" w:cs="Arial"/>
          <w:b w:val="0"/>
          <w:bCs w:val="0"/>
          <w:sz w:val="20"/>
          <w:szCs w:val="20"/>
        </w:rPr>
        <w:t>Disclaimer (Artificial intelligence)</w:t>
      </w:r>
    </w:p>
    <w:p w14:paraId="173B4E7A" w14:textId="2C9707A3" w:rsidR="000D0C4C" w:rsidRPr="0028616A" w:rsidRDefault="000D0C4C" w:rsidP="000D0C4C">
      <w:pPr>
        <w:pStyle w:val="NormalWeb"/>
        <w:jc w:val="both"/>
        <w:rPr>
          <w:rStyle w:val="Strong"/>
          <w:rFonts w:ascii="Arial" w:eastAsiaTheme="majorEastAsia" w:hAnsi="Arial" w:cs="Arial"/>
          <w:b w:val="0"/>
          <w:bCs w:val="0"/>
          <w:sz w:val="20"/>
          <w:szCs w:val="20"/>
        </w:rPr>
      </w:pPr>
      <w:r w:rsidRPr="000D0C4C">
        <w:rPr>
          <w:rStyle w:val="Strong"/>
          <w:rFonts w:ascii="Arial" w:eastAsiaTheme="majorEastAsia" w:hAnsi="Arial" w:cs="Arial"/>
          <w:b w:val="0"/>
          <w:bCs w:val="0"/>
          <w:sz w:val="20"/>
          <w:szCs w:val="20"/>
        </w:rPr>
        <w:t>Author(s) hereby declare that NO generative AI technologies such as Large Language Models (</w:t>
      </w:r>
      <w:proofErr w:type="spellStart"/>
      <w:r w:rsidRPr="000D0C4C">
        <w:rPr>
          <w:rStyle w:val="Strong"/>
          <w:rFonts w:ascii="Arial" w:eastAsiaTheme="majorEastAsia" w:hAnsi="Arial" w:cs="Arial"/>
          <w:b w:val="0"/>
          <w:bCs w:val="0"/>
          <w:sz w:val="20"/>
          <w:szCs w:val="20"/>
        </w:rPr>
        <w:t>ChatGPT</w:t>
      </w:r>
      <w:proofErr w:type="spellEnd"/>
      <w:r w:rsidRPr="000D0C4C">
        <w:rPr>
          <w:rStyle w:val="Strong"/>
          <w:rFonts w:ascii="Arial" w:eastAsiaTheme="majorEastAsia" w:hAnsi="Arial" w:cs="Arial"/>
          <w:b w:val="0"/>
          <w:bCs w:val="0"/>
          <w:sz w:val="20"/>
          <w:szCs w:val="20"/>
        </w:rPr>
        <w:t>, COPILOT, etc.) and text-to-image generators have been used during the writing or editing of this manuscript.</w:t>
      </w:r>
    </w:p>
    <w:p w14:paraId="03DA147E" w14:textId="77777777" w:rsidR="000D0C4C" w:rsidRDefault="000D0C4C" w:rsidP="00DA5F97">
      <w:pPr>
        <w:spacing w:line="360" w:lineRule="auto"/>
        <w:jc w:val="both"/>
        <w:rPr>
          <w:rFonts w:ascii="Arial" w:eastAsia="Times New Roman" w:hAnsi="Arial" w:cs="Arial"/>
          <w:b/>
          <w:bCs/>
          <w:kern w:val="0"/>
          <w:lang w:eastAsia="en-IN"/>
          <w14:ligatures w14:val="none"/>
        </w:rPr>
      </w:pPr>
    </w:p>
    <w:p w14:paraId="549554C4" w14:textId="737FAB43" w:rsidR="00DA5F97" w:rsidRPr="00E040D5" w:rsidRDefault="004A701E" w:rsidP="00DA5F97">
      <w:pPr>
        <w:spacing w:line="36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REFEREN</w:t>
      </w:r>
      <w:r w:rsidR="00DA5F97" w:rsidRPr="00E040D5">
        <w:rPr>
          <w:rFonts w:ascii="Arial" w:eastAsia="Times New Roman" w:hAnsi="Arial" w:cs="Arial"/>
          <w:b/>
          <w:bCs/>
          <w:kern w:val="0"/>
          <w:lang w:eastAsia="en-IN"/>
          <w14:ligatures w14:val="none"/>
        </w:rPr>
        <w:t>CES</w:t>
      </w:r>
    </w:p>
    <w:p w14:paraId="3C6E1C8F" w14:textId="77777777" w:rsidR="00855061" w:rsidRPr="00EE76CD" w:rsidRDefault="00855061"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Abdelshafy, A. M., Rashwan, A. K., &amp; Osman, A. I. (2024). Potential food applications and biological activities of fermented quinoa: A review. Trends in Food Science &amp; Technology, 144, 104339.</w:t>
      </w:r>
    </w:p>
    <w:p w14:paraId="628CD1F1" w14:textId="77777777" w:rsidR="00855061" w:rsidRPr="00EE76CD" w:rsidRDefault="00855061"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Bazile, D., Biaggi, M. C., &amp; Jara, B. (2022). Quinoa’s spreading at global level: State of the art, trends, and challenges. Biology and Biotechnology of Quinoa: Super Grain for Food Security, 1-15.</w:t>
      </w:r>
    </w:p>
    <w:p w14:paraId="1410DC7F" w14:textId="77777777" w:rsidR="00855061" w:rsidRPr="00EE76CD" w:rsidRDefault="00855061" w:rsidP="00EE76CD">
      <w:pPr>
        <w:pStyle w:val="ListParagraph"/>
        <w:numPr>
          <w:ilvl w:val="0"/>
          <w:numId w:val="3"/>
        </w:numPr>
        <w:spacing w:before="240" w:line="240" w:lineRule="auto"/>
        <w:jc w:val="both"/>
        <w:rPr>
          <w:rFonts w:ascii="Arial" w:hAnsi="Arial" w:cs="Arial"/>
          <w:sz w:val="20"/>
          <w:szCs w:val="20"/>
        </w:rPr>
      </w:pPr>
      <w:r w:rsidRPr="00EE76CD">
        <w:rPr>
          <w:rFonts w:ascii="Arial" w:hAnsi="Arial" w:cs="Arial"/>
          <w:noProof/>
          <w:sz w:val="20"/>
          <w:szCs w:val="20"/>
          <w14:ligatures w14:val="none"/>
        </w:rPr>
        <w:t>Lavanya, S., Thavaprakaash, N., Radhamani, S., Janaki, P., Djanaguiraman, M., &amp; Sangeetha, S. P. (2024). Screening of herbicides for weed management in quinoa (</w:t>
      </w:r>
      <w:r w:rsidRPr="00EE76CD">
        <w:rPr>
          <w:rFonts w:ascii="Arial" w:hAnsi="Arial" w:cs="Arial"/>
          <w:i/>
          <w:iCs/>
          <w:noProof/>
          <w:sz w:val="20"/>
          <w:szCs w:val="20"/>
          <w14:ligatures w14:val="none"/>
        </w:rPr>
        <w:t>Chenopodium quinoa</w:t>
      </w:r>
      <w:r w:rsidRPr="00EE76CD">
        <w:rPr>
          <w:rFonts w:ascii="Arial" w:hAnsi="Arial" w:cs="Arial"/>
          <w:noProof/>
          <w:sz w:val="20"/>
          <w:szCs w:val="20"/>
          <w14:ligatures w14:val="none"/>
        </w:rPr>
        <w:t xml:space="preserve"> Willd.)-The first report from India. PLANT SCIENCE, 11.</w:t>
      </w:r>
    </w:p>
    <w:p w14:paraId="37C8AA1D" w14:textId="77777777" w:rsidR="00855061" w:rsidRPr="00216BE6" w:rsidRDefault="00855061" w:rsidP="00EE76CD">
      <w:pPr>
        <w:pStyle w:val="BodyText"/>
        <w:numPr>
          <w:ilvl w:val="0"/>
          <w:numId w:val="3"/>
        </w:numPr>
        <w:spacing w:before="13" w:after="240"/>
        <w:ind w:right="361"/>
        <w:jc w:val="both"/>
        <w:rPr>
          <w:rFonts w:ascii="Arial" w:hAnsi="Arial" w:cs="Arial"/>
          <w:sz w:val="20"/>
          <w:szCs w:val="20"/>
        </w:rPr>
      </w:pPr>
      <w:r w:rsidRPr="00216BE6">
        <w:rPr>
          <w:rFonts w:ascii="Arial" w:eastAsiaTheme="minorHAnsi" w:hAnsi="Arial" w:cs="Arial"/>
          <w:kern w:val="2"/>
          <w:sz w:val="20"/>
          <w:szCs w:val="20"/>
          <w:lang w:val="en-IN"/>
          <w14:ligatures w14:val="standardContextual"/>
        </w:rPr>
        <w:t xml:space="preserve">Gomez, K. A., &amp; Gomez, A. A. (1984). Statistical procedures for agricultural research. John </w:t>
      </w:r>
      <w:proofErr w:type="spellStart"/>
      <w:r w:rsidRPr="00216BE6">
        <w:rPr>
          <w:rFonts w:ascii="Arial" w:eastAsiaTheme="minorHAnsi" w:hAnsi="Arial" w:cs="Arial"/>
          <w:kern w:val="2"/>
          <w:sz w:val="20"/>
          <w:szCs w:val="20"/>
          <w:lang w:val="en-IN"/>
          <w14:ligatures w14:val="standardContextual"/>
        </w:rPr>
        <w:t>wiley</w:t>
      </w:r>
      <w:proofErr w:type="spellEnd"/>
      <w:r w:rsidRPr="00216BE6">
        <w:rPr>
          <w:rFonts w:ascii="Arial" w:eastAsiaTheme="minorHAnsi" w:hAnsi="Arial" w:cs="Arial"/>
          <w:kern w:val="2"/>
          <w:sz w:val="20"/>
          <w:szCs w:val="20"/>
          <w:lang w:val="en-IN"/>
          <w14:ligatures w14:val="standardContextual"/>
        </w:rPr>
        <w:t xml:space="preserve"> &amp; sons.</w:t>
      </w:r>
    </w:p>
    <w:p w14:paraId="689B2328" w14:textId="77777777" w:rsidR="00855061" w:rsidRPr="00EE76CD" w:rsidRDefault="00855061" w:rsidP="00EE76CD">
      <w:pPr>
        <w:pStyle w:val="ListParagraph"/>
        <w:numPr>
          <w:ilvl w:val="0"/>
          <w:numId w:val="3"/>
        </w:numPr>
        <w:spacing w:line="240" w:lineRule="auto"/>
        <w:rPr>
          <w:rFonts w:ascii="Arial" w:hAnsi="Arial" w:cs="Arial"/>
          <w:sz w:val="20"/>
          <w:szCs w:val="20"/>
        </w:rPr>
      </w:pPr>
      <w:r w:rsidRPr="00EE76CD">
        <w:rPr>
          <w:rFonts w:ascii="Arial" w:hAnsi="Arial" w:cs="Arial"/>
          <w:sz w:val="20"/>
          <w:szCs w:val="20"/>
        </w:rPr>
        <w:t xml:space="preserve">Mani, V. S., Malla, M. L., Gautam, K. C., &amp; </w:t>
      </w:r>
      <w:proofErr w:type="spellStart"/>
      <w:r w:rsidRPr="00EE76CD">
        <w:rPr>
          <w:rFonts w:ascii="Arial" w:hAnsi="Arial" w:cs="Arial"/>
          <w:sz w:val="20"/>
          <w:szCs w:val="20"/>
        </w:rPr>
        <w:t>Bhagwandas</w:t>
      </w:r>
      <w:proofErr w:type="spellEnd"/>
      <w:r w:rsidRPr="00EE76CD">
        <w:rPr>
          <w:rFonts w:ascii="Arial" w:hAnsi="Arial" w:cs="Arial"/>
          <w:sz w:val="20"/>
          <w:szCs w:val="20"/>
        </w:rPr>
        <w:t>, B. (1973). Weed-killing chemicals in potato cultivation.</w:t>
      </w:r>
    </w:p>
    <w:p w14:paraId="602BAE6F" w14:textId="77777777" w:rsidR="00855061" w:rsidRPr="00EE76CD" w:rsidRDefault="00855061"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 xml:space="preserve">Chaudhary, L. M., Usadadia, V. P., Chaudhary, A. N., Chaudhary, J. H., &amp; Mor, V. B. (2016). Integrated weed management in summer </w:t>
      </w:r>
      <w:proofErr w:type="spellStart"/>
      <w:r w:rsidRPr="00EE76CD">
        <w:rPr>
          <w:rFonts w:ascii="Arial" w:hAnsi="Arial" w:cs="Arial"/>
          <w:sz w:val="20"/>
          <w:szCs w:val="20"/>
        </w:rPr>
        <w:t>pearlmillet</w:t>
      </w:r>
      <w:proofErr w:type="spellEnd"/>
      <w:r w:rsidRPr="00EE76CD">
        <w:rPr>
          <w:rFonts w:ascii="Arial" w:hAnsi="Arial" w:cs="Arial"/>
          <w:sz w:val="20"/>
          <w:szCs w:val="20"/>
        </w:rPr>
        <w:t xml:space="preserve"> [</w:t>
      </w:r>
      <w:proofErr w:type="spellStart"/>
      <w:r w:rsidRPr="00EE76CD">
        <w:rPr>
          <w:rFonts w:ascii="Arial" w:hAnsi="Arial" w:cs="Arial"/>
          <w:i/>
          <w:iCs/>
          <w:sz w:val="20"/>
          <w:szCs w:val="20"/>
        </w:rPr>
        <w:t>Pennisetum</w:t>
      </w:r>
      <w:proofErr w:type="spellEnd"/>
      <w:r w:rsidRPr="00EE76CD">
        <w:rPr>
          <w:rFonts w:ascii="Arial" w:hAnsi="Arial" w:cs="Arial"/>
          <w:i/>
          <w:iCs/>
          <w:sz w:val="20"/>
          <w:szCs w:val="20"/>
        </w:rPr>
        <w:t xml:space="preserve"> </w:t>
      </w:r>
      <w:proofErr w:type="spellStart"/>
      <w:r w:rsidRPr="00EE76CD">
        <w:rPr>
          <w:rFonts w:ascii="Arial" w:hAnsi="Arial" w:cs="Arial"/>
          <w:i/>
          <w:iCs/>
          <w:sz w:val="20"/>
          <w:szCs w:val="20"/>
        </w:rPr>
        <w:t>glaucum</w:t>
      </w:r>
      <w:proofErr w:type="spellEnd"/>
      <w:r w:rsidRPr="00EE76CD">
        <w:rPr>
          <w:rFonts w:ascii="Arial" w:hAnsi="Arial" w:cs="Arial"/>
          <w:i/>
          <w:iCs/>
          <w:sz w:val="20"/>
          <w:szCs w:val="20"/>
        </w:rPr>
        <w:t xml:space="preserve"> </w:t>
      </w:r>
      <w:r w:rsidRPr="00EE76CD">
        <w:rPr>
          <w:rFonts w:ascii="Arial" w:hAnsi="Arial" w:cs="Arial"/>
          <w:sz w:val="20"/>
          <w:szCs w:val="20"/>
        </w:rPr>
        <w:t>(L.) R. Br. emend. Stuntz] under South Gujarat condition. Eco. Env. &amp; Cons, </w:t>
      </w:r>
      <w:r w:rsidRPr="00EE76CD">
        <w:rPr>
          <w:rFonts w:ascii="Arial" w:hAnsi="Arial" w:cs="Arial"/>
          <w:i/>
          <w:iCs/>
          <w:sz w:val="20"/>
          <w:szCs w:val="20"/>
        </w:rPr>
        <w:t>22</w:t>
      </w:r>
      <w:r w:rsidRPr="00EE76CD">
        <w:rPr>
          <w:rFonts w:ascii="Arial" w:hAnsi="Arial" w:cs="Arial"/>
          <w:sz w:val="20"/>
          <w:szCs w:val="20"/>
        </w:rPr>
        <w:t>, 55-59.</w:t>
      </w:r>
    </w:p>
    <w:p w14:paraId="63DD86E2" w14:textId="77777777" w:rsidR="00EE76CD" w:rsidRPr="00EE76CD" w:rsidRDefault="00EE76CD" w:rsidP="00EE76CD">
      <w:pPr>
        <w:pStyle w:val="ListParagraph"/>
        <w:numPr>
          <w:ilvl w:val="0"/>
          <w:numId w:val="3"/>
        </w:numPr>
        <w:spacing w:line="240" w:lineRule="auto"/>
        <w:jc w:val="both"/>
        <w:rPr>
          <w:rFonts w:ascii="Arial" w:eastAsia="Times New Roman" w:hAnsi="Arial" w:cs="Arial"/>
          <w:b/>
          <w:bCs/>
          <w:kern w:val="0"/>
          <w:sz w:val="20"/>
          <w:szCs w:val="20"/>
          <w:lang w:eastAsia="en-IN"/>
          <w14:ligatures w14:val="none"/>
        </w:rPr>
      </w:pPr>
      <w:r w:rsidRPr="00EE76CD">
        <w:rPr>
          <w:rFonts w:ascii="Arial" w:hAnsi="Arial" w:cs="Arial"/>
          <w:sz w:val="20"/>
          <w:szCs w:val="20"/>
        </w:rPr>
        <w:t>Mubeen, K., Jhala, A. J., Hussain, M., Siddiqui, M. H., Zahoor, F., Shehzad, M., &amp; Mehmood, K. (2014). Effects of seeding time and competition period on weeds, growth and yield of direct seeded fine rice (</w:t>
      </w:r>
      <w:r w:rsidRPr="00EE76CD">
        <w:rPr>
          <w:rFonts w:ascii="Arial" w:hAnsi="Arial" w:cs="Arial"/>
          <w:i/>
          <w:iCs/>
          <w:sz w:val="20"/>
          <w:szCs w:val="20"/>
        </w:rPr>
        <w:t>Oryza Sativa</w:t>
      </w:r>
      <w:r w:rsidRPr="00EE76CD">
        <w:rPr>
          <w:rFonts w:ascii="Arial" w:hAnsi="Arial" w:cs="Arial"/>
          <w:sz w:val="20"/>
          <w:szCs w:val="20"/>
        </w:rPr>
        <w:t xml:space="preserve"> L.). Academic Journal of Interdisciplinary Studies, 3(5), 55-55.</w:t>
      </w:r>
    </w:p>
    <w:p w14:paraId="46B79E9E" w14:textId="77777777" w:rsidR="00EE76CD" w:rsidRPr="00EE76CD" w:rsidRDefault="00EE76CD"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lastRenderedPageBreak/>
        <w:t>Raj, S. K., &amp; Syriac, E. K. (2017). Nutrient availability and nutrient uptake as influenced by the post emergence application of herbicide mixtures. Journal of Tropical Agriculture, </w:t>
      </w:r>
      <w:r w:rsidRPr="00EE76CD">
        <w:rPr>
          <w:rFonts w:ascii="Arial" w:hAnsi="Arial" w:cs="Arial"/>
          <w:i/>
          <w:iCs/>
          <w:sz w:val="20"/>
          <w:szCs w:val="20"/>
        </w:rPr>
        <w:t>55</w:t>
      </w:r>
      <w:r w:rsidRPr="00EE76CD">
        <w:rPr>
          <w:rFonts w:ascii="Arial" w:hAnsi="Arial" w:cs="Arial"/>
          <w:sz w:val="20"/>
          <w:szCs w:val="20"/>
        </w:rPr>
        <w:t>(2), 152-160.</w:t>
      </w:r>
    </w:p>
    <w:p w14:paraId="52CA1E5B" w14:textId="77777777" w:rsidR="00EE76CD" w:rsidRPr="00EE76CD" w:rsidRDefault="00EE76CD" w:rsidP="00EE76CD">
      <w:pPr>
        <w:pStyle w:val="ListParagraph"/>
        <w:numPr>
          <w:ilvl w:val="0"/>
          <w:numId w:val="3"/>
        </w:numPr>
        <w:spacing w:line="240" w:lineRule="auto"/>
        <w:jc w:val="both"/>
        <w:rPr>
          <w:rFonts w:ascii="Arial" w:eastAsiaTheme="minorEastAsia" w:hAnsi="Arial" w:cs="Arial"/>
          <w:sz w:val="20"/>
          <w:szCs w:val="20"/>
        </w:rPr>
      </w:pPr>
      <w:r w:rsidRPr="00EE76CD">
        <w:rPr>
          <w:rFonts w:ascii="Arial" w:hAnsi="Arial" w:cs="Arial"/>
          <w:sz w:val="20"/>
          <w:szCs w:val="20"/>
        </w:rPr>
        <w:t xml:space="preserve">Mallikarjun, M., </w:t>
      </w:r>
      <w:proofErr w:type="spellStart"/>
      <w:r w:rsidRPr="00EE76CD">
        <w:rPr>
          <w:rFonts w:ascii="Arial" w:hAnsi="Arial" w:cs="Arial"/>
          <w:sz w:val="20"/>
          <w:szCs w:val="20"/>
        </w:rPr>
        <w:t>Channabasavanna</w:t>
      </w:r>
      <w:proofErr w:type="spellEnd"/>
      <w:r w:rsidRPr="00EE76CD">
        <w:rPr>
          <w:rFonts w:ascii="Arial" w:hAnsi="Arial" w:cs="Arial"/>
          <w:sz w:val="20"/>
          <w:szCs w:val="20"/>
        </w:rPr>
        <w:t>, A. S., Sudheendra Saunshi, S. S., &amp; Shrinivas, C. S. (2014). Effect of herbicides on weed control and yield of wet seeded rice (</w:t>
      </w:r>
      <w:r w:rsidRPr="00EE76CD">
        <w:rPr>
          <w:rFonts w:ascii="Arial" w:hAnsi="Arial" w:cs="Arial"/>
          <w:i/>
          <w:iCs/>
          <w:sz w:val="20"/>
          <w:szCs w:val="20"/>
        </w:rPr>
        <w:t>Oryza sativa</w:t>
      </w:r>
      <w:r w:rsidRPr="00EE76CD">
        <w:rPr>
          <w:rFonts w:ascii="Arial" w:hAnsi="Arial" w:cs="Arial"/>
          <w:sz w:val="20"/>
          <w:szCs w:val="20"/>
        </w:rPr>
        <w:t xml:space="preserve"> L.).</w:t>
      </w:r>
    </w:p>
    <w:p w14:paraId="5976A1D4" w14:textId="77777777" w:rsidR="00EE76CD" w:rsidRPr="00EE76CD" w:rsidRDefault="00EE76CD"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 xml:space="preserve">Sharmitha, K., </w:t>
      </w:r>
      <w:proofErr w:type="spellStart"/>
      <w:r w:rsidRPr="00EE76CD">
        <w:rPr>
          <w:rFonts w:ascii="Arial" w:hAnsi="Arial" w:cs="Arial"/>
          <w:sz w:val="20"/>
          <w:szCs w:val="20"/>
        </w:rPr>
        <w:t>Arivukkarasu</w:t>
      </w:r>
      <w:proofErr w:type="spellEnd"/>
      <w:r w:rsidRPr="00EE76CD">
        <w:rPr>
          <w:rFonts w:ascii="Arial" w:hAnsi="Arial" w:cs="Arial"/>
          <w:sz w:val="20"/>
          <w:szCs w:val="20"/>
        </w:rPr>
        <w:t>, K., Sundari, A., &amp; Muthukumaran, N. (2023). Efficacy of herbicides on weed dynamics, growth and yield attributes of irrigated black gram [</w:t>
      </w:r>
      <w:r w:rsidRPr="00EE76CD">
        <w:rPr>
          <w:rFonts w:ascii="Arial" w:hAnsi="Arial" w:cs="Arial"/>
          <w:i/>
          <w:iCs/>
          <w:sz w:val="20"/>
          <w:szCs w:val="20"/>
        </w:rPr>
        <w:t>Vigna mungo</w:t>
      </w:r>
      <w:r w:rsidRPr="00EE76CD">
        <w:rPr>
          <w:rFonts w:ascii="Arial" w:hAnsi="Arial" w:cs="Arial"/>
          <w:sz w:val="20"/>
          <w:szCs w:val="20"/>
        </w:rPr>
        <w:t xml:space="preserve"> (L.) Hepper]. Indian Journal of Applied and Pure Bio, </w:t>
      </w:r>
      <w:r w:rsidRPr="00EE76CD">
        <w:rPr>
          <w:rFonts w:ascii="Arial" w:hAnsi="Arial" w:cs="Arial"/>
          <w:i/>
          <w:iCs/>
          <w:sz w:val="20"/>
          <w:szCs w:val="20"/>
        </w:rPr>
        <w:t>38</w:t>
      </w:r>
      <w:r w:rsidRPr="00EE76CD">
        <w:rPr>
          <w:rFonts w:ascii="Arial" w:hAnsi="Arial" w:cs="Arial"/>
          <w:sz w:val="20"/>
          <w:szCs w:val="20"/>
        </w:rPr>
        <w:t>(1), 26-30.</w:t>
      </w:r>
    </w:p>
    <w:p w14:paraId="68557E7E" w14:textId="77777777" w:rsidR="00EE76CD" w:rsidRPr="00EE76CD" w:rsidRDefault="00EE76CD"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 xml:space="preserve">Sreedevi, B., Sandhyarani, A., Srinivas, D., </w:t>
      </w:r>
      <w:proofErr w:type="spellStart"/>
      <w:r w:rsidRPr="00EE76CD">
        <w:rPr>
          <w:rFonts w:ascii="Arial" w:hAnsi="Arial" w:cs="Arial"/>
          <w:sz w:val="20"/>
          <w:szCs w:val="20"/>
        </w:rPr>
        <w:t>Venkatanna</w:t>
      </w:r>
      <w:proofErr w:type="spellEnd"/>
      <w:r w:rsidRPr="00EE76CD">
        <w:rPr>
          <w:rFonts w:ascii="Arial" w:hAnsi="Arial" w:cs="Arial"/>
          <w:sz w:val="20"/>
          <w:szCs w:val="20"/>
        </w:rPr>
        <w:t xml:space="preserve">, B., </w:t>
      </w:r>
      <w:proofErr w:type="spellStart"/>
      <w:r w:rsidRPr="00EE76CD">
        <w:rPr>
          <w:rFonts w:ascii="Arial" w:hAnsi="Arial" w:cs="Arial"/>
          <w:sz w:val="20"/>
          <w:szCs w:val="20"/>
        </w:rPr>
        <w:t>Vinaykartheek</w:t>
      </w:r>
      <w:proofErr w:type="spellEnd"/>
      <w:r w:rsidRPr="00EE76CD">
        <w:rPr>
          <w:rFonts w:ascii="Arial" w:hAnsi="Arial" w:cs="Arial"/>
          <w:sz w:val="20"/>
          <w:szCs w:val="20"/>
        </w:rPr>
        <w:t>, A., &amp; Mahender, K. R. (2016). Chemical weed control in aerobic rice. Journal of Rice Research, </w:t>
      </w:r>
      <w:r w:rsidRPr="00EE76CD">
        <w:rPr>
          <w:rFonts w:ascii="Arial" w:hAnsi="Arial" w:cs="Arial"/>
          <w:i/>
          <w:iCs/>
          <w:sz w:val="20"/>
          <w:szCs w:val="20"/>
        </w:rPr>
        <w:t>9</w:t>
      </w:r>
      <w:r w:rsidRPr="00EE76CD">
        <w:rPr>
          <w:rFonts w:ascii="Arial" w:hAnsi="Arial" w:cs="Arial"/>
          <w:sz w:val="20"/>
          <w:szCs w:val="20"/>
        </w:rPr>
        <w:t>(2), 28-31.</w:t>
      </w:r>
    </w:p>
    <w:p w14:paraId="47257D94" w14:textId="77777777" w:rsidR="00EE76CD" w:rsidRDefault="00EE76CD" w:rsidP="00EE76CD">
      <w:pPr>
        <w:pStyle w:val="EndNoteBibliography"/>
        <w:numPr>
          <w:ilvl w:val="0"/>
          <w:numId w:val="3"/>
        </w:numPr>
        <w:spacing w:after="0"/>
        <w:jc w:val="both"/>
        <w:rPr>
          <w:rFonts w:ascii="Arial" w:hAnsi="Arial" w:cs="Arial"/>
          <w:noProof w:val="0"/>
          <w:sz w:val="20"/>
          <w:szCs w:val="20"/>
          <w:lang w:val="en-IN"/>
          <w14:ligatures w14:val="standardContextual"/>
        </w:rPr>
      </w:pPr>
      <w:r w:rsidRPr="00216BE6">
        <w:rPr>
          <w:rFonts w:ascii="Arial" w:hAnsi="Arial" w:cs="Arial"/>
          <w:noProof w:val="0"/>
          <w:sz w:val="20"/>
          <w:szCs w:val="20"/>
          <w:lang w:val="en-IN"/>
          <w14:ligatures w14:val="standardContextual"/>
        </w:rPr>
        <w:t>Kaur, S., &amp; Singh, S. (2015). Bio-efficacy of different herbicides for weed control in direct-seeded rice. Indian Journal of Weed Science, 47(2), 106-109.</w:t>
      </w:r>
    </w:p>
    <w:p w14:paraId="78C97404" w14:textId="77777777" w:rsidR="00EE76CD" w:rsidRPr="00216BE6" w:rsidRDefault="00EE76CD" w:rsidP="00EE76CD">
      <w:pPr>
        <w:pStyle w:val="EndNoteBibliography"/>
        <w:spacing w:after="0"/>
        <w:ind w:left="360"/>
        <w:jc w:val="both"/>
        <w:rPr>
          <w:rFonts w:ascii="Arial" w:hAnsi="Arial" w:cs="Arial"/>
          <w:sz w:val="20"/>
          <w:szCs w:val="20"/>
          <w:lang w:val="en-IN"/>
        </w:rPr>
      </w:pPr>
    </w:p>
    <w:p w14:paraId="2305AAFE" w14:textId="77777777" w:rsidR="00EE76CD" w:rsidRPr="00EE76CD" w:rsidRDefault="00EE76CD" w:rsidP="00EE76CD">
      <w:pPr>
        <w:pStyle w:val="ListParagraph"/>
        <w:numPr>
          <w:ilvl w:val="0"/>
          <w:numId w:val="3"/>
        </w:numPr>
        <w:spacing w:line="240" w:lineRule="auto"/>
        <w:jc w:val="both"/>
        <w:rPr>
          <w:rFonts w:ascii="Arial" w:eastAsia="Times New Roman" w:hAnsi="Arial" w:cs="Arial"/>
          <w:kern w:val="0"/>
          <w:sz w:val="20"/>
          <w:szCs w:val="20"/>
          <w14:ligatures w14:val="none"/>
        </w:rPr>
      </w:pPr>
      <w:proofErr w:type="spellStart"/>
      <w:r w:rsidRPr="00EE76CD">
        <w:rPr>
          <w:rFonts w:ascii="Arial" w:eastAsia="Times New Roman" w:hAnsi="Arial" w:cs="Arial"/>
          <w:kern w:val="0"/>
          <w:sz w:val="20"/>
          <w:szCs w:val="20"/>
          <w14:ligatures w14:val="none"/>
        </w:rPr>
        <w:t>Bagyalakshmi</w:t>
      </w:r>
      <w:proofErr w:type="spellEnd"/>
      <w:r w:rsidRPr="00EE76CD">
        <w:rPr>
          <w:rFonts w:ascii="Arial" w:eastAsia="Times New Roman" w:hAnsi="Arial" w:cs="Arial"/>
          <w:kern w:val="0"/>
          <w:sz w:val="20"/>
          <w:szCs w:val="20"/>
          <w14:ligatures w14:val="none"/>
        </w:rPr>
        <w:t xml:space="preserve">, G. (2017). Evaluation of integrated weed management practices in wet seeded rice+ </w:t>
      </w:r>
      <w:proofErr w:type="spellStart"/>
      <w:r w:rsidRPr="00EE76CD">
        <w:rPr>
          <w:rFonts w:ascii="Arial" w:eastAsia="Times New Roman" w:hAnsi="Arial" w:cs="Arial"/>
          <w:kern w:val="0"/>
          <w:sz w:val="20"/>
          <w:szCs w:val="20"/>
          <w14:ligatures w14:val="none"/>
        </w:rPr>
        <w:t>Dhaincha</w:t>
      </w:r>
      <w:proofErr w:type="spellEnd"/>
      <w:r w:rsidRPr="00EE76CD">
        <w:rPr>
          <w:rFonts w:ascii="Arial" w:eastAsia="Times New Roman" w:hAnsi="Arial" w:cs="Arial"/>
          <w:kern w:val="0"/>
          <w:sz w:val="20"/>
          <w:szCs w:val="20"/>
          <w14:ligatures w14:val="none"/>
        </w:rPr>
        <w:t xml:space="preserve"> dual cropping. M. Sc.(Ag.) Thesis. Agricultural college and research institute, Coimbatore, Tamil Nadu.</w:t>
      </w:r>
    </w:p>
    <w:p w14:paraId="4EE32D33" w14:textId="77777777" w:rsidR="00EE76CD" w:rsidRPr="00EE76CD" w:rsidRDefault="00EE76CD"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 xml:space="preserve">Meena, V., Kaushik, M. K., </w:t>
      </w:r>
      <w:proofErr w:type="spellStart"/>
      <w:r w:rsidRPr="00EE76CD">
        <w:rPr>
          <w:rFonts w:ascii="Arial" w:hAnsi="Arial" w:cs="Arial"/>
          <w:sz w:val="20"/>
          <w:szCs w:val="20"/>
        </w:rPr>
        <w:t>Dotaniya</w:t>
      </w:r>
      <w:proofErr w:type="spellEnd"/>
      <w:r w:rsidRPr="00EE76CD">
        <w:rPr>
          <w:rFonts w:ascii="Arial" w:hAnsi="Arial" w:cs="Arial"/>
          <w:sz w:val="20"/>
          <w:szCs w:val="20"/>
        </w:rPr>
        <w:t xml:space="preserve">, M. L., Meena, B. P., &amp; Das, H. (2019). Bio-efficacy of </w:t>
      </w:r>
      <w:proofErr w:type="spellStart"/>
      <w:r w:rsidRPr="00EE76CD">
        <w:rPr>
          <w:rFonts w:ascii="Arial" w:hAnsi="Arial" w:cs="Arial"/>
          <w:sz w:val="20"/>
          <w:szCs w:val="20"/>
        </w:rPr>
        <w:t>readi</w:t>
      </w:r>
      <w:proofErr w:type="spellEnd"/>
      <w:r w:rsidRPr="00EE76CD">
        <w:rPr>
          <w:rFonts w:ascii="Arial" w:hAnsi="Arial" w:cs="Arial"/>
          <w:sz w:val="20"/>
          <w:szCs w:val="20"/>
        </w:rPr>
        <w:t>-mix herbicides on weeds and productivity in late-sown wheat. Indian Journal of Weed Science, 51(4), 344-351.</w:t>
      </w:r>
    </w:p>
    <w:p w14:paraId="002BA7C1" w14:textId="77777777" w:rsidR="00EE76CD" w:rsidRPr="00216BE6" w:rsidRDefault="00EE76CD" w:rsidP="00EE76CD">
      <w:pPr>
        <w:pStyle w:val="BodyText"/>
        <w:numPr>
          <w:ilvl w:val="0"/>
          <w:numId w:val="3"/>
        </w:numPr>
        <w:spacing w:before="95"/>
        <w:ind w:right="352"/>
        <w:jc w:val="both"/>
        <w:rPr>
          <w:rFonts w:ascii="Arial" w:hAnsi="Arial" w:cs="Arial"/>
          <w:sz w:val="20"/>
          <w:szCs w:val="20"/>
        </w:rPr>
      </w:pPr>
      <w:proofErr w:type="spellStart"/>
      <w:r w:rsidRPr="00216BE6">
        <w:rPr>
          <w:rFonts w:ascii="Arial" w:eastAsiaTheme="minorHAnsi" w:hAnsi="Arial" w:cs="Arial"/>
          <w:kern w:val="2"/>
          <w:sz w:val="20"/>
          <w:szCs w:val="20"/>
          <w:lang w:val="en-IN"/>
          <w14:ligatures w14:val="standardContextual"/>
        </w:rPr>
        <w:t>Arthanari</w:t>
      </w:r>
      <w:proofErr w:type="spellEnd"/>
      <w:r w:rsidRPr="00216BE6">
        <w:rPr>
          <w:rFonts w:ascii="Arial" w:eastAsiaTheme="minorHAnsi" w:hAnsi="Arial" w:cs="Arial"/>
          <w:kern w:val="2"/>
          <w:sz w:val="20"/>
          <w:szCs w:val="20"/>
          <w:lang w:val="en-IN"/>
          <w14:ligatures w14:val="standardContextual"/>
        </w:rPr>
        <w:t xml:space="preserve">, P. M. (2023). Weed management with </w:t>
      </w:r>
      <w:proofErr w:type="spellStart"/>
      <w:r w:rsidRPr="00216BE6">
        <w:rPr>
          <w:rFonts w:ascii="Arial" w:eastAsiaTheme="minorHAnsi" w:hAnsi="Arial" w:cs="Arial"/>
          <w:kern w:val="2"/>
          <w:sz w:val="20"/>
          <w:szCs w:val="20"/>
          <w:lang w:val="en-IN"/>
          <w14:ligatures w14:val="standardContextual"/>
        </w:rPr>
        <w:t>Triafamone</w:t>
      </w:r>
      <w:proofErr w:type="spellEnd"/>
      <w:r w:rsidRPr="00216BE6">
        <w:rPr>
          <w:rFonts w:ascii="Arial" w:eastAsiaTheme="minorHAnsi" w:hAnsi="Arial" w:cs="Arial"/>
          <w:kern w:val="2"/>
          <w:sz w:val="20"/>
          <w:szCs w:val="20"/>
          <w:lang w:val="en-IN"/>
          <w14:ligatures w14:val="standardContextual"/>
        </w:rPr>
        <w:t xml:space="preserve"> herbicide in transplanted rice ecosystem. Emirates Journal of Food and Agriculture, 35, 351-356.</w:t>
      </w:r>
    </w:p>
    <w:p w14:paraId="00346813" w14:textId="77777777" w:rsidR="00EE76CD" w:rsidRPr="00EE76CD" w:rsidRDefault="00EE76CD" w:rsidP="00EE76CD">
      <w:pPr>
        <w:pStyle w:val="ListParagraph"/>
        <w:numPr>
          <w:ilvl w:val="0"/>
          <w:numId w:val="3"/>
        </w:numPr>
        <w:spacing w:line="240" w:lineRule="auto"/>
        <w:jc w:val="both"/>
        <w:rPr>
          <w:rFonts w:ascii="Arial" w:hAnsi="Arial" w:cs="Arial"/>
          <w:sz w:val="20"/>
          <w:szCs w:val="20"/>
        </w:rPr>
      </w:pPr>
      <w:r w:rsidRPr="00EE76CD">
        <w:rPr>
          <w:rFonts w:ascii="Arial" w:hAnsi="Arial" w:cs="Arial"/>
          <w:sz w:val="20"/>
          <w:szCs w:val="20"/>
        </w:rPr>
        <w:t xml:space="preserve">Bhat, M. A., Hussain, A., Ganai, M. A., Jehangir, I. A., &amp; Teli, N. A. (2017). </w:t>
      </w:r>
      <w:proofErr w:type="spellStart"/>
      <w:r w:rsidRPr="00EE76CD">
        <w:rPr>
          <w:rFonts w:ascii="Arial" w:hAnsi="Arial" w:cs="Arial"/>
          <w:sz w:val="20"/>
          <w:szCs w:val="20"/>
        </w:rPr>
        <w:t>Bioefficacy</w:t>
      </w:r>
      <w:proofErr w:type="spellEnd"/>
      <w:r w:rsidRPr="00EE76CD">
        <w:rPr>
          <w:rFonts w:ascii="Arial" w:hAnsi="Arial" w:cs="Arial"/>
          <w:sz w:val="20"/>
          <w:szCs w:val="20"/>
        </w:rPr>
        <w:t xml:space="preserve"> of </w:t>
      </w:r>
      <w:proofErr w:type="spellStart"/>
      <w:r w:rsidRPr="00EE76CD">
        <w:rPr>
          <w:rFonts w:ascii="Arial" w:hAnsi="Arial" w:cs="Arial"/>
          <w:sz w:val="20"/>
          <w:szCs w:val="20"/>
        </w:rPr>
        <w:t>pyrazosulfuron</w:t>
      </w:r>
      <w:proofErr w:type="spellEnd"/>
      <w:r w:rsidRPr="00EE76CD">
        <w:rPr>
          <w:rFonts w:ascii="Arial" w:hAnsi="Arial" w:cs="Arial"/>
          <w:sz w:val="20"/>
          <w:szCs w:val="20"/>
        </w:rPr>
        <w:t xml:space="preserve"> and </w:t>
      </w:r>
      <w:proofErr w:type="spellStart"/>
      <w:r w:rsidRPr="00EE76CD">
        <w:rPr>
          <w:rFonts w:ascii="Arial" w:hAnsi="Arial" w:cs="Arial"/>
          <w:sz w:val="20"/>
          <w:szCs w:val="20"/>
        </w:rPr>
        <w:t>bensulfuron</w:t>
      </w:r>
      <w:proofErr w:type="spellEnd"/>
      <w:r w:rsidRPr="00EE76CD">
        <w:rPr>
          <w:rFonts w:ascii="Arial" w:hAnsi="Arial" w:cs="Arial"/>
          <w:sz w:val="20"/>
          <w:szCs w:val="20"/>
        </w:rPr>
        <w:t xml:space="preserve"> methyl in combination with pretilachlor against weeds in transplanted rice (</w:t>
      </w:r>
      <w:r w:rsidRPr="00EE76CD">
        <w:rPr>
          <w:rFonts w:ascii="Arial" w:hAnsi="Arial" w:cs="Arial"/>
          <w:i/>
          <w:iCs/>
          <w:sz w:val="20"/>
          <w:szCs w:val="20"/>
        </w:rPr>
        <w:t>Oryza sativa</w:t>
      </w:r>
      <w:r w:rsidRPr="00EE76CD">
        <w:rPr>
          <w:rFonts w:ascii="Arial" w:hAnsi="Arial" w:cs="Arial"/>
          <w:sz w:val="20"/>
          <w:szCs w:val="20"/>
        </w:rPr>
        <w:t xml:space="preserve"> L.) under temperate conditions of Kashmir.</w:t>
      </w:r>
    </w:p>
    <w:p w14:paraId="47F9B0A2" w14:textId="77777777" w:rsidR="00EE76CD" w:rsidRPr="00EE76CD" w:rsidRDefault="00EE76CD" w:rsidP="00EE76CD">
      <w:pPr>
        <w:pStyle w:val="ListParagraph"/>
        <w:numPr>
          <w:ilvl w:val="0"/>
          <w:numId w:val="3"/>
        </w:numPr>
        <w:spacing w:after="240" w:line="240" w:lineRule="auto"/>
        <w:jc w:val="both"/>
        <w:rPr>
          <w:rFonts w:ascii="Arial" w:hAnsi="Arial" w:cs="Arial"/>
          <w:sz w:val="20"/>
          <w:szCs w:val="20"/>
        </w:rPr>
      </w:pPr>
      <w:r w:rsidRPr="00EE76CD">
        <w:rPr>
          <w:rFonts w:ascii="Arial" w:eastAsia="Times New Roman" w:hAnsi="Arial" w:cs="Arial"/>
          <w:kern w:val="0"/>
          <w:sz w:val="20"/>
          <w:szCs w:val="20"/>
          <w14:ligatures w14:val="none"/>
        </w:rPr>
        <w:t>Haromuchudi, S. (2017). Weed management in direct seeded rice through brown manuring. M. Sc.(Ag.) Thesis. University of Agricultural Sciences, Dharwad.</w:t>
      </w:r>
    </w:p>
    <w:p w14:paraId="0FEA6FCD" w14:textId="77777777" w:rsidR="00EE76CD" w:rsidRPr="00216BE6" w:rsidRDefault="00EE76CD" w:rsidP="00EE76CD">
      <w:pPr>
        <w:spacing w:line="240" w:lineRule="auto"/>
        <w:ind w:left="360"/>
        <w:jc w:val="both"/>
        <w:rPr>
          <w:rFonts w:ascii="Arial" w:hAnsi="Arial" w:cs="Arial"/>
          <w:sz w:val="20"/>
          <w:szCs w:val="20"/>
        </w:rPr>
      </w:pPr>
    </w:p>
    <w:p w14:paraId="1325F805" w14:textId="77777777" w:rsidR="004D335F" w:rsidRDefault="004D335F" w:rsidP="00DA5F97">
      <w:pPr>
        <w:spacing w:line="360" w:lineRule="auto"/>
        <w:jc w:val="both"/>
        <w:rPr>
          <w:rFonts w:ascii="Arial" w:eastAsia="Times New Roman" w:hAnsi="Arial" w:cs="Arial"/>
          <w:b/>
          <w:bCs/>
          <w:kern w:val="0"/>
          <w:sz w:val="20"/>
          <w:szCs w:val="20"/>
          <w:lang w:eastAsia="en-IN"/>
          <w14:ligatures w14:val="none"/>
        </w:rPr>
      </w:pPr>
    </w:p>
    <w:p w14:paraId="526382D1" w14:textId="77777777" w:rsidR="005B1826" w:rsidRDefault="005B1826" w:rsidP="00DA5F97">
      <w:pPr>
        <w:pStyle w:val="ListParagraph"/>
        <w:spacing w:line="360" w:lineRule="auto"/>
        <w:ind w:hanging="720"/>
        <w:jc w:val="both"/>
        <w:rPr>
          <w:rFonts w:ascii="Times New Roman" w:hAnsi="Times New Roman" w:cs="Times New Roman"/>
          <w:sz w:val="24"/>
          <w:szCs w:val="24"/>
        </w:rPr>
      </w:pPr>
    </w:p>
    <w:p w14:paraId="0F891ADB" w14:textId="77777777" w:rsidR="00336361" w:rsidRDefault="00336361" w:rsidP="00D94995">
      <w:pPr>
        <w:rPr>
          <w:rFonts w:ascii="Arial" w:hAnsi="Arial" w:cs="Arial"/>
          <w:b/>
          <w:bCs/>
          <w:sz w:val="20"/>
          <w:szCs w:val="20"/>
        </w:rPr>
        <w:sectPr w:rsidR="003363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64D0B80" w14:textId="1DB53172" w:rsidR="00017B88" w:rsidRDefault="00336361" w:rsidP="00336361">
      <w:pPr>
        <w:jc w:val="center"/>
        <w:rPr>
          <w:rFonts w:ascii="Arial" w:hAnsi="Arial" w:cs="Arial"/>
          <w:b/>
          <w:bCs/>
          <w:sz w:val="20"/>
          <w:szCs w:val="20"/>
        </w:rPr>
      </w:pPr>
      <w:r w:rsidRPr="00336361">
        <w:rPr>
          <w:rFonts w:ascii="Arial" w:hAnsi="Arial" w:cs="Arial"/>
          <w:b/>
          <w:bCs/>
          <w:sz w:val="20"/>
          <w:szCs w:val="20"/>
        </w:rPr>
        <w:lastRenderedPageBreak/>
        <w:t>Table 1. Treatment details</w:t>
      </w:r>
    </w:p>
    <w:p w14:paraId="636F6B77" w14:textId="77777777" w:rsidR="00336361" w:rsidRDefault="00336361" w:rsidP="00336361">
      <w:pPr>
        <w:spacing w:after="7"/>
        <w:ind w:left="34"/>
      </w:pPr>
      <w:r>
        <w:rPr>
          <w:rFonts w:ascii="Calibri" w:eastAsia="Calibri" w:hAnsi="Calibri" w:cs="Calibri"/>
          <w:noProof/>
        </w:rPr>
        <mc:AlternateContent>
          <mc:Choice Requires="wpg">
            <w:drawing>
              <wp:inline distT="0" distB="0" distL="0" distR="0" wp14:anchorId="3CD48ACE" wp14:editId="40DDD5A8">
                <wp:extent cx="8819134" cy="6096"/>
                <wp:effectExtent l="0" t="0" r="0" b="0"/>
                <wp:docPr id="30354" name="Group 30354"/>
                <wp:cNvGraphicFramePr/>
                <a:graphic xmlns:a="http://schemas.openxmlformats.org/drawingml/2006/main">
                  <a:graphicData uri="http://schemas.microsoft.com/office/word/2010/wordprocessingGroup">
                    <wpg:wgp>
                      <wpg:cNvGrpSpPr/>
                      <wpg:grpSpPr>
                        <a:xfrm>
                          <a:off x="0" y="0"/>
                          <a:ext cx="8819134" cy="6096"/>
                          <a:chOff x="0" y="0"/>
                          <a:chExt cx="8819134" cy="6096"/>
                        </a:xfrm>
                      </wpg:grpSpPr>
                      <wps:wsp>
                        <wps:cNvPr id="34717" name="Shape 34717"/>
                        <wps:cNvSpPr/>
                        <wps:spPr>
                          <a:xfrm>
                            <a:off x="0" y="0"/>
                            <a:ext cx="8819134" cy="9144"/>
                          </a:xfrm>
                          <a:custGeom>
                            <a:avLst/>
                            <a:gdLst/>
                            <a:ahLst/>
                            <a:cxnLst/>
                            <a:rect l="0" t="0" r="0" b="0"/>
                            <a:pathLst>
                              <a:path w="8819134" h="9144">
                                <a:moveTo>
                                  <a:pt x="0" y="0"/>
                                </a:moveTo>
                                <a:lnTo>
                                  <a:pt x="8819134" y="0"/>
                                </a:lnTo>
                                <a:lnTo>
                                  <a:pt x="881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E3D2C24" id="Group 30354" o:spid="_x0000_s1026" style="width:694.4pt;height:.5pt;mso-position-horizontal-relative:char;mso-position-vertical-relative:line" coordsize="88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">
                <v:shape id="Shape 34717" o:spid="_x0000_s1027" style="position:absolute;width:88191;height:91;visibility:visible;mso-wrap-style:square;v-text-anchor:top" coordsize="8819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" path="m,l8819134,r,9144l,9144,,e" fillcolor="black" stroked="f" strokeweight="0">
                  <v:stroke miterlimit="83231f" joinstyle="miter"/>
                  <v:path arrowok="t" textboxrect="0,0,8819134,9144"/>
                </v:shape>
                <w10:anchorlock/>
              </v:group>
            </w:pict>
          </mc:Fallback>
        </mc:AlternateContent>
      </w:r>
    </w:p>
    <w:p w14:paraId="447A99FC" w14:textId="6F8FDCCC" w:rsidR="00336361" w:rsidRPr="0080399E" w:rsidRDefault="00480C05" w:rsidP="00336361">
      <w:pPr>
        <w:pStyle w:val="Heading3"/>
        <w:ind w:left="152"/>
        <w:rPr>
          <w:rFonts w:ascii="Arial" w:hAnsi="Arial" w:cs="Arial"/>
          <w:b/>
          <w:bCs/>
          <w:color w:val="auto"/>
          <w:sz w:val="20"/>
          <w:szCs w:val="20"/>
        </w:rPr>
      </w:pPr>
      <w:r w:rsidRPr="0080399E">
        <w:rPr>
          <w:rFonts w:ascii="Arial" w:hAnsi="Arial" w:cs="Arial"/>
          <w:b/>
          <w:bCs/>
          <w:color w:val="auto"/>
          <w:sz w:val="20"/>
          <w:szCs w:val="20"/>
        </w:rPr>
        <w:t>Treatments</w:t>
      </w:r>
    </w:p>
    <w:tbl>
      <w:tblPr>
        <w:tblStyle w:val="TableGrid"/>
        <w:tblW w:w="13903" w:type="dxa"/>
        <w:tblInd w:w="19" w:type="dxa"/>
        <w:tblCellMar>
          <w:top w:w="3" w:type="dxa"/>
          <w:right w:w="115" w:type="dxa"/>
        </w:tblCellMar>
        <w:tblLook w:val="04A0" w:firstRow="1" w:lastRow="0" w:firstColumn="1" w:lastColumn="0" w:noHBand="0" w:noVBand="1"/>
      </w:tblPr>
      <w:tblGrid>
        <w:gridCol w:w="836"/>
        <w:gridCol w:w="13067"/>
      </w:tblGrid>
      <w:tr w:rsidR="00336361" w:rsidRPr="00336361" w14:paraId="68CBE230" w14:textId="77777777" w:rsidTr="00336361">
        <w:trPr>
          <w:trHeight w:val="238"/>
        </w:trPr>
        <w:tc>
          <w:tcPr>
            <w:tcW w:w="836" w:type="dxa"/>
            <w:tcBorders>
              <w:top w:val="single" w:sz="4" w:space="0" w:color="000000"/>
              <w:left w:val="nil"/>
              <w:bottom w:val="nil"/>
              <w:right w:val="nil"/>
            </w:tcBorders>
          </w:tcPr>
          <w:p w14:paraId="2E7225A6" w14:textId="68826B94"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1</w:t>
            </w:r>
          </w:p>
        </w:tc>
        <w:tc>
          <w:tcPr>
            <w:tcW w:w="13067" w:type="dxa"/>
            <w:tcBorders>
              <w:top w:val="single" w:sz="4" w:space="0" w:color="000000"/>
              <w:left w:val="nil"/>
              <w:bottom w:val="nil"/>
              <w:right w:val="nil"/>
            </w:tcBorders>
          </w:tcPr>
          <w:p w14:paraId="6C1B279F" w14:textId="02535923"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S-metolachlor @ 1.67L a.i./ha at 3 DAS</w:t>
            </w:r>
          </w:p>
        </w:tc>
      </w:tr>
      <w:tr w:rsidR="00336361" w:rsidRPr="00336361" w14:paraId="76BD4A99" w14:textId="77777777" w:rsidTr="00336361">
        <w:trPr>
          <w:trHeight w:val="230"/>
        </w:trPr>
        <w:tc>
          <w:tcPr>
            <w:tcW w:w="836" w:type="dxa"/>
            <w:tcBorders>
              <w:top w:val="nil"/>
              <w:left w:val="nil"/>
              <w:bottom w:val="nil"/>
              <w:right w:val="nil"/>
            </w:tcBorders>
          </w:tcPr>
          <w:p w14:paraId="70B14D23" w14:textId="5B73FE9E"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2</w:t>
            </w:r>
          </w:p>
        </w:tc>
        <w:tc>
          <w:tcPr>
            <w:tcW w:w="13067" w:type="dxa"/>
            <w:tcBorders>
              <w:top w:val="nil"/>
              <w:left w:val="nil"/>
              <w:bottom w:val="nil"/>
              <w:right w:val="nil"/>
            </w:tcBorders>
          </w:tcPr>
          <w:p w14:paraId="5CE921A9" w14:textId="4C32C718"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Butachlor @ 1000 g a.i./ha at 3 DAS</w:t>
            </w:r>
          </w:p>
        </w:tc>
      </w:tr>
      <w:tr w:rsidR="00336361" w:rsidRPr="00336361" w14:paraId="211F061C" w14:textId="77777777" w:rsidTr="00336361">
        <w:trPr>
          <w:trHeight w:val="229"/>
        </w:trPr>
        <w:tc>
          <w:tcPr>
            <w:tcW w:w="836" w:type="dxa"/>
            <w:tcBorders>
              <w:top w:val="nil"/>
              <w:left w:val="nil"/>
              <w:bottom w:val="nil"/>
              <w:right w:val="nil"/>
            </w:tcBorders>
          </w:tcPr>
          <w:p w14:paraId="56E3D999" w14:textId="3241EF63"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3</w:t>
            </w:r>
          </w:p>
        </w:tc>
        <w:tc>
          <w:tcPr>
            <w:tcW w:w="13067" w:type="dxa"/>
            <w:tcBorders>
              <w:top w:val="nil"/>
              <w:left w:val="nil"/>
              <w:bottom w:val="nil"/>
              <w:right w:val="nil"/>
            </w:tcBorders>
          </w:tcPr>
          <w:p w14:paraId="7E1FB2E5" w14:textId="760C4B33"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Pretilachlor @ 750g a.i./ha at 3 DAS</w:t>
            </w:r>
          </w:p>
        </w:tc>
      </w:tr>
      <w:tr w:rsidR="00336361" w:rsidRPr="00336361" w14:paraId="549BAD59" w14:textId="77777777" w:rsidTr="00336361">
        <w:trPr>
          <w:trHeight w:val="229"/>
        </w:trPr>
        <w:tc>
          <w:tcPr>
            <w:tcW w:w="836" w:type="dxa"/>
            <w:tcBorders>
              <w:top w:val="nil"/>
              <w:left w:val="nil"/>
              <w:bottom w:val="nil"/>
              <w:right w:val="nil"/>
            </w:tcBorders>
          </w:tcPr>
          <w:p w14:paraId="3E3A3105" w14:textId="59EB8191"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4</w:t>
            </w:r>
          </w:p>
        </w:tc>
        <w:tc>
          <w:tcPr>
            <w:tcW w:w="13067" w:type="dxa"/>
            <w:tcBorders>
              <w:top w:val="nil"/>
              <w:left w:val="nil"/>
              <w:bottom w:val="nil"/>
              <w:right w:val="nil"/>
            </w:tcBorders>
          </w:tcPr>
          <w:p w14:paraId="59776648" w14:textId="1FB3F767"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Pyroxasulfone @ 100g a.i./ha at 3 DAS</w:t>
            </w:r>
          </w:p>
        </w:tc>
      </w:tr>
      <w:tr w:rsidR="00336361" w:rsidRPr="00336361" w14:paraId="7CF88115" w14:textId="77777777" w:rsidTr="00336361">
        <w:trPr>
          <w:trHeight w:val="231"/>
        </w:trPr>
        <w:tc>
          <w:tcPr>
            <w:tcW w:w="836" w:type="dxa"/>
            <w:tcBorders>
              <w:top w:val="nil"/>
              <w:left w:val="nil"/>
              <w:bottom w:val="nil"/>
              <w:right w:val="nil"/>
            </w:tcBorders>
          </w:tcPr>
          <w:p w14:paraId="73561D53" w14:textId="520C8CC2"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5</w:t>
            </w:r>
          </w:p>
        </w:tc>
        <w:tc>
          <w:tcPr>
            <w:tcW w:w="13067" w:type="dxa"/>
            <w:tcBorders>
              <w:top w:val="nil"/>
              <w:left w:val="nil"/>
              <w:bottom w:val="nil"/>
              <w:right w:val="nil"/>
            </w:tcBorders>
          </w:tcPr>
          <w:p w14:paraId="49AFEBDE" w14:textId="5A031046"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PoE application of Clethodim @ 96g a.i./ha at 25 DAS</w:t>
            </w:r>
          </w:p>
        </w:tc>
      </w:tr>
      <w:tr w:rsidR="00336361" w:rsidRPr="00336361" w14:paraId="516D2084" w14:textId="77777777" w:rsidTr="00336361">
        <w:trPr>
          <w:trHeight w:val="230"/>
        </w:trPr>
        <w:tc>
          <w:tcPr>
            <w:tcW w:w="836" w:type="dxa"/>
            <w:tcBorders>
              <w:top w:val="nil"/>
              <w:left w:val="nil"/>
              <w:bottom w:val="nil"/>
              <w:right w:val="nil"/>
            </w:tcBorders>
          </w:tcPr>
          <w:p w14:paraId="647CEFDF" w14:textId="58773BBB"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6</w:t>
            </w:r>
          </w:p>
        </w:tc>
        <w:tc>
          <w:tcPr>
            <w:tcW w:w="13067" w:type="dxa"/>
            <w:tcBorders>
              <w:top w:val="nil"/>
              <w:left w:val="nil"/>
              <w:bottom w:val="nil"/>
              <w:right w:val="nil"/>
            </w:tcBorders>
          </w:tcPr>
          <w:p w14:paraId="280B37EC" w14:textId="153D848C"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PoE application of </w:t>
            </w:r>
            <w:r w:rsidRPr="00480C05">
              <w:rPr>
                <w:rFonts w:ascii="Arial" w:hAnsi="Arial" w:cs="Arial"/>
                <w:sz w:val="20"/>
                <w:szCs w:val="20"/>
              </w:rPr>
              <w:t>Metamifop @ 1000ml a.i./ha at 25 DAS</w:t>
            </w:r>
          </w:p>
        </w:tc>
      </w:tr>
      <w:tr w:rsidR="00336361" w:rsidRPr="00336361" w14:paraId="35238F9B" w14:textId="77777777" w:rsidTr="00336361">
        <w:trPr>
          <w:trHeight w:val="230"/>
        </w:trPr>
        <w:tc>
          <w:tcPr>
            <w:tcW w:w="836" w:type="dxa"/>
            <w:tcBorders>
              <w:top w:val="nil"/>
              <w:left w:val="nil"/>
              <w:bottom w:val="nil"/>
              <w:right w:val="nil"/>
            </w:tcBorders>
          </w:tcPr>
          <w:p w14:paraId="6285423D" w14:textId="0CDC4180"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7</w:t>
            </w:r>
          </w:p>
        </w:tc>
        <w:tc>
          <w:tcPr>
            <w:tcW w:w="13067" w:type="dxa"/>
            <w:tcBorders>
              <w:top w:val="nil"/>
              <w:left w:val="nil"/>
              <w:bottom w:val="nil"/>
              <w:right w:val="nil"/>
            </w:tcBorders>
          </w:tcPr>
          <w:p w14:paraId="2D4B19A5" w14:textId="3C43D075"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PoE application of Halosulfuron-methyl @ 70g a.i./ha at 25 DAS</w:t>
            </w:r>
          </w:p>
        </w:tc>
      </w:tr>
      <w:tr w:rsidR="00336361" w:rsidRPr="00336361" w14:paraId="646A8360" w14:textId="77777777" w:rsidTr="00336361">
        <w:trPr>
          <w:trHeight w:val="230"/>
        </w:trPr>
        <w:tc>
          <w:tcPr>
            <w:tcW w:w="836" w:type="dxa"/>
            <w:tcBorders>
              <w:top w:val="nil"/>
              <w:left w:val="nil"/>
              <w:bottom w:val="nil"/>
              <w:right w:val="nil"/>
            </w:tcBorders>
          </w:tcPr>
          <w:p w14:paraId="3048FDC8" w14:textId="64D41198"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8</w:t>
            </w:r>
          </w:p>
        </w:tc>
        <w:tc>
          <w:tcPr>
            <w:tcW w:w="13067" w:type="dxa"/>
            <w:tcBorders>
              <w:top w:val="nil"/>
              <w:left w:val="nil"/>
              <w:bottom w:val="nil"/>
              <w:right w:val="nil"/>
            </w:tcBorders>
          </w:tcPr>
          <w:p w14:paraId="7B3CBEA4" w14:textId="5CE398EE"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S-metolachlor @ 1.67L a.i./ha at 3 DAS + PoE application of Clethodim @ 96g a.i./ha at 25 DAS</w:t>
            </w:r>
          </w:p>
        </w:tc>
      </w:tr>
      <w:tr w:rsidR="00336361" w:rsidRPr="00336361" w14:paraId="5A1CCFE1" w14:textId="77777777" w:rsidTr="00336361">
        <w:trPr>
          <w:trHeight w:val="229"/>
        </w:trPr>
        <w:tc>
          <w:tcPr>
            <w:tcW w:w="836" w:type="dxa"/>
            <w:tcBorders>
              <w:top w:val="nil"/>
              <w:left w:val="nil"/>
              <w:bottom w:val="nil"/>
              <w:right w:val="nil"/>
            </w:tcBorders>
          </w:tcPr>
          <w:p w14:paraId="653EE5FF" w14:textId="2E3C415C"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9</w:t>
            </w:r>
          </w:p>
        </w:tc>
        <w:tc>
          <w:tcPr>
            <w:tcW w:w="13067" w:type="dxa"/>
            <w:tcBorders>
              <w:top w:val="nil"/>
              <w:left w:val="nil"/>
              <w:bottom w:val="nil"/>
              <w:right w:val="nil"/>
            </w:tcBorders>
          </w:tcPr>
          <w:p w14:paraId="390A4599" w14:textId="5B0CC86E"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Butachlor @ 1000 g a.i./ha at 3 DAS + PoE application of </w:t>
            </w:r>
            <w:r w:rsidRPr="00480C05">
              <w:rPr>
                <w:rFonts w:ascii="Arial" w:hAnsi="Arial" w:cs="Arial"/>
                <w:sz w:val="20"/>
                <w:szCs w:val="20"/>
              </w:rPr>
              <w:t>Metamifop @ 1000ml a.i./ha at 25 DAS</w:t>
            </w:r>
          </w:p>
        </w:tc>
      </w:tr>
      <w:tr w:rsidR="00336361" w:rsidRPr="00336361" w14:paraId="1ADA1E99" w14:textId="77777777" w:rsidTr="00336361">
        <w:trPr>
          <w:trHeight w:val="234"/>
        </w:trPr>
        <w:tc>
          <w:tcPr>
            <w:tcW w:w="836" w:type="dxa"/>
            <w:tcBorders>
              <w:top w:val="nil"/>
              <w:left w:val="nil"/>
              <w:bottom w:val="nil"/>
              <w:right w:val="nil"/>
            </w:tcBorders>
          </w:tcPr>
          <w:p w14:paraId="1E5FC7A7" w14:textId="2E14751A"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10</w:t>
            </w:r>
          </w:p>
        </w:tc>
        <w:tc>
          <w:tcPr>
            <w:tcW w:w="13067" w:type="dxa"/>
            <w:tcBorders>
              <w:top w:val="nil"/>
              <w:left w:val="nil"/>
              <w:bottom w:val="nil"/>
              <w:right w:val="nil"/>
            </w:tcBorders>
          </w:tcPr>
          <w:p w14:paraId="5B7B0E22" w14:textId="48350A2C"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PE application of Pretilachlor @ 750g a.i./ha at 3DAS</w:t>
            </w:r>
            <w:r w:rsidRPr="00480C05">
              <w:rPr>
                <w:rFonts w:ascii="Arial" w:hAnsi="Arial" w:cs="Arial"/>
                <w:sz w:val="20"/>
                <w:szCs w:val="20"/>
              </w:rPr>
              <w:t xml:space="preserve"> + </w:t>
            </w:r>
            <w:r w:rsidRPr="00480C05">
              <w:rPr>
                <w:rFonts w:ascii="Arial" w:hAnsi="Arial" w:cs="Arial"/>
                <w:sz w:val="20"/>
                <w:szCs w:val="20"/>
                <w:lang w:val="en-US"/>
              </w:rPr>
              <w:t>PoE application of Halosulfuron-methyl @ 70g a.i./ha at 25 DAS</w:t>
            </w:r>
          </w:p>
        </w:tc>
      </w:tr>
      <w:tr w:rsidR="00336361" w:rsidRPr="00336361" w14:paraId="369FC7B0" w14:textId="77777777" w:rsidTr="00336361">
        <w:trPr>
          <w:trHeight w:val="234"/>
        </w:trPr>
        <w:tc>
          <w:tcPr>
            <w:tcW w:w="836" w:type="dxa"/>
            <w:tcBorders>
              <w:top w:val="nil"/>
              <w:left w:val="nil"/>
              <w:bottom w:val="nil"/>
              <w:right w:val="nil"/>
            </w:tcBorders>
          </w:tcPr>
          <w:p w14:paraId="5082A5E3" w14:textId="5FA7F341" w:rsidR="00336361" w:rsidRPr="00480C05" w:rsidRDefault="00480C05" w:rsidP="0004127A">
            <w:pPr>
              <w:ind w:left="123"/>
              <w:rPr>
                <w:rFonts w:ascii="Arial" w:hAnsi="Arial" w:cs="Arial"/>
                <w:sz w:val="20"/>
                <w:szCs w:val="20"/>
                <w:vertAlign w:val="subscript"/>
              </w:rPr>
            </w:pPr>
            <w:r>
              <w:rPr>
                <w:rFonts w:ascii="Arial" w:hAnsi="Arial" w:cs="Arial"/>
                <w:sz w:val="20"/>
                <w:szCs w:val="20"/>
              </w:rPr>
              <w:t>T</w:t>
            </w:r>
            <w:r>
              <w:rPr>
                <w:rFonts w:ascii="Arial" w:hAnsi="Arial" w:cs="Arial"/>
                <w:sz w:val="20"/>
                <w:szCs w:val="20"/>
                <w:vertAlign w:val="subscript"/>
              </w:rPr>
              <w:t>11</w:t>
            </w:r>
          </w:p>
        </w:tc>
        <w:tc>
          <w:tcPr>
            <w:tcW w:w="13067" w:type="dxa"/>
            <w:tcBorders>
              <w:top w:val="nil"/>
              <w:left w:val="nil"/>
              <w:bottom w:val="nil"/>
              <w:right w:val="nil"/>
            </w:tcBorders>
          </w:tcPr>
          <w:p w14:paraId="3F22D706" w14:textId="6B79CB89" w:rsidR="00336361" w:rsidRPr="00336361" w:rsidRDefault="00480C05" w:rsidP="0004127A">
            <w:pPr>
              <w:rPr>
                <w:rFonts w:ascii="Arial" w:hAnsi="Arial" w:cs="Arial"/>
                <w:sz w:val="20"/>
                <w:szCs w:val="20"/>
              </w:rPr>
            </w:pPr>
            <w:r w:rsidRPr="00336361">
              <w:rPr>
                <w:rFonts w:ascii="Arial" w:hAnsi="Arial" w:cs="Arial"/>
                <w:sz w:val="20"/>
                <w:szCs w:val="20"/>
              </w:rPr>
              <w:t>Weed free check</w:t>
            </w:r>
          </w:p>
        </w:tc>
      </w:tr>
      <w:tr w:rsidR="00336361" w:rsidRPr="00336361" w14:paraId="7F87F6C5" w14:textId="77777777" w:rsidTr="00336361">
        <w:trPr>
          <w:trHeight w:val="234"/>
        </w:trPr>
        <w:tc>
          <w:tcPr>
            <w:tcW w:w="836" w:type="dxa"/>
            <w:tcBorders>
              <w:top w:val="nil"/>
              <w:left w:val="nil"/>
              <w:bottom w:val="single" w:sz="4" w:space="0" w:color="000000"/>
              <w:right w:val="nil"/>
            </w:tcBorders>
          </w:tcPr>
          <w:p w14:paraId="389E9663" w14:textId="38238D19" w:rsidR="00336361" w:rsidRPr="00480C05" w:rsidRDefault="00480C05" w:rsidP="0004127A">
            <w:pPr>
              <w:ind w:left="123"/>
              <w:rPr>
                <w:rFonts w:ascii="Arial" w:hAnsi="Arial" w:cs="Arial"/>
                <w:sz w:val="20"/>
                <w:szCs w:val="20"/>
              </w:rPr>
            </w:pPr>
            <w:r>
              <w:rPr>
                <w:rFonts w:ascii="Arial" w:hAnsi="Arial" w:cs="Arial"/>
                <w:sz w:val="20"/>
                <w:szCs w:val="20"/>
              </w:rPr>
              <w:t>T</w:t>
            </w:r>
            <w:r>
              <w:rPr>
                <w:rFonts w:ascii="Arial" w:hAnsi="Arial" w:cs="Arial"/>
                <w:sz w:val="20"/>
                <w:szCs w:val="20"/>
                <w:vertAlign w:val="subscript"/>
              </w:rPr>
              <w:t>12</w:t>
            </w:r>
          </w:p>
        </w:tc>
        <w:tc>
          <w:tcPr>
            <w:tcW w:w="13067" w:type="dxa"/>
            <w:tcBorders>
              <w:top w:val="nil"/>
              <w:left w:val="nil"/>
              <w:bottom w:val="single" w:sz="4" w:space="0" w:color="000000"/>
              <w:right w:val="nil"/>
            </w:tcBorders>
          </w:tcPr>
          <w:p w14:paraId="36FC1394" w14:textId="7CDB3632" w:rsidR="00336361" w:rsidRPr="00336361" w:rsidRDefault="00480C05" w:rsidP="0004127A">
            <w:pPr>
              <w:rPr>
                <w:rFonts w:ascii="Arial" w:hAnsi="Arial" w:cs="Arial"/>
                <w:sz w:val="20"/>
                <w:szCs w:val="20"/>
              </w:rPr>
            </w:pPr>
            <w:r w:rsidRPr="00336361">
              <w:rPr>
                <w:rFonts w:ascii="Arial" w:hAnsi="Arial" w:cs="Arial"/>
                <w:sz w:val="20"/>
                <w:szCs w:val="20"/>
              </w:rPr>
              <w:t>Unweeded control</w:t>
            </w:r>
          </w:p>
        </w:tc>
      </w:tr>
    </w:tbl>
    <w:p w14:paraId="0B94B84F" w14:textId="77777777" w:rsidR="00336361" w:rsidRDefault="00336361" w:rsidP="00336361">
      <w:pPr>
        <w:jc w:val="center"/>
        <w:rPr>
          <w:rFonts w:ascii="Arial" w:hAnsi="Arial" w:cs="Arial"/>
          <w:b/>
          <w:bCs/>
          <w:sz w:val="20"/>
          <w:szCs w:val="20"/>
        </w:rPr>
      </w:pPr>
    </w:p>
    <w:p w14:paraId="6C1138AE" w14:textId="77777777" w:rsidR="00336361" w:rsidRDefault="00336361" w:rsidP="00336361">
      <w:pPr>
        <w:jc w:val="center"/>
        <w:rPr>
          <w:rFonts w:ascii="Arial" w:hAnsi="Arial" w:cs="Arial"/>
          <w:b/>
          <w:bCs/>
          <w:sz w:val="20"/>
          <w:szCs w:val="20"/>
        </w:rPr>
      </w:pPr>
    </w:p>
    <w:p w14:paraId="5B3602CD" w14:textId="77777777" w:rsidR="006E2135" w:rsidRDefault="006E2135" w:rsidP="00336361">
      <w:pPr>
        <w:jc w:val="center"/>
        <w:rPr>
          <w:rFonts w:ascii="Arial" w:hAnsi="Arial" w:cs="Arial"/>
          <w:b/>
          <w:bCs/>
          <w:sz w:val="20"/>
          <w:szCs w:val="20"/>
        </w:rPr>
      </w:pPr>
    </w:p>
    <w:p w14:paraId="6EFB6DE4" w14:textId="77777777" w:rsidR="006E2135" w:rsidRDefault="006E2135" w:rsidP="00336361">
      <w:pPr>
        <w:jc w:val="center"/>
        <w:rPr>
          <w:rFonts w:ascii="Arial" w:hAnsi="Arial" w:cs="Arial"/>
          <w:b/>
          <w:bCs/>
          <w:sz w:val="20"/>
          <w:szCs w:val="20"/>
        </w:rPr>
      </w:pPr>
    </w:p>
    <w:p w14:paraId="11A51662" w14:textId="77777777" w:rsidR="006E2135" w:rsidRDefault="006E2135" w:rsidP="00336361">
      <w:pPr>
        <w:jc w:val="center"/>
        <w:rPr>
          <w:rFonts w:ascii="Arial" w:hAnsi="Arial" w:cs="Arial"/>
          <w:b/>
          <w:bCs/>
          <w:sz w:val="20"/>
          <w:szCs w:val="20"/>
        </w:rPr>
      </w:pPr>
    </w:p>
    <w:p w14:paraId="2B7FA334" w14:textId="77777777" w:rsidR="006E2135" w:rsidRDefault="006E2135" w:rsidP="00336361">
      <w:pPr>
        <w:jc w:val="center"/>
        <w:rPr>
          <w:rFonts w:ascii="Arial" w:hAnsi="Arial" w:cs="Arial"/>
          <w:b/>
          <w:bCs/>
          <w:sz w:val="20"/>
          <w:szCs w:val="20"/>
        </w:rPr>
      </w:pPr>
    </w:p>
    <w:p w14:paraId="01F8C1D3" w14:textId="77777777" w:rsidR="006E2135" w:rsidRDefault="006E2135" w:rsidP="00336361">
      <w:pPr>
        <w:jc w:val="center"/>
        <w:rPr>
          <w:rFonts w:ascii="Arial" w:hAnsi="Arial" w:cs="Arial"/>
          <w:b/>
          <w:bCs/>
          <w:sz w:val="20"/>
          <w:szCs w:val="20"/>
        </w:rPr>
      </w:pPr>
    </w:p>
    <w:p w14:paraId="403835C2" w14:textId="77777777" w:rsidR="006E2135" w:rsidRDefault="006E2135" w:rsidP="00336361">
      <w:pPr>
        <w:jc w:val="center"/>
        <w:rPr>
          <w:rFonts w:ascii="Arial" w:hAnsi="Arial" w:cs="Arial"/>
          <w:b/>
          <w:bCs/>
          <w:sz w:val="20"/>
          <w:szCs w:val="20"/>
        </w:rPr>
      </w:pPr>
    </w:p>
    <w:p w14:paraId="27ACD8F6" w14:textId="77777777" w:rsidR="006E2135" w:rsidRDefault="006E2135" w:rsidP="00336361">
      <w:pPr>
        <w:jc w:val="center"/>
        <w:rPr>
          <w:rFonts w:ascii="Arial" w:hAnsi="Arial" w:cs="Arial"/>
          <w:b/>
          <w:bCs/>
          <w:sz w:val="20"/>
          <w:szCs w:val="20"/>
        </w:rPr>
      </w:pPr>
    </w:p>
    <w:p w14:paraId="478D1526" w14:textId="77777777" w:rsidR="006E2135" w:rsidRDefault="006E2135" w:rsidP="00336361">
      <w:pPr>
        <w:jc w:val="center"/>
        <w:rPr>
          <w:rFonts w:ascii="Arial" w:hAnsi="Arial" w:cs="Arial"/>
          <w:b/>
          <w:bCs/>
          <w:sz w:val="20"/>
          <w:szCs w:val="20"/>
        </w:rPr>
      </w:pPr>
    </w:p>
    <w:p w14:paraId="34C470DA" w14:textId="77777777" w:rsidR="006E2135" w:rsidRDefault="006E2135" w:rsidP="00336361">
      <w:pPr>
        <w:jc w:val="center"/>
        <w:rPr>
          <w:rFonts w:ascii="Arial" w:hAnsi="Arial" w:cs="Arial"/>
          <w:b/>
          <w:bCs/>
          <w:sz w:val="20"/>
          <w:szCs w:val="20"/>
        </w:rPr>
      </w:pPr>
    </w:p>
    <w:p w14:paraId="41BA2683" w14:textId="77777777" w:rsidR="006E2135" w:rsidRDefault="006E2135" w:rsidP="00336361">
      <w:pPr>
        <w:jc w:val="center"/>
        <w:rPr>
          <w:rFonts w:ascii="Arial" w:hAnsi="Arial" w:cs="Arial"/>
          <w:b/>
          <w:bCs/>
          <w:sz w:val="20"/>
          <w:szCs w:val="20"/>
        </w:rPr>
      </w:pPr>
    </w:p>
    <w:p w14:paraId="4088A105" w14:textId="535F680F" w:rsidR="006E2135" w:rsidRDefault="006E2135" w:rsidP="006E2135">
      <w:pPr>
        <w:jc w:val="center"/>
        <w:rPr>
          <w:rFonts w:ascii="Arial" w:hAnsi="Arial" w:cs="Arial"/>
          <w:b/>
          <w:bCs/>
          <w:sz w:val="20"/>
          <w:szCs w:val="20"/>
        </w:rPr>
      </w:pPr>
      <w:r w:rsidRPr="00336361">
        <w:rPr>
          <w:rFonts w:ascii="Arial" w:hAnsi="Arial" w:cs="Arial"/>
          <w:b/>
          <w:bCs/>
          <w:sz w:val="20"/>
          <w:szCs w:val="20"/>
        </w:rPr>
        <w:lastRenderedPageBreak/>
        <w:t xml:space="preserve">Table </w:t>
      </w:r>
      <w:r>
        <w:rPr>
          <w:rFonts w:ascii="Arial" w:hAnsi="Arial" w:cs="Arial"/>
          <w:b/>
          <w:bCs/>
          <w:sz w:val="20"/>
          <w:szCs w:val="20"/>
        </w:rPr>
        <w:t>2</w:t>
      </w:r>
      <w:r w:rsidRPr="00336361">
        <w:rPr>
          <w:rFonts w:ascii="Arial" w:hAnsi="Arial" w:cs="Arial"/>
          <w:b/>
          <w:bCs/>
          <w:sz w:val="20"/>
          <w:szCs w:val="20"/>
        </w:rPr>
        <w:t xml:space="preserve">. </w:t>
      </w:r>
      <w:r>
        <w:rPr>
          <w:rFonts w:ascii="Arial" w:hAnsi="Arial" w:cs="Arial"/>
          <w:b/>
          <w:bCs/>
          <w:sz w:val="20"/>
          <w:szCs w:val="20"/>
        </w:rPr>
        <w:t>Effect of herbicidal treatments on plant height (cm) of quinoa</w:t>
      </w:r>
    </w:p>
    <w:tbl>
      <w:tblPr>
        <w:tblStyle w:val="TableGrid"/>
        <w:tblW w:w="13903" w:type="dxa"/>
        <w:tblInd w:w="19" w:type="dxa"/>
        <w:tblCellMar>
          <w:top w:w="3" w:type="dxa"/>
          <w:right w:w="115" w:type="dxa"/>
        </w:tblCellMar>
        <w:tblLook w:val="04A0" w:firstRow="1" w:lastRow="0" w:firstColumn="1" w:lastColumn="0" w:noHBand="0" w:noVBand="1"/>
      </w:tblPr>
      <w:tblGrid>
        <w:gridCol w:w="629"/>
        <w:gridCol w:w="8190"/>
        <w:gridCol w:w="1227"/>
        <w:gridCol w:w="1417"/>
        <w:gridCol w:w="1202"/>
        <w:gridCol w:w="1238"/>
      </w:tblGrid>
      <w:tr w:rsidR="006E2135" w14:paraId="252CEA4E" w14:textId="77777777" w:rsidTr="006E2135">
        <w:trPr>
          <w:trHeight w:val="240"/>
        </w:trPr>
        <w:tc>
          <w:tcPr>
            <w:tcW w:w="8819" w:type="dxa"/>
            <w:gridSpan w:val="2"/>
            <w:tcBorders>
              <w:top w:val="single" w:sz="4" w:space="0" w:color="000000"/>
              <w:left w:val="nil"/>
              <w:bottom w:val="single" w:sz="4" w:space="0" w:color="000000"/>
              <w:right w:val="nil"/>
            </w:tcBorders>
          </w:tcPr>
          <w:p w14:paraId="7E855477" w14:textId="77777777" w:rsidR="006E2135" w:rsidRPr="006E2135" w:rsidRDefault="006E2135"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227" w:type="dxa"/>
            <w:tcBorders>
              <w:top w:val="single" w:sz="4" w:space="0" w:color="000000"/>
              <w:left w:val="nil"/>
              <w:bottom w:val="single" w:sz="4" w:space="0" w:color="000000"/>
              <w:right w:val="nil"/>
            </w:tcBorders>
          </w:tcPr>
          <w:p w14:paraId="5C065F47" w14:textId="7E1FFA06"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30 DAS</w:t>
            </w:r>
          </w:p>
        </w:tc>
        <w:tc>
          <w:tcPr>
            <w:tcW w:w="1417" w:type="dxa"/>
            <w:tcBorders>
              <w:top w:val="single" w:sz="4" w:space="0" w:color="000000"/>
              <w:left w:val="nil"/>
              <w:bottom w:val="single" w:sz="4" w:space="0" w:color="000000"/>
              <w:right w:val="nil"/>
            </w:tcBorders>
          </w:tcPr>
          <w:p w14:paraId="7B81FEFB" w14:textId="2BC7AD85"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60 DAS</w:t>
            </w:r>
          </w:p>
        </w:tc>
        <w:tc>
          <w:tcPr>
            <w:tcW w:w="1202" w:type="dxa"/>
            <w:tcBorders>
              <w:top w:val="single" w:sz="4" w:space="0" w:color="000000"/>
              <w:left w:val="nil"/>
              <w:bottom w:val="single" w:sz="4" w:space="0" w:color="000000"/>
              <w:right w:val="nil"/>
            </w:tcBorders>
          </w:tcPr>
          <w:p w14:paraId="451FDB5E" w14:textId="26588C2D"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90 DAS</w:t>
            </w:r>
          </w:p>
        </w:tc>
        <w:tc>
          <w:tcPr>
            <w:tcW w:w="1238" w:type="dxa"/>
            <w:tcBorders>
              <w:top w:val="single" w:sz="4" w:space="0" w:color="000000"/>
              <w:left w:val="nil"/>
              <w:bottom w:val="single" w:sz="4" w:space="0" w:color="000000"/>
              <w:right w:val="nil"/>
            </w:tcBorders>
          </w:tcPr>
          <w:p w14:paraId="722F8C79" w14:textId="2E06716A"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Harvest</w:t>
            </w:r>
          </w:p>
        </w:tc>
      </w:tr>
      <w:tr w:rsidR="006E2135" w14:paraId="31820D54" w14:textId="77777777" w:rsidTr="006E2135">
        <w:trPr>
          <w:trHeight w:val="309"/>
        </w:trPr>
        <w:tc>
          <w:tcPr>
            <w:tcW w:w="629" w:type="dxa"/>
            <w:tcBorders>
              <w:top w:val="single" w:sz="4" w:space="0" w:color="000000"/>
              <w:left w:val="nil"/>
              <w:bottom w:val="nil"/>
              <w:right w:val="nil"/>
            </w:tcBorders>
          </w:tcPr>
          <w:p w14:paraId="47257EFD" w14:textId="469E177D" w:rsidR="006E2135" w:rsidRPr="006E2135" w:rsidRDefault="006E2135" w:rsidP="006E2135">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190" w:type="dxa"/>
            <w:tcBorders>
              <w:top w:val="single" w:sz="4" w:space="0" w:color="000000"/>
              <w:left w:val="nil"/>
              <w:bottom w:val="nil"/>
              <w:right w:val="nil"/>
            </w:tcBorders>
          </w:tcPr>
          <w:p w14:paraId="048582C9" w14:textId="7AA3498A"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w:t>
            </w:r>
          </w:p>
        </w:tc>
        <w:tc>
          <w:tcPr>
            <w:tcW w:w="1227" w:type="dxa"/>
            <w:tcBorders>
              <w:top w:val="single" w:sz="4" w:space="0" w:color="000000"/>
              <w:left w:val="nil"/>
              <w:bottom w:val="nil"/>
              <w:right w:val="nil"/>
            </w:tcBorders>
          </w:tcPr>
          <w:p w14:paraId="10F70874" w14:textId="5571B3D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29.08</w:t>
            </w:r>
          </w:p>
        </w:tc>
        <w:tc>
          <w:tcPr>
            <w:tcW w:w="1417" w:type="dxa"/>
            <w:tcBorders>
              <w:top w:val="single" w:sz="4" w:space="0" w:color="000000"/>
              <w:left w:val="nil"/>
              <w:bottom w:val="nil"/>
              <w:right w:val="nil"/>
            </w:tcBorders>
          </w:tcPr>
          <w:p w14:paraId="700BFCCA" w14:textId="060DC88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78.89</w:t>
            </w:r>
          </w:p>
        </w:tc>
        <w:tc>
          <w:tcPr>
            <w:tcW w:w="1202" w:type="dxa"/>
            <w:tcBorders>
              <w:top w:val="single" w:sz="4" w:space="0" w:color="000000"/>
              <w:left w:val="nil"/>
              <w:bottom w:val="nil"/>
              <w:right w:val="nil"/>
            </w:tcBorders>
          </w:tcPr>
          <w:p w14:paraId="16EDC97F" w14:textId="59D1BE9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106.7</w:t>
            </w:r>
          </w:p>
        </w:tc>
        <w:tc>
          <w:tcPr>
            <w:tcW w:w="1238" w:type="dxa"/>
            <w:tcBorders>
              <w:top w:val="single" w:sz="4" w:space="0" w:color="000000"/>
              <w:left w:val="nil"/>
              <w:bottom w:val="nil"/>
              <w:right w:val="nil"/>
            </w:tcBorders>
          </w:tcPr>
          <w:p w14:paraId="3B57C735" w14:textId="5E88F2B4"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138.71</w:t>
            </w:r>
          </w:p>
        </w:tc>
      </w:tr>
      <w:tr w:rsidR="006E2135" w14:paraId="24435D60" w14:textId="77777777" w:rsidTr="006E2135">
        <w:trPr>
          <w:trHeight w:val="230"/>
        </w:trPr>
        <w:tc>
          <w:tcPr>
            <w:tcW w:w="629" w:type="dxa"/>
            <w:tcBorders>
              <w:top w:val="nil"/>
              <w:left w:val="nil"/>
              <w:bottom w:val="nil"/>
              <w:right w:val="nil"/>
            </w:tcBorders>
          </w:tcPr>
          <w:p w14:paraId="65461785" w14:textId="39F7FAAA"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190" w:type="dxa"/>
            <w:tcBorders>
              <w:top w:val="nil"/>
              <w:left w:val="nil"/>
              <w:bottom w:val="nil"/>
              <w:right w:val="nil"/>
            </w:tcBorders>
          </w:tcPr>
          <w:p w14:paraId="4D013882" w14:textId="65491FED"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Butachlor @ 1000 g a.i./ha at 3 DAS</w:t>
            </w:r>
          </w:p>
        </w:tc>
        <w:tc>
          <w:tcPr>
            <w:tcW w:w="1227" w:type="dxa"/>
            <w:tcBorders>
              <w:top w:val="nil"/>
              <w:left w:val="nil"/>
              <w:bottom w:val="nil"/>
              <w:right w:val="nil"/>
            </w:tcBorders>
          </w:tcPr>
          <w:p w14:paraId="42E1C258" w14:textId="46D3D369"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31.80</w:t>
            </w:r>
          </w:p>
        </w:tc>
        <w:tc>
          <w:tcPr>
            <w:tcW w:w="1417" w:type="dxa"/>
            <w:tcBorders>
              <w:top w:val="nil"/>
              <w:left w:val="nil"/>
              <w:bottom w:val="nil"/>
              <w:right w:val="nil"/>
            </w:tcBorders>
          </w:tcPr>
          <w:p w14:paraId="69E9921E" w14:textId="47622BD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83.3</w:t>
            </w:r>
          </w:p>
        </w:tc>
        <w:tc>
          <w:tcPr>
            <w:tcW w:w="1202" w:type="dxa"/>
            <w:tcBorders>
              <w:top w:val="nil"/>
              <w:left w:val="nil"/>
              <w:bottom w:val="nil"/>
              <w:right w:val="nil"/>
            </w:tcBorders>
          </w:tcPr>
          <w:p w14:paraId="4097752C" w14:textId="1C381ED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114.85</w:t>
            </w:r>
          </w:p>
        </w:tc>
        <w:tc>
          <w:tcPr>
            <w:tcW w:w="1238" w:type="dxa"/>
            <w:tcBorders>
              <w:top w:val="nil"/>
              <w:left w:val="nil"/>
              <w:bottom w:val="nil"/>
              <w:right w:val="nil"/>
            </w:tcBorders>
          </w:tcPr>
          <w:p w14:paraId="0D76DE85" w14:textId="3003C1C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145.44</w:t>
            </w:r>
          </w:p>
        </w:tc>
      </w:tr>
      <w:tr w:rsidR="006E2135" w14:paraId="7431B835" w14:textId="77777777" w:rsidTr="006E2135">
        <w:trPr>
          <w:trHeight w:val="229"/>
        </w:trPr>
        <w:tc>
          <w:tcPr>
            <w:tcW w:w="629" w:type="dxa"/>
            <w:tcBorders>
              <w:top w:val="nil"/>
              <w:left w:val="nil"/>
              <w:bottom w:val="nil"/>
              <w:right w:val="nil"/>
            </w:tcBorders>
          </w:tcPr>
          <w:p w14:paraId="4761E32C" w14:textId="795826F1"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190" w:type="dxa"/>
            <w:tcBorders>
              <w:top w:val="nil"/>
              <w:left w:val="nil"/>
              <w:bottom w:val="nil"/>
              <w:right w:val="nil"/>
            </w:tcBorders>
          </w:tcPr>
          <w:p w14:paraId="1154EAC6" w14:textId="415ABD69"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Pretilachlor @ 750g a.i./ha at 3 DAS</w:t>
            </w:r>
          </w:p>
        </w:tc>
        <w:tc>
          <w:tcPr>
            <w:tcW w:w="1227" w:type="dxa"/>
            <w:tcBorders>
              <w:top w:val="nil"/>
              <w:left w:val="nil"/>
              <w:bottom w:val="nil"/>
              <w:right w:val="nil"/>
            </w:tcBorders>
          </w:tcPr>
          <w:p w14:paraId="01BF74F7" w14:textId="1B2D8E1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34.50</w:t>
            </w:r>
          </w:p>
        </w:tc>
        <w:tc>
          <w:tcPr>
            <w:tcW w:w="1417" w:type="dxa"/>
            <w:tcBorders>
              <w:top w:val="nil"/>
              <w:left w:val="nil"/>
              <w:bottom w:val="nil"/>
              <w:right w:val="nil"/>
            </w:tcBorders>
          </w:tcPr>
          <w:p w14:paraId="28F6E2B3" w14:textId="3DB0D4E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86.1</w:t>
            </w:r>
          </w:p>
        </w:tc>
        <w:tc>
          <w:tcPr>
            <w:tcW w:w="1202" w:type="dxa"/>
            <w:tcBorders>
              <w:top w:val="nil"/>
              <w:left w:val="nil"/>
              <w:bottom w:val="nil"/>
              <w:right w:val="nil"/>
            </w:tcBorders>
          </w:tcPr>
          <w:p w14:paraId="2263C4FF" w14:textId="43E5A0B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119.3</w:t>
            </w:r>
          </w:p>
        </w:tc>
        <w:tc>
          <w:tcPr>
            <w:tcW w:w="1238" w:type="dxa"/>
            <w:tcBorders>
              <w:top w:val="nil"/>
              <w:left w:val="nil"/>
              <w:bottom w:val="nil"/>
              <w:right w:val="nil"/>
            </w:tcBorders>
          </w:tcPr>
          <w:p w14:paraId="68893E8E" w14:textId="5B53D97C"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145.60</w:t>
            </w:r>
          </w:p>
        </w:tc>
      </w:tr>
      <w:tr w:rsidR="006E2135" w14:paraId="1EB160F0" w14:textId="77777777" w:rsidTr="006E2135">
        <w:trPr>
          <w:trHeight w:val="460"/>
        </w:trPr>
        <w:tc>
          <w:tcPr>
            <w:tcW w:w="629" w:type="dxa"/>
            <w:tcBorders>
              <w:top w:val="nil"/>
              <w:left w:val="nil"/>
              <w:bottom w:val="nil"/>
              <w:right w:val="nil"/>
            </w:tcBorders>
          </w:tcPr>
          <w:p w14:paraId="3274B54D" w14:textId="45DAEDED"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190" w:type="dxa"/>
            <w:tcBorders>
              <w:top w:val="nil"/>
              <w:left w:val="nil"/>
              <w:bottom w:val="nil"/>
              <w:right w:val="nil"/>
            </w:tcBorders>
          </w:tcPr>
          <w:p w14:paraId="425C221D" w14:textId="512137B7"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Pyroxasulfone @ 100g a.i./ha at 3 DAS</w:t>
            </w:r>
          </w:p>
        </w:tc>
        <w:tc>
          <w:tcPr>
            <w:tcW w:w="1227" w:type="dxa"/>
            <w:tcBorders>
              <w:top w:val="nil"/>
              <w:left w:val="nil"/>
              <w:bottom w:val="nil"/>
              <w:right w:val="nil"/>
            </w:tcBorders>
          </w:tcPr>
          <w:p w14:paraId="639595E3" w14:textId="3ACB42B0"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26.73</w:t>
            </w:r>
          </w:p>
        </w:tc>
        <w:tc>
          <w:tcPr>
            <w:tcW w:w="1417" w:type="dxa"/>
            <w:tcBorders>
              <w:top w:val="nil"/>
              <w:left w:val="nil"/>
              <w:bottom w:val="nil"/>
              <w:right w:val="nil"/>
            </w:tcBorders>
          </w:tcPr>
          <w:p w14:paraId="7CA4201E" w14:textId="22CA2F3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69.9</w:t>
            </w:r>
          </w:p>
        </w:tc>
        <w:tc>
          <w:tcPr>
            <w:tcW w:w="1202" w:type="dxa"/>
            <w:tcBorders>
              <w:top w:val="nil"/>
              <w:left w:val="nil"/>
              <w:bottom w:val="nil"/>
              <w:right w:val="nil"/>
            </w:tcBorders>
          </w:tcPr>
          <w:p w14:paraId="3F712C5D" w14:textId="4181D2D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94.00</w:t>
            </w:r>
          </w:p>
        </w:tc>
        <w:tc>
          <w:tcPr>
            <w:tcW w:w="1238" w:type="dxa"/>
            <w:tcBorders>
              <w:top w:val="nil"/>
              <w:left w:val="nil"/>
              <w:bottom w:val="nil"/>
              <w:right w:val="nil"/>
            </w:tcBorders>
          </w:tcPr>
          <w:p w14:paraId="73BFC339" w14:textId="2C82E3C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128.11</w:t>
            </w:r>
          </w:p>
        </w:tc>
      </w:tr>
      <w:tr w:rsidR="006E2135" w14:paraId="0791D4D5" w14:textId="77777777" w:rsidTr="006E2135">
        <w:trPr>
          <w:trHeight w:val="461"/>
        </w:trPr>
        <w:tc>
          <w:tcPr>
            <w:tcW w:w="629" w:type="dxa"/>
            <w:tcBorders>
              <w:top w:val="nil"/>
              <w:left w:val="nil"/>
              <w:bottom w:val="nil"/>
              <w:right w:val="nil"/>
            </w:tcBorders>
          </w:tcPr>
          <w:p w14:paraId="15E09B26" w14:textId="7AE67908"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190" w:type="dxa"/>
            <w:tcBorders>
              <w:top w:val="nil"/>
              <w:left w:val="nil"/>
              <w:bottom w:val="nil"/>
              <w:right w:val="nil"/>
            </w:tcBorders>
          </w:tcPr>
          <w:p w14:paraId="64ACD0FA" w14:textId="026347C4"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PoE application of Clethodim @ 96g a.i./ha at 25 DAS</w:t>
            </w:r>
          </w:p>
        </w:tc>
        <w:tc>
          <w:tcPr>
            <w:tcW w:w="1227" w:type="dxa"/>
            <w:tcBorders>
              <w:top w:val="nil"/>
              <w:left w:val="nil"/>
              <w:bottom w:val="nil"/>
              <w:right w:val="nil"/>
            </w:tcBorders>
          </w:tcPr>
          <w:p w14:paraId="54D9EE4C" w14:textId="34699A1E"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28.70</w:t>
            </w:r>
          </w:p>
        </w:tc>
        <w:tc>
          <w:tcPr>
            <w:tcW w:w="1417" w:type="dxa"/>
            <w:tcBorders>
              <w:top w:val="nil"/>
              <w:left w:val="nil"/>
              <w:bottom w:val="nil"/>
              <w:right w:val="nil"/>
            </w:tcBorders>
          </w:tcPr>
          <w:p w14:paraId="4797AD87" w14:textId="524A53A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73.1</w:t>
            </w:r>
          </w:p>
        </w:tc>
        <w:tc>
          <w:tcPr>
            <w:tcW w:w="1202" w:type="dxa"/>
            <w:tcBorders>
              <w:top w:val="nil"/>
              <w:left w:val="nil"/>
              <w:bottom w:val="nil"/>
              <w:right w:val="nil"/>
            </w:tcBorders>
          </w:tcPr>
          <w:p w14:paraId="20E8FEAB" w14:textId="087816F2"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100.11</w:t>
            </w:r>
          </w:p>
        </w:tc>
        <w:tc>
          <w:tcPr>
            <w:tcW w:w="1238" w:type="dxa"/>
            <w:tcBorders>
              <w:top w:val="nil"/>
              <w:left w:val="nil"/>
              <w:bottom w:val="nil"/>
              <w:right w:val="nil"/>
            </w:tcBorders>
          </w:tcPr>
          <w:p w14:paraId="257EABCE" w14:textId="0214FD4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131.68</w:t>
            </w:r>
          </w:p>
        </w:tc>
      </w:tr>
      <w:tr w:rsidR="006E2135" w14:paraId="5A3D858B" w14:textId="77777777" w:rsidTr="006E2135">
        <w:trPr>
          <w:trHeight w:val="460"/>
        </w:trPr>
        <w:tc>
          <w:tcPr>
            <w:tcW w:w="629" w:type="dxa"/>
            <w:tcBorders>
              <w:top w:val="nil"/>
              <w:left w:val="nil"/>
              <w:bottom w:val="nil"/>
              <w:right w:val="nil"/>
            </w:tcBorders>
          </w:tcPr>
          <w:p w14:paraId="009E9E70" w14:textId="76BE233C"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190" w:type="dxa"/>
            <w:tcBorders>
              <w:top w:val="nil"/>
              <w:left w:val="nil"/>
              <w:bottom w:val="nil"/>
              <w:right w:val="nil"/>
            </w:tcBorders>
          </w:tcPr>
          <w:p w14:paraId="6030E4DC" w14:textId="35C4ED57"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PoE application of </w:t>
            </w:r>
            <w:r w:rsidRPr="006E2135">
              <w:rPr>
                <w:rFonts w:ascii="Arial" w:hAnsi="Arial" w:cs="Arial"/>
                <w:sz w:val="20"/>
                <w:szCs w:val="20"/>
              </w:rPr>
              <w:t>Metamifop @ 1000ml a.i./ha at 25 DAS</w:t>
            </w:r>
          </w:p>
        </w:tc>
        <w:tc>
          <w:tcPr>
            <w:tcW w:w="1227" w:type="dxa"/>
            <w:tcBorders>
              <w:top w:val="nil"/>
              <w:left w:val="nil"/>
              <w:bottom w:val="nil"/>
              <w:right w:val="nil"/>
            </w:tcBorders>
          </w:tcPr>
          <w:p w14:paraId="4EC8B246" w14:textId="7A44A16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28.5</w:t>
            </w:r>
          </w:p>
        </w:tc>
        <w:tc>
          <w:tcPr>
            <w:tcW w:w="1417" w:type="dxa"/>
            <w:tcBorders>
              <w:top w:val="nil"/>
              <w:left w:val="nil"/>
              <w:bottom w:val="nil"/>
              <w:right w:val="nil"/>
            </w:tcBorders>
          </w:tcPr>
          <w:p w14:paraId="046C1162" w14:textId="35F17AE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71.0</w:t>
            </w:r>
          </w:p>
        </w:tc>
        <w:tc>
          <w:tcPr>
            <w:tcW w:w="1202" w:type="dxa"/>
            <w:tcBorders>
              <w:top w:val="nil"/>
              <w:left w:val="nil"/>
              <w:bottom w:val="nil"/>
              <w:right w:val="nil"/>
            </w:tcBorders>
          </w:tcPr>
          <w:p w14:paraId="40E389EF" w14:textId="0C0522ED"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97.8</w:t>
            </w:r>
          </w:p>
        </w:tc>
        <w:tc>
          <w:tcPr>
            <w:tcW w:w="1238" w:type="dxa"/>
            <w:tcBorders>
              <w:top w:val="nil"/>
              <w:left w:val="nil"/>
              <w:bottom w:val="nil"/>
              <w:right w:val="nil"/>
            </w:tcBorders>
          </w:tcPr>
          <w:p w14:paraId="742F6B8A" w14:textId="3C198F40"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129.73</w:t>
            </w:r>
          </w:p>
        </w:tc>
      </w:tr>
      <w:tr w:rsidR="006E2135" w14:paraId="309D1FD1" w14:textId="77777777" w:rsidTr="006E2135">
        <w:trPr>
          <w:trHeight w:val="460"/>
        </w:trPr>
        <w:tc>
          <w:tcPr>
            <w:tcW w:w="629" w:type="dxa"/>
            <w:tcBorders>
              <w:top w:val="nil"/>
              <w:left w:val="nil"/>
              <w:bottom w:val="nil"/>
              <w:right w:val="nil"/>
            </w:tcBorders>
          </w:tcPr>
          <w:p w14:paraId="0538FB71" w14:textId="775AB466"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190" w:type="dxa"/>
            <w:tcBorders>
              <w:top w:val="nil"/>
              <w:left w:val="nil"/>
              <w:bottom w:val="nil"/>
              <w:right w:val="nil"/>
            </w:tcBorders>
          </w:tcPr>
          <w:p w14:paraId="7612DEA3" w14:textId="5ED1F2DB"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PoE application of Halosulfuron-methyl @ 70g a.i./ha at 25 DAS</w:t>
            </w:r>
          </w:p>
        </w:tc>
        <w:tc>
          <w:tcPr>
            <w:tcW w:w="1227" w:type="dxa"/>
            <w:tcBorders>
              <w:top w:val="nil"/>
              <w:left w:val="nil"/>
              <w:bottom w:val="nil"/>
              <w:right w:val="nil"/>
            </w:tcBorders>
          </w:tcPr>
          <w:p w14:paraId="4CF40315" w14:textId="3B996A1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24.31</w:t>
            </w:r>
          </w:p>
        </w:tc>
        <w:tc>
          <w:tcPr>
            <w:tcW w:w="1417" w:type="dxa"/>
            <w:tcBorders>
              <w:top w:val="nil"/>
              <w:left w:val="nil"/>
              <w:bottom w:val="nil"/>
              <w:right w:val="nil"/>
            </w:tcBorders>
          </w:tcPr>
          <w:p w14:paraId="48271DD0" w14:textId="07878DA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75.3</w:t>
            </w:r>
          </w:p>
        </w:tc>
        <w:tc>
          <w:tcPr>
            <w:tcW w:w="1202" w:type="dxa"/>
            <w:tcBorders>
              <w:top w:val="nil"/>
              <w:left w:val="nil"/>
              <w:bottom w:val="nil"/>
              <w:right w:val="nil"/>
            </w:tcBorders>
          </w:tcPr>
          <w:p w14:paraId="1FAF7E98" w14:textId="7653352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103.13</w:t>
            </w:r>
          </w:p>
        </w:tc>
        <w:tc>
          <w:tcPr>
            <w:tcW w:w="1238" w:type="dxa"/>
            <w:tcBorders>
              <w:top w:val="nil"/>
              <w:left w:val="nil"/>
              <w:bottom w:val="nil"/>
              <w:right w:val="nil"/>
            </w:tcBorders>
          </w:tcPr>
          <w:p w14:paraId="2A985261" w14:textId="712C384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135.40</w:t>
            </w:r>
          </w:p>
        </w:tc>
      </w:tr>
      <w:tr w:rsidR="006E2135" w14:paraId="2FE77CA9" w14:textId="77777777" w:rsidTr="006E2135">
        <w:trPr>
          <w:trHeight w:val="461"/>
        </w:trPr>
        <w:tc>
          <w:tcPr>
            <w:tcW w:w="629" w:type="dxa"/>
            <w:tcBorders>
              <w:top w:val="nil"/>
              <w:left w:val="nil"/>
              <w:bottom w:val="nil"/>
              <w:right w:val="nil"/>
            </w:tcBorders>
          </w:tcPr>
          <w:p w14:paraId="16DA60D5" w14:textId="6DC793C7"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190" w:type="dxa"/>
            <w:tcBorders>
              <w:top w:val="nil"/>
              <w:left w:val="nil"/>
              <w:bottom w:val="nil"/>
              <w:right w:val="nil"/>
            </w:tcBorders>
          </w:tcPr>
          <w:p w14:paraId="52C17EEE" w14:textId="375E9AA5"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 + PoE application of Clethodim @ 96g a.i./ha at 25 DAS</w:t>
            </w:r>
          </w:p>
        </w:tc>
        <w:tc>
          <w:tcPr>
            <w:tcW w:w="1227" w:type="dxa"/>
            <w:tcBorders>
              <w:top w:val="nil"/>
              <w:left w:val="nil"/>
              <w:bottom w:val="nil"/>
              <w:right w:val="nil"/>
            </w:tcBorders>
          </w:tcPr>
          <w:p w14:paraId="642F4919" w14:textId="487793F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30.99</w:t>
            </w:r>
          </w:p>
        </w:tc>
        <w:tc>
          <w:tcPr>
            <w:tcW w:w="1417" w:type="dxa"/>
            <w:tcBorders>
              <w:top w:val="nil"/>
              <w:left w:val="nil"/>
              <w:bottom w:val="nil"/>
              <w:right w:val="nil"/>
            </w:tcBorders>
          </w:tcPr>
          <w:p w14:paraId="05143FB8" w14:textId="2E756AE4"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80.4</w:t>
            </w:r>
          </w:p>
        </w:tc>
        <w:tc>
          <w:tcPr>
            <w:tcW w:w="1202" w:type="dxa"/>
            <w:tcBorders>
              <w:top w:val="nil"/>
              <w:left w:val="nil"/>
              <w:bottom w:val="nil"/>
              <w:right w:val="nil"/>
            </w:tcBorders>
          </w:tcPr>
          <w:p w14:paraId="74DD1E14" w14:textId="69926AB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108.5</w:t>
            </w:r>
          </w:p>
        </w:tc>
        <w:tc>
          <w:tcPr>
            <w:tcW w:w="1238" w:type="dxa"/>
            <w:tcBorders>
              <w:top w:val="nil"/>
              <w:left w:val="nil"/>
              <w:bottom w:val="nil"/>
              <w:right w:val="nil"/>
            </w:tcBorders>
          </w:tcPr>
          <w:p w14:paraId="61D7D3DC" w14:textId="3114F008"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140.85</w:t>
            </w:r>
          </w:p>
        </w:tc>
      </w:tr>
      <w:tr w:rsidR="006E2135" w14:paraId="0029AC3E" w14:textId="77777777" w:rsidTr="006E2135">
        <w:trPr>
          <w:trHeight w:val="230"/>
        </w:trPr>
        <w:tc>
          <w:tcPr>
            <w:tcW w:w="629" w:type="dxa"/>
            <w:tcBorders>
              <w:top w:val="nil"/>
              <w:left w:val="nil"/>
              <w:bottom w:val="nil"/>
              <w:right w:val="nil"/>
            </w:tcBorders>
          </w:tcPr>
          <w:p w14:paraId="5EA61BC9" w14:textId="1C7D3AB2"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190" w:type="dxa"/>
            <w:tcBorders>
              <w:top w:val="nil"/>
              <w:left w:val="nil"/>
              <w:bottom w:val="nil"/>
              <w:right w:val="nil"/>
            </w:tcBorders>
          </w:tcPr>
          <w:p w14:paraId="2584D74C" w14:textId="435F72AD"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a.i./ha at 3 DAS + PoE application of </w:t>
            </w:r>
            <w:r w:rsidRPr="006E2135">
              <w:rPr>
                <w:rFonts w:ascii="Arial" w:hAnsi="Arial" w:cs="Arial"/>
                <w:sz w:val="20"/>
                <w:szCs w:val="20"/>
              </w:rPr>
              <w:t>Metamifop @ 1000ml a.i./ha at 25 DAS</w:t>
            </w:r>
          </w:p>
        </w:tc>
        <w:tc>
          <w:tcPr>
            <w:tcW w:w="1227" w:type="dxa"/>
            <w:tcBorders>
              <w:top w:val="nil"/>
              <w:left w:val="nil"/>
              <w:bottom w:val="nil"/>
              <w:right w:val="nil"/>
            </w:tcBorders>
          </w:tcPr>
          <w:p w14:paraId="744439F3" w14:textId="0B493EEC"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31.20</w:t>
            </w:r>
          </w:p>
        </w:tc>
        <w:tc>
          <w:tcPr>
            <w:tcW w:w="1417" w:type="dxa"/>
            <w:tcBorders>
              <w:top w:val="nil"/>
              <w:left w:val="nil"/>
              <w:bottom w:val="nil"/>
              <w:right w:val="nil"/>
            </w:tcBorders>
          </w:tcPr>
          <w:p w14:paraId="78701A15" w14:textId="13FF9950"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90.2</w:t>
            </w:r>
          </w:p>
        </w:tc>
        <w:tc>
          <w:tcPr>
            <w:tcW w:w="1202" w:type="dxa"/>
            <w:tcBorders>
              <w:top w:val="nil"/>
              <w:left w:val="nil"/>
              <w:bottom w:val="nil"/>
              <w:right w:val="nil"/>
            </w:tcBorders>
          </w:tcPr>
          <w:p w14:paraId="7FA58CBD" w14:textId="4FA940AB"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129.60</w:t>
            </w:r>
          </w:p>
        </w:tc>
        <w:tc>
          <w:tcPr>
            <w:tcW w:w="1238" w:type="dxa"/>
            <w:tcBorders>
              <w:top w:val="nil"/>
              <w:left w:val="nil"/>
              <w:bottom w:val="nil"/>
              <w:right w:val="nil"/>
            </w:tcBorders>
          </w:tcPr>
          <w:p w14:paraId="0D152B45" w14:textId="2B22B936"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153.7</w:t>
            </w:r>
          </w:p>
        </w:tc>
      </w:tr>
      <w:tr w:rsidR="006E2135" w14:paraId="1A5DE7DC" w14:textId="77777777" w:rsidTr="006E2135">
        <w:trPr>
          <w:trHeight w:val="230"/>
        </w:trPr>
        <w:tc>
          <w:tcPr>
            <w:tcW w:w="629" w:type="dxa"/>
            <w:tcBorders>
              <w:top w:val="nil"/>
              <w:left w:val="nil"/>
              <w:bottom w:val="nil"/>
              <w:right w:val="nil"/>
            </w:tcBorders>
          </w:tcPr>
          <w:p w14:paraId="139179EE" w14:textId="0B418CD1"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190" w:type="dxa"/>
            <w:tcBorders>
              <w:top w:val="nil"/>
              <w:left w:val="nil"/>
              <w:bottom w:val="nil"/>
              <w:right w:val="nil"/>
            </w:tcBorders>
          </w:tcPr>
          <w:p w14:paraId="4EFF6E6F" w14:textId="3FBF1C4E"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PE application of Pretilachlor @ 750g a.i./ha at 3DAS</w:t>
            </w:r>
            <w:r w:rsidRPr="006E2135">
              <w:rPr>
                <w:rFonts w:ascii="Arial" w:hAnsi="Arial" w:cs="Arial"/>
                <w:sz w:val="20"/>
                <w:szCs w:val="20"/>
              </w:rPr>
              <w:t xml:space="preserve"> + </w:t>
            </w:r>
            <w:r w:rsidRPr="006E2135">
              <w:rPr>
                <w:rFonts w:ascii="Arial" w:hAnsi="Arial" w:cs="Arial"/>
                <w:sz w:val="20"/>
                <w:szCs w:val="20"/>
                <w:lang w:val="en-US"/>
              </w:rPr>
              <w:t>PoE application of Halosulfuron-methyl @ 70g a.i./ha at 25 DAS</w:t>
            </w:r>
          </w:p>
        </w:tc>
        <w:tc>
          <w:tcPr>
            <w:tcW w:w="1227" w:type="dxa"/>
            <w:tcBorders>
              <w:top w:val="nil"/>
              <w:left w:val="nil"/>
              <w:bottom w:val="nil"/>
              <w:right w:val="nil"/>
            </w:tcBorders>
          </w:tcPr>
          <w:p w14:paraId="383C8366" w14:textId="6E282554"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30.93</w:t>
            </w:r>
          </w:p>
        </w:tc>
        <w:tc>
          <w:tcPr>
            <w:tcW w:w="1417" w:type="dxa"/>
            <w:tcBorders>
              <w:top w:val="nil"/>
              <w:left w:val="nil"/>
              <w:bottom w:val="nil"/>
              <w:right w:val="nil"/>
            </w:tcBorders>
          </w:tcPr>
          <w:p w14:paraId="0489A930" w14:textId="152D0A1E"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88.4</w:t>
            </w:r>
          </w:p>
        </w:tc>
        <w:tc>
          <w:tcPr>
            <w:tcW w:w="1202" w:type="dxa"/>
            <w:tcBorders>
              <w:top w:val="nil"/>
              <w:left w:val="nil"/>
              <w:bottom w:val="nil"/>
              <w:right w:val="nil"/>
            </w:tcBorders>
          </w:tcPr>
          <w:p w14:paraId="302C54B4" w14:textId="7BE9EB73"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122.00</w:t>
            </w:r>
          </w:p>
        </w:tc>
        <w:tc>
          <w:tcPr>
            <w:tcW w:w="1238" w:type="dxa"/>
            <w:tcBorders>
              <w:top w:val="nil"/>
              <w:left w:val="nil"/>
              <w:bottom w:val="nil"/>
              <w:right w:val="nil"/>
            </w:tcBorders>
          </w:tcPr>
          <w:p w14:paraId="2FBA550F" w14:textId="57FA90B7"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149.7</w:t>
            </w:r>
          </w:p>
        </w:tc>
      </w:tr>
      <w:tr w:rsidR="006E2135" w14:paraId="3CA1CB2E" w14:textId="77777777" w:rsidTr="00343301">
        <w:trPr>
          <w:trHeight w:val="230"/>
        </w:trPr>
        <w:tc>
          <w:tcPr>
            <w:tcW w:w="629" w:type="dxa"/>
            <w:tcBorders>
              <w:top w:val="nil"/>
              <w:left w:val="nil"/>
              <w:right w:val="nil"/>
            </w:tcBorders>
          </w:tcPr>
          <w:p w14:paraId="61D26064" w14:textId="6CC3F2B5" w:rsidR="006E2135" w:rsidRDefault="006E2135" w:rsidP="006E2135">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190" w:type="dxa"/>
            <w:tcBorders>
              <w:top w:val="nil"/>
              <w:left w:val="nil"/>
              <w:right w:val="nil"/>
            </w:tcBorders>
          </w:tcPr>
          <w:p w14:paraId="5EC8CAB2" w14:textId="21ADC4CA" w:rsidR="006E2135" w:rsidRPr="006E2135" w:rsidRDefault="006E2135" w:rsidP="006E2135">
            <w:pPr>
              <w:spacing w:line="276" w:lineRule="auto"/>
              <w:rPr>
                <w:rFonts w:ascii="Arial" w:hAnsi="Arial" w:cs="Arial"/>
                <w:sz w:val="20"/>
                <w:szCs w:val="20"/>
              </w:rPr>
            </w:pPr>
            <w:r w:rsidRPr="006E2135">
              <w:rPr>
                <w:rFonts w:ascii="Arial" w:hAnsi="Arial" w:cs="Arial"/>
                <w:sz w:val="20"/>
                <w:szCs w:val="20"/>
              </w:rPr>
              <w:t>Weed free check</w:t>
            </w:r>
          </w:p>
        </w:tc>
        <w:tc>
          <w:tcPr>
            <w:tcW w:w="1227" w:type="dxa"/>
            <w:tcBorders>
              <w:top w:val="nil"/>
              <w:left w:val="nil"/>
              <w:right w:val="nil"/>
            </w:tcBorders>
          </w:tcPr>
          <w:p w14:paraId="5814FDDB" w14:textId="428E92B9"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39.28</w:t>
            </w:r>
          </w:p>
        </w:tc>
        <w:tc>
          <w:tcPr>
            <w:tcW w:w="1417" w:type="dxa"/>
            <w:tcBorders>
              <w:top w:val="nil"/>
              <w:left w:val="nil"/>
              <w:right w:val="nil"/>
            </w:tcBorders>
          </w:tcPr>
          <w:p w14:paraId="385BA9AE" w14:textId="729F9FA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95.3</w:t>
            </w:r>
          </w:p>
        </w:tc>
        <w:tc>
          <w:tcPr>
            <w:tcW w:w="1202" w:type="dxa"/>
            <w:tcBorders>
              <w:top w:val="nil"/>
              <w:left w:val="nil"/>
              <w:right w:val="nil"/>
            </w:tcBorders>
          </w:tcPr>
          <w:p w14:paraId="2F893A00" w14:textId="70BD428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136.00</w:t>
            </w:r>
          </w:p>
        </w:tc>
        <w:tc>
          <w:tcPr>
            <w:tcW w:w="1238" w:type="dxa"/>
            <w:tcBorders>
              <w:top w:val="nil"/>
              <w:left w:val="nil"/>
              <w:right w:val="nil"/>
            </w:tcBorders>
          </w:tcPr>
          <w:p w14:paraId="3E82D7E9" w14:textId="27AD318C"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158.9</w:t>
            </w:r>
          </w:p>
        </w:tc>
      </w:tr>
      <w:tr w:rsidR="006E2135" w14:paraId="480892A1" w14:textId="77777777" w:rsidTr="00343301">
        <w:trPr>
          <w:trHeight w:val="229"/>
        </w:trPr>
        <w:tc>
          <w:tcPr>
            <w:tcW w:w="629" w:type="dxa"/>
            <w:tcBorders>
              <w:top w:val="nil"/>
              <w:left w:val="nil"/>
              <w:bottom w:val="single" w:sz="4" w:space="0" w:color="auto"/>
              <w:right w:val="nil"/>
            </w:tcBorders>
          </w:tcPr>
          <w:p w14:paraId="59C18683" w14:textId="34430037" w:rsidR="006E2135" w:rsidRDefault="006E2135" w:rsidP="006E2135">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190" w:type="dxa"/>
            <w:tcBorders>
              <w:top w:val="nil"/>
              <w:left w:val="nil"/>
              <w:bottom w:val="single" w:sz="4" w:space="0" w:color="auto"/>
              <w:right w:val="nil"/>
            </w:tcBorders>
          </w:tcPr>
          <w:p w14:paraId="70522E13" w14:textId="226334CE" w:rsidR="006E2135" w:rsidRPr="006E2135" w:rsidRDefault="006E2135" w:rsidP="006E2135">
            <w:pPr>
              <w:spacing w:line="276" w:lineRule="auto"/>
              <w:rPr>
                <w:rFonts w:ascii="Arial" w:hAnsi="Arial" w:cs="Arial"/>
                <w:sz w:val="20"/>
                <w:szCs w:val="20"/>
              </w:rPr>
            </w:pPr>
            <w:r w:rsidRPr="006E2135">
              <w:rPr>
                <w:rFonts w:ascii="Arial" w:hAnsi="Arial" w:cs="Arial"/>
                <w:sz w:val="20"/>
                <w:szCs w:val="20"/>
              </w:rPr>
              <w:t>Unweeded control</w:t>
            </w:r>
          </w:p>
        </w:tc>
        <w:tc>
          <w:tcPr>
            <w:tcW w:w="1227" w:type="dxa"/>
            <w:tcBorders>
              <w:top w:val="nil"/>
              <w:left w:val="nil"/>
              <w:bottom w:val="single" w:sz="4" w:space="0" w:color="auto"/>
              <w:right w:val="nil"/>
            </w:tcBorders>
          </w:tcPr>
          <w:p w14:paraId="1BBE7901" w14:textId="3A5283E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23.77</w:t>
            </w:r>
          </w:p>
        </w:tc>
        <w:tc>
          <w:tcPr>
            <w:tcW w:w="1417" w:type="dxa"/>
            <w:tcBorders>
              <w:top w:val="nil"/>
              <w:left w:val="nil"/>
              <w:bottom w:val="single" w:sz="4" w:space="0" w:color="auto"/>
              <w:right w:val="nil"/>
            </w:tcBorders>
          </w:tcPr>
          <w:p w14:paraId="7534D6A1" w14:textId="0A9A152D"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76.4</w:t>
            </w:r>
          </w:p>
        </w:tc>
        <w:tc>
          <w:tcPr>
            <w:tcW w:w="1202" w:type="dxa"/>
            <w:tcBorders>
              <w:top w:val="nil"/>
              <w:left w:val="nil"/>
              <w:bottom w:val="single" w:sz="4" w:space="0" w:color="auto"/>
              <w:right w:val="nil"/>
            </w:tcBorders>
          </w:tcPr>
          <w:p w14:paraId="071AD255" w14:textId="542B08E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89.33</w:t>
            </w:r>
          </w:p>
        </w:tc>
        <w:tc>
          <w:tcPr>
            <w:tcW w:w="1238" w:type="dxa"/>
            <w:tcBorders>
              <w:top w:val="nil"/>
              <w:left w:val="nil"/>
              <w:bottom w:val="single" w:sz="4" w:space="0" w:color="auto"/>
              <w:right w:val="nil"/>
            </w:tcBorders>
          </w:tcPr>
          <w:p w14:paraId="2B03B376" w14:textId="12028B6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115.93</w:t>
            </w:r>
          </w:p>
        </w:tc>
      </w:tr>
      <w:tr w:rsidR="006E2135" w14:paraId="2DE02A42" w14:textId="77777777" w:rsidTr="00343301">
        <w:trPr>
          <w:trHeight w:val="229"/>
        </w:trPr>
        <w:tc>
          <w:tcPr>
            <w:tcW w:w="629" w:type="dxa"/>
            <w:tcBorders>
              <w:top w:val="single" w:sz="4" w:space="0" w:color="auto"/>
              <w:left w:val="nil"/>
              <w:bottom w:val="nil"/>
              <w:right w:val="nil"/>
            </w:tcBorders>
          </w:tcPr>
          <w:p w14:paraId="0BEDFF63" w14:textId="77777777" w:rsidR="006E2135" w:rsidRDefault="006E2135" w:rsidP="006E2135">
            <w:pPr>
              <w:spacing w:line="276" w:lineRule="auto"/>
              <w:ind w:left="123"/>
            </w:pPr>
            <w:r>
              <w:t xml:space="preserve"> </w:t>
            </w:r>
          </w:p>
        </w:tc>
        <w:tc>
          <w:tcPr>
            <w:tcW w:w="8190" w:type="dxa"/>
            <w:tcBorders>
              <w:top w:val="single" w:sz="4" w:space="0" w:color="auto"/>
              <w:left w:val="nil"/>
              <w:bottom w:val="nil"/>
              <w:right w:val="nil"/>
            </w:tcBorders>
          </w:tcPr>
          <w:p w14:paraId="446B24B9"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Mean </w:t>
            </w:r>
          </w:p>
        </w:tc>
        <w:tc>
          <w:tcPr>
            <w:tcW w:w="1227" w:type="dxa"/>
            <w:tcBorders>
              <w:top w:val="single" w:sz="4" w:space="0" w:color="auto"/>
              <w:left w:val="nil"/>
              <w:bottom w:val="nil"/>
              <w:right w:val="nil"/>
            </w:tcBorders>
          </w:tcPr>
          <w:p w14:paraId="5D6CAA0B" w14:textId="585853CB"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30.0</w:t>
            </w:r>
          </w:p>
        </w:tc>
        <w:tc>
          <w:tcPr>
            <w:tcW w:w="1417" w:type="dxa"/>
            <w:tcBorders>
              <w:top w:val="single" w:sz="4" w:space="0" w:color="auto"/>
              <w:left w:val="nil"/>
              <w:bottom w:val="nil"/>
              <w:right w:val="nil"/>
            </w:tcBorders>
          </w:tcPr>
          <w:p w14:paraId="2CC443DC" w14:textId="4F9378B9"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81</w:t>
            </w:r>
          </w:p>
        </w:tc>
        <w:tc>
          <w:tcPr>
            <w:tcW w:w="1202" w:type="dxa"/>
            <w:tcBorders>
              <w:top w:val="single" w:sz="4" w:space="0" w:color="auto"/>
              <w:left w:val="nil"/>
              <w:bottom w:val="nil"/>
              <w:right w:val="nil"/>
            </w:tcBorders>
          </w:tcPr>
          <w:p w14:paraId="006C1CED" w14:textId="678B3336"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110.11</w:t>
            </w:r>
          </w:p>
        </w:tc>
        <w:tc>
          <w:tcPr>
            <w:tcW w:w="1238" w:type="dxa"/>
            <w:tcBorders>
              <w:top w:val="single" w:sz="4" w:space="0" w:color="auto"/>
              <w:left w:val="nil"/>
              <w:bottom w:val="nil"/>
              <w:right w:val="nil"/>
            </w:tcBorders>
          </w:tcPr>
          <w:p w14:paraId="4E9E66F2" w14:textId="62388EEF"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139.5</w:t>
            </w:r>
          </w:p>
        </w:tc>
      </w:tr>
      <w:tr w:rsidR="006E2135" w14:paraId="4681A869" w14:textId="77777777" w:rsidTr="006E2135">
        <w:trPr>
          <w:trHeight w:val="230"/>
        </w:trPr>
        <w:tc>
          <w:tcPr>
            <w:tcW w:w="629" w:type="dxa"/>
            <w:tcBorders>
              <w:top w:val="nil"/>
              <w:left w:val="nil"/>
              <w:bottom w:val="nil"/>
              <w:right w:val="nil"/>
            </w:tcBorders>
          </w:tcPr>
          <w:p w14:paraId="0BC1EAD7" w14:textId="77777777" w:rsidR="006E2135" w:rsidRDefault="006E2135" w:rsidP="006E2135">
            <w:pPr>
              <w:spacing w:line="276" w:lineRule="auto"/>
              <w:ind w:left="123"/>
            </w:pPr>
            <w:r>
              <w:t xml:space="preserve"> </w:t>
            </w:r>
          </w:p>
        </w:tc>
        <w:tc>
          <w:tcPr>
            <w:tcW w:w="8190" w:type="dxa"/>
            <w:tcBorders>
              <w:top w:val="nil"/>
              <w:left w:val="nil"/>
              <w:bottom w:val="nil"/>
              <w:right w:val="nil"/>
            </w:tcBorders>
          </w:tcPr>
          <w:p w14:paraId="295AEAD0"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SE(d) </w:t>
            </w:r>
          </w:p>
        </w:tc>
        <w:tc>
          <w:tcPr>
            <w:tcW w:w="1227" w:type="dxa"/>
            <w:tcBorders>
              <w:top w:val="nil"/>
              <w:left w:val="nil"/>
              <w:bottom w:val="nil"/>
              <w:right w:val="nil"/>
            </w:tcBorders>
          </w:tcPr>
          <w:p w14:paraId="1FEEE397" w14:textId="2ED04B6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1.69</w:t>
            </w:r>
          </w:p>
        </w:tc>
        <w:tc>
          <w:tcPr>
            <w:tcW w:w="1417" w:type="dxa"/>
            <w:tcBorders>
              <w:top w:val="nil"/>
              <w:left w:val="nil"/>
              <w:bottom w:val="nil"/>
              <w:right w:val="nil"/>
            </w:tcBorders>
          </w:tcPr>
          <w:p w14:paraId="2A9DC9E9" w14:textId="07E898F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1.58</w:t>
            </w:r>
          </w:p>
        </w:tc>
        <w:tc>
          <w:tcPr>
            <w:tcW w:w="1202" w:type="dxa"/>
            <w:tcBorders>
              <w:top w:val="nil"/>
              <w:left w:val="nil"/>
              <w:bottom w:val="nil"/>
              <w:right w:val="nil"/>
            </w:tcBorders>
          </w:tcPr>
          <w:p w14:paraId="0257B003" w14:textId="013FFAB8"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3.224</w:t>
            </w:r>
          </w:p>
        </w:tc>
        <w:tc>
          <w:tcPr>
            <w:tcW w:w="1238" w:type="dxa"/>
            <w:tcBorders>
              <w:top w:val="nil"/>
              <w:left w:val="nil"/>
              <w:bottom w:val="nil"/>
              <w:right w:val="nil"/>
            </w:tcBorders>
          </w:tcPr>
          <w:p w14:paraId="790817B0" w14:textId="0E821BE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2.096</w:t>
            </w:r>
          </w:p>
        </w:tc>
      </w:tr>
      <w:tr w:rsidR="006E2135" w14:paraId="5B29E2BD" w14:textId="77777777" w:rsidTr="006E2135">
        <w:trPr>
          <w:trHeight w:val="232"/>
        </w:trPr>
        <w:tc>
          <w:tcPr>
            <w:tcW w:w="629" w:type="dxa"/>
            <w:tcBorders>
              <w:top w:val="nil"/>
              <w:left w:val="nil"/>
              <w:bottom w:val="single" w:sz="4" w:space="0" w:color="000000"/>
              <w:right w:val="nil"/>
            </w:tcBorders>
          </w:tcPr>
          <w:p w14:paraId="77269D15" w14:textId="77777777" w:rsidR="006E2135" w:rsidRDefault="006E2135" w:rsidP="006E2135">
            <w:pPr>
              <w:spacing w:line="276" w:lineRule="auto"/>
              <w:ind w:left="123"/>
            </w:pPr>
            <w:r>
              <w:t xml:space="preserve"> </w:t>
            </w:r>
          </w:p>
        </w:tc>
        <w:tc>
          <w:tcPr>
            <w:tcW w:w="8190" w:type="dxa"/>
            <w:tcBorders>
              <w:top w:val="nil"/>
              <w:left w:val="nil"/>
              <w:bottom w:val="single" w:sz="4" w:space="0" w:color="000000"/>
              <w:right w:val="nil"/>
            </w:tcBorders>
          </w:tcPr>
          <w:p w14:paraId="1F651FC6"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CD (P=0.05%) </w:t>
            </w:r>
          </w:p>
        </w:tc>
        <w:tc>
          <w:tcPr>
            <w:tcW w:w="1227" w:type="dxa"/>
            <w:tcBorders>
              <w:top w:val="nil"/>
              <w:left w:val="nil"/>
              <w:bottom w:val="single" w:sz="4" w:space="0" w:color="000000"/>
              <w:right w:val="nil"/>
            </w:tcBorders>
          </w:tcPr>
          <w:p w14:paraId="0580AD33" w14:textId="3075CD4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3.51</w:t>
            </w:r>
          </w:p>
        </w:tc>
        <w:tc>
          <w:tcPr>
            <w:tcW w:w="1417" w:type="dxa"/>
            <w:tcBorders>
              <w:top w:val="nil"/>
              <w:left w:val="nil"/>
              <w:bottom w:val="single" w:sz="4" w:space="0" w:color="000000"/>
              <w:right w:val="nil"/>
            </w:tcBorders>
          </w:tcPr>
          <w:p w14:paraId="34812ED5" w14:textId="3250158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3.28</w:t>
            </w:r>
          </w:p>
        </w:tc>
        <w:tc>
          <w:tcPr>
            <w:tcW w:w="1202" w:type="dxa"/>
            <w:tcBorders>
              <w:top w:val="nil"/>
              <w:left w:val="nil"/>
              <w:bottom w:val="single" w:sz="4" w:space="0" w:color="000000"/>
              <w:right w:val="nil"/>
            </w:tcBorders>
          </w:tcPr>
          <w:p w14:paraId="5AEE68C9" w14:textId="45560B1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6.694</w:t>
            </w:r>
          </w:p>
        </w:tc>
        <w:tc>
          <w:tcPr>
            <w:tcW w:w="1238" w:type="dxa"/>
            <w:tcBorders>
              <w:top w:val="nil"/>
              <w:left w:val="nil"/>
              <w:bottom w:val="single" w:sz="4" w:space="0" w:color="000000"/>
              <w:right w:val="nil"/>
            </w:tcBorders>
          </w:tcPr>
          <w:p w14:paraId="0736C4D5" w14:textId="10F4079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4.35</w:t>
            </w:r>
          </w:p>
        </w:tc>
      </w:tr>
    </w:tbl>
    <w:p w14:paraId="24B9365C" w14:textId="0DFEAE62" w:rsidR="00783879" w:rsidRDefault="00783879" w:rsidP="00783879">
      <w:pPr>
        <w:pStyle w:val="BodyText"/>
        <w:rPr>
          <w:spacing w:val="-2"/>
        </w:rPr>
      </w:pPr>
      <w:r>
        <w:t xml:space="preserve">   *PE –</w:t>
      </w:r>
      <w:r>
        <w:rPr>
          <w:spacing w:val="-6"/>
        </w:rPr>
        <w:t xml:space="preserve"> </w:t>
      </w:r>
      <w:r>
        <w:t>Pre-emergence, PoE</w:t>
      </w:r>
      <w:r>
        <w:rPr>
          <w:spacing w:val="2"/>
        </w:rPr>
        <w:t xml:space="preserve"> </w:t>
      </w:r>
      <w:r>
        <w:t>–</w:t>
      </w:r>
      <w:r>
        <w:rPr>
          <w:spacing w:val="-6"/>
        </w:rPr>
        <w:t xml:space="preserve"> </w:t>
      </w:r>
      <w:r>
        <w:t>Post</w:t>
      </w:r>
      <w:r>
        <w:rPr>
          <w:spacing w:val="-1"/>
        </w:rPr>
        <w:t xml:space="preserve"> </w:t>
      </w:r>
      <w:r>
        <w:rPr>
          <w:spacing w:val="-2"/>
        </w:rPr>
        <w:t>emergence</w:t>
      </w:r>
    </w:p>
    <w:p w14:paraId="709207EF" w14:textId="77777777" w:rsidR="006E2135" w:rsidRDefault="006E2135" w:rsidP="007330D3">
      <w:pPr>
        <w:rPr>
          <w:rFonts w:ascii="Arial" w:hAnsi="Arial" w:cs="Arial"/>
          <w:b/>
          <w:bCs/>
          <w:sz w:val="20"/>
          <w:szCs w:val="20"/>
        </w:rPr>
      </w:pPr>
    </w:p>
    <w:p w14:paraId="3F98D6A8" w14:textId="77777777" w:rsidR="007330D3" w:rsidRDefault="007330D3" w:rsidP="007330D3">
      <w:pPr>
        <w:rPr>
          <w:rFonts w:ascii="Arial" w:hAnsi="Arial" w:cs="Arial"/>
          <w:b/>
          <w:bCs/>
          <w:sz w:val="20"/>
          <w:szCs w:val="20"/>
        </w:rPr>
      </w:pPr>
    </w:p>
    <w:p w14:paraId="2423FB91" w14:textId="77777777" w:rsidR="006E2135" w:rsidRDefault="006E2135" w:rsidP="00336361">
      <w:pPr>
        <w:jc w:val="center"/>
        <w:rPr>
          <w:rFonts w:ascii="Arial" w:hAnsi="Arial" w:cs="Arial"/>
          <w:b/>
          <w:bCs/>
          <w:sz w:val="20"/>
          <w:szCs w:val="20"/>
        </w:rPr>
      </w:pPr>
    </w:p>
    <w:p w14:paraId="4C23A88D" w14:textId="77777777" w:rsidR="006E2135" w:rsidRDefault="006E2135" w:rsidP="00336361">
      <w:pPr>
        <w:jc w:val="center"/>
        <w:rPr>
          <w:rFonts w:ascii="Arial" w:hAnsi="Arial" w:cs="Arial"/>
          <w:b/>
          <w:bCs/>
          <w:sz w:val="20"/>
          <w:szCs w:val="20"/>
        </w:rPr>
      </w:pPr>
    </w:p>
    <w:p w14:paraId="73E437AA" w14:textId="77777777" w:rsidR="006E2135" w:rsidRDefault="006E2135" w:rsidP="00336361">
      <w:pPr>
        <w:jc w:val="center"/>
        <w:rPr>
          <w:rFonts w:ascii="Arial" w:hAnsi="Arial" w:cs="Arial"/>
          <w:b/>
          <w:bCs/>
          <w:sz w:val="20"/>
          <w:szCs w:val="20"/>
        </w:rPr>
      </w:pPr>
    </w:p>
    <w:p w14:paraId="2FB58CAB" w14:textId="77777777" w:rsidR="006E2135" w:rsidRDefault="006E2135" w:rsidP="00336361">
      <w:pPr>
        <w:jc w:val="center"/>
        <w:rPr>
          <w:rFonts w:ascii="Arial" w:hAnsi="Arial" w:cs="Arial"/>
          <w:b/>
          <w:bCs/>
          <w:sz w:val="20"/>
          <w:szCs w:val="20"/>
        </w:rPr>
      </w:pPr>
    </w:p>
    <w:p w14:paraId="410DAA3F" w14:textId="0C01D7C0" w:rsidR="006E2135" w:rsidRDefault="006E2135" w:rsidP="006E2135">
      <w:pPr>
        <w:jc w:val="center"/>
        <w:rPr>
          <w:rFonts w:ascii="Arial" w:hAnsi="Arial" w:cs="Arial"/>
          <w:b/>
          <w:bCs/>
          <w:sz w:val="20"/>
          <w:szCs w:val="20"/>
        </w:rPr>
      </w:pPr>
      <w:r w:rsidRPr="00336361">
        <w:rPr>
          <w:rFonts w:ascii="Arial" w:hAnsi="Arial" w:cs="Arial"/>
          <w:b/>
          <w:bCs/>
          <w:sz w:val="20"/>
          <w:szCs w:val="20"/>
        </w:rPr>
        <w:t xml:space="preserve">Table </w:t>
      </w:r>
      <w:r>
        <w:rPr>
          <w:rFonts w:ascii="Arial" w:hAnsi="Arial" w:cs="Arial"/>
          <w:b/>
          <w:bCs/>
          <w:sz w:val="20"/>
          <w:szCs w:val="20"/>
        </w:rPr>
        <w:t>3</w:t>
      </w:r>
      <w:r w:rsidRPr="00336361">
        <w:rPr>
          <w:rFonts w:ascii="Arial" w:hAnsi="Arial" w:cs="Arial"/>
          <w:b/>
          <w:bCs/>
          <w:sz w:val="20"/>
          <w:szCs w:val="20"/>
        </w:rPr>
        <w:t xml:space="preserve">. </w:t>
      </w:r>
      <w:r>
        <w:rPr>
          <w:rFonts w:ascii="Arial" w:hAnsi="Arial" w:cs="Arial"/>
          <w:b/>
          <w:bCs/>
          <w:sz w:val="20"/>
          <w:szCs w:val="20"/>
        </w:rPr>
        <w:t>Effect of herbicidal treatments on total weed density (</w:t>
      </w:r>
      <w:r w:rsidR="00676933">
        <w:rPr>
          <w:rFonts w:ascii="Arial" w:hAnsi="Arial" w:cs="Arial"/>
          <w:b/>
          <w:bCs/>
          <w:sz w:val="20"/>
          <w:szCs w:val="20"/>
        </w:rPr>
        <w:t>No</w:t>
      </w:r>
      <w:r w:rsidR="00343301">
        <w:rPr>
          <w:rFonts w:ascii="Arial" w:hAnsi="Arial" w:cs="Arial"/>
          <w:b/>
          <w:bCs/>
          <w:sz w:val="20"/>
          <w:szCs w:val="20"/>
        </w:rPr>
        <w:t>s</w:t>
      </w:r>
      <w:r w:rsidR="00676933">
        <w:rPr>
          <w:rFonts w:ascii="Arial" w:hAnsi="Arial" w:cs="Arial"/>
          <w:b/>
          <w:bCs/>
          <w:sz w:val="20"/>
          <w:szCs w:val="20"/>
        </w:rPr>
        <w:t>.</w:t>
      </w:r>
      <w:r>
        <w:rPr>
          <w:rFonts w:ascii="Arial" w:hAnsi="Arial" w:cs="Arial"/>
          <w:b/>
          <w:bCs/>
          <w:sz w:val="20"/>
          <w:szCs w:val="20"/>
        </w:rPr>
        <w:t xml:space="preserve"> </w:t>
      </w:r>
      <w:r w:rsidRPr="00676933">
        <w:rPr>
          <w:rFonts w:ascii="Arial" w:hAnsi="Arial" w:cs="Arial"/>
          <w:b/>
          <w:bCs/>
          <w:sz w:val="20"/>
          <w:szCs w:val="20"/>
        </w:rPr>
        <w:t>pot</w:t>
      </w:r>
      <w:r>
        <w:rPr>
          <w:rFonts w:ascii="Arial" w:hAnsi="Arial" w:cs="Arial"/>
          <w:b/>
          <w:bCs/>
          <w:sz w:val="20"/>
          <w:szCs w:val="20"/>
          <w:vertAlign w:val="superscript"/>
        </w:rPr>
        <w:t>-1</w:t>
      </w:r>
      <w:r w:rsidR="00676933">
        <w:rPr>
          <w:rFonts w:ascii="Arial" w:hAnsi="Arial" w:cs="Arial"/>
          <w:b/>
          <w:bCs/>
          <w:sz w:val="20"/>
          <w:szCs w:val="20"/>
        </w:rPr>
        <w:t>) of</w:t>
      </w:r>
      <w:r>
        <w:rPr>
          <w:rFonts w:ascii="Arial" w:hAnsi="Arial" w:cs="Arial"/>
          <w:b/>
          <w:bCs/>
          <w:sz w:val="20"/>
          <w:szCs w:val="20"/>
        </w:rPr>
        <w:t xml:space="preserve"> quinoa</w:t>
      </w:r>
    </w:p>
    <w:p w14:paraId="6C4362C5" w14:textId="77777777" w:rsidR="00676933" w:rsidRDefault="00676933" w:rsidP="006E2135">
      <w:pPr>
        <w:jc w:val="center"/>
        <w:rPr>
          <w:rFonts w:ascii="Arial" w:hAnsi="Arial" w:cs="Arial"/>
          <w:b/>
          <w:bCs/>
          <w:sz w:val="20"/>
          <w:szCs w:val="20"/>
        </w:rPr>
      </w:pPr>
    </w:p>
    <w:tbl>
      <w:tblPr>
        <w:tblStyle w:val="TableGrid"/>
        <w:tblW w:w="13903" w:type="dxa"/>
        <w:tblInd w:w="19" w:type="dxa"/>
        <w:tblCellMar>
          <w:top w:w="3" w:type="dxa"/>
          <w:right w:w="115" w:type="dxa"/>
        </w:tblCellMar>
        <w:tblLook w:val="04A0" w:firstRow="1" w:lastRow="0" w:firstColumn="1" w:lastColumn="0" w:noHBand="0" w:noVBand="1"/>
      </w:tblPr>
      <w:tblGrid>
        <w:gridCol w:w="690"/>
        <w:gridCol w:w="8991"/>
        <w:gridCol w:w="1347"/>
        <w:gridCol w:w="1556"/>
        <w:gridCol w:w="1319"/>
      </w:tblGrid>
      <w:tr w:rsidR="00676933" w:rsidRPr="006E2135" w14:paraId="02192311" w14:textId="77777777" w:rsidTr="00676933">
        <w:trPr>
          <w:trHeight w:val="240"/>
        </w:trPr>
        <w:tc>
          <w:tcPr>
            <w:tcW w:w="9681" w:type="dxa"/>
            <w:gridSpan w:val="2"/>
            <w:tcBorders>
              <w:top w:val="single" w:sz="4" w:space="0" w:color="000000"/>
              <w:left w:val="nil"/>
              <w:bottom w:val="single" w:sz="4" w:space="0" w:color="000000"/>
              <w:right w:val="nil"/>
            </w:tcBorders>
          </w:tcPr>
          <w:p w14:paraId="7D20E9FF" w14:textId="77777777" w:rsidR="00676933" w:rsidRPr="006E2135" w:rsidRDefault="00676933"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347" w:type="dxa"/>
            <w:tcBorders>
              <w:top w:val="single" w:sz="4" w:space="0" w:color="000000"/>
              <w:left w:val="nil"/>
              <w:bottom w:val="single" w:sz="4" w:space="0" w:color="000000"/>
              <w:right w:val="nil"/>
            </w:tcBorders>
          </w:tcPr>
          <w:p w14:paraId="72BDC462" w14:textId="5421FB01"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15</w:t>
            </w:r>
            <w:r w:rsidRPr="006E2135">
              <w:rPr>
                <w:rFonts w:ascii="Arial" w:eastAsia="Arial" w:hAnsi="Arial" w:cs="Arial"/>
                <w:b/>
                <w:sz w:val="20"/>
                <w:szCs w:val="20"/>
              </w:rPr>
              <w:t xml:space="preserve"> DAS</w:t>
            </w:r>
          </w:p>
        </w:tc>
        <w:tc>
          <w:tcPr>
            <w:tcW w:w="1556" w:type="dxa"/>
            <w:tcBorders>
              <w:top w:val="single" w:sz="4" w:space="0" w:color="000000"/>
              <w:left w:val="nil"/>
              <w:bottom w:val="single" w:sz="4" w:space="0" w:color="000000"/>
              <w:right w:val="nil"/>
            </w:tcBorders>
          </w:tcPr>
          <w:p w14:paraId="7523E167" w14:textId="0DA67AA9"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30</w:t>
            </w:r>
            <w:r w:rsidRPr="006E2135">
              <w:rPr>
                <w:rFonts w:ascii="Arial" w:eastAsia="Arial" w:hAnsi="Arial" w:cs="Arial"/>
                <w:b/>
                <w:sz w:val="20"/>
                <w:szCs w:val="20"/>
              </w:rPr>
              <w:t xml:space="preserve"> DAS</w:t>
            </w:r>
          </w:p>
        </w:tc>
        <w:tc>
          <w:tcPr>
            <w:tcW w:w="1319" w:type="dxa"/>
            <w:tcBorders>
              <w:top w:val="single" w:sz="4" w:space="0" w:color="000000"/>
              <w:left w:val="nil"/>
              <w:bottom w:val="single" w:sz="4" w:space="0" w:color="000000"/>
              <w:right w:val="nil"/>
            </w:tcBorders>
          </w:tcPr>
          <w:p w14:paraId="7C8B2BB8" w14:textId="41233A85"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45</w:t>
            </w:r>
            <w:r w:rsidRPr="006E2135">
              <w:rPr>
                <w:rFonts w:ascii="Arial" w:eastAsia="Arial" w:hAnsi="Arial" w:cs="Arial"/>
                <w:b/>
                <w:sz w:val="20"/>
                <w:szCs w:val="20"/>
              </w:rPr>
              <w:t xml:space="preserve"> DAS</w:t>
            </w:r>
          </w:p>
        </w:tc>
      </w:tr>
      <w:tr w:rsidR="00676933" w:rsidRPr="006E2135" w14:paraId="7F9AC9E4" w14:textId="77777777" w:rsidTr="00676933">
        <w:trPr>
          <w:trHeight w:val="309"/>
        </w:trPr>
        <w:tc>
          <w:tcPr>
            <w:tcW w:w="690" w:type="dxa"/>
            <w:tcBorders>
              <w:top w:val="single" w:sz="4" w:space="0" w:color="000000"/>
              <w:left w:val="nil"/>
              <w:bottom w:val="nil"/>
              <w:right w:val="nil"/>
            </w:tcBorders>
          </w:tcPr>
          <w:p w14:paraId="1962E1F9" w14:textId="77777777" w:rsidR="00676933" w:rsidRPr="006E2135" w:rsidRDefault="00676933" w:rsidP="00676933">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991" w:type="dxa"/>
            <w:tcBorders>
              <w:top w:val="single" w:sz="4" w:space="0" w:color="000000"/>
              <w:left w:val="nil"/>
              <w:bottom w:val="nil"/>
              <w:right w:val="nil"/>
            </w:tcBorders>
          </w:tcPr>
          <w:p w14:paraId="0183DA0A"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w:t>
            </w:r>
          </w:p>
        </w:tc>
        <w:tc>
          <w:tcPr>
            <w:tcW w:w="1347" w:type="dxa"/>
            <w:tcBorders>
              <w:top w:val="single" w:sz="4" w:space="0" w:color="000000"/>
              <w:left w:val="nil"/>
              <w:bottom w:val="nil"/>
              <w:right w:val="nil"/>
            </w:tcBorders>
          </w:tcPr>
          <w:p w14:paraId="3A506E2D" w14:textId="7E9314AF"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2.8 (6.80)</w:t>
            </w:r>
          </w:p>
        </w:tc>
        <w:tc>
          <w:tcPr>
            <w:tcW w:w="1556" w:type="dxa"/>
            <w:tcBorders>
              <w:top w:val="single" w:sz="4" w:space="0" w:color="000000"/>
              <w:left w:val="nil"/>
              <w:bottom w:val="nil"/>
              <w:right w:val="nil"/>
            </w:tcBorders>
          </w:tcPr>
          <w:p w14:paraId="3A9F8532" w14:textId="759969B2"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11.</w:t>
            </w:r>
            <w:r w:rsidRPr="00343301">
              <w:rPr>
                <w:rFonts w:ascii="Arial" w:hAnsi="Arial" w:cs="Arial"/>
                <w:sz w:val="20"/>
                <w:szCs w:val="20"/>
              </w:rPr>
              <w:t>9)</w:t>
            </w:r>
          </w:p>
        </w:tc>
        <w:tc>
          <w:tcPr>
            <w:tcW w:w="1319" w:type="dxa"/>
            <w:tcBorders>
              <w:top w:val="single" w:sz="4" w:space="0" w:color="000000"/>
              <w:left w:val="nil"/>
              <w:bottom w:val="nil"/>
              <w:right w:val="nil"/>
            </w:tcBorders>
          </w:tcPr>
          <w:p w14:paraId="14C5B418" w14:textId="5EC495E7"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11.3</w:t>
            </w:r>
            <w:r w:rsidRPr="00343301">
              <w:rPr>
                <w:rFonts w:ascii="Arial" w:hAnsi="Arial" w:cs="Arial"/>
                <w:sz w:val="20"/>
                <w:szCs w:val="20"/>
              </w:rPr>
              <w:t>)</w:t>
            </w:r>
          </w:p>
        </w:tc>
      </w:tr>
      <w:tr w:rsidR="00676933" w:rsidRPr="006E2135" w14:paraId="25CB79AE" w14:textId="77777777" w:rsidTr="00676933">
        <w:trPr>
          <w:trHeight w:val="230"/>
        </w:trPr>
        <w:tc>
          <w:tcPr>
            <w:tcW w:w="690" w:type="dxa"/>
            <w:tcBorders>
              <w:top w:val="nil"/>
              <w:left w:val="nil"/>
              <w:bottom w:val="nil"/>
              <w:right w:val="nil"/>
            </w:tcBorders>
          </w:tcPr>
          <w:p w14:paraId="70403379"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991" w:type="dxa"/>
            <w:tcBorders>
              <w:top w:val="nil"/>
              <w:left w:val="nil"/>
              <w:bottom w:val="nil"/>
              <w:right w:val="nil"/>
            </w:tcBorders>
          </w:tcPr>
          <w:p w14:paraId="6A03AEB4"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Butachlor @ 1000 g a.i./ha at 3 DAS</w:t>
            </w:r>
          </w:p>
        </w:tc>
        <w:tc>
          <w:tcPr>
            <w:tcW w:w="1347" w:type="dxa"/>
            <w:tcBorders>
              <w:top w:val="nil"/>
              <w:left w:val="nil"/>
              <w:bottom w:val="nil"/>
              <w:right w:val="nil"/>
            </w:tcBorders>
          </w:tcPr>
          <w:p w14:paraId="2A521213" w14:textId="5116033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2.6 (5.86)</w:t>
            </w:r>
          </w:p>
        </w:tc>
        <w:tc>
          <w:tcPr>
            <w:tcW w:w="1556" w:type="dxa"/>
            <w:tcBorders>
              <w:top w:val="nil"/>
              <w:left w:val="nil"/>
              <w:bottom w:val="nil"/>
              <w:right w:val="nil"/>
            </w:tcBorders>
          </w:tcPr>
          <w:p w14:paraId="298C1ED9" w14:textId="79136B8F"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12.0</w:t>
            </w:r>
            <w:r w:rsidRPr="00343301">
              <w:rPr>
                <w:rFonts w:ascii="Arial" w:hAnsi="Arial" w:cs="Arial"/>
                <w:sz w:val="20"/>
                <w:szCs w:val="20"/>
              </w:rPr>
              <w:t>)</w:t>
            </w:r>
          </w:p>
        </w:tc>
        <w:tc>
          <w:tcPr>
            <w:tcW w:w="1319" w:type="dxa"/>
            <w:tcBorders>
              <w:top w:val="nil"/>
              <w:left w:val="nil"/>
              <w:bottom w:val="nil"/>
              <w:right w:val="nil"/>
            </w:tcBorders>
          </w:tcPr>
          <w:p w14:paraId="7F882A4B" w14:textId="6EFAE4F3"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11.6</w:t>
            </w:r>
            <w:r w:rsidRPr="00343301">
              <w:rPr>
                <w:rFonts w:ascii="Arial" w:hAnsi="Arial" w:cs="Arial"/>
                <w:sz w:val="20"/>
                <w:szCs w:val="20"/>
              </w:rPr>
              <w:t>)</w:t>
            </w:r>
          </w:p>
        </w:tc>
      </w:tr>
      <w:tr w:rsidR="00676933" w:rsidRPr="006E2135" w14:paraId="1A8DA466" w14:textId="77777777" w:rsidTr="00676933">
        <w:trPr>
          <w:trHeight w:val="229"/>
        </w:trPr>
        <w:tc>
          <w:tcPr>
            <w:tcW w:w="690" w:type="dxa"/>
            <w:tcBorders>
              <w:top w:val="nil"/>
              <w:left w:val="nil"/>
              <w:bottom w:val="nil"/>
              <w:right w:val="nil"/>
            </w:tcBorders>
          </w:tcPr>
          <w:p w14:paraId="0A07DA90"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991" w:type="dxa"/>
            <w:tcBorders>
              <w:top w:val="nil"/>
              <w:left w:val="nil"/>
              <w:bottom w:val="nil"/>
              <w:right w:val="nil"/>
            </w:tcBorders>
          </w:tcPr>
          <w:p w14:paraId="6A586B53"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Pretilachlor @ 750g a.i./ha at 3 DAS</w:t>
            </w:r>
          </w:p>
        </w:tc>
        <w:tc>
          <w:tcPr>
            <w:tcW w:w="1347" w:type="dxa"/>
            <w:tcBorders>
              <w:top w:val="nil"/>
              <w:left w:val="nil"/>
              <w:bottom w:val="nil"/>
              <w:right w:val="nil"/>
            </w:tcBorders>
          </w:tcPr>
          <w:p w14:paraId="5D1A4503" w14:textId="6510607A"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2.7 (6.24)</w:t>
            </w:r>
          </w:p>
        </w:tc>
        <w:tc>
          <w:tcPr>
            <w:tcW w:w="1556" w:type="dxa"/>
            <w:tcBorders>
              <w:top w:val="nil"/>
              <w:left w:val="nil"/>
              <w:bottom w:val="nil"/>
              <w:right w:val="nil"/>
            </w:tcBorders>
          </w:tcPr>
          <w:p w14:paraId="53D67994" w14:textId="7C39D68F"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w:t>
            </w:r>
            <w:r w:rsidRPr="00343301">
              <w:rPr>
                <w:rFonts w:ascii="Arial" w:hAnsi="Arial" w:cs="Arial"/>
                <w:sz w:val="20"/>
                <w:szCs w:val="20"/>
              </w:rPr>
              <w:t>7)</w:t>
            </w:r>
          </w:p>
        </w:tc>
        <w:tc>
          <w:tcPr>
            <w:tcW w:w="1319" w:type="dxa"/>
            <w:tcBorders>
              <w:top w:val="nil"/>
              <w:left w:val="nil"/>
              <w:bottom w:val="nil"/>
              <w:right w:val="nil"/>
            </w:tcBorders>
          </w:tcPr>
          <w:p w14:paraId="6602F569" w14:textId="312E6C9E"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3.4 (</w:t>
            </w:r>
            <w:r w:rsidR="00676933" w:rsidRPr="00343301">
              <w:rPr>
                <w:rFonts w:ascii="Arial" w:hAnsi="Arial" w:cs="Arial"/>
                <w:sz w:val="20"/>
                <w:szCs w:val="20"/>
              </w:rPr>
              <w:t>11.2</w:t>
            </w:r>
            <w:r w:rsidRPr="00343301">
              <w:rPr>
                <w:rFonts w:ascii="Arial" w:hAnsi="Arial" w:cs="Arial"/>
                <w:sz w:val="20"/>
                <w:szCs w:val="20"/>
              </w:rPr>
              <w:t>)</w:t>
            </w:r>
          </w:p>
        </w:tc>
      </w:tr>
      <w:tr w:rsidR="00676933" w:rsidRPr="006E2135" w14:paraId="1EC1E281" w14:textId="77777777" w:rsidTr="00676933">
        <w:trPr>
          <w:trHeight w:val="460"/>
        </w:trPr>
        <w:tc>
          <w:tcPr>
            <w:tcW w:w="690" w:type="dxa"/>
            <w:tcBorders>
              <w:top w:val="nil"/>
              <w:left w:val="nil"/>
              <w:bottom w:val="nil"/>
              <w:right w:val="nil"/>
            </w:tcBorders>
          </w:tcPr>
          <w:p w14:paraId="46E89C12"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991" w:type="dxa"/>
            <w:tcBorders>
              <w:top w:val="nil"/>
              <w:left w:val="nil"/>
              <w:bottom w:val="nil"/>
              <w:right w:val="nil"/>
            </w:tcBorders>
          </w:tcPr>
          <w:p w14:paraId="64B82F2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Pyroxasulfone @ 100g a.i./ha at 3 DAS</w:t>
            </w:r>
          </w:p>
        </w:tc>
        <w:tc>
          <w:tcPr>
            <w:tcW w:w="1347" w:type="dxa"/>
            <w:tcBorders>
              <w:top w:val="nil"/>
              <w:left w:val="nil"/>
              <w:bottom w:val="nil"/>
              <w:right w:val="nil"/>
            </w:tcBorders>
          </w:tcPr>
          <w:p w14:paraId="08F622D2" w14:textId="62DEE7EB"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3.1 (8.36)</w:t>
            </w:r>
          </w:p>
        </w:tc>
        <w:tc>
          <w:tcPr>
            <w:tcW w:w="1556" w:type="dxa"/>
            <w:tcBorders>
              <w:top w:val="nil"/>
              <w:left w:val="nil"/>
              <w:bottom w:val="nil"/>
              <w:right w:val="nil"/>
            </w:tcBorders>
          </w:tcPr>
          <w:p w14:paraId="65A28D7B" w14:textId="449BDF38"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3.8 (</w:t>
            </w:r>
            <w:r w:rsidR="00676933" w:rsidRPr="00343301">
              <w:rPr>
                <w:rFonts w:ascii="Arial" w:hAnsi="Arial" w:cs="Arial"/>
                <w:sz w:val="20"/>
                <w:szCs w:val="20"/>
              </w:rPr>
              <w:t>13.9</w:t>
            </w:r>
            <w:r w:rsidRPr="00343301">
              <w:rPr>
                <w:rFonts w:ascii="Arial" w:hAnsi="Arial" w:cs="Arial"/>
                <w:sz w:val="20"/>
                <w:szCs w:val="20"/>
              </w:rPr>
              <w:t>)</w:t>
            </w:r>
          </w:p>
        </w:tc>
        <w:tc>
          <w:tcPr>
            <w:tcW w:w="1319" w:type="dxa"/>
            <w:tcBorders>
              <w:top w:val="nil"/>
              <w:left w:val="nil"/>
              <w:bottom w:val="nil"/>
              <w:right w:val="nil"/>
            </w:tcBorders>
          </w:tcPr>
          <w:p w14:paraId="281A948E" w14:textId="3A74911C"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3.8 (</w:t>
            </w:r>
            <w:r w:rsidR="00676933" w:rsidRPr="00343301">
              <w:rPr>
                <w:rFonts w:ascii="Arial" w:hAnsi="Arial" w:cs="Arial"/>
                <w:sz w:val="20"/>
                <w:szCs w:val="20"/>
              </w:rPr>
              <w:t>13.3</w:t>
            </w:r>
            <w:r w:rsidRPr="00343301">
              <w:rPr>
                <w:rFonts w:ascii="Arial" w:hAnsi="Arial" w:cs="Arial"/>
                <w:sz w:val="20"/>
                <w:szCs w:val="20"/>
              </w:rPr>
              <w:t>)</w:t>
            </w:r>
          </w:p>
        </w:tc>
      </w:tr>
      <w:tr w:rsidR="00676933" w:rsidRPr="006E2135" w14:paraId="04A2B9DF" w14:textId="77777777" w:rsidTr="00676933">
        <w:trPr>
          <w:trHeight w:val="461"/>
        </w:trPr>
        <w:tc>
          <w:tcPr>
            <w:tcW w:w="690" w:type="dxa"/>
            <w:tcBorders>
              <w:top w:val="nil"/>
              <w:left w:val="nil"/>
              <w:bottom w:val="nil"/>
              <w:right w:val="nil"/>
            </w:tcBorders>
          </w:tcPr>
          <w:p w14:paraId="0F1B3D51"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991" w:type="dxa"/>
            <w:tcBorders>
              <w:top w:val="nil"/>
              <w:left w:val="nil"/>
              <w:bottom w:val="nil"/>
              <w:right w:val="nil"/>
            </w:tcBorders>
          </w:tcPr>
          <w:p w14:paraId="230C06B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PoE application of Clethodim @ 96g a.i./ha at 25 DAS</w:t>
            </w:r>
          </w:p>
        </w:tc>
        <w:tc>
          <w:tcPr>
            <w:tcW w:w="1347" w:type="dxa"/>
            <w:tcBorders>
              <w:top w:val="nil"/>
              <w:left w:val="nil"/>
              <w:bottom w:val="nil"/>
              <w:right w:val="nil"/>
            </w:tcBorders>
          </w:tcPr>
          <w:p w14:paraId="1F6AA6D3" w14:textId="78326888"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3.3 (10.2)</w:t>
            </w:r>
          </w:p>
        </w:tc>
        <w:tc>
          <w:tcPr>
            <w:tcW w:w="1556" w:type="dxa"/>
            <w:tcBorders>
              <w:top w:val="nil"/>
              <w:left w:val="nil"/>
              <w:bottom w:val="nil"/>
              <w:right w:val="nil"/>
            </w:tcBorders>
          </w:tcPr>
          <w:p w14:paraId="598EA84B" w14:textId="1ABD187E"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3.9 (</w:t>
            </w:r>
            <w:r w:rsidR="00676933" w:rsidRPr="00343301">
              <w:rPr>
                <w:rFonts w:ascii="Arial" w:hAnsi="Arial" w:cs="Arial"/>
                <w:sz w:val="20"/>
                <w:szCs w:val="20"/>
              </w:rPr>
              <w:t>14.</w:t>
            </w:r>
            <w:r w:rsidRPr="00343301">
              <w:rPr>
                <w:rFonts w:ascii="Arial" w:hAnsi="Arial" w:cs="Arial"/>
                <w:sz w:val="20"/>
                <w:szCs w:val="20"/>
              </w:rPr>
              <w:t>5)</w:t>
            </w:r>
          </w:p>
        </w:tc>
        <w:tc>
          <w:tcPr>
            <w:tcW w:w="1319" w:type="dxa"/>
            <w:tcBorders>
              <w:top w:val="nil"/>
              <w:left w:val="nil"/>
              <w:bottom w:val="nil"/>
              <w:right w:val="nil"/>
            </w:tcBorders>
          </w:tcPr>
          <w:p w14:paraId="50DB3590" w14:textId="471C68D3"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3.9 (</w:t>
            </w:r>
            <w:r w:rsidR="00676933" w:rsidRPr="00343301">
              <w:rPr>
                <w:rFonts w:ascii="Arial" w:hAnsi="Arial" w:cs="Arial"/>
                <w:sz w:val="20"/>
                <w:szCs w:val="20"/>
              </w:rPr>
              <w:t>13.9</w:t>
            </w:r>
            <w:r w:rsidRPr="00343301">
              <w:rPr>
                <w:rFonts w:ascii="Arial" w:hAnsi="Arial" w:cs="Arial"/>
                <w:sz w:val="20"/>
                <w:szCs w:val="20"/>
              </w:rPr>
              <w:t>)</w:t>
            </w:r>
          </w:p>
        </w:tc>
      </w:tr>
      <w:tr w:rsidR="00676933" w:rsidRPr="006E2135" w14:paraId="21E02925" w14:textId="77777777" w:rsidTr="00676933">
        <w:trPr>
          <w:trHeight w:val="460"/>
        </w:trPr>
        <w:tc>
          <w:tcPr>
            <w:tcW w:w="690" w:type="dxa"/>
            <w:tcBorders>
              <w:top w:val="nil"/>
              <w:left w:val="nil"/>
              <w:bottom w:val="nil"/>
              <w:right w:val="nil"/>
            </w:tcBorders>
          </w:tcPr>
          <w:p w14:paraId="71C14A58"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991" w:type="dxa"/>
            <w:tcBorders>
              <w:top w:val="nil"/>
              <w:left w:val="nil"/>
              <w:bottom w:val="nil"/>
              <w:right w:val="nil"/>
            </w:tcBorders>
          </w:tcPr>
          <w:p w14:paraId="1F4E03DD"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PoE application of </w:t>
            </w:r>
            <w:r w:rsidRPr="006E2135">
              <w:rPr>
                <w:rFonts w:ascii="Arial" w:hAnsi="Arial" w:cs="Arial"/>
                <w:sz w:val="20"/>
                <w:szCs w:val="20"/>
              </w:rPr>
              <w:t>Metamifop @ 1000ml a.i./ha at 25 DAS</w:t>
            </w:r>
          </w:p>
        </w:tc>
        <w:tc>
          <w:tcPr>
            <w:tcW w:w="1347" w:type="dxa"/>
            <w:tcBorders>
              <w:top w:val="nil"/>
              <w:left w:val="nil"/>
              <w:bottom w:val="nil"/>
              <w:right w:val="nil"/>
            </w:tcBorders>
          </w:tcPr>
          <w:p w14:paraId="0EF6EC5C" w14:textId="4487109B"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3.3 (9.76)</w:t>
            </w:r>
          </w:p>
        </w:tc>
        <w:tc>
          <w:tcPr>
            <w:tcW w:w="1556" w:type="dxa"/>
            <w:tcBorders>
              <w:top w:val="nil"/>
              <w:left w:val="nil"/>
              <w:bottom w:val="nil"/>
              <w:right w:val="nil"/>
            </w:tcBorders>
          </w:tcPr>
          <w:p w14:paraId="31D64C4E" w14:textId="086A9486"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4.1 (</w:t>
            </w:r>
            <w:r w:rsidR="00676933" w:rsidRPr="00343301">
              <w:rPr>
                <w:rFonts w:ascii="Arial" w:hAnsi="Arial" w:cs="Arial"/>
                <w:sz w:val="20"/>
                <w:szCs w:val="20"/>
              </w:rPr>
              <w:t>15.6</w:t>
            </w:r>
            <w:r w:rsidRPr="00343301">
              <w:rPr>
                <w:rFonts w:ascii="Arial" w:hAnsi="Arial" w:cs="Arial"/>
                <w:sz w:val="20"/>
                <w:szCs w:val="20"/>
              </w:rPr>
              <w:t>)</w:t>
            </w:r>
          </w:p>
        </w:tc>
        <w:tc>
          <w:tcPr>
            <w:tcW w:w="1319" w:type="dxa"/>
            <w:tcBorders>
              <w:top w:val="nil"/>
              <w:left w:val="nil"/>
              <w:bottom w:val="nil"/>
              <w:right w:val="nil"/>
            </w:tcBorders>
          </w:tcPr>
          <w:p w14:paraId="053A1FBC" w14:textId="3A9A0398"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15.2</w:t>
            </w:r>
            <w:r w:rsidRPr="00343301">
              <w:rPr>
                <w:rFonts w:ascii="Arial" w:hAnsi="Arial" w:cs="Arial"/>
                <w:sz w:val="20"/>
                <w:szCs w:val="20"/>
              </w:rPr>
              <w:t>)</w:t>
            </w:r>
          </w:p>
        </w:tc>
      </w:tr>
      <w:tr w:rsidR="00676933" w:rsidRPr="006E2135" w14:paraId="4DB91AC9" w14:textId="77777777" w:rsidTr="00676933">
        <w:trPr>
          <w:trHeight w:val="460"/>
        </w:trPr>
        <w:tc>
          <w:tcPr>
            <w:tcW w:w="690" w:type="dxa"/>
            <w:tcBorders>
              <w:top w:val="nil"/>
              <w:left w:val="nil"/>
              <w:bottom w:val="nil"/>
              <w:right w:val="nil"/>
            </w:tcBorders>
          </w:tcPr>
          <w:p w14:paraId="2F972C9C"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991" w:type="dxa"/>
            <w:tcBorders>
              <w:top w:val="nil"/>
              <w:left w:val="nil"/>
              <w:bottom w:val="nil"/>
              <w:right w:val="nil"/>
            </w:tcBorders>
          </w:tcPr>
          <w:p w14:paraId="5597310A"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PoE application of Halosulfuron-methyl @ 70g a.i./ha at 25 DAS</w:t>
            </w:r>
          </w:p>
        </w:tc>
        <w:tc>
          <w:tcPr>
            <w:tcW w:w="1347" w:type="dxa"/>
            <w:tcBorders>
              <w:top w:val="nil"/>
              <w:left w:val="nil"/>
              <w:bottom w:val="nil"/>
              <w:right w:val="nil"/>
            </w:tcBorders>
          </w:tcPr>
          <w:p w14:paraId="24413AB4" w14:textId="23048D58"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2.7 (6.46)</w:t>
            </w:r>
          </w:p>
        </w:tc>
        <w:tc>
          <w:tcPr>
            <w:tcW w:w="1556" w:type="dxa"/>
            <w:tcBorders>
              <w:top w:val="nil"/>
              <w:left w:val="nil"/>
              <w:bottom w:val="nil"/>
              <w:right w:val="nil"/>
            </w:tcBorders>
          </w:tcPr>
          <w:p w14:paraId="7575DEB5" w14:textId="4175FEEC"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15.</w:t>
            </w:r>
            <w:r w:rsidRPr="00343301">
              <w:rPr>
                <w:rFonts w:ascii="Arial" w:hAnsi="Arial" w:cs="Arial"/>
                <w:sz w:val="20"/>
                <w:szCs w:val="20"/>
              </w:rPr>
              <w:t>4)</w:t>
            </w:r>
          </w:p>
        </w:tc>
        <w:tc>
          <w:tcPr>
            <w:tcW w:w="1319" w:type="dxa"/>
            <w:tcBorders>
              <w:top w:val="nil"/>
              <w:left w:val="nil"/>
              <w:bottom w:val="nil"/>
              <w:right w:val="nil"/>
            </w:tcBorders>
          </w:tcPr>
          <w:p w14:paraId="45EDC55B" w14:textId="70DF53E6"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14.9</w:t>
            </w:r>
            <w:r w:rsidRPr="00343301">
              <w:rPr>
                <w:rFonts w:ascii="Arial" w:hAnsi="Arial" w:cs="Arial"/>
                <w:sz w:val="20"/>
                <w:szCs w:val="20"/>
              </w:rPr>
              <w:t>)</w:t>
            </w:r>
          </w:p>
        </w:tc>
      </w:tr>
      <w:tr w:rsidR="00676933" w:rsidRPr="006E2135" w14:paraId="509F5E46" w14:textId="77777777" w:rsidTr="00676933">
        <w:trPr>
          <w:trHeight w:val="461"/>
        </w:trPr>
        <w:tc>
          <w:tcPr>
            <w:tcW w:w="690" w:type="dxa"/>
            <w:tcBorders>
              <w:top w:val="nil"/>
              <w:left w:val="nil"/>
              <w:bottom w:val="nil"/>
              <w:right w:val="nil"/>
            </w:tcBorders>
          </w:tcPr>
          <w:p w14:paraId="51456BFB"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991" w:type="dxa"/>
            <w:tcBorders>
              <w:top w:val="nil"/>
              <w:left w:val="nil"/>
              <w:bottom w:val="nil"/>
              <w:right w:val="nil"/>
            </w:tcBorders>
          </w:tcPr>
          <w:p w14:paraId="6F4C69A7"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 + PoE application of Clethodim @ 96g a.i./ha at 25 DAS</w:t>
            </w:r>
          </w:p>
        </w:tc>
        <w:tc>
          <w:tcPr>
            <w:tcW w:w="1347" w:type="dxa"/>
            <w:tcBorders>
              <w:top w:val="nil"/>
              <w:left w:val="nil"/>
              <w:bottom w:val="nil"/>
              <w:right w:val="nil"/>
            </w:tcBorders>
          </w:tcPr>
          <w:p w14:paraId="617E13F7" w14:textId="20B5B52B"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3.0</w:t>
            </w:r>
            <w:r w:rsidR="00676933" w:rsidRPr="00343301">
              <w:rPr>
                <w:rFonts w:ascii="Arial" w:hAnsi="Arial" w:cs="Arial"/>
                <w:sz w:val="20"/>
                <w:szCs w:val="20"/>
              </w:rPr>
              <w:t xml:space="preserve"> (7.96)</w:t>
            </w:r>
          </w:p>
        </w:tc>
        <w:tc>
          <w:tcPr>
            <w:tcW w:w="1556" w:type="dxa"/>
            <w:tcBorders>
              <w:top w:val="nil"/>
              <w:left w:val="nil"/>
              <w:bottom w:val="nil"/>
              <w:right w:val="nil"/>
            </w:tcBorders>
          </w:tcPr>
          <w:p w14:paraId="3CD0E4F0" w14:textId="2143F33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11.</w:t>
            </w:r>
            <w:r w:rsidRPr="00343301">
              <w:rPr>
                <w:rFonts w:ascii="Arial" w:hAnsi="Arial" w:cs="Arial"/>
                <w:sz w:val="20"/>
                <w:szCs w:val="20"/>
              </w:rPr>
              <w:t>7)</w:t>
            </w:r>
          </w:p>
        </w:tc>
        <w:tc>
          <w:tcPr>
            <w:tcW w:w="1319" w:type="dxa"/>
            <w:tcBorders>
              <w:top w:val="nil"/>
              <w:left w:val="nil"/>
              <w:bottom w:val="nil"/>
              <w:right w:val="nil"/>
            </w:tcBorders>
          </w:tcPr>
          <w:p w14:paraId="34EBAED8" w14:textId="10839097"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w:t>
            </w:r>
            <w:r w:rsidRPr="00343301">
              <w:rPr>
                <w:rFonts w:ascii="Arial" w:hAnsi="Arial" w:cs="Arial"/>
                <w:sz w:val="20"/>
                <w:szCs w:val="20"/>
              </w:rPr>
              <w:t>4)</w:t>
            </w:r>
          </w:p>
        </w:tc>
      </w:tr>
      <w:tr w:rsidR="00676933" w:rsidRPr="006E2135" w14:paraId="766F291E" w14:textId="77777777" w:rsidTr="00676933">
        <w:trPr>
          <w:trHeight w:val="230"/>
        </w:trPr>
        <w:tc>
          <w:tcPr>
            <w:tcW w:w="690" w:type="dxa"/>
            <w:tcBorders>
              <w:top w:val="nil"/>
              <w:left w:val="nil"/>
              <w:bottom w:val="nil"/>
              <w:right w:val="nil"/>
            </w:tcBorders>
          </w:tcPr>
          <w:p w14:paraId="0CF07A0D"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991" w:type="dxa"/>
            <w:tcBorders>
              <w:top w:val="nil"/>
              <w:left w:val="nil"/>
              <w:bottom w:val="nil"/>
              <w:right w:val="nil"/>
            </w:tcBorders>
          </w:tcPr>
          <w:p w14:paraId="0086F74E"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a.i./ha at 3 DAS + PoE application of </w:t>
            </w:r>
            <w:r w:rsidRPr="006E2135">
              <w:rPr>
                <w:rFonts w:ascii="Arial" w:hAnsi="Arial" w:cs="Arial"/>
                <w:sz w:val="20"/>
                <w:szCs w:val="20"/>
              </w:rPr>
              <w:t>Metamifop @ 1000ml a.i./ha at 25 DAS</w:t>
            </w:r>
          </w:p>
        </w:tc>
        <w:tc>
          <w:tcPr>
            <w:tcW w:w="1347" w:type="dxa"/>
            <w:tcBorders>
              <w:top w:val="nil"/>
              <w:left w:val="nil"/>
              <w:bottom w:val="nil"/>
              <w:right w:val="nil"/>
            </w:tcBorders>
          </w:tcPr>
          <w:p w14:paraId="54CA0FC0" w14:textId="5ACBFA94"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2.2 (</w:t>
            </w:r>
            <w:r w:rsidR="00676933" w:rsidRPr="00343301">
              <w:rPr>
                <w:rFonts w:ascii="Arial" w:hAnsi="Arial" w:cs="Arial"/>
                <w:sz w:val="20"/>
                <w:szCs w:val="20"/>
              </w:rPr>
              <w:t>3.79</w:t>
            </w:r>
            <w:r w:rsidRPr="00343301">
              <w:rPr>
                <w:rFonts w:ascii="Arial" w:hAnsi="Arial" w:cs="Arial"/>
                <w:sz w:val="20"/>
                <w:szCs w:val="20"/>
              </w:rPr>
              <w:t>)</w:t>
            </w:r>
          </w:p>
        </w:tc>
        <w:tc>
          <w:tcPr>
            <w:tcW w:w="1556" w:type="dxa"/>
            <w:tcBorders>
              <w:top w:val="nil"/>
              <w:left w:val="nil"/>
              <w:bottom w:val="nil"/>
              <w:right w:val="nil"/>
            </w:tcBorders>
          </w:tcPr>
          <w:p w14:paraId="66CB1D3A" w14:textId="19D33FC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3.3 (</w:t>
            </w:r>
            <w:r w:rsidR="00676933" w:rsidRPr="00343301">
              <w:rPr>
                <w:rFonts w:ascii="Arial" w:hAnsi="Arial" w:cs="Arial"/>
                <w:sz w:val="20"/>
                <w:szCs w:val="20"/>
              </w:rPr>
              <w:t>9.8</w:t>
            </w:r>
            <w:r w:rsidRPr="00343301">
              <w:rPr>
                <w:rFonts w:ascii="Arial" w:hAnsi="Arial" w:cs="Arial"/>
                <w:sz w:val="20"/>
                <w:szCs w:val="20"/>
              </w:rPr>
              <w:t>0)</w:t>
            </w:r>
          </w:p>
        </w:tc>
        <w:tc>
          <w:tcPr>
            <w:tcW w:w="1319" w:type="dxa"/>
            <w:tcBorders>
              <w:top w:val="nil"/>
              <w:left w:val="nil"/>
              <w:bottom w:val="nil"/>
              <w:right w:val="nil"/>
            </w:tcBorders>
          </w:tcPr>
          <w:p w14:paraId="192D35A1" w14:textId="7881387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3.2 (</w:t>
            </w:r>
            <w:r w:rsidR="00676933" w:rsidRPr="00343301">
              <w:rPr>
                <w:rFonts w:ascii="Arial" w:hAnsi="Arial" w:cs="Arial"/>
                <w:sz w:val="20"/>
                <w:szCs w:val="20"/>
              </w:rPr>
              <w:t>9.42</w:t>
            </w:r>
            <w:r w:rsidRPr="00343301">
              <w:rPr>
                <w:rFonts w:ascii="Arial" w:hAnsi="Arial" w:cs="Arial"/>
                <w:sz w:val="20"/>
                <w:szCs w:val="20"/>
              </w:rPr>
              <w:t>)</w:t>
            </w:r>
          </w:p>
        </w:tc>
      </w:tr>
      <w:tr w:rsidR="00676933" w:rsidRPr="006E2135" w14:paraId="1176854A" w14:textId="77777777" w:rsidTr="00676933">
        <w:trPr>
          <w:trHeight w:val="230"/>
        </w:trPr>
        <w:tc>
          <w:tcPr>
            <w:tcW w:w="690" w:type="dxa"/>
            <w:tcBorders>
              <w:top w:val="nil"/>
              <w:left w:val="nil"/>
              <w:bottom w:val="nil"/>
              <w:right w:val="nil"/>
            </w:tcBorders>
          </w:tcPr>
          <w:p w14:paraId="2189569E"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991" w:type="dxa"/>
            <w:tcBorders>
              <w:top w:val="nil"/>
              <w:left w:val="nil"/>
              <w:bottom w:val="nil"/>
              <w:right w:val="nil"/>
            </w:tcBorders>
          </w:tcPr>
          <w:p w14:paraId="2CCCA27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PE application of Pretilachlor @ 750g a.i./ha at 3DAS</w:t>
            </w:r>
            <w:r w:rsidRPr="006E2135">
              <w:rPr>
                <w:rFonts w:ascii="Arial" w:hAnsi="Arial" w:cs="Arial"/>
                <w:sz w:val="20"/>
                <w:szCs w:val="20"/>
              </w:rPr>
              <w:t xml:space="preserve"> + </w:t>
            </w:r>
            <w:r w:rsidRPr="006E2135">
              <w:rPr>
                <w:rFonts w:ascii="Arial" w:hAnsi="Arial" w:cs="Arial"/>
                <w:sz w:val="20"/>
                <w:szCs w:val="20"/>
                <w:lang w:val="en-US"/>
              </w:rPr>
              <w:t>PoE application of Halosulfuron-methyl @ 70g a.i./ha at 25 DAS</w:t>
            </w:r>
          </w:p>
        </w:tc>
        <w:tc>
          <w:tcPr>
            <w:tcW w:w="1347" w:type="dxa"/>
            <w:tcBorders>
              <w:top w:val="nil"/>
              <w:left w:val="nil"/>
              <w:bottom w:val="nil"/>
              <w:right w:val="nil"/>
            </w:tcBorders>
          </w:tcPr>
          <w:p w14:paraId="4181C2D7" w14:textId="193F810E"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1.8 (</w:t>
            </w:r>
            <w:r w:rsidR="00676933" w:rsidRPr="00343301">
              <w:rPr>
                <w:rFonts w:ascii="Arial" w:hAnsi="Arial" w:cs="Arial"/>
                <w:spacing w:val="-2"/>
                <w:sz w:val="20"/>
                <w:szCs w:val="20"/>
              </w:rPr>
              <w:t>2.38</w:t>
            </w:r>
            <w:r w:rsidRPr="00343301">
              <w:rPr>
                <w:rFonts w:ascii="Arial" w:hAnsi="Arial" w:cs="Arial"/>
                <w:spacing w:val="-2"/>
                <w:sz w:val="20"/>
                <w:szCs w:val="20"/>
              </w:rPr>
              <w:t>)</w:t>
            </w:r>
          </w:p>
        </w:tc>
        <w:tc>
          <w:tcPr>
            <w:tcW w:w="1556" w:type="dxa"/>
            <w:tcBorders>
              <w:top w:val="nil"/>
              <w:left w:val="nil"/>
              <w:bottom w:val="nil"/>
              <w:right w:val="nil"/>
            </w:tcBorders>
          </w:tcPr>
          <w:p w14:paraId="2A1C8581" w14:textId="65CE66C0"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3.1 (</w:t>
            </w:r>
            <w:r w:rsidR="00676933" w:rsidRPr="00343301">
              <w:rPr>
                <w:rFonts w:ascii="Arial" w:hAnsi="Arial" w:cs="Arial"/>
                <w:spacing w:val="-2"/>
                <w:sz w:val="20"/>
                <w:szCs w:val="20"/>
              </w:rPr>
              <w:t>8.74</w:t>
            </w:r>
            <w:r w:rsidRPr="00343301">
              <w:rPr>
                <w:rFonts w:ascii="Arial" w:hAnsi="Arial" w:cs="Arial"/>
                <w:spacing w:val="-2"/>
                <w:sz w:val="20"/>
                <w:szCs w:val="20"/>
              </w:rPr>
              <w:t>)</w:t>
            </w:r>
          </w:p>
        </w:tc>
        <w:tc>
          <w:tcPr>
            <w:tcW w:w="1319" w:type="dxa"/>
            <w:tcBorders>
              <w:top w:val="nil"/>
              <w:left w:val="nil"/>
              <w:bottom w:val="nil"/>
              <w:right w:val="nil"/>
            </w:tcBorders>
          </w:tcPr>
          <w:p w14:paraId="233A5FB6" w14:textId="76D3B777"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3.1 (</w:t>
            </w:r>
            <w:r w:rsidR="00676933" w:rsidRPr="00343301">
              <w:rPr>
                <w:rFonts w:ascii="Arial" w:hAnsi="Arial" w:cs="Arial"/>
                <w:spacing w:val="-2"/>
                <w:sz w:val="20"/>
                <w:szCs w:val="20"/>
              </w:rPr>
              <w:t>8.46</w:t>
            </w:r>
            <w:r w:rsidRPr="00343301">
              <w:rPr>
                <w:rFonts w:ascii="Arial" w:hAnsi="Arial" w:cs="Arial"/>
                <w:spacing w:val="-2"/>
                <w:sz w:val="20"/>
                <w:szCs w:val="20"/>
              </w:rPr>
              <w:t>)</w:t>
            </w:r>
          </w:p>
        </w:tc>
      </w:tr>
      <w:tr w:rsidR="00676933" w:rsidRPr="006E2135" w14:paraId="45FFC502" w14:textId="77777777" w:rsidTr="00343301">
        <w:trPr>
          <w:trHeight w:val="230"/>
        </w:trPr>
        <w:tc>
          <w:tcPr>
            <w:tcW w:w="690" w:type="dxa"/>
            <w:tcBorders>
              <w:top w:val="nil"/>
              <w:left w:val="nil"/>
              <w:right w:val="nil"/>
            </w:tcBorders>
          </w:tcPr>
          <w:p w14:paraId="0AE415E4" w14:textId="77777777" w:rsidR="00676933" w:rsidRDefault="00676933" w:rsidP="00676933">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991" w:type="dxa"/>
            <w:tcBorders>
              <w:top w:val="nil"/>
              <w:left w:val="nil"/>
              <w:right w:val="nil"/>
            </w:tcBorders>
          </w:tcPr>
          <w:p w14:paraId="6B289388"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rPr>
              <w:t>Weed free check</w:t>
            </w:r>
          </w:p>
        </w:tc>
        <w:tc>
          <w:tcPr>
            <w:tcW w:w="1347" w:type="dxa"/>
            <w:tcBorders>
              <w:top w:val="nil"/>
              <w:left w:val="nil"/>
              <w:right w:val="nil"/>
            </w:tcBorders>
          </w:tcPr>
          <w:p w14:paraId="0EB0C218" w14:textId="23DBA758"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c>
          <w:tcPr>
            <w:tcW w:w="1556" w:type="dxa"/>
            <w:tcBorders>
              <w:top w:val="nil"/>
              <w:left w:val="nil"/>
              <w:right w:val="nil"/>
            </w:tcBorders>
          </w:tcPr>
          <w:p w14:paraId="2E12C599" w14:textId="3CAFA227"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c>
          <w:tcPr>
            <w:tcW w:w="1319" w:type="dxa"/>
            <w:tcBorders>
              <w:top w:val="nil"/>
              <w:left w:val="nil"/>
              <w:right w:val="nil"/>
            </w:tcBorders>
          </w:tcPr>
          <w:p w14:paraId="21333EDF" w14:textId="38EC7B13"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r>
      <w:tr w:rsidR="00676933" w:rsidRPr="006E2135" w14:paraId="2660B65E" w14:textId="77777777" w:rsidTr="00343301">
        <w:trPr>
          <w:trHeight w:val="229"/>
        </w:trPr>
        <w:tc>
          <w:tcPr>
            <w:tcW w:w="690" w:type="dxa"/>
            <w:tcBorders>
              <w:top w:val="nil"/>
              <w:left w:val="nil"/>
              <w:bottom w:val="single" w:sz="4" w:space="0" w:color="auto"/>
              <w:right w:val="nil"/>
            </w:tcBorders>
          </w:tcPr>
          <w:p w14:paraId="0035A8F5" w14:textId="77777777" w:rsidR="00676933" w:rsidRDefault="00676933" w:rsidP="00676933">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991" w:type="dxa"/>
            <w:tcBorders>
              <w:top w:val="nil"/>
              <w:left w:val="nil"/>
              <w:bottom w:val="single" w:sz="4" w:space="0" w:color="auto"/>
              <w:right w:val="nil"/>
            </w:tcBorders>
          </w:tcPr>
          <w:p w14:paraId="259F8091"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rPr>
              <w:t>Unweeded control</w:t>
            </w:r>
          </w:p>
        </w:tc>
        <w:tc>
          <w:tcPr>
            <w:tcW w:w="1347" w:type="dxa"/>
            <w:tcBorders>
              <w:top w:val="nil"/>
              <w:left w:val="nil"/>
              <w:bottom w:val="single" w:sz="4" w:space="0" w:color="auto"/>
              <w:right w:val="nil"/>
            </w:tcBorders>
          </w:tcPr>
          <w:p w14:paraId="7314120A" w14:textId="633A57A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12.03</w:t>
            </w:r>
          </w:p>
        </w:tc>
        <w:tc>
          <w:tcPr>
            <w:tcW w:w="1556" w:type="dxa"/>
            <w:tcBorders>
              <w:top w:val="nil"/>
              <w:left w:val="nil"/>
              <w:bottom w:val="single" w:sz="4" w:space="0" w:color="auto"/>
              <w:right w:val="nil"/>
            </w:tcBorders>
          </w:tcPr>
          <w:p w14:paraId="64051047" w14:textId="50407927"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17.63</w:t>
            </w:r>
          </w:p>
        </w:tc>
        <w:tc>
          <w:tcPr>
            <w:tcW w:w="1319" w:type="dxa"/>
            <w:tcBorders>
              <w:top w:val="nil"/>
              <w:left w:val="nil"/>
              <w:bottom w:val="single" w:sz="4" w:space="0" w:color="auto"/>
              <w:right w:val="nil"/>
            </w:tcBorders>
          </w:tcPr>
          <w:p w14:paraId="314E5D5E" w14:textId="5474B9D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19.96</w:t>
            </w:r>
          </w:p>
        </w:tc>
      </w:tr>
      <w:tr w:rsidR="00676933" w:rsidRPr="006E2135" w14:paraId="652D638B" w14:textId="77777777" w:rsidTr="00343301">
        <w:trPr>
          <w:trHeight w:val="229"/>
        </w:trPr>
        <w:tc>
          <w:tcPr>
            <w:tcW w:w="690" w:type="dxa"/>
            <w:tcBorders>
              <w:top w:val="single" w:sz="4" w:space="0" w:color="auto"/>
              <w:left w:val="nil"/>
              <w:bottom w:val="nil"/>
              <w:right w:val="nil"/>
            </w:tcBorders>
          </w:tcPr>
          <w:p w14:paraId="6740F81B" w14:textId="77777777" w:rsidR="00676933" w:rsidRDefault="00676933" w:rsidP="0004127A">
            <w:pPr>
              <w:spacing w:line="276" w:lineRule="auto"/>
              <w:ind w:left="123"/>
            </w:pPr>
            <w:r>
              <w:t xml:space="preserve"> </w:t>
            </w:r>
          </w:p>
        </w:tc>
        <w:tc>
          <w:tcPr>
            <w:tcW w:w="8991" w:type="dxa"/>
            <w:tcBorders>
              <w:top w:val="single" w:sz="4" w:space="0" w:color="auto"/>
              <w:left w:val="nil"/>
              <w:bottom w:val="nil"/>
              <w:right w:val="nil"/>
            </w:tcBorders>
          </w:tcPr>
          <w:p w14:paraId="427B1A58"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Mean </w:t>
            </w:r>
          </w:p>
        </w:tc>
        <w:tc>
          <w:tcPr>
            <w:tcW w:w="1347" w:type="dxa"/>
            <w:tcBorders>
              <w:top w:val="single" w:sz="4" w:space="0" w:color="auto"/>
              <w:left w:val="nil"/>
              <w:bottom w:val="nil"/>
              <w:right w:val="nil"/>
            </w:tcBorders>
          </w:tcPr>
          <w:p w14:paraId="07AE8973" w14:textId="53EA136E"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2.68</w:t>
            </w:r>
          </w:p>
        </w:tc>
        <w:tc>
          <w:tcPr>
            <w:tcW w:w="1556" w:type="dxa"/>
            <w:tcBorders>
              <w:top w:val="single" w:sz="4" w:space="0" w:color="auto"/>
              <w:left w:val="nil"/>
              <w:bottom w:val="nil"/>
              <w:right w:val="nil"/>
            </w:tcBorders>
          </w:tcPr>
          <w:p w14:paraId="4DDBAE55" w14:textId="1F1A4675"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3.50</w:t>
            </w:r>
          </w:p>
        </w:tc>
        <w:tc>
          <w:tcPr>
            <w:tcW w:w="1319" w:type="dxa"/>
            <w:tcBorders>
              <w:top w:val="single" w:sz="4" w:space="0" w:color="auto"/>
              <w:left w:val="nil"/>
              <w:bottom w:val="nil"/>
              <w:right w:val="nil"/>
            </w:tcBorders>
          </w:tcPr>
          <w:p w14:paraId="7FBBDD80" w14:textId="17CBE80D"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3.47</w:t>
            </w:r>
          </w:p>
        </w:tc>
      </w:tr>
      <w:tr w:rsidR="00676933" w:rsidRPr="006E2135" w14:paraId="5B089516" w14:textId="77777777" w:rsidTr="00676933">
        <w:trPr>
          <w:trHeight w:val="230"/>
        </w:trPr>
        <w:tc>
          <w:tcPr>
            <w:tcW w:w="690" w:type="dxa"/>
            <w:tcBorders>
              <w:top w:val="nil"/>
              <w:left w:val="nil"/>
              <w:bottom w:val="nil"/>
              <w:right w:val="nil"/>
            </w:tcBorders>
          </w:tcPr>
          <w:p w14:paraId="1950C901" w14:textId="77777777" w:rsidR="00676933" w:rsidRDefault="00676933" w:rsidP="0004127A">
            <w:pPr>
              <w:spacing w:line="276" w:lineRule="auto"/>
              <w:ind w:left="123"/>
            </w:pPr>
            <w:r>
              <w:t xml:space="preserve"> </w:t>
            </w:r>
          </w:p>
        </w:tc>
        <w:tc>
          <w:tcPr>
            <w:tcW w:w="8991" w:type="dxa"/>
            <w:tcBorders>
              <w:top w:val="nil"/>
              <w:left w:val="nil"/>
              <w:bottom w:val="nil"/>
              <w:right w:val="nil"/>
            </w:tcBorders>
          </w:tcPr>
          <w:p w14:paraId="4B3BE85B"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SE(d) </w:t>
            </w:r>
          </w:p>
        </w:tc>
        <w:tc>
          <w:tcPr>
            <w:tcW w:w="1347" w:type="dxa"/>
            <w:tcBorders>
              <w:top w:val="nil"/>
              <w:left w:val="nil"/>
              <w:bottom w:val="nil"/>
              <w:right w:val="nil"/>
            </w:tcBorders>
          </w:tcPr>
          <w:p w14:paraId="544DBF5A" w14:textId="0B57DA7F"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0.035</w:t>
            </w:r>
          </w:p>
        </w:tc>
        <w:tc>
          <w:tcPr>
            <w:tcW w:w="1556" w:type="dxa"/>
            <w:tcBorders>
              <w:top w:val="nil"/>
              <w:left w:val="nil"/>
              <w:bottom w:val="nil"/>
              <w:right w:val="nil"/>
            </w:tcBorders>
          </w:tcPr>
          <w:p w14:paraId="45B2C6CC" w14:textId="249A467C"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0.043</w:t>
            </w:r>
          </w:p>
        </w:tc>
        <w:tc>
          <w:tcPr>
            <w:tcW w:w="1319" w:type="dxa"/>
            <w:tcBorders>
              <w:top w:val="nil"/>
              <w:left w:val="nil"/>
              <w:bottom w:val="nil"/>
              <w:right w:val="nil"/>
            </w:tcBorders>
          </w:tcPr>
          <w:p w14:paraId="7681578C" w14:textId="1BFE44D9"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0.028</w:t>
            </w:r>
          </w:p>
        </w:tc>
      </w:tr>
      <w:tr w:rsidR="00676933" w:rsidRPr="006E2135" w14:paraId="1743D3C3" w14:textId="77777777" w:rsidTr="00676933">
        <w:trPr>
          <w:trHeight w:val="232"/>
        </w:trPr>
        <w:tc>
          <w:tcPr>
            <w:tcW w:w="690" w:type="dxa"/>
            <w:tcBorders>
              <w:top w:val="nil"/>
              <w:left w:val="nil"/>
              <w:bottom w:val="single" w:sz="4" w:space="0" w:color="000000"/>
              <w:right w:val="nil"/>
            </w:tcBorders>
          </w:tcPr>
          <w:p w14:paraId="734C5750" w14:textId="77777777" w:rsidR="00676933" w:rsidRDefault="00676933" w:rsidP="0004127A">
            <w:pPr>
              <w:spacing w:line="276" w:lineRule="auto"/>
              <w:ind w:left="123"/>
            </w:pPr>
            <w:r>
              <w:t xml:space="preserve"> </w:t>
            </w:r>
          </w:p>
        </w:tc>
        <w:tc>
          <w:tcPr>
            <w:tcW w:w="8991" w:type="dxa"/>
            <w:tcBorders>
              <w:top w:val="nil"/>
              <w:left w:val="nil"/>
              <w:bottom w:val="single" w:sz="4" w:space="0" w:color="000000"/>
              <w:right w:val="nil"/>
            </w:tcBorders>
          </w:tcPr>
          <w:p w14:paraId="52BE8E99"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CD (P=0.05%) </w:t>
            </w:r>
          </w:p>
        </w:tc>
        <w:tc>
          <w:tcPr>
            <w:tcW w:w="1347" w:type="dxa"/>
            <w:tcBorders>
              <w:top w:val="nil"/>
              <w:left w:val="nil"/>
              <w:bottom w:val="single" w:sz="4" w:space="0" w:color="000000"/>
              <w:right w:val="nil"/>
            </w:tcBorders>
          </w:tcPr>
          <w:p w14:paraId="73716B34" w14:textId="522B3A8B"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0.072</w:t>
            </w:r>
          </w:p>
        </w:tc>
        <w:tc>
          <w:tcPr>
            <w:tcW w:w="1556" w:type="dxa"/>
            <w:tcBorders>
              <w:top w:val="nil"/>
              <w:left w:val="nil"/>
              <w:bottom w:val="single" w:sz="4" w:space="0" w:color="000000"/>
              <w:right w:val="nil"/>
            </w:tcBorders>
          </w:tcPr>
          <w:p w14:paraId="612AB21C" w14:textId="3EFB9214"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0.089</w:t>
            </w:r>
          </w:p>
        </w:tc>
        <w:tc>
          <w:tcPr>
            <w:tcW w:w="1319" w:type="dxa"/>
            <w:tcBorders>
              <w:top w:val="nil"/>
              <w:left w:val="nil"/>
              <w:bottom w:val="single" w:sz="4" w:space="0" w:color="000000"/>
              <w:right w:val="nil"/>
            </w:tcBorders>
          </w:tcPr>
          <w:p w14:paraId="3DFFBEB4" w14:textId="05BF49BD"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0.059</w:t>
            </w:r>
          </w:p>
        </w:tc>
      </w:tr>
    </w:tbl>
    <w:p w14:paraId="1D3CD03E" w14:textId="0E6C549F" w:rsidR="006E2135" w:rsidRPr="00343301" w:rsidRDefault="00272317" w:rsidP="00272317">
      <w:pPr>
        <w:rPr>
          <w:rFonts w:ascii="Arial" w:hAnsi="Arial" w:cs="Arial"/>
          <w:sz w:val="20"/>
          <w:szCs w:val="20"/>
        </w:rPr>
      </w:pPr>
      <w:r w:rsidRPr="00343301">
        <w:rPr>
          <w:rFonts w:ascii="Arial" w:hAnsi="Arial" w:cs="Arial"/>
          <w:sz w:val="20"/>
          <w:szCs w:val="20"/>
        </w:rPr>
        <w:t xml:space="preserve">  *Data were subjected to square root transformation. Values in parenthesis are original values</w:t>
      </w:r>
    </w:p>
    <w:p w14:paraId="7F9821CD" w14:textId="0704E849" w:rsidR="00272317" w:rsidRPr="00D94995" w:rsidRDefault="00783879" w:rsidP="00272317">
      <w:pPr>
        <w:rPr>
          <w:rFonts w:ascii="Arial" w:hAnsi="Arial" w:cs="Arial"/>
          <w:b/>
          <w:bCs/>
          <w:sz w:val="20"/>
          <w:szCs w:val="20"/>
        </w:rPr>
      </w:pPr>
      <w:r>
        <w:t xml:space="preserve">  </w:t>
      </w:r>
      <w:r w:rsidRPr="00D94995">
        <w:rPr>
          <w:rFonts w:ascii="Arial" w:hAnsi="Arial" w:cs="Arial"/>
          <w:sz w:val="20"/>
          <w:szCs w:val="20"/>
        </w:rPr>
        <w:t>*PE –</w:t>
      </w:r>
      <w:r w:rsidRPr="00D94995">
        <w:rPr>
          <w:rFonts w:ascii="Arial" w:hAnsi="Arial" w:cs="Arial"/>
          <w:spacing w:val="-6"/>
          <w:sz w:val="20"/>
          <w:szCs w:val="20"/>
        </w:rPr>
        <w:t xml:space="preserve"> </w:t>
      </w:r>
      <w:r w:rsidRPr="00D94995">
        <w:rPr>
          <w:rFonts w:ascii="Arial" w:hAnsi="Arial" w:cs="Arial"/>
          <w:sz w:val="20"/>
          <w:szCs w:val="20"/>
        </w:rPr>
        <w:t>Pre-emergence, PoE</w:t>
      </w:r>
      <w:r w:rsidRPr="00D94995">
        <w:rPr>
          <w:rFonts w:ascii="Arial" w:hAnsi="Arial" w:cs="Arial"/>
          <w:spacing w:val="2"/>
          <w:sz w:val="20"/>
          <w:szCs w:val="20"/>
        </w:rPr>
        <w:t xml:space="preserve"> </w:t>
      </w:r>
      <w:r w:rsidRPr="00D94995">
        <w:rPr>
          <w:rFonts w:ascii="Arial" w:hAnsi="Arial" w:cs="Arial"/>
          <w:sz w:val="20"/>
          <w:szCs w:val="20"/>
        </w:rPr>
        <w:t>–</w:t>
      </w:r>
      <w:r w:rsidRPr="00D94995">
        <w:rPr>
          <w:rFonts w:ascii="Arial" w:hAnsi="Arial" w:cs="Arial"/>
          <w:spacing w:val="-6"/>
          <w:sz w:val="20"/>
          <w:szCs w:val="20"/>
        </w:rPr>
        <w:t xml:space="preserve"> </w:t>
      </w:r>
      <w:r w:rsidRPr="00D94995">
        <w:rPr>
          <w:rFonts w:ascii="Arial" w:hAnsi="Arial" w:cs="Arial"/>
          <w:sz w:val="20"/>
          <w:szCs w:val="20"/>
        </w:rPr>
        <w:t>Post</w:t>
      </w:r>
      <w:r w:rsidRPr="00D94995">
        <w:rPr>
          <w:rFonts w:ascii="Arial" w:hAnsi="Arial" w:cs="Arial"/>
          <w:spacing w:val="-1"/>
          <w:sz w:val="20"/>
          <w:szCs w:val="20"/>
        </w:rPr>
        <w:t xml:space="preserve"> </w:t>
      </w:r>
      <w:r w:rsidRPr="00D94995">
        <w:rPr>
          <w:rFonts w:ascii="Arial" w:hAnsi="Arial" w:cs="Arial"/>
          <w:spacing w:val="-2"/>
          <w:sz w:val="20"/>
          <w:szCs w:val="20"/>
        </w:rPr>
        <w:t>emergence</w:t>
      </w:r>
    </w:p>
    <w:p w14:paraId="15D1180B" w14:textId="77777777" w:rsidR="00272317" w:rsidRDefault="00272317" w:rsidP="00272317">
      <w:pPr>
        <w:rPr>
          <w:rFonts w:ascii="Arial" w:hAnsi="Arial" w:cs="Arial"/>
          <w:b/>
          <w:bCs/>
          <w:sz w:val="20"/>
          <w:szCs w:val="20"/>
        </w:rPr>
      </w:pPr>
    </w:p>
    <w:p w14:paraId="78833FB8" w14:textId="77777777" w:rsidR="00272317" w:rsidRDefault="00272317" w:rsidP="00272317">
      <w:pPr>
        <w:rPr>
          <w:rFonts w:ascii="Arial" w:hAnsi="Arial" w:cs="Arial"/>
          <w:b/>
          <w:bCs/>
          <w:sz w:val="20"/>
          <w:szCs w:val="20"/>
        </w:rPr>
      </w:pPr>
    </w:p>
    <w:p w14:paraId="242CAA12" w14:textId="77777777" w:rsidR="00343301" w:rsidRDefault="00343301" w:rsidP="00272317">
      <w:pPr>
        <w:jc w:val="center"/>
        <w:rPr>
          <w:rFonts w:ascii="Arial" w:hAnsi="Arial" w:cs="Arial"/>
          <w:b/>
          <w:bCs/>
          <w:sz w:val="20"/>
          <w:szCs w:val="20"/>
        </w:rPr>
      </w:pPr>
    </w:p>
    <w:p w14:paraId="7F442510" w14:textId="4A5118AE" w:rsidR="00272317" w:rsidRDefault="00272317" w:rsidP="00272317">
      <w:pPr>
        <w:jc w:val="center"/>
        <w:rPr>
          <w:rFonts w:ascii="Arial" w:hAnsi="Arial" w:cs="Arial"/>
          <w:b/>
          <w:bCs/>
          <w:sz w:val="20"/>
          <w:szCs w:val="20"/>
        </w:rPr>
      </w:pPr>
      <w:r w:rsidRPr="00336361">
        <w:rPr>
          <w:rFonts w:ascii="Arial" w:hAnsi="Arial" w:cs="Arial"/>
          <w:b/>
          <w:bCs/>
          <w:sz w:val="20"/>
          <w:szCs w:val="20"/>
        </w:rPr>
        <w:t xml:space="preserve">Table </w:t>
      </w:r>
      <w:r>
        <w:rPr>
          <w:rFonts w:ascii="Arial" w:hAnsi="Arial" w:cs="Arial"/>
          <w:b/>
          <w:bCs/>
          <w:sz w:val="20"/>
          <w:szCs w:val="20"/>
        </w:rPr>
        <w:t>4</w:t>
      </w:r>
      <w:r w:rsidRPr="00336361">
        <w:rPr>
          <w:rFonts w:ascii="Arial" w:hAnsi="Arial" w:cs="Arial"/>
          <w:b/>
          <w:bCs/>
          <w:sz w:val="20"/>
          <w:szCs w:val="20"/>
        </w:rPr>
        <w:t xml:space="preserve">. </w:t>
      </w:r>
      <w:r>
        <w:rPr>
          <w:rFonts w:ascii="Arial" w:hAnsi="Arial" w:cs="Arial"/>
          <w:b/>
          <w:bCs/>
          <w:sz w:val="20"/>
          <w:szCs w:val="20"/>
        </w:rPr>
        <w:t>Effect of herbicidal treatments on weed control efficiency (%) of quinoa</w:t>
      </w:r>
    </w:p>
    <w:tbl>
      <w:tblPr>
        <w:tblStyle w:val="TableGrid"/>
        <w:tblW w:w="13903" w:type="dxa"/>
        <w:tblInd w:w="19" w:type="dxa"/>
        <w:tblCellMar>
          <w:top w:w="3" w:type="dxa"/>
          <w:right w:w="115" w:type="dxa"/>
        </w:tblCellMar>
        <w:tblLook w:val="04A0" w:firstRow="1" w:lastRow="0" w:firstColumn="1" w:lastColumn="0" w:noHBand="0" w:noVBand="1"/>
      </w:tblPr>
      <w:tblGrid>
        <w:gridCol w:w="690"/>
        <w:gridCol w:w="8991"/>
        <w:gridCol w:w="1347"/>
        <w:gridCol w:w="1556"/>
        <w:gridCol w:w="1319"/>
      </w:tblGrid>
      <w:tr w:rsidR="004D47D0" w:rsidRPr="006E2135" w14:paraId="4D02B7C6" w14:textId="77777777" w:rsidTr="0004127A">
        <w:trPr>
          <w:trHeight w:val="240"/>
        </w:trPr>
        <w:tc>
          <w:tcPr>
            <w:tcW w:w="9681" w:type="dxa"/>
            <w:gridSpan w:val="2"/>
            <w:tcBorders>
              <w:top w:val="single" w:sz="4" w:space="0" w:color="000000"/>
              <w:left w:val="nil"/>
              <w:bottom w:val="single" w:sz="4" w:space="0" w:color="000000"/>
              <w:right w:val="nil"/>
            </w:tcBorders>
          </w:tcPr>
          <w:p w14:paraId="76BE528D" w14:textId="77777777" w:rsidR="004D47D0" w:rsidRPr="006E2135" w:rsidRDefault="004D47D0"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347" w:type="dxa"/>
            <w:tcBorders>
              <w:top w:val="single" w:sz="4" w:space="0" w:color="000000"/>
              <w:left w:val="nil"/>
              <w:bottom w:val="single" w:sz="4" w:space="0" w:color="000000"/>
              <w:right w:val="nil"/>
            </w:tcBorders>
          </w:tcPr>
          <w:p w14:paraId="7E71F40A"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15</w:t>
            </w:r>
            <w:r w:rsidRPr="006E2135">
              <w:rPr>
                <w:rFonts w:ascii="Arial" w:eastAsia="Arial" w:hAnsi="Arial" w:cs="Arial"/>
                <w:b/>
                <w:sz w:val="20"/>
                <w:szCs w:val="20"/>
              </w:rPr>
              <w:t xml:space="preserve"> DAS</w:t>
            </w:r>
          </w:p>
        </w:tc>
        <w:tc>
          <w:tcPr>
            <w:tcW w:w="1556" w:type="dxa"/>
            <w:tcBorders>
              <w:top w:val="single" w:sz="4" w:space="0" w:color="000000"/>
              <w:left w:val="nil"/>
              <w:bottom w:val="single" w:sz="4" w:space="0" w:color="000000"/>
              <w:right w:val="nil"/>
            </w:tcBorders>
          </w:tcPr>
          <w:p w14:paraId="74AC178B"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30</w:t>
            </w:r>
            <w:r w:rsidRPr="006E2135">
              <w:rPr>
                <w:rFonts w:ascii="Arial" w:eastAsia="Arial" w:hAnsi="Arial" w:cs="Arial"/>
                <w:b/>
                <w:sz w:val="20"/>
                <w:szCs w:val="20"/>
              </w:rPr>
              <w:t xml:space="preserve"> DAS</w:t>
            </w:r>
          </w:p>
        </w:tc>
        <w:tc>
          <w:tcPr>
            <w:tcW w:w="1319" w:type="dxa"/>
            <w:tcBorders>
              <w:top w:val="single" w:sz="4" w:space="0" w:color="000000"/>
              <w:left w:val="nil"/>
              <w:bottom w:val="single" w:sz="4" w:space="0" w:color="000000"/>
              <w:right w:val="nil"/>
            </w:tcBorders>
          </w:tcPr>
          <w:p w14:paraId="09102FB4"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45</w:t>
            </w:r>
            <w:r w:rsidRPr="006E2135">
              <w:rPr>
                <w:rFonts w:ascii="Arial" w:eastAsia="Arial" w:hAnsi="Arial" w:cs="Arial"/>
                <w:b/>
                <w:sz w:val="20"/>
                <w:szCs w:val="20"/>
              </w:rPr>
              <w:t xml:space="preserve"> DAS</w:t>
            </w:r>
          </w:p>
        </w:tc>
      </w:tr>
      <w:tr w:rsidR="004D47D0" w:rsidRPr="006E2135" w14:paraId="19DD6473" w14:textId="77777777" w:rsidTr="0004127A">
        <w:trPr>
          <w:trHeight w:val="309"/>
        </w:trPr>
        <w:tc>
          <w:tcPr>
            <w:tcW w:w="690" w:type="dxa"/>
            <w:tcBorders>
              <w:top w:val="single" w:sz="4" w:space="0" w:color="000000"/>
              <w:left w:val="nil"/>
              <w:bottom w:val="nil"/>
              <w:right w:val="nil"/>
            </w:tcBorders>
          </w:tcPr>
          <w:p w14:paraId="7C510749" w14:textId="77777777" w:rsidR="004D47D0" w:rsidRPr="006E2135" w:rsidRDefault="004D47D0" w:rsidP="004D47D0">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991" w:type="dxa"/>
            <w:tcBorders>
              <w:top w:val="single" w:sz="4" w:space="0" w:color="000000"/>
              <w:left w:val="nil"/>
              <w:bottom w:val="nil"/>
              <w:right w:val="nil"/>
            </w:tcBorders>
          </w:tcPr>
          <w:p w14:paraId="4B916BFD"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w:t>
            </w:r>
          </w:p>
        </w:tc>
        <w:tc>
          <w:tcPr>
            <w:tcW w:w="1347" w:type="dxa"/>
            <w:tcBorders>
              <w:top w:val="single" w:sz="4" w:space="0" w:color="000000"/>
              <w:left w:val="nil"/>
              <w:bottom w:val="nil"/>
              <w:right w:val="nil"/>
            </w:tcBorders>
          </w:tcPr>
          <w:p w14:paraId="24E8951D" w14:textId="735785D9"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55.6</w:t>
            </w:r>
          </w:p>
        </w:tc>
        <w:tc>
          <w:tcPr>
            <w:tcW w:w="1556" w:type="dxa"/>
            <w:tcBorders>
              <w:top w:val="single" w:sz="4" w:space="0" w:color="000000"/>
              <w:left w:val="nil"/>
              <w:bottom w:val="nil"/>
              <w:right w:val="nil"/>
            </w:tcBorders>
          </w:tcPr>
          <w:p w14:paraId="09AD48F6" w14:textId="7FB6D7C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38.15</w:t>
            </w:r>
          </w:p>
        </w:tc>
        <w:tc>
          <w:tcPr>
            <w:tcW w:w="1319" w:type="dxa"/>
            <w:tcBorders>
              <w:top w:val="single" w:sz="4" w:space="0" w:color="000000"/>
              <w:left w:val="nil"/>
              <w:bottom w:val="nil"/>
              <w:right w:val="nil"/>
            </w:tcBorders>
          </w:tcPr>
          <w:p w14:paraId="57D4CD86" w14:textId="2480061E"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57.34</w:t>
            </w:r>
          </w:p>
        </w:tc>
      </w:tr>
      <w:tr w:rsidR="004D47D0" w:rsidRPr="006E2135" w14:paraId="24546DFA" w14:textId="77777777" w:rsidTr="0004127A">
        <w:trPr>
          <w:trHeight w:val="230"/>
        </w:trPr>
        <w:tc>
          <w:tcPr>
            <w:tcW w:w="690" w:type="dxa"/>
            <w:tcBorders>
              <w:top w:val="nil"/>
              <w:left w:val="nil"/>
              <w:bottom w:val="nil"/>
              <w:right w:val="nil"/>
            </w:tcBorders>
          </w:tcPr>
          <w:p w14:paraId="5D63504A"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991" w:type="dxa"/>
            <w:tcBorders>
              <w:top w:val="nil"/>
              <w:left w:val="nil"/>
              <w:bottom w:val="nil"/>
              <w:right w:val="nil"/>
            </w:tcBorders>
          </w:tcPr>
          <w:p w14:paraId="460C0FC8"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Butachlor @ 1000 g a.i./ha at 3 DAS</w:t>
            </w:r>
          </w:p>
        </w:tc>
        <w:tc>
          <w:tcPr>
            <w:tcW w:w="1347" w:type="dxa"/>
            <w:tcBorders>
              <w:top w:val="nil"/>
              <w:left w:val="nil"/>
              <w:bottom w:val="nil"/>
              <w:right w:val="nil"/>
            </w:tcBorders>
          </w:tcPr>
          <w:p w14:paraId="57C650E2" w14:textId="5E77823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70.28</w:t>
            </w:r>
          </w:p>
        </w:tc>
        <w:tc>
          <w:tcPr>
            <w:tcW w:w="1556" w:type="dxa"/>
            <w:tcBorders>
              <w:top w:val="nil"/>
              <w:left w:val="nil"/>
              <w:bottom w:val="nil"/>
              <w:right w:val="nil"/>
            </w:tcBorders>
          </w:tcPr>
          <w:p w14:paraId="6E19D726" w14:textId="29CC5A1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44.45</w:t>
            </w:r>
          </w:p>
        </w:tc>
        <w:tc>
          <w:tcPr>
            <w:tcW w:w="1319" w:type="dxa"/>
            <w:tcBorders>
              <w:top w:val="nil"/>
              <w:left w:val="nil"/>
              <w:bottom w:val="nil"/>
              <w:right w:val="nil"/>
            </w:tcBorders>
          </w:tcPr>
          <w:p w14:paraId="705FBFF8" w14:textId="1FA90ED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60.98</w:t>
            </w:r>
          </w:p>
        </w:tc>
      </w:tr>
      <w:tr w:rsidR="004D47D0" w:rsidRPr="006E2135" w14:paraId="33E31716" w14:textId="77777777" w:rsidTr="0004127A">
        <w:trPr>
          <w:trHeight w:val="229"/>
        </w:trPr>
        <w:tc>
          <w:tcPr>
            <w:tcW w:w="690" w:type="dxa"/>
            <w:tcBorders>
              <w:top w:val="nil"/>
              <w:left w:val="nil"/>
              <w:bottom w:val="nil"/>
              <w:right w:val="nil"/>
            </w:tcBorders>
          </w:tcPr>
          <w:p w14:paraId="560BE46A"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991" w:type="dxa"/>
            <w:tcBorders>
              <w:top w:val="nil"/>
              <w:left w:val="nil"/>
              <w:bottom w:val="nil"/>
              <w:right w:val="nil"/>
            </w:tcBorders>
          </w:tcPr>
          <w:p w14:paraId="2146931F"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Pretilachlor @ 750g a.i./ha at 3 DAS</w:t>
            </w:r>
          </w:p>
        </w:tc>
        <w:tc>
          <w:tcPr>
            <w:tcW w:w="1347" w:type="dxa"/>
            <w:tcBorders>
              <w:top w:val="nil"/>
              <w:left w:val="nil"/>
              <w:bottom w:val="nil"/>
              <w:right w:val="nil"/>
            </w:tcBorders>
          </w:tcPr>
          <w:p w14:paraId="2B86D338" w14:textId="33AAB920"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80.19</w:t>
            </w:r>
          </w:p>
        </w:tc>
        <w:tc>
          <w:tcPr>
            <w:tcW w:w="1556" w:type="dxa"/>
            <w:tcBorders>
              <w:top w:val="nil"/>
              <w:left w:val="nil"/>
              <w:bottom w:val="nil"/>
              <w:right w:val="nil"/>
            </w:tcBorders>
          </w:tcPr>
          <w:p w14:paraId="6E61E5B4" w14:textId="378CDFDC"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50.29</w:t>
            </w:r>
          </w:p>
        </w:tc>
        <w:tc>
          <w:tcPr>
            <w:tcW w:w="1319" w:type="dxa"/>
            <w:tcBorders>
              <w:top w:val="nil"/>
              <w:left w:val="nil"/>
              <w:bottom w:val="nil"/>
              <w:right w:val="nil"/>
            </w:tcBorders>
          </w:tcPr>
          <w:p w14:paraId="3CB62CD7" w14:textId="3274CF9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64.64</w:t>
            </w:r>
          </w:p>
        </w:tc>
      </w:tr>
      <w:tr w:rsidR="004D47D0" w:rsidRPr="006E2135" w14:paraId="76F197B8" w14:textId="77777777" w:rsidTr="0004127A">
        <w:trPr>
          <w:trHeight w:val="460"/>
        </w:trPr>
        <w:tc>
          <w:tcPr>
            <w:tcW w:w="690" w:type="dxa"/>
            <w:tcBorders>
              <w:top w:val="nil"/>
              <w:left w:val="nil"/>
              <w:bottom w:val="nil"/>
              <w:right w:val="nil"/>
            </w:tcBorders>
          </w:tcPr>
          <w:p w14:paraId="29F97ECF"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991" w:type="dxa"/>
            <w:tcBorders>
              <w:top w:val="nil"/>
              <w:left w:val="nil"/>
              <w:bottom w:val="nil"/>
              <w:right w:val="nil"/>
            </w:tcBorders>
          </w:tcPr>
          <w:p w14:paraId="6382A08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Pyroxasulfone @ 100g a.i./ha at 3 DAS</w:t>
            </w:r>
          </w:p>
        </w:tc>
        <w:tc>
          <w:tcPr>
            <w:tcW w:w="1347" w:type="dxa"/>
            <w:tcBorders>
              <w:top w:val="nil"/>
              <w:left w:val="nil"/>
              <w:bottom w:val="nil"/>
              <w:right w:val="nil"/>
            </w:tcBorders>
          </w:tcPr>
          <w:p w14:paraId="2555CA11" w14:textId="464CB76F"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22.36</w:t>
            </w:r>
          </w:p>
        </w:tc>
        <w:tc>
          <w:tcPr>
            <w:tcW w:w="1556" w:type="dxa"/>
            <w:tcBorders>
              <w:top w:val="nil"/>
              <w:left w:val="nil"/>
              <w:bottom w:val="nil"/>
              <w:right w:val="nil"/>
            </w:tcBorders>
          </w:tcPr>
          <w:p w14:paraId="6735B249" w14:textId="08260687"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20.81</w:t>
            </w:r>
          </w:p>
        </w:tc>
        <w:tc>
          <w:tcPr>
            <w:tcW w:w="1319" w:type="dxa"/>
            <w:tcBorders>
              <w:top w:val="nil"/>
              <w:left w:val="nil"/>
              <w:bottom w:val="nil"/>
              <w:right w:val="nil"/>
            </w:tcBorders>
          </w:tcPr>
          <w:p w14:paraId="120578A2" w14:textId="35D51D6B"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45.25</w:t>
            </w:r>
          </w:p>
        </w:tc>
      </w:tr>
      <w:tr w:rsidR="004D47D0" w:rsidRPr="006E2135" w14:paraId="310A4C4F" w14:textId="77777777" w:rsidTr="0004127A">
        <w:trPr>
          <w:trHeight w:val="461"/>
        </w:trPr>
        <w:tc>
          <w:tcPr>
            <w:tcW w:w="690" w:type="dxa"/>
            <w:tcBorders>
              <w:top w:val="nil"/>
              <w:left w:val="nil"/>
              <w:bottom w:val="nil"/>
              <w:right w:val="nil"/>
            </w:tcBorders>
          </w:tcPr>
          <w:p w14:paraId="2D5668E1"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991" w:type="dxa"/>
            <w:tcBorders>
              <w:top w:val="nil"/>
              <w:left w:val="nil"/>
              <w:bottom w:val="nil"/>
              <w:right w:val="nil"/>
            </w:tcBorders>
          </w:tcPr>
          <w:p w14:paraId="67023D1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PoE application of Clethodim @ 96g a.i./ha at 25 DAS</w:t>
            </w:r>
          </w:p>
        </w:tc>
        <w:tc>
          <w:tcPr>
            <w:tcW w:w="1347" w:type="dxa"/>
            <w:tcBorders>
              <w:top w:val="nil"/>
              <w:left w:val="nil"/>
              <w:bottom w:val="nil"/>
              <w:right w:val="nil"/>
            </w:tcBorders>
          </w:tcPr>
          <w:p w14:paraId="5BEF0594" w14:textId="4BD66A70"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27.45</w:t>
            </w:r>
          </w:p>
        </w:tc>
        <w:tc>
          <w:tcPr>
            <w:tcW w:w="1556" w:type="dxa"/>
            <w:tcBorders>
              <w:top w:val="nil"/>
              <w:left w:val="nil"/>
              <w:bottom w:val="nil"/>
              <w:right w:val="nil"/>
            </w:tcBorders>
          </w:tcPr>
          <w:p w14:paraId="7BB5F79F" w14:textId="7BBE18FC"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26.01</w:t>
            </w:r>
          </w:p>
        </w:tc>
        <w:tc>
          <w:tcPr>
            <w:tcW w:w="1319" w:type="dxa"/>
            <w:tcBorders>
              <w:top w:val="nil"/>
              <w:left w:val="nil"/>
              <w:bottom w:val="nil"/>
              <w:right w:val="nil"/>
            </w:tcBorders>
          </w:tcPr>
          <w:p w14:paraId="0EE98E71" w14:textId="46D174A2"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52.06</w:t>
            </w:r>
          </w:p>
        </w:tc>
      </w:tr>
      <w:tr w:rsidR="004D47D0" w:rsidRPr="006E2135" w14:paraId="14DC204D" w14:textId="77777777" w:rsidTr="0004127A">
        <w:trPr>
          <w:trHeight w:val="460"/>
        </w:trPr>
        <w:tc>
          <w:tcPr>
            <w:tcW w:w="690" w:type="dxa"/>
            <w:tcBorders>
              <w:top w:val="nil"/>
              <w:left w:val="nil"/>
              <w:bottom w:val="nil"/>
              <w:right w:val="nil"/>
            </w:tcBorders>
          </w:tcPr>
          <w:p w14:paraId="731E4292"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991" w:type="dxa"/>
            <w:tcBorders>
              <w:top w:val="nil"/>
              <w:left w:val="nil"/>
              <w:bottom w:val="nil"/>
              <w:right w:val="nil"/>
            </w:tcBorders>
          </w:tcPr>
          <w:p w14:paraId="6AECCD01"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PoE application of </w:t>
            </w:r>
            <w:r w:rsidRPr="006E2135">
              <w:rPr>
                <w:rFonts w:ascii="Arial" w:hAnsi="Arial" w:cs="Arial"/>
                <w:sz w:val="20"/>
                <w:szCs w:val="20"/>
              </w:rPr>
              <w:t>Metamifop @ 1000ml a.i./ha at 25 DAS</w:t>
            </w:r>
          </w:p>
        </w:tc>
        <w:tc>
          <w:tcPr>
            <w:tcW w:w="1347" w:type="dxa"/>
            <w:tcBorders>
              <w:top w:val="nil"/>
              <w:left w:val="nil"/>
              <w:bottom w:val="nil"/>
              <w:right w:val="nil"/>
            </w:tcBorders>
          </w:tcPr>
          <w:p w14:paraId="198183D8" w14:textId="6C7432B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30.12</w:t>
            </w:r>
          </w:p>
        </w:tc>
        <w:tc>
          <w:tcPr>
            <w:tcW w:w="1556" w:type="dxa"/>
            <w:tcBorders>
              <w:top w:val="nil"/>
              <w:left w:val="nil"/>
              <w:bottom w:val="nil"/>
              <w:right w:val="nil"/>
            </w:tcBorders>
          </w:tcPr>
          <w:p w14:paraId="18ABBF47" w14:textId="40CA2B03"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21.45</w:t>
            </w:r>
          </w:p>
        </w:tc>
        <w:tc>
          <w:tcPr>
            <w:tcW w:w="1319" w:type="dxa"/>
            <w:tcBorders>
              <w:top w:val="nil"/>
              <w:left w:val="nil"/>
              <w:bottom w:val="nil"/>
              <w:right w:val="nil"/>
            </w:tcBorders>
          </w:tcPr>
          <w:p w14:paraId="0FD5B70D" w14:textId="26E0E33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47.83</w:t>
            </w:r>
          </w:p>
        </w:tc>
      </w:tr>
      <w:tr w:rsidR="004D47D0" w:rsidRPr="006E2135" w14:paraId="2ED1B486" w14:textId="77777777" w:rsidTr="0004127A">
        <w:trPr>
          <w:trHeight w:val="460"/>
        </w:trPr>
        <w:tc>
          <w:tcPr>
            <w:tcW w:w="690" w:type="dxa"/>
            <w:tcBorders>
              <w:top w:val="nil"/>
              <w:left w:val="nil"/>
              <w:bottom w:val="nil"/>
              <w:right w:val="nil"/>
            </w:tcBorders>
          </w:tcPr>
          <w:p w14:paraId="5BCFF4C0"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991" w:type="dxa"/>
            <w:tcBorders>
              <w:top w:val="nil"/>
              <w:left w:val="nil"/>
              <w:bottom w:val="nil"/>
              <w:right w:val="nil"/>
            </w:tcBorders>
          </w:tcPr>
          <w:p w14:paraId="53ED4E3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PoE application of Halosulfuron-methyl @ 70g a.i./ha at 25 DAS</w:t>
            </w:r>
          </w:p>
        </w:tc>
        <w:tc>
          <w:tcPr>
            <w:tcW w:w="1347" w:type="dxa"/>
            <w:tcBorders>
              <w:top w:val="nil"/>
              <w:left w:val="nil"/>
              <w:bottom w:val="nil"/>
              <w:right w:val="nil"/>
            </w:tcBorders>
          </w:tcPr>
          <w:p w14:paraId="51DEF72A" w14:textId="1C7A6A23"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59.83</w:t>
            </w:r>
          </w:p>
        </w:tc>
        <w:tc>
          <w:tcPr>
            <w:tcW w:w="1556" w:type="dxa"/>
            <w:tcBorders>
              <w:top w:val="nil"/>
              <w:left w:val="nil"/>
              <w:bottom w:val="nil"/>
              <w:right w:val="nil"/>
            </w:tcBorders>
          </w:tcPr>
          <w:p w14:paraId="71BCD5E7" w14:textId="1F46856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32.69</w:t>
            </w:r>
          </w:p>
        </w:tc>
        <w:tc>
          <w:tcPr>
            <w:tcW w:w="1319" w:type="dxa"/>
            <w:tcBorders>
              <w:top w:val="nil"/>
              <w:left w:val="nil"/>
              <w:bottom w:val="nil"/>
              <w:right w:val="nil"/>
            </w:tcBorders>
          </w:tcPr>
          <w:p w14:paraId="74670257" w14:textId="6F796FBA"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46.27</w:t>
            </w:r>
          </w:p>
        </w:tc>
      </w:tr>
      <w:tr w:rsidR="004D47D0" w:rsidRPr="006E2135" w14:paraId="0FCF7ADC" w14:textId="77777777" w:rsidTr="0004127A">
        <w:trPr>
          <w:trHeight w:val="461"/>
        </w:trPr>
        <w:tc>
          <w:tcPr>
            <w:tcW w:w="690" w:type="dxa"/>
            <w:tcBorders>
              <w:top w:val="nil"/>
              <w:left w:val="nil"/>
              <w:bottom w:val="nil"/>
              <w:right w:val="nil"/>
            </w:tcBorders>
          </w:tcPr>
          <w:p w14:paraId="3E074854"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991" w:type="dxa"/>
            <w:tcBorders>
              <w:top w:val="nil"/>
              <w:left w:val="nil"/>
              <w:bottom w:val="nil"/>
              <w:right w:val="nil"/>
            </w:tcBorders>
          </w:tcPr>
          <w:p w14:paraId="386E9B94"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S-metolachlor @ 1.67L a.i./ha at 3 DAS + PoE application of Clethodim @ 96g a.i./ha at 25 DAS</w:t>
            </w:r>
          </w:p>
        </w:tc>
        <w:tc>
          <w:tcPr>
            <w:tcW w:w="1347" w:type="dxa"/>
            <w:tcBorders>
              <w:top w:val="nil"/>
              <w:left w:val="nil"/>
              <w:bottom w:val="nil"/>
              <w:right w:val="nil"/>
            </w:tcBorders>
          </w:tcPr>
          <w:p w14:paraId="0653472C" w14:textId="20C01734"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55.96</w:t>
            </w:r>
          </w:p>
        </w:tc>
        <w:tc>
          <w:tcPr>
            <w:tcW w:w="1556" w:type="dxa"/>
            <w:tcBorders>
              <w:top w:val="nil"/>
              <w:left w:val="nil"/>
              <w:bottom w:val="nil"/>
              <w:right w:val="nil"/>
            </w:tcBorders>
          </w:tcPr>
          <w:p w14:paraId="43DE249F" w14:textId="0446D746"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61.59</w:t>
            </w:r>
          </w:p>
        </w:tc>
        <w:tc>
          <w:tcPr>
            <w:tcW w:w="1319" w:type="dxa"/>
            <w:tcBorders>
              <w:top w:val="nil"/>
              <w:left w:val="nil"/>
              <w:bottom w:val="nil"/>
              <w:right w:val="nil"/>
            </w:tcBorders>
          </w:tcPr>
          <w:p w14:paraId="3C2FC619" w14:textId="2CBD407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72.73</w:t>
            </w:r>
          </w:p>
        </w:tc>
      </w:tr>
      <w:tr w:rsidR="004D47D0" w:rsidRPr="006E2135" w14:paraId="154BDC2B" w14:textId="77777777" w:rsidTr="0004127A">
        <w:trPr>
          <w:trHeight w:val="230"/>
        </w:trPr>
        <w:tc>
          <w:tcPr>
            <w:tcW w:w="690" w:type="dxa"/>
            <w:tcBorders>
              <w:top w:val="nil"/>
              <w:left w:val="nil"/>
              <w:bottom w:val="nil"/>
              <w:right w:val="nil"/>
            </w:tcBorders>
          </w:tcPr>
          <w:p w14:paraId="25A9123B"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991" w:type="dxa"/>
            <w:tcBorders>
              <w:top w:val="nil"/>
              <w:left w:val="nil"/>
              <w:bottom w:val="nil"/>
              <w:right w:val="nil"/>
            </w:tcBorders>
          </w:tcPr>
          <w:p w14:paraId="622D1FC6"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a.i./ha at 3 DAS + PoE application of </w:t>
            </w:r>
            <w:r w:rsidRPr="006E2135">
              <w:rPr>
                <w:rFonts w:ascii="Arial" w:hAnsi="Arial" w:cs="Arial"/>
                <w:sz w:val="20"/>
                <w:szCs w:val="20"/>
              </w:rPr>
              <w:t>Metamifop @ 1000ml a.i./ha at 25 DAS</w:t>
            </w:r>
          </w:p>
        </w:tc>
        <w:tc>
          <w:tcPr>
            <w:tcW w:w="1347" w:type="dxa"/>
            <w:tcBorders>
              <w:top w:val="nil"/>
              <w:left w:val="nil"/>
              <w:bottom w:val="nil"/>
              <w:right w:val="nil"/>
            </w:tcBorders>
          </w:tcPr>
          <w:p w14:paraId="7828CD90" w14:textId="735E08B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51.27</w:t>
            </w:r>
          </w:p>
        </w:tc>
        <w:tc>
          <w:tcPr>
            <w:tcW w:w="1556" w:type="dxa"/>
            <w:tcBorders>
              <w:top w:val="nil"/>
              <w:left w:val="nil"/>
              <w:bottom w:val="nil"/>
              <w:right w:val="nil"/>
            </w:tcBorders>
          </w:tcPr>
          <w:p w14:paraId="5062F6F6" w14:textId="798224C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52.73</w:t>
            </w:r>
          </w:p>
        </w:tc>
        <w:tc>
          <w:tcPr>
            <w:tcW w:w="1319" w:type="dxa"/>
            <w:tcBorders>
              <w:top w:val="nil"/>
              <w:left w:val="nil"/>
              <w:bottom w:val="nil"/>
              <w:right w:val="nil"/>
            </w:tcBorders>
          </w:tcPr>
          <w:p w14:paraId="7FA919B3" w14:textId="10C9081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70.96</w:t>
            </w:r>
          </w:p>
        </w:tc>
      </w:tr>
      <w:tr w:rsidR="004D47D0" w:rsidRPr="006E2135" w14:paraId="405352F4" w14:textId="77777777" w:rsidTr="0004127A">
        <w:trPr>
          <w:trHeight w:val="230"/>
        </w:trPr>
        <w:tc>
          <w:tcPr>
            <w:tcW w:w="690" w:type="dxa"/>
            <w:tcBorders>
              <w:top w:val="nil"/>
              <w:left w:val="nil"/>
              <w:bottom w:val="nil"/>
              <w:right w:val="nil"/>
            </w:tcBorders>
          </w:tcPr>
          <w:p w14:paraId="1A4A2614"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991" w:type="dxa"/>
            <w:tcBorders>
              <w:top w:val="nil"/>
              <w:left w:val="nil"/>
              <w:bottom w:val="nil"/>
              <w:right w:val="nil"/>
            </w:tcBorders>
          </w:tcPr>
          <w:p w14:paraId="29A3998B"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PE application of Pretilachlor @ 750g a.i./ha at 3DAS</w:t>
            </w:r>
            <w:r w:rsidRPr="006E2135">
              <w:rPr>
                <w:rFonts w:ascii="Arial" w:hAnsi="Arial" w:cs="Arial"/>
                <w:sz w:val="20"/>
                <w:szCs w:val="20"/>
              </w:rPr>
              <w:t xml:space="preserve"> + </w:t>
            </w:r>
            <w:r w:rsidRPr="006E2135">
              <w:rPr>
                <w:rFonts w:ascii="Arial" w:hAnsi="Arial" w:cs="Arial"/>
                <w:sz w:val="20"/>
                <w:szCs w:val="20"/>
                <w:lang w:val="en-US"/>
              </w:rPr>
              <w:t>PoE application of Halosulfuron-methyl @ 70g a.i./ha at 25 DAS</w:t>
            </w:r>
          </w:p>
        </w:tc>
        <w:tc>
          <w:tcPr>
            <w:tcW w:w="1347" w:type="dxa"/>
            <w:tcBorders>
              <w:top w:val="nil"/>
              <w:left w:val="nil"/>
              <w:bottom w:val="nil"/>
              <w:right w:val="nil"/>
            </w:tcBorders>
          </w:tcPr>
          <w:p w14:paraId="04463FE4" w14:textId="0B48E7B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78.32</w:t>
            </w:r>
          </w:p>
        </w:tc>
        <w:tc>
          <w:tcPr>
            <w:tcW w:w="1556" w:type="dxa"/>
            <w:tcBorders>
              <w:top w:val="nil"/>
              <w:left w:val="nil"/>
              <w:bottom w:val="nil"/>
              <w:right w:val="nil"/>
            </w:tcBorders>
          </w:tcPr>
          <w:p w14:paraId="160DD1DE" w14:textId="06EE7DF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68.79</w:t>
            </w:r>
          </w:p>
        </w:tc>
        <w:tc>
          <w:tcPr>
            <w:tcW w:w="1319" w:type="dxa"/>
            <w:tcBorders>
              <w:top w:val="nil"/>
              <w:left w:val="nil"/>
              <w:bottom w:val="nil"/>
              <w:right w:val="nil"/>
            </w:tcBorders>
          </w:tcPr>
          <w:p w14:paraId="2B38E26E" w14:textId="0663842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74.96</w:t>
            </w:r>
          </w:p>
        </w:tc>
      </w:tr>
      <w:tr w:rsidR="004D47D0" w:rsidRPr="006E2135" w14:paraId="161B87CD" w14:textId="77777777" w:rsidTr="00343301">
        <w:trPr>
          <w:trHeight w:val="230"/>
        </w:trPr>
        <w:tc>
          <w:tcPr>
            <w:tcW w:w="690" w:type="dxa"/>
            <w:tcBorders>
              <w:top w:val="nil"/>
              <w:left w:val="nil"/>
              <w:right w:val="nil"/>
            </w:tcBorders>
          </w:tcPr>
          <w:p w14:paraId="57A22EEF" w14:textId="77777777" w:rsidR="004D47D0" w:rsidRDefault="004D47D0" w:rsidP="004D47D0">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991" w:type="dxa"/>
            <w:tcBorders>
              <w:top w:val="nil"/>
              <w:left w:val="nil"/>
              <w:right w:val="nil"/>
            </w:tcBorders>
          </w:tcPr>
          <w:p w14:paraId="03EF6DEE"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rPr>
              <w:t>Weed free check</w:t>
            </w:r>
          </w:p>
        </w:tc>
        <w:tc>
          <w:tcPr>
            <w:tcW w:w="1347" w:type="dxa"/>
            <w:tcBorders>
              <w:top w:val="nil"/>
              <w:left w:val="nil"/>
              <w:right w:val="nil"/>
            </w:tcBorders>
          </w:tcPr>
          <w:p w14:paraId="1358F48B" w14:textId="32D1F668"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c>
          <w:tcPr>
            <w:tcW w:w="1556" w:type="dxa"/>
            <w:tcBorders>
              <w:top w:val="nil"/>
              <w:left w:val="nil"/>
              <w:right w:val="nil"/>
            </w:tcBorders>
          </w:tcPr>
          <w:p w14:paraId="56AA2AFF" w14:textId="3BE6C1A2"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c>
          <w:tcPr>
            <w:tcW w:w="1319" w:type="dxa"/>
            <w:tcBorders>
              <w:top w:val="nil"/>
              <w:left w:val="nil"/>
              <w:right w:val="nil"/>
            </w:tcBorders>
          </w:tcPr>
          <w:p w14:paraId="594062CF" w14:textId="1E9F3321"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r>
      <w:tr w:rsidR="004D47D0" w:rsidRPr="006E2135" w14:paraId="3803E70A" w14:textId="77777777" w:rsidTr="00343301">
        <w:trPr>
          <w:trHeight w:val="229"/>
        </w:trPr>
        <w:tc>
          <w:tcPr>
            <w:tcW w:w="690" w:type="dxa"/>
            <w:tcBorders>
              <w:top w:val="nil"/>
              <w:left w:val="nil"/>
              <w:bottom w:val="single" w:sz="4" w:space="0" w:color="auto"/>
              <w:right w:val="nil"/>
            </w:tcBorders>
          </w:tcPr>
          <w:p w14:paraId="39358CD4" w14:textId="77777777" w:rsidR="004D47D0" w:rsidRDefault="004D47D0" w:rsidP="004D47D0">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991" w:type="dxa"/>
            <w:tcBorders>
              <w:top w:val="nil"/>
              <w:left w:val="nil"/>
              <w:bottom w:val="single" w:sz="4" w:space="0" w:color="auto"/>
              <w:right w:val="nil"/>
            </w:tcBorders>
          </w:tcPr>
          <w:p w14:paraId="5668742F" w14:textId="41B21F84" w:rsidR="004D47D0" w:rsidRPr="006E2135" w:rsidRDefault="004D47D0" w:rsidP="004D47D0">
            <w:pPr>
              <w:spacing w:line="276" w:lineRule="auto"/>
              <w:rPr>
                <w:rFonts w:ascii="Arial" w:hAnsi="Arial" w:cs="Arial"/>
                <w:sz w:val="20"/>
                <w:szCs w:val="20"/>
              </w:rPr>
            </w:pPr>
            <w:r w:rsidRPr="006E2135">
              <w:rPr>
                <w:rFonts w:ascii="Arial" w:hAnsi="Arial" w:cs="Arial"/>
                <w:sz w:val="20"/>
                <w:szCs w:val="20"/>
              </w:rPr>
              <w:t>Unweeded contro</w:t>
            </w:r>
            <w:r w:rsidR="00D94995">
              <w:rPr>
                <w:rFonts w:ascii="Arial" w:hAnsi="Arial" w:cs="Arial"/>
                <w:sz w:val="20"/>
                <w:szCs w:val="20"/>
              </w:rPr>
              <w:t>l</w:t>
            </w:r>
          </w:p>
        </w:tc>
        <w:tc>
          <w:tcPr>
            <w:tcW w:w="1347" w:type="dxa"/>
            <w:tcBorders>
              <w:top w:val="nil"/>
              <w:left w:val="nil"/>
              <w:bottom w:val="single" w:sz="4" w:space="0" w:color="auto"/>
              <w:right w:val="nil"/>
            </w:tcBorders>
          </w:tcPr>
          <w:p w14:paraId="003E20BF" w14:textId="5C79333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c>
          <w:tcPr>
            <w:tcW w:w="1556" w:type="dxa"/>
            <w:tcBorders>
              <w:top w:val="nil"/>
              <w:left w:val="nil"/>
              <w:bottom w:val="single" w:sz="4" w:space="0" w:color="auto"/>
              <w:right w:val="nil"/>
            </w:tcBorders>
          </w:tcPr>
          <w:p w14:paraId="6A7AE18D" w14:textId="30AE5744"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c>
          <w:tcPr>
            <w:tcW w:w="1319" w:type="dxa"/>
            <w:tcBorders>
              <w:top w:val="nil"/>
              <w:left w:val="nil"/>
              <w:bottom w:val="single" w:sz="4" w:space="0" w:color="auto"/>
              <w:right w:val="nil"/>
            </w:tcBorders>
          </w:tcPr>
          <w:p w14:paraId="072BD7D6" w14:textId="2B568B7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r>
      <w:tr w:rsidR="004D47D0" w:rsidRPr="006E2135" w14:paraId="51059F9C" w14:textId="77777777" w:rsidTr="00343301">
        <w:trPr>
          <w:trHeight w:val="232"/>
        </w:trPr>
        <w:tc>
          <w:tcPr>
            <w:tcW w:w="690" w:type="dxa"/>
            <w:tcBorders>
              <w:top w:val="single" w:sz="4" w:space="0" w:color="auto"/>
              <w:left w:val="nil"/>
              <w:bottom w:val="single" w:sz="4" w:space="0" w:color="000000"/>
              <w:right w:val="nil"/>
            </w:tcBorders>
          </w:tcPr>
          <w:p w14:paraId="3AF837D1" w14:textId="77777777" w:rsidR="004D47D0" w:rsidRDefault="004D47D0" w:rsidP="004D47D0">
            <w:pPr>
              <w:spacing w:line="276" w:lineRule="auto"/>
              <w:ind w:left="123"/>
            </w:pPr>
            <w:r>
              <w:t xml:space="preserve"> </w:t>
            </w:r>
          </w:p>
        </w:tc>
        <w:tc>
          <w:tcPr>
            <w:tcW w:w="8991" w:type="dxa"/>
            <w:tcBorders>
              <w:top w:val="single" w:sz="4" w:space="0" w:color="auto"/>
              <w:left w:val="nil"/>
              <w:bottom w:val="single" w:sz="4" w:space="0" w:color="000000"/>
              <w:right w:val="nil"/>
            </w:tcBorders>
          </w:tcPr>
          <w:p w14:paraId="5F82203F" w14:textId="712721BE" w:rsidR="004D47D0" w:rsidRPr="004D47D0" w:rsidRDefault="004D47D0" w:rsidP="004D47D0">
            <w:pPr>
              <w:spacing w:line="276" w:lineRule="auto"/>
              <w:rPr>
                <w:rFonts w:ascii="Arial" w:hAnsi="Arial" w:cs="Arial"/>
                <w:b/>
                <w:bCs/>
                <w:sz w:val="20"/>
                <w:szCs w:val="20"/>
              </w:rPr>
            </w:pPr>
            <w:r w:rsidRPr="004D47D0">
              <w:rPr>
                <w:rFonts w:ascii="Arial" w:hAnsi="Arial" w:cs="Arial"/>
                <w:b/>
                <w:bCs/>
                <w:sz w:val="20"/>
                <w:szCs w:val="20"/>
              </w:rPr>
              <w:t>Mean</w:t>
            </w:r>
          </w:p>
        </w:tc>
        <w:tc>
          <w:tcPr>
            <w:tcW w:w="1347" w:type="dxa"/>
            <w:tcBorders>
              <w:top w:val="single" w:sz="4" w:space="0" w:color="auto"/>
              <w:left w:val="nil"/>
              <w:bottom w:val="single" w:sz="4" w:space="0" w:color="000000"/>
              <w:right w:val="nil"/>
            </w:tcBorders>
          </w:tcPr>
          <w:p w14:paraId="1E1BEA21" w14:textId="3231442D"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52.62</w:t>
            </w:r>
          </w:p>
        </w:tc>
        <w:tc>
          <w:tcPr>
            <w:tcW w:w="1556" w:type="dxa"/>
            <w:tcBorders>
              <w:top w:val="single" w:sz="4" w:space="0" w:color="auto"/>
              <w:left w:val="nil"/>
              <w:bottom w:val="single" w:sz="4" w:space="0" w:color="000000"/>
              <w:right w:val="nil"/>
            </w:tcBorders>
          </w:tcPr>
          <w:p w14:paraId="2FF1B447" w14:textId="27113410"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43.08</w:t>
            </w:r>
          </w:p>
        </w:tc>
        <w:tc>
          <w:tcPr>
            <w:tcW w:w="1319" w:type="dxa"/>
            <w:tcBorders>
              <w:top w:val="single" w:sz="4" w:space="0" w:color="auto"/>
              <w:left w:val="nil"/>
              <w:bottom w:val="single" w:sz="4" w:space="0" w:color="000000"/>
              <w:right w:val="nil"/>
            </w:tcBorders>
          </w:tcPr>
          <w:p w14:paraId="669DDBC9" w14:textId="5A0708C0"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57.75</w:t>
            </w:r>
          </w:p>
        </w:tc>
      </w:tr>
    </w:tbl>
    <w:p w14:paraId="09712FFD" w14:textId="6DC04B36" w:rsidR="004D47D0" w:rsidRPr="00D94995" w:rsidRDefault="00783879" w:rsidP="00783879">
      <w:pPr>
        <w:rPr>
          <w:rFonts w:ascii="Arial" w:hAnsi="Arial" w:cs="Arial"/>
          <w:b/>
          <w:bCs/>
          <w:sz w:val="18"/>
          <w:szCs w:val="18"/>
        </w:rPr>
      </w:pPr>
      <w:r w:rsidRPr="00D94995">
        <w:rPr>
          <w:rFonts w:ascii="Arial" w:hAnsi="Arial" w:cs="Arial"/>
          <w:sz w:val="20"/>
          <w:szCs w:val="20"/>
        </w:rPr>
        <w:t xml:space="preserve">     *PE –</w:t>
      </w:r>
      <w:r w:rsidRPr="00D94995">
        <w:rPr>
          <w:rFonts w:ascii="Arial" w:hAnsi="Arial" w:cs="Arial"/>
          <w:spacing w:val="-6"/>
          <w:sz w:val="20"/>
          <w:szCs w:val="20"/>
        </w:rPr>
        <w:t xml:space="preserve"> </w:t>
      </w:r>
      <w:r w:rsidRPr="00D94995">
        <w:rPr>
          <w:rFonts w:ascii="Arial" w:hAnsi="Arial" w:cs="Arial"/>
          <w:sz w:val="20"/>
          <w:szCs w:val="20"/>
        </w:rPr>
        <w:t>Pre-emergence, PoE</w:t>
      </w:r>
      <w:r w:rsidRPr="00D94995">
        <w:rPr>
          <w:rFonts w:ascii="Arial" w:hAnsi="Arial" w:cs="Arial"/>
          <w:spacing w:val="2"/>
          <w:sz w:val="20"/>
          <w:szCs w:val="20"/>
        </w:rPr>
        <w:t xml:space="preserve"> </w:t>
      </w:r>
      <w:r w:rsidRPr="00D94995">
        <w:rPr>
          <w:rFonts w:ascii="Arial" w:hAnsi="Arial" w:cs="Arial"/>
          <w:sz w:val="20"/>
          <w:szCs w:val="20"/>
        </w:rPr>
        <w:t>–</w:t>
      </w:r>
      <w:r w:rsidRPr="00D94995">
        <w:rPr>
          <w:rFonts w:ascii="Arial" w:hAnsi="Arial" w:cs="Arial"/>
          <w:spacing w:val="-6"/>
          <w:sz w:val="20"/>
          <w:szCs w:val="20"/>
        </w:rPr>
        <w:t xml:space="preserve"> </w:t>
      </w:r>
      <w:r w:rsidRPr="00D94995">
        <w:rPr>
          <w:rFonts w:ascii="Arial" w:hAnsi="Arial" w:cs="Arial"/>
          <w:sz w:val="20"/>
          <w:szCs w:val="20"/>
        </w:rPr>
        <w:t>Post</w:t>
      </w:r>
      <w:r w:rsidRPr="00D94995">
        <w:rPr>
          <w:rFonts w:ascii="Arial" w:hAnsi="Arial" w:cs="Arial"/>
          <w:spacing w:val="-1"/>
          <w:sz w:val="20"/>
          <w:szCs w:val="20"/>
        </w:rPr>
        <w:t xml:space="preserve"> </w:t>
      </w:r>
      <w:r w:rsidRPr="00D94995">
        <w:rPr>
          <w:rFonts w:ascii="Arial" w:hAnsi="Arial" w:cs="Arial"/>
          <w:spacing w:val="-2"/>
          <w:sz w:val="20"/>
          <w:szCs w:val="20"/>
        </w:rPr>
        <w:t>emergence</w:t>
      </w:r>
    </w:p>
    <w:p w14:paraId="05894C63" w14:textId="77777777" w:rsidR="00272317" w:rsidRDefault="00272317" w:rsidP="00272317">
      <w:pPr>
        <w:rPr>
          <w:rFonts w:ascii="Arial" w:hAnsi="Arial" w:cs="Arial"/>
          <w:b/>
          <w:bCs/>
          <w:sz w:val="20"/>
          <w:szCs w:val="20"/>
        </w:rPr>
      </w:pPr>
    </w:p>
    <w:p w14:paraId="62890F6C" w14:textId="77777777" w:rsidR="004D47D0" w:rsidRDefault="004D47D0" w:rsidP="00272317">
      <w:pPr>
        <w:rPr>
          <w:rFonts w:ascii="Arial" w:hAnsi="Arial" w:cs="Arial"/>
          <w:b/>
          <w:bCs/>
          <w:sz w:val="20"/>
          <w:szCs w:val="20"/>
        </w:rPr>
      </w:pPr>
    </w:p>
    <w:p w14:paraId="06E32590" w14:textId="77777777" w:rsidR="004D47D0" w:rsidRDefault="004D47D0" w:rsidP="00272317">
      <w:pPr>
        <w:rPr>
          <w:rFonts w:ascii="Arial" w:hAnsi="Arial" w:cs="Arial"/>
          <w:b/>
          <w:bCs/>
          <w:sz w:val="20"/>
          <w:szCs w:val="20"/>
        </w:rPr>
      </w:pPr>
    </w:p>
    <w:p w14:paraId="4795180F" w14:textId="77777777" w:rsidR="004D47D0" w:rsidRDefault="004D47D0" w:rsidP="00272317">
      <w:pPr>
        <w:rPr>
          <w:rFonts w:ascii="Arial" w:hAnsi="Arial" w:cs="Arial"/>
          <w:b/>
          <w:bCs/>
          <w:sz w:val="20"/>
          <w:szCs w:val="20"/>
        </w:rPr>
      </w:pPr>
    </w:p>
    <w:p w14:paraId="5C7F10A4" w14:textId="77777777" w:rsidR="004D47D0" w:rsidRDefault="004D47D0" w:rsidP="00272317">
      <w:pPr>
        <w:rPr>
          <w:rFonts w:ascii="Arial" w:hAnsi="Arial" w:cs="Arial"/>
          <w:b/>
          <w:bCs/>
          <w:sz w:val="20"/>
          <w:szCs w:val="20"/>
        </w:rPr>
      </w:pPr>
    </w:p>
    <w:p w14:paraId="63ED09C0" w14:textId="77777777" w:rsidR="004D47D0" w:rsidRDefault="004D47D0" w:rsidP="00272317">
      <w:pPr>
        <w:rPr>
          <w:rFonts w:ascii="Arial" w:hAnsi="Arial" w:cs="Arial"/>
          <w:b/>
          <w:bCs/>
          <w:sz w:val="20"/>
          <w:szCs w:val="20"/>
        </w:rPr>
      </w:pPr>
    </w:p>
    <w:p w14:paraId="5371FCF5" w14:textId="77777777" w:rsidR="004D47D0" w:rsidRDefault="004D47D0" w:rsidP="00272317">
      <w:pPr>
        <w:rPr>
          <w:rFonts w:ascii="Arial" w:hAnsi="Arial" w:cs="Arial"/>
          <w:b/>
          <w:bCs/>
          <w:sz w:val="20"/>
          <w:szCs w:val="20"/>
        </w:rPr>
      </w:pPr>
    </w:p>
    <w:p w14:paraId="698E3505" w14:textId="148595C0" w:rsidR="004D47D0" w:rsidRDefault="001C3426" w:rsidP="004D47D0">
      <w:pPr>
        <w:jc w:val="center"/>
        <w:rPr>
          <w:rFonts w:ascii="Arial" w:hAnsi="Arial" w:cs="Arial"/>
          <w:b/>
          <w:bCs/>
          <w:sz w:val="20"/>
          <w:szCs w:val="20"/>
        </w:rPr>
      </w:pPr>
      <w:r>
        <w:rPr>
          <w:noProof/>
        </w:rPr>
        <w:drawing>
          <wp:inline distT="0" distB="0" distL="0" distR="0" wp14:anchorId="63CEA47D" wp14:editId="4A42AC36">
            <wp:extent cx="8725359" cy="4990465"/>
            <wp:effectExtent l="0" t="0" r="0" b="635"/>
            <wp:docPr id="1817235523" name="Chart 1">
              <a:extLst xmlns:a="http://schemas.openxmlformats.org/drawingml/2006/main">
                <a:ext uri="{FF2B5EF4-FFF2-40B4-BE49-F238E27FC236}">
                  <a16:creationId xmlns:a16="http://schemas.microsoft.com/office/drawing/2014/main" id="{6B2610A5-CAAB-EBC5-7615-5AA540FF7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130A1" w14:textId="052E9B64" w:rsidR="000109B7" w:rsidRDefault="000109B7" w:rsidP="000109B7">
      <w:pPr>
        <w:jc w:val="center"/>
        <w:rPr>
          <w:rFonts w:ascii="Arial" w:hAnsi="Arial" w:cs="Arial"/>
          <w:b/>
          <w:bCs/>
          <w:sz w:val="20"/>
          <w:szCs w:val="20"/>
        </w:rPr>
      </w:pPr>
      <w:r>
        <w:rPr>
          <w:rFonts w:ascii="Arial" w:hAnsi="Arial" w:cs="Arial"/>
          <w:b/>
          <w:bCs/>
          <w:sz w:val="20"/>
          <w:szCs w:val="20"/>
        </w:rPr>
        <w:t xml:space="preserve">          Fig 1</w:t>
      </w:r>
      <w:r w:rsidRPr="00336361">
        <w:rPr>
          <w:rFonts w:ascii="Arial" w:hAnsi="Arial" w:cs="Arial"/>
          <w:b/>
          <w:bCs/>
          <w:sz w:val="20"/>
          <w:szCs w:val="20"/>
        </w:rPr>
        <w:t xml:space="preserve">. </w:t>
      </w:r>
      <w:r>
        <w:rPr>
          <w:rFonts w:ascii="Arial" w:hAnsi="Arial" w:cs="Arial"/>
          <w:b/>
          <w:bCs/>
          <w:sz w:val="20"/>
          <w:szCs w:val="20"/>
        </w:rPr>
        <w:t>Effect of herbicidal treatments on dry matter production (g plant</w:t>
      </w:r>
      <w:r>
        <w:rPr>
          <w:rFonts w:ascii="Arial" w:hAnsi="Arial" w:cs="Arial"/>
          <w:b/>
          <w:bCs/>
          <w:sz w:val="20"/>
          <w:szCs w:val="20"/>
          <w:vertAlign w:val="superscript"/>
        </w:rPr>
        <w:t>-1</w:t>
      </w:r>
      <w:r>
        <w:rPr>
          <w:rFonts w:ascii="Arial" w:hAnsi="Arial" w:cs="Arial"/>
          <w:b/>
          <w:bCs/>
          <w:sz w:val="20"/>
          <w:szCs w:val="20"/>
        </w:rPr>
        <w:t>) of quinoa</w:t>
      </w:r>
    </w:p>
    <w:p w14:paraId="2EDB1FF5" w14:textId="77777777" w:rsidR="004D47D0" w:rsidRPr="004D47D0" w:rsidRDefault="004D47D0" w:rsidP="004D47D0">
      <w:pPr>
        <w:jc w:val="center"/>
        <w:rPr>
          <w:rFonts w:ascii="Arial" w:hAnsi="Arial" w:cs="Arial"/>
          <w:b/>
          <w:bCs/>
          <w:sz w:val="20"/>
          <w:szCs w:val="20"/>
        </w:rPr>
      </w:pPr>
    </w:p>
    <w:p w14:paraId="07F182BF" w14:textId="77777777" w:rsidR="00442BBC" w:rsidRDefault="000109B7" w:rsidP="00272317">
      <w:pPr>
        <w:rPr>
          <w:rFonts w:ascii="Arial" w:hAnsi="Arial" w:cs="Arial"/>
          <w:b/>
          <w:bCs/>
          <w:sz w:val="20"/>
          <w:szCs w:val="20"/>
        </w:rPr>
      </w:pPr>
      <w:r w:rsidRPr="00442BBC">
        <w:rPr>
          <w:rFonts w:ascii="Arial" w:hAnsi="Arial" w:cs="Arial"/>
          <w:noProof/>
        </w:rPr>
        <w:drawing>
          <wp:inline distT="0" distB="0" distL="0" distR="0" wp14:anchorId="618ECE37" wp14:editId="71A6ED80">
            <wp:extent cx="8823960" cy="4869455"/>
            <wp:effectExtent l="0" t="0" r="15240" b="7620"/>
            <wp:docPr id="1135364036" name="Chart 1">
              <a:extLst xmlns:a="http://schemas.openxmlformats.org/drawingml/2006/main">
                <a:ext uri="{FF2B5EF4-FFF2-40B4-BE49-F238E27FC236}">
                  <a16:creationId xmlns:a16="http://schemas.microsoft.com/office/drawing/2014/main" id="{9D299FD4-23BB-C1DA-44C9-E92D1C75D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31FDBC" w14:textId="2A0EA1A7" w:rsidR="00442BBC" w:rsidRDefault="00442BBC" w:rsidP="00442BBC">
      <w:pPr>
        <w:jc w:val="center"/>
        <w:rPr>
          <w:rFonts w:ascii="Arial" w:hAnsi="Arial" w:cs="Arial"/>
          <w:b/>
          <w:bCs/>
          <w:sz w:val="20"/>
          <w:szCs w:val="20"/>
        </w:rPr>
      </w:pPr>
      <w:r>
        <w:rPr>
          <w:rFonts w:ascii="Arial" w:hAnsi="Arial" w:cs="Arial"/>
          <w:b/>
          <w:bCs/>
          <w:sz w:val="20"/>
          <w:szCs w:val="20"/>
        </w:rPr>
        <w:t xml:space="preserve">          Fig 2</w:t>
      </w:r>
      <w:r w:rsidRPr="00336361">
        <w:rPr>
          <w:rFonts w:ascii="Arial" w:hAnsi="Arial" w:cs="Arial"/>
          <w:b/>
          <w:bCs/>
          <w:sz w:val="20"/>
          <w:szCs w:val="20"/>
        </w:rPr>
        <w:t xml:space="preserve">. </w:t>
      </w:r>
      <w:r>
        <w:rPr>
          <w:rFonts w:ascii="Arial" w:hAnsi="Arial" w:cs="Arial"/>
          <w:b/>
          <w:bCs/>
          <w:sz w:val="20"/>
          <w:szCs w:val="20"/>
        </w:rPr>
        <w:t>Effect of herbicidal treatments on total weed dry weight (g pot</w:t>
      </w:r>
      <w:r>
        <w:rPr>
          <w:rFonts w:ascii="Arial" w:hAnsi="Arial" w:cs="Arial"/>
          <w:b/>
          <w:bCs/>
          <w:sz w:val="20"/>
          <w:szCs w:val="20"/>
          <w:vertAlign w:val="superscript"/>
        </w:rPr>
        <w:t>-1</w:t>
      </w:r>
      <w:r>
        <w:rPr>
          <w:rFonts w:ascii="Arial" w:hAnsi="Arial" w:cs="Arial"/>
          <w:b/>
          <w:bCs/>
          <w:sz w:val="20"/>
          <w:szCs w:val="20"/>
        </w:rPr>
        <w:t>) of quinoa</w:t>
      </w:r>
    </w:p>
    <w:p w14:paraId="57BECFE0" w14:textId="5731951A" w:rsidR="004D47D0" w:rsidRDefault="004D47D0" w:rsidP="00272317">
      <w:pPr>
        <w:rPr>
          <w:rFonts w:ascii="Arial" w:hAnsi="Arial" w:cs="Arial"/>
          <w:b/>
          <w:bCs/>
          <w:sz w:val="20"/>
          <w:szCs w:val="20"/>
        </w:rPr>
      </w:pPr>
    </w:p>
    <w:p w14:paraId="08793608" w14:textId="77777777" w:rsidR="00442BBC" w:rsidRDefault="00442BBC" w:rsidP="00272317">
      <w:pPr>
        <w:rPr>
          <w:rFonts w:ascii="Arial" w:hAnsi="Arial" w:cs="Arial"/>
          <w:b/>
          <w:bCs/>
          <w:sz w:val="20"/>
          <w:szCs w:val="20"/>
        </w:rPr>
      </w:pPr>
    </w:p>
    <w:p w14:paraId="6DE24EEF" w14:textId="5307A2E0" w:rsidR="00442BBC" w:rsidRDefault="005A1E97" w:rsidP="00272317">
      <w:pPr>
        <w:rPr>
          <w:rFonts w:ascii="Arial" w:hAnsi="Arial" w:cs="Arial"/>
          <w:b/>
          <w:bCs/>
          <w:sz w:val="20"/>
          <w:szCs w:val="20"/>
        </w:rPr>
      </w:pPr>
      <w:r>
        <w:rPr>
          <w:noProof/>
        </w:rPr>
        <w:drawing>
          <wp:inline distT="0" distB="0" distL="0" distR="0" wp14:anchorId="67003DA5" wp14:editId="75D83E6F">
            <wp:extent cx="8836269" cy="4681855"/>
            <wp:effectExtent l="0" t="0" r="3175" b="4445"/>
            <wp:docPr id="1391649554" name="Chart 1">
              <a:extLst xmlns:a="http://schemas.openxmlformats.org/drawingml/2006/main">
                <a:ext uri="{FF2B5EF4-FFF2-40B4-BE49-F238E27FC236}">
                  <a16:creationId xmlns:a16="http://schemas.microsoft.com/office/drawing/2014/main" id="{47A7ABB0-07D0-E124-5FAA-027828AA3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BAC1C7" w14:textId="4F9DCBA7" w:rsidR="005A1E97" w:rsidRDefault="005A1E97" w:rsidP="005A1E97">
      <w:pPr>
        <w:jc w:val="center"/>
        <w:rPr>
          <w:rFonts w:ascii="Arial" w:hAnsi="Arial" w:cs="Arial"/>
          <w:b/>
          <w:bCs/>
          <w:sz w:val="20"/>
          <w:szCs w:val="20"/>
        </w:rPr>
      </w:pPr>
      <w:r>
        <w:rPr>
          <w:rFonts w:ascii="Arial" w:hAnsi="Arial" w:cs="Arial"/>
          <w:b/>
          <w:bCs/>
          <w:sz w:val="20"/>
          <w:szCs w:val="20"/>
        </w:rPr>
        <w:t>Fig 3</w:t>
      </w:r>
      <w:r w:rsidRPr="00336361">
        <w:rPr>
          <w:rFonts w:ascii="Arial" w:hAnsi="Arial" w:cs="Arial"/>
          <w:b/>
          <w:bCs/>
          <w:sz w:val="20"/>
          <w:szCs w:val="20"/>
        </w:rPr>
        <w:t xml:space="preserve">. </w:t>
      </w:r>
      <w:r>
        <w:rPr>
          <w:rFonts w:ascii="Arial" w:hAnsi="Arial" w:cs="Arial"/>
          <w:b/>
          <w:bCs/>
          <w:sz w:val="20"/>
          <w:szCs w:val="20"/>
        </w:rPr>
        <w:t xml:space="preserve">Effect of herbicidal treatments on grain yield and straw yield (g </w:t>
      </w:r>
      <w:r w:rsidRPr="005A1E97">
        <w:rPr>
          <w:rFonts w:ascii="Arial" w:hAnsi="Arial" w:cs="Arial"/>
          <w:b/>
          <w:bCs/>
          <w:sz w:val="20"/>
          <w:szCs w:val="20"/>
        </w:rPr>
        <w:t>plant</w:t>
      </w:r>
      <w:r>
        <w:rPr>
          <w:rFonts w:ascii="Arial" w:hAnsi="Arial" w:cs="Arial"/>
          <w:b/>
          <w:bCs/>
          <w:sz w:val="20"/>
          <w:szCs w:val="20"/>
          <w:vertAlign w:val="superscript"/>
        </w:rPr>
        <w:t>-</w:t>
      </w:r>
      <w:r w:rsidRPr="005A1E97">
        <w:rPr>
          <w:rFonts w:ascii="Arial" w:hAnsi="Arial" w:cs="Arial"/>
          <w:b/>
          <w:bCs/>
          <w:sz w:val="20"/>
          <w:szCs w:val="20"/>
          <w:vertAlign w:val="superscript"/>
        </w:rPr>
        <w:t>1</w:t>
      </w:r>
      <w:r>
        <w:rPr>
          <w:rFonts w:ascii="Arial" w:hAnsi="Arial" w:cs="Arial"/>
          <w:b/>
          <w:bCs/>
          <w:sz w:val="20"/>
          <w:szCs w:val="20"/>
        </w:rPr>
        <w:t>) of quinoa</w:t>
      </w:r>
    </w:p>
    <w:p w14:paraId="7EDE5E6C" w14:textId="77777777" w:rsidR="005A1E97" w:rsidRPr="00336361" w:rsidRDefault="005A1E97" w:rsidP="00272317">
      <w:pPr>
        <w:rPr>
          <w:rFonts w:ascii="Arial" w:hAnsi="Arial" w:cs="Arial"/>
          <w:b/>
          <w:bCs/>
          <w:sz w:val="20"/>
          <w:szCs w:val="20"/>
        </w:rPr>
      </w:pPr>
    </w:p>
    <w:sectPr w:rsidR="005A1E97" w:rsidRPr="00336361" w:rsidSect="003363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1A5C2" w14:textId="77777777" w:rsidR="00BC3ACA" w:rsidRDefault="00BC3ACA" w:rsidP="00F204F1">
      <w:pPr>
        <w:spacing w:after="0" w:line="240" w:lineRule="auto"/>
      </w:pPr>
      <w:r>
        <w:separator/>
      </w:r>
    </w:p>
  </w:endnote>
  <w:endnote w:type="continuationSeparator" w:id="0">
    <w:p w14:paraId="20D05A17" w14:textId="77777777" w:rsidR="00BC3ACA" w:rsidRDefault="00BC3ACA" w:rsidP="00F2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CD8F" w14:textId="77777777" w:rsidR="00F204F1" w:rsidRDefault="00F20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08C6" w14:textId="77777777" w:rsidR="00F204F1" w:rsidRDefault="00F20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4A09" w14:textId="77777777" w:rsidR="00F204F1" w:rsidRDefault="00F2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AE3E" w14:textId="77777777" w:rsidR="00BC3ACA" w:rsidRDefault="00BC3ACA" w:rsidP="00F204F1">
      <w:pPr>
        <w:spacing w:after="0" w:line="240" w:lineRule="auto"/>
      </w:pPr>
      <w:r>
        <w:separator/>
      </w:r>
    </w:p>
  </w:footnote>
  <w:footnote w:type="continuationSeparator" w:id="0">
    <w:p w14:paraId="775FF1CA" w14:textId="77777777" w:rsidR="00BC3ACA" w:rsidRDefault="00BC3ACA" w:rsidP="00F2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42C9" w14:textId="26B31FE7" w:rsidR="00F204F1" w:rsidRDefault="00CF1897">
    <w:pPr>
      <w:pStyle w:val="Header"/>
    </w:pPr>
    <w:r>
      <w:rPr>
        <w:noProof/>
      </w:rPr>
      <w:pict w14:anchorId="720E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D907" w14:textId="65802247" w:rsidR="00F204F1" w:rsidRDefault="00CF1897">
    <w:pPr>
      <w:pStyle w:val="Header"/>
    </w:pPr>
    <w:r>
      <w:rPr>
        <w:noProof/>
      </w:rPr>
      <w:pict w14:anchorId="6B819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C3A4" w14:textId="578CB9E4" w:rsidR="00F204F1" w:rsidRDefault="00CF1897">
    <w:pPr>
      <w:pStyle w:val="Header"/>
    </w:pPr>
    <w:r>
      <w:rPr>
        <w:noProof/>
      </w:rPr>
      <w:pict w14:anchorId="252D5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34545"/>
    <w:multiLevelType w:val="hybridMultilevel"/>
    <w:tmpl w:val="66146584"/>
    <w:lvl w:ilvl="0" w:tplc="EF705546">
      <w:start w:val="1"/>
      <w:numFmt w:val="decimal"/>
      <w:lvlText w:val="%1."/>
      <w:lvlJc w:val="left"/>
      <w:pPr>
        <w:ind w:left="1069"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86415FC"/>
    <w:multiLevelType w:val="hybridMultilevel"/>
    <w:tmpl w:val="2CBEE486"/>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483007"/>
    <w:multiLevelType w:val="hybridMultilevel"/>
    <w:tmpl w:val="FC68D058"/>
    <w:lvl w:ilvl="0" w:tplc="6E681F1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NjQzNjW3MLA0tDBS0lEKTi0uzszPAykwrAUABnzKtywAAAA="/>
  </w:docVars>
  <w:rsids>
    <w:rsidRoot w:val="00E30BAB"/>
    <w:rsid w:val="000109B7"/>
    <w:rsid w:val="0001608B"/>
    <w:rsid w:val="00017B88"/>
    <w:rsid w:val="000221FA"/>
    <w:rsid w:val="0004127A"/>
    <w:rsid w:val="000526B7"/>
    <w:rsid w:val="00062F7F"/>
    <w:rsid w:val="0007333A"/>
    <w:rsid w:val="000A6118"/>
    <w:rsid w:val="000D0C4C"/>
    <w:rsid w:val="00100833"/>
    <w:rsid w:val="00106D75"/>
    <w:rsid w:val="00130DCF"/>
    <w:rsid w:val="0017098D"/>
    <w:rsid w:val="0017527E"/>
    <w:rsid w:val="001822F4"/>
    <w:rsid w:val="00196B74"/>
    <w:rsid w:val="001A053E"/>
    <w:rsid w:val="001A0824"/>
    <w:rsid w:val="001A72E2"/>
    <w:rsid w:val="001B7736"/>
    <w:rsid w:val="001C3426"/>
    <w:rsid w:val="001C65F1"/>
    <w:rsid w:val="001F0641"/>
    <w:rsid w:val="001F4D16"/>
    <w:rsid w:val="00226534"/>
    <w:rsid w:val="0023583C"/>
    <w:rsid w:val="00245D9D"/>
    <w:rsid w:val="002550FD"/>
    <w:rsid w:val="00256647"/>
    <w:rsid w:val="00267C2E"/>
    <w:rsid w:val="00272317"/>
    <w:rsid w:val="0028616A"/>
    <w:rsid w:val="002A715B"/>
    <w:rsid w:val="002A76D3"/>
    <w:rsid w:val="002B6572"/>
    <w:rsid w:val="002C3C14"/>
    <w:rsid w:val="002E05C6"/>
    <w:rsid w:val="00301C68"/>
    <w:rsid w:val="00303B0B"/>
    <w:rsid w:val="00304FC8"/>
    <w:rsid w:val="003167BD"/>
    <w:rsid w:val="00331506"/>
    <w:rsid w:val="00333729"/>
    <w:rsid w:val="00336361"/>
    <w:rsid w:val="00343301"/>
    <w:rsid w:val="00346622"/>
    <w:rsid w:val="00366BFF"/>
    <w:rsid w:val="00380C9F"/>
    <w:rsid w:val="00393043"/>
    <w:rsid w:val="003939D9"/>
    <w:rsid w:val="003B23ED"/>
    <w:rsid w:val="003C6419"/>
    <w:rsid w:val="003D1797"/>
    <w:rsid w:val="003F6DE9"/>
    <w:rsid w:val="004053EB"/>
    <w:rsid w:val="0042617D"/>
    <w:rsid w:val="00442BBC"/>
    <w:rsid w:val="00444E49"/>
    <w:rsid w:val="00451213"/>
    <w:rsid w:val="004556EE"/>
    <w:rsid w:val="004613E4"/>
    <w:rsid w:val="00480C05"/>
    <w:rsid w:val="004A543F"/>
    <w:rsid w:val="004A701E"/>
    <w:rsid w:val="004B53E4"/>
    <w:rsid w:val="004C2F5D"/>
    <w:rsid w:val="004D335F"/>
    <w:rsid w:val="004D47D0"/>
    <w:rsid w:val="004E054A"/>
    <w:rsid w:val="00545764"/>
    <w:rsid w:val="0054667E"/>
    <w:rsid w:val="0055157E"/>
    <w:rsid w:val="0059503D"/>
    <w:rsid w:val="005A1E97"/>
    <w:rsid w:val="005B1826"/>
    <w:rsid w:val="005B27E5"/>
    <w:rsid w:val="005B7E6E"/>
    <w:rsid w:val="005E578B"/>
    <w:rsid w:val="005F31AD"/>
    <w:rsid w:val="0061549B"/>
    <w:rsid w:val="00635531"/>
    <w:rsid w:val="006412A9"/>
    <w:rsid w:val="006432F8"/>
    <w:rsid w:val="00654C90"/>
    <w:rsid w:val="00661E2F"/>
    <w:rsid w:val="00676933"/>
    <w:rsid w:val="006B2EA9"/>
    <w:rsid w:val="006D2C9E"/>
    <w:rsid w:val="006D4B18"/>
    <w:rsid w:val="006E2135"/>
    <w:rsid w:val="00702205"/>
    <w:rsid w:val="007318E6"/>
    <w:rsid w:val="007330D3"/>
    <w:rsid w:val="00737251"/>
    <w:rsid w:val="007378D0"/>
    <w:rsid w:val="00750273"/>
    <w:rsid w:val="00751A66"/>
    <w:rsid w:val="00752974"/>
    <w:rsid w:val="0075776A"/>
    <w:rsid w:val="00761DCB"/>
    <w:rsid w:val="0076488C"/>
    <w:rsid w:val="00765AB0"/>
    <w:rsid w:val="00783879"/>
    <w:rsid w:val="007851E3"/>
    <w:rsid w:val="007E7D30"/>
    <w:rsid w:val="007F5FBC"/>
    <w:rsid w:val="0080399E"/>
    <w:rsid w:val="0083389D"/>
    <w:rsid w:val="0084520D"/>
    <w:rsid w:val="00850BAA"/>
    <w:rsid w:val="00855061"/>
    <w:rsid w:val="00876B37"/>
    <w:rsid w:val="00893846"/>
    <w:rsid w:val="008E5F9B"/>
    <w:rsid w:val="009022B5"/>
    <w:rsid w:val="00905F9C"/>
    <w:rsid w:val="00925681"/>
    <w:rsid w:val="009264B9"/>
    <w:rsid w:val="009331C5"/>
    <w:rsid w:val="0095435B"/>
    <w:rsid w:val="009B012B"/>
    <w:rsid w:val="009F09D2"/>
    <w:rsid w:val="00A25315"/>
    <w:rsid w:val="00A4099C"/>
    <w:rsid w:val="00A7583F"/>
    <w:rsid w:val="00A8215B"/>
    <w:rsid w:val="00AD166D"/>
    <w:rsid w:val="00AF5B6E"/>
    <w:rsid w:val="00AF62E7"/>
    <w:rsid w:val="00B01E0F"/>
    <w:rsid w:val="00B25D07"/>
    <w:rsid w:val="00B64115"/>
    <w:rsid w:val="00B66548"/>
    <w:rsid w:val="00B74470"/>
    <w:rsid w:val="00B850A4"/>
    <w:rsid w:val="00B860FD"/>
    <w:rsid w:val="00B92E7E"/>
    <w:rsid w:val="00BA0599"/>
    <w:rsid w:val="00BB1974"/>
    <w:rsid w:val="00BB2398"/>
    <w:rsid w:val="00BC3ACA"/>
    <w:rsid w:val="00BC7869"/>
    <w:rsid w:val="00C60703"/>
    <w:rsid w:val="00C939AF"/>
    <w:rsid w:val="00CA2FE5"/>
    <w:rsid w:val="00CB59AE"/>
    <w:rsid w:val="00CD5319"/>
    <w:rsid w:val="00CE56BE"/>
    <w:rsid w:val="00CF1897"/>
    <w:rsid w:val="00D433DC"/>
    <w:rsid w:val="00D5297D"/>
    <w:rsid w:val="00D70345"/>
    <w:rsid w:val="00D7103D"/>
    <w:rsid w:val="00D94995"/>
    <w:rsid w:val="00DA44F8"/>
    <w:rsid w:val="00DA5F97"/>
    <w:rsid w:val="00DC5794"/>
    <w:rsid w:val="00DC7503"/>
    <w:rsid w:val="00DD2386"/>
    <w:rsid w:val="00DE624B"/>
    <w:rsid w:val="00DF29AF"/>
    <w:rsid w:val="00E040D5"/>
    <w:rsid w:val="00E1073D"/>
    <w:rsid w:val="00E30BAB"/>
    <w:rsid w:val="00E65E4F"/>
    <w:rsid w:val="00E77E4B"/>
    <w:rsid w:val="00EB50C8"/>
    <w:rsid w:val="00EC0846"/>
    <w:rsid w:val="00EE748F"/>
    <w:rsid w:val="00EE76CD"/>
    <w:rsid w:val="00F03365"/>
    <w:rsid w:val="00F155B1"/>
    <w:rsid w:val="00F204F1"/>
    <w:rsid w:val="00F47E82"/>
    <w:rsid w:val="00F50518"/>
    <w:rsid w:val="00F94624"/>
    <w:rsid w:val="00FB0F62"/>
    <w:rsid w:val="00FB7F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DABBB"/>
  <w15:chartTrackingRefBased/>
  <w15:docId w15:val="{110E3165-C552-4F72-BB3C-FD1FC3ED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0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0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30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AB"/>
    <w:rPr>
      <w:rFonts w:eastAsiaTheme="majorEastAsia" w:cstheme="majorBidi"/>
      <w:color w:val="272727" w:themeColor="text1" w:themeTint="D8"/>
    </w:rPr>
  </w:style>
  <w:style w:type="paragraph" w:styleId="Title">
    <w:name w:val="Title"/>
    <w:basedOn w:val="Normal"/>
    <w:next w:val="Normal"/>
    <w:link w:val="TitleChar"/>
    <w:uiPriority w:val="10"/>
    <w:qFormat/>
    <w:rsid w:val="00E3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AB"/>
    <w:pPr>
      <w:spacing w:before="160"/>
      <w:jc w:val="center"/>
    </w:pPr>
    <w:rPr>
      <w:i/>
      <w:iCs/>
      <w:color w:val="404040" w:themeColor="text1" w:themeTint="BF"/>
    </w:rPr>
  </w:style>
  <w:style w:type="character" w:customStyle="1" w:styleId="QuoteChar">
    <w:name w:val="Quote Char"/>
    <w:basedOn w:val="DefaultParagraphFont"/>
    <w:link w:val="Quote"/>
    <w:uiPriority w:val="29"/>
    <w:rsid w:val="00E30BAB"/>
    <w:rPr>
      <w:i/>
      <w:iCs/>
      <w:color w:val="404040" w:themeColor="text1" w:themeTint="BF"/>
    </w:rPr>
  </w:style>
  <w:style w:type="paragraph" w:styleId="ListParagraph">
    <w:name w:val="List Paragraph"/>
    <w:basedOn w:val="Normal"/>
    <w:qFormat/>
    <w:rsid w:val="00E30BAB"/>
    <w:pPr>
      <w:ind w:left="720"/>
      <w:contextualSpacing/>
    </w:pPr>
  </w:style>
  <w:style w:type="character" w:styleId="IntenseEmphasis">
    <w:name w:val="Intense Emphasis"/>
    <w:basedOn w:val="DefaultParagraphFont"/>
    <w:uiPriority w:val="21"/>
    <w:qFormat/>
    <w:rsid w:val="00E30BAB"/>
    <w:rPr>
      <w:i/>
      <w:iCs/>
      <w:color w:val="2F5496" w:themeColor="accent1" w:themeShade="BF"/>
    </w:rPr>
  </w:style>
  <w:style w:type="paragraph" w:styleId="IntenseQuote">
    <w:name w:val="Intense Quote"/>
    <w:basedOn w:val="Normal"/>
    <w:next w:val="Normal"/>
    <w:link w:val="IntenseQuoteChar"/>
    <w:uiPriority w:val="30"/>
    <w:qFormat/>
    <w:rsid w:val="00E30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BAB"/>
    <w:rPr>
      <w:i/>
      <w:iCs/>
      <w:color w:val="2F5496" w:themeColor="accent1" w:themeShade="BF"/>
    </w:rPr>
  </w:style>
  <w:style w:type="character" w:styleId="IntenseReference">
    <w:name w:val="Intense Reference"/>
    <w:basedOn w:val="DefaultParagraphFont"/>
    <w:uiPriority w:val="32"/>
    <w:qFormat/>
    <w:rsid w:val="00E30BAB"/>
    <w:rPr>
      <w:b/>
      <w:bCs/>
      <w:smallCaps/>
      <w:color w:val="2F5496" w:themeColor="accent1" w:themeShade="BF"/>
      <w:spacing w:val="5"/>
    </w:rPr>
  </w:style>
  <w:style w:type="paragraph" w:customStyle="1" w:styleId="EndNoteBibliography">
    <w:name w:val="EndNote Bibliography"/>
    <w:basedOn w:val="Normal"/>
    <w:link w:val="EndNoteBibliographyChar"/>
    <w:rsid w:val="005B1826"/>
    <w:pPr>
      <w:spacing w:line="240" w:lineRule="auto"/>
    </w:pPr>
    <w:rPr>
      <w:rFonts w:ascii="Calibri" w:hAnsi="Calibri" w:cs="Calibri"/>
      <w:noProof/>
      <w:lang w:val="en-US"/>
      <w14:ligatures w14:val="none"/>
    </w:rPr>
  </w:style>
  <w:style w:type="character" w:customStyle="1" w:styleId="EndNoteBibliographyChar">
    <w:name w:val="EndNote Bibliography Char"/>
    <w:basedOn w:val="DefaultParagraphFont"/>
    <w:link w:val="EndNoteBibliography"/>
    <w:rsid w:val="005B1826"/>
    <w:rPr>
      <w:rFonts w:ascii="Calibri" w:hAnsi="Calibri" w:cs="Calibri"/>
      <w:noProof/>
      <w:lang w:val="en-US"/>
      <w14:ligatures w14:val="none"/>
    </w:rPr>
  </w:style>
  <w:style w:type="paragraph" w:styleId="BodyText">
    <w:name w:val="Body Text"/>
    <w:basedOn w:val="Normal"/>
    <w:link w:val="BodyTextChar"/>
    <w:uiPriority w:val="1"/>
    <w:qFormat/>
    <w:rsid w:val="002E05C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E05C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261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2617D"/>
    <w:rPr>
      <w:b/>
      <w:bCs/>
    </w:rPr>
  </w:style>
  <w:style w:type="table" w:customStyle="1" w:styleId="TableGrid">
    <w:name w:val="TableGrid"/>
    <w:rsid w:val="00336361"/>
    <w:pPr>
      <w:spacing w:after="0" w:line="240" w:lineRule="auto"/>
    </w:pPr>
    <w:rPr>
      <w:rFonts w:eastAsiaTheme="minorEastAsia"/>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E054A"/>
    <w:rPr>
      <w:color w:val="0563C1" w:themeColor="hyperlink"/>
      <w:u w:val="single"/>
    </w:rPr>
  </w:style>
  <w:style w:type="character" w:styleId="UnresolvedMention">
    <w:name w:val="Unresolved Mention"/>
    <w:basedOn w:val="DefaultParagraphFont"/>
    <w:uiPriority w:val="99"/>
    <w:semiHidden/>
    <w:unhideWhenUsed/>
    <w:rsid w:val="004E054A"/>
    <w:rPr>
      <w:color w:val="605E5C"/>
      <w:shd w:val="clear" w:color="auto" w:fill="E1DFDD"/>
    </w:rPr>
  </w:style>
  <w:style w:type="table" w:styleId="TableGrid0">
    <w:name w:val="Table Grid"/>
    <w:basedOn w:val="TableNormal"/>
    <w:uiPriority w:val="39"/>
    <w:rsid w:val="00E65E4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4F1"/>
  </w:style>
  <w:style w:type="paragraph" w:styleId="Footer">
    <w:name w:val="footer"/>
    <w:basedOn w:val="Normal"/>
    <w:link w:val="FooterChar"/>
    <w:uiPriority w:val="99"/>
    <w:unhideWhenUsed/>
    <w:rsid w:val="00F2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61634">
      <w:bodyDiv w:val="1"/>
      <w:marLeft w:val="0"/>
      <w:marRight w:val="0"/>
      <w:marTop w:val="0"/>
      <w:marBottom w:val="0"/>
      <w:divBdr>
        <w:top w:val="none" w:sz="0" w:space="0" w:color="auto"/>
        <w:left w:val="none" w:sz="0" w:space="0" w:color="auto"/>
        <w:bottom w:val="none" w:sz="0" w:space="0" w:color="auto"/>
        <w:right w:val="none" w:sz="0" w:space="0" w:color="auto"/>
      </w:divBdr>
    </w:div>
    <w:div w:id="7554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75341023314691"/>
          <c:y val="9.1333955763399463E-2"/>
          <c:w val="0.78985234370642232"/>
          <c:h val="0.66883952582062445"/>
        </c:manualLayout>
      </c:layout>
      <c:bar3DChart>
        <c:barDir val="col"/>
        <c:grouping val="standard"/>
        <c:varyColors val="0"/>
        <c:ser>
          <c:idx val="0"/>
          <c:order val="0"/>
          <c:tx>
            <c:strRef>
              <c:f>Sheet2!$X$4</c:f>
              <c:strCache>
                <c:ptCount val="1"/>
                <c:pt idx="0">
                  <c:v>30 DAS</c:v>
                </c:pt>
              </c:strCache>
            </c:strRef>
          </c:tx>
          <c:spPr>
            <a:solidFill>
              <a:srgbClr val="FF6600"/>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Sheet2!$X$5:$X$16</c:f>
              <c:numCache>
                <c:formatCode>0.00</c:formatCode>
                <c:ptCount val="12"/>
                <c:pt idx="0">
                  <c:v>9.1530000000000005</c:v>
                </c:pt>
                <c:pt idx="1">
                  <c:v>11.443</c:v>
                </c:pt>
                <c:pt idx="2">
                  <c:v>13.397</c:v>
                </c:pt>
                <c:pt idx="3">
                  <c:v>8.593</c:v>
                </c:pt>
                <c:pt idx="4">
                  <c:v>8.6170000000000009</c:v>
                </c:pt>
                <c:pt idx="5">
                  <c:v>9.0329999999999995</c:v>
                </c:pt>
                <c:pt idx="6">
                  <c:v>8.1869999999999994</c:v>
                </c:pt>
                <c:pt idx="7">
                  <c:v>10.773</c:v>
                </c:pt>
                <c:pt idx="8">
                  <c:v>10.29</c:v>
                </c:pt>
                <c:pt idx="9">
                  <c:v>9.4629999999999992</c:v>
                </c:pt>
                <c:pt idx="10">
                  <c:v>16.587</c:v>
                </c:pt>
                <c:pt idx="11">
                  <c:v>7.4829999999999997</c:v>
                </c:pt>
              </c:numCache>
            </c:numRef>
          </c:val>
          <c:shape val="cylinder"/>
          <c:extLst>
            <c:ext xmlns:c16="http://schemas.microsoft.com/office/drawing/2014/chart" uri="{C3380CC4-5D6E-409C-BE32-E72D297353CC}">
              <c16:uniqueId val="{00000000-2203-4F88-B823-D33EFD69A764}"/>
            </c:ext>
          </c:extLst>
        </c:ser>
        <c:ser>
          <c:idx val="1"/>
          <c:order val="1"/>
          <c:tx>
            <c:strRef>
              <c:f>Sheet2!$Y$4</c:f>
              <c:strCache>
                <c:ptCount val="1"/>
                <c:pt idx="0">
                  <c:v>60 DAS</c:v>
                </c:pt>
              </c:strCache>
            </c:strRef>
          </c:tx>
          <c:spPr>
            <a:solidFill>
              <a:schemeClr val="accent2">
                <a:lumMod val="50000"/>
              </a:schemeClr>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Sheet2!$Y$5:$Y$16</c:f>
              <c:numCache>
                <c:formatCode>0.00</c:formatCode>
                <c:ptCount val="12"/>
                <c:pt idx="0">
                  <c:v>12.067</c:v>
                </c:pt>
                <c:pt idx="1">
                  <c:v>12.622999999999999</c:v>
                </c:pt>
                <c:pt idx="2">
                  <c:v>13.593</c:v>
                </c:pt>
                <c:pt idx="3">
                  <c:v>10.24</c:v>
                </c:pt>
                <c:pt idx="4">
                  <c:v>11.143000000000001</c:v>
                </c:pt>
                <c:pt idx="5">
                  <c:v>11.067</c:v>
                </c:pt>
                <c:pt idx="6">
                  <c:v>11.457000000000001</c:v>
                </c:pt>
                <c:pt idx="7">
                  <c:v>13.923</c:v>
                </c:pt>
                <c:pt idx="8">
                  <c:v>14.817</c:v>
                </c:pt>
                <c:pt idx="9">
                  <c:v>16.183</c:v>
                </c:pt>
                <c:pt idx="10">
                  <c:v>18.952999999999999</c:v>
                </c:pt>
                <c:pt idx="11">
                  <c:v>9.0730000000000004</c:v>
                </c:pt>
              </c:numCache>
            </c:numRef>
          </c:val>
          <c:shape val="cylinder"/>
          <c:extLst>
            <c:ext xmlns:c16="http://schemas.microsoft.com/office/drawing/2014/chart" uri="{C3380CC4-5D6E-409C-BE32-E72D297353CC}">
              <c16:uniqueId val="{00000001-2203-4F88-B823-D33EFD69A764}"/>
            </c:ext>
          </c:extLst>
        </c:ser>
        <c:ser>
          <c:idx val="2"/>
          <c:order val="2"/>
          <c:tx>
            <c:strRef>
              <c:f>Sheet2!$Z$4</c:f>
              <c:strCache>
                <c:ptCount val="1"/>
                <c:pt idx="0">
                  <c:v>90 DAS</c:v>
                </c:pt>
              </c:strCache>
            </c:strRef>
          </c:tx>
          <c:spPr>
            <a:solidFill>
              <a:srgbClr val="99FF33"/>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Sheet2!$Z$5:$Z$16</c:f>
              <c:numCache>
                <c:formatCode>0.00</c:formatCode>
                <c:ptCount val="12"/>
                <c:pt idx="0" formatCode="General">
                  <c:v>19.073</c:v>
                </c:pt>
                <c:pt idx="1">
                  <c:v>20.207000000000001</c:v>
                </c:pt>
                <c:pt idx="2" formatCode="General">
                  <c:v>21.613</c:v>
                </c:pt>
                <c:pt idx="3" formatCode="General">
                  <c:v>16.36</c:v>
                </c:pt>
                <c:pt idx="4" formatCode="General">
                  <c:v>18.61</c:v>
                </c:pt>
                <c:pt idx="5" formatCode="General">
                  <c:v>17.77</c:v>
                </c:pt>
                <c:pt idx="6" formatCode="General">
                  <c:v>18.606999999999999</c:v>
                </c:pt>
                <c:pt idx="7" formatCode="General">
                  <c:v>21.7</c:v>
                </c:pt>
                <c:pt idx="8" formatCode="General">
                  <c:v>22.777000000000001</c:v>
                </c:pt>
                <c:pt idx="9" formatCode="General">
                  <c:v>23.37</c:v>
                </c:pt>
                <c:pt idx="10" formatCode="General">
                  <c:v>27.89</c:v>
                </c:pt>
                <c:pt idx="11" formatCode="General">
                  <c:v>14.423</c:v>
                </c:pt>
              </c:numCache>
            </c:numRef>
          </c:val>
          <c:shape val="cylinder"/>
          <c:extLst>
            <c:ext xmlns:c16="http://schemas.microsoft.com/office/drawing/2014/chart" uri="{C3380CC4-5D6E-409C-BE32-E72D297353CC}">
              <c16:uniqueId val="{00000002-2203-4F88-B823-D33EFD69A764}"/>
            </c:ext>
          </c:extLst>
        </c:ser>
        <c:ser>
          <c:idx val="3"/>
          <c:order val="3"/>
          <c:tx>
            <c:strRef>
              <c:f>Sheet2!$AA$4</c:f>
              <c:strCache>
                <c:ptCount val="1"/>
                <c:pt idx="0">
                  <c:v>HARVEST</c:v>
                </c:pt>
              </c:strCache>
            </c:strRef>
          </c:tx>
          <c:spPr>
            <a:solidFill>
              <a:srgbClr val="CC99FF"/>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Sheet2!$AA$5:$AA$16</c:f>
              <c:numCache>
                <c:formatCode>General</c:formatCode>
                <c:ptCount val="12"/>
                <c:pt idx="0">
                  <c:v>21.55</c:v>
                </c:pt>
                <c:pt idx="1">
                  <c:v>23.247</c:v>
                </c:pt>
                <c:pt idx="2">
                  <c:v>23.933</c:v>
                </c:pt>
                <c:pt idx="3">
                  <c:v>18</c:v>
                </c:pt>
                <c:pt idx="4" formatCode="0.0">
                  <c:v>20</c:v>
                </c:pt>
                <c:pt idx="5">
                  <c:v>19.283000000000001</c:v>
                </c:pt>
                <c:pt idx="6">
                  <c:v>20.48</c:v>
                </c:pt>
                <c:pt idx="7">
                  <c:v>26.36</c:v>
                </c:pt>
                <c:pt idx="8">
                  <c:v>31.087</c:v>
                </c:pt>
                <c:pt idx="9">
                  <c:v>33.923000000000002</c:v>
                </c:pt>
                <c:pt idx="10">
                  <c:v>36.152999999999999</c:v>
                </c:pt>
                <c:pt idx="11">
                  <c:v>15.46</c:v>
                </c:pt>
              </c:numCache>
            </c:numRef>
          </c:val>
          <c:shape val="cylinder"/>
          <c:extLst>
            <c:ext xmlns:c16="http://schemas.microsoft.com/office/drawing/2014/chart" uri="{C3380CC4-5D6E-409C-BE32-E72D297353CC}">
              <c16:uniqueId val="{00000003-2203-4F88-B823-D33EFD69A764}"/>
            </c:ext>
          </c:extLst>
        </c:ser>
        <c:dLbls>
          <c:showLegendKey val="0"/>
          <c:showVal val="0"/>
          <c:showCatName val="0"/>
          <c:showSerName val="0"/>
          <c:showPercent val="0"/>
          <c:showBubbleSize val="0"/>
        </c:dLbls>
        <c:gapWidth val="150"/>
        <c:shape val="box"/>
        <c:axId val="497485616"/>
        <c:axId val="497486096"/>
        <c:axId val="240048224"/>
      </c:bar3DChart>
      <c:catAx>
        <c:axId val="497485616"/>
        <c:scaling>
          <c:orientation val="minMax"/>
        </c:scaling>
        <c:delete val="1"/>
        <c:axPos val="b"/>
        <c:numFmt formatCode="General" sourceLinked="1"/>
        <c:majorTickMark val="none"/>
        <c:minorTickMark val="none"/>
        <c:tickLblPos val="nextTo"/>
        <c:crossAx val="497486096"/>
        <c:crosses val="autoZero"/>
        <c:auto val="1"/>
        <c:lblAlgn val="ctr"/>
        <c:lblOffset val="100"/>
        <c:noMultiLvlLbl val="0"/>
      </c:catAx>
      <c:valAx>
        <c:axId val="497486096"/>
        <c:scaling>
          <c:orientation val="minMax"/>
        </c:scaling>
        <c:delete val="0"/>
        <c:axPos val="l"/>
        <c:majorGridlines>
          <c:spPr>
            <a:ln w="9525" cap="flat" cmpd="sng" algn="ctr">
              <a:solidFill>
                <a:schemeClr val="bg2">
                  <a:lumMod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497485616"/>
        <c:crosses val="autoZero"/>
        <c:crossBetween val="between"/>
      </c:valAx>
      <c:serAx>
        <c:axId val="240048224"/>
        <c:scaling>
          <c:orientation val="minMax"/>
        </c:scaling>
        <c:delete val="1"/>
        <c:axPos val="b"/>
        <c:majorTickMark val="none"/>
        <c:minorTickMark val="none"/>
        <c:tickLblPos val="nextTo"/>
        <c:crossAx val="497486096"/>
        <c:crosses val="autoZero"/>
      </c:serAx>
      <c:spPr>
        <a:solidFill>
          <a:schemeClr val="accent4">
            <a:lumMod val="20000"/>
            <a:lumOff val="80000"/>
          </a:schemeClr>
        </a:solidFill>
        <a:ln>
          <a:noFill/>
        </a:ln>
        <a:effectLst/>
      </c:spPr>
    </c:plotArea>
    <c:legend>
      <c:legendPos val="b"/>
      <c:layout>
        <c:manualLayout>
          <c:xMode val="edge"/>
          <c:yMode val="edge"/>
          <c:x val="0.37737014476486663"/>
          <c:y val="0.83753558630367519"/>
          <c:w val="0.35947095994235367"/>
          <c:h val="4.346456692913385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36342413156904"/>
          <c:y val="0.11796127309147562"/>
          <c:w val="0.80910260245966659"/>
          <c:h val="0.6303730562502301"/>
        </c:manualLayout>
      </c:layout>
      <c:bar3DChart>
        <c:barDir val="col"/>
        <c:grouping val="standard"/>
        <c:varyColors val="0"/>
        <c:ser>
          <c:idx val="0"/>
          <c:order val="0"/>
          <c:tx>
            <c:strRef>
              <c:f>Sheet3!$AO$87</c:f>
              <c:strCache>
                <c:ptCount val="1"/>
                <c:pt idx="0">
                  <c:v>15 DAS</c:v>
                </c:pt>
              </c:strCache>
            </c:strRef>
          </c:tx>
          <c:spPr>
            <a:solidFill>
              <a:srgbClr val="7030A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Sheet3!$AO$88:$AO$99</c:f>
              <c:numCache>
                <c:formatCode>General</c:formatCode>
                <c:ptCount val="12"/>
                <c:pt idx="0">
                  <c:v>3.32</c:v>
                </c:pt>
                <c:pt idx="1">
                  <c:v>3.08</c:v>
                </c:pt>
                <c:pt idx="2">
                  <c:v>3.35</c:v>
                </c:pt>
                <c:pt idx="3">
                  <c:v>5.8</c:v>
                </c:pt>
                <c:pt idx="4">
                  <c:v>5.42</c:v>
                </c:pt>
                <c:pt idx="5">
                  <c:v>5.22</c:v>
                </c:pt>
                <c:pt idx="6" formatCode="0.0">
                  <c:v>3</c:v>
                </c:pt>
                <c:pt idx="7">
                  <c:v>3.29</c:v>
                </c:pt>
                <c:pt idx="8">
                  <c:v>1.99</c:v>
                </c:pt>
                <c:pt idx="9">
                  <c:v>0.54</c:v>
                </c:pt>
                <c:pt idx="10">
                  <c:v>0</c:v>
                </c:pt>
                <c:pt idx="11">
                  <c:v>7.47</c:v>
                </c:pt>
              </c:numCache>
            </c:numRef>
          </c:val>
          <c:shape val="cone"/>
          <c:extLst>
            <c:ext xmlns:c16="http://schemas.microsoft.com/office/drawing/2014/chart" uri="{C3380CC4-5D6E-409C-BE32-E72D297353CC}">
              <c16:uniqueId val="{00000000-AE31-4CDA-A71A-21B7046EE6FA}"/>
            </c:ext>
          </c:extLst>
        </c:ser>
        <c:ser>
          <c:idx val="1"/>
          <c:order val="1"/>
          <c:tx>
            <c:strRef>
              <c:f>Sheet3!$AP$87</c:f>
              <c:strCache>
                <c:ptCount val="1"/>
                <c:pt idx="0">
                  <c:v>30 DAS</c:v>
                </c:pt>
              </c:strCache>
            </c:strRef>
          </c:tx>
          <c:spPr>
            <a:solidFill>
              <a:srgbClr val="EE000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Sheet3!$AP$88:$AP$99</c:f>
              <c:numCache>
                <c:formatCode>General</c:formatCode>
                <c:ptCount val="12"/>
                <c:pt idx="0">
                  <c:v>9.6300000000000008</c:v>
                </c:pt>
                <c:pt idx="1">
                  <c:v>8.65</c:v>
                </c:pt>
                <c:pt idx="2">
                  <c:v>7.74</c:v>
                </c:pt>
                <c:pt idx="3">
                  <c:v>12.33</c:v>
                </c:pt>
                <c:pt idx="4">
                  <c:v>11.52</c:v>
                </c:pt>
                <c:pt idx="5">
                  <c:v>12.23</c:v>
                </c:pt>
                <c:pt idx="6">
                  <c:v>12.15</c:v>
                </c:pt>
                <c:pt idx="7">
                  <c:v>6.36</c:v>
                </c:pt>
                <c:pt idx="8">
                  <c:v>5.32</c:v>
                </c:pt>
                <c:pt idx="9">
                  <c:v>4.8600000000000003</c:v>
                </c:pt>
                <c:pt idx="10">
                  <c:v>0</c:v>
                </c:pt>
                <c:pt idx="11">
                  <c:v>15.57</c:v>
                </c:pt>
              </c:numCache>
            </c:numRef>
          </c:val>
          <c:shape val="cone"/>
          <c:extLst>
            <c:ext xmlns:c16="http://schemas.microsoft.com/office/drawing/2014/chart" uri="{C3380CC4-5D6E-409C-BE32-E72D297353CC}">
              <c16:uniqueId val="{00000001-AE31-4CDA-A71A-21B7046EE6FA}"/>
            </c:ext>
          </c:extLst>
        </c:ser>
        <c:ser>
          <c:idx val="2"/>
          <c:order val="2"/>
          <c:tx>
            <c:strRef>
              <c:f>Sheet3!$AQ$87</c:f>
              <c:strCache>
                <c:ptCount val="1"/>
                <c:pt idx="0">
                  <c:v>45 DAS</c:v>
                </c:pt>
              </c:strCache>
            </c:strRef>
          </c:tx>
          <c:spPr>
            <a:solidFill>
              <a:srgbClr val="00B05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Sheet3!$AQ$88:$AQ$99</c:f>
              <c:numCache>
                <c:formatCode>General</c:formatCode>
                <c:ptCount val="12"/>
                <c:pt idx="0">
                  <c:v>7.95</c:v>
                </c:pt>
                <c:pt idx="1">
                  <c:v>7.27</c:v>
                </c:pt>
                <c:pt idx="2">
                  <c:v>6.59</c:v>
                </c:pt>
                <c:pt idx="3">
                  <c:v>10.199999999999999</c:v>
                </c:pt>
                <c:pt idx="4">
                  <c:v>8.93</c:v>
                </c:pt>
                <c:pt idx="5">
                  <c:v>9.7200000000000006</c:v>
                </c:pt>
                <c:pt idx="6">
                  <c:v>10.47</c:v>
                </c:pt>
                <c:pt idx="7">
                  <c:v>5.56</c:v>
                </c:pt>
                <c:pt idx="8">
                  <c:v>4.7</c:v>
                </c:pt>
                <c:pt idx="9">
                  <c:v>4.1900000000000004</c:v>
                </c:pt>
                <c:pt idx="10">
                  <c:v>0</c:v>
                </c:pt>
                <c:pt idx="11">
                  <c:v>18.63</c:v>
                </c:pt>
              </c:numCache>
            </c:numRef>
          </c:val>
          <c:shape val="cone"/>
          <c:extLst>
            <c:ext xmlns:c16="http://schemas.microsoft.com/office/drawing/2014/chart" uri="{C3380CC4-5D6E-409C-BE32-E72D297353CC}">
              <c16:uniqueId val="{00000002-AE31-4CDA-A71A-21B7046EE6FA}"/>
            </c:ext>
          </c:extLst>
        </c:ser>
        <c:dLbls>
          <c:showLegendKey val="0"/>
          <c:showVal val="0"/>
          <c:showCatName val="0"/>
          <c:showSerName val="0"/>
          <c:showPercent val="0"/>
          <c:showBubbleSize val="0"/>
        </c:dLbls>
        <c:gapWidth val="107"/>
        <c:gapDepth val="122"/>
        <c:shape val="box"/>
        <c:axId val="2117858960"/>
        <c:axId val="1996767504"/>
        <c:axId val="2117261424"/>
      </c:bar3DChart>
      <c:catAx>
        <c:axId val="2117858960"/>
        <c:scaling>
          <c:orientation val="minMax"/>
        </c:scaling>
        <c:delete val="1"/>
        <c:axPos val="b"/>
        <c:numFmt formatCode="General" sourceLinked="1"/>
        <c:majorTickMark val="none"/>
        <c:minorTickMark val="none"/>
        <c:tickLblPos val="nextTo"/>
        <c:crossAx val="1996767504"/>
        <c:crosses val="autoZero"/>
        <c:auto val="1"/>
        <c:lblAlgn val="ctr"/>
        <c:lblOffset val="100"/>
        <c:noMultiLvlLbl val="0"/>
      </c:catAx>
      <c:valAx>
        <c:axId val="1996767504"/>
        <c:scaling>
          <c:orientation val="minMax"/>
        </c:scaling>
        <c:delete val="0"/>
        <c:axPos val="l"/>
        <c:majorGridlines>
          <c:spPr>
            <a:ln w="9525" cap="flat" cmpd="sng" algn="ctr">
              <a:solidFill>
                <a:schemeClr val="bg2">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17858960"/>
        <c:crosses val="autoZero"/>
        <c:crossBetween val="between"/>
      </c:valAx>
      <c:serAx>
        <c:axId val="2117261424"/>
        <c:scaling>
          <c:orientation val="minMax"/>
        </c:scaling>
        <c:delete val="1"/>
        <c:axPos val="b"/>
        <c:majorTickMark val="none"/>
        <c:minorTickMark val="none"/>
        <c:tickLblPos val="nextTo"/>
        <c:crossAx val="1996767504"/>
        <c:crosses val="autoZero"/>
      </c:serAx>
      <c:spPr>
        <a:solidFill>
          <a:schemeClr val="accent2">
            <a:lumMod val="60000"/>
            <a:lumOff val="40000"/>
            <a:alpha val="73000"/>
          </a:schemeClr>
        </a:solidFill>
        <a:ln>
          <a:noFill/>
        </a:ln>
        <a:effectLst/>
      </c:spPr>
    </c:plotArea>
    <c:legend>
      <c:legendPos val="b"/>
      <c:layout>
        <c:manualLayout>
          <c:xMode val="edge"/>
          <c:yMode val="edge"/>
          <c:x val="0.41185091500868093"/>
          <c:y val="0.82483029266995767"/>
          <c:w val="0.25689690343111254"/>
          <c:h val="4.043402598267471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63674215012547"/>
          <c:y val="0.11110104862282151"/>
          <c:w val="0.68723616480561478"/>
          <c:h val="0.62939497271914657"/>
        </c:manualLayout>
      </c:layout>
      <c:barChart>
        <c:barDir val="col"/>
        <c:grouping val="clustered"/>
        <c:varyColors val="0"/>
        <c:ser>
          <c:idx val="0"/>
          <c:order val="0"/>
          <c:tx>
            <c:strRef>
              <c:f>Sheet2!$W$40</c:f>
              <c:strCache>
                <c:ptCount val="1"/>
                <c:pt idx="0">
                  <c:v>Grain yield</c:v>
                </c:pt>
              </c:strCache>
            </c:strRef>
          </c:tx>
          <c:spPr>
            <a:solidFill>
              <a:schemeClr val="accent6">
                <a:lumMod val="75000"/>
              </a:schemeClr>
            </a:solidFill>
            <a:ln>
              <a:noFill/>
            </a:ln>
            <a:effectLst/>
          </c:spPr>
          <c:invertIfNegative val="0"/>
          <c:cat>
            <c:strRef>
              <c:f>Sheet2!$V$41:$V$52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Sheet2!$W$41:$W$52</c:f>
              <c:numCache>
                <c:formatCode>0.00</c:formatCode>
                <c:ptCount val="12"/>
                <c:pt idx="0">
                  <c:v>20.100000000000001</c:v>
                </c:pt>
                <c:pt idx="1">
                  <c:v>22.61</c:v>
                </c:pt>
                <c:pt idx="2">
                  <c:v>24.207000000000001</c:v>
                </c:pt>
                <c:pt idx="3">
                  <c:v>18.077000000000002</c:v>
                </c:pt>
                <c:pt idx="4">
                  <c:v>19.809999999999999</c:v>
                </c:pt>
                <c:pt idx="5">
                  <c:v>19.363</c:v>
                </c:pt>
                <c:pt idx="6">
                  <c:v>18.559999999999999</c:v>
                </c:pt>
                <c:pt idx="7">
                  <c:v>26.797000000000001</c:v>
                </c:pt>
                <c:pt idx="8">
                  <c:v>30.402999999999999</c:v>
                </c:pt>
                <c:pt idx="9">
                  <c:v>34.917000000000002</c:v>
                </c:pt>
                <c:pt idx="10">
                  <c:v>39.497</c:v>
                </c:pt>
                <c:pt idx="11">
                  <c:v>14.733000000000001</c:v>
                </c:pt>
              </c:numCache>
            </c:numRef>
          </c:val>
          <c:extLst>
            <c:ext xmlns:c16="http://schemas.microsoft.com/office/drawing/2014/chart" uri="{C3380CC4-5D6E-409C-BE32-E72D297353CC}">
              <c16:uniqueId val="{00000000-2EE9-43B8-A709-567D6E44C633}"/>
            </c:ext>
          </c:extLst>
        </c:ser>
        <c:dLbls>
          <c:showLegendKey val="0"/>
          <c:showVal val="0"/>
          <c:showCatName val="0"/>
          <c:showSerName val="0"/>
          <c:showPercent val="0"/>
          <c:showBubbleSize val="0"/>
        </c:dLbls>
        <c:gapWidth val="150"/>
        <c:axId val="2117073248"/>
        <c:axId val="2117076608"/>
      </c:barChart>
      <c:lineChart>
        <c:grouping val="standard"/>
        <c:varyColors val="0"/>
        <c:ser>
          <c:idx val="1"/>
          <c:order val="1"/>
          <c:tx>
            <c:strRef>
              <c:f>Sheet2!$X$40</c:f>
              <c:strCache>
                <c:ptCount val="1"/>
                <c:pt idx="0">
                  <c:v>Straw yield</c:v>
                </c:pt>
              </c:strCache>
            </c:strRef>
          </c:tx>
          <c:spPr>
            <a:ln w="28575" cap="rnd">
              <a:solidFill>
                <a:schemeClr val="accent2"/>
              </a:solidFill>
              <a:round/>
            </a:ln>
            <a:effectLst/>
          </c:spPr>
          <c:marker>
            <c:symbol val="none"/>
          </c:marker>
          <c:cat>
            <c:strRef>
              <c:f>Sheet2!$V$41:$V$52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Sheet2!$X$41:$X$52</c:f>
              <c:numCache>
                <c:formatCode>0.00</c:formatCode>
                <c:ptCount val="12"/>
                <c:pt idx="0">
                  <c:v>21.466999999999999</c:v>
                </c:pt>
                <c:pt idx="1">
                  <c:v>23.343</c:v>
                </c:pt>
                <c:pt idx="2">
                  <c:v>25.556999999999999</c:v>
                </c:pt>
                <c:pt idx="3">
                  <c:v>18.977</c:v>
                </c:pt>
                <c:pt idx="4">
                  <c:v>20.027000000000001</c:v>
                </c:pt>
                <c:pt idx="5">
                  <c:v>19.88</c:v>
                </c:pt>
                <c:pt idx="6">
                  <c:v>19.18</c:v>
                </c:pt>
                <c:pt idx="7">
                  <c:v>28.023</c:v>
                </c:pt>
                <c:pt idx="8">
                  <c:v>33.799999999999997</c:v>
                </c:pt>
                <c:pt idx="9">
                  <c:v>38.159999999999997</c:v>
                </c:pt>
                <c:pt idx="10">
                  <c:v>45.046999999999997</c:v>
                </c:pt>
                <c:pt idx="11">
                  <c:v>16.393000000000001</c:v>
                </c:pt>
              </c:numCache>
            </c:numRef>
          </c:val>
          <c:smooth val="0"/>
          <c:extLst>
            <c:ext xmlns:c16="http://schemas.microsoft.com/office/drawing/2014/chart" uri="{C3380CC4-5D6E-409C-BE32-E72D297353CC}">
              <c16:uniqueId val="{00000001-2EE9-43B8-A709-567D6E44C633}"/>
            </c:ext>
          </c:extLst>
        </c:ser>
        <c:dLbls>
          <c:showLegendKey val="0"/>
          <c:showVal val="0"/>
          <c:showCatName val="0"/>
          <c:showSerName val="0"/>
          <c:showPercent val="0"/>
          <c:showBubbleSize val="0"/>
        </c:dLbls>
        <c:marker val="1"/>
        <c:smooth val="0"/>
        <c:axId val="1657651328"/>
        <c:axId val="1657651808"/>
      </c:lineChart>
      <c:catAx>
        <c:axId val="2117073248"/>
        <c:scaling>
          <c:orientation val="minMax"/>
        </c:scaling>
        <c:delete val="1"/>
        <c:axPos val="b"/>
        <c:numFmt formatCode="General" sourceLinked="1"/>
        <c:majorTickMark val="none"/>
        <c:minorTickMark val="none"/>
        <c:tickLblPos val="nextTo"/>
        <c:crossAx val="2117076608"/>
        <c:crosses val="autoZero"/>
        <c:auto val="1"/>
        <c:lblAlgn val="ctr"/>
        <c:lblOffset val="100"/>
        <c:noMultiLvlLbl val="0"/>
      </c:catAx>
      <c:valAx>
        <c:axId val="2117076608"/>
        <c:scaling>
          <c:orientation val="minMax"/>
        </c:scaling>
        <c:delete val="0"/>
        <c:axPos val="l"/>
        <c:majorGridlines>
          <c:spPr>
            <a:ln w="9525" cap="flat" cmpd="sng" algn="ctr">
              <a:solidFill>
                <a:schemeClr val="bg2">
                  <a:lumMod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2117073248"/>
        <c:crosses val="autoZero"/>
        <c:crossBetween val="between"/>
      </c:valAx>
      <c:valAx>
        <c:axId val="165765180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57651328"/>
        <c:crosses val="max"/>
        <c:crossBetween val="between"/>
      </c:valAx>
      <c:catAx>
        <c:axId val="1657651328"/>
        <c:scaling>
          <c:orientation val="minMax"/>
        </c:scaling>
        <c:delete val="1"/>
        <c:axPos val="b"/>
        <c:numFmt formatCode="General" sourceLinked="1"/>
        <c:majorTickMark val="none"/>
        <c:minorTickMark val="none"/>
        <c:tickLblPos val="nextTo"/>
        <c:crossAx val="1657651808"/>
        <c:crosses val="autoZero"/>
        <c:auto val="1"/>
        <c:lblAlgn val="ctr"/>
        <c:lblOffset val="100"/>
        <c:noMultiLvlLbl val="0"/>
      </c:catAx>
      <c:spPr>
        <a:solidFill>
          <a:schemeClr val="accent2">
            <a:lumMod val="20000"/>
            <a:lumOff val="80000"/>
          </a:schemeClr>
        </a:solidFill>
        <a:ln>
          <a:noFill/>
        </a:ln>
        <a:effectLst/>
      </c:spPr>
    </c:plotArea>
    <c:legend>
      <c:legendPos val="b"/>
      <c:layout>
        <c:manualLayout>
          <c:xMode val="edge"/>
          <c:yMode val="edge"/>
          <c:x val="0.36573369252273347"/>
          <c:y val="0.91028221014707256"/>
          <c:w val="0.32732229270022062"/>
          <c:h val="3.9592476569719405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0.03145</cdr:x>
      <cdr:y>0.19667</cdr:y>
    </cdr:from>
    <cdr:to>
      <cdr:x>0.05736</cdr:x>
      <cdr:y>0.64835</cdr:y>
    </cdr:to>
    <cdr:sp macro="" textlink="">
      <cdr:nvSpPr>
        <cdr:cNvPr id="3" name="Textbox 215"/>
        <cdr:cNvSpPr txBox="1">
          <a:spLocks xmlns:a="http://schemas.openxmlformats.org/drawingml/2006/main"/>
        </cdr:cNvSpPr>
      </cdr:nvSpPr>
      <cdr:spPr>
        <a:xfrm xmlns:a="http://schemas.openxmlformats.org/drawingml/2006/main">
          <a:off x="274381" y="981473"/>
          <a:ext cx="226063" cy="2254093"/>
        </a:xfrm>
        <a:prstGeom xmlns:a="http://schemas.openxmlformats.org/drawingml/2006/main" prst="rect">
          <a:avLst/>
        </a:prstGeom>
      </cdr:spPr>
      <cdr:txBody>
        <a:bodyPr xmlns:a="http://schemas.openxmlformats.org/drawingml/2006/main" vert="vert270" wrap="square" lIns="0" tIns="0" rIns="0" bIns="0" rtlCol="0">
          <a:noAutofit/>
        </a:bodyPr>
        <a:lstStyle xmlns:a="http://schemas.openxmlformats.org/drawingml/2006/main"/>
        <a:p xmlns:a="http://schemas.openxmlformats.org/drawingml/2006/main">
          <a:pPr marL="12700">
            <a:spcBef>
              <a:spcPts val="50"/>
            </a:spcBef>
            <a:buNone/>
          </a:pPr>
          <a:r>
            <a:rPr lang="en-US" sz="1100" b="1">
              <a:effectLst/>
              <a:latin typeface="Arial" panose="020B0604020202020204" pitchFamily="34" charset="0"/>
              <a:ea typeface="Times New Roman" panose="02020603050405020304" pitchFamily="18" charset="0"/>
              <a:cs typeface="Arial" panose="020B0604020202020204" pitchFamily="34" charset="0"/>
            </a:rPr>
            <a:t>Dry</a:t>
          </a:r>
          <a:r>
            <a:rPr lang="en-US" sz="1100" b="1" spc="-10">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matter</a:t>
          </a:r>
          <a:r>
            <a:rPr lang="en-US" sz="1100" b="1" spc="-55">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production</a:t>
          </a:r>
          <a:r>
            <a:rPr lang="en-US" sz="1100" b="1" spc="-40">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(g</a:t>
          </a:r>
          <a:r>
            <a:rPr lang="en-US" sz="1100" b="1" baseline="0">
              <a:effectLst/>
              <a:latin typeface="Arial" panose="020B0604020202020204" pitchFamily="34" charset="0"/>
              <a:ea typeface="Times New Roman" panose="02020603050405020304" pitchFamily="18" charset="0"/>
              <a:cs typeface="Arial" panose="020B0604020202020204" pitchFamily="34" charset="0"/>
            </a:rPr>
            <a:t> plant</a:t>
          </a:r>
          <a:r>
            <a:rPr lang="en-US" sz="1100" b="1" baseline="30000">
              <a:effectLst/>
              <a:latin typeface="Arial" panose="020B0604020202020204" pitchFamily="34" charset="0"/>
              <a:ea typeface="Times New Roman" panose="02020603050405020304" pitchFamily="18" charset="0"/>
              <a:cs typeface="Arial" panose="020B0604020202020204" pitchFamily="34" charset="0"/>
            </a:rPr>
            <a:t>-1</a:t>
          </a:r>
          <a:r>
            <a:rPr lang="en-US" sz="1100" b="1" baseline="0">
              <a:effectLst/>
              <a:latin typeface="Arial" panose="020B0604020202020204" pitchFamily="34" charset="0"/>
              <a:ea typeface="Times New Roman" panose="02020603050405020304" pitchFamily="18" charset="0"/>
              <a:cs typeface="Arial" panose="020B0604020202020204" pitchFamily="34" charset="0"/>
            </a:rPr>
            <a:t>)</a:t>
          </a:r>
          <a:endParaRPr lang="en-IN" sz="11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0.13495</cdr:x>
      <cdr:y>0.6608</cdr:y>
    </cdr:from>
    <cdr:to>
      <cdr:x>0.96143</cdr:x>
      <cdr:y>0.71435</cdr:y>
    </cdr:to>
    <cdr:sp macro="" textlink="">
      <cdr:nvSpPr>
        <cdr:cNvPr id="4" name="TextBox 4"/>
        <cdr:cNvSpPr txBox="1"/>
      </cdr:nvSpPr>
      <cdr:spPr>
        <a:xfrm xmlns:a="http://schemas.openxmlformats.org/drawingml/2006/main">
          <a:off x="1185486" y="3687099"/>
          <a:ext cx="7260288" cy="2988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400" b="1" dirty="0">
              <a:latin typeface="Times New Roman" panose="02020603050405020304" pitchFamily="18" charset="0"/>
              <a:cs typeface="Times New Roman" panose="02020603050405020304" pitchFamily="18" charset="0"/>
            </a:rPr>
            <a:t>     </a:t>
          </a:r>
          <a:r>
            <a:rPr lang="en-US" sz="1100" b="1" dirty="0">
              <a:latin typeface="Arial" panose="020B0604020202020204" pitchFamily="34" charset="0"/>
              <a:cs typeface="Arial" panose="020B0604020202020204" pitchFamily="34" charset="0"/>
            </a:rPr>
            <a:t>T</a:t>
          </a:r>
          <a:r>
            <a:rPr lang="en-US" sz="1100" b="1" baseline="-25000" dirty="0">
              <a:latin typeface="Arial" panose="020B0604020202020204" pitchFamily="34" charset="0"/>
              <a:cs typeface="Arial" panose="020B0604020202020204" pitchFamily="34" charset="0"/>
            </a:rPr>
            <a:t>1</a:t>
          </a:r>
          <a:r>
            <a:rPr lang="en-US" sz="1200" b="1" baseline="-25000" dirty="0">
              <a:latin typeface="Times New Roman" panose="02020603050405020304" pitchFamily="18" charset="0"/>
              <a:cs typeface="Times New Roman" panose="02020603050405020304" pitchFamily="18" charset="0"/>
            </a:rPr>
            <a:t> </a:t>
          </a:r>
          <a:r>
            <a:rPr lang="en-US" sz="1400" b="1" dirty="0">
              <a:latin typeface="Times New Roman" panose="02020603050405020304" pitchFamily="18" charset="0"/>
              <a:cs typeface="Times New Roman" panose="02020603050405020304" pitchFamily="18" charset="0"/>
            </a:rPr>
            <a:t>        </a:t>
          </a:r>
          <a:r>
            <a:rPr lang="en-US" sz="1200" b="1" dirty="0">
              <a:latin typeface="Times New Roman" panose="02020603050405020304" pitchFamily="18" charset="0"/>
              <a:cs typeface="Times New Roman" panose="02020603050405020304" pitchFamily="18" charset="0"/>
            </a:rPr>
            <a:t>T</a:t>
          </a:r>
          <a:r>
            <a:rPr lang="en-US" sz="1200" b="1" baseline="-25000" dirty="0">
              <a:latin typeface="Times New Roman" panose="02020603050405020304" pitchFamily="18" charset="0"/>
              <a:cs typeface="Times New Roman" panose="02020603050405020304" pitchFamily="18" charset="0"/>
            </a:rPr>
            <a:t>2</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3</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4</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5</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6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7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8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9</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10</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11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12 </a:t>
          </a:r>
          <a:r>
            <a:rPr lang="en-US" sz="1200" b="1" dirty="0">
              <a:latin typeface="Times New Roman" panose="02020603050405020304" pitchFamily="18" charset="0"/>
              <a:cs typeface="Times New Roman" panose="02020603050405020304" pitchFamily="18" charset="0"/>
            </a:rPr>
            <a:t> </a:t>
          </a:r>
          <a:endParaRPr lang="en-IN" sz="12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0.48424</cdr:x>
      <cdr:y>0.72265</cdr:y>
    </cdr:from>
    <cdr:to>
      <cdr:x>0.59354</cdr:x>
      <cdr:y>0.7555</cdr:y>
    </cdr:to>
    <cdr:sp macro="" textlink="">
      <cdr:nvSpPr>
        <cdr:cNvPr id="5" name="Rectangle 4"/>
        <cdr:cNvSpPr/>
      </cdr:nvSpPr>
      <cdr:spPr>
        <a:xfrm xmlns:a="http://schemas.openxmlformats.org/drawingml/2006/main">
          <a:off x="4253886" y="4032211"/>
          <a:ext cx="960120" cy="183259"/>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0.10356</cdr:x>
      <cdr:y>0.63896</cdr:y>
    </cdr:from>
    <cdr:to>
      <cdr:x>0.92484</cdr:x>
      <cdr:y>0.68357</cdr:y>
    </cdr:to>
    <cdr:sp macro="" textlink="">
      <cdr:nvSpPr>
        <cdr:cNvPr id="2" name="TextBox 4"/>
        <cdr:cNvSpPr txBox="1"/>
      </cdr:nvSpPr>
      <cdr:spPr>
        <a:xfrm xmlns:a="http://schemas.openxmlformats.org/drawingml/2006/main">
          <a:off x="913826" y="3645957"/>
          <a:ext cx="7246939" cy="254557"/>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2</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3</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4</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5</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6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7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8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9</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10</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12 </a:t>
          </a:r>
          <a:r>
            <a:rPr lang="en-US" sz="1100" b="1" dirty="0">
              <a:latin typeface="Arial" panose="020B0604020202020204" pitchFamily="34" charset="0"/>
              <a:cs typeface="Arial" panose="020B0604020202020204" pitchFamily="34" charset="0"/>
            </a:rPr>
            <a:t>  </a:t>
          </a:r>
          <a:endParaRPr lang="en-IN" sz="1100" b="1"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0.01555</cdr:x>
      <cdr:y>0.24713</cdr:y>
    </cdr:from>
    <cdr:to>
      <cdr:x>0.05493</cdr:x>
      <cdr:y>0.62642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771181" y="2318542"/>
          <a:ext cx="2164268" cy="347502"/>
        </a:xfrm>
        <a:prstGeom xmlns:a="http://schemas.openxmlformats.org/drawingml/2006/main" prst="rect">
          <a:avLst/>
        </a:prstGeom>
      </cdr:spPr>
    </cdr:pic>
  </cdr:relSizeAnchor>
  <cdr:relSizeAnchor xmlns:cdr="http://schemas.openxmlformats.org/drawingml/2006/chartDrawing">
    <cdr:from>
      <cdr:x>0.48956</cdr:x>
      <cdr:y>0.7085</cdr:y>
    </cdr:from>
    <cdr:to>
      <cdr:x>0.59763</cdr:x>
      <cdr:y>0.73722</cdr:y>
    </cdr:to>
    <cdr:sp macro="" textlink="">
      <cdr:nvSpPr>
        <cdr:cNvPr id="4" name="Rectangle 3"/>
        <cdr:cNvSpPr/>
      </cdr:nvSpPr>
      <cdr:spPr>
        <a:xfrm xmlns:a="http://schemas.openxmlformats.org/drawingml/2006/main">
          <a:off x="4319849" y="4042757"/>
          <a:ext cx="953597" cy="163905"/>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0.15437</cdr:x>
      <cdr:y>0.76</cdr:y>
    </cdr:from>
    <cdr:to>
      <cdr:x>0.97259</cdr:x>
      <cdr:y>0.81437</cdr:y>
    </cdr:to>
    <cdr:sp macro="" textlink="">
      <cdr:nvSpPr>
        <cdr:cNvPr id="2" name="TextBox 4"/>
        <cdr:cNvSpPr txBox="1"/>
      </cdr:nvSpPr>
      <cdr:spPr>
        <a:xfrm xmlns:a="http://schemas.openxmlformats.org/drawingml/2006/main">
          <a:off x="1358779" y="3558191"/>
          <a:ext cx="7202275" cy="254557"/>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2</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3</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4</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5</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6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7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8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9</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10</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12 </a:t>
          </a:r>
          <a:r>
            <a:rPr lang="en-US" sz="1100" b="1" dirty="0">
              <a:latin typeface="Arial" panose="020B0604020202020204" pitchFamily="34" charset="0"/>
              <a:cs typeface="Arial" panose="020B0604020202020204" pitchFamily="34" charset="0"/>
            </a:rPr>
            <a:t>  </a:t>
          </a:r>
          <a:endParaRPr lang="en-IN" sz="1100" b="1"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0.47979</cdr:x>
      <cdr:y>0.83514</cdr:y>
    </cdr:from>
    <cdr:to>
      <cdr:x>0.58745</cdr:x>
      <cdr:y>0.85914</cdr:y>
    </cdr:to>
    <cdr:sp macro="" textlink="">
      <cdr:nvSpPr>
        <cdr:cNvPr id="3" name="Rectangle 2"/>
        <cdr:cNvSpPr/>
      </cdr:nvSpPr>
      <cdr:spPr>
        <a:xfrm xmlns:a="http://schemas.openxmlformats.org/drawingml/2006/main">
          <a:off x="4249463" y="4866687"/>
          <a:ext cx="953597" cy="139865"/>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dr:relSizeAnchor xmlns:cdr="http://schemas.openxmlformats.org/drawingml/2006/chartDrawing">
    <cdr:from>
      <cdr:x>0.05881</cdr:x>
      <cdr:y>0.29971</cdr:y>
    </cdr:from>
    <cdr:to>
      <cdr:x>0.07665</cdr:x>
      <cdr:y>0.65206</cdr:y>
    </cdr:to>
    <cdr:sp macro="" textlink="">
      <cdr:nvSpPr>
        <cdr:cNvPr id="5" name="Rectangle 4"/>
        <cdr:cNvSpPr/>
      </cdr:nvSpPr>
      <cdr:spPr>
        <a:xfrm xmlns:a="http://schemas.openxmlformats.org/drawingml/2006/main" rot="16200000">
          <a:off x="-226386" y="2149214"/>
          <a:ext cx="1649651" cy="157654"/>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Grain</a:t>
          </a:r>
          <a:r>
            <a:rPr lang="en-IN" sz="1100" b="1" kern="100" baseline="0">
              <a:solidFill>
                <a:srgbClr val="000000"/>
              </a:solidFill>
              <a:effectLst/>
              <a:latin typeface="Arial" panose="020B0604020202020204" pitchFamily="34" charset="0"/>
              <a:ea typeface="Arial" panose="020B0604020202020204" pitchFamily="34" charset="0"/>
            </a:rPr>
            <a:t> yield (g plant</a:t>
          </a:r>
          <a:r>
            <a:rPr lang="en-IN" sz="1100" b="1" kern="100" baseline="30000">
              <a:solidFill>
                <a:srgbClr val="000000"/>
              </a:solidFill>
              <a:effectLst/>
              <a:latin typeface="Arial" panose="020B0604020202020204" pitchFamily="34" charset="0"/>
              <a:ea typeface="Arial" panose="020B0604020202020204" pitchFamily="34" charset="0"/>
            </a:rPr>
            <a:t>-1</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dr:relSizeAnchor xmlns:cdr="http://schemas.openxmlformats.org/drawingml/2006/chartDrawing">
    <cdr:from>
      <cdr:x>0.94397</cdr:x>
      <cdr:y>0.26925</cdr:y>
    </cdr:from>
    <cdr:to>
      <cdr:x>0.96174</cdr:x>
      <cdr:y>0.6216</cdr:y>
    </cdr:to>
    <cdr:sp macro="" textlink="">
      <cdr:nvSpPr>
        <cdr:cNvPr id="6" name="Rectangle 5"/>
        <cdr:cNvSpPr/>
      </cdr:nvSpPr>
      <cdr:spPr>
        <a:xfrm xmlns:a="http://schemas.openxmlformats.org/drawingml/2006/main" rot="16200000">
          <a:off x="7594601" y="2006883"/>
          <a:ext cx="1649651" cy="157053"/>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baseline="0">
              <a:solidFill>
                <a:srgbClr val="000000"/>
              </a:solidFill>
              <a:effectLst/>
              <a:latin typeface="Arial" panose="020B0604020202020204" pitchFamily="34" charset="0"/>
              <a:ea typeface="Arial" panose="020B0604020202020204" pitchFamily="34" charset="0"/>
            </a:rPr>
            <a:t>Straw yield (g plant</a:t>
          </a:r>
          <a:r>
            <a:rPr lang="en-IN" sz="1100" b="1" kern="100" baseline="30000">
              <a:solidFill>
                <a:srgbClr val="000000"/>
              </a:solidFill>
              <a:effectLst/>
              <a:latin typeface="Arial" panose="020B0604020202020204" pitchFamily="34" charset="0"/>
              <a:ea typeface="Arial" panose="020B0604020202020204" pitchFamily="34" charset="0"/>
            </a:rPr>
            <a:t>-1</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13</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HARINII s</dc:creator>
  <cp:keywords/>
  <dc:description/>
  <cp:lastModifiedBy>SDI PC New 16</cp:lastModifiedBy>
  <cp:revision>19</cp:revision>
  <dcterms:created xsi:type="dcterms:W3CDTF">2026-03-13T04:52:00Z</dcterms:created>
  <dcterms:modified xsi:type="dcterms:W3CDTF">2026-03-25T06:33:00Z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6f987fce-ec72-44c9-bd88-abede9a62193</vt:lpwstr>
  </property>
</Properties>
</file>