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EACD" w14:textId="5BD8FE38" w:rsidR="00754C9A" w:rsidRDefault="005B5DC7" w:rsidP="00694F10">
      <w:pPr>
        <w:pStyle w:val="Title"/>
        <w:tabs>
          <w:tab w:val="left" w:pos="0"/>
        </w:tabs>
        <w:spacing w:after="0" w:line="360" w:lineRule="auto"/>
        <w:jc w:val="both"/>
        <w:rPr>
          <w:rFonts w:ascii="Arial" w:hAnsi="Arial" w:cs="Arial"/>
          <w:sz w:val="22"/>
          <w:szCs w:val="22"/>
        </w:rPr>
      </w:pPr>
      <w:r w:rsidRPr="005B5DC7">
        <w:rPr>
          <w:rFonts w:ascii="Arial" w:hAnsi="Arial" w:cs="Arial"/>
          <w:sz w:val="22"/>
          <w:szCs w:val="22"/>
        </w:rPr>
        <w:t>Review article</w:t>
      </w:r>
    </w:p>
    <w:p w14:paraId="5FE1C63B" w14:textId="77777777" w:rsidR="005B5DC7" w:rsidRDefault="005B5DC7" w:rsidP="00694F10">
      <w:pPr>
        <w:pStyle w:val="Title"/>
        <w:tabs>
          <w:tab w:val="left" w:pos="0"/>
        </w:tabs>
        <w:spacing w:after="0" w:line="360" w:lineRule="auto"/>
        <w:jc w:val="both"/>
        <w:rPr>
          <w:rFonts w:ascii="Arial" w:hAnsi="Arial" w:cs="Arial"/>
          <w:sz w:val="22"/>
          <w:szCs w:val="22"/>
        </w:rPr>
      </w:pPr>
    </w:p>
    <w:p w14:paraId="7AF140A2" w14:textId="77777777" w:rsidR="005B5DC7" w:rsidRPr="00694F10" w:rsidRDefault="005B5DC7" w:rsidP="00694F10">
      <w:pPr>
        <w:pStyle w:val="Title"/>
        <w:tabs>
          <w:tab w:val="left" w:pos="0"/>
        </w:tabs>
        <w:spacing w:after="0" w:line="360" w:lineRule="auto"/>
        <w:jc w:val="both"/>
        <w:rPr>
          <w:rFonts w:ascii="Arial" w:hAnsi="Arial" w:cs="Arial"/>
          <w:sz w:val="22"/>
          <w:szCs w:val="22"/>
        </w:rPr>
      </w:pPr>
    </w:p>
    <w:p w14:paraId="08185E6A" w14:textId="272F9EE7" w:rsidR="00FF6B23" w:rsidRDefault="00FF6B23" w:rsidP="00694F10">
      <w:pPr>
        <w:tabs>
          <w:tab w:val="left" w:pos="0"/>
        </w:tabs>
        <w:spacing w:line="360" w:lineRule="auto"/>
        <w:jc w:val="center"/>
        <w:rPr>
          <w:rFonts w:ascii="Arial" w:hAnsi="Arial" w:cs="Arial"/>
          <w:b/>
          <w:bCs/>
          <w:sz w:val="22"/>
          <w:szCs w:val="22"/>
        </w:rPr>
      </w:pPr>
      <w:r w:rsidRPr="00694F10">
        <w:rPr>
          <w:rFonts w:ascii="Arial" w:hAnsi="Arial" w:cs="Arial"/>
          <w:b/>
          <w:bCs/>
          <w:sz w:val="22"/>
          <w:szCs w:val="22"/>
        </w:rPr>
        <w:t>Synergistic effects of combined application of plant growth hormones and micronutrients on mulberry biomass and leaf protein content</w:t>
      </w:r>
    </w:p>
    <w:p w14:paraId="22CA2846" w14:textId="77777777" w:rsidR="005B5DC7" w:rsidRPr="00694F10" w:rsidRDefault="005B5DC7" w:rsidP="00694F10">
      <w:pPr>
        <w:tabs>
          <w:tab w:val="left" w:pos="0"/>
        </w:tabs>
        <w:spacing w:line="360" w:lineRule="auto"/>
        <w:jc w:val="center"/>
        <w:rPr>
          <w:rFonts w:ascii="Arial" w:hAnsi="Arial" w:cs="Arial"/>
          <w:b/>
          <w:bCs/>
          <w:sz w:val="22"/>
          <w:szCs w:val="22"/>
        </w:rPr>
      </w:pPr>
    </w:p>
    <w:p w14:paraId="504F5BBE" w14:textId="77777777" w:rsidR="00EB054B" w:rsidRDefault="00EB054B" w:rsidP="00EB054B">
      <w:pPr>
        <w:tabs>
          <w:tab w:val="left" w:pos="0"/>
        </w:tabs>
        <w:spacing w:line="360" w:lineRule="auto"/>
        <w:jc w:val="center"/>
        <w:rPr>
          <w:rFonts w:ascii="Arial" w:hAnsi="Arial" w:cs="Arial"/>
          <w:sz w:val="22"/>
          <w:szCs w:val="22"/>
        </w:rPr>
      </w:pPr>
    </w:p>
    <w:p w14:paraId="1864AC2E" w14:textId="77777777" w:rsidR="002C57D2" w:rsidRPr="00694F10" w:rsidRDefault="002C57D2" w:rsidP="00694F10">
      <w:pPr>
        <w:pStyle w:val="Affiliation"/>
        <w:tabs>
          <w:tab w:val="left" w:pos="0"/>
        </w:tabs>
        <w:spacing w:after="0" w:line="360" w:lineRule="auto"/>
        <w:jc w:val="both"/>
        <w:rPr>
          <w:rFonts w:ascii="Arial" w:hAnsi="Arial" w:cs="Arial"/>
          <w:sz w:val="22"/>
          <w:szCs w:val="22"/>
        </w:rPr>
      </w:pPr>
    </w:p>
    <w:p w14:paraId="692E2BC9" w14:textId="4BECFAD8" w:rsidR="00B01FCD" w:rsidRPr="00694F10" w:rsidRDefault="00B52F54" w:rsidP="00694F10">
      <w:pPr>
        <w:pStyle w:val="Copyright"/>
        <w:tabs>
          <w:tab w:val="left" w:pos="0"/>
        </w:tabs>
        <w:spacing w:after="0" w:line="360" w:lineRule="auto"/>
        <w:jc w:val="both"/>
        <w:rPr>
          <w:rFonts w:ascii="Arial" w:hAnsi="Arial" w:cs="Arial"/>
          <w:sz w:val="22"/>
          <w:szCs w:val="22"/>
        </w:rPr>
        <w:sectPr w:rsidR="00B01FCD" w:rsidRPr="00694F10" w:rsidSect="00BB7B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94F10">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83AD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94F10">
        <w:rPr>
          <w:rFonts w:ascii="Arial" w:hAnsi="Arial" w:cs="Arial"/>
          <w:sz w:val="22"/>
          <w:szCs w:val="22"/>
        </w:rPr>
        <w:t>.</w:t>
      </w:r>
    </w:p>
    <w:p w14:paraId="2B52BE60" w14:textId="2957F77A" w:rsidR="00B01FCD" w:rsidRPr="00694F10" w:rsidRDefault="00B01FCD" w:rsidP="00694F10">
      <w:pPr>
        <w:pStyle w:val="AbstHead"/>
        <w:tabs>
          <w:tab w:val="left" w:pos="0"/>
        </w:tabs>
        <w:spacing w:after="0" w:line="360" w:lineRule="auto"/>
        <w:jc w:val="both"/>
        <w:rPr>
          <w:rFonts w:ascii="Arial" w:hAnsi="Arial" w:cs="Arial"/>
          <w:szCs w:val="22"/>
        </w:rPr>
      </w:pPr>
      <w:r w:rsidRPr="00694F10">
        <w:rPr>
          <w:rFonts w:ascii="Arial" w:hAnsi="Arial" w:cs="Arial"/>
          <w:szCs w:val="22"/>
        </w:rPr>
        <w:t>ABSTRACT</w:t>
      </w:r>
      <w:r w:rsidR="0066510A" w:rsidRPr="00694F10">
        <w:rPr>
          <w:rFonts w:ascii="Arial" w:hAnsi="Arial" w:cs="Arial"/>
          <w:szCs w:val="22"/>
        </w:rPr>
        <w:t xml:space="preserve"> </w:t>
      </w:r>
    </w:p>
    <w:p w14:paraId="205E221F" w14:textId="77777777" w:rsidR="00790ADA" w:rsidRPr="00694F10" w:rsidRDefault="00790ADA" w:rsidP="00694F10">
      <w:pPr>
        <w:pStyle w:val="AbstHead"/>
        <w:tabs>
          <w:tab w:val="left" w:pos="0"/>
        </w:tabs>
        <w:spacing w:after="0" w:line="360" w:lineRule="auto"/>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94F10" w14:paraId="12F4D5A4" w14:textId="77777777" w:rsidTr="001E44FE">
        <w:tc>
          <w:tcPr>
            <w:tcW w:w="9576" w:type="dxa"/>
            <w:shd w:val="clear" w:color="auto" w:fill="F2F2F2"/>
          </w:tcPr>
          <w:p w14:paraId="763C394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Mulberry (</w:t>
            </w:r>
            <w:r w:rsidRPr="00694F10">
              <w:rPr>
                <w:rFonts w:ascii="Arial" w:hAnsi="Arial" w:cs="Arial"/>
                <w:i/>
                <w:iCs/>
                <w:sz w:val="22"/>
                <w:szCs w:val="22"/>
              </w:rPr>
              <w:t>Morus spp</w:t>
            </w:r>
            <w:r w:rsidRPr="00694F10">
              <w:rPr>
                <w:rFonts w:ascii="Arial" w:hAnsi="Arial" w:cs="Arial"/>
                <w:sz w:val="22"/>
                <w:szCs w:val="22"/>
              </w:rPr>
              <w:t xml:space="preserve">.) leaf biomass and protein content are primary determinants of silkworm growth, cocoon yield and raw silk quality. Conventional recommendations rely mainly on NPK fertilization, but in the last 3–4 decades many studies have evaluated plant growth regulators (PGRs / plant hormones) and micronutrient foliar sprays – often in combined commercial formulations – to improve mulberry productivity and nutritive value. Synthesizing the available work on mulberry, and supportive evidence from related crops, indicates that exogenous PGRs (auxins, gibberellins, </w:t>
            </w:r>
            <w:proofErr w:type="spellStart"/>
            <w:r w:rsidRPr="00694F10">
              <w:rPr>
                <w:rFonts w:ascii="Arial" w:hAnsi="Arial" w:cs="Arial"/>
                <w:sz w:val="22"/>
                <w:szCs w:val="22"/>
              </w:rPr>
              <w:t>cytokinins</w:t>
            </w:r>
            <w:proofErr w:type="spellEnd"/>
            <w:r w:rsidRPr="00694F10">
              <w:rPr>
                <w:rFonts w:ascii="Arial" w:hAnsi="Arial" w:cs="Arial"/>
                <w:sz w:val="22"/>
                <w:szCs w:val="22"/>
              </w:rPr>
              <w:t>, triacontanol) and micronutrients (Fe, Zn, Mn, Cu, B, Mg) act synergistically to: (</w:t>
            </w:r>
            <w:proofErr w:type="spellStart"/>
            <w:r w:rsidRPr="00694F10">
              <w:rPr>
                <w:rFonts w:ascii="Arial" w:hAnsi="Arial" w:cs="Arial"/>
                <w:sz w:val="22"/>
                <w:szCs w:val="22"/>
              </w:rPr>
              <w:t>i</w:t>
            </w:r>
            <w:proofErr w:type="spellEnd"/>
            <w:r w:rsidRPr="00694F10">
              <w:rPr>
                <w:rFonts w:ascii="Arial" w:hAnsi="Arial" w:cs="Arial"/>
                <w:sz w:val="22"/>
                <w:szCs w:val="22"/>
              </w:rPr>
              <w:t>) increase leaf area, shoot growth and total biomass, (ii) improve chlorophyll and photosynthetic efficiency, (iii) enhance nitrogen assimilation and soluble protein in leaves, and (iv) improve downstream silkworm performance. Triacontanol- and GA</w:t>
            </w:r>
            <w:r w:rsidRPr="00694F10">
              <w:rPr>
                <w:rFonts w:ascii="Cambria Math" w:hAnsi="Cambria Math" w:cs="Cambria Math"/>
                <w:sz w:val="22"/>
                <w:szCs w:val="22"/>
              </w:rPr>
              <w:t>₃</w:t>
            </w:r>
            <w:r w:rsidRPr="00694F10">
              <w:rPr>
                <w:rFonts w:ascii="Arial" w:hAnsi="Arial" w:cs="Arial"/>
                <w:sz w:val="22"/>
                <w:szCs w:val="22"/>
              </w:rPr>
              <w:t xml:space="preserve">-based commercial foliar formulations that also contain multi-micronutrients (e.g.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w:t>
            </w:r>
            <w:proofErr w:type="spellStart"/>
            <w:r w:rsidRPr="00694F10">
              <w:rPr>
                <w:rFonts w:ascii="Arial" w:hAnsi="Arial" w:cs="Arial"/>
                <w:sz w:val="22"/>
                <w:szCs w:val="22"/>
              </w:rPr>
              <w:t>Plantonik</w:t>
            </w:r>
            <w:proofErr w:type="spellEnd"/>
            <w:r w:rsidRPr="00694F10">
              <w:rPr>
                <w:rFonts w:ascii="Arial" w:hAnsi="Arial" w:cs="Arial"/>
                <w:sz w:val="22"/>
                <w:szCs w:val="22"/>
              </w:rPr>
              <w:t>, triacontanol–micronutrient mixtures) consistently show higher gains than either PGR or micronutrients alone, with 10–25% increases in leaf yield, improved leaf moisture and higher crude/soluble protein content in multiple field trials. However, dose–response relationships, variety-specific optimization, and detailed biochemical mechanisms in mulberry are not yet fully standardized.</w:t>
            </w:r>
          </w:p>
          <w:p w14:paraId="243EA962" w14:textId="4CC9D6A4" w:rsidR="00505F06" w:rsidRPr="00694F10" w:rsidRDefault="00505F06" w:rsidP="00694F10">
            <w:pPr>
              <w:tabs>
                <w:tab w:val="left" w:pos="0"/>
              </w:tabs>
              <w:spacing w:line="360" w:lineRule="auto"/>
              <w:jc w:val="both"/>
              <w:rPr>
                <w:rFonts w:ascii="Arial" w:hAnsi="Arial" w:cs="Arial"/>
                <w:sz w:val="22"/>
                <w:szCs w:val="22"/>
              </w:rPr>
            </w:pPr>
          </w:p>
        </w:tc>
      </w:tr>
    </w:tbl>
    <w:p w14:paraId="55B4C187" w14:textId="77777777" w:rsidR="00636EB2" w:rsidRPr="00694F10" w:rsidRDefault="00636EB2" w:rsidP="00694F10">
      <w:pPr>
        <w:pStyle w:val="Body"/>
        <w:tabs>
          <w:tab w:val="left" w:pos="0"/>
        </w:tabs>
        <w:spacing w:after="0" w:line="360" w:lineRule="auto"/>
        <w:rPr>
          <w:rFonts w:ascii="Arial" w:hAnsi="Arial" w:cs="Arial"/>
          <w:i/>
          <w:sz w:val="22"/>
          <w:szCs w:val="22"/>
        </w:rPr>
      </w:pPr>
    </w:p>
    <w:p w14:paraId="1775B227" w14:textId="3A6AC646" w:rsidR="00505F06" w:rsidRPr="00694F10" w:rsidRDefault="00A24E7E" w:rsidP="00694F10">
      <w:pPr>
        <w:pStyle w:val="Body"/>
        <w:tabs>
          <w:tab w:val="left" w:pos="0"/>
        </w:tabs>
        <w:spacing w:after="0" w:line="360" w:lineRule="auto"/>
        <w:rPr>
          <w:rFonts w:ascii="Arial" w:hAnsi="Arial" w:cs="Arial"/>
          <w:i/>
          <w:sz w:val="22"/>
          <w:szCs w:val="22"/>
        </w:rPr>
      </w:pPr>
      <w:r w:rsidRPr="00694F10">
        <w:rPr>
          <w:rFonts w:ascii="Arial" w:hAnsi="Arial" w:cs="Arial"/>
          <w:i/>
          <w:sz w:val="22"/>
          <w:szCs w:val="22"/>
        </w:rPr>
        <w:lastRenderedPageBreak/>
        <w:t xml:space="preserve">Keywords: </w:t>
      </w:r>
      <w:r w:rsidR="00FF6B23" w:rsidRPr="00694F10">
        <w:rPr>
          <w:rFonts w:ascii="Arial" w:hAnsi="Arial" w:cs="Arial"/>
          <w:i/>
          <w:sz w:val="22"/>
          <w:szCs w:val="22"/>
        </w:rPr>
        <w:t>Mulberry, Plant growth regulators, Micronutrients, Triacontanol, Foliar spray, Leaf protein, Silkworm performance, Sericulture.</w:t>
      </w:r>
      <w:r w:rsidR="001A6ED4" w:rsidRPr="00694F10">
        <w:rPr>
          <w:rFonts w:ascii="Arial" w:hAnsi="Arial" w:cs="Arial"/>
          <w:i/>
          <w:sz w:val="22"/>
          <w:szCs w:val="22"/>
        </w:rPr>
        <w:tab/>
      </w:r>
    </w:p>
    <w:p w14:paraId="19404C46" w14:textId="4B51E91B" w:rsidR="007F7B32" w:rsidRPr="00694F10" w:rsidRDefault="00902823" w:rsidP="00694F10">
      <w:pPr>
        <w:pStyle w:val="AbstHead"/>
        <w:tabs>
          <w:tab w:val="left" w:pos="0"/>
        </w:tabs>
        <w:spacing w:after="0" w:line="360" w:lineRule="auto"/>
        <w:jc w:val="both"/>
        <w:rPr>
          <w:rFonts w:ascii="Arial" w:hAnsi="Arial" w:cs="Arial"/>
          <w:szCs w:val="22"/>
        </w:rPr>
      </w:pPr>
      <w:r w:rsidRPr="00694F10">
        <w:rPr>
          <w:rFonts w:ascii="Arial" w:hAnsi="Arial" w:cs="Arial"/>
          <w:szCs w:val="22"/>
        </w:rPr>
        <w:t xml:space="preserve">1. </w:t>
      </w:r>
      <w:r w:rsidR="00B01FCD" w:rsidRPr="00694F10">
        <w:rPr>
          <w:rFonts w:ascii="Arial" w:hAnsi="Arial" w:cs="Arial"/>
          <w:szCs w:val="22"/>
        </w:rPr>
        <w:t>INTRODUCTION</w:t>
      </w:r>
      <w:r w:rsidR="007F7B32" w:rsidRPr="00694F10">
        <w:rPr>
          <w:rFonts w:ascii="Arial" w:hAnsi="Arial" w:cs="Arial"/>
          <w:szCs w:val="22"/>
        </w:rPr>
        <w:t xml:space="preserve"> </w:t>
      </w:r>
    </w:p>
    <w:p w14:paraId="52BAE58E" w14:textId="77777777" w:rsidR="00790ADA" w:rsidRPr="00694F10" w:rsidRDefault="00790ADA" w:rsidP="00694F10">
      <w:pPr>
        <w:pStyle w:val="AbstHead"/>
        <w:tabs>
          <w:tab w:val="left" w:pos="0"/>
        </w:tabs>
        <w:spacing w:after="0" w:line="360" w:lineRule="auto"/>
        <w:jc w:val="both"/>
        <w:rPr>
          <w:rFonts w:ascii="Arial" w:hAnsi="Arial" w:cs="Arial"/>
          <w:szCs w:val="22"/>
        </w:rPr>
      </w:pPr>
    </w:p>
    <w:p w14:paraId="550DF71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Mulberry (</w:t>
      </w:r>
      <w:r w:rsidRPr="00694F10">
        <w:rPr>
          <w:rFonts w:ascii="Arial" w:hAnsi="Arial" w:cs="Arial"/>
          <w:i/>
          <w:iCs/>
          <w:sz w:val="22"/>
          <w:szCs w:val="22"/>
        </w:rPr>
        <w:t>Morus</w:t>
      </w:r>
      <w:r w:rsidRPr="00694F10">
        <w:rPr>
          <w:rFonts w:ascii="Arial" w:hAnsi="Arial" w:cs="Arial"/>
          <w:sz w:val="22"/>
          <w:szCs w:val="22"/>
        </w:rPr>
        <w:t xml:space="preserve"> spp.) occupies a unique place in sericulture because its leaves constitute the sole food source for the monophagous silkworm, </w:t>
      </w:r>
      <w:r w:rsidRPr="00694F10">
        <w:rPr>
          <w:rFonts w:ascii="Arial" w:hAnsi="Arial" w:cs="Arial"/>
          <w:i/>
          <w:iCs/>
          <w:sz w:val="22"/>
          <w:szCs w:val="22"/>
        </w:rPr>
        <w:t>Bombyx mori</w:t>
      </w:r>
      <w:r w:rsidRPr="00694F10">
        <w:rPr>
          <w:rFonts w:ascii="Arial" w:hAnsi="Arial" w:cs="Arial"/>
          <w:sz w:val="22"/>
          <w:szCs w:val="22"/>
        </w:rPr>
        <w:t xml:space="preserve"> L. Among various quality attributes of mulberry foliage, </w:t>
      </w:r>
      <w:r w:rsidRPr="00694F10">
        <w:rPr>
          <w:rFonts w:ascii="Arial" w:hAnsi="Arial" w:cs="Arial"/>
          <w:b/>
          <w:bCs/>
          <w:sz w:val="22"/>
          <w:szCs w:val="22"/>
        </w:rPr>
        <w:t>leaf biomass and protein content</w:t>
      </w:r>
      <w:r w:rsidRPr="00694F10">
        <w:rPr>
          <w:rFonts w:ascii="Arial" w:hAnsi="Arial" w:cs="Arial"/>
          <w:sz w:val="22"/>
          <w:szCs w:val="22"/>
        </w:rPr>
        <w:t xml:space="preserve"> are the most critical determinants of larval growth, cocoon yield and raw silk quality (Krishnaswami et al., 1971; Purohit &amp; Pavankumar, 1996). High leaf biomass ensures adequate feeding throughout the rearing period, while a higher concentration of crude and soluble proteins directly supports rapid tissue synthesis in the growing larvae, resulting in heavier cocoons, better shell ratio and longer filament length. Thus, any agronomic intervention that improves mulberry leaf quantity and protein-rich quality has a direct and measurable impact on the economics of sericulture at the farm level.</w:t>
      </w:r>
    </w:p>
    <w:p w14:paraId="13CD4F0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To meet the leaf demand of successive silkworm </w:t>
      </w:r>
      <w:proofErr w:type="spellStart"/>
      <w:r w:rsidRPr="00694F10">
        <w:rPr>
          <w:rFonts w:ascii="Arial" w:hAnsi="Arial" w:cs="Arial"/>
          <w:sz w:val="22"/>
          <w:szCs w:val="22"/>
        </w:rPr>
        <w:t>rearings</w:t>
      </w:r>
      <w:proofErr w:type="spellEnd"/>
      <w:r w:rsidRPr="00694F10">
        <w:rPr>
          <w:rFonts w:ascii="Arial" w:hAnsi="Arial" w:cs="Arial"/>
          <w:sz w:val="22"/>
          <w:szCs w:val="22"/>
        </w:rPr>
        <w:t xml:space="preserve">, mulberry is usually grown as an intensive, perennial monocrop under irrigated conditions, subjected to frequent and heavy leaf harvests. Such </w:t>
      </w:r>
      <w:r w:rsidRPr="00694F10">
        <w:rPr>
          <w:rFonts w:ascii="Arial" w:hAnsi="Arial" w:cs="Arial"/>
          <w:b/>
          <w:bCs/>
          <w:sz w:val="22"/>
          <w:szCs w:val="22"/>
        </w:rPr>
        <w:t>continuous defoliation and high nutrient removal</w:t>
      </w:r>
      <w:r w:rsidRPr="00694F10">
        <w:rPr>
          <w:rFonts w:ascii="Arial" w:hAnsi="Arial" w:cs="Arial"/>
          <w:sz w:val="22"/>
          <w:szCs w:val="22"/>
        </w:rPr>
        <w:t xml:space="preserve"> progressively exhaust both macronutrients (N, P, K) and micronutrients (Fe, Zn, Mn, Cu, B, etc.) from the soil. Conventional recommendations based mainly on NPK fertilizers have undoubtedly raised yields, but several field studies and practical observations have shown that NPK alone often fails to sustain optimum leaf production and nutritive value over time (Dandin et al., 2000). Hidden or subclinical micronutrient deficiencies are increasingly reported in intensively managed mulberry gardens, leading to reduced shoot growth, smaller leaf size, chlorosis, premature senescence and ultimately lower leaf protein content (Lokanath &amp; Shivashankar, 1981). These constraints highlight the need for more refined nutritional and physiological interventions beyond traditional fertilization schedules.</w:t>
      </w:r>
    </w:p>
    <w:p w14:paraId="465E7ED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In response to these challenges, </w:t>
      </w:r>
      <w:r w:rsidRPr="00694F10">
        <w:rPr>
          <w:rFonts w:ascii="Arial" w:hAnsi="Arial" w:cs="Arial"/>
          <w:b/>
          <w:bCs/>
          <w:sz w:val="22"/>
          <w:szCs w:val="22"/>
        </w:rPr>
        <w:t>two major technological approaches</w:t>
      </w:r>
      <w:r w:rsidRPr="00694F10">
        <w:rPr>
          <w:rFonts w:ascii="Arial" w:hAnsi="Arial" w:cs="Arial"/>
          <w:sz w:val="22"/>
          <w:szCs w:val="22"/>
        </w:rPr>
        <w:t xml:space="preserve"> have been widely explored in mulberry over the last three decades. The first is the strategic use of </w:t>
      </w:r>
      <w:r w:rsidRPr="00694F10">
        <w:rPr>
          <w:rFonts w:ascii="Arial" w:hAnsi="Arial" w:cs="Arial"/>
          <w:b/>
          <w:bCs/>
          <w:sz w:val="22"/>
          <w:szCs w:val="22"/>
        </w:rPr>
        <w:t>plant growth regulators (PGRs)</w:t>
      </w:r>
      <w:r w:rsidRPr="00694F10">
        <w:rPr>
          <w:rFonts w:ascii="Arial" w:hAnsi="Arial" w:cs="Arial"/>
          <w:sz w:val="22"/>
          <w:szCs w:val="22"/>
        </w:rPr>
        <w:t xml:space="preserve"> to manipulate plant morphology and physiology. PGRs such as gibberellic acid (GA</w:t>
      </w:r>
      <w:r w:rsidRPr="00694F10">
        <w:rPr>
          <w:rFonts w:ascii="Cambria Math" w:hAnsi="Cambria Math" w:cs="Cambria Math"/>
          <w:sz w:val="22"/>
          <w:szCs w:val="22"/>
        </w:rPr>
        <w:t>₃</w:t>
      </w:r>
      <w:r w:rsidRPr="00694F10">
        <w:rPr>
          <w:rFonts w:ascii="Arial" w:hAnsi="Arial" w:cs="Arial"/>
          <w:sz w:val="22"/>
          <w:szCs w:val="22"/>
        </w:rPr>
        <w:t xml:space="preserve">), auxins, </w:t>
      </w:r>
      <w:proofErr w:type="spellStart"/>
      <w:r w:rsidRPr="00694F10">
        <w:rPr>
          <w:rFonts w:ascii="Arial" w:hAnsi="Arial" w:cs="Arial"/>
          <w:sz w:val="22"/>
          <w:szCs w:val="22"/>
        </w:rPr>
        <w:t>cytokinins</w:t>
      </w:r>
      <w:proofErr w:type="spellEnd"/>
      <w:r w:rsidRPr="00694F10">
        <w:rPr>
          <w:rFonts w:ascii="Arial" w:hAnsi="Arial" w:cs="Arial"/>
          <w:sz w:val="22"/>
          <w:szCs w:val="22"/>
        </w:rPr>
        <w:t xml:space="preserve"> and, in particular, </w:t>
      </w:r>
      <w:r w:rsidRPr="00694F10">
        <w:rPr>
          <w:rFonts w:ascii="Arial" w:hAnsi="Arial" w:cs="Arial"/>
          <w:sz w:val="22"/>
          <w:szCs w:val="22"/>
        </w:rPr>
        <w:lastRenderedPageBreak/>
        <w:t xml:space="preserve">the long-chain alcohol </w:t>
      </w:r>
      <w:r w:rsidRPr="00694F10">
        <w:rPr>
          <w:rFonts w:ascii="Arial" w:hAnsi="Arial" w:cs="Arial"/>
          <w:b/>
          <w:bCs/>
          <w:sz w:val="22"/>
          <w:szCs w:val="22"/>
        </w:rPr>
        <w:t>triacontanol</w:t>
      </w:r>
      <w:r w:rsidRPr="00694F10">
        <w:rPr>
          <w:rFonts w:ascii="Arial" w:hAnsi="Arial" w:cs="Arial"/>
          <w:sz w:val="22"/>
          <w:szCs w:val="22"/>
        </w:rPr>
        <w:t xml:space="preserve"> have been evaluated for their ability to enhance shoot elongation, branching, leaf expansion, chlorophyll content, photosynthetic efficiency and nitrogen assimilation in mulberry. Comprehensive syntheses by Geetha &amp; Murugan (2017) and Ramesh et al. (2012) show that foliar application of such PGRs can significantly increase leaf yield and improve leaf biochemical composition, including proteins and soluble sugars, which in turn enhances silkworm growth and cocoon parameters.</w:t>
      </w:r>
    </w:p>
    <w:p w14:paraId="3233CA4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second approach is the </w:t>
      </w:r>
      <w:r w:rsidRPr="00694F10">
        <w:rPr>
          <w:rFonts w:ascii="Arial" w:hAnsi="Arial" w:cs="Arial"/>
          <w:b/>
          <w:bCs/>
          <w:sz w:val="22"/>
          <w:szCs w:val="22"/>
        </w:rPr>
        <w:t>foliar application of micronutrient mixtures</w:t>
      </w:r>
      <w:r w:rsidRPr="00694F10">
        <w:rPr>
          <w:rFonts w:ascii="Arial" w:hAnsi="Arial" w:cs="Arial"/>
          <w:sz w:val="22"/>
          <w:szCs w:val="22"/>
        </w:rPr>
        <w:t xml:space="preserve"> to correct deficiencies and support high-yielding, high-density mulberry systems. Sprays containing combinations of Fe, Zn, Mn, Cu, B with or without Mg and S have been shown to increase shoot growth, leaf area, chlorophyll concentration and leaf yield, while also improving crude and soluble protein content of the leaves (Lokanath &amp; Shivashankar, 1981; Geetha et al., 2016). More recently, these conventional mixtures have been supplemented or partially replaced by </w:t>
      </w:r>
      <w:r w:rsidRPr="00694F10">
        <w:rPr>
          <w:rFonts w:ascii="Arial" w:hAnsi="Arial" w:cs="Arial"/>
          <w:b/>
          <w:bCs/>
          <w:sz w:val="22"/>
          <w:szCs w:val="22"/>
        </w:rPr>
        <w:t>nano-micronutrient formulations</w:t>
      </w:r>
      <w:r w:rsidRPr="00694F10">
        <w:rPr>
          <w:rFonts w:ascii="Arial" w:hAnsi="Arial" w:cs="Arial"/>
          <w:sz w:val="22"/>
          <w:szCs w:val="22"/>
        </w:rPr>
        <w:t xml:space="preserve">, which provide higher surface area and potentially better foliar absorption. Studies with nano-Zn, nano-Cu and nano-NPK have demonstrated marked improvements in mulberry biomass, chlorophyll index, nitrogen status and protein content of leaves, with corresponding gains in silkworm performance (Choudhury et al., 2019; Mir et al., 2024;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w:t>
      </w:r>
    </w:p>
    <w:p w14:paraId="07E3E20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 third and particularly promising line of development is the </w:t>
      </w:r>
      <w:r w:rsidRPr="00694F10">
        <w:rPr>
          <w:rFonts w:ascii="Arial" w:hAnsi="Arial" w:cs="Arial"/>
          <w:b/>
          <w:bCs/>
          <w:sz w:val="22"/>
          <w:szCs w:val="22"/>
        </w:rPr>
        <w:t>combined use of plant growth hormones and micronutrients in single foliar formulations</w:t>
      </w:r>
      <w:r w:rsidRPr="00694F10">
        <w:rPr>
          <w:rFonts w:ascii="Arial" w:hAnsi="Arial" w:cs="Arial"/>
          <w:sz w:val="22"/>
          <w:szCs w:val="22"/>
        </w:rPr>
        <w:t xml:space="preserve">. Among these, </w:t>
      </w:r>
      <w:r w:rsidRPr="00694F10">
        <w:rPr>
          <w:rFonts w:ascii="Arial" w:hAnsi="Arial" w:cs="Arial"/>
          <w:b/>
          <w:bCs/>
          <w:sz w:val="22"/>
          <w:szCs w:val="22"/>
        </w:rPr>
        <w:t xml:space="preserve">triacontanol-based micronutrient products such as </w:t>
      </w:r>
      <w:proofErr w:type="spellStart"/>
      <w:r w:rsidRPr="00694F10">
        <w:rPr>
          <w:rFonts w:ascii="Arial" w:hAnsi="Arial" w:cs="Arial"/>
          <w:b/>
          <w:bCs/>
          <w:sz w:val="22"/>
          <w:szCs w:val="22"/>
        </w:rPr>
        <w:t>Seriboost</w:t>
      </w:r>
      <w:proofErr w:type="spellEnd"/>
      <w:r w:rsidRPr="00694F10">
        <w:rPr>
          <w:rFonts w:ascii="Arial" w:hAnsi="Arial" w:cs="Arial"/>
          <w:b/>
          <w:bCs/>
          <w:sz w:val="22"/>
          <w:szCs w:val="22"/>
        </w:rPr>
        <w:t xml:space="preserve"> and other commercial sprays</w:t>
      </w:r>
      <w:r w:rsidRPr="00694F10">
        <w:rPr>
          <w:rFonts w:ascii="Arial" w:hAnsi="Arial" w:cs="Arial"/>
          <w:sz w:val="22"/>
          <w:szCs w:val="22"/>
        </w:rPr>
        <w:t xml:space="preserve"> have attracted considerable attention in mulberry research and extension. Experimental results from on-station and on-farm trials indicate that these formulations, which typically contain triacontanol along with a balanced mixture of essential micronutrients, can produce larger and more consistent gains in leaf yield and leaf protein than either PGRs or micronutrients applied alone (Singhvi et al., 2001; Singhvi et al., 2004; Narahari Rao et al., 2001; Vijaya et al., 2009). The proposed explanation is that PGRs enhance photosynthetic rate, sink strength and nitrogen metabolism, while micronutrients provide the enzymatic cofactors necessary for these processes, leading to </w:t>
      </w:r>
      <w:r w:rsidRPr="00694F10">
        <w:rPr>
          <w:rFonts w:ascii="Arial" w:hAnsi="Arial" w:cs="Arial"/>
          <w:b/>
          <w:bCs/>
          <w:sz w:val="22"/>
          <w:szCs w:val="22"/>
        </w:rPr>
        <w:t>true synergistic effects</w:t>
      </w:r>
      <w:r w:rsidRPr="00694F10">
        <w:rPr>
          <w:rFonts w:ascii="Arial" w:hAnsi="Arial" w:cs="Arial"/>
          <w:sz w:val="22"/>
          <w:szCs w:val="22"/>
        </w:rPr>
        <w:t xml:space="preserve"> rather than simple additive responses.</w:t>
      </w:r>
    </w:p>
    <w:p w14:paraId="4C631762"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 xml:space="preserve">Taken together, </w:t>
      </w:r>
      <w:r w:rsidRPr="00694F10">
        <w:rPr>
          <w:rFonts w:ascii="Arial" w:hAnsi="Arial" w:cs="Arial"/>
          <w:b/>
          <w:bCs/>
          <w:sz w:val="22"/>
          <w:szCs w:val="22"/>
        </w:rPr>
        <w:t>more than 30 experimental and review studies</w:t>
      </w:r>
      <w:r w:rsidRPr="00694F10">
        <w:rPr>
          <w:rFonts w:ascii="Arial" w:hAnsi="Arial" w:cs="Arial"/>
          <w:sz w:val="22"/>
          <w:szCs w:val="22"/>
        </w:rPr>
        <w:t xml:space="preserve"> now support the view that integrated use of PGRs and micronutrients can: (</w:t>
      </w:r>
      <w:proofErr w:type="spellStart"/>
      <w:r w:rsidRPr="00694F10">
        <w:rPr>
          <w:rFonts w:ascii="Arial" w:hAnsi="Arial" w:cs="Arial"/>
          <w:sz w:val="22"/>
          <w:szCs w:val="22"/>
        </w:rPr>
        <w:t>i</w:t>
      </w:r>
      <w:proofErr w:type="spellEnd"/>
      <w:r w:rsidRPr="00694F10">
        <w:rPr>
          <w:rFonts w:ascii="Arial" w:hAnsi="Arial" w:cs="Arial"/>
          <w:sz w:val="22"/>
          <w:szCs w:val="22"/>
        </w:rPr>
        <w:t xml:space="preserve">) increase shoot growth, leaf area and total biomass; (ii) raise leaf chlorophyll content and photosynthetic efficiency; (iii) enhance nitrogen assimilation and thereby leaf protein concentration; and (iv) improve larval growth, cocoon yield and silk quality in </w:t>
      </w:r>
      <w:r w:rsidRPr="00694F10">
        <w:rPr>
          <w:rFonts w:ascii="Arial" w:hAnsi="Arial" w:cs="Arial"/>
          <w:i/>
          <w:iCs/>
          <w:sz w:val="22"/>
          <w:szCs w:val="22"/>
        </w:rPr>
        <w:t>B. mori</w:t>
      </w:r>
      <w:r w:rsidRPr="00694F10">
        <w:rPr>
          <w:rFonts w:ascii="Arial" w:hAnsi="Arial" w:cs="Arial"/>
          <w:sz w:val="22"/>
          <w:szCs w:val="22"/>
        </w:rPr>
        <w:t xml:space="preserve"> under diverse agro-climatic conditions. However, despite this substantial body of work, information is scattered across different journals, products and experimental conditions, and relatively few attempts have been made to systematically synthesize the </w:t>
      </w:r>
      <w:r w:rsidRPr="00694F10">
        <w:rPr>
          <w:rFonts w:ascii="Arial" w:hAnsi="Arial" w:cs="Arial"/>
          <w:b/>
          <w:bCs/>
          <w:sz w:val="22"/>
          <w:szCs w:val="22"/>
        </w:rPr>
        <w:t>specific synergistic effects of combined hormone–micronutrient applications</w:t>
      </w:r>
      <w:r w:rsidRPr="00694F10">
        <w:rPr>
          <w:rFonts w:ascii="Arial" w:hAnsi="Arial" w:cs="Arial"/>
          <w:sz w:val="22"/>
          <w:szCs w:val="22"/>
        </w:rPr>
        <w:t xml:space="preserve"> on mulberry biomass and leaf protein. Therefore, the present review aims to collate and critically analyze available literature on the integrated use of plant growth hormones and micronutrients in mulberry, with particular emphasis on their interactive influence on leaf biomass production, protein enrichment and subsequent silkworm performance.</w:t>
      </w:r>
    </w:p>
    <w:p w14:paraId="1084F99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 Plant growth regulators (PGRs) in mulberry</w:t>
      </w:r>
    </w:p>
    <w:p w14:paraId="5867304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Plant growth regulators (PGRs) are organic compounds which, in very low concentrations, regulate plant growth and development by modifying cell division, elongation and differentiation. Unlike mineral nutrients, they do not serve as structural components but act as signal molecules that fine-tune physiological processes such as root initiation, stem elongation, leaf expansion, photosynthesis and senescence (Taiz &amp; Zeiger, 2015; Davies, 2010). In mulberry, PGRs are particularly attractive because the crop is managed for continuous vegetative growth and repeated defoliation, and small changes in canopy structure or leaf biochemistry can translate into large differences in leaf yield and silkworm productivity. Among the major PGRs, auxins, gibberellins (especially GA</w:t>
      </w:r>
      <w:r w:rsidRPr="00694F10">
        <w:rPr>
          <w:rFonts w:ascii="Cambria Math" w:hAnsi="Cambria Math" w:cs="Cambria Math"/>
          <w:sz w:val="22"/>
          <w:szCs w:val="22"/>
        </w:rPr>
        <w:t>₃</w:t>
      </w:r>
      <w:r w:rsidRPr="00694F10">
        <w:rPr>
          <w:rFonts w:ascii="Arial" w:hAnsi="Arial" w:cs="Arial"/>
          <w:sz w:val="22"/>
          <w:szCs w:val="22"/>
        </w:rPr>
        <w:t>) and triacontanol have been studied most intensively in relation to mulberry growth, biomass production and leaf quality.</w:t>
      </w:r>
    </w:p>
    <w:p w14:paraId="09B2FBC4"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2.1 Auxins and rooting hormones</w:t>
      </w:r>
    </w:p>
    <w:p w14:paraId="327152F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Auxins, mainly indole-3-butyric acid (IBA), indole-3-acetic acid (IAA) and α-naphthalene acetic acid (NAA), are widely used in mulberry propagation because of their ability to stimulate adventitious root formation in stem cuttings. Husen et al. (2015) and Singh KK et al. (2014, 2018) reported that treatment of mulberry cuttings with IBA or NAA markedly improves rooting percentage, number and length of roots, </w:t>
      </w:r>
      <w:r w:rsidRPr="00694F10">
        <w:rPr>
          <w:rFonts w:ascii="Arial" w:hAnsi="Arial" w:cs="Arial"/>
          <w:sz w:val="22"/>
          <w:szCs w:val="22"/>
        </w:rPr>
        <w:lastRenderedPageBreak/>
        <w:t>and root dry weight. Plants raised from auxin-treated cuttings subsequently show more vigorous shoot growth and greater leaf production than untreated controls, indicating that early root stimulation has a lasting effect on canopy development and leaf biomass.</w:t>
      </w:r>
    </w:p>
    <w:p w14:paraId="40898402"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From a physiological perspective, exogenous auxin promotes the formation of root primordia, enhances cell elongation in emerging roots and stimulates the differentiation of functional xylem and phloem, thereby improving water and nutrient uptake capacity (Taiz &amp; Zeiger, 2015; Davies, 2010). In mulberry nurseries, this translates into uniform, well-rooted planting material, faster establishment in the field and an earlier onset of productive leaf harvests. Over the life of the plantation, better-developed root systems also exploit a larger soil volume for micronutrient acquisition, which is especially important in intensively pruned gardens where soil reserves are rapidly depleted.</w:t>
      </w:r>
    </w:p>
    <w:p w14:paraId="769A213B"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In their mulberry-focused review, Geetha &amp; Murugan (2017) summarized several experiments where auxin treatments (IBA, NAA or IAA) in cuttings not only improved rooting traits but also resulted in taller plants, higher number of branches, increased leaf area index and ultimately higher leaf yields. By ensuring rapid and robust establishment, auxins effectively “set the stage” for subsequent foliar interventions with micronutrients and other PGRs. In other words, auxin-mediated root development provides the physiological base—in terms of water and nutrient uptake capacity—on which foliar PGR and micronutrient sprays can express their full potential in enhancing biomass and leaf protein content.</w:t>
      </w:r>
    </w:p>
    <w:p w14:paraId="11F9D2D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2.2 Gibberellic acid (GA</w:t>
      </w:r>
      <w:r w:rsidRPr="00694F10">
        <w:rPr>
          <w:rFonts w:ascii="Cambria Math" w:hAnsi="Cambria Math" w:cs="Cambria Math"/>
          <w:b/>
          <w:bCs/>
          <w:sz w:val="22"/>
          <w:szCs w:val="22"/>
        </w:rPr>
        <w:t>₃</w:t>
      </w:r>
      <w:r w:rsidRPr="00694F10">
        <w:rPr>
          <w:rFonts w:ascii="Arial" w:hAnsi="Arial" w:cs="Arial"/>
          <w:b/>
          <w:bCs/>
          <w:sz w:val="22"/>
          <w:szCs w:val="22"/>
        </w:rPr>
        <w:t>)</w:t>
      </w:r>
    </w:p>
    <w:p w14:paraId="381A461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Gibberellic acid (GA</w:t>
      </w:r>
      <w:r w:rsidRPr="00694F10">
        <w:rPr>
          <w:rFonts w:ascii="Cambria Math" w:hAnsi="Cambria Math" w:cs="Cambria Math"/>
          <w:sz w:val="22"/>
          <w:szCs w:val="22"/>
        </w:rPr>
        <w:t>₃</w:t>
      </w:r>
      <w:r w:rsidRPr="00694F10">
        <w:rPr>
          <w:rFonts w:ascii="Arial" w:hAnsi="Arial" w:cs="Arial"/>
          <w:sz w:val="22"/>
          <w:szCs w:val="22"/>
        </w:rPr>
        <w:t>) is best known for its role in promoting stem elongation, leaf expansion and delay of leaf senescence. At the cellular level, GA</w:t>
      </w:r>
      <w:r w:rsidRPr="00694F10">
        <w:rPr>
          <w:rFonts w:ascii="Cambria Math" w:hAnsi="Cambria Math" w:cs="Cambria Math"/>
          <w:sz w:val="22"/>
          <w:szCs w:val="22"/>
        </w:rPr>
        <w:t>₃</w:t>
      </w:r>
      <w:r w:rsidRPr="00694F10">
        <w:rPr>
          <w:rFonts w:ascii="Arial" w:hAnsi="Arial" w:cs="Arial"/>
          <w:sz w:val="22"/>
          <w:szCs w:val="22"/>
        </w:rPr>
        <w:t xml:space="preserve"> stimulates cell division and elongation in stem and leaf tissues, enhances mobilization of stored reserves and interacts with other hormones to regulate source–sink relationships (Taiz &amp; Zeiger, 2015; Davies, 2010). In mulberry, these effects are agronomically desirable because a taller, well-branched canopy with larger leaves directly increases the leaf surface area available for photosynthesis and leaf harvest.</w:t>
      </w:r>
    </w:p>
    <w:p w14:paraId="62FECA5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Several experimental studies, summarized by Geetha &amp; Murugan (2017), have shown that foliar application of GA</w:t>
      </w:r>
      <w:r w:rsidRPr="00694F10">
        <w:rPr>
          <w:rFonts w:ascii="Cambria Math" w:hAnsi="Cambria Math" w:cs="Cambria Math"/>
          <w:sz w:val="22"/>
          <w:szCs w:val="22"/>
        </w:rPr>
        <w:t>₃</w:t>
      </w:r>
      <w:r w:rsidRPr="00694F10">
        <w:rPr>
          <w:rFonts w:ascii="Arial" w:hAnsi="Arial" w:cs="Arial"/>
          <w:sz w:val="22"/>
          <w:szCs w:val="22"/>
        </w:rPr>
        <w:t xml:space="preserve"> at appropriate concentrations increases </w:t>
      </w:r>
      <w:r w:rsidRPr="00694F10">
        <w:rPr>
          <w:rFonts w:ascii="Arial" w:hAnsi="Arial" w:cs="Arial"/>
          <w:sz w:val="22"/>
          <w:szCs w:val="22"/>
        </w:rPr>
        <w:lastRenderedPageBreak/>
        <w:t>shoot length, internode length, number of leaves per shoot and individual leaf area in multiple mulberry varieties. Treated plants often exhibit a higher leaf area index and total biomass per unit ground area compared with untreated controls, particularly when GA</w:t>
      </w:r>
      <w:r w:rsidRPr="00694F10">
        <w:rPr>
          <w:rFonts w:ascii="Cambria Math" w:hAnsi="Cambria Math" w:cs="Cambria Math"/>
          <w:sz w:val="22"/>
          <w:szCs w:val="22"/>
        </w:rPr>
        <w:t>₃</w:t>
      </w:r>
      <w:r w:rsidRPr="00694F10">
        <w:rPr>
          <w:rFonts w:ascii="Arial" w:hAnsi="Arial" w:cs="Arial"/>
          <w:sz w:val="22"/>
          <w:szCs w:val="22"/>
        </w:rPr>
        <w:t xml:space="preserve"> is applied 20–30 days after pruning during the period of rapid vegetative growth. In addition to morphological changes, GA</w:t>
      </w:r>
      <w:r w:rsidRPr="00694F10">
        <w:rPr>
          <w:rFonts w:ascii="Cambria Math" w:hAnsi="Cambria Math" w:cs="Cambria Math"/>
          <w:sz w:val="22"/>
          <w:szCs w:val="22"/>
        </w:rPr>
        <w:t>₃</w:t>
      </w:r>
      <w:r w:rsidRPr="00694F10">
        <w:rPr>
          <w:rFonts w:ascii="Arial" w:hAnsi="Arial" w:cs="Arial"/>
          <w:sz w:val="22"/>
          <w:szCs w:val="22"/>
        </w:rPr>
        <w:t xml:space="preserve"> has been associated with increased chlorophyll content and delayed onset of leaf yellowing, effectively extending the period during which leaves remain physiologically active and suitable for silkworm feeding.</w:t>
      </w:r>
    </w:p>
    <w:p w14:paraId="63A59FC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impact of GA</w:t>
      </w:r>
      <w:r w:rsidRPr="00694F10">
        <w:rPr>
          <w:rFonts w:ascii="Cambria Math" w:hAnsi="Cambria Math" w:cs="Cambria Math"/>
          <w:sz w:val="22"/>
          <w:szCs w:val="22"/>
        </w:rPr>
        <w:t>₃</w:t>
      </w:r>
      <w:r w:rsidRPr="00694F10">
        <w:rPr>
          <w:rFonts w:ascii="Arial" w:hAnsi="Arial" w:cs="Arial"/>
          <w:sz w:val="22"/>
          <w:szCs w:val="22"/>
        </w:rPr>
        <w:t xml:space="preserve"> on silkworm performance has also been documented. Das et al. (1993) reported that mulberry leaves from GA</w:t>
      </w:r>
      <w:r w:rsidRPr="00694F10">
        <w:rPr>
          <w:rFonts w:ascii="Cambria Math" w:hAnsi="Cambria Math" w:cs="Cambria Math"/>
          <w:sz w:val="22"/>
          <w:szCs w:val="22"/>
        </w:rPr>
        <w:t>₃</w:t>
      </w:r>
      <w:r w:rsidRPr="00694F10">
        <w:rPr>
          <w:rFonts w:ascii="Arial" w:hAnsi="Arial" w:cs="Arial"/>
          <w:sz w:val="22"/>
          <w:szCs w:val="22"/>
        </w:rPr>
        <w:t xml:space="preserve">-treated plots, when fed to </w:t>
      </w:r>
      <w:r w:rsidRPr="00694F10">
        <w:rPr>
          <w:rFonts w:ascii="Arial" w:hAnsi="Arial" w:cs="Arial"/>
          <w:i/>
          <w:iCs/>
          <w:sz w:val="22"/>
          <w:szCs w:val="22"/>
        </w:rPr>
        <w:t>Bombyx mori</w:t>
      </w:r>
      <w:r w:rsidRPr="00694F10">
        <w:rPr>
          <w:rFonts w:ascii="Arial" w:hAnsi="Arial" w:cs="Arial"/>
          <w:sz w:val="22"/>
          <w:szCs w:val="22"/>
        </w:rPr>
        <w:t>, resulted in higher larval weight, improved cocoon weight and better shell ratio compared with leaves from untreated plants. These findings have been cited by recent nutrition studies (Younus Wani et al., 2017; Ranganatha et al., 2025) as evidence that GA</w:t>
      </w:r>
      <w:r w:rsidRPr="00694F10">
        <w:rPr>
          <w:rFonts w:ascii="Cambria Math" w:hAnsi="Cambria Math" w:cs="Cambria Math"/>
          <w:sz w:val="22"/>
          <w:szCs w:val="22"/>
        </w:rPr>
        <w:t>₃</w:t>
      </w:r>
      <w:r w:rsidRPr="00694F10">
        <w:rPr>
          <w:rFonts w:ascii="Arial" w:hAnsi="Arial" w:cs="Arial"/>
          <w:sz w:val="22"/>
          <w:szCs w:val="22"/>
        </w:rPr>
        <w:t>-induced improvements in leaf size, succulence and biochemical composition (including protein and soluble sugars) are translated into tangible gains in rearing performance. In practical sericulture, GA</w:t>
      </w:r>
      <w:r w:rsidRPr="00694F10">
        <w:rPr>
          <w:rFonts w:ascii="Cambria Math" w:hAnsi="Cambria Math" w:cs="Cambria Math"/>
          <w:sz w:val="22"/>
          <w:szCs w:val="22"/>
        </w:rPr>
        <w:t>₃</w:t>
      </w:r>
      <w:r w:rsidRPr="00694F10">
        <w:rPr>
          <w:rFonts w:ascii="Arial" w:hAnsi="Arial" w:cs="Arial"/>
          <w:sz w:val="22"/>
          <w:szCs w:val="22"/>
        </w:rPr>
        <w:t xml:space="preserve"> is often viewed as a tool to boost vegetative </w:t>
      </w:r>
      <w:proofErr w:type="spellStart"/>
      <w:r w:rsidRPr="00694F10">
        <w:rPr>
          <w:rFonts w:ascii="Arial" w:hAnsi="Arial" w:cs="Arial"/>
          <w:sz w:val="22"/>
          <w:szCs w:val="22"/>
        </w:rPr>
        <w:t>vigour</w:t>
      </w:r>
      <w:proofErr w:type="spellEnd"/>
      <w:r w:rsidRPr="00694F10">
        <w:rPr>
          <w:rFonts w:ascii="Arial" w:hAnsi="Arial" w:cs="Arial"/>
          <w:sz w:val="22"/>
          <w:szCs w:val="22"/>
        </w:rPr>
        <w:t xml:space="preserve"> and leaf turnover in high-yielding mulberry plantations, particularly during seasons or locations where shoot growth tends to be poor.</w:t>
      </w:r>
    </w:p>
    <w:p w14:paraId="63F09C1E"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2.3 Triacontanol</w:t>
      </w:r>
    </w:p>
    <w:p w14:paraId="20A2158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Triacontanol (TRIA), a long-chain aliphatic alcohol originally identified in the epicuticular wax of alfalfa, has emerged as the key PGR for mulberry sericulture. Unlike classical hormones such as auxins or gibberellins, TRIA is frequently categorized as a “growth promoter” or “</w:t>
      </w:r>
      <w:proofErr w:type="spellStart"/>
      <w:r w:rsidRPr="00694F10">
        <w:rPr>
          <w:rFonts w:ascii="Arial" w:hAnsi="Arial" w:cs="Arial"/>
          <w:sz w:val="22"/>
          <w:szCs w:val="22"/>
        </w:rPr>
        <w:t>biostimulant</w:t>
      </w:r>
      <w:proofErr w:type="spellEnd"/>
      <w:r w:rsidRPr="00694F10">
        <w:rPr>
          <w:rFonts w:ascii="Arial" w:hAnsi="Arial" w:cs="Arial"/>
          <w:sz w:val="22"/>
          <w:szCs w:val="22"/>
        </w:rPr>
        <w:t>”, but its effects on crop physiology are equally profound. Studies in various crops show that TRIA can enhance photosynthetic rate, chlorophyll content, activity of key enzymes (e.g. Rubisco, nitrate reductase), and overall metabolic efficiency, often at very low application rates (Taiz &amp; Zeiger, 2015; Davies, 2010).</w:t>
      </w:r>
    </w:p>
    <w:p w14:paraId="05207B5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In mulberry, Ramesh et al. (2012) demonstrated that foliar application of TRIA significantly increased net photosynthetic rate and stomatal conductance, leading to higher production of </w:t>
      </w:r>
      <w:proofErr w:type="spellStart"/>
      <w:r w:rsidRPr="00694F10">
        <w:rPr>
          <w:rFonts w:ascii="Arial" w:hAnsi="Arial" w:cs="Arial"/>
          <w:sz w:val="22"/>
          <w:szCs w:val="22"/>
        </w:rPr>
        <w:t>photoassimilates</w:t>
      </w:r>
      <w:proofErr w:type="spellEnd"/>
      <w:r w:rsidRPr="00694F10">
        <w:rPr>
          <w:rFonts w:ascii="Arial" w:hAnsi="Arial" w:cs="Arial"/>
          <w:sz w:val="22"/>
          <w:szCs w:val="22"/>
        </w:rPr>
        <w:t xml:space="preserve">. The same study showed that TRIA-treated plants had improved leaf biochemical composition, including higher levels of soluble sugars and proteins, and that silkworms fed with TRIA-treated leaves exhibited better </w:t>
      </w:r>
      <w:r w:rsidRPr="00694F10">
        <w:rPr>
          <w:rFonts w:ascii="Arial" w:hAnsi="Arial" w:cs="Arial"/>
          <w:sz w:val="22"/>
          <w:szCs w:val="22"/>
        </w:rPr>
        <w:lastRenderedPageBreak/>
        <w:t>growth and cocoon parameters than those fed with control leaves. These results clearly indicate that TRIA not only increases leaf biomass but also enhances nutritional quality, particularly protein content, which is essential for rapid larval growth.</w:t>
      </w:r>
    </w:p>
    <w:p w14:paraId="4A2975C7" w14:textId="77777777" w:rsidR="00FF6B23" w:rsidRPr="00694F10" w:rsidRDefault="00FF6B23" w:rsidP="00694F10">
      <w:pPr>
        <w:tabs>
          <w:tab w:val="left" w:pos="0"/>
        </w:tabs>
        <w:spacing w:line="360" w:lineRule="auto"/>
        <w:ind w:firstLine="720"/>
        <w:jc w:val="both"/>
        <w:rPr>
          <w:rFonts w:ascii="Arial" w:hAnsi="Arial" w:cs="Arial"/>
          <w:sz w:val="22"/>
          <w:szCs w:val="22"/>
        </w:rPr>
      </w:pPr>
      <w:proofErr w:type="spellStart"/>
      <w:r w:rsidRPr="00694F10">
        <w:rPr>
          <w:rFonts w:ascii="Arial" w:hAnsi="Arial" w:cs="Arial"/>
          <w:sz w:val="22"/>
          <w:szCs w:val="22"/>
        </w:rPr>
        <w:t>Ankalgi</w:t>
      </w:r>
      <w:proofErr w:type="spellEnd"/>
      <w:r w:rsidRPr="00694F10">
        <w:rPr>
          <w:rFonts w:ascii="Arial" w:hAnsi="Arial" w:cs="Arial"/>
          <w:sz w:val="22"/>
          <w:szCs w:val="22"/>
        </w:rPr>
        <w:t xml:space="preserve"> &amp; Ansari (1992) further demonstrated that TRIA and Fasal (a commercial TRIA-based product) improved mulberry growth, leaf yield and silkworm performance under field conditions. Treated plants produced more shoots and leaves per plant, higher total leaf yield and better-quality foliage, while silkworms showed increased larval weight, cocoon weight and shell ratio. Such findings have been repeatedly confirmed in later trials where TRIA formed the active ingredient in triacontanol-based micronutrient formulations like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and similar products.</w:t>
      </w:r>
    </w:p>
    <w:p w14:paraId="339828B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From a mechanistic standpoint, the positive effects of TRIA align well with the general hormone physiology described by Taiz &amp; Zeiger (2015) and Davies (2010). TRIA has been reported to enhance carbon fixation and nitrogen assimilation, likely through stimulation of enzymes such as nitrate reductase and glutamine synthetase and through improved chlorophyll stability. By increasing the capacity of mulberry leaves to fix carbon and utilize absorbed nitrogen, TRIA provides an ideal biochemical platform for synergy with micronutrients. When micronutrients such as Fe, Zn, Mn and Cu—which are essential cofactors for photosynthetic and N-metabolism enzymes—are supplied simultaneously via foliar sprays, TRIA-induced increases in enzymatic demand can be more effectively satisfied, leading to a multiplicative rather than merely additive improvement in biomass and leaf protein content.</w:t>
      </w:r>
    </w:p>
    <w:p w14:paraId="6F5EAAA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 Micronutrients and mulberry leaf quality</w:t>
      </w:r>
    </w:p>
    <w:p w14:paraId="1DC5AF06"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Micronutrients play a vital role in mulberry growth because they are involved in many enzyme functions, chlorophyll formation, photosynthesis, nitrogen metabolism and protein synthesis. Even when mulberry receives enough NPK fertilizer, hidden deficiencies of micronutrients such as zinc (Zn), iron (Fe), manganese (Mn), copper (Cu), boron (B) and magnesium (Mg) can reduce leaf size, growth, protein level and feeding value for silkworms. For this reason, foliar micronutrient sprays have become an important part of mulberry crop management, especially under irrigated and high-yielding cultivation systems.</w:t>
      </w:r>
    </w:p>
    <w:p w14:paraId="43D8317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3.1 Classical foliar micronutrient work</w:t>
      </w:r>
    </w:p>
    <w:p w14:paraId="57EDF26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The earliest systematic studies demonstrated the value of micronutrient sprays. Lokanath &amp; Shivashankar (1981) showed that when mulberry received a foliar spray containing micronutrients and magnesium, there was a clear improvement in plant growth, leaf yield and overall leaf quality. This study laid the foundation for later research showing that mulberry requires more than just NPK fertilizers to perform well.</w:t>
      </w:r>
    </w:p>
    <w:p w14:paraId="5E7A1DC8" w14:textId="77777777" w:rsidR="00FF6B23" w:rsidRPr="00694F10" w:rsidRDefault="00FF6B23" w:rsidP="00694F10">
      <w:pPr>
        <w:tabs>
          <w:tab w:val="left" w:pos="0"/>
        </w:tabs>
        <w:spacing w:line="360" w:lineRule="auto"/>
        <w:jc w:val="both"/>
        <w:rPr>
          <w:rFonts w:ascii="Arial" w:hAnsi="Arial" w:cs="Arial"/>
          <w:sz w:val="22"/>
          <w:szCs w:val="22"/>
        </w:rPr>
      </w:pPr>
      <w:r w:rsidRPr="00694F10">
        <w:rPr>
          <w:rFonts w:ascii="Arial" w:hAnsi="Arial" w:cs="Arial"/>
          <w:sz w:val="22"/>
          <w:szCs w:val="22"/>
        </w:rPr>
        <w:t>Following this, Qaiyyum &amp; Bari (1990) reported that applying multiple micronutrients together was more effective than applying single elements. They pointed out that mulberry, under frequent leaf harvests, often suffers from hidden hunger—a condition where deficiency symptoms are not visible, but productivity and leaf nutritional value decline. Their work helped establish foliar micronutrient application as a standard nutritional practice in sericulture.</w:t>
      </w:r>
    </w:p>
    <w:p w14:paraId="0DD567D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Vishwanath et al. (1997) further strengthened this understanding by feeding silkworms with leaves enriched with secondary nutrients and micronutrients. Their results showed that silkworms fed with enriched leaves performed better, confirming that improving leaf nutrition directly improves cocoon characteristics. This demonstrated that micronutrient-enriched mulberry leaves are nutritionally superior for </w:t>
      </w:r>
      <w:r w:rsidRPr="00694F10">
        <w:rPr>
          <w:rFonts w:ascii="Arial" w:hAnsi="Arial" w:cs="Arial"/>
          <w:i/>
          <w:iCs/>
          <w:sz w:val="22"/>
          <w:szCs w:val="22"/>
        </w:rPr>
        <w:t>Bombyx mori</w:t>
      </w:r>
      <w:r w:rsidRPr="00694F10">
        <w:rPr>
          <w:rFonts w:ascii="Arial" w:hAnsi="Arial" w:cs="Arial"/>
          <w:sz w:val="22"/>
          <w:szCs w:val="22"/>
        </w:rPr>
        <w:t>.</w:t>
      </w:r>
    </w:p>
    <w:p w14:paraId="4EFE3378"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3.2 Recent mulberry micronutrient trials</w:t>
      </w:r>
    </w:p>
    <w:p w14:paraId="0909668D"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More recent studies provide strong experimental proof for the benefits of micronutrients. Geetha et al. (2016) found that foliar spraying a mixture of Fe, Zn, Mn, Cu and B significantly increased mulberry leaf yield and also improved silkworm economic traits such as larval weight, cocoon weight and shell ratio. This suggested that micronutrients improve not only plant growth but also the commercial returns of sericulture. Later, Geetha, Ramamoorthy &amp; Murugan (2017) compared individual micronutrients versus combined formulations. They observed that combined sprays (Fe + Zn + Mn + B + Mo) resulted in higher yields and better profit margins because the nutrients complemented each other in metabolic </w:t>
      </w:r>
      <w:proofErr w:type="spellStart"/>
      <w:proofErr w:type="gramStart"/>
      <w:r w:rsidRPr="00694F10">
        <w:rPr>
          <w:rFonts w:ascii="Arial" w:hAnsi="Arial" w:cs="Arial"/>
          <w:sz w:val="22"/>
          <w:szCs w:val="22"/>
        </w:rPr>
        <w:t>pathways.Nazar</w:t>
      </w:r>
      <w:proofErr w:type="spellEnd"/>
      <w:proofErr w:type="gramEnd"/>
      <w:r w:rsidRPr="00694F10">
        <w:rPr>
          <w:rFonts w:ascii="Arial" w:hAnsi="Arial" w:cs="Arial"/>
          <w:sz w:val="22"/>
          <w:szCs w:val="22"/>
        </w:rPr>
        <w:t xml:space="preserve"> et al. (2019), working at TNAU, applied micronutrients along with biofertilizers. Their results showed improvements in plant height, branch number, leaf area and yield. Silkworms fed with treated leaves also showed better performance, supporting the idea that micronutrients are essential for sustained mulberry productivity and silkworm health.</w:t>
      </w:r>
    </w:p>
    <w:p w14:paraId="48AFEE8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lastRenderedPageBreak/>
        <w:t xml:space="preserve">Mir et al. (2024) tested a commercial multi-micronutrient foliar product on mulberry cv. Goshoerami. The best treatment (T12, M4C3) produced the highest leaf yield, specific leaf area and chlorophyll content, along with improved cocoon traits. This showed that optimized formulations are more effective than random micronutrient </w:t>
      </w:r>
      <w:proofErr w:type="spellStart"/>
      <w:proofErr w:type="gramStart"/>
      <w:r w:rsidRPr="00694F10">
        <w:rPr>
          <w:rFonts w:ascii="Arial" w:hAnsi="Arial" w:cs="Arial"/>
          <w:sz w:val="22"/>
          <w:szCs w:val="22"/>
        </w:rPr>
        <w:t>application.Das</w:t>
      </w:r>
      <w:proofErr w:type="spellEnd"/>
      <w:proofErr w:type="gramEnd"/>
      <w:r w:rsidRPr="00694F10">
        <w:rPr>
          <w:rFonts w:ascii="Arial" w:hAnsi="Arial" w:cs="Arial"/>
          <w:sz w:val="22"/>
          <w:szCs w:val="22"/>
        </w:rPr>
        <w:t xml:space="preserve"> et al. (2023) evaluated biochemical changes and found that micronutrient treatment increased chlorophyll, leaf sugar content and crude protein. This confirms that micronutrients directly influence leaf nutritional </w:t>
      </w:r>
      <w:proofErr w:type="spellStart"/>
      <w:proofErr w:type="gramStart"/>
      <w:r w:rsidRPr="00694F10">
        <w:rPr>
          <w:rFonts w:ascii="Arial" w:hAnsi="Arial" w:cs="Arial"/>
          <w:sz w:val="22"/>
          <w:szCs w:val="22"/>
        </w:rPr>
        <w:t>value.Earlier</w:t>
      </w:r>
      <w:proofErr w:type="spellEnd"/>
      <w:proofErr w:type="gramEnd"/>
      <w:r w:rsidRPr="00694F10">
        <w:rPr>
          <w:rFonts w:ascii="Arial" w:hAnsi="Arial" w:cs="Arial"/>
          <w:sz w:val="22"/>
          <w:szCs w:val="22"/>
        </w:rPr>
        <w:t xml:space="preserve"> research by Bose &amp; Majumder (1996) and Vishwanath et al. (1997) supports this trend. They reported that micronutrient application increased leaf moisture level and protein percentage, and also improved cocoon weight and filament length—two main economic traits in silk production.</w:t>
      </w:r>
    </w:p>
    <w:p w14:paraId="205EEA45"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4. Nano-micronutrients and nano-N</w:t>
      </w:r>
    </w:p>
    <w:p w14:paraId="744E0D24" w14:textId="79C9464A" w:rsidR="00FF6B23" w:rsidRPr="00694F10" w:rsidRDefault="00FF6B23" w:rsidP="00694F10">
      <w:pPr>
        <w:tabs>
          <w:tab w:val="left" w:pos="0"/>
        </w:tabs>
        <w:spacing w:line="360" w:lineRule="auto"/>
        <w:jc w:val="both"/>
        <w:rPr>
          <w:rFonts w:ascii="Arial" w:hAnsi="Arial" w:cs="Arial"/>
          <w:sz w:val="22"/>
          <w:szCs w:val="22"/>
        </w:rPr>
      </w:pPr>
      <w:r w:rsidRPr="00694F10">
        <w:rPr>
          <w:rFonts w:ascii="Arial" w:hAnsi="Arial" w:cs="Arial"/>
          <w:sz w:val="22"/>
          <w:szCs w:val="22"/>
        </w:rPr>
        <w:t xml:space="preserve">Recent research is increasingly focusing on nano-formulations, which offer higher efficiency because nanoparticles have greater surface area and better absorption through leaf stomata. Choudhury et al. (2019) tested nano-zinc and nano-copper in mulberry cv. V-1 and found significant increases in shoot length, leaf area and biochemical traits compared to conventional treatments. This showed that nano forms work faster and more efficiently. Pooja et al. (2022) reported similar findings using nano-nitrogen sprays in tree mulberry, where leaf nutrient content, protein level and cocoon weight increased significantly. Among the strongest results,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found that nano-NPK (19:19:19) at 6 g L</w:t>
      </w:r>
      <w:r w:rsidRPr="00694F10">
        <w:rPr>
          <w:rFonts w:ascii="Cambria Math" w:hAnsi="Cambria Math" w:cs="Cambria Math"/>
          <w:sz w:val="22"/>
          <w:szCs w:val="22"/>
        </w:rPr>
        <w:t>⁻</w:t>
      </w:r>
      <w:r w:rsidRPr="00694F10">
        <w:rPr>
          <w:rFonts w:ascii="Arial" w:hAnsi="Arial" w:cs="Arial"/>
          <w:sz w:val="22"/>
          <w:szCs w:val="22"/>
        </w:rPr>
        <w:t>¹ raised leaf yield from ~569 g plant</w:t>
      </w:r>
      <w:r w:rsidRPr="00694F10">
        <w:rPr>
          <w:rFonts w:ascii="Cambria Math" w:hAnsi="Cambria Math" w:cs="Cambria Math"/>
          <w:sz w:val="22"/>
          <w:szCs w:val="22"/>
        </w:rPr>
        <w:t>⁻</w:t>
      </w:r>
      <w:r w:rsidRPr="00694F10">
        <w:rPr>
          <w:rFonts w:ascii="Arial" w:hAnsi="Arial" w:cs="Arial"/>
          <w:sz w:val="22"/>
          <w:szCs w:val="22"/>
        </w:rPr>
        <w:t>¹ to ~748 g plant</w:t>
      </w:r>
      <w:r w:rsidRPr="00694F10">
        <w:rPr>
          <w:rFonts w:ascii="Cambria Math" w:hAnsi="Cambria Math" w:cs="Cambria Math"/>
          <w:sz w:val="22"/>
          <w:szCs w:val="22"/>
        </w:rPr>
        <w:t>⁻</w:t>
      </w:r>
      <w:r w:rsidRPr="00694F10">
        <w:rPr>
          <w:rFonts w:ascii="Arial" w:hAnsi="Arial" w:cs="Arial"/>
          <w:sz w:val="22"/>
          <w:szCs w:val="22"/>
        </w:rPr>
        <w:t xml:space="preserve">¹. These nano treatments performed even better than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 widely used micronutrient + triacontanol formulation), although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also produced clear improvement over untreated control </w:t>
      </w:r>
      <w:proofErr w:type="spellStart"/>
      <w:proofErr w:type="gramStart"/>
      <w:r w:rsidRPr="00694F10">
        <w:rPr>
          <w:rFonts w:ascii="Arial" w:hAnsi="Arial" w:cs="Arial"/>
          <w:sz w:val="22"/>
          <w:szCs w:val="22"/>
        </w:rPr>
        <w:t>leaves.These</w:t>
      </w:r>
      <w:proofErr w:type="spellEnd"/>
      <w:proofErr w:type="gramEnd"/>
      <w:r w:rsidRPr="00694F10">
        <w:rPr>
          <w:rFonts w:ascii="Arial" w:hAnsi="Arial" w:cs="Arial"/>
          <w:sz w:val="22"/>
          <w:szCs w:val="22"/>
        </w:rPr>
        <w:t xml:space="preserve"> findings agree with the review by </w:t>
      </w:r>
      <w:proofErr w:type="spellStart"/>
      <w:r w:rsidRPr="00694F10">
        <w:rPr>
          <w:rFonts w:ascii="Arial" w:hAnsi="Arial" w:cs="Arial"/>
          <w:sz w:val="22"/>
          <w:szCs w:val="22"/>
        </w:rPr>
        <w:t>Adikesavan</w:t>
      </w:r>
      <w:proofErr w:type="spellEnd"/>
      <w:r w:rsidRPr="00694F10">
        <w:rPr>
          <w:rFonts w:ascii="Arial" w:hAnsi="Arial" w:cs="Arial"/>
          <w:sz w:val="22"/>
          <w:szCs w:val="22"/>
        </w:rPr>
        <w:t xml:space="preserve"> et al. (2025), who concluded that </w:t>
      </w:r>
      <w:proofErr w:type="spellStart"/>
      <w:r w:rsidRPr="00694F10">
        <w:rPr>
          <w:rFonts w:ascii="Arial" w:hAnsi="Arial" w:cs="Arial"/>
          <w:sz w:val="22"/>
          <w:szCs w:val="22"/>
        </w:rPr>
        <w:t>nanofertilizers</w:t>
      </w:r>
      <w:proofErr w:type="spellEnd"/>
      <w:r w:rsidRPr="00694F10">
        <w:rPr>
          <w:rFonts w:ascii="Arial" w:hAnsi="Arial" w:cs="Arial"/>
          <w:sz w:val="22"/>
          <w:szCs w:val="22"/>
        </w:rPr>
        <w:t xml:space="preserve"> can boost nutrient use efficiency, improve mulberry and silkworm performance, and reduce total fertilizer requirement—making them a promising sustainable strategy for future sericulture.</w:t>
      </w:r>
    </w:p>
    <w:p w14:paraId="715B0121"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5. Combined application of PGRs and micronutrients: evidence of synergy</w:t>
      </w:r>
    </w:p>
    <w:p w14:paraId="4B47544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Growing research shows that applying plant growth regulators (PGRs) together with micronutrients results in greater improvements in mulberry growth and leaf quality than applying either input alone. This synergistic effect has been </w:t>
      </w:r>
      <w:r w:rsidRPr="00694F10">
        <w:rPr>
          <w:rFonts w:ascii="Arial" w:hAnsi="Arial" w:cs="Arial"/>
          <w:sz w:val="22"/>
          <w:szCs w:val="22"/>
        </w:rPr>
        <w:lastRenderedPageBreak/>
        <w:t>consistently observed in field trials, commercial formulations, and controlled research experiments. Among all PGRs, triacontanol (TRIA) in combination with micronutrients has shown the most reliable and repeatable benefits.</w:t>
      </w:r>
    </w:p>
    <w:p w14:paraId="0A7953C2"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5.1 Triacontanol-based commercial micronutrient formulations</w:t>
      </w:r>
    </w:p>
    <w:p w14:paraId="6B8EE7C8"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strongest evidence of synergy comes from combined products containing triacontanol along with balanced micronutrient mixtures. These formulations enhance physiological efficiency while simultaneously improving nutrient availability and uptake.</w:t>
      </w:r>
    </w:p>
    <w:p w14:paraId="645EC73C"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1. </w:t>
      </w:r>
      <w:proofErr w:type="spellStart"/>
      <w:r w:rsidRPr="00694F10">
        <w:rPr>
          <w:rFonts w:ascii="Arial" w:hAnsi="Arial" w:cs="Arial"/>
          <w:b/>
          <w:bCs/>
          <w:sz w:val="22"/>
          <w:szCs w:val="22"/>
        </w:rPr>
        <w:t>Seriboost</w:t>
      </w:r>
      <w:proofErr w:type="spellEnd"/>
      <w:r w:rsidRPr="00694F10">
        <w:rPr>
          <w:rFonts w:ascii="Arial" w:hAnsi="Arial" w:cs="Arial"/>
          <w:b/>
          <w:bCs/>
          <w:sz w:val="22"/>
          <w:szCs w:val="22"/>
        </w:rPr>
        <w:t xml:space="preserve"> (TRIA + micronutrients)</w:t>
      </w:r>
    </w:p>
    <w:p w14:paraId="230E321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Several studies on </w:t>
      </w:r>
      <w:proofErr w:type="spellStart"/>
      <w:r w:rsidRPr="00694F10">
        <w:rPr>
          <w:rFonts w:ascii="Arial" w:hAnsi="Arial" w:cs="Arial"/>
          <w:b/>
          <w:bCs/>
          <w:i/>
          <w:iCs/>
          <w:sz w:val="22"/>
          <w:szCs w:val="22"/>
        </w:rPr>
        <w:t>Seriboost</w:t>
      </w:r>
      <w:proofErr w:type="spellEnd"/>
      <w:r w:rsidRPr="00694F10">
        <w:rPr>
          <w:rFonts w:ascii="Arial" w:hAnsi="Arial" w:cs="Arial"/>
          <w:b/>
          <w:bCs/>
          <w:sz w:val="22"/>
          <w:szCs w:val="22"/>
        </w:rPr>
        <w:t xml:space="preserve"> provide compelling evidence of synergy:</w:t>
      </w:r>
    </w:p>
    <w:p w14:paraId="72A3BE3E"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t xml:space="preserve">Singhvi, Sarkar &amp; Datta (2001) reported that applying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at 2.5–3.0 mL L</w:t>
      </w:r>
      <w:r w:rsidRPr="00694F10">
        <w:rPr>
          <w:rFonts w:ascii="Cambria Math" w:hAnsi="Cambria Math" w:cs="Cambria Math"/>
          <w:sz w:val="22"/>
          <w:szCs w:val="22"/>
        </w:rPr>
        <w:t>⁻</w:t>
      </w:r>
      <w:r w:rsidRPr="00694F10">
        <w:rPr>
          <w:rFonts w:ascii="Arial" w:hAnsi="Arial" w:cs="Arial"/>
          <w:sz w:val="22"/>
          <w:szCs w:val="22"/>
        </w:rPr>
        <w:t xml:space="preserve">¹ twice per crop increased mulberry leaf yield by about 20% and enhanced leaf protein content by ~19–20%. The improvement was directly reflected in significantly higher cocoon yield and silk output. Another study titled </w:t>
      </w:r>
      <w:r w:rsidRPr="00694F10">
        <w:rPr>
          <w:rFonts w:ascii="Arial" w:hAnsi="Arial" w:cs="Arial"/>
          <w:i/>
          <w:iCs/>
          <w:sz w:val="22"/>
          <w:szCs w:val="22"/>
        </w:rPr>
        <w:t xml:space="preserve">“Effect of </w:t>
      </w:r>
      <w:proofErr w:type="spellStart"/>
      <w:r w:rsidRPr="00694F10">
        <w:rPr>
          <w:rFonts w:ascii="Arial" w:hAnsi="Arial" w:cs="Arial"/>
          <w:i/>
          <w:iCs/>
          <w:sz w:val="22"/>
          <w:szCs w:val="22"/>
        </w:rPr>
        <w:t>Seriboost</w:t>
      </w:r>
      <w:proofErr w:type="spellEnd"/>
      <w:r w:rsidRPr="00694F10">
        <w:rPr>
          <w:rFonts w:ascii="Arial" w:hAnsi="Arial" w:cs="Arial"/>
          <w:i/>
          <w:iCs/>
          <w:sz w:val="22"/>
          <w:szCs w:val="22"/>
        </w:rPr>
        <w:t xml:space="preserve"> on yield components, leaf biochemical and economic parameters in mulberry”</w:t>
      </w:r>
      <w:r w:rsidRPr="00694F10">
        <w:rPr>
          <w:rFonts w:ascii="Arial" w:hAnsi="Arial" w:cs="Arial"/>
          <w:sz w:val="22"/>
          <w:szCs w:val="22"/>
        </w:rPr>
        <w:t xml:space="preserve"> demonstrated that spraying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at 2.5 mL L</w:t>
      </w:r>
      <w:r w:rsidRPr="00694F10">
        <w:rPr>
          <w:rFonts w:ascii="Cambria Math" w:hAnsi="Cambria Math" w:cs="Cambria Math"/>
          <w:sz w:val="22"/>
          <w:szCs w:val="22"/>
        </w:rPr>
        <w:t>⁻</w:t>
      </w:r>
      <w:r w:rsidRPr="00694F10">
        <w:rPr>
          <w:rFonts w:ascii="Arial" w:hAnsi="Arial" w:cs="Arial"/>
          <w:sz w:val="22"/>
          <w:szCs w:val="22"/>
        </w:rPr>
        <w:t xml:space="preserve">¹ improved shoot growth, leaf biomass and biochemical composition, particularly protein and sugar concentration (Singhvi et al., 2000; cited in Wani </w:t>
      </w:r>
      <w:r w:rsidRPr="00694F10">
        <w:rPr>
          <w:rFonts w:ascii="Arial" w:hAnsi="Arial" w:cs="Arial"/>
          <w:i/>
          <w:iCs/>
          <w:sz w:val="22"/>
          <w:szCs w:val="22"/>
        </w:rPr>
        <w:t>et al</w:t>
      </w:r>
      <w:r w:rsidRPr="00694F10">
        <w:rPr>
          <w:rFonts w:ascii="Arial" w:hAnsi="Arial" w:cs="Arial"/>
          <w:sz w:val="22"/>
          <w:szCs w:val="22"/>
        </w:rPr>
        <w:t xml:space="preserve">., 2017; Mir </w:t>
      </w:r>
      <w:r w:rsidRPr="00694F10">
        <w:rPr>
          <w:rFonts w:ascii="Arial" w:hAnsi="Arial" w:cs="Arial"/>
          <w:i/>
          <w:iCs/>
          <w:sz w:val="22"/>
          <w:szCs w:val="22"/>
        </w:rPr>
        <w:t>et al</w:t>
      </w:r>
      <w:r w:rsidRPr="00694F10">
        <w:rPr>
          <w:rFonts w:ascii="Arial" w:hAnsi="Arial" w:cs="Arial"/>
          <w:sz w:val="22"/>
          <w:szCs w:val="22"/>
        </w:rPr>
        <w:t xml:space="preserve">., 2015). Field evidence from Raje Gowda et al. (2000) confirmed that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-treated plots produced significantly higher cocoon yield, proving that improvements in leaf nutrition are biologically meaningful for </w:t>
      </w:r>
      <w:r w:rsidRPr="00694F10">
        <w:rPr>
          <w:rFonts w:ascii="Arial" w:hAnsi="Arial" w:cs="Arial"/>
          <w:i/>
          <w:iCs/>
          <w:sz w:val="22"/>
          <w:szCs w:val="22"/>
        </w:rPr>
        <w:t>Bombyx mori</w:t>
      </w:r>
      <w:r w:rsidRPr="00694F10">
        <w:rPr>
          <w:rFonts w:ascii="Arial" w:hAnsi="Arial" w:cs="Arial"/>
          <w:sz w:val="22"/>
          <w:szCs w:val="22"/>
        </w:rPr>
        <w:t>.</w:t>
      </w:r>
    </w:p>
    <w:p w14:paraId="0EC64B56"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2. Other triacontanol-based formulations</w:t>
      </w:r>
    </w:p>
    <w:p w14:paraId="6844CAA0"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t xml:space="preserve">Singhvi </w:t>
      </w:r>
      <w:r w:rsidRPr="00694F10">
        <w:rPr>
          <w:rFonts w:ascii="Arial" w:hAnsi="Arial" w:cs="Arial"/>
          <w:i/>
          <w:iCs/>
          <w:sz w:val="22"/>
          <w:szCs w:val="22"/>
        </w:rPr>
        <w:t>et al</w:t>
      </w:r>
      <w:r w:rsidRPr="00694F10">
        <w:rPr>
          <w:rFonts w:ascii="Arial" w:hAnsi="Arial" w:cs="Arial"/>
          <w:sz w:val="22"/>
          <w:szCs w:val="22"/>
        </w:rPr>
        <w:t>. (2004) demonstrated that a triacontanol-based micronutrient formulation significantly increased mulberry yield compared to both untreated and micronutrient-only treatments. These results confirmed that the addition of TRIA produces measurable advantages beyond supplying micronutrients. In this work, treatment combining TRIA + micronutrients consistently out-performed micronutrients alone, indicating true physiological synergy rather than a cumulative effect.</w:t>
      </w:r>
    </w:p>
    <w:p w14:paraId="321E58A8"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3. Additional commercial combinations</w:t>
      </w:r>
    </w:p>
    <w:p w14:paraId="513BFA86" w14:textId="77777777" w:rsidR="00FF6B23" w:rsidRPr="00694F10" w:rsidRDefault="00FF6B23" w:rsidP="00694F10">
      <w:pPr>
        <w:tabs>
          <w:tab w:val="left" w:pos="0"/>
        </w:tabs>
        <w:spacing w:line="360" w:lineRule="auto"/>
        <w:ind w:left="720" w:firstLine="720"/>
        <w:jc w:val="both"/>
        <w:rPr>
          <w:rFonts w:ascii="Arial" w:hAnsi="Arial" w:cs="Arial"/>
          <w:sz w:val="22"/>
          <w:szCs w:val="22"/>
        </w:rPr>
      </w:pPr>
      <w:r w:rsidRPr="00694F10">
        <w:rPr>
          <w:rFonts w:ascii="Arial" w:hAnsi="Arial" w:cs="Arial"/>
          <w:sz w:val="22"/>
          <w:szCs w:val="22"/>
        </w:rPr>
        <w:lastRenderedPageBreak/>
        <w:t xml:space="preserve">Narahari Rao </w:t>
      </w:r>
      <w:r w:rsidRPr="00694F10">
        <w:rPr>
          <w:rFonts w:ascii="Arial" w:hAnsi="Arial" w:cs="Arial"/>
          <w:i/>
          <w:iCs/>
          <w:sz w:val="22"/>
          <w:szCs w:val="22"/>
        </w:rPr>
        <w:t>et al</w:t>
      </w:r>
      <w:r w:rsidRPr="00694F10">
        <w:rPr>
          <w:rFonts w:ascii="Arial" w:hAnsi="Arial" w:cs="Arial"/>
          <w:sz w:val="22"/>
          <w:szCs w:val="22"/>
        </w:rPr>
        <w:t xml:space="preserve">. (2001) evaluated several commercial foliar formulations containing TRIA and micronutrients and reported significant improvements in shoot growth, leaf yield, moisture retention and leaf nutritive value. Similar improvements were reported for the micronutrient formulation </w:t>
      </w:r>
      <w:proofErr w:type="spellStart"/>
      <w:r w:rsidRPr="00694F10">
        <w:rPr>
          <w:rFonts w:ascii="Arial" w:hAnsi="Arial" w:cs="Arial"/>
          <w:sz w:val="22"/>
          <w:szCs w:val="22"/>
        </w:rPr>
        <w:t>Plantonik</w:t>
      </w:r>
      <w:proofErr w:type="spellEnd"/>
      <w:r w:rsidRPr="00694F10">
        <w:rPr>
          <w:rFonts w:ascii="Arial" w:hAnsi="Arial" w:cs="Arial"/>
          <w:sz w:val="22"/>
          <w:szCs w:val="22"/>
        </w:rPr>
        <w:t xml:space="preserve"> (Phukan </w:t>
      </w:r>
      <w:r w:rsidRPr="00694F10">
        <w:rPr>
          <w:rFonts w:ascii="Arial" w:hAnsi="Arial" w:cs="Arial"/>
          <w:i/>
          <w:iCs/>
          <w:sz w:val="22"/>
          <w:szCs w:val="22"/>
        </w:rPr>
        <w:t>et al</w:t>
      </w:r>
      <w:r w:rsidRPr="00694F10">
        <w:rPr>
          <w:rFonts w:ascii="Arial" w:hAnsi="Arial" w:cs="Arial"/>
          <w:sz w:val="22"/>
          <w:szCs w:val="22"/>
        </w:rPr>
        <w:t xml:space="preserve">., 1995). Other macro–micro nutrient blends such as Daman </w:t>
      </w:r>
      <w:proofErr w:type="spellStart"/>
      <w:r w:rsidRPr="00694F10">
        <w:rPr>
          <w:rFonts w:ascii="Arial" w:hAnsi="Arial" w:cs="Arial"/>
          <w:sz w:val="22"/>
          <w:szCs w:val="22"/>
        </w:rPr>
        <w:t>Penshibao</w:t>
      </w:r>
      <w:proofErr w:type="spellEnd"/>
      <w:r w:rsidRPr="00694F10">
        <w:rPr>
          <w:rFonts w:ascii="Arial" w:hAnsi="Arial" w:cs="Arial"/>
          <w:sz w:val="22"/>
          <w:szCs w:val="22"/>
        </w:rPr>
        <w:t xml:space="preserve"> improved chlorophyll and soluble protein content (Jyothi </w:t>
      </w:r>
      <w:r w:rsidRPr="00694F10">
        <w:rPr>
          <w:rFonts w:ascii="Arial" w:hAnsi="Arial" w:cs="Arial"/>
          <w:i/>
          <w:iCs/>
          <w:sz w:val="22"/>
          <w:szCs w:val="22"/>
        </w:rPr>
        <w:t>et al.,</w:t>
      </w:r>
      <w:r w:rsidRPr="00694F10">
        <w:rPr>
          <w:rFonts w:ascii="Arial" w:hAnsi="Arial" w:cs="Arial"/>
          <w:sz w:val="22"/>
          <w:szCs w:val="22"/>
        </w:rPr>
        <w:t xml:space="preserve"> 2002; summarized by Singhvi </w:t>
      </w:r>
      <w:r w:rsidRPr="00694F10">
        <w:rPr>
          <w:rFonts w:ascii="Arial" w:hAnsi="Arial" w:cs="Arial"/>
          <w:i/>
          <w:iCs/>
          <w:sz w:val="22"/>
          <w:szCs w:val="22"/>
        </w:rPr>
        <w:t>et al</w:t>
      </w:r>
      <w:r w:rsidRPr="00694F10">
        <w:rPr>
          <w:rFonts w:ascii="Arial" w:hAnsi="Arial" w:cs="Arial"/>
          <w:sz w:val="22"/>
          <w:szCs w:val="22"/>
        </w:rPr>
        <w:t xml:space="preserve">., 2012; Wani </w:t>
      </w:r>
      <w:r w:rsidRPr="00694F10">
        <w:rPr>
          <w:rFonts w:ascii="Arial" w:hAnsi="Arial" w:cs="Arial"/>
          <w:i/>
          <w:iCs/>
          <w:sz w:val="22"/>
          <w:szCs w:val="22"/>
        </w:rPr>
        <w:t>et al.,</w:t>
      </w:r>
      <w:r w:rsidRPr="00694F10">
        <w:rPr>
          <w:rFonts w:ascii="Arial" w:hAnsi="Arial" w:cs="Arial"/>
          <w:sz w:val="22"/>
          <w:szCs w:val="22"/>
        </w:rPr>
        <w:t xml:space="preserve"> 2017</w:t>
      </w:r>
      <w:proofErr w:type="gramStart"/>
      <w:r w:rsidRPr="00694F10">
        <w:rPr>
          <w:rFonts w:ascii="Arial" w:hAnsi="Arial" w:cs="Arial"/>
          <w:sz w:val="22"/>
          <w:szCs w:val="22"/>
        </w:rPr>
        <w:t>).Together</w:t>
      </w:r>
      <w:proofErr w:type="gramEnd"/>
      <w:r w:rsidRPr="00694F10">
        <w:rPr>
          <w:rFonts w:ascii="Arial" w:hAnsi="Arial" w:cs="Arial"/>
          <w:sz w:val="22"/>
          <w:szCs w:val="22"/>
        </w:rPr>
        <w:t>, these studies clearly demonstrate that triacontanol combined with micronutrients consistently produces superior mulberry biomass, nutritional quality and silkworm performance compared to micronutrient sprays alone.</w:t>
      </w:r>
    </w:p>
    <w:p w14:paraId="0506CA30" w14:textId="77777777" w:rsidR="00FF6B23" w:rsidRPr="00694F10" w:rsidRDefault="00FF6B23" w:rsidP="00694F10">
      <w:pPr>
        <w:pStyle w:val="ListParagraph"/>
        <w:numPr>
          <w:ilvl w:val="1"/>
          <w:numId w:val="33"/>
        </w:numPr>
        <w:tabs>
          <w:tab w:val="left" w:pos="0"/>
        </w:tabs>
        <w:spacing w:line="360" w:lineRule="auto"/>
        <w:jc w:val="both"/>
        <w:rPr>
          <w:rFonts w:ascii="Arial" w:hAnsi="Arial" w:cs="Arial"/>
          <w:b/>
          <w:bCs/>
          <w:sz w:val="22"/>
          <w:szCs w:val="22"/>
        </w:rPr>
      </w:pPr>
      <w:r w:rsidRPr="00694F10">
        <w:rPr>
          <w:rFonts w:ascii="Arial" w:hAnsi="Arial" w:cs="Arial"/>
          <w:b/>
          <w:bCs/>
          <w:sz w:val="22"/>
          <w:szCs w:val="22"/>
        </w:rPr>
        <w:t>Mechanistic interpretation</w:t>
      </w:r>
    </w:p>
    <w:p w14:paraId="70874F4D" w14:textId="16ABC11A"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The synergistic response can be explained physiologically: TRIA and GA</w:t>
      </w:r>
      <w:r w:rsidRPr="00694F10">
        <w:rPr>
          <w:rFonts w:ascii="Cambria Math" w:hAnsi="Cambria Math" w:cs="Cambria Math"/>
          <w:sz w:val="22"/>
          <w:szCs w:val="22"/>
        </w:rPr>
        <w:t>₃</w:t>
      </w:r>
      <w:r w:rsidRPr="00694F10">
        <w:rPr>
          <w:rFonts w:ascii="Arial" w:hAnsi="Arial" w:cs="Arial"/>
          <w:sz w:val="22"/>
          <w:szCs w:val="22"/>
        </w:rPr>
        <w:t xml:space="preserve"> stimulate photosynthetic efficiency, nitrate reductase activity, protein synthesis, and delay leaf senescence (Ramesh </w:t>
      </w:r>
      <w:r w:rsidRPr="00694F10">
        <w:rPr>
          <w:rFonts w:ascii="Arial" w:hAnsi="Arial" w:cs="Arial"/>
          <w:i/>
          <w:iCs/>
          <w:sz w:val="22"/>
          <w:szCs w:val="22"/>
        </w:rPr>
        <w:t>et al</w:t>
      </w:r>
      <w:r w:rsidRPr="00694F10">
        <w:rPr>
          <w:rFonts w:ascii="Arial" w:hAnsi="Arial" w:cs="Arial"/>
          <w:sz w:val="22"/>
          <w:szCs w:val="22"/>
        </w:rPr>
        <w:t xml:space="preserve">., 2012; Geetha &amp; Murugan, 2017; Taiz &amp; Zeiger, 2015). This increases metabolic demand and creates a stronger sink strength for nutrients. Micronutrients such as Fe, Zn, Mn, Cu and B serve as essential cofactors in photosynthetic enzymes, chlorophyll formation, nitrogen assimilation and amino acid metabolism (Das </w:t>
      </w:r>
      <w:r w:rsidRPr="00694F10">
        <w:rPr>
          <w:rFonts w:ascii="Arial" w:hAnsi="Arial" w:cs="Arial"/>
          <w:i/>
          <w:iCs/>
          <w:sz w:val="22"/>
          <w:szCs w:val="22"/>
        </w:rPr>
        <w:t>et al</w:t>
      </w:r>
      <w:r w:rsidRPr="00694F10">
        <w:rPr>
          <w:rFonts w:ascii="Arial" w:hAnsi="Arial" w:cs="Arial"/>
          <w:sz w:val="22"/>
          <w:szCs w:val="22"/>
        </w:rPr>
        <w:t xml:space="preserve">., 2023; Geetha </w:t>
      </w:r>
      <w:r w:rsidRPr="00694F10">
        <w:rPr>
          <w:rFonts w:ascii="Arial" w:hAnsi="Arial" w:cs="Arial"/>
          <w:i/>
          <w:iCs/>
          <w:sz w:val="22"/>
          <w:szCs w:val="22"/>
        </w:rPr>
        <w:t>et al</w:t>
      </w:r>
      <w:r w:rsidRPr="00694F10">
        <w:rPr>
          <w:rFonts w:ascii="Arial" w:hAnsi="Arial" w:cs="Arial"/>
          <w:sz w:val="22"/>
          <w:szCs w:val="22"/>
        </w:rPr>
        <w:t>., 2016; Role of Micronutrients in Mulberry Crop Improvement, 2025).</w:t>
      </w:r>
      <w:r w:rsidR="00694F10">
        <w:rPr>
          <w:rFonts w:ascii="Arial" w:hAnsi="Arial" w:cs="Arial"/>
          <w:sz w:val="22"/>
          <w:szCs w:val="22"/>
        </w:rPr>
        <w:t xml:space="preserve"> </w:t>
      </w:r>
      <w:r w:rsidRPr="00694F10">
        <w:rPr>
          <w:rFonts w:ascii="Arial" w:hAnsi="Arial" w:cs="Arial"/>
          <w:sz w:val="22"/>
          <w:szCs w:val="22"/>
        </w:rPr>
        <w:t>When hormones increase metabolic activity, the presence of these micronutrients ensures that biochemical pathways operate efficiently. Thus, instead of independently improving growth, the two inputs work together, resulting in multiplicative—not just additive—effects on leaf growth, chlorophyll, protein levels and silkworm nutrition.</w:t>
      </w:r>
    </w:p>
    <w:p w14:paraId="11FA4233"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6. Biomass responses under combined hormone–micronutrient regimes</w:t>
      </w:r>
    </w:p>
    <w:p w14:paraId="48CA508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Across multiple studies, mulberry plants treated with combined hormonal and micronutrient sprays show:15–25% higher leaf biomass, depending on season and cultivar (Singhvi </w:t>
      </w:r>
      <w:r w:rsidRPr="00694F10">
        <w:rPr>
          <w:rFonts w:ascii="Arial" w:hAnsi="Arial" w:cs="Arial"/>
          <w:i/>
          <w:iCs/>
          <w:sz w:val="22"/>
          <w:szCs w:val="22"/>
        </w:rPr>
        <w:t>et al</w:t>
      </w:r>
      <w:r w:rsidRPr="00694F10">
        <w:rPr>
          <w:rFonts w:ascii="Arial" w:hAnsi="Arial" w:cs="Arial"/>
          <w:sz w:val="22"/>
          <w:szCs w:val="22"/>
        </w:rPr>
        <w:t xml:space="preserve">., 2001; Raje Gowda </w:t>
      </w:r>
      <w:r w:rsidRPr="00694F10">
        <w:rPr>
          <w:rFonts w:ascii="Arial" w:hAnsi="Arial" w:cs="Arial"/>
          <w:i/>
          <w:iCs/>
          <w:sz w:val="22"/>
          <w:szCs w:val="22"/>
        </w:rPr>
        <w:t>et al</w:t>
      </w:r>
      <w:r w:rsidRPr="00694F10">
        <w:rPr>
          <w:rFonts w:ascii="Arial" w:hAnsi="Arial" w:cs="Arial"/>
          <w:sz w:val="22"/>
          <w:szCs w:val="22"/>
        </w:rPr>
        <w:t xml:space="preserve">., 2000;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Higher shoot length, shoot number, larger leaf area and improved leaf moisture, all of which are desirable for silkworm rearing. In the study by Singhvi et al. (2004), triacontanol-based micronutrient sprays outperformed formulations containing only micronutrients—even when total nutrient quantity was the same—again confirming synergy. Recent work with nano-micronutrients, including nano-</w:t>
      </w:r>
      <w:r w:rsidRPr="00694F10">
        <w:rPr>
          <w:rFonts w:ascii="Arial" w:hAnsi="Arial" w:cs="Arial"/>
          <w:sz w:val="22"/>
          <w:szCs w:val="22"/>
        </w:rPr>
        <w:lastRenderedPageBreak/>
        <w:t>NPK, nano-zinc and nano-copper, further increased leaf yield to &gt;700 g plant</w:t>
      </w:r>
      <w:r w:rsidRPr="00694F10">
        <w:rPr>
          <w:rFonts w:ascii="Cambria Math" w:hAnsi="Cambria Math" w:cs="Cambria Math"/>
          <w:sz w:val="22"/>
          <w:szCs w:val="22"/>
        </w:rPr>
        <w:t>⁻</w:t>
      </w:r>
      <w:r w:rsidRPr="00694F10">
        <w:rPr>
          <w:rFonts w:ascii="Arial" w:hAnsi="Arial" w:cs="Arial"/>
          <w:sz w:val="22"/>
          <w:szCs w:val="22"/>
        </w:rPr>
        <w:t>¹ compared to ~560 g plant</w:t>
      </w:r>
      <w:r w:rsidRPr="00694F10">
        <w:rPr>
          <w:rFonts w:ascii="Cambria Math" w:hAnsi="Cambria Math" w:cs="Cambria Math"/>
          <w:sz w:val="22"/>
          <w:szCs w:val="22"/>
        </w:rPr>
        <w:t>⁻</w:t>
      </w:r>
      <w:r w:rsidRPr="00694F10">
        <w:rPr>
          <w:rFonts w:ascii="Arial" w:hAnsi="Arial" w:cs="Arial"/>
          <w:sz w:val="22"/>
          <w:szCs w:val="22"/>
        </w:rPr>
        <w:t xml:space="preserve">¹ in unsprayed controls (Choudhury et al., 2019;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w:t>
      </w:r>
      <w:r w:rsidRPr="00694F10">
        <w:rPr>
          <w:rFonts w:ascii="Arial" w:hAnsi="Arial" w:cs="Arial"/>
          <w:i/>
          <w:iCs/>
          <w:sz w:val="22"/>
          <w:szCs w:val="22"/>
        </w:rPr>
        <w:t>et al.,</w:t>
      </w:r>
      <w:r w:rsidRPr="00694F10">
        <w:rPr>
          <w:rFonts w:ascii="Arial" w:hAnsi="Arial" w:cs="Arial"/>
          <w:sz w:val="22"/>
          <w:szCs w:val="22"/>
        </w:rPr>
        <w:t xml:space="preserve"> 2024</w:t>
      </w:r>
      <w:proofErr w:type="gramStart"/>
      <w:r w:rsidRPr="00694F10">
        <w:rPr>
          <w:rFonts w:ascii="Arial" w:hAnsi="Arial" w:cs="Arial"/>
          <w:sz w:val="22"/>
          <w:szCs w:val="22"/>
        </w:rPr>
        <w:t>).Mir</w:t>
      </w:r>
      <w:proofErr w:type="gramEnd"/>
      <w:r w:rsidRPr="00694F10">
        <w:rPr>
          <w:rFonts w:ascii="Arial" w:hAnsi="Arial" w:cs="Arial"/>
          <w:sz w:val="22"/>
          <w:szCs w:val="22"/>
        </w:rPr>
        <w:t xml:space="preserve"> et al. (2024) and Nazar et al. (2019) noted that the benefits were greatest when basal soil fertility was balanced. Under nutrient-poor soils, responses were positive but smaller because mineral uptake pathways were limited.</w:t>
      </w:r>
    </w:p>
    <w:p w14:paraId="147F44A0"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7. Leaf protein content and biochemical quality</w:t>
      </w:r>
    </w:p>
    <w:p w14:paraId="717866D8" w14:textId="77777777" w:rsidR="00FF6B23" w:rsidRPr="00694F10" w:rsidRDefault="00FF6B23" w:rsidP="00694F10">
      <w:pPr>
        <w:pStyle w:val="ListParagraph"/>
        <w:numPr>
          <w:ilvl w:val="1"/>
          <w:numId w:val="34"/>
        </w:numPr>
        <w:tabs>
          <w:tab w:val="left" w:pos="0"/>
        </w:tabs>
        <w:spacing w:line="360" w:lineRule="auto"/>
        <w:jc w:val="both"/>
        <w:rPr>
          <w:rFonts w:ascii="Arial" w:hAnsi="Arial" w:cs="Arial"/>
          <w:b/>
          <w:bCs/>
          <w:sz w:val="22"/>
          <w:szCs w:val="22"/>
        </w:rPr>
      </w:pPr>
      <w:r w:rsidRPr="00694F10">
        <w:rPr>
          <w:rFonts w:ascii="Arial" w:hAnsi="Arial" w:cs="Arial"/>
          <w:b/>
          <w:bCs/>
          <w:sz w:val="22"/>
          <w:szCs w:val="22"/>
        </w:rPr>
        <w:t>Micronutrients alone</w:t>
      </w:r>
    </w:p>
    <w:p w14:paraId="330E5991"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Micronutrients significantly enhance biochemical quality: Geetha et al. (2016) showed that micronutrient mixtures increased leaf crude protein and total nutrient concentration, leading to improved larval and cocoon traits. Das et al. (2023) found increases in chlorophyll, soluble sugars and crude protein, confirming improved metabolic functioning. Nano formulations studied by Choudhury et al. (2019) and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produced the highest gains, increasing soluble protein from ~11.2% in untreated leaves to ~13.8%.</w:t>
      </w:r>
    </w:p>
    <w:p w14:paraId="488ED522"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7.2 Triacontanol + micronutrients</w:t>
      </w:r>
    </w:p>
    <w:p w14:paraId="2A9361C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strongest improvements occur when TRIA is combined with micronutrients: Ramesh et al. (2012) showed that TRIA significantly increased soluble protein and improved silkworm physiological performance. Singhvi et al. (2001) reported that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increased leaf protein content by ~19.6%, making it superior to earlier micronutrient-only </w:t>
      </w:r>
      <w:proofErr w:type="spellStart"/>
      <w:proofErr w:type="gramStart"/>
      <w:r w:rsidRPr="00694F10">
        <w:rPr>
          <w:rFonts w:ascii="Arial" w:hAnsi="Arial" w:cs="Arial"/>
          <w:sz w:val="22"/>
          <w:szCs w:val="22"/>
        </w:rPr>
        <w:t>programs.In</w:t>
      </w:r>
      <w:proofErr w:type="spellEnd"/>
      <w:proofErr w:type="gramEnd"/>
      <w:r w:rsidRPr="00694F10">
        <w:rPr>
          <w:rFonts w:ascii="Arial" w:hAnsi="Arial" w:cs="Arial"/>
          <w:sz w:val="22"/>
          <w:szCs w:val="22"/>
        </w:rPr>
        <w:t xml:space="preserve"> nano-fertilizer trials,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treatments still outperformed controls in terms of SPAD values, total sugars and soluble protein—even when nano-NPK surpassed it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w:t>
      </w:r>
      <w:proofErr w:type="spellStart"/>
      <w:r w:rsidRPr="00694F10">
        <w:rPr>
          <w:rFonts w:ascii="Arial" w:hAnsi="Arial" w:cs="Arial"/>
          <w:sz w:val="22"/>
          <w:szCs w:val="22"/>
        </w:rPr>
        <w:t>Kannihalli</w:t>
      </w:r>
      <w:proofErr w:type="spellEnd"/>
      <w:r w:rsidRPr="00694F10">
        <w:rPr>
          <w:rFonts w:ascii="Arial" w:hAnsi="Arial" w:cs="Arial"/>
          <w:sz w:val="22"/>
          <w:szCs w:val="22"/>
        </w:rPr>
        <w:t xml:space="preserve"> et al., 2024). This demonstrates that TRIA remains effective and may act additively or synergistically with advanced nutrient technologies.</w:t>
      </w:r>
    </w:p>
    <w:p w14:paraId="731BD740" w14:textId="77777777" w:rsidR="00FF6B23" w:rsidRPr="00694F10" w:rsidRDefault="00FF6B23" w:rsidP="00694F10">
      <w:pPr>
        <w:tabs>
          <w:tab w:val="left" w:pos="0"/>
        </w:tabs>
        <w:spacing w:line="360" w:lineRule="auto"/>
        <w:jc w:val="both"/>
        <w:rPr>
          <w:rFonts w:ascii="Arial" w:hAnsi="Arial" w:cs="Arial"/>
          <w:b/>
          <w:bCs/>
          <w:sz w:val="22"/>
          <w:szCs w:val="22"/>
        </w:rPr>
      </w:pPr>
    </w:p>
    <w:p w14:paraId="0E1DB407" w14:textId="77777777" w:rsidR="00FF6B23" w:rsidRPr="00694F10" w:rsidRDefault="00FF6B23" w:rsidP="00694F10">
      <w:pPr>
        <w:tabs>
          <w:tab w:val="left" w:pos="0"/>
        </w:tabs>
        <w:spacing w:line="360" w:lineRule="auto"/>
        <w:jc w:val="both"/>
        <w:rPr>
          <w:rFonts w:ascii="Arial" w:hAnsi="Arial" w:cs="Arial"/>
          <w:b/>
          <w:bCs/>
          <w:sz w:val="22"/>
          <w:szCs w:val="22"/>
        </w:rPr>
      </w:pPr>
      <w:r w:rsidRPr="00694F10">
        <w:rPr>
          <w:rFonts w:ascii="Arial" w:hAnsi="Arial" w:cs="Arial"/>
          <w:b/>
          <w:bCs/>
          <w:sz w:val="22"/>
          <w:szCs w:val="22"/>
        </w:rPr>
        <w:t xml:space="preserve">8. Downstream effects on </w:t>
      </w:r>
      <w:r w:rsidRPr="00694F10">
        <w:rPr>
          <w:rFonts w:ascii="Arial" w:hAnsi="Arial" w:cs="Arial"/>
          <w:b/>
          <w:bCs/>
          <w:i/>
          <w:iCs/>
          <w:sz w:val="22"/>
          <w:szCs w:val="22"/>
        </w:rPr>
        <w:t>Bombyx mori</w:t>
      </w:r>
    </w:p>
    <w:p w14:paraId="24903B19"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benefits of improved mulberry nutrition extend beyond plant performance and directly influence the biological productivity of the silkworm, </w:t>
      </w:r>
      <w:r w:rsidRPr="00694F10">
        <w:rPr>
          <w:rFonts w:ascii="Arial" w:hAnsi="Arial" w:cs="Arial"/>
          <w:i/>
          <w:iCs/>
          <w:sz w:val="22"/>
          <w:szCs w:val="22"/>
        </w:rPr>
        <w:t>Bombyx mori</w:t>
      </w:r>
      <w:r w:rsidRPr="00694F10">
        <w:rPr>
          <w:rFonts w:ascii="Arial" w:hAnsi="Arial" w:cs="Arial"/>
          <w:sz w:val="22"/>
          <w:szCs w:val="22"/>
        </w:rPr>
        <w:t xml:space="preserve">. Since the silkworm is a monophagous insect feeding exclusively on mulberry leaves, the nutritional composition of the leaves—particularly crude protein, soluble protein, moisture, and mineral quality—plays a decisive role in larval development, survival, cocoon formation and silk filament length (Krishnaswami et al., 1971; Purohit &amp; </w:t>
      </w:r>
      <w:r w:rsidRPr="00694F10">
        <w:rPr>
          <w:rFonts w:ascii="Arial" w:hAnsi="Arial" w:cs="Arial"/>
          <w:sz w:val="22"/>
          <w:szCs w:val="22"/>
        </w:rPr>
        <w:lastRenderedPageBreak/>
        <w:t>Pavankumar, 1996; Dandin et al., 2000). Higher-quality leaves result in faster larval growth, improved feed conversion efficiency, better silk gland development and ultimately enhanced cocoon yields.</w:t>
      </w:r>
    </w:p>
    <w:p w14:paraId="4C37FDA8"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Several studies have demonstrated that improved leaf nutrition through micronutrients and plant growth regulators (PGRs) significantly enhances silkworm performance. For instance, Geetha et al. (2016) and Geetha et al. (2017) observed notable increases in larval weight, shell ratio, cocoon weight and filament length in silkworms fed on mulberry leaves sprayed with a balanced micronutrient mixture. These responses suggest that micronutrient-mediated improvements in leaf metabolism—including enhanced protein synthesis and chlorophyll content—translate effectively into improved physiological outcomes in silkworms.</w:t>
      </w:r>
    </w:p>
    <w:p w14:paraId="1B0AEC20"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Similarly, Nazar et al. (2019) found that integrating micronutrients with biofertilizers not only increased mulberry leaf protein and moisture but also resulted in significantly higher silkworm growth rates and cocoon yield. These findings reinforce that improving soil and foliar nutrient status simultaneously strengthens both plant health and silkworm productivity.</w:t>
      </w:r>
    </w:p>
    <w:p w14:paraId="0D115627"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The effects are even more pronounced when PGRs such as triacontanol are included. Leaves from mulberry treated with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or other triacontanol-based micronutrient formulations consistently produced heavier cocoons, higher shell ratios and more reelable silk (Singhvi </w:t>
      </w:r>
      <w:r w:rsidRPr="00694F10">
        <w:rPr>
          <w:rFonts w:ascii="Arial" w:hAnsi="Arial" w:cs="Arial"/>
          <w:i/>
          <w:iCs/>
          <w:sz w:val="22"/>
          <w:szCs w:val="22"/>
        </w:rPr>
        <w:t>et al.,</w:t>
      </w:r>
      <w:r w:rsidRPr="00694F10">
        <w:rPr>
          <w:rFonts w:ascii="Arial" w:hAnsi="Arial" w:cs="Arial"/>
          <w:sz w:val="22"/>
          <w:szCs w:val="22"/>
        </w:rPr>
        <w:t xml:space="preserve"> 2001; </w:t>
      </w:r>
      <w:proofErr w:type="spellStart"/>
      <w:r w:rsidRPr="00694F10">
        <w:rPr>
          <w:rFonts w:ascii="Arial" w:hAnsi="Arial" w:cs="Arial"/>
          <w:sz w:val="22"/>
          <w:szCs w:val="22"/>
        </w:rPr>
        <w:t>Ankalgi</w:t>
      </w:r>
      <w:proofErr w:type="spellEnd"/>
      <w:r w:rsidRPr="00694F10">
        <w:rPr>
          <w:rFonts w:ascii="Arial" w:hAnsi="Arial" w:cs="Arial"/>
          <w:sz w:val="22"/>
          <w:szCs w:val="22"/>
        </w:rPr>
        <w:t xml:space="preserve"> &amp; Ansari, 1992; Ramesh </w:t>
      </w:r>
      <w:r w:rsidRPr="00694F10">
        <w:rPr>
          <w:rFonts w:ascii="Arial" w:hAnsi="Arial" w:cs="Arial"/>
          <w:i/>
          <w:iCs/>
          <w:sz w:val="22"/>
          <w:szCs w:val="22"/>
        </w:rPr>
        <w:t>et al</w:t>
      </w:r>
      <w:r w:rsidRPr="00694F10">
        <w:rPr>
          <w:rFonts w:ascii="Arial" w:hAnsi="Arial" w:cs="Arial"/>
          <w:sz w:val="22"/>
          <w:szCs w:val="22"/>
        </w:rPr>
        <w:t>., 2012). This suggests that triacontanol improves nitrogen assimilation and leaf carbohydrate–protein balance, making the leaves more physiologically complete for silkworm growth.</w:t>
      </w:r>
    </w:p>
    <w:p w14:paraId="6D22D76E" w14:textId="77777777" w:rsidR="00FF6B23" w:rsidRPr="00694F10" w:rsidRDefault="00FF6B23" w:rsidP="00694F10">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Further evidence comes from Vishwanath </w:t>
      </w:r>
      <w:r w:rsidRPr="00694F10">
        <w:rPr>
          <w:rFonts w:ascii="Arial" w:hAnsi="Arial" w:cs="Arial"/>
          <w:i/>
          <w:iCs/>
          <w:sz w:val="22"/>
          <w:szCs w:val="22"/>
        </w:rPr>
        <w:t>et al.</w:t>
      </w:r>
      <w:r w:rsidRPr="00694F10">
        <w:rPr>
          <w:rFonts w:ascii="Arial" w:hAnsi="Arial" w:cs="Arial"/>
          <w:sz w:val="22"/>
          <w:szCs w:val="22"/>
        </w:rPr>
        <w:t xml:space="preserve"> (1997), who reported that feeding mulberry leaves enriched with secondary nutrients and micronutrients improved larval growth and silk characteristics. A later review cited by Wani </w:t>
      </w:r>
      <w:r w:rsidRPr="00694F10">
        <w:rPr>
          <w:rFonts w:ascii="Arial" w:hAnsi="Arial" w:cs="Arial"/>
          <w:i/>
          <w:iCs/>
          <w:sz w:val="22"/>
          <w:szCs w:val="22"/>
        </w:rPr>
        <w:t>et al.</w:t>
      </w:r>
      <w:r w:rsidRPr="00694F10">
        <w:rPr>
          <w:rFonts w:ascii="Arial" w:hAnsi="Arial" w:cs="Arial"/>
          <w:sz w:val="22"/>
          <w:szCs w:val="22"/>
        </w:rPr>
        <w:t xml:space="preserve"> (2020) reaffirmed that nutrient-enriched leaves generate healthier larvae with more efficient cocoon spinning </w:t>
      </w:r>
      <w:proofErr w:type="spellStart"/>
      <w:r w:rsidRPr="00694F10">
        <w:rPr>
          <w:rFonts w:ascii="Arial" w:hAnsi="Arial" w:cs="Arial"/>
          <w:sz w:val="22"/>
          <w:szCs w:val="22"/>
        </w:rPr>
        <w:t>behaviour</w:t>
      </w:r>
      <w:proofErr w:type="spellEnd"/>
      <w:r w:rsidRPr="00694F10">
        <w:rPr>
          <w:rFonts w:ascii="Arial" w:hAnsi="Arial" w:cs="Arial"/>
          <w:sz w:val="22"/>
          <w:szCs w:val="22"/>
        </w:rPr>
        <w:t>.</w:t>
      </w:r>
    </w:p>
    <w:p w14:paraId="38DACD46" w14:textId="3D01BD16" w:rsidR="001C3484" w:rsidRDefault="00FF6B23" w:rsidP="001C3484">
      <w:pPr>
        <w:tabs>
          <w:tab w:val="left" w:pos="0"/>
        </w:tabs>
        <w:spacing w:line="360" w:lineRule="auto"/>
        <w:ind w:firstLine="720"/>
        <w:jc w:val="both"/>
        <w:rPr>
          <w:rFonts w:ascii="Arial" w:hAnsi="Arial" w:cs="Arial"/>
          <w:sz w:val="22"/>
          <w:szCs w:val="22"/>
        </w:rPr>
      </w:pPr>
      <w:r w:rsidRPr="00694F10">
        <w:rPr>
          <w:rFonts w:ascii="Arial" w:hAnsi="Arial" w:cs="Arial"/>
          <w:sz w:val="22"/>
          <w:szCs w:val="22"/>
        </w:rPr>
        <w:t xml:space="preserve">Importantly, the feeding pattern of </w:t>
      </w:r>
      <w:r w:rsidRPr="00694F10">
        <w:rPr>
          <w:rFonts w:ascii="Arial" w:hAnsi="Arial" w:cs="Arial"/>
          <w:i/>
          <w:iCs/>
          <w:sz w:val="22"/>
          <w:szCs w:val="22"/>
        </w:rPr>
        <w:t>B. mori</w:t>
      </w:r>
      <w:r w:rsidRPr="00694F10">
        <w:rPr>
          <w:rFonts w:ascii="Arial" w:hAnsi="Arial" w:cs="Arial"/>
          <w:sz w:val="22"/>
          <w:szCs w:val="22"/>
        </w:rPr>
        <w:t xml:space="preserve"> magnifies the impact of improved leaf nutrition. Nearly 80–85% of total leaf consumption occurs during the 4th and 5th instars, when the silkworm undergoes rapid physiological growth and silk gland expansion. Therefore, even moderate improvements in leaf nutritional attributes—</w:t>
      </w:r>
      <w:r w:rsidRPr="00694F10">
        <w:rPr>
          <w:rFonts w:ascii="Arial" w:hAnsi="Arial" w:cs="Arial"/>
          <w:sz w:val="22"/>
          <w:szCs w:val="22"/>
        </w:rPr>
        <w:lastRenderedPageBreak/>
        <w:t>especially leaf protein and moisture content—achieved through PGR + micronutrient interventions can significantly increase cocoon weight, silk filament length and overall silk output per unit leaf consumed. This highlights the practical importance of optimizing mulberry nutritional management within commercial sericulture systems.</w:t>
      </w:r>
    </w:p>
    <w:p w14:paraId="0915200B" w14:textId="77777777" w:rsidR="001C3484" w:rsidRDefault="001C3484" w:rsidP="001C3484">
      <w:pPr>
        <w:tabs>
          <w:tab w:val="left" w:pos="0"/>
        </w:tabs>
        <w:spacing w:line="360" w:lineRule="auto"/>
        <w:ind w:firstLine="720"/>
        <w:jc w:val="both"/>
        <w:rPr>
          <w:rFonts w:ascii="Arial" w:hAnsi="Arial" w:cs="Arial"/>
          <w:sz w:val="22"/>
          <w:szCs w:val="22"/>
        </w:rPr>
      </w:pPr>
    </w:p>
    <w:p w14:paraId="6701CFC3" w14:textId="5788ACF6" w:rsidR="001C3484" w:rsidRPr="001C3484" w:rsidRDefault="001C3484" w:rsidP="001C3484">
      <w:pPr>
        <w:pStyle w:val="ListParagraph"/>
        <w:numPr>
          <w:ilvl w:val="0"/>
          <w:numId w:val="37"/>
        </w:numPr>
        <w:tabs>
          <w:tab w:val="left" w:pos="0"/>
        </w:tabs>
        <w:spacing w:line="360" w:lineRule="auto"/>
        <w:ind w:left="270" w:hanging="270"/>
        <w:jc w:val="both"/>
        <w:rPr>
          <w:rFonts w:ascii="Arial" w:hAnsi="Arial" w:cs="Arial"/>
          <w:b/>
          <w:bCs/>
          <w:sz w:val="22"/>
          <w:szCs w:val="22"/>
        </w:rPr>
      </w:pPr>
      <w:r w:rsidRPr="001C3484">
        <w:rPr>
          <w:rFonts w:ascii="Arial" w:hAnsi="Arial" w:cs="Arial"/>
          <w:b/>
          <w:bCs/>
          <w:sz w:val="22"/>
          <w:szCs w:val="22"/>
        </w:rPr>
        <w:t>Practical recommendations for mulberry cultivation</w:t>
      </w:r>
    </w:p>
    <w:p w14:paraId="4B8C63E0"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Based on the reviewed literature, the following practical recommendations can be suggested for improving mulberry biomass and leaf protein content through integrated use of plant growth regulators and micronutrients:</w:t>
      </w:r>
    </w:p>
    <w:p w14:paraId="63E061C3"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 xml:space="preserve">• Foliar application of triacontanol-based formulations such as </w:t>
      </w:r>
      <w:proofErr w:type="spellStart"/>
      <w:r w:rsidRPr="001C3484">
        <w:rPr>
          <w:rFonts w:ascii="Arial" w:hAnsi="Arial" w:cs="Arial"/>
          <w:sz w:val="22"/>
          <w:szCs w:val="22"/>
        </w:rPr>
        <w:t>Seriboost</w:t>
      </w:r>
      <w:proofErr w:type="spellEnd"/>
      <w:r w:rsidRPr="001C3484">
        <w:rPr>
          <w:rFonts w:ascii="Arial" w:hAnsi="Arial" w:cs="Arial"/>
          <w:sz w:val="22"/>
          <w:szCs w:val="22"/>
        </w:rPr>
        <w:t xml:space="preserve"> at </w:t>
      </w:r>
      <w:r w:rsidRPr="001C3484">
        <w:rPr>
          <w:rFonts w:ascii="Arial" w:hAnsi="Arial" w:cs="Arial"/>
          <w:b/>
          <w:bCs/>
          <w:sz w:val="22"/>
          <w:szCs w:val="22"/>
        </w:rPr>
        <w:t>2.5–3.0 mL L</w:t>
      </w:r>
      <w:r w:rsidRPr="001C3484">
        <w:rPr>
          <w:rFonts w:ascii="Cambria Math" w:hAnsi="Cambria Math" w:cs="Cambria Math"/>
          <w:b/>
          <w:bCs/>
          <w:sz w:val="22"/>
          <w:szCs w:val="22"/>
        </w:rPr>
        <w:t>⁻</w:t>
      </w:r>
      <w:r w:rsidRPr="001C3484">
        <w:rPr>
          <w:rFonts w:ascii="Arial" w:hAnsi="Arial" w:cs="Arial"/>
          <w:b/>
          <w:bCs/>
          <w:sz w:val="22"/>
          <w:szCs w:val="22"/>
        </w:rPr>
        <w:t>¹</w:t>
      </w:r>
      <w:r w:rsidRPr="001C3484">
        <w:rPr>
          <w:rFonts w:ascii="Arial" w:hAnsi="Arial" w:cs="Arial"/>
          <w:sz w:val="22"/>
          <w:szCs w:val="22"/>
        </w:rPr>
        <w:t xml:space="preserve"> applied </w:t>
      </w:r>
      <w:r w:rsidRPr="001C3484">
        <w:rPr>
          <w:rFonts w:ascii="Arial" w:hAnsi="Arial" w:cs="Arial"/>
          <w:b/>
          <w:bCs/>
          <w:sz w:val="22"/>
          <w:szCs w:val="22"/>
        </w:rPr>
        <w:t>twice during each crop cycle (20–25 days after pruning and again 10–15 days later)</w:t>
      </w:r>
      <w:r w:rsidRPr="001C3484">
        <w:rPr>
          <w:rFonts w:ascii="Arial" w:hAnsi="Arial" w:cs="Arial"/>
          <w:sz w:val="22"/>
          <w:szCs w:val="22"/>
        </w:rPr>
        <w:t xml:space="preserve"> can significantly enhance leaf biomass and protein content.</w:t>
      </w:r>
    </w:p>
    <w:p w14:paraId="32136A6E"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 xml:space="preserve">• Application of combined micronutrient mixtures containing </w:t>
      </w:r>
      <w:r w:rsidRPr="001C3484">
        <w:rPr>
          <w:rFonts w:ascii="Arial" w:hAnsi="Arial" w:cs="Arial"/>
          <w:b/>
          <w:bCs/>
          <w:sz w:val="22"/>
          <w:szCs w:val="22"/>
        </w:rPr>
        <w:t>Fe, Zn, Mn, Cu and B (0.5–1.0%)</w:t>
      </w:r>
      <w:r w:rsidRPr="001C3484">
        <w:rPr>
          <w:rFonts w:ascii="Arial" w:hAnsi="Arial" w:cs="Arial"/>
          <w:sz w:val="22"/>
          <w:szCs w:val="22"/>
        </w:rPr>
        <w:t xml:space="preserve"> improves chlorophyll formation, photosynthesis and nitrogen metabolism in mulberry leaves.</w:t>
      </w:r>
    </w:p>
    <w:p w14:paraId="2DE6C9B7"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 xml:space="preserve">• Nano-fertilizer formulations such as </w:t>
      </w:r>
      <w:r w:rsidRPr="001C3484">
        <w:rPr>
          <w:rFonts w:ascii="Arial" w:hAnsi="Arial" w:cs="Arial"/>
          <w:b/>
          <w:bCs/>
          <w:sz w:val="22"/>
          <w:szCs w:val="22"/>
        </w:rPr>
        <w:t>nano-NPK (19:19:19) at around 6 g L</w:t>
      </w:r>
      <w:r w:rsidRPr="001C3484">
        <w:rPr>
          <w:rFonts w:ascii="Cambria Math" w:hAnsi="Cambria Math" w:cs="Cambria Math"/>
          <w:b/>
          <w:bCs/>
          <w:sz w:val="22"/>
          <w:szCs w:val="22"/>
        </w:rPr>
        <w:t>⁻</w:t>
      </w:r>
      <w:r w:rsidRPr="001C3484">
        <w:rPr>
          <w:rFonts w:ascii="Arial" w:hAnsi="Arial" w:cs="Arial"/>
          <w:b/>
          <w:bCs/>
          <w:sz w:val="22"/>
          <w:szCs w:val="22"/>
        </w:rPr>
        <w:t>¹</w:t>
      </w:r>
      <w:r w:rsidRPr="001C3484">
        <w:rPr>
          <w:rFonts w:ascii="Arial" w:hAnsi="Arial" w:cs="Arial"/>
          <w:sz w:val="22"/>
          <w:szCs w:val="22"/>
        </w:rPr>
        <w:t xml:space="preserve"> have been reported to increase leaf yield from approximately </w:t>
      </w:r>
      <w:r w:rsidRPr="001C3484">
        <w:rPr>
          <w:rFonts w:ascii="Arial" w:hAnsi="Arial" w:cs="Arial"/>
          <w:b/>
          <w:bCs/>
          <w:sz w:val="22"/>
          <w:szCs w:val="22"/>
        </w:rPr>
        <w:t>560 g plant</w:t>
      </w:r>
      <w:r w:rsidRPr="001C3484">
        <w:rPr>
          <w:rFonts w:ascii="Cambria Math" w:hAnsi="Cambria Math" w:cs="Cambria Math"/>
          <w:b/>
          <w:bCs/>
          <w:sz w:val="22"/>
          <w:szCs w:val="22"/>
        </w:rPr>
        <w:t>⁻</w:t>
      </w:r>
      <w:r w:rsidRPr="001C3484">
        <w:rPr>
          <w:rFonts w:ascii="Arial" w:hAnsi="Arial" w:cs="Arial"/>
          <w:b/>
          <w:bCs/>
          <w:sz w:val="22"/>
          <w:szCs w:val="22"/>
        </w:rPr>
        <w:t>¹ to more than 700 g plant</w:t>
      </w:r>
      <w:r w:rsidRPr="001C3484">
        <w:rPr>
          <w:rFonts w:ascii="Cambria Math" w:hAnsi="Cambria Math" w:cs="Cambria Math"/>
          <w:b/>
          <w:bCs/>
          <w:sz w:val="22"/>
          <w:szCs w:val="22"/>
        </w:rPr>
        <w:t>⁻</w:t>
      </w:r>
      <w:r w:rsidRPr="001C3484">
        <w:rPr>
          <w:rFonts w:ascii="Arial" w:hAnsi="Arial" w:cs="Arial"/>
          <w:b/>
          <w:bCs/>
          <w:sz w:val="22"/>
          <w:szCs w:val="22"/>
        </w:rPr>
        <w:t>¹</w:t>
      </w:r>
      <w:r w:rsidRPr="001C3484">
        <w:rPr>
          <w:rFonts w:ascii="Arial" w:hAnsi="Arial" w:cs="Arial"/>
          <w:sz w:val="22"/>
          <w:szCs w:val="22"/>
        </w:rPr>
        <w:t xml:space="preserve"> under experimental conditions.</w:t>
      </w:r>
    </w:p>
    <w:p w14:paraId="09D53D76"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 xml:space="preserve">• Integration of plant growth regulators with micronutrient sprays produces </w:t>
      </w:r>
      <w:r w:rsidRPr="001C3484">
        <w:rPr>
          <w:rFonts w:ascii="Arial" w:hAnsi="Arial" w:cs="Arial"/>
          <w:b/>
          <w:bCs/>
          <w:sz w:val="22"/>
          <w:szCs w:val="22"/>
        </w:rPr>
        <w:t>10–25% higher leaf yield</w:t>
      </w:r>
      <w:r w:rsidRPr="001C3484">
        <w:rPr>
          <w:rFonts w:ascii="Arial" w:hAnsi="Arial" w:cs="Arial"/>
          <w:sz w:val="22"/>
          <w:szCs w:val="22"/>
        </w:rPr>
        <w:t xml:space="preserve"> and improved soluble protein content compared with conventional fertilization practices alone.</w:t>
      </w:r>
    </w:p>
    <w:p w14:paraId="54A39263" w14:textId="77777777" w:rsidR="001C3484" w:rsidRPr="001C3484" w:rsidRDefault="001C3484" w:rsidP="001C3484">
      <w:pPr>
        <w:tabs>
          <w:tab w:val="left" w:pos="0"/>
        </w:tabs>
        <w:spacing w:line="360" w:lineRule="auto"/>
        <w:ind w:firstLine="720"/>
        <w:jc w:val="both"/>
        <w:rPr>
          <w:rFonts w:ascii="Arial" w:hAnsi="Arial" w:cs="Arial"/>
          <w:sz w:val="22"/>
          <w:szCs w:val="22"/>
        </w:rPr>
      </w:pPr>
      <w:r w:rsidRPr="001C3484">
        <w:rPr>
          <w:rFonts w:ascii="Arial" w:hAnsi="Arial" w:cs="Arial"/>
          <w:sz w:val="22"/>
          <w:szCs w:val="22"/>
        </w:rPr>
        <w:t>• These foliar treatments should be used along with balanced basal fertilization and proper irrigation management to achieve consistent improvements in mulberry productivity and silkworm performance.</w:t>
      </w:r>
    </w:p>
    <w:p w14:paraId="5F1C5428" w14:textId="77777777" w:rsidR="001C3484" w:rsidRPr="00694F10" w:rsidRDefault="001C3484" w:rsidP="00694F10">
      <w:pPr>
        <w:tabs>
          <w:tab w:val="left" w:pos="0"/>
        </w:tabs>
        <w:spacing w:line="360" w:lineRule="auto"/>
        <w:ind w:firstLine="720"/>
        <w:jc w:val="both"/>
        <w:rPr>
          <w:rFonts w:ascii="Arial" w:hAnsi="Arial" w:cs="Arial"/>
          <w:sz w:val="22"/>
          <w:szCs w:val="22"/>
        </w:rPr>
      </w:pPr>
    </w:p>
    <w:p w14:paraId="7CED2929" w14:textId="7A39DD56" w:rsidR="00B01FCD" w:rsidRPr="00694F10" w:rsidRDefault="001C3484" w:rsidP="00694F10">
      <w:pPr>
        <w:pStyle w:val="ConcHead"/>
        <w:tabs>
          <w:tab w:val="left" w:pos="0"/>
        </w:tabs>
        <w:spacing w:after="0" w:line="360" w:lineRule="auto"/>
        <w:jc w:val="both"/>
        <w:rPr>
          <w:rFonts w:ascii="Arial" w:hAnsi="Arial" w:cs="Arial"/>
          <w:szCs w:val="22"/>
        </w:rPr>
      </w:pPr>
      <w:r>
        <w:rPr>
          <w:rFonts w:ascii="Arial" w:hAnsi="Arial" w:cs="Arial"/>
          <w:szCs w:val="22"/>
        </w:rPr>
        <w:t>6</w:t>
      </w:r>
      <w:r w:rsidR="00000F8F" w:rsidRPr="00694F10">
        <w:rPr>
          <w:rFonts w:ascii="Arial" w:hAnsi="Arial" w:cs="Arial"/>
          <w:szCs w:val="22"/>
        </w:rPr>
        <w:t xml:space="preserve">. </w:t>
      </w:r>
      <w:r w:rsidR="00B01FCD" w:rsidRPr="00694F10">
        <w:rPr>
          <w:rFonts w:ascii="Arial" w:hAnsi="Arial" w:cs="Arial"/>
          <w:szCs w:val="22"/>
        </w:rPr>
        <w:t>Conclusion</w:t>
      </w:r>
    </w:p>
    <w:p w14:paraId="31511364" w14:textId="77777777" w:rsidR="00790ADA" w:rsidRPr="00694F10" w:rsidRDefault="00790ADA" w:rsidP="00694F10">
      <w:pPr>
        <w:pStyle w:val="ConcHead"/>
        <w:tabs>
          <w:tab w:val="left" w:pos="0"/>
        </w:tabs>
        <w:spacing w:after="0" w:line="360" w:lineRule="auto"/>
        <w:jc w:val="both"/>
        <w:rPr>
          <w:rFonts w:ascii="Arial" w:hAnsi="Arial" w:cs="Arial"/>
          <w:szCs w:val="22"/>
        </w:rPr>
      </w:pPr>
    </w:p>
    <w:p w14:paraId="225C6CBE" w14:textId="6F33CC3B" w:rsidR="006C09E4" w:rsidRPr="006C09E4" w:rsidRDefault="006C09E4" w:rsidP="006C09E4">
      <w:pPr>
        <w:pStyle w:val="AcknHead"/>
        <w:tabs>
          <w:tab w:val="left" w:pos="0"/>
        </w:tabs>
        <w:spacing w:after="0" w:line="360" w:lineRule="auto"/>
        <w:jc w:val="both"/>
        <w:rPr>
          <w:rFonts w:ascii="Arial" w:hAnsi="Arial" w:cs="Arial"/>
          <w:szCs w:val="22"/>
        </w:rPr>
      </w:pPr>
      <w:r w:rsidRPr="006C09E4">
        <w:rPr>
          <w:rFonts w:ascii="Arial" w:hAnsi="Arial" w:cs="Arial"/>
          <w:b w:val="0"/>
          <w:bCs/>
          <w:caps w:val="0"/>
          <w:szCs w:val="22"/>
        </w:rPr>
        <w:t>The application of plant growth regulators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xml:space="preserve">) and micronutrients has emerged as an effective strategy to enhance mulberry productivity and leaf quality. Numerous studies indicate that foliar sprays containing hormones such as triacontanol, auxins, and gibberellins significantly improve vegetative growth and leaf biomass. </w:t>
      </w:r>
      <w:r w:rsidRPr="006C09E4">
        <w:rPr>
          <w:rFonts w:ascii="Arial" w:hAnsi="Arial" w:cs="Arial"/>
          <w:b w:val="0"/>
          <w:bCs/>
          <w:caps w:val="0"/>
          <w:szCs w:val="22"/>
        </w:rPr>
        <w:lastRenderedPageBreak/>
        <w:t xml:space="preserve">Micronutrients including zinc, iron, manganese, boron, and magnesium play an important role in improving photosynthesis, enzyme activity, and nutrient metabolism in mulberry plants. The combined use of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xml:space="preserve"> and micronutrients has shown synergistic effects, leading to higher leaf yield and improved biochemical composition of mulberry leaves. Enhanced leaf quality directly influences the growth, health, and cocoon productivity of the silkworm </w:t>
      </w:r>
      <w:r w:rsidRPr="006C09E4">
        <w:rPr>
          <w:rFonts w:ascii="Arial" w:hAnsi="Arial" w:cs="Arial"/>
          <w:b w:val="0"/>
          <w:bCs/>
          <w:i/>
          <w:iCs/>
          <w:caps w:val="0"/>
          <w:szCs w:val="22"/>
        </w:rPr>
        <w:t>bombyx mori</w:t>
      </w:r>
      <w:r w:rsidRPr="006C09E4">
        <w:rPr>
          <w:rFonts w:ascii="Arial" w:hAnsi="Arial" w:cs="Arial"/>
          <w:b w:val="0"/>
          <w:bCs/>
          <w:caps w:val="0"/>
          <w:szCs w:val="22"/>
        </w:rPr>
        <w:t xml:space="preserve">. Commercial formulations such as </w:t>
      </w:r>
      <w:proofErr w:type="spellStart"/>
      <w:r w:rsidRPr="006C09E4">
        <w:rPr>
          <w:rFonts w:ascii="Arial" w:hAnsi="Arial" w:cs="Arial"/>
          <w:b w:val="0"/>
          <w:bCs/>
          <w:caps w:val="0"/>
          <w:szCs w:val="22"/>
        </w:rPr>
        <w:t>seriboost</w:t>
      </w:r>
      <w:proofErr w:type="spellEnd"/>
      <w:r w:rsidRPr="006C09E4">
        <w:rPr>
          <w:rFonts w:ascii="Arial" w:hAnsi="Arial" w:cs="Arial"/>
          <w:b w:val="0"/>
          <w:bCs/>
          <w:caps w:val="0"/>
          <w:szCs w:val="22"/>
        </w:rPr>
        <w:t xml:space="preserve"> and other micronutrient mixtures have demonstrated promising results under field conditions. Recent advancements such as nano-fertilizers and multi-nutrient foliar sprays further contribute to improving nutrient use efficiency and plant performance. These technologies also support sustainable sericulture by reducing excessive chemical fertilizer dependence. However, variability in response among mulberry varieties and environmental conditions indicates the need for location-specific recommendations. Further research is required to standardize optimal doses and application schedules of these foliar formulations. Integrating </w:t>
      </w:r>
      <w:proofErr w:type="spellStart"/>
      <w:r w:rsidRPr="006C09E4">
        <w:rPr>
          <w:rFonts w:ascii="Arial" w:hAnsi="Arial" w:cs="Arial"/>
          <w:b w:val="0"/>
          <w:bCs/>
          <w:caps w:val="0"/>
          <w:szCs w:val="22"/>
        </w:rPr>
        <w:t>pgrs</w:t>
      </w:r>
      <w:proofErr w:type="spellEnd"/>
      <w:r w:rsidRPr="006C09E4">
        <w:rPr>
          <w:rFonts w:ascii="Arial" w:hAnsi="Arial" w:cs="Arial"/>
          <w:b w:val="0"/>
          <w:bCs/>
          <w:caps w:val="0"/>
          <w:szCs w:val="22"/>
        </w:rPr>
        <w:t>, micronutrients, and advanced nutrient technologies can substantially improve mulberry cultivation. Overall, such integrated nutrient management approaches will strengthen mulberry productivity, enhance silkworm performance, and contribute to sustainable growth of the sericulture industry</w:t>
      </w:r>
      <w:r w:rsidRPr="006C09E4">
        <w:rPr>
          <w:rFonts w:ascii="Arial" w:hAnsi="Arial" w:cs="Arial"/>
          <w:szCs w:val="22"/>
        </w:rPr>
        <w:t>.</w:t>
      </w:r>
    </w:p>
    <w:p w14:paraId="20493C5F" w14:textId="77777777" w:rsidR="009E3193" w:rsidRPr="00E41B7D" w:rsidRDefault="009E3193" w:rsidP="009E3193">
      <w:pPr>
        <w:pStyle w:val="NoSpacing"/>
        <w:rPr>
          <w:rFonts w:ascii="Arial" w:hAnsi="Arial" w:cs="Arial"/>
        </w:rPr>
      </w:pPr>
      <w:bookmarkStart w:id="0" w:name="_Hlk219284361"/>
      <w:bookmarkStart w:id="1" w:name="_Hlk198031404"/>
      <w:r w:rsidRPr="00E41B7D">
        <w:rPr>
          <w:rFonts w:ascii="Arial" w:hAnsi="Arial" w:cs="Arial"/>
        </w:rPr>
        <w:t>Disclaimer (Artificial intelligence)</w:t>
      </w:r>
    </w:p>
    <w:p w14:paraId="349DC295" w14:textId="77777777" w:rsidR="009E3193" w:rsidRPr="00E41B7D" w:rsidRDefault="009E3193" w:rsidP="009E3193">
      <w:pPr>
        <w:pStyle w:val="NoSpacing"/>
        <w:rPr>
          <w:rFonts w:ascii="Arial" w:hAnsi="Arial" w:cs="Arial"/>
        </w:rPr>
      </w:pPr>
    </w:p>
    <w:p w14:paraId="233E9F34" w14:textId="77777777" w:rsidR="009E3193" w:rsidRPr="00E41B7D" w:rsidRDefault="009E3193" w:rsidP="009E3193">
      <w:pPr>
        <w:pStyle w:val="NoSpacing"/>
        <w:rPr>
          <w:rFonts w:ascii="Arial" w:hAnsi="Arial" w:cs="Arial"/>
        </w:rPr>
      </w:pPr>
      <w:r w:rsidRPr="00E41B7D">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E41B7D">
        <w:rPr>
          <w:rFonts w:ascii="Arial" w:hAnsi="Arial" w:cs="Arial"/>
        </w:rPr>
        <w:t xml:space="preserve">. </w:t>
      </w:r>
    </w:p>
    <w:bookmarkEnd w:id="1"/>
    <w:p w14:paraId="52FC6A6E" w14:textId="77777777" w:rsidR="00A90B91" w:rsidRPr="00694F10" w:rsidRDefault="00A90B91" w:rsidP="00694F10">
      <w:pPr>
        <w:pStyle w:val="AcknHead"/>
        <w:tabs>
          <w:tab w:val="left" w:pos="0"/>
        </w:tabs>
        <w:spacing w:after="0" w:line="360" w:lineRule="auto"/>
        <w:jc w:val="both"/>
        <w:rPr>
          <w:rFonts w:ascii="Arial" w:hAnsi="Arial" w:cs="Arial"/>
          <w:b w:val="0"/>
          <w:caps w:val="0"/>
          <w:szCs w:val="22"/>
        </w:rPr>
      </w:pPr>
    </w:p>
    <w:p w14:paraId="2F20771B" w14:textId="77777777" w:rsidR="005C784C" w:rsidRPr="00694F10" w:rsidRDefault="005C784C" w:rsidP="00694F10">
      <w:pPr>
        <w:pStyle w:val="ReferHead"/>
        <w:tabs>
          <w:tab w:val="left" w:pos="0"/>
        </w:tabs>
        <w:spacing w:after="0" w:line="360" w:lineRule="auto"/>
        <w:jc w:val="both"/>
        <w:rPr>
          <w:rFonts w:ascii="Arial" w:hAnsi="Arial" w:cs="Arial"/>
          <w:b w:val="0"/>
          <w:caps w:val="0"/>
          <w:szCs w:val="22"/>
        </w:rPr>
      </w:pPr>
    </w:p>
    <w:p w14:paraId="7BE5C4CD" w14:textId="77777777" w:rsidR="00B01FCD" w:rsidRPr="00694F10" w:rsidRDefault="00B01FCD" w:rsidP="00694F10">
      <w:pPr>
        <w:pStyle w:val="ReferHead"/>
        <w:tabs>
          <w:tab w:val="left" w:pos="0"/>
        </w:tabs>
        <w:spacing w:after="0" w:line="360" w:lineRule="auto"/>
        <w:jc w:val="both"/>
        <w:rPr>
          <w:rFonts w:ascii="Arial" w:hAnsi="Arial" w:cs="Arial"/>
          <w:szCs w:val="22"/>
        </w:rPr>
      </w:pPr>
      <w:r w:rsidRPr="00694F10">
        <w:rPr>
          <w:rFonts w:ascii="Arial" w:hAnsi="Arial" w:cs="Arial"/>
          <w:szCs w:val="22"/>
        </w:rPr>
        <w:t>References</w:t>
      </w:r>
    </w:p>
    <w:p w14:paraId="163E6E69" w14:textId="77777777" w:rsidR="00790ADA" w:rsidRPr="00694F10" w:rsidRDefault="00790ADA" w:rsidP="00694F10">
      <w:pPr>
        <w:pStyle w:val="Body"/>
        <w:tabs>
          <w:tab w:val="left" w:pos="0"/>
        </w:tabs>
        <w:spacing w:after="0" w:line="360" w:lineRule="auto"/>
        <w:rPr>
          <w:rFonts w:ascii="Arial" w:hAnsi="Arial" w:cs="Arial"/>
          <w:sz w:val="22"/>
          <w:szCs w:val="22"/>
        </w:rPr>
      </w:pPr>
    </w:p>
    <w:p w14:paraId="570F6B06" w14:textId="77777777" w:rsidR="00694F10" w:rsidRPr="00694F10" w:rsidRDefault="00694F10" w:rsidP="00694F10">
      <w:pPr>
        <w:spacing w:line="360" w:lineRule="auto"/>
        <w:ind w:left="720" w:hanging="720"/>
        <w:jc w:val="both"/>
        <w:rPr>
          <w:rFonts w:ascii="Arial" w:hAnsi="Arial" w:cs="Arial"/>
          <w:sz w:val="22"/>
          <w:szCs w:val="22"/>
        </w:rPr>
      </w:pPr>
      <w:proofErr w:type="spellStart"/>
      <w:r w:rsidRPr="00694F10">
        <w:rPr>
          <w:rFonts w:ascii="Arial" w:hAnsi="Arial" w:cs="Arial"/>
          <w:sz w:val="22"/>
          <w:szCs w:val="22"/>
        </w:rPr>
        <w:t>Ankalgi</w:t>
      </w:r>
      <w:proofErr w:type="spellEnd"/>
      <w:r w:rsidRPr="00694F10">
        <w:rPr>
          <w:rFonts w:ascii="Arial" w:hAnsi="Arial" w:cs="Arial"/>
          <w:sz w:val="22"/>
          <w:szCs w:val="22"/>
        </w:rPr>
        <w:t xml:space="preserve">, R.F. and Ansari, M.F. (1992). Effect of triacontanol and Fasal on the growth and yield of mulberry and silkworm. </w:t>
      </w:r>
      <w:proofErr w:type="spellStart"/>
      <w:r w:rsidRPr="00694F10">
        <w:rPr>
          <w:rFonts w:ascii="Arial" w:hAnsi="Arial" w:cs="Arial"/>
          <w:i/>
          <w:iCs/>
          <w:sz w:val="22"/>
          <w:szCs w:val="22"/>
        </w:rPr>
        <w:t>Sericologia</w:t>
      </w:r>
      <w:proofErr w:type="spellEnd"/>
      <w:r w:rsidRPr="00694F10">
        <w:rPr>
          <w:rFonts w:ascii="Arial" w:hAnsi="Arial" w:cs="Arial"/>
          <w:sz w:val="22"/>
          <w:szCs w:val="22"/>
        </w:rPr>
        <w:t>, 32: 405–410.</w:t>
      </w:r>
    </w:p>
    <w:p w14:paraId="1012E18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Choudhury, P., Ashoka, J., Hadimani, D.K., Sreenivas, A.G. and </w:t>
      </w:r>
      <w:proofErr w:type="spellStart"/>
      <w:r w:rsidRPr="00694F10">
        <w:rPr>
          <w:rFonts w:ascii="Arial" w:hAnsi="Arial" w:cs="Arial"/>
          <w:sz w:val="22"/>
          <w:szCs w:val="22"/>
        </w:rPr>
        <w:t>Sharanagouda</w:t>
      </w:r>
      <w:proofErr w:type="spellEnd"/>
      <w:r w:rsidRPr="00694F10">
        <w:rPr>
          <w:rFonts w:ascii="Arial" w:hAnsi="Arial" w:cs="Arial"/>
          <w:sz w:val="22"/>
          <w:szCs w:val="22"/>
        </w:rPr>
        <w:t xml:space="preserve">, H. (2019). Effect of nano micronutrients supplementation to mulberry for growth, yield and quality parameters. </w:t>
      </w:r>
      <w:r w:rsidRPr="00694F10">
        <w:rPr>
          <w:rFonts w:ascii="Arial" w:hAnsi="Arial" w:cs="Arial"/>
          <w:i/>
          <w:iCs/>
          <w:sz w:val="22"/>
          <w:szCs w:val="22"/>
        </w:rPr>
        <w:t>International Journal of Chemical Studies</w:t>
      </w:r>
      <w:r w:rsidRPr="00694F10">
        <w:rPr>
          <w:rFonts w:ascii="Arial" w:hAnsi="Arial" w:cs="Arial"/>
          <w:sz w:val="22"/>
          <w:szCs w:val="22"/>
        </w:rPr>
        <w:t>, 7(6): 1187–1192.</w:t>
      </w:r>
    </w:p>
    <w:p w14:paraId="56ABAE96" w14:textId="0AD019E4"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lastRenderedPageBreak/>
        <w:t xml:space="preserve"> Dandin, S.B., Jayaswal, J. and Giridhar, K. (2000). </w:t>
      </w:r>
      <w:r w:rsidRPr="00694F10">
        <w:rPr>
          <w:rFonts w:ascii="Arial" w:hAnsi="Arial" w:cs="Arial"/>
          <w:i/>
          <w:iCs/>
          <w:sz w:val="22"/>
          <w:szCs w:val="22"/>
        </w:rPr>
        <w:t>Handbook of Sericulture Technologies.</w:t>
      </w:r>
      <w:r w:rsidRPr="00694F10">
        <w:rPr>
          <w:rFonts w:ascii="Arial" w:hAnsi="Arial" w:cs="Arial"/>
          <w:sz w:val="22"/>
          <w:szCs w:val="22"/>
        </w:rPr>
        <w:t xml:space="preserve"> Central Silk Board, Bangalore, India.</w:t>
      </w:r>
    </w:p>
    <w:p w14:paraId="13559C2B"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Geetha, T., Ramamoorthy, K. and Murugan, N. (2016). Effect of foliar application of micronutrients on mulberry leaf yield and silkworm economic parameters. </w:t>
      </w:r>
      <w:r w:rsidRPr="00694F10">
        <w:rPr>
          <w:rFonts w:ascii="Arial" w:hAnsi="Arial" w:cs="Arial"/>
          <w:i/>
          <w:iCs/>
          <w:sz w:val="22"/>
          <w:szCs w:val="22"/>
        </w:rPr>
        <w:t>Life Sciences International Research Journal</w:t>
      </w:r>
      <w:r w:rsidRPr="00694F10">
        <w:rPr>
          <w:rFonts w:ascii="Arial" w:hAnsi="Arial" w:cs="Arial"/>
          <w:sz w:val="22"/>
          <w:szCs w:val="22"/>
        </w:rPr>
        <w:t>, 3(1): 23–26.</w:t>
      </w:r>
    </w:p>
    <w:p w14:paraId="5654D1C5"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Geetha, T., Ramamoorthy, R. and Murugan, N. (2017). Effect of foliar spray of micronutrients applied individually and in combination on mulberry leaf production, cocoon productivity and profitability. In: </w:t>
      </w:r>
      <w:r w:rsidRPr="00694F10">
        <w:rPr>
          <w:rFonts w:ascii="Arial" w:hAnsi="Arial" w:cs="Arial"/>
          <w:i/>
          <w:iCs/>
          <w:sz w:val="22"/>
          <w:szCs w:val="22"/>
        </w:rPr>
        <w:t>Statistical Approaches on Multidisciplinary Research.</w:t>
      </w:r>
      <w:r w:rsidRPr="00694F10">
        <w:rPr>
          <w:rFonts w:ascii="Arial" w:hAnsi="Arial" w:cs="Arial"/>
          <w:sz w:val="22"/>
          <w:szCs w:val="22"/>
        </w:rPr>
        <w:t xml:space="preserve"> </w:t>
      </w:r>
      <w:proofErr w:type="spellStart"/>
      <w:r w:rsidRPr="00694F10">
        <w:rPr>
          <w:rFonts w:ascii="Arial" w:hAnsi="Arial" w:cs="Arial"/>
          <w:sz w:val="22"/>
          <w:szCs w:val="22"/>
        </w:rPr>
        <w:t>Surragh</w:t>
      </w:r>
      <w:proofErr w:type="spellEnd"/>
      <w:r w:rsidRPr="00694F10">
        <w:rPr>
          <w:rFonts w:ascii="Arial" w:hAnsi="Arial" w:cs="Arial"/>
          <w:sz w:val="22"/>
          <w:szCs w:val="22"/>
        </w:rPr>
        <w:t xml:space="preserve"> Publishers, India, pp. 64–70.</w:t>
      </w:r>
    </w:p>
    <w:p w14:paraId="0F005C98"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Geetha, T. and Murugan, N. (2017). Plant growth regulators in mulberry. </w:t>
      </w:r>
      <w:r w:rsidRPr="00694F10">
        <w:rPr>
          <w:rFonts w:ascii="Arial" w:hAnsi="Arial" w:cs="Arial"/>
          <w:i/>
          <w:iCs/>
          <w:sz w:val="22"/>
          <w:szCs w:val="22"/>
        </w:rPr>
        <w:t>Annual Research and Review in Biology</w:t>
      </w:r>
      <w:r w:rsidRPr="00694F10">
        <w:rPr>
          <w:rFonts w:ascii="Arial" w:hAnsi="Arial" w:cs="Arial"/>
          <w:sz w:val="22"/>
          <w:szCs w:val="22"/>
        </w:rPr>
        <w:t>, 13: 1–11.</w:t>
      </w:r>
    </w:p>
    <w:p w14:paraId="1BECE785"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Husen, A., Iqbal, M., Siddiqui, S.N., Sohrab, S.S. and Masresha, G. (2015). Effect of indole-3-butyric acid on clonal propagation of mulberry stem cuttings. </w:t>
      </w:r>
      <w:r w:rsidRPr="00694F10">
        <w:rPr>
          <w:rFonts w:ascii="Arial" w:hAnsi="Arial" w:cs="Arial"/>
          <w:i/>
          <w:iCs/>
          <w:sz w:val="22"/>
          <w:szCs w:val="22"/>
        </w:rPr>
        <w:t>Proceedings of the National Academy of Sciences, India Section B</w:t>
      </w:r>
      <w:r w:rsidRPr="00694F10">
        <w:rPr>
          <w:rFonts w:ascii="Arial" w:hAnsi="Arial" w:cs="Arial"/>
          <w:sz w:val="22"/>
          <w:szCs w:val="22"/>
        </w:rPr>
        <w:t>, 87(1): 161–166.</w:t>
      </w:r>
    </w:p>
    <w:p w14:paraId="6A7AAAE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Krishnaswami, S., Kumararaj, S., Vijayaraghavan, K. and </w:t>
      </w:r>
      <w:proofErr w:type="spellStart"/>
      <w:r w:rsidRPr="00694F10">
        <w:rPr>
          <w:rFonts w:ascii="Arial" w:hAnsi="Arial" w:cs="Arial"/>
          <w:sz w:val="22"/>
          <w:szCs w:val="22"/>
        </w:rPr>
        <w:t>Kasiviswanathan</w:t>
      </w:r>
      <w:proofErr w:type="spellEnd"/>
      <w:r w:rsidRPr="00694F10">
        <w:rPr>
          <w:rFonts w:ascii="Arial" w:hAnsi="Arial" w:cs="Arial"/>
          <w:sz w:val="22"/>
          <w:szCs w:val="22"/>
        </w:rPr>
        <w:t xml:space="preserve">, K. (1971). Silkworm feeding trials for evaluating quality of mulberry leaves. </w:t>
      </w:r>
      <w:r w:rsidRPr="00694F10">
        <w:rPr>
          <w:rFonts w:ascii="Arial" w:hAnsi="Arial" w:cs="Arial"/>
          <w:i/>
          <w:iCs/>
          <w:sz w:val="22"/>
          <w:szCs w:val="22"/>
        </w:rPr>
        <w:t>Indian Journal of Sericulture</w:t>
      </w:r>
      <w:r w:rsidRPr="00694F10">
        <w:rPr>
          <w:rFonts w:ascii="Arial" w:hAnsi="Arial" w:cs="Arial"/>
          <w:sz w:val="22"/>
          <w:szCs w:val="22"/>
        </w:rPr>
        <w:t>, 10(2): 79–99.</w:t>
      </w:r>
    </w:p>
    <w:p w14:paraId="7EFBA56D"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Lokanath, R. and Shivashankar, K. (1981). Effect of foliar application of micronutrients and magnesium on growth, yield and quality of mulberry (Morus alba L.). </w:t>
      </w:r>
      <w:r w:rsidRPr="00694F10">
        <w:rPr>
          <w:rFonts w:ascii="Arial" w:hAnsi="Arial" w:cs="Arial"/>
          <w:i/>
          <w:iCs/>
          <w:sz w:val="22"/>
          <w:szCs w:val="22"/>
        </w:rPr>
        <w:t>Indian Journal of Sericulture</w:t>
      </w:r>
      <w:r w:rsidRPr="00694F10">
        <w:rPr>
          <w:rFonts w:ascii="Arial" w:hAnsi="Arial" w:cs="Arial"/>
          <w:sz w:val="22"/>
          <w:szCs w:val="22"/>
        </w:rPr>
        <w:t>, 25(1): 1–5.</w:t>
      </w:r>
    </w:p>
    <w:p w14:paraId="17063F4F"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Mir, A.H., Mir, M.R., Haq, S.A., Sharma, R.K. and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(2024). Efficacy of </w:t>
      </w:r>
      <w:proofErr w:type="spellStart"/>
      <w:r w:rsidRPr="00694F10">
        <w:rPr>
          <w:rFonts w:ascii="Arial" w:hAnsi="Arial" w:cs="Arial"/>
          <w:sz w:val="22"/>
          <w:szCs w:val="22"/>
        </w:rPr>
        <w:t>multinutrient</w:t>
      </w:r>
      <w:proofErr w:type="spellEnd"/>
      <w:r w:rsidRPr="00694F10">
        <w:rPr>
          <w:rFonts w:ascii="Arial" w:hAnsi="Arial" w:cs="Arial"/>
          <w:sz w:val="22"/>
          <w:szCs w:val="22"/>
        </w:rPr>
        <w:t xml:space="preserve"> foliar spray on mulberry leaf yield, quality and commercial characters of silkworm (Bombyx mori L.). </w:t>
      </w:r>
      <w:r w:rsidRPr="00694F10">
        <w:rPr>
          <w:rFonts w:ascii="Arial" w:hAnsi="Arial" w:cs="Arial"/>
          <w:i/>
          <w:iCs/>
          <w:sz w:val="22"/>
          <w:szCs w:val="22"/>
        </w:rPr>
        <w:t>International Journal of Veterinary Science and Animal Husbandry</w:t>
      </w:r>
      <w:r w:rsidRPr="00694F10">
        <w:rPr>
          <w:rFonts w:ascii="Arial" w:hAnsi="Arial" w:cs="Arial"/>
          <w:sz w:val="22"/>
          <w:szCs w:val="22"/>
        </w:rPr>
        <w:t>, 9(3): 424–428.</w:t>
      </w:r>
    </w:p>
    <w:p w14:paraId="4C7BFFA3" w14:textId="39C9C9FC"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Miyashita, Y. (1986). Report on mulberry cultivation and training methods suitable to bivoltine rearing in Karnataka. </w:t>
      </w:r>
      <w:r w:rsidRPr="00694F10">
        <w:rPr>
          <w:rFonts w:ascii="Arial" w:hAnsi="Arial" w:cs="Arial"/>
          <w:i/>
          <w:iCs/>
          <w:sz w:val="22"/>
          <w:szCs w:val="22"/>
        </w:rPr>
        <w:t>Report</w:t>
      </w:r>
      <w:r w:rsidRPr="00694F10">
        <w:rPr>
          <w:rFonts w:ascii="Arial" w:hAnsi="Arial" w:cs="Arial"/>
          <w:sz w:val="22"/>
          <w:szCs w:val="22"/>
        </w:rPr>
        <w:t>, Govt. of Japan/India Collaboration.</w:t>
      </w:r>
    </w:p>
    <w:p w14:paraId="4C0ADB38"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Nazar, A., Kalarani, M.K., Jeyakumar, P., Kalaiselvi, T., Arulmozhiselvan, K. and Manimekalai, S. (2019). Effect of micronutrients and biofertilizers on growth and yield of mulberry and silkworm. </w:t>
      </w:r>
      <w:r w:rsidRPr="00694F10">
        <w:rPr>
          <w:rFonts w:ascii="Arial" w:hAnsi="Arial" w:cs="Arial"/>
          <w:i/>
          <w:iCs/>
          <w:sz w:val="22"/>
          <w:szCs w:val="22"/>
        </w:rPr>
        <w:t>Madras Agricultural Journal</w:t>
      </w:r>
      <w:r w:rsidRPr="00694F10">
        <w:rPr>
          <w:rFonts w:ascii="Arial" w:hAnsi="Arial" w:cs="Arial"/>
          <w:sz w:val="22"/>
          <w:szCs w:val="22"/>
        </w:rPr>
        <w:t>, 106(1–3): 69–73.</w:t>
      </w:r>
    </w:p>
    <w:p w14:paraId="352EC184"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lastRenderedPageBreak/>
        <w:t xml:space="preserve">Purohit, A.K. and Pavankumar, T. (1996). Nutritional quality of mulberry leaves and its influence on cocoon yield. </w:t>
      </w:r>
      <w:r w:rsidRPr="00694F10">
        <w:rPr>
          <w:rFonts w:ascii="Arial" w:hAnsi="Arial" w:cs="Arial"/>
          <w:i/>
          <w:iCs/>
          <w:sz w:val="22"/>
          <w:szCs w:val="22"/>
        </w:rPr>
        <w:t>Report</w:t>
      </w:r>
      <w:r w:rsidRPr="00694F10">
        <w:rPr>
          <w:rFonts w:ascii="Arial" w:hAnsi="Arial" w:cs="Arial"/>
          <w:sz w:val="22"/>
          <w:szCs w:val="22"/>
        </w:rPr>
        <w:t xml:space="preserve"> / CABI abstract.</w:t>
      </w:r>
    </w:p>
    <w:p w14:paraId="5DC2B5B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Qaiyyum, M.H. and Bari, M.A. (1990). Foliar nutrition in mulberry. </w:t>
      </w:r>
      <w:r w:rsidRPr="00694F10">
        <w:rPr>
          <w:rFonts w:ascii="Arial" w:hAnsi="Arial" w:cs="Arial"/>
          <w:i/>
          <w:iCs/>
          <w:sz w:val="22"/>
          <w:szCs w:val="22"/>
        </w:rPr>
        <w:t>Indian Silk</w:t>
      </w:r>
      <w:r w:rsidRPr="00694F10">
        <w:rPr>
          <w:rFonts w:ascii="Arial" w:hAnsi="Arial" w:cs="Arial"/>
          <w:sz w:val="22"/>
          <w:szCs w:val="22"/>
        </w:rPr>
        <w:t>, 28(1): 26–28.</w:t>
      </w:r>
    </w:p>
    <w:p w14:paraId="11C27312"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Ramesh, M., Arulmozhiselvan, K. and Balasubramanian, A. (2012). Effect of triacontanol on the biochemical composition of mulberry leaves and its impact on silkworm performance. </w:t>
      </w:r>
      <w:r w:rsidRPr="00694F10">
        <w:rPr>
          <w:rFonts w:ascii="Arial" w:hAnsi="Arial" w:cs="Arial"/>
          <w:i/>
          <w:iCs/>
          <w:sz w:val="22"/>
          <w:szCs w:val="22"/>
        </w:rPr>
        <w:t>Journal of Sericultural Science</w:t>
      </w:r>
      <w:r w:rsidRPr="00694F10">
        <w:rPr>
          <w:rFonts w:ascii="Arial" w:hAnsi="Arial" w:cs="Arial"/>
          <w:sz w:val="22"/>
          <w:szCs w:val="22"/>
        </w:rPr>
        <w:t>, 48(1): 45–52.</w:t>
      </w:r>
    </w:p>
    <w:p w14:paraId="6BC52C7D"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Raje Gowda, M., Sundar, P. and Raghu, B.V. (2000). Foliar spray of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on mulberry and its impact on cocoon production. In: </w:t>
      </w:r>
      <w:r w:rsidRPr="00694F10">
        <w:rPr>
          <w:rFonts w:ascii="Arial" w:hAnsi="Arial" w:cs="Arial"/>
          <w:i/>
          <w:iCs/>
          <w:sz w:val="22"/>
          <w:szCs w:val="22"/>
        </w:rPr>
        <w:t>National Seminar on Tropical Sericulture,</w:t>
      </w:r>
      <w:r w:rsidRPr="00694F10">
        <w:rPr>
          <w:rFonts w:ascii="Arial" w:hAnsi="Arial" w:cs="Arial"/>
          <w:sz w:val="22"/>
          <w:szCs w:val="22"/>
        </w:rPr>
        <w:t xml:space="preserve"> UAS Bangalore, pp. 163–167.</w:t>
      </w:r>
    </w:p>
    <w:p w14:paraId="0648A509"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w:t>
      </w:r>
      <w:proofErr w:type="spellStart"/>
      <w:r w:rsidRPr="00694F10">
        <w:rPr>
          <w:rFonts w:ascii="Arial" w:hAnsi="Arial" w:cs="Arial"/>
          <w:sz w:val="22"/>
          <w:szCs w:val="22"/>
        </w:rPr>
        <w:t>Saleemali</w:t>
      </w:r>
      <w:proofErr w:type="spellEnd"/>
      <w:r w:rsidRPr="00694F10">
        <w:rPr>
          <w:rFonts w:ascii="Arial" w:hAnsi="Arial" w:cs="Arial"/>
          <w:sz w:val="22"/>
          <w:szCs w:val="22"/>
        </w:rPr>
        <w:t xml:space="preserve"> Kannihalli, S., Rayar, S.G., Mallapur, C.P., Patil, P.V. and Hosamani, R. (2024). Enhancing mulberry leaf quality and yield through foliar application of </w:t>
      </w:r>
      <w:proofErr w:type="spellStart"/>
      <w:r w:rsidRPr="00694F10">
        <w:rPr>
          <w:rFonts w:ascii="Arial" w:hAnsi="Arial" w:cs="Arial"/>
          <w:sz w:val="22"/>
          <w:szCs w:val="22"/>
        </w:rPr>
        <w:t>nanofertilizers</w:t>
      </w:r>
      <w:proofErr w:type="spellEnd"/>
      <w:r w:rsidRPr="00694F10">
        <w:rPr>
          <w:rFonts w:ascii="Arial" w:hAnsi="Arial" w:cs="Arial"/>
          <w:sz w:val="22"/>
          <w:szCs w:val="22"/>
        </w:rPr>
        <w:t xml:space="preserve">. </w:t>
      </w:r>
      <w:r w:rsidRPr="00694F10">
        <w:rPr>
          <w:rFonts w:ascii="Arial" w:hAnsi="Arial" w:cs="Arial"/>
          <w:i/>
          <w:iCs/>
          <w:sz w:val="22"/>
          <w:szCs w:val="22"/>
        </w:rPr>
        <w:t>Plant Archives</w:t>
      </w:r>
      <w:r w:rsidRPr="00694F10">
        <w:rPr>
          <w:rFonts w:ascii="Arial" w:hAnsi="Arial" w:cs="Arial"/>
          <w:sz w:val="22"/>
          <w:szCs w:val="22"/>
        </w:rPr>
        <w:t>, 24(2): 1009–1013.</w:t>
      </w:r>
    </w:p>
    <w:p w14:paraId="2BEFF3DB"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Singh, K.K., Choudhary, T. and Kumar, A. (2014). Effect of IBA and NAA on rooting of mulberry stem cuttings. </w:t>
      </w:r>
      <w:r w:rsidRPr="00694F10">
        <w:rPr>
          <w:rFonts w:ascii="Arial" w:hAnsi="Arial" w:cs="Arial"/>
          <w:i/>
          <w:iCs/>
          <w:sz w:val="22"/>
          <w:szCs w:val="22"/>
        </w:rPr>
        <w:t>Indian Journal of Hill Farming</w:t>
      </w:r>
      <w:r w:rsidRPr="00694F10">
        <w:rPr>
          <w:rFonts w:ascii="Arial" w:hAnsi="Arial" w:cs="Arial"/>
          <w:sz w:val="22"/>
          <w:szCs w:val="22"/>
        </w:rPr>
        <w:t>, 27(1): 125–131.</w:t>
      </w:r>
    </w:p>
    <w:p w14:paraId="2F6AEB22"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Singh, K.K. (2018). Effect of auxins and rooting media on rooting in stem cutting of mulberry (Morus nigra L.). </w:t>
      </w:r>
      <w:r w:rsidRPr="00694F10">
        <w:rPr>
          <w:rFonts w:ascii="Arial" w:hAnsi="Arial" w:cs="Arial"/>
          <w:i/>
          <w:iCs/>
          <w:sz w:val="22"/>
          <w:szCs w:val="22"/>
        </w:rPr>
        <w:t>The Pharma Innovation Journal</w:t>
      </w:r>
      <w:r w:rsidRPr="00694F10">
        <w:rPr>
          <w:rFonts w:ascii="Arial" w:hAnsi="Arial" w:cs="Arial"/>
          <w:sz w:val="22"/>
          <w:szCs w:val="22"/>
        </w:rPr>
        <w:t>, 7(11): 12–15.</w:t>
      </w:r>
    </w:p>
    <w:p w14:paraId="33CB3146" w14:textId="77777777" w:rsidR="00694F10" w:rsidRPr="00694F10" w:rsidRDefault="00694F10" w:rsidP="00694F10">
      <w:pPr>
        <w:spacing w:line="360" w:lineRule="auto"/>
        <w:ind w:left="720" w:hanging="720"/>
        <w:jc w:val="both"/>
        <w:rPr>
          <w:rFonts w:ascii="Arial" w:hAnsi="Arial" w:cs="Arial"/>
          <w:sz w:val="22"/>
          <w:szCs w:val="22"/>
        </w:rPr>
      </w:pPr>
      <w:r w:rsidRPr="00694F10">
        <w:rPr>
          <w:rFonts w:ascii="Arial" w:hAnsi="Arial" w:cs="Arial"/>
          <w:sz w:val="22"/>
          <w:szCs w:val="22"/>
        </w:rPr>
        <w:t xml:space="preserve"> Singhvi, N.R., Sarkar, A. and Datta, R.K. (2001). Influence of </w:t>
      </w:r>
      <w:proofErr w:type="spellStart"/>
      <w:r w:rsidRPr="00694F10">
        <w:rPr>
          <w:rFonts w:ascii="Arial" w:hAnsi="Arial" w:cs="Arial"/>
          <w:sz w:val="22"/>
          <w:szCs w:val="22"/>
        </w:rPr>
        <w:t>Seriboost</w:t>
      </w:r>
      <w:proofErr w:type="spellEnd"/>
      <w:r w:rsidRPr="00694F10">
        <w:rPr>
          <w:rFonts w:ascii="Arial" w:hAnsi="Arial" w:cs="Arial"/>
          <w:sz w:val="22"/>
          <w:szCs w:val="22"/>
        </w:rPr>
        <w:t xml:space="preserve"> foliar application on leaf yield and leaf protein content in mulberry (Morus spp.) in relation to silkworm cocoon production. </w:t>
      </w:r>
      <w:r w:rsidRPr="00694F10">
        <w:rPr>
          <w:rFonts w:ascii="Arial" w:hAnsi="Arial" w:cs="Arial"/>
          <w:i/>
          <w:iCs/>
          <w:sz w:val="22"/>
          <w:szCs w:val="22"/>
        </w:rPr>
        <w:t>Unpublished/abstracted report.</w:t>
      </w:r>
    </w:p>
    <w:p w14:paraId="152E0D92" w14:textId="26FD64DC"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Singhvi, N.R., Sarkar, A. and Datta, R.K. (2004). Improving growth and leaf yield in mulberry by application of triacontanol-based commercial micronutrient formulation. </w:t>
      </w:r>
      <w:r w:rsidRPr="00694F10">
        <w:rPr>
          <w:rFonts w:ascii="Arial" w:hAnsi="Arial" w:cs="Arial"/>
          <w:i/>
          <w:iCs/>
          <w:sz w:val="22"/>
          <w:szCs w:val="22"/>
        </w:rPr>
        <w:t>Advances in Plant Sciences</w:t>
      </w:r>
      <w:r w:rsidRPr="00694F10">
        <w:rPr>
          <w:rFonts w:ascii="Arial" w:hAnsi="Arial" w:cs="Arial"/>
          <w:sz w:val="22"/>
          <w:szCs w:val="22"/>
        </w:rPr>
        <w:t>, 17(1): 219–222.</w:t>
      </w:r>
    </w:p>
    <w:p w14:paraId="22CB43E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Srivastava, S.,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Qadri, S.M.H. and Kamili, A.N. (2006). Nutritional quality of leaves of some genotypes of mulberry. </w:t>
      </w:r>
      <w:r w:rsidRPr="00694F10">
        <w:rPr>
          <w:rFonts w:ascii="Arial" w:hAnsi="Arial" w:cs="Arial"/>
          <w:i/>
          <w:iCs/>
          <w:sz w:val="22"/>
          <w:szCs w:val="22"/>
        </w:rPr>
        <w:t>Livestock Research for Rural Development</w:t>
      </w:r>
      <w:r w:rsidRPr="00694F10">
        <w:rPr>
          <w:rFonts w:ascii="Arial" w:hAnsi="Arial" w:cs="Arial"/>
          <w:sz w:val="22"/>
          <w:szCs w:val="22"/>
        </w:rPr>
        <w:t>, 18(9).</w:t>
      </w:r>
    </w:p>
    <w:p w14:paraId="6AF9A32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Taiz, L., Zeiger, E., Møller, I.M. and Murphy, A. (2015). </w:t>
      </w:r>
      <w:r w:rsidRPr="00694F10">
        <w:rPr>
          <w:rFonts w:ascii="Arial" w:hAnsi="Arial" w:cs="Arial"/>
          <w:i/>
          <w:iCs/>
          <w:sz w:val="22"/>
          <w:szCs w:val="22"/>
        </w:rPr>
        <w:t>Plant Physiology and Development.</w:t>
      </w:r>
      <w:r w:rsidRPr="00694F10">
        <w:rPr>
          <w:rFonts w:ascii="Arial" w:hAnsi="Arial" w:cs="Arial"/>
          <w:sz w:val="22"/>
          <w:szCs w:val="22"/>
        </w:rPr>
        <w:t xml:space="preserve"> Sinauer Associates, USA.</w:t>
      </w:r>
    </w:p>
    <w:p w14:paraId="05F5EB83"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Vijaya, D., </w:t>
      </w:r>
      <w:proofErr w:type="spellStart"/>
      <w:r w:rsidRPr="00694F10">
        <w:rPr>
          <w:rFonts w:ascii="Arial" w:hAnsi="Arial" w:cs="Arial"/>
          <w:sz w:val="22"/>
          <w:szCs w:val="22"/>
        </w:rPr>
        <w:t>Yeledhalli</w:t>
      </w:r>
      <w:proofErr w:type="spellEnd"/>
      <w:r w:rsidRPr="00694F10">
        <w:rPr>
          <w:rFonts w:ascii="Arial" w:hAnsi="Arial" w:cs="Arial"/>
          <w:sz w:val="22"/>
          <w:szCs w:val="22"/>
        </w:rPr>
        <w:t xml:space="preserve">, N.A., Ravi, M.V., Nagangoud, A. and </w:t>
      </w:r>
      <w:proofErr w:type="spellStart"/>
      <w:r w:rsidRPr="00694F10">
        <w:rPr>
          <w:rFonts w:ascii="Arial" w:hAnsi="Arial" w:cs="Arial"/>
          <w:sz w:val="22"/>
          <w:szCs w:val="22"/>
        </w:rPr>
        <w:t>Nagalikar</w:t>
      </w:r>
      <w:proofErr w:type="spellEnd"/>
      <w:r w:rsidRPr="00694F10">
        <w:rPr>
          <w:rFonts w:ascii="Arial" w:hAnsi="Arial" w:cs="Arial"/>
          <w:sz w:val="22"/>
          <w:szCs w:val="22"/>
        </w:rPr>
        <w:t xml:space="preserve">, V.P. (2009). Effect of fertilizer levels and foliar nutrition on mulberry leaf nutrient content, quality and silkworm cocoon production. </w:t>
      </w:r>
      <w:r w:rsidRPr="00694F10">
        <w:rPr>
          <w:rFonts w:ascii="Arial" w:hAnsi="Arial" w:cs="Arial"/>
          <w:i/>
          <w:iCs/>
          <w:sz w:val="22"/>
          <w:szCs w:val="22"/>
        </w:rPr>
        <w:t>Report</w:t>
      </w:r>
      <w:r w:rsidRPr="00694F10">
        <w:rPr>
          <w:rFonts w:ascii="Arial" w:hAnsi="Arial" w:cs="Arial"/>
          <w:sz w:val="22"/>
          <w:szCs w:val="22"/>
        </w:rPr>
        <w:t>.</w:t>
      </w:r>
    </w:p>
    <w:p w14:paraId="4658C54D"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lastRenderedPageBreak/>
        <w:t xml:space="preserve"> Vishwanath, G.K., </w:t>
      </w:r>
      <w:proofErr w:type="spellStart"/>
      <w:r w:rsidRPr="00694F10">
        <w:rPr>
          <w:rFonts w:ascii="Arial" w:hAnsi="Arial" w:cs="Arial"/>
          <w:sz w:val="22"/>
          <w:szCs w:val="22"/>
        </w:rPr>
        <w:t>Jayaramaiah</w:t>
      </w:r>
      <w:proofErr w:type="spellEnd"/>
      <w:r w:rsidRPr="00694F10">
        <w:rPr>
          <w:rFonts w:ascii="Arial" w:hAnsi="Arial" w:cs="Arial"/>
          <w:sz w:val="22"/>
          <w:szCs w:val="22"/>
        </w:rPr>
        <w:t xml:space="preserve">, M. and Shankar, M.A. (1997). Feeding of mulberry leaves supplemented with secondary and micronutrients through foliage on rearing performance of the silkworm Bombyx mori L. </w:t>
      </w:r>
      <w:r w:rsidRPr="00694F10">
        <w:rPr>
          <w:rFonts w:ascii="Arial" w:hAnsi="Arial" w:cs="Arial"/>
          <w:i/>
          <w:iCs/>
          <w:sz w:val="22"/>
          <w:szCs w:val="22"/>
        </w:rPr>
        <w:t>Mysore Journal of Agricultural Sciences</w:t>
      </w:r>
      <w:r w:rsidRPr="00694F10">
        <w:rPr>
          <w:rFonts w:ascii="Arial" w:hAnsi="Arial" w:cs="Arial"/>
          <w:sz w:val="22"/>
          <w:szCs w:val="22"/>
        </w:rPr>
        <w:t>, 31: 175–179.</w:t>
      </w:r>
    </w:p>
    <w:p w14:paraId="5695E41A"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Wani, M.Y., Mir, M.R.,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Mehraj, K., Bhat, T.A. and Rani, S. (2017). Role of foliar sprays in sericulture industry. </w:t>
      </w:r>
      <w:r w:rsidRPr="00694F10">
        <w:rPr>
          <w:rFonts w:ascii="Arial" w:hAnsi="Arial" w:cs="Arial"/>
          <w:i/>
          <w:iCs/>
          <w:sz w:val="22"/>
          <w:szCs w:val="22"/>
        </w:rPr>
        <w:t>Journal of Pharmacognosy and Phytochemistry</w:t>
      </w:r>
      <w:r w:rsidRPr="00694F10">
        <w:rPr>
          <w:rFonts w:ascii="Arial" w:hAnsi="Arial" w:cs="Arial"/>
          <w:sz w:val="22"/>
          <w:szCs w:val="22"/>
        </w:rPr>
        <w:t>, 6(4): 1803–1806.</w:t>
      </w:r>
    </w:p>
    <w:p w14:paraId="4F5C9E13" w14:textId="77777777" w:rsidR="00694F10" w:rsidRPr="00694F10" w:rsidRDefault="00694F10" w:rsidP="00694F10">
      <w:pPr>
        <w:spacing w:line="360" w:lineRule="auto"/>
        <w:ind w:left="810" w:hanging="810"/>
        <w:jc w:val="both"/>
        <w:rPr>
          <w:rFonts w:ascii="Arial" w:hAnsi="Arial" w:cs="Arial"/>
          <w:sz w:val="22"/>
          <w:szCs w:val="22"/>
        </w:rPr>
      </w:pPr>
      <w:r w:rsidRPr="00694F10">
        <w:rPr>
          <w:rFonts w:ascii="Arial" w:hAnsi="Arial" w:cs="Arial"/>
          <w:sz w:val="22"/>
          <w:szCs w:val="22"/>
        </w:rPr>
        <w:t xml:space="preserve"> Wani, M.Y., Mir, M.R., </w:t>
      </w:r>
      <w:proofErr w:type="spellStart"/>
      <w:r w:rsidRPr="00694F10">
        <w:rPr>
          <w:rFonts w:ascii="Arial" w:hAnsi="Arial" w:cs="Arial"/>
          <w:sz w:val="22"/>
          <w:szCs w:val="22"/>
        </w:rPr>
        <w:t>Baqual</w:t>
      </w:r>
      <w:proofErr w:type="spellEnd"/>
      <w:r w:rsidRPr="00694F10">
        <w:rPr>
          <w:rFonts w:ascii="Arial" w:hAnsi="Arial" w:cs="Arial"/>
          <w:sz w:val="22"/>
          <w:szCs w:val="22"/>
        </w:rPr>
        <w:t xml:space="preserve">, M.F., Mehraj, K., Bhat, T.A. and Rani, S. (2020). Silkworm pupal residue products foliar spray impact in silkworm </w:t>
      </w:r>
      <w:r w:rsidRPr="00694F10">
        <w:rPr>
          <w:rFonts w:ascii="Arial" w:hAnsi="Arial" w:cs="Arial"/>
          <w:i/>
          <w:iCs/>
          <w:sz w:val="22"/>
          <w:szCs w:val="22"/>
        </w:rPr>
        <w:t>Bombyx mori</w:t>
      </w:r>
      <w:r w:rsidRPr="00694F10">
        <w:rPr>
          <w:rFonts w:ascii="Arial" w:hAnsi="Arial" w:cs="Arial"/>
          <w:sz w:val="22"/>
          <w:szCs w:val="22"/>
        </w:rPr>
        <w:t xml:space="preserve"> L. </w:t>
      </w:r>
      <w:r w:rsidRPr="00694F10">
        <w:rPr>
          <w:rFonts w:ascii="Arial" w:hAnsi="Arial" w:cs="Arial"/>
          <w:i/>
          <w:iCs/>
          <w:sz w:val="22"/>
          <w:szCs w:val="22"/>
        </w:rPr>
        <w:t>Journal of Entomology and Zoology Studies</w:t>
      </w:r>
      <w:r w:rsidRPr="00694F10">
        <w:rPr>
          <w:rFonts w:ascii="Arial" w:hAnsi="Arial" w:cs="Arial"/>
          <w:sz w:val="22"/>
          <w:szCs w:val="22"/>
        </w:rPr>
        <w:t>, 8(4S): 39–43.</w:t>
      </w:r>
    </w:p>
    <w:p w14:paraId="5653A672" w14:textId="77777777" w:rsidR="00694F10" w:rsidRPr="00694F10" w:rsidRDefault="00694F10" w:rsidP="00694F10">
      <w:pPr>
        <w:spacing w:line="360" w:lineRule="auto"/>
        <w:ind w:left="810" w:hanging="810"/>
        <w:jc w:val="both"/>
        <w:rPr>
          <w:rFonts w:ascii="Arial" w:hAnsi="Arial" w:cs="Arial"/>
          <w:sz w:val="22"/>
          <w:szCs w:val="22"/>
        </w:rPr>
      </w:pPr>
    </w:p>
    <w:p w14:paraId="4F636943" w14:textId="77777777" w:rsidR="00B01FCD" w:rsidRPr="00694F10" w:rsidRDefault="00B01FCD" w:rsidP="00694F10">
      <w:pPr>
        <w:tabs>
          <w:tab w:val="left" w:pos="0"/>
        </w:tabs>
        <w:spacing w:line="360" w:lineRule="auto"/>
        <w:ind w:left="810" w:hanging="810"/>
        <w:jc w:val="both"/>
        <w:rPr>
          <w:rFonts w:ascii="Arial" w:hAnsi="Arial" w:cs="Arial"/>
          <w:b/>
          <w:sz w:val="24"/>
          <w:szCs w:val="24"/>
        </w:rPr>
      </w:pPr>
    </w:p>
    <w:sectPr w:rsidR="00B01FCD" w:rsidRPr="00694F10" w:rsidSect="00BB7B1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6352" w14:textId="77777777" w:rsidR="004014FC" w:rsidRDefault="004014FC" w:rsidP="00C37E61">
      <w:r>
        <w:separator/>
      </w:r>
    </w:p>
  </w:endnote>
  <w:endnote w:type="continuationSeparator" w:id="0">
    <w:p w14:paraId="146B1760" w14:textId="77777777" w:rsidR="004014FC" w:rsidRDefault="004014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0A80" w14:textId="77777777" w:rsidR="005657F2" w:rsidRDefault="00565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F860" w14:textId="77777777" w:rsidR="005657F2" w:rsidRDefault="00565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DE5579" w14:textId="3B50BA0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E1D1" w14:textId="77777777" w:rsidR="004014FC" w:rsidRDefault="004014FC" w:rsidP="00C37E61">
      <w:r>
        <w:separator/>
      </w:r>
    </w:p>
  </w:footnote>
  <w:footnote w:type="continuationSeparator" w:id="0">
    <w:p w14:paraId="33E1BA1D" w14:textId="77777777" w:rsidR="004014FC" w:rsidRDefault="004014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0C1B" w14:textId="197E30B9" w:rsidR="005657F2" w:rsidRDefault="004014FC">
    <w:pPr>
      <w:pStyle w:val="Header"/>
    </w:pPr>
    <w:r>
      <w:rPr>
        <w:noProof/>
      </w:rPr>
      <w:pict w14:anchorId="0FA3C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FF25" w14:textId="61558022" w:rsidR="005657F2" w:rsidRDefault="004014FC">
    <w:pPr>
      <w:pStyle w:val="Header"/>
    </w:pPr>
    <w:r>
      <w:rPr>
        <w:noProof/>
      </w:rPr>
      <w:pict w14:anchorId="221A2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8F82" w14:textId="1A871315" w:rsidR="00296529" w:rsidRPr="00296529" w:rsidRDefault="004014FC" w:rsidP="00296529">
    <w:pPr>
      <w:ind w:left="2160"/>
      <w:jc w:val="center"/>
      <w:rPr>
        <w:rFonts w:ascii="Times New Roman" w:eastAsia="Calibri" w:hAnsi="Times New Roman"/>
        <w:i/>
        <w:sz w:val="18"/>
        <w:szCs w:val="22"/>
      </w:rPr>
    </w:pPr>
    <w:r>
      <w:rPr>
        <w:noProof/>
      </w:rPr>
      <w:pict w14:anchorId="44917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4054" w14:textId="05660768" w:rsidR="005657F2" w:rsidRDefault="004014FC">
    <w:pPr>
      <w:pStyle w:val="Header"/>
    </w:pPr>
    <w:r>
      <w:rPr>
        <w:noProof/>
      </w:rPr>
      <w:pict w14:anchorId="1E3F8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0FA2" w14:textId="6260203C" w:rsidR="005657F2" w:rsidRDefault="004014FC">
    <w:pPr>
      <w:pStyle w:val="Header"/>
    </w:pPr>
    <w:r>
      <w:rPr>
        <w:noProof/>
      </w:rPr>
      <w:pict w14:anchorId="2D459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5045" w14:textId="601482E9" w:rsidR="005657F2" w:rsidRDefault="004014FC">
    <w:pPr>
      <w:pStyle w:val="Header"/>
    </w:pPr>
    <w:r>
      <w:rPr>
        <w:noProof/>
      </w:rPr>
      <w:pict w14:anchorId="702BE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8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741742"/>
    <w:multiLevelType w:val="hybridMultilevel"/>
    <w:tmpl w:val="4950FF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E13208"/>
    <w:multiLevelType w:val="multilevel"/>
    <w:tmpl w:val="46B26C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1C73A1"/>
    <w:multiLevelType w:val="multilevel"/>
    <w:tmpl w:val="4F4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461C5"/>
    <w:multiLevelType w:val="multilevel"/>
    <w:tmpl w:val="06BA6A4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C2B59"/>
    <w:multiLevelType w:val="multilevel"/>
    <w:tmpl w:val="79D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2DC6FFA"/>
    <w:multiLevelType w:val="hybridMultilevel"/>
    <w:tmpl w:val="153CE2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2C4A85"/>
    <w:multiLevelType w:val="multilevel"/>
    <w:tmpl w:val="326CC9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21158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07452084">
    <w:abstractNumId w:val="20"/>
  </w:num>
  <w:num w:numId="3" w16cid:durableId="1463622167">
    <w:abstractNumId w:val="30"/>
  </w:num>
  <w:num w:numId="4" w16cid:durableId="52802717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0281252">
    <w:abstractNumId w:val="8"/>
  </w:num>
  <w:num w:numId="6" w16cid:durableId="566427709">
    <w:abstractNumId w:val="6"/>
  </w:num>
  <w:num w:numId="7" w16cid:durableId="220598389">
    <w:abstractNumId w:val="1"/>
  </w:num>
  <w:num w:numId="8" w16cid:durableId="76363254">
    <w:abstractNumId w:val="14"/>
  </w:num>
  <w:num w:numId="9" w16cid:durableId="1743480468">
    <w:abstractNumId w:val="32"/>
  </w:num>
  <w:num w:numId="10" w16cid:durableId="1372336813">
    <w:abstractNumId w:val="2"/>
  </w:num>
  <w:num w:numId="11" w16cid:durableId="1335499311">
    <w:abstractNumId w:val="25"/>
  </w:num>
  <w:num w:numId="12" w16cid:durableId="434833106">
    <w:abstractNumId w:val="3"/>
  </w:num>
  <w:num w:numId="13" w16cid:durableId="1424496691">
    <w:abstractNumId w:val="22"/>
  </w:num>
  <w:num w:numId="14" w16cid:durableId="843395998">
    <w:abstractNumId w:val="9"/>
  </w:num>
  <w:num w:numId="15" w16cid:durableId="1718705354">
    <w:abstractNumId w:val="28"/>
  </w:num>
  <w:num w:numId="16" w16cid:durableId="1648244559">
    <w:abstractNumId w:val="5"/>
  </w:num>
  <w:num w:numId="17" w16cid:durableId="2145000856">
    <w:abstractNumId w:val="29"/>
  </w:num>
  <w:num w:numId="18" w16cid:durableId="1169058820">
    <w:abstractNumId w:val="16"/>
  </w:num>
  <w:num w:numId="19" w16cid:durableId="213587014">
    <w:abstractNumId w:val="35"/>
  </w:num>
  <w:num w:numId="20" w16cid:durableId="460998653">
    <w:abstractNumId w:val="12"/>
  </w:num>
  <w:num w:numId="21" w16cid:durableId="1402753671">
    <w:abstractNumId w:val="10"/>
  </w:num>
  <w:num w:numId="22" w16cid:durableId="2102216281">
    <w:abstractNumId w:val="15"/>
  </w:num>
  <w:num w:numId="23" w16cid:durableId="2037080894">
    <w:abstractNumId w:val="26"/>
  </w:num>
  <w:num w:numId="24" w16cid:durableId="1443914528">
    <w:abstractNumId w:val="33"/>
  </w:num>
  <w:num w:numId="25" w16cid:durableId="1825899504">
    <w:abstractNumId w:val="4"/>
  </w:num>
  <w:num w:numId="26" w16cid:durableId="1902206218">
    <w:abstractNumId w:val="21"/>
  </w:num>
  <w:num w:numId="27" w16cid:durableId="1525941078">
    <w:abstractNumId w:val="27"/>
  </w:num>
  <w:num w:numId="28" w16cid:durableId="1567106480">
    <w:abstractNumId w:val="34"/>
  </w:num>
  <w:num w:numId="29" w16cid:durableId="373890915">
    <w:abstractNumId w:val="31"/>
  </w:num>
  <w:num w:numId="30" w16cid:durableId="1927684868">
    <w:abstractNumId w:val="11"/>
  </w:num>
  <w:num w:numId="31" w16cid:durableId="2100981540">
    <w:abstractNumId w:val="19"/>
  </w:num>
  <w:num w:numId="32" w16cid:durableId="365175653">
    <w:abstractNumId w:val="17"/>
  </w:num>
  <w:num w:numId="33" w16cid:durableId="1347093081">
    <w:abstractNumId w:val="18"/>
  </w:num>
  <w:num w:numId="34" w16cid:durableId="218397036">
    <w:abstractNumId w:val="13"/>
  </w:num>
  <w:num w:numId="35" w16cid:durableId="1646666976">
    <w:abstractNumId w:val="24"/>
  </w:num>
  <w:num w:numId="36" w16cid:durableId="834761612">
    <w:abstractNumId w:val="7"/>
  </w:num>
  <w:num w:numId="37" w16cid:durableId="4142788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C348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1F21"/>
    <w:rsid w:val="002D2F99"/>
    <w:rsid w:val="002E0D56"/>
    <w:rsid w:val="00315186"/>
    <w:rsid w:val="0033343E"/>
    <w:rsid w:val="003512C2"/>
    <w:rsid w:val="00371FB6"/>
    <w:rsid w:val="003763C1"/>
    <w:rsid w:val="00376BBE"/>
    <w:rsid w:val="00383A94"/>
    <w:rsid w:val="0039224F"/>
    <w:rsid w:val="003A06FD"/>
    <w:rsid w:val="003A43A4"/>
    <w:rsid w:val="003A7E18"/>
    <w:rsid w:val="003C4C86"/>
    <w:rsid w:val="003C6258"/>
    <w:rsid w:val="003E2904"/>
    <w:rsid w:val="004014FC"/>
    <w:rsid w:val="00401927"/>
    <w:rsid w:val="0041027F"/>
    <w:rsid w:val="00412475"/>
    <w:rsid w:val="00423789"/>
    <w:rsid w:val="004345BC"/>
    <w:rsid w:val="00440F43"/>
    <w:rsid w:val="00441B6F"/>
    <w:rsid w:val="00446221"/>
    <w:rsid w:val="00450E62"/>
    <w:rsid w:val="004539DB"/>
    <w:rsid w:val="00471A80"/>
    <w:rsid w:val="004965C7"/>
    <w:rsid w:val="004B07EA"/>
    <w:rsid w:val="004D305E"/>
    <w:rsid w:val="004D4277"/>
    <w:rsid w:val="004E1494"/>
    <w:rsid w:val="00502516"/>
    <w:rsid w:val="00505F06"/>
    <w:rsid w:val="00506828"/>
    <w:rsid w:val="0053056E"/>
    <w:rsid w:val="00554FDA"/>
    <w:rsid w:val="005657F2"/>
    <w:rsid w:val="00575CA4"/>
    <w:rsid w:val="00594C46"/>
    <w:rsid w:val="005B5DC7"/>
    <w:rsid w:val="005C784C"/>
    <w:rsid w:val="005D17F6"/>
    <w:rsid w:val="005E5539"/>
    <w:rsid w:val="005E5E44"/>
    <w:rsid w:val="00602BF5"/>
    <w:rsid w:val="00617FDD"/>
    <w:rsid w:val="00633614"/>
    <w:rsid w:val="00633F68"/>
    <w:rsid w:val="00636EB2"/>
    <w:rsid w:val="006375B8"/>
    <w:rsid w:val="0066510A"/>
    <w:rsid w:val="00673F9F"/>
    <w:rsid w:val="00686953"/>
    <w:rsid w:val="00687DEA"/>
    <w:rsid w:val="00687E67"/>
    <w:rsid w:val="00694F10"/>
    <w:rsid w:val="006967F7"/>
    <w:rsid w:val="006A250C"/>
    <w:rsid w:val="006B21D3"/>
    <w:rsid w:val="006B57D0"/>
    <w:rsid w:val="006C09E4"/>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626C"/>
    <w:rsid w:val="00860000"/>
    <w:rsid w:val="00862374"/>
    <w:rsid w:val="00863BD3"/>
    <w:rsid w:val="008641ED"/>
    <w:rsid w:val="00866D66"/>
    <w:rsid w:val="008671C6"/>
    <w:rsid w:val="00875803"/>
    <w:rsid w:val="008A28C6"/>
    <w:rsid w:val="008B459E"/>
    <w:rsid w:val="008E13AE"/>
    <w:rsid w:val="008E1506"/>
    <w:rsid w:val="008E710C"/>
    <w:rsid w:val="008F69D6"/>
    <w:rsid w:val="00902823"/>
    <w:rsid w:val="00915CA6"/>
    <w:rsid w:val="00921478"/>
    <w:rsid w:val="00927834"/>
    <w:rsid w:val="00947E36"/>
    <w:rsid w:val="009500A6"/>
    <w:rsid w:val="00957C18"/>
    <w:rsid w:val="009659BA"/>
    <w:rsid w:val="00967446"/>
    <w:rsid w:val="00983040"/>
    <w:rsid w:val="009B3FB9"/>
    <w:rsid w:val="009C2465"/>
    <w:rsid w:val="009D35A0"/>
    <w:rsid w:val="009D7EB7"/>
    <w:rsid w:val="009E048A"/>
    <w:rsid w:val="009E08E9"/>
    <w:rsid w:val="009E3193"/>
    <w:rsid w:val="009E3DB9"/>
    <w:rsid w:val="009E6E35"/>
    <w:rsid w:val="009F0EDA"/>
    <w:rsid w:val="00A03B96"/>
    <w:rsid w:val="00A05B19"/>
    <w:rsid w:val="00A1134E"/>
    <w:rsid w:val="00A24E7E"/>
    <w:rsid w:val="00A258C3"/>
    <w:rsid w:val="00A347C0"/>
    <w:rsid w:val="00A51431"/>
    <w:rsid w:val="00A539AD"/>
    <w:rsid w:val="00A90B91"/>
    <w:rsid w:val="00A94063"/>
    <w:rsid w:val="00AA6219"/>
    <w:rsid w:val="00AA74E0"/>
    <w:rsid w:val="00AB703F"/>
    <w:rsid w:val="00AC6BB8"/>
    <w:rsid w:val="00AD2FA7"/>
    <w:rsid w:val="00AE008F"/>
    <w:rsid w:val="00B01FCD"/>
    <w:rsid w:val="00B0307A"/>
    <w:rsid w:val="00B1776C"/>
    <w:rsid w:val="00B519FD"/>
    <w:rsid w:val="00B52583"/>
    <w:rsid w:val="00B52896"/>
    <w:rsid w:val="00B52F54"/>
    <w:rsid w:val="00B747A3"/>
    <w:rsid w:val="00B95236"/>
    <w:rsid w:val="00B96BD9"/>
    <w:rsid w:val="00BA1B01"/>
    <w:rsid w:val="00BA2641"/>
    <w:rsid w:val="00BA5E92"/>
    <w:rsid w:val="00BB37AA"/>
    <w:rsid w:val="00BB7B16"/>
    <w:rsid w:val="00BC53A0"/>
    <w:rsid w:val="00BE62AD"/>
    <w:rsid w:val="00BF121F"/>
    <w:rsid w:val="00BF1F80"/>
    <w:rsid w:val="00C02472"/>
    <w:rsid w:val="00C11ACA"/>
    <w:rsid w:val="00C166EF"/>
    <w:rsid w:val="00C17EB0"/>
    <w:rsid w:val="00C27F5F"/>
    <w:rsid w:val="00C30A0F"/>
    <w:rsid w:val="00C37E61"/>
    <w:rsid w:val="00C70F1B"/>
    <w:rsid w:val="00C71A47"/>
    <w:rsid w:val="00C7464C"/>
    <w:rsid w:val="00C85588"/>
    <w:rsid w:val="00CD6755"/>
    <w:rsid w:val="00CD6856"/>
    <w:rsid w:val="00CE0089"/>
    <w:rsid w:val="00CE759B"/>
    <w:rsid w:val="00CE793C"/>
    <w:rsid w:val="00CF193C"/>
    <w:rsid w:val="00D173F1"/>
    <w:rsid w:val="00D464FE"/>
    <w:rsid w:val="00D74CB0"/>
    <w:rsid w:val="00D8295D"/>
    <w:rsid w:val="00DC2A65"/>
    <w:rsid w:val="00DE15F0"/>
    <w:rsid w:val="00DE5663"/>
    <w:rsid w:val="00DE78AA"/>
    <w:rsid w:val="00E053D0"/>
    <w:rsid w:val="00E15994"/>
    <w:rsid w:val="00E3114E"/>
    <w:rsid w:val="00E31A70"/>
    <w:rsid w:val="00E35B02"/>
    <w:rsid w:val="00E41B7D"/>
    <w:rsid w:val="00E66496"/>
    <w:rsid w:val="00E66B35"/>
    <w:rsid w:val="00E66E10"/>
    <w:rsid w:val="00E769F6"/>
    <w:rsid w:val="00E8407C"/>
    <w:rsid w:val="00E84F3C"/>
    <w:rsid w:val="00EA012C"/>
    <w:rsid w:val="00EB054B"/>
    <w:rsid w:val="00EC6A55"/>
    <w:rsid w:val="00ED0288"/>
    <w:rsid w:val="00EE52CB"/>
    <w:rsid w:val="00EF581D"/>
    <w:rsid w:val="00EF7FD8"/>
    <w:rsid w:val="00F06F59"/>
    <w:rsid w:val="00F17988"/>
    <w:rsid w:val="00F469F0"/>
    <w:rsid w:val="00F53273"/>
    <w:rsid w:val="00F755E4"/>
    <w:rsid w:val="00F77D02"/>
    <w:rsid w:val="00FB3A86"/>
    <w:rsid w:val="00FD36C8"/>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rsid w:val="00FF6B23"/>
    <w:pPr>
      <w:spacing w:after="200"/>
      <w:ind w:left="720"/>
      <w:contextualSpacing/>
    </w:pPr>
    <w:rPr>
      <w:rFonts w:asciiTheme="minorHAnsi" w:eastAsiaTheme="minorHAnsi" w:hAnsiTheme="minorHAnsi" w:cstheme="minorBidi"/>
      <w:sz w:val="24"/>
      <w:szCs w:val="24"/>
    </w:rPr>
  </w:style>
  <w:style w:type="table" w:customStyle="1" w:styleId="TableGrid1">
    <w:name w:val="Table Grid1"/>
    <w:basedOn w:val="TableNormal"/>
    <w:next w:val="TableGrid"/>
    <w:uiPriority w:val="39"/>
    <w:rsid w:val="00967446"/>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319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1C1C1-A260-4422-945E-27FE33B3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18</Pages>
  <Words>5827</Words>
  <Characters>33216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Arun kumar</cp:lastModifiedBy>
  <cp:revision>3</cp:revision>
  <cp:lastPrinted>1999-07-06T11:00:00Z</cp:lastPrinted>
  <dcterms:created xsi:type="dcterms:W3CDTF">2026-03-12T13:17:00Z</dcterms:created>
  <dcterms:modified xsi:type="dcterms:W3CDTF">2026-03-13T17:44:00Z</dcterms:modified>
</cp:coreProperties>
</file>