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54044" w14:textId="77777777" w:rsidR="003D7008" w:rsidRDefault="003D7008" w:rsidP="00CA1A88">
      <w:pPr>
        <w:pStyle w:val="Author"/>
        <w:spacing w:line="240" w:lineRule="auto"/>
        <w:rPr>
          <w:rFonts w:ascii="Arial" w:hAnsi="Arial" w:cs="Arial"/>
          <w:bCs/>
          <w:iCs/>
          <w:kern w:val="28"/>
          <w:sz w:val="36"/>
          <w:lang w:val="pt-PT"/>
        </w:rPr>
      </w:pPr>
      <w:r w:rsidRPr="003D7008">
        <w:rPr>
          <w:rFonts w:ascii="Arial" w:hAnsi="Arial" w:cs="Arial"/>
          <w:bCs/>
          <w:iCs/>
          <w:kern w:val="28"/>
          <w:sz w:val="36"/>
          <w:lang w:val="pt-PT"/>
        </w:rPr>
        <w:t xml:space="preserve">Original Research Article </w:t>
      </w:r>
    </w:p>
    <w:p w14:paraId="79BCC008" w14:textId="77777777" w:rsidR="003D7008" w:rsidRDefault="003D7008" w:rsidP="008E7B55">
      <w:pPr>
        <w:pStyle w:val="Author"/>
        <w:spacing w:line="240" w:lineRule="auto"/>
        <w:jc w:val="center"/>
        <w:rPr>
          <w:rFonts w:ascii="Arial" w:hAnsi="Arial" w:cs="Arial"/>
          <w:bCs/>
          <w:iCs/>
          <w:kern w:val="28"/>
          <w:sz w:val="36"/>
          <w:lang w:val="pt-PT"/>
        </w:rPr>
      </w:pPr>
    </w:p>
    <w:p w14:paraId="6BC0DEAA" w14:textId="5EED0D14" w:rsidR="00133761" w:rsidRDefault="007804B1" w:rsidP="007804B1">
      <w:pPr>
        <w:pStyle w:val="Affiliation"/>
        <w:spacing w:after="0" w:line="240" w:lineRule="auto"/>
        <w:rPr>
          <w:rFonts w:ascii="Arial" w:hAnsi="Arial" w:cs="Arial"/>
          <w:b/>
          <w:bCs/>
          <w:iCs/>
          <w:kern w:val="28"/>
          <w:sz w:val="36"/>
        </w:rPr>
      </w:pPr>
      <w:r w:rsidRPr="007804B1">
        <w:rPr>
          <w:rFonts w:ascii="Arial" w:hAnsi="Arial" w:cs="Arial"/>
          <w:b/>
          <w:bCs/>
          <w:iCs/>
          <w:kern w:val="28"/>
          <w:sz w:val="36"/>
        </w:rPr>
        <w:t>EPIDEMIOLOGICAL PROFILE OF REPORTED TUBERCULOSIS CASES IN SANTA QUITÉRIA, CEARÁ, BRAZIL: A RETROSPECTIVE STUDY (2019–2023)</w:t>
      </w:r>
    </w:p>
    <w:p w14:paraId="12245C6B" w14:textId="77777777" w:rsidR="00554DAF" w:rsidRDefault="00554DAF" w:rsidP="007804B1">
      <w:pPr>
        <w:pStyle w:val="Affiliation"/>
        <w:spacing w:after="0" w:line="240" w:lineRule="auto"/>
        <w:rPr>
          <w:rFonts w:ascii="Arial" w:hAnsi="Arial" w:cs="Arial"/>
          <w:b/>
          <w:bCs/>
          <w:iCs/>
          <w:kern w:val="28"/>
          <w:sz w:val="36"/>
        </w:rPr>
      </w:pPr>
    </w:p>
    <w:p w14:paraId="28899B06" w14:textId="77777777" w:rsidR="002C57D2" w:rsidRPr="00FB3A86" w:rsidRDefault="002C57D2" w:rsidP="00441B6F">
      <w:pPr>
        <w:pStyle w:val="Affiliation"/>
        <w:spacing w:after="0" w:line="240" w:lineRule="auto"/>
        <w:jc w:val="both"/>
        <w:rPr>
          <w:rFonts w:ascii="Arial" w:hAnsi="Arial" w:cs="Arial"/>
        </w:rPr>
      </w:pPr>
    </w:p>
    <w:p w14:paraId="420D01AF" w14:textId="5AE6C54F" w:rsidR="00B01FCD" w:rsidRPr="00FB3A86" w:rsidRDefault="00740040" w:rsidP="00441B6F">
      <w:pPr>
        <w:pStyle w:val="Copyright"/>
        <w:spacing w:after="0" w:line="240" w:lineRule="auto"/>
        <w:jc w:val="both"/>
        <w:rPr>
          <w:rFonts w:ascii="Arial" w:hAnsi="Arial" w:cs="Arial"/>
        </w:rPr>
        <w:sectPr w:rsidR="00B01FCD" w:rsidRPr="00FB3A86" w:rsidSect="006F56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13A8F5" wp14:editId="316DC336">
                <wp:extent cx="5303520" cy="635"/>
                <wp:effectExtent l="15240" t="13335" r="15240" b="15240"/>
                <wp:docPr id="11920209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6C4AF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8065B83" w14:textId="64FD6DCB" w:rsidR="00B01FCD" w:rsidRDefault="00B01FCD" w:rsidP="00441B6F">
      <w:pPr>
        <w:pStyle w:val="AbstHead"/>
        <w:spacing w:after="0"/>
        <w:jc w:val="both"/>
        <w:rPr>
          <w:rFonts w:ascii="Arial" w:hAnsi="Arial" w:cs="Arial"/>
        </w:rPr>
      </w:pPr>
      <w:r w:rsidRPr="00FB3A86">
        <w:rPr>
          <w:rFonts w:ascii="Arial" w:hAnsi="Arial" w:cs="Arial"/>
        </w:rPr>
        <w:t>ABSTRACT</w:t>
      </w:r>
    </w:p>
    <w:p w14:paraId="76F168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87A6C19" w14:textId="77777777" w:rsidTr="001E44FE">
        <w:tc>
          <w:tcPr>
            <w:tcW w:w="9576" w:type="dxa"/>
            <w:shd w:val="clear" w:color="auto" w:fill="F2F2F2"/>
          </w:tcPr>
          <w:p w14:paraId="6D54554A" w14:textId="37A7790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9E0434">
              <w:rPr>
                <w:rFonts w:ascii="Arial" w:eastAsia="Calibri" w:hAnsi="Arial" w:cs="Arial"/>
                <w:b/>
                <w:szCs w:val="22"/>
              </w:rPr>
              <w:t xml:space="preserve"> </w:t>
            </w:r>
            <w:r w:rsidR="008C540A" w:rsidRPr="00054C30">
              <w:rPr>
                <w:rFonts w:ascii="Arial" w:eastAsia="Calibri" w:hAnsi="Arial" w:cs="Arial"/>
                <w:szCs w:val="22"/>
              </w:rPr>
              <w:t>The study aims t</w:t>
            </w:r>
            <w:r w:rsidR="00F60179" w:rsidRPr="00F60179">
              <w:rPr>
                <w:rFonts w:ascii="Arial" w:eastAsia="Calibri" w:hAnsi="Arial" w:cs="Arial"/>
                <w:szCs w:val="22"/>
              </w:rPr>
              <w:t>o analyze the epidemiological profile of reported tuberculosis cases in the municipality of Santa Quitéria, Ceará, Brazil, considering sociodemographic, clinical, laboratory, and temporal characteristics between 2019 and 2023.</w:t>
            </w:r>
          </w:p>
          <w:p w14:paraId="5758FB62" w14:textId="60DA7C5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60179" w:rsidRPr="00F60179">
              <w:rPr>
                <w:rFonts w:ascii="Arial" w:eastAsia="Calibri" w:hAnsi="Arial" w:cs="Arial"/>
                <w:szCs w:val="22"/>
              </w:rPr>
              <w:t>Observational, descriptive, cross-sectional study with a retrospective and quantitative approach.</w:t>
            </w:r>
          </w:p>
          <w:p w14:paraId="0BB0B00D" w14:textId="42882CB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F17C1D">
              <w:rPr>
                <w:rFonts w:ascii="Arial" w:eastAsia="Calibri" w:hAnsi="Arial" w:cs="Arial"/>
                <w:b/>
                <w:szCs w:val="22"/>
              </w:rPr>
              <w:t xml:space="preserve"> </w:t>
            </w:r>
            <w:r w:rsidR="00F60179" w:rsidRPr="00F60179">
              <w:rPr>
                <w:rFonts w:ascii="Arial" w:eastAsia="Calibri" w:hAnsi="Arial" w:cs="Arial"/>
                <w:szCs w:val="22"/>
              </w:rPr>
              <w:t>Municipality of Santa Quitéria, Ceará, Brazil, using data from the Notifiable Diseases Information System (SINAN), from 2019 to 2023.</w:t>
            </w:r>
          </w:p>
          <w:p w14:paraId="0EB7AD84" w14:textId="77777777" w:rsidR="00F60179"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60179" w:rsidRPr="00F60179">
              <w:rPr>
                <w:rFonts w:ascii="Arial" w:eastAsia="Calibri" w:hAnsi="Arial" w:cs="Arial"/>
                <w:szCs w:val="22"/>
              </w:rPr>
              <w:t>Secondary data from all reported tuberculosis cases registered in SINAN during the study period were analyzed. Variables included sociodemographic characteristics, comorbidities, clinical form of the disease, type of case entry, treatment outcome, and laboratory diagnostic tests. Descriptive statistical analysis was performed, and the results were presented in tables and graphs.</w:t>
            </w:r>
          </w:p>
          <w:p w14:paraId="103215FC" w14:textId="77777777" w:rsidR="00F6017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60179" w:rsidRPr="00F60179">
              <w:rPr>
                <w:rFonts w:ascii="Arial" w:eastAsia="Calibri" w:hAnsi="Arial" w:cs="Arial"/>
                <w:szCs w:val="22"/>
              </w:rPr>
              <w:t>A total of 56 tuberculosis cases were reported during the study period, with a higher concentration in the intermediate years analyzed. Most cases occurred in males, adults aged 40–59 years, and individuals self-identified as mixed-race, with a predominance of low educational level. The pulmonary form was the most frequent, and most notifications corresponded to new cases. The cure rate was considered satisfactory; however, gaps were observed in the performance of some diagnostic tests, particularly sputum culture and rapid molecular testing. Tuberculosis was also associated with comorbidities such as alcoholism and HIV infection.</w:t>
            </w:r>
          </w:p>
          <w:p w14:paraId="3E1220A0" w14:textId="72C1FB1E"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60179" w:rsidRPr="00F60179">
              <w:rPr>
                <w:rFonts w:ascii="Arial" w:eastAsia="Calibri" w:hAnsi="Arial" w:cs="Arial"/>
                <w:szCs w:val="22"/>
              </w:rPr>
              <w:t>Tuberculosis in Santa Quitéria predominantly affects socially vulnerable populations, particularly adult men with low educational levels. Although treatment outcomes were relatively favorable, limitations in diagnostic practices and the presence of comorbidities highlight the need to strengthen primary health care actions, improve access to laboratory diagnosis, and reinforce public health strategies aimed at tuberculosis control</w:t>
            </w:r>
            <w:r w:rsidR="00CF637D" w:rsidRPr="00CF637D">
              <w:rPr>
                <w:rFonts w:ascii="Arial" w:eastAsia="Calibri" w:hAnsi="Arial" w:cs="Arial"/>
                <w:szCs w:val="22"/>
              </w:rPr>
              <w:t>.</w:t>
            </w:r>
          </w:p>
        </w:tc>
      </w:tr>
    </w:tbl>
    <w:p w14:paraId="6B91D571" w14:textId="77777777" w:rsidR="00636EB2" w:rsidRDefault="00636EB2" w:rsidP="00441B6F">
      <w:pPr>
        <w:pStyle w:val="Body"/>
        <w:spacing w:after="0"/>
        <w:rPr>
          <w:rFonts w:ascii="Arial" w:hAnsi="Arial" w:cs="Arial"/>
          <w:i/>
        </w:rPr>
      </w:pPr>
    </w:p>
    <w:p w14:paraId="54B65280" w14:textId="218ECBC0" w:rsidR="00A24E7E" w:rsidRDefault="00A24E7E" w:rsidP="00945DE5">
      <w:pPr>
        <w:pStyle w:val="Body"/>
        <w:rPr>
          <w:rFonts w:ascii="Arial" w:hAnsi="Arial" w:cs="Arial"/>
          <w:i/>
        </w:rPr>
      </w:pPr>
      <w:r w:rsidRPr="00533618">
        <w:rPr>
          <w:rFonts w:ascii="Arial" w:hAnsi="Arial" w:cs="Arial"/>
          <w:b/>
          <w:i/>
        </w:rPr>
        <w:t>Keywords</w:t>
      </w:r>
      <w:r>
        <w:rPr>
          <w:rFonts w:ascii="Arial" w:hAnsi="Arial" w:cs="Arial"/>
          <w:i/>
        </w:rPr>
        <w:t>:</w:t>
      </w:r>
      <w:r w:rsidR="00CA1A88">
        <w:rPr>
          <w:rFonts w:ascii="Arial" w:hAnsi="Arial" w:cs="Arial"/>
          <w:i/>
        </w:rPr>
        <w:t xml:space="preserve"> Tuberculosis; Epidemiology; </w:t>
      </w:r>
      <w:r w:rsidR="00CA1A88" w:rsidRPr="00CA1A88">
        <w:rPr>
          <w:rFonts w:ascii="Arial" w:hAnsi="Arial" w:cs="Arial"/>
          <w:i/>
        </w:rPr>
        <w:t>Public Health Surveillance</w:t>
      </w:r>
      <w:r w:rsidR="00C46039">
        <w:rPr>
          <w:rFonts w:ascii="Arial" w:hAnsi="Arial" w:cs="Arial"/>
          <w:i/>
        </w:rPr>
        <w:t xml:space="preserve">, </w:t>
      </w:r>
      <w:r w:rsidR="00945DE5" w:rsidRPr="00945DE5">
        <w:rPr>
          <w:rFonts w:ascii="Arial" w:hAnsi="Arial" w:cs="Arial"/>
          <w:i/>
        </w:rPr>
        <w:t>sociodemographic</w:t>
      </w:r>
      <w:r w:rsidR="00945DE5">
        <w:rPr>
          <w:rFonts w:ascii="Arial" w:hAnsi="Arial" w:cs="Arial"/>
          <w:i/>
        </w:rPr>
        <w:t xml:space="preserve"> </w:t>
      </w:r>
      <w:r w:rsidR="00945DE5" w:rsidRPr="00945DE5">
        <w:rPr>
          <w:rFonts w:ascii="Arial" w:hAnsi="Arial" w:cs="Arial"/>
          <w:i/>
        </w:rPr>
        <w:t>characteristics</w:t>
      </w:r>
    </w:p>
    <w:p w14:paraId="457535E0" w14:textId="77777777" w:rsidR="00505F06" w:rsidRPr="00A24E7E" w:rsidRDefault="00505F06" w:rsidP="00441B6F">
      <w:pPr>
        <w:pStyle w:val="Body"/>
        <w:spacing w:after="0"/>
        <w:rPr>
          <w:rFonts w:ascii="Arial" w:hAnsi="Arial" w:cs="Arial"/>
          <w:i/>
        </w:rPr>
      </w:pPr>
    </w:p>
    <w:p w14:paraId="3CA0A95E" w14:textId="42EB2905" w:rsidR="007F7B32" w:rsidRPr="0097725D" w:rsidRDefault="00902823" w:rsidP="00441B6F">
      <w:pPr>
        <w:pStyle w:val="AbstHead"/>
        <w:spacing w:after="0"/>
        <w:jc w:val="both"/>
        <w:rPr>
          <w:rFonts w:ascii="Arial" w:hAnsi="Arial" w:cs="Arial"/>
        </w:rPr>
      </w:pPr>
      <w:r w:rsidRPr="0097725D">
        <w:rPr>
          <w:rFonts w:ascii="Arial" w:hAnsi="Arial" w:cs="Arial"/>
        </w:rPr>
        <w:t xml:space="preserve">1. </w:t>
      </w:r>
      <w:r w:rsidR="00B01FCD" w:rsidRPr="0097725D">
        <w:rPr>
          <w:rFonts w:ascii="Arial" w:hAnsi="Arial" w:cs="Arial"/>
        </w:rPr>
        <w:t>INTRODUCTION</w:t>
      </w:r>
      <w:r w:rsidR="007F7B32" w:rsidRPr="0097725D">
        <w:rPr>
          <w:rFonts w:ascii="Arial" w:hAnsi="Arial" w:cs="Arial"/>
        </w:rPr>
        <w:t xml:space="preserve"> </w:t>
      </w:r>
    </w:p>
    <w:p w14:paraId="7A8E5090" w14:textId="77777777" w:rsidR="00790ADA" w:rsidRPr="0097725D" w:rsidRDefault="00790ADA" w:rsidP="008E7B55">
      <w:pPr>
        <w:pStyle w:val="AbstHead"/>
        <w:spacing w:after="0"/>
        <w:jc w:val="both"/>
        <w:rPr>
          <w:rFonts w:ascii="Arial" w:hAnsi="Arial" w:cs="Arial"/>
        </w:rPr>
      </w:pPr>
    </w:p>
    <w:p w14:paraId="3A4F3C72" w14:textId="542DFC8A" w:rsidR="00026471" w:rsidRPr="0097725D" w:rsidRDefault="00026471" w:rsidP="00861803">
      <w:pPr>
        <w:pStyle w:val="Body"/>
        <w:spacing w:after="0"/>
        <w:rPr>
          <w:rFonts w:ascii="Arial" w:hAnsi="Arial" w:cs="Arial"/>
        </w:rPr>
      </w:pPr>
      <w:r w:rsidRPr="0097725D">
        <w:rPr>
          <w:rFonts w:ascii="Arial" w:hAnsi="Arial" w:cs="Arial"/>
        </w:rPr>
        <w:t xml:space="preserve">Tuberculosis (TB) is an infectious disease caused by Mycobacterium tuberculosis, transmitted through the air and primarily affecting the lungs, although it can affect other organs. The pulmonary form is more prevalent, as it is directly related to maintaining the chain of </w:t>
      </w:r>
      <w:r w:rsidRPr="0097725D">
        <w:rPr>
          <w:rFonts w:ascii="Arial" w:hAnsi="Arial" w:cs="Arial"/>
        </w:rPr>
        <w:lastRenderedPageBreak/>
        <w:t>transmission of the disease (</w:t>
      </w:r>
      <w:proofErr w:type="spellStart"/>
      <w:r w:rsidRPr="0097725D">
        <w:rPr>
          <w:rFonts w:ascii="Arial" w:hAnsi="Arial" w:cs="Arial"/>
        </w:rPr>
        <w:t>Vaz</w:t>
      </w:r>
      <w:proofErr w:type="spellEnd"/>
      <w:r w:rsidRPr="0097725D">
        <w:rPr>
          <w:rFonts w:ascii="Arial" w:hAnsi="Arial" w:cs="Arial"/>
        </w:rPr>
        <w:t xml:space="preserve">; Lopes; </w:t>
      </w:r>
      <w:proofErr w:type="spellStart"/>
      <w:r w:rsidRPr="0097725D">
        <w:rPr>
          <w:rFonts w:ascii="Arial" w:hAnsi="Arial" w:cs="Arial"/>
        </w:rPr>
        <w:t>Lubi</w:t>
      </w:r>
      <w:proofErr w:type="spellEnd"/>
      <w:r w:rsidRPr="0097725D">
        <w:rPr>
          <w:rFonts w:ascii="Arial" w:hAnsi="Arial" w:cs="Arial"/>
        </w:rPr>
        <w:t xml:space="preserve">, 2024; Lima </w:t>
      </w:r>
      <w:r w:rsidR="00E52CED" w:rsidRPr="00E52CED">
        <w:rPr>
          <w:rFonts w:ascii="Arial" w:hAnsi="Arial" w:cs="Arial"/>
          <w:i/>
          <w:iCs/>
        </w:rPr>
        <w:t>et al</w:t>
      </w:r>
      <w:r w:rsidRPr="0097725D">
        <w:rPr>
          <w:rFonts w:ascii="Arial" w:hAnsi="Arial" w:cs="Arial"/>
        </w:rPr>
        <w:t>., 2024; Brazil, Ministry of Health, 2024).</w:t>
      </w:r>
    </w:p>
    <w:p w14:paraId="0CCEC2AD" w14:textId="033E6ED1" w:rsidR="00026471" w:rsidRPr="0097725D" w:rsidRDefault="00026471" w:rsidP="00861803">
      <w:pPr>
        <w:pStyle w:val="Body"/>
        <w:spacing w:after="0"/>
        <w:rPr>
          <w:rFonts w:ascii="Arial" w:hAnsi="Arial" w:cs="Arial"/>
        </w:rPr>
      </w:pPr>
      <w:r w:rsidRPr="0097725D">
        <w:rPr>
          <w:rFonts w:ascii="Arial" w:hAnsi="Arial" w:cs="Arial"/>
        </w:rPr>
        <w:t xml:space="preserve">In this context, Brazil remains among the countries with the highest number of cases of the disease, occupying the 20th position worldwide, with approximately 80,000 annual notifications. In 2022, 96,843 cases were confirmed, and in 2020, 4,569 deaths were recorded, highlighting tuberculosis as an important public health problem, especially associated with contexts of social vulnerability (Brazil, 2019; Brazil, 2023; </w:t>
      </w:r>
      <w:proofErr w:type="spellStart"/>
      <w:r w:rsidRPr="0097725D">
        <w:rPr>
          <w:rFonts w:ascii="Arial" w:hAnsi="Arial" w:cs="Arial"/>
        </w:rPr>
        <w:t>Guidoni</w:t>
      </w:r>
      <w:proofErr w:type="spellEnd"/>
      <w:r w:rsidRPr="0097725D">
        <w:rPr>
          <w:rFonts w:ascii="Arial" w:hAnsi="Arial" w:cs="Arial"/>
        </w:rPr>
        <w:t xml:space="preserve"> </w:t>
      </w:r>
      <w:r w:rsidR="00E52CED" w:rsidRPr="00E52CED">
        <w:rPr>
          <w:rFonts w:ascii="Arial" w:hAnsi="Arial" w:cs="Arial"/>
          <w:i/>
        </w:rPr>
        <w:t>et al</w:t>
      </w:r>
      <w:r w:rsidRPr="0097725D">
        <w:rPr>
          <w:rFonts w:ascii="Arial" w:hAnsi="Arial" w:cs="Arial"/>
        </w:rPr>
        <w:t>., 2021).</w:t>
      </w:r>
    </w:p>
    <w:p w14:paraId="730F117B" w14:textId="377D0DD0" w:rsidR="00026471" w:rsidRPr="000803A8" w:rsidRDefault="00026471" w:rsidP="00861803">
      <w:pPr>
        <w:pStyle w:val="Body"/>
        <w:spacing w:after="0"/>
        <w:rPr>
          <w:rFonts w:ascii="Arial" w:hAnsi="Arial" w:cs="Arial"/>
          <w:lang w:val="pt-BR"/>
        </w:rPr>
      </w:pPr>
      <w:r w:rsidRPr="00026471">
        <w:rPr>
          <w:rFonts w:ascii="Arial" w:hAnsi="Arial" w:cs="Arial"/>
          <w:lang w:val="pt-BR"/>
        </w:rPr>
        <w:t xml:space="preserve">Tuberculosis control actions in Brazil are coordinated by the National Tuberculosis Control Program (PNCT), with decentralization to Primary Health Care (PHC). </w:t>
      </w:r>
      <w:r w:rsidRPr="000803A8">
        <w:rPr>
          <w:rFonts w:ascii="Arial" w:hAnsi="Arial" w:cs="Arial"/>
          <w:lang w:val="pt-BR"/>
        </w:rPr>
        <w:t xml:space="preserve">Treatment is offered free of charge by the </w:t>
      </w:r>
      <w:r w:rsidR="00205CB2" w:rsidRPr="000803A8">
        <w:rPr>
          <w:rFonts w:ascii="Arial" w:hAnsi="Arial" w:cs="Arial"/>
          <w:lang w:val="pt-BR"/>
        </w:rPr>
        <w:t>Sistema Único de Saúde</w:t>
      </w:r>
      <w:r w:rsidRPr="000803A8">
        <w:rPr>
          <w:rFonts w:ascii="Arial" w:hAnsi="Arial" w:cs="Arial"/>
          <w:lang w:val="pt-BR"/>
        </w:rPr>
        <w:t xml:space="preserve"> (SUS) and lasts a minimum of six months. The World Health Organization (WHO) sets targets of a minimum cure rate of 85% and an abandonment rate of less than 5%, the latter being one of the main challenges for controlling the disease and preventing antimicrobial resistance (Poersch; Costa, 2021; Sousa </w:t>
      </w:r>
      <w:r w:rsidR="00E52CED" w:rsidRPr="00E52CED">
        <w:rPr>
          <w:rFonts w:ascii="Arial" w:hAnsi="Arial" w:cs="Arial"/>
          <w:i/>
          <w:lang w:val="pt-BR"/>
        </w:rPr>
        <w:t>et al</w:t>
      </w:r>
      <w:r w:rsidRPr="000803A8">
        <w:rPr>
          <w:rFonts w:ascii="Arial" w:hAnsi="Arial" w:cs="Arial"/>
          <w:lang w:val="pt-BR"/>
        </w:rPr>
        <w:t>., 2021).</w:t>
      </w:r>
    </w:p>
    <w:p w14:paraId="1BF20276" w14:textId="241E8316" w:rsidR="00C777C4" w:rsidRDefault="00026471" w:rsidP="00861803">
      <w:pPr>
        <w:pStyle w:val="Body"/>
        <w:spacing w:after="0"/>
        <w:rPr>
          <w:rFonts w:ascii="Arial" w:hAnsi="Arial" w:cs="Arial"/>
          <w:lang w:val="pt-BR"/>
        </w:rPr>
      </w:pPr>
      <w:r w:rsidRPr="000803A8">
        <w:rPr>
          <w:rFonts w:ascii="Arial" w:hAnsi="Arial" w:cs="Arial"/>
          <w:lang w:val="pt-BR"/>
        </w:rPr>
        <w:t xml:space="preserve">Given this scenario, tuberculosis continues to represent a challenge for public health, especially in small municipalities, where socioeconomic factors and structural limitations can impact the diagnosis and follow-up of cases (World Health Organization, 2023). In this context, it becomes essential to analyze the local epidemiological profile to support more effective prevention, diagnosis, and treatment strategies. </w:t>
      </w:r>
      <w:r w:rsidRPr="00026471">
        <w:rPr>
          <w:rFonts w:ascii="Arial" w:hAnsi="Arial" w:cs="Arial"/>
          <w:lang w:val="pt-BR"/>
        </w:rPr>
        <w:t>Thus, the present study aims to analyze the profile of reported tuberculosis cases in the municipality of Santa Quitéria, Ceará, considering sociodemographic, clinical, and temporal characteristics.</w:t>
      </w:r>
    </w:p>
    <w:p w14:paraId="03729116" w14:textId="77777777" w:rsidR="00026471" w:rsidRPr="00994AB3" w:rsidRDefault="00026471" w:rsidP="00861803">
      <w:pPr>
        <w:pStyle w:val="Body"/>
        <w:spacing w:after="0"/>
        <w:rPr>
          <w:rFonts w:ascii="Arial" w:hAnsi="Arial" w:cs="Arial"/>
          <w:lang w:val="pt-BR"/>
        </w:rPr>
      </w:pPr>
    </w:p>
    <w:p w14:paraId="2E3B53F4" w14:textId="61176DE8" w:rsidR="007F7B32" w:rsidRPr="0097725D" w:rsidRDefault="00902823" w:rsidP="00441B6F">
      <w:pPr>
        <w:pStyle w:val="AbstHead"/>
        <w:spacing w:after="0"/>
        <w:jc w:val="both"/>
        <w:rPr>
          <w:rFonts w:ascii="Arial" w:hAnsi="Arial" w:cs="Arial"/>
          <w:lang w:val="pt-BR"/>
        </w:rPr>
      </w:pPr>
      <w:r w:rsidRPr="0097725D">
        <w:rPr>
          <w:rFonts w:ascii="Arial" w:hAnsi="Arial" w:cs="Arial"/>
          <w:lang w:val="pt-BR"/>
        </w:rPr>
        <w:t xml:space="preserve">2. </w:t>
      </w:r>
      <w:r w:rsidR="006B57D0" w:rsidRPr="0097725D">
        <w:rPr>
          <w:rFonts w:ascii="Arial" w:hAnsi="Arial" w:cs="Arial"/>
          <w:lang w:val="pt-BR"/>
        </w:rPr>
        <w:t>methodology</w:t>
      </w:r>
      <w:r w:rsidR="007F7B32" w:rsidRPr="0097725D">
        <w:rPr>
          <w:rFonts w:ascii="Arial" w:hAnsi="Arial" w:cs="Arial"/>
          <w:lang w:val="pt-BR"/>
        </w:rPr>
        <w:t xml:space="preserve"> </w:t>
      </w:r>
    </w:p>
    <w:p w14:paraId="4FDF024B" w14:textId="77777777" w:rsidR="00A03B96" w:rsidRPr="0097725D" w:rsidRDefault="00A03B96" w:rsidP="00861803">
      <w:pPr>
        <w:pStyle w:val="Body"/>
        <w:spacing w:after="0"/>
        <w:rPr>
          <w:rFonts w:ascii="Arial" w:hAnsi="Arial" w:cs="Arial"/>
          <w:lang w:val="pt-BR"/>
        </w:rPr>
      </w:pPr>
    </w:p>
    <w:p w14:paraId="1A80BAB3" w14:textId="31304B33" w:rsidR="00C91FED" w:rsidRDefault="00F60179" w:rsidP="00F60179">
      <w:pPr>
        <w:pStyle w:val="Body"/>
        <w:spacing w:after="0"/>
        <w:rPr>
          <w:rFonts w:ascii="Arial" w:hAnsi="Arial" w:cs="Arial"/>
          <w:lang w:val="nb-NO"/>
        </w:rPr>
      </w:pPr>
      <w:r w:rsidRPr="00F60179">
        <w:rPr>
          <w:rFonts w:ascii="Arial" w:hAnsi="Arial" w:cs="Arial"/>
          <w:lang w:val="pt-BR"/>
        </w:rPr>
        <w:t>This study is an observational, descriptive, cross-sectional study with a retrospective and quantitative approach. Secondary data were obtained from the Notifiable Diseases Information System (SINAN), which records compulsory notification diseases in Brazil.</w:t>
      </w:r>
      <w:r>
        <w:rPr>
          <w:rFonts w:ascii="Arial" w:hAnsi="Arial" w:cs="Arial"/>
          <w:lang w:val="pt-BR"/>
        </w:rPr>
        <w:t xml:space="preserve"> </w:t>
      </w:r>
      <w:r w:rsidRPr="00F60179">
        <w:rPr>
          <w:rFonts w:ascii="Arial" w:hAnsi="Arial" w:cs="Arial"/>
          <w:lang w:val="pt-BR"/>
        </w:rPr>
        <w:t>The study included all reported cases of tuberculosis in the municipality of Santa Quitéria, Ceará, Brazil, between January 2019 and December 2023. Data were accessed through the SINAN database and correspond to notifications registered by local health services during the study period.</w:t>
      </w:r>
      <w:r>
        <w:rPr>
          <w:rFonts w:ascii="Arial" w:hAnsi="Arial" w:cs="Arial"/>
          <w:lang w:val="pt-BR"/>
        </w:rPr>
        <w:t xml:space="preserve"> </w:t>
      </w:r>
      <w:r w:rsidRPr="00F60179">
        <w:rPr>
          <w:rFonts w:ascii="Arial" w:hAnsi="Arial" w:cs="Arial"/>
          <w:lang w:val="pt-BR"/>
        </w:rPr>
        <w:t>Inclusion criteria consisted of confirmed tuberculosis cases reported in SINAN within the defined time frame and associated with the municipality of Santa Quitéria. Records with incomplete information in essential variables were excluded to ensure consistency in the analysis.</w:t>
      </w:r>
      <w:r>
        <w:rPr>
          <w:rFonts w:ascii="Arial" w:hAnsi="Arial" w:cs="Arial"/>
          <w:lang w:val="pt-BR"/>
        </w:rPr>
        <w:t xml:space="preserve"> </w:t>
      </w:r>
      <w:r w:rsidRPr="00F60179">
        <w:rPr>
          <w:rFonts w:ascii="Arial" w:hAnsi="Arial" w:cs="Arial"/>
          <w:lang w:val="pt-BR"/>
        </w:rPr>
        <w:t>The variables analyzed included sociodemographic characteristics (sex, age, race/color, and education level), temporal variables (year and month of notification), clinical characteristics (clinical form of tuberculosis, type of entry, and case closure status), presence of comorbidities (mental illness, diabetes, HIV infection, alcoholism, and drug use), and laboratory diagnostic tests (sputum smear microscopy, sputum culture, rapid molecular test, and drug susceptibility testing).</w:t>
      </w:r>
      <w:r>
        <w:rPr>
          <w:rFonts w:ascii="Arial" w:hAnsi="Arial" w:cs="Arial"/>
          <w:lang w:val="pt-BR"/>
        </w:rPr>
        <w:t xml:space="preserve"> </w:t>
      </w:r>
      <w:r w:rsidRPr="00F60179">
        <w:rPr>
          <w:rFonts w:ascii="Arial" w:hAnsi="Arial" w:cs="Arial"/>
          <w:lang w:val="nb-NO"/>
        </w:rPr>
        <w:t>Data were organized and analyzed using descriptive statistical methods. Absolute and relative frequencies were calculated for the variables studied, and the results were presented in tables and graphs to facilitate visualization and interpretation of the findings. Graphical representations were produced using Microsoft Excel 2016®. As the study used secondary data from a publicly available database without identification of individuals, submission to a Research Ethics Committee was not required, in accordance with Resolution No. 510/2016 of the Brazilian National Health Council.</w:t>
      </w:r>
    </w:p>
    <w:p w14:paraId="5B423AE5" w14:textId="77777777" w:rsidR="00F60179" w:rsidRPr="00F60179" w:rsidRDefault="00F60179" w:rsidP="00F60179">
      <w:pPr>
        <w:pStyle w:val="Body"/>
        <w:spacing w:after="0"/>
        <w:rPr>
          <w:rFonts w:ascii="Arial" w:hAnsi="Arial" w:cs="Arial"/>
          <w:lang w:val="nb-NO"/>
        </w:rPr>
      </w:pPr>
    </w:p>
    <w:p w14:paraId="79070FAD" w14:textId="71C7D69A" w:rsidR="00902823" w:rsidRPr="00994AB3" w:rsidRDefault="00000F8F" w:rsidP="00441B6F">
      <w:pPr>
        <w:pStyle w:val="Head1"/>
        <w:spacing w:after="0"/>
        <w:jc w:val="both"/>
        <w:rPr>
          <w:rFonts w:ascii="Arial" w:hAnsi="Arial" w:cs="Arial"/>
          <w:lang w:val="pt-BR"/>
        </w:rPr>
      </w:pPr>
      <w:r w:rsidRPr="00994AB3">
        <w:rPr>
          <w:rFonts w:ascii="Arial" w:hAnsi="Arial" w:cs="Arial"/>
          <w:lang w:val="pt-BR"/>
        </w:rPr>
        <w:t>3</w:t>
      </w:r>
      <w:r w:rsidR="00902823" w:rsidRPr="00994AB3">
        <w:rPr>
          <w:rFonts w:ascii="Arial" w:hAnsi="Arial" w:cs="Arial"/>
          <w:lang w:val="pt-BR"/>
        </w:rPr>
        <w:t xml:space="preserve">. </w:t>
      </w:r>
      <w:r w:rsidRPr="00994AB3">
        <w:rPr>
          <w:rFonts w:ascii="Arial" w:hAnsi="Arial" w:cs="Arial"/>
          <w:lang w:val="pt-BR"/>
        </w:rPr>
        <w:t>results and discussion</w:t>
      </w:r>
    </w:p>
    <w:p w14:paraId="0F109ED7" w14:textId="77777777" w:rsidR="00DC2E62" w:rsidRDefault="00DC2E62" w:rsidP="00DC2E62">
      <w:pPr>
        <w:pStyle w:val="Body"/>
        <w:spacing w:after="0"/>
        <w:rPr>
          <w:rFonts w:ascii="Arial" w:hAnsi="Arial" w:cs="Arial"/>
          <w:b/>
          <w:bCs/>
          <w:highlight w:val="yellow"/>
          <w:lang w:val="pt-BR"/>
        </w:rPr>
      </w:pPr>
    </w:p>
    <w:p w14:paraId="1EF167EB" w14:textId="6B8D692C" w:rsidR="00790ADA" w:rsidRDefault="00C11E4F" w:rsidP="00DC2E62">
      <w:pPr>
        <w:pStyle w:val="Body"/>
        <w:spacing w:after="0"/>
        <w:rPr>
          <w:rFonts w:ascii="Arial" w:hAnsi="Arial" w:cs="Arial"/>
          <w:b/>
          <w:bCs/>
          <w:lang w:val="pt-BR"/>
        </w:rPr>
      </w:pPr>
      <w:r>
        <w:rPr>
          <w:rFonts w:ascii="Arial" w:hAnsi="Arial" w:cs="Arial"/>
          <w:b/>
          <w:bCs/>
          <w:lang w:val="pt-BR"/>
        </w:rPr>
        <w:t xml:space="preserve">3.1 </w:t>
      </w:r>
      <w:r w:rsidR="00026471" w:rsidRPr="00026471">
        <w:rPr>
          <w:rFonts w:ascii="Arial" w:hAnsi="Arial" w:cs="Arial"/>
          <w:b/>
          <w:bCs/>
          <w:lang w:val="pt-BR"/>
        </w:rPr>
        <w:t>Temporal Distribution</w:t>
      </w:r>
    </w:p>
    <w:p w14:paraId="4E422745" w14:textId="77777777" w:rsidR="00C11E4F" w:rsidRPr="00DC2E62" w:rsidRDefault="00C11E4F" w:rsidP="00DC2E62">
      <w:pPr>
        <w:pStyle w:val="Body"/>
        <w:spacing w:after="0"/>
        <w:rPr>
          <w:rFonts w:ascii="Arial" w:hAnsi="Arial" w:cs="Arial"/>
          <w:b/>
          <w:bCs/>
          <w:lang w:val="pt-BR"/>
        </w:rPr>
      </w:pPr>
    </w:p>
    <w:p w14:paraId="3A858ACE" w14:textId="1639AE2C" w:rsidR="00874268" w:rsidRDefault="00026471" w:rsidP="0048478A">
      <w:pPr>
        <w:pStyle w:val="Body"/>
        <w:spacing w:after="0"/>
        <w:ind w:firstLine="709"/>
        <w:rPr>
          <w:rFonts w:ascii="Arial" w:hAnsi="Arial" w:cs="Arial"/>
        </w:rPr>
      </w:pPr>
      <w:r w:rsidRPr="00026471">
        <w:rPr>
          <w:rFonts w:ascii="Arial" w:hAnsi="Arial" w:cs="Arial"/>
        </w:rPr>
        <w:t xml:space="preserve">After analyzing tuberculosis notifications in the studied municipality, 56 cases of the disease were registered between 2019 and 2023. As shown in Table 1, the years 2021 and 2022 presented the highest percentages of notifications, with 25% and 23% of cases, </w:t>
      </w:r>
      <w:r w:rsidRPr="00026471">
        <w:rPr>
          <w:rFonts w:ascii="Arial" w:hAnsi="Arial" w:cs="Arial"/>
        </w:rPr>
        <w:lastRenderedPageBreak/>
        <w:t>respectively. A growth trend was observed between 2019 and 2021, followed by a reduction in the two subsequent years, resulting in an annual average of approximately 11 cases in the analyzed period.</w:t>
      </w:r>
    </w:p>
    <w:p w14:paraId="2ADF6246" w14:textId="77777777" w:rsidR="00026471" w:rsidRPr="0097725D" w:rsidRDefault="00026471" w:rsidP="0048478A">
      <w:pPr>
        <w:pStyle w:val="Body"/>
        <w:spacing w:after="0"/>
        <w:ind w:firstLine="709"/>
        <w:rPr>
          <w:rFonts w:ascii="Arial" w:hAnsi="Arial" w:cs="Arial"/>
        </w:rPr>
      </w:pPr>
    </w:p>
    <w:p w14:paraId="421D887F" w14:textId="5D3F8FDD" w:rsidR="00C11E4F" w:rsidRDefault="00026471" w:rsidP="00C11E4F">
      <w:pPr>
        <w:pStyle w:val="Body"/>
        <w:spacing w:after="0"/>
        <w:jc w:val="center"/>
        <w:rPr>
          <w:rFonts w:ascii="Arial" w:hAnsi="Arial" w:cs="Arial"/>
        </w:rPr>
      </w:pPr>
      <w:r w:rsidRPr="00026471">
        <w:rPr>
          <w:rFonts w:ascii="Arial" w:hAnsi="Arial" w:cs="Arial"/>
          <w:b/>
          <w:bCs/>
        </w:rPr>
        <w:t>Table 1. Number of cases according to two-month periods and total percentage of tuberculosis notifications, according to the year of occurrence, Santa Quitéria, Ceará, 2019–2023.</w:t>
      </w:r>
    </w:p>
    <w:tbl>
      <w:tblPr>
        <w:tblW w:w="8844" w:type="dxa"/>
        <w:tblCellMar>
          <w:left w:w="0" w:type="dxa"/>
          <w:right w:w="0" w:type="dxa"/>
        </w:tblCellMar>
        <w:tblLook w:val="04A0" w:firstRow="1" w:lastRow="0" w:firstColumn="1" w:lastColumn="0" w:noHBand="0" w:noVBand="1"/>
      </w:tblPr>
      <w:tblGrid>
        <w:gridCol w:w="942"/>
        <w:gridCol w:w="1134"/>
        <w:gridCol w:w="1273"/>
        <w:gridCol w:w="960"/>
        <w:gridCol w:w="1134"/>
        <w:gridCol w:w="1134"/>
        <w:gridCol w:w="960"/>
        <w:gridCol w:w="1307"/>
      </w:tblGrid>
      <w:tr w:rsidR="008D729C" w:rsidRPr="008D729C" w14:paraId="26A028EC" w14:textId="77777777" w:rsidTr="008D729C">
        <w:trPr>
          <w:trHeight w:val="307"/>
        </w:trPr>
        <w:tc>
          <w:tcPr>
            <w:tcW w:w="0" w:type="auto"/>
            <w:vMerge w:val="restart"/>
            <w:tcBorders>
              <w:top w:val="single" w:sz="4" w:space="0" w:color="auto"/>
            </w:tcBorders>
            <w:tcMar>
              <w:top w:w="0" w:type="dxa"/>
              <w:left w:w="45" w:type="dxa"/>
              <w:bottom w:w="0" w:type="dxa"/>
              <w:right w:w="45" w:type="dxa"/>
            </w:tcMar>
            <w:hideMark/>
          </w:tcPr>
          <w:p w14:paraId="4710ACCC"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Year</w:t>
            </w:r>
          </w:p>
        </w:tc>
        <w:tc>
          <w:tcPr>
            <w:tcW w:w="0" w:type="auto"/>
            <w:gridSpan w:val="6"/>
            <w:tcBorders>
              <w:top w:val="single" w:sz="4" w:space="0" w:color="auto"/>
              <w:bottom w:val="single" w:sz="4" w:space="0" w:color="auto"/>
            </w:tcBorders>
            <w:tcMar>
              <w:top w:w="0" w:type="dxa"/>
              <w:left w:w="45" w:type="dxa"/>
              <w:bottom w:w="0" w:type="dxa"/>
              <w:right w:w="45" w:type="dxa"/>
            </w:tcMar>
            <w:vAlign w:val="bottom"/>
            <w:hideMark/>
          </w:tcPr>
          <w:p w14:paraId="65C1EDF1"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Two months</w:t>
            </w:r>
          </w:p>
        </w:tc>
        <w:tc>
          <w:tcPr>
            <w:tcW w:w="0" w:type="auto"/>
            <w:tcBorders>
              <w:top w:val="single" w:sz="4" w:space="0" w:color="auto"/>
            </w:tcBorders>
            <w:tcMar>
              <w:top w:w="0" w:type="dxa"/>
              <w:left w:w="45" w:type="dxa"/>
              <w:bottom w:w="0" w:type="dxa"/>
              <w:right w:w="45" w:type="dxa"/>
            </w:tcMar>
            <w:vAlign w:val="bottom"/>
            <w:hideMark/>
          </w:tcPr>
          <w:p w14:paraId="5BD21C9A" w14:textId="77777777" w:rsidR="008D729C" w:rsidRPr="008D729C" w:rsidRDefault="008D729C" w:rsidP="008D729C">
            <w:pPr>
              <w:pStyle w:val="Body"/>
              <w:spacing w:after="0"/>
              <w:jc w:val="left"/>
              <w:rPr>
                <w:rFonts w:ascii="Arial" w:hAnsi="Arial" w:cs="Arial"/>
                <w:b/>
                <w:bCs/>
                <w:lang w:val="pt-BR"/>
              </w:rPr>
            </w:pPr>
            <w:r w:rsidRPr="008D729C">
              <w:rPr>
                <w:rFonts w:ascii="Arial" w:hAnsi="Arial" w:cs="Arial"/>
                <w:b/>
                <w:bCs/>
                <w:lang w:val="pt-BR"/>
              </w:rPr>
              <w:t>Total</w:t>
            </w:r>
          </w:p>
        </w:tc>
      </w:tr>
      <w:tr w:rsidR="008D729C" w:rsidRPr="008D729C" w14:paraId="1F0D7339" w14:textId="77777777" w:rsidTr="008D729C">
        <w:trPr>
          <w:trHeight w:val="307"/>
        </w:trPr>
        <w:tc>
          <w:tcPr>
            <w:tcW w:w="0" w:type="auto"/>
            <w:vMerge/>
            <w:tcBorders>
              <w:bottom w:val="single" w:sz="4" w:space="0" w:color="auto"/>
            </w:tcBorders>
            <w:vAlign w:val="center"/>
            <w:hideMark/>
          </w:tcPr>
          <w:p w14:paraId="694EAB91" w14:textId="77777777" w:rsidR="008D729C" w:rsidRPr="008D729C" w:rsidRDefault="008D729C" w:rsidP="008D729C">
            <w:pPr>
              <w:pStyle w:val="Body"/>
              <w:spacing w:after="0"/>
              <w:rPr>
                <w:rFonts w:ascii="Arial" w:hAnsi="Arial" w:cs="Arial"/>
                <w:b/>
                <w:bCs/>
                <w:lang w:val="pt-BR"/>
              </w:rPr>
            </w:pP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0A18BE9C"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First</w:t>
            </w: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72550D7B"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Second</w:t>
            </w: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43F32B55"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Third</w:t>
            </w: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62D23B43"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Fourth</w:t>
            </w: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36385BF2"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Fifth</w:t>
            </w: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2B2C2E41"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Sixth</w:t>
            </w:r>
          </w:p>
        </w:tc>
        <w:tc>
          <w:tcPr>
            <w:tcW w:w="0" w:type="auto"/>
            <w:tcBorders>
              <w:bottom w:val="single" w:sz="4" w:space="0" w:color="auto"/>
            </w:tcBorders>
            <w:tcMar>
              <w:top w:w="0" w:type="dxa"/>
              <w:left w:w="45" w:type="dxa"/>
              <w:bottom w:w="0" w:type="dxa"/>
              <w:right w:w="45" w:type="dxa"/>
            </w:tcMar>
            <w:hideMark/>
          </w:tcPr>
          <w:p w14:paraId="58F73733" w14:textId="77777777" w:rsidR="008D729C" w:rsidRPr="008D729C" w:rsidRDefault="008D729C" w:rsidP="008D729C">
            <w:pPr>
              <w:pStyle w:val="Body"/>
              <w:spacing w:after="0"/>
              <w:jc w:val="left"/>
              <w:rPr>
                <w:rFonts w:ascii="Arial" w:hAnsi="Arial" w:cs="Arial"/>
                <w:b/>
                <w:bCs/>
                <w:lang w:val="pt-BR"/>
              </w:rPr>
            </w:pPr>
            <w:r w:rsidRPr="008D729C">
              <w:rPr>
                <w:rFonts w:ascii="Arial" w:hAnsi="Arial" w:cs="Arial"/>
                <w:b/>
                <w:bCs/>
                <w:lang w:val="pt-BR"/>
              </w:rPr>
              <w:t>N (%)</w:t>
            </w:r>
          </w:p>
        </w:tc>
      </w:tr>
      <w:tr w:rsidR="008D729C" w:rsidRPr="008D729C" w14:paraId="06E4E898" w14:textId="77777777" w:rsidTr="008D729C">
        <w:trPr>
          <w:trHeight w:val="307"/>
        </w:trPr>
        <w:tc>
          <w:tcPr>
            <w:tcW w:w="0" w:type="auto"/>
            <w:tcBorders>
              <w:top w:val="single" w:sz="4" w:space="0" w:color="auto"/>
            </w:tcBorders>
            <w:tcMar>
              <w:top w:w="0" w:type="dxa"/>
              <w:left w:w="45" w:type="dxa"/>
              <w:bottom w:w="0" w:type="dxa"/>
              <w:right w:w="45" w:type="dxa"/>
            </w:tcMar>
            <w:vAlign w:val="bottom"/>
            <w:hideMark/>
          </w:tcPr>
          <w:p w14:paraId="620A276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2019</w:t>
            </w:r>
          </w:p>
        </w:tc>
        <w:tc>
          <w:tcPr>
            <w:tcW w:w="0" w:type="auto"/>
            <w:tcBorders>
              <w:top w:val="single" w:sz="4" w:space="0" w:color="auto"/>
            </w:tcBorders>
            <w:tcMar>
              <w:top w:w="0" w:type="dxa"/>
              <w:left w:w="45" w:type="dxa"/>
              <w:bottom w:w="0" w:type="dxa"/>
              <w:right w:w="45" w:type="dxa"/>
            </w:tcMar>
            <w:vAlign w:val="bottom"/>
            <w:hideMark/>
          </w:tcPr>
          <w:p w14:paraId="3A9752A5"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0</w:t>
            </w:r>
          </w:p>
        </w:tc>
        <w:tc>
          <w:tcPr>
            <w:tcW w:w="0" w:type="auto"/>
            <w:tcBorders>
              <w:top w:val="single" w:sz="4" w:space="0" w:color="auto"/>
            </w:tcBorders>
            <w:tcMar>
              <w:top w:w="0" w:type="dxa"/>
              <w:left w:w="45" w:type="dxa"/>
              <w:bottom w:w="0" w:type="dxa"/>
              <w:right w:w="45" w:type="dxa"/>
            </w:tcMar>
            <w:vAlign w:val="bottom"/>
            <w:hideMark/>
          </w:tcPr>
          <w:p w14:paraId="5A4A59C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Borders>
              <w:top w:val="single" w:sz="4" w:space="0" w:color="auto"/>
            </w:tcBorders>
            <w:tcMar>
              <w:top w:w="0" w:type="dxa"/>
              <w:left w:w="45" w:type="dxa"/>
              <w:bottom w:w="0" w:type="dxa"/>
              <w:right w:w="45" w:type="dxa"/>
            </w:tcMar>
            <w:vAlign w:val="bottom"/>
            <w:hideMark/>
          </w:tcPr>
          <w:p w14:paraId="71643A2E"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Borders>
              <w:top w:val="single" w:sz="4" w:space="0" w:color="auto"/>
            </w:tcBorders>
            <w:tcMar>
              <w:top w:w="0" w:type="dxa"/>
              <w:left w:w="45" w:type="dxa"/>
              <w:bottom w:w="0" w:type="dxa"/>
              <w:right w:w="45" w:type="dxa"/>
            </w:tcMar>
            <w:vAlign w:val="bottom"/>
            <w:hideMark/>
          </w:tcPr>
          <w:p w14:paraId="2D18EAB4"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0</w:t>
            </w:r>
          </w:p>
        </w:tc>
        <w:tc>
          <w:tcPr>
            <w:tcW w:w="0" w:type="auto"/>
            <w:tcBorders>
              <w:top w:val="single" w:sz="4" w:space="0" w:color="auto"/>
            </w:tcBorders>
            <w:tcMar>
              <w:top w:w="0" w:type="dxa"/>
              <w:left w:w="45" w:type="dxa"/>
              <w:bottom w:w="0" w:type="dxa"/>
              <w:right w:w="45" w:type="dxa"/>
            </w:tcMar>
            <w:vAlign w:val="bottom"/>
            <w:hideMark/>
          </w:tcPr>
          <w:p w14:paraId="2FF0B5C3"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Borders>
              <w:top w:val="single" w:sz="4" w:space="0" w:color="auto"/>
            </w:tcBorders>
            <w:tcMar>
              <w:top w:w="0" w:type="dxa"/>
              <w:left w:w="45" w:type="dxa"/>
              <w:bottom w:w="0" w:type="dxa"/>
              <w:right w:w="45" w:type="dxa"/>
            </w:tcMar>
            <w:vAlign w:val="bottom"/>
            <w:hideMark/>
          </w:tcPr>
          <w:p w14:paraId="4079C06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Borders>
              <w:top w:val="single" w:sz="4" w:space="0" w:color="auto"/>
            </w:tcBorders>
            <w:tcMar>
              <w:top w:w="0" w:type="dxa"/>
              <w:left w:w="45" w:type="dxa"/>
              <w:bottom w:w="0" w:type="dxa"/>
              <w:right w:w="45" w:type="dxa"/>
            </w:tcMar>
            <w:vAlign w:val="bottom"/>
            <w:hideMark/>
          </w:tcPr>
          <w:p w14:paraId="19D7CD1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6 (11)</w:t>
            </w:r>
          </w:p>
        </w:tc>
      </w:tr>
      <w:tr w:rsidR="008D729C" w:rsidRPr="008D729C" w14:paraId="072172D6" w14:textId="77777777" w:rsidTr="008D729C">
        <w:trPr>
          <w:trHeight w:val="307"/>
        </w:trPr>
        <w:tc>
          <w:tcPr>
            <w:tcW w:w="0" w:type="auto"/>
            <w:tcMar>
              <w:top w:w="0" w:type="dxa"/>
              <w:left w:w="45" w:type="dxa"/>
              <w:bottom w:w="0" w:type="dxa"/>
              <w:right w:w="45" w:type="dxa"/>
            </w:tcMar>
            <w:vAlign w:val="bottom"/>
            <w:hideMark/>
          </w:tcPr>
          <w:p w14:paraId="16BBC9E4"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2020</w:t>
            </w:r>
          </w:p>
        </w:tc>
        <w:tc>
          <w:tcPr>
            <w:tcW w:w="0" w:type="auto"/>
            <w:tcMar>
              <w:top w:w="0" w:type="dxa"/>
              <w:left w:w="45" w:type="dxa"/>
              <w:bottom w:w="0" w:type="dxa"/>
              <w:right w:w="45" w:type="dxa"/>
            </w:tcMar>
            <w:vAlign w:val="bottom"/>
            <w:hideMark/>
          </w:tcPr>
          <w:p w14:paraId="3D3CEBE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65338A22"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3</w:t>
            </w:r>
          </w:p>
        </w:tc>
        <w:tc>
          <w:tcPr>
            <w:tcW w:w="0" w:type="auto"/>
            <w:tcMar>
              <w:top w:w="0" w:type="dxa"/>
              <w:left w:w="45" w:type="dxa"/>
              <w:bottom w:w="0" w:type="dxa"/>
              <w:right w:w="45" w:type="dxa"/>
            </w:tcMar>
            <w:vAlign w:val="bottom"/>
            <w:hideMark/>
          </w:tcPr>
          <w:p w14:paraId="05472C8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1684A372"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4</w:t>
            </w:r>
          </w:p>
        </w:tc>
        <w:tc>
          <w:tcPr>
            <w:tcW w:w="0" w:type="auto"/>
            <w:tcMar>
              <w:top w:w="0" w:type="dxa"/>
              <w:left w:w="45" w:type="dxa"/>
              <w:bottom w:w="0" w:type="dxa"/>
              <w:right w:w="45" w:type="dxa"/>
            </w:tcMar>
            <w:vAlign w:val="bottom"/>
            <w:hideMark/>
          </w:tcPr>
          <w:p w14:paraId="797F02C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189BBA76"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294CECB4"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12 (22)</w:t>
            </w:r>
          </w:p>
        </w:tc>
      </w:tr>
      <w:tr w:rsidR="008D729C" w:rsidRPr="008D729C" w14:paraId="7F53D735" w14:textId="77777777" w:rsidTr="008D729C">
        <w:trPr>
          <w:trHeight w:val="307"/>
        </w:trPr>
        <w:tc>
          <w:tcPr>
            <w:tcW w:w="0" w:type="auto"/>
            <w:tcMar>
              <w:top w:w="0" w:type="dxa"/>
              <w:left w:w="45" w:type="dxa"/>
              <w:bottom w:w="0" w:type="dxa"/>
              <w:right w:w="45" w:type="dxa"/>
            </w:tcMar>
            <w:vAlign w:val="bottom"/>
            <w:hideMark/>
          </w:tcPr>
          <w:p w14:paraId="293F2D1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2021</w:t>
            </w:r>
          </w:p>
        </w:tc>
        <w:tc>
          <w:tcPr>
            <w:tcW w:w="0" w:type="auto"/>
            <w:tcMar>
              <w:top w:w="0" w:type="dxa"/>
              <w:left w:w="45" w:type="dxa"/>
              <w:bottom w:w="0" w:type="dxa"/>
              <w:right w:w="45" w:type="dxa"/>
            </w:tcMar>
            <w:vAlign w:val="bottom"/>
            <w:hideMark/>
          </w:tcPr>
          <w:p w14:paraId="77B2CCA2"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216162E8"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301C2218"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4254B4F5"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46AEE45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4</w:t>
            </w:r>
          </w:p>
        </w:tc>
        <w:tc>
          <w:tcPr>
            <w:tcW w:w="0" w:type="auto"/>
            <w:tcMar>
              <w:top w:w="0" w:type="dxa"/>
              <w:left w:w="45" w:type="dxa"/>
              <w:bottom w:w="0" w:type="dxa"/>
              <w:right w:w="45" w:type="dxa"/>
            </w:tcMar>
            <w:vAlign w:val="bottom"/>
            <w:hideMark/>
          </w:tcPr>
          <w:p w14:paraId="3E7B7098"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209B4286"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14 (25)</w:t>
            </w:r>
          </w:p>
        </w:tc>
      </w:tr>
      <w:tr w:rsidR="008D729C" w:rsidRPr="008D729C" w14:paraId="1A5700B9" w14:textId="77777777" w:rsidTr="008D729C">
        <w:trPr>
          <w:trHeight w:val="307"/>
        </w:trPr>
        <w:tc>
          <w:tcPr>
            <w:tcW w:w="0" w:type="auto"/>
            <w:tcMar>
              <w:top w:w="0" w:type="dxa"/>
              <w:left w:w="45" w:type="dxa"/>
              <w:bottom w:w="0" w:type="dxa"/>
              <w:right w:w="45" w:type="dxa"/>
            </w:tcMar>
            <w:vAlign w:val="bottom"/>
            <w:hideMark/>
          </w:tcPr>
          <w:p w14:paraId="4E7405DD"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2022</w:t>
            </w:r>
          </w:p>
        </w:tc>
        <w:tc>
          <w:tcPr>
            <w:tcW w:w="0" w:type="auto"/>
            <w:tcMar>
              <w:top w:w="0" w:type="dxa"/>
              <w:left w:w="45" w:type="dxa"/>
              <w:bottom w:w="0" w:type="dxa"/>
              <w:right w:w="45" w:type="dxa"/>
            </w:tcMar>
            <w:vAlign w:val="bottom"/>
            <w:hideMark/>
          </w:tcPr>
          <w:p w14:paraId="5411C1A1"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483E2F3B"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14A6B9E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5B37D4F2"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07F140ED"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5</w:t>
            </w:r>
          </w:p>
        </w:tc>
        <w:tc>
          <w:tcPr>
            <w:tcW w:w="0" w:type="auto"/>
            <w:tcMar>
              <w:top w:w="0" w:type="dxa"/>
              <w:left w:w="45" w:type="dxa"/>
              <w:bottom w:w="0" w:type="dxa"/>
              <w:right w:w="45" w:type="dxa"/>
            </w:tcMar>
            <w:vAlign w:val="bottom"/>
            <w:hideMark/>
          </w:tcPr>
          <w:p w14:paraId="4D5484F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3E7E9CED"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12 (22)</w:t>
            </w:r>
          </w:p>
        </w:tc>
      </w:tr>
      <w:tr w:rsidR="008D729C" w:rsidRPr="008D729C" w14:paraId="4F397063" w14:textId="77777777" w:rsidTr="00FC20A8">
        <w:trPr>
          <w:trHeight w:val="307"/>
        </w:trPr>
        <w:tc>
          <w:tcPr>
            <w:tcW w:w="0" w:type="auto"/>
            <w:tcBorders>
              <w:bottom w:val="single" w:sz="4" w:space="0" w:color="auto"/>
            </w:tcBorders>
            <w:tcMar>
              <w:top w:w="0" w:type="dxa"/>
              <w:left w:w="45" w:type="dxa"/>
              <w:bottom w:w="0" w:type="dxa"/>
              <w:right w:w="45" w:type="dxa"/>
            </w:tcMar>
            <w:vAlign w:val="bottom"/>
            <w:hideMark/>
          </w:tcPr>
          <w:p w14:paraId="16C37DC5"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2023</w:t>
            </w:r>
          </w:p>
        </w:tc>
        <w:tc>
          <w:tcPr>
            <w:tcW w:w="0" w:type="auto"/>
            <w:tcBorders>
              <w:bottom w:val="single" w:sz="4" w:space="0" w:color="auto"/>
            </w:tcBorders>
            <w:tcMar>
              <w:top w:w="0" w:type="dxa"/>
              <w:left w:w="45" w:type="dxa"/>
              <w:bottom w:w="0" w:type="dxa"/>
              <w:right w:w="45" w:type="dxa"/>
            </w:tcMar>
            <w:vAlign w:val="bottom"/>
            <w:hideMark/>
          </w:tcPr>
          <w:p w14:paraId="64BCA9C2"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5</w:t>
            </w:r>
          </w:p>
        </w:tc>
        <w:tc>
          <w:tcPr>
            <w:tcW w:w="0" w:type="auto"/>
            <w:tcBorders>
              <w:bottom w:val="single" w:sz="4" w:space="0" w:color="auto"/>
            </w:tcBorders>
            <w:tcMar>
              <w:top w:w="0" w:type="dxa"/>
              <w:left w:w="45" w:type="dxa"/>
              <w:bottom w:w="0" w:type="dxa"/>
              <w:right w:w="45" w:type="dxa"/>
            </w:tcMar>
            <w:vAlign w:val="bottom"/>
            <w:hideMark/>
          </w:tcPr>
          <w:p w14:paraId="34C96459"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3</w:t>
            </w:r>
          </w:p>
        </w:tc>
        <w:tc>
          <w:tcPr>
            <w:tcW w:w="0" w:type="auto"/>
            <w:tcBorders>
              <w:bottom w:val="single" w:sz="4" w:space="0" w:color="auto"/>
            </w:tcBorders>
            <w:tcMar>
              <w:top w:w="0" w:type="dxa"/>
              <w:left w:w="45" w:type="dxa"/>
              <w:bottom w:w="0" w:type="dxa"/>
              <w:right w:w="45" w:type="dxa"/>
            </w:tcMar>
            <w:vAlign w:val="bottom"/>
            <w:hideMark/>
          </w:tcPr>
          <w:p w14:paraId="2D1B8140"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Borders>
              <w:bottom w:val="single" w:sz="4" w:space="0" w:color="auto"/>
            </w:tcBorders>
            <w:tcMar>
              <w:top w:w="0" w:type="dxa"/>
              <w:left w:w="45" w:type="dxa"/>
              <w:bottom w:w="0" w:type="dxa"/>
              <w:right w:w="45" w:type="dxa"/>
            </w:tcMar>
            <w:vAlign w:val="bottom"/>
            <w:hideMark/>
          </w:tcPr>
          <w:p w14:paraId="133A42B4"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Borders>
              <w:bottom w:val="single" w:sz="4" w:space="0" w:color="auto"/>
            </w:tcBorders>
            <w:tcMar>
              <w:top w:w="0" w:type="dxa"/>
              <w:left w:w="45" w:type="dxa"/>
              <w:bottom w:w="0" w:type="dxa"/>
              <w:right w:w="45" w:type="dxa"/>
            </w:tcMar>
            <w:vAlign w:val="bottom"/>
            <w:hideMark/>
          </w:tcPr>
          <w:p w14:paraId="3D1DADA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0</w:t>
            </w:r>
          </w:p>
        </w:tc>
        <w:tc>
          <w:tcPr>
            <w:tcW w:w="0" w:type="auto"/>
            <w:tcBorders>
              <w:bottom w:val="single" w:sz="4" w:space="0" w:color="auto"/>
            </w:tcBorders>
            <w:tcMar>
              <w:top w:w="0" w:type="dxa"/>
              <w:left w:w="45" w:type="dxa"/>
              <w:bottom w:w="0" w:type="dxa"/>
              <w:right w:w="45" w:type="dxa"/>
            </w:tcMar>
            <w:vAlign w:val="bottom"/>
            <w:hideMark/>
          </w:tcPr>
          <w:p w14:paraId="369CF88D"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Borders>
              <w:bottom w:val="single" w:sz="4" w:space="0" w:color="auto"/>
            </w:tcBorders>
            <w:tcMar>
              <w:top w:w="0" w:type="dxa"/>
              <w:left w:w="45" w:type="dxa"/>
              <w:bottom w:w="0" w:type="dxa"/>
              <w:right w:w="45" w:type="dxa"/>
            </w:tcMar>
            <w:vAlign w:val="bottom"/>
            <w:hideMark/>
          </w:tcPr>
          <w:p w14:paraId="3EF81B3B"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11 (20)</w:t>
            </w:r>
          </w:p>
        </w:tc>
      </w:tr>
      <w:tr w:rsidR="008D729C" w:rsidRPr="008D729C" w14:paraId="0B1E9BF6" w14:textId="77777777" w:rsidTr="00FC20A8">
        <w:trPr>
          <w:trHeight w:val="307"/>
        </w:trPr>
        <w:tc>
          <w:tcPr>
            <w:tcW w:w="0" w:type="auto"/>
            <w:tcBorders>
              <w:top w:val="single" w:sz="4" w:space="0" w:color="auto"/>
            </w:tcBorders>
            <w:tcMar>
              <w:top w:w="0" w:type="dxa"/>
              <w:left w:w="45" w:type="dxa"/>
              <w:bottom w:w="0" w:type="dxa"/>
              <w:right w:w="45" w:type="dxa"/>
            </w:tcMar>
            <w:vAlign w:val="bottom"/>
            <w:hideMark/>
          </w:tcPr>
          <w:p w14:paraId="69996A84" w14:textId="77777777" w:rsidR="008D729C" w:rsidRPr="008D729C" w:rsidRDefault="008D729C" w:rsidP="00FC20A8">
            <w:pPr>
              <w:pStyle w:val="Body"/>
              <w:spacing w:after="0"/>
              <w:jc w:val="left"/>
              <w:rPr>
                <w:rFonts w:ascii="Arial" w:hAnsi="Arial" w:cs="Arial"/>
                <w:b/>
                <w:bCs/>
                <w:lang w:val="pt-BR"/>
              </w:rPr>
            </w:pPr>
            <w:r w:rsidRPr="008D729C">
              <w:rPr>
                <w:rFonts w:ascii="Arial" w:hAnsi="Arial" w:cs="Arial"/>
                <w:b/>
                <w:bCs/>
                <w:lang w:val="pt-BR"/>
              </w:rPr>
              <w:t>Total</w:t>
            </w:r>
          </w:p>
        </w:tc>
        <w:tc>
          <w:tcPr>
            <w:tcW w:w="0" w:type="auto"/>
            <w:tcBorders>
              <w:top w:val="single" w:sz="4" w:space="0" w:color="auto"/>
            </w:tcBorders>
            <w:tcMar>
              <w:top w:w="0" w:type="dxa"/>
              <w:left w:w="45" w:type="dxa"/>
              <w:bottom w:w="0" w:type="dxa"/>
              <w:right w:w="45" w:type="dxa"/>
            </w:tcMar>
            <w:vAlign w:val="bottom"/>
            <w:hideMark/>
          </w:tcPr>
          <w:p w14:paraId="3D984104"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11 (20)</w:t>
            </w:r>
          </w:p>
        </w:tc>
        <w:tc>
          <w:tcPr>
            <w:tcW w:w="0" w:type="auto"/>
            <w:tcBorders>
              <w:top w:val="single" w:sz="4" w:space="0" w:color="auto"/>
            </w:tcBorders>
            <w:tcMar>
              <w:top w:w="0" w:type="dxa"/>
              <w:left w:w="45" w:type="dxa"/>
              <w:bottom w:w="0" w:type="dxa"/>
              <w:right w:w="45" w:type="dxa"/>
            </w:tcMar>
            <w:vAlign w:val="bottom"/>
            <w:hideMark/>
          </w:tcPr>
          <w:p w14:paraId="150301FC"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11 (20)</w:t>
            </w:r>
          </w:p>
        </w:tc>
        <w:tc>
          <w:tcPr>
            <w:tcW w:w="0" w:type="auto"/>
            <w:tcBorders>
              <w:top w:val="single" w:sz="4" w:space="0" w:color="auto"/>
            </w:tcBorders>
            <w:tcMar>
              <w:top w:w="0" w:type="dxa"/>
              <w:left w:w="45" w:type="dxa"/>
              <w:bottom w:w="0" w:type="dxa"/>
              <w:right w:w="45" w:type="dxa"/>
            </w:tcMar>
            <w:vAlign w:val="bottom"/>
            <w:hideMark/>
          </w:tcPr>
          <w:p w14:paraId="2F6FD79F"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6 (11)</w:t>
            </w:r>
          </w:p>
        </w:tc>
        <w:tc>
          <w:tcPr>
            <w:tcW w:w="0" w:type="auto"/>
            <w:tcBorders>
              <w:top w:val="single" w:sz="4" w:space="0" w:color="auto"/>
            </w:tcBorders>
            <w:tcMar>
              <w:top w:w="0" w:type="dxa"/>
              <w:left w:w="45" w:type="dxa"/>
              <w:bottom w:w="0" w:type="dxa"/>
              <w:right w:w="45" w:type="dxa"/>
            </w:tcMar>
            <w:vAlign w:val="bottom"/>
            <w:hideMark/>
          </w:tcPr>
          <w:p w14:paraId="70AFB5A4"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9 (16)</w:t>
            </w:r>
          </w:p>
        </w:tc>
        <w:tc>
          <w:tcPr>
            <w:tcW w:w="0" w:type="auto"/>
            <w:tcBorders>
              <w:top w:val="single" w:sz="4" w:space="0" w:color="auto"/>
            </w:tcBorders>
            <w:tcMar>
              <w:top w:w="0" w:type="dxa"/>
              <w:left w:w="45" w:type="dxa"/>
              <w:bottom w:w="0" w:type="dxa"/>
              <w:right w:w="45" w:type="dxa"/>
            </w:tcMar>
            <w:vAlign w:val="bottom"/>
            <w:hideMark/>
          </w:tcPr>
          <w:p w14:paraId="1FD84E57"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11 (20)</w:t>
            </w:r>
          </w:p>
        </w:tc>
        <w:tc>
          <w:tcPr>
            <w:tcW w:w="0" w:type="auto"/>
            <w:tcBorders>
              <w:top w:val="single" w:sz="4" w:space="0" w:color="auto"/>
            </w:tcBorders>
            <w:tcMar>
              <w:top w:w="0" w:type="dxa"/>
              <w:left w:w="45" w:type="dxa"/>
              <w:bottom w:w="0" w:type="dxa"/>
              <w:right w:w="45" w:type="dxa"/>
            </w:tcMar>
            <w:vAlign w:val="bottom"/>
            <w:hideMark/>
          </w:tcPr>
          <w:p w14:paraId="48421986"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7 (13)</w:t>
            </w:r>
          </w:p>
        </w:tc>
        <w:tc>
          <w:tcPr>
            <w:tcW w:w="0" w:type="auto"/>
            <w:tcBorders>
              <w:top w:val="single" w:sz="4" w:space="0" w:color="auto"/>
            </w:tcBorders>
            <w:tcMar>
              <w:top w:w="0" w:type="dxa"/>
              <w:left w:w="45" w:type="dxa"/>
              <w:bottom w:w="0" w:type="dxa"/>
              <w:right w:w="45" w:type="dxa"/>
            </w:tcMar>
            <w:vAlign w:val="bottom"/>
            <w:hideMark/>
          </w:tcPr>
          <w:p w14:paraId="2ADA132E"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55 (100)</w:t>
            </w:r>
          </w:p>
        </w:tc>
      </w:tr>
      <w:tr w:rsidR="008D729C" w:rsidRPr="008D729C" w14:paraId="0C49A5AD" w14:textId="77777777" w:rsidTr="00FC20A8">
        <w:trPr>
          <w:trHeight w:val="307"/>
        </w:trPr>
        <w:tc>
          <w:tcPr>
            <w:tcW w:w="0" w:type="auto"/>
            <w:tcBorders>
              <w:bottom w:val="single" w:sz="4" w:space="0" w:color="auto"/>
            </w:tcBorders>
            <w:tcMar>
              <w:top w:w="0" w:type="dxa"/>
              <w:left w:w="45" w:type="dxa"/>
              <w:bottom w:w="0" w:type="dxa"/>
              <w:right w:w="45" w:type="dxa"/>
            </w:tcMar>
            <w:hideMark/>
          </w:tcPr>
          <w:p w14:paraId="3051F473" w14:textId="77777777" w:rsidR="008D729C" w:rsidRPr="008D729C" w:rsidRDefault="008D729C" w:rsidP="00FC20A8">
            <w:pPr>
              <w:pStyle w:val="Body"/>
              <w:spacing w:after="0"/>
              <w:jc w:val="left"/>
              <w:rPr>
                <w:rFonts w:ascii="Arial" w:hAnsi="Arial" w:cs="Arial"/>
                <w:b/>
                <w:bCs/>
                <w:lang w:val="pt-BR"/>
              </w:rPr>
            </w:pPr>
            <w:r w:rsidRPr="008D729C">
              <w:rPr>
                <w:rFonts w:ascii="Arial" w:hAnsi="Arial" w:cs="Arial"/>
                <w:b/>
                <w:bCs/>
                <w:lang w:val="pt-BR"/>
              </w:rPr>
              <w:t>N (%)</w:t>
            </w:r>
          </w:p>
        </w:tc>
        <w:tc>
          <w:tcPr>
            <w:tcW w:w="0" w:type="auto"/>
            <w:tcBorders>
              <w:bottom w:val="single" w:sz="4" w:space="0" w:color="auto"/>
            </w:tcBorders>
            <w:tcMar>
              <w:top w:w="0" w:type="dxa"/>
              <w:left w:w="45" w:type="dxa"/>
              <w:bottom w:w="0" w:type="dxa"/>
              <w:right w:w="45" w:type="dxa"/>
            </w:tcMar>
            <w:vAlign w:val="bottom"/>
            <w:hideMark/>
          </w:tcPr>
          <w:p w14:paraId="531BAF93"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682B8566"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68A98294"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4A035084"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7C34AF3E"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0C33CED2"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3A91F3FB" w14:textId="77777777" w:rsidR="008D729C" w:rsidRPr="008D729C" w:rsidRDefault="008D729C" w:rsidP="008D729C">
            <w:pPr>
              <w:pStyle w:val="Body"/>
              <w:spacing w:after="0"/>
              <w:rPr>
                <w:rFonts w:ascii="Arial" w:hAnsi="Arial" w:cs="Arial"/>
                <w:lang w:val="pt-BR"/>
              </w:rPr>
            </w:pPr>
          </w:p>
        </w:tc>
      </w:tr>
    </w:tbl>
    <w:p w14:paraId="30D9560C" w14:textId="67F421EB" w:rsidR="00C11E4F" w:rsidRDefault="008D729C" w:rsidP="008D729C">
      <w:pPr>
        <w:pStyle w:val="Body"/>
        <w:spacing w:after="0"/>
        <w:rPr>
          <w:rFonts w:ascii="Arial" w:hAnsi="Arial" w:cs="Arial"/>
          <w:b/>
          <w:bCs/>
          <w:sz w:val="18"/>
          <w:szCs w:val="18"/>
        </w:rPr>
      </w:pPr>
      <w:r w:rsidRPr="008D729C">
        <w:rPr>
          <w:rFonts w:ascii="Arial" w:hAnsi="Arial" w:cs="Arial"/>
          <w:b/>
          <w:bCs/>
          <w:sz w:val="18"/>
          <w:szCs w:val="18"/>
        </w:rPr>
        <w:t xml:space="preserve">Source: Notifiable </w:t>
      </w:r>
      <w:r w:rsidR="0035269F">
        <w:rPr>
          <w:rFonts w:ascii="Arial" w:hAnsi="Arial" w:cs="Arial"/>
          <w:b/>
          <w:bCs/>
          <w:sz w:val="18"/>
          <w:szCs w:val="18"/>
        </w:rPr>
        <w:t>D</w:t>
      </w:r>
      <w:r w:rsidRPr="008D729C">
        <w:rPr>
          <w:rFonts w:ascii="Arial" w:hAnsi="Arial" w:cs="Arial"/>
          <w:b/>
          <w:bCs/>
          <w:sz w:val="18"/>
          <w:szCs w:val="18"/>
        </w:rPr>
        <w:t xml:space="preserve">iseases </w:t>
      </w:r>
      <w:r w:rsidR="0035269F">
        <w:rPr>
          <w:rFonts w:ascii="Arial" w:hAnsi="Arial" w:cs="Arial"/>
          <w:b/>
          <w:bCs/>
          <w:sz w:val="18"/>
          <w:szCs w:val="18"/>
        </w:rPr>
        <w:t>I</w:t>
      </w:r>
      <w:r w:rsidRPr="008D729C">
        <w:rPr>
          <w:rFonts w:ascii="Arial" w:hAnsi="Arial" w:cs="Arial"/>
          <w:b/>
          <w:bCs/>
          <w:sz w:val="18"/>
          <w:szCs w:val="18"/>
        </w:rPr>
        <w:t xml:space="preserve">nformation </w:t>
      </w:r>
      <w:r w:rsidR="0035269F">
        <w:rPr>
          <w:rFonts w:ascii="Arial" w:hAnsi="Arial" w:cs="Arial"/>
          <w:b/>
          <w:bCs/>
          <w:sz w:val="18"/>
          <w:szCs w:val="18"/>
        </w:rPr>
        <w:t>S</w:t>
      </w:r>
      <w:r w:rsidRPr="008D729C">
        <w:rPr>
          <w:rFonts w:ascii="Arial" w:hAnsi="Arial" w:cs="Arial"/>
          <w:b/>
          <w:bCs/>
          <w:sz w:val="18"/>
          <w:szCs w:val="18"/>
        </w:rPr>
        <w:t>ystem (S</w:t>
      </w:r>
      <w:r w:rsidR="0035269F">
        <w:rPr>
          <w:rFonts w:ascii="Arial" w:hAnsi="Arial" w:cs="Arial"/>
          <w:b/>
          <w:bCs/>
          <w:sz w:val="18"/>
          <w:szCs w:val="18"/>
        </w:rPr>
        <w:t>INAN</w:t>
      </w:r>
      <w:r w:rsidRPr="008D729C">
        <w:rPr>
          <w:rFonts w:ascii="Arial" w:hAnsi="Arial" w:cs="Arial"/>
          <w:b/>
          <w:bCs/>
          <w:sz w:val="18"/>
          <w:szCs w:val="18"/>
        </w:rPr>
        <w:t>)</w:t>
      </w:r>
    </w:p>
    <w:p w14:paraId="6D50DF1D" w14:textId="77777777" w:rsidR="008D729C" w:rsidRPr="00994AB3" w:rsidRDefault="008D729C" w:rsidP="008D729C">
      <w:pPr>
        <w:pStyle w:val="Body"/>
        <w:spacing w:after="0"/>
        <w:rPr>
          <w:rFonts w:ascii="Arial" w:hAnsi="Arial" w:cs="Arial"/>
          <w:lang w:val="pt-BR"/>
        </w:rPr>
      </w:pPr>
    </w:p>
    <w:p w14:paraId="7979F0E5" w14:textId="25E5F300" w:rsidR="00026471" w:rsidRPr="00026471" w:rsidRDefault="00026471" w:rsidP="00026471">
      <w:pPr>
        <w:pStyle w:val="Body"/>
        <w:spacing w:after="0"/>
        <w:ind w:firstLine="709"/>
        <w:rPr>
          <w:rFonts w:ascii="Arial" w:hAnsi="Arial" w:cs="Arial"/>
          <w:lang w:val="pt-BR"/>
        </w:rPr>
      </w:pPr>
      <w:r w:rsidRPr="00026471">
        <w:rPr>
          <w:rFonts w:ascii="Arial" w:hAnsi="Arial" w:cs="Arial"/>
          <w:lang w:val="pt-BR"/>
        </w:rPr>
        <w:t>The year 2021 stood out as the period with the highest number of tuberculosis notifications in the municipality of Santa Quitéria - CE, showing fluctuations in the occurrence of the disease throughout the years analyzed.</w:t>
      </w:r>
    </w:p>
    <w:p w14:paraId="77347D8A" w14:textId="36E52396" w:rsidR="00026471" w:rsidRPr="00026471" w:rsidRDefault="00026471" w:rsidP="00026471">
      <w:pPr>
        <w:pStyle w:val="Body"/>
        <w:spacing w:after="0"/>
        <w:ind w:firstLine="709"/>
        <w:rPr>
          <w:rFonts w:ascii="Arial" w:hAnsi="Arial" w:cs="Arial"/>
          <w:lang w:val="pt-BR"/>
        </w:rPr>
      </w:pPr>
      <w:r w:rsidRPr="00026471">
        <w:rPr>
          <w:rFonts w:ascii="Arial" w:hAnsi="Arial" w:cs="Arial"/>
          <w:lang w:val="pt-BR"/>
        </w:rPr>
        <w:t xml:space="preserve">As described by Santos </w:t>
      </w:r>
      <w:r w:rsidR="00E52CED" w:rsidRPr="00E52CED">
        <w:rPr>
          <w:rFonts w:ascii="Arial" w:hAnsi="Arial" w:cs="Arial"/>
          <w:i/>
          <w:lang w:val="pt-BR"/>
        </w:rPr>
        <w:t>et al</w:t>
      </w:r>
      <w:r w:rsidRPr="00026471">
        <w:rPr>
          <w:rFonts w:ascii="Arial" w:hAnsi="Arial" w:cs="Arial"/>
          <w:lang w:val="pt-BR"/>
        </w:rPr>
        <w:t xml:space="preserve">. (2024), tuberculosis cases in the Northeast showed a significant reduction in 2020, attributed to the impacts of the COVID-19 pandemic on health services. Similarly, Alves </w:t>
      </w:r>
      <w:r w:rsidR="00E52CED" w:rsidRPr="00E52CED">
        <w:rPr>
          <w:rFonts w:ascii="Arial" w:hAnsi="Arial" w:cs="Arial"/>
          <w:i/>
          <w:lang w:val="pt-BR"/>
        </w:rPr>
        <w:t>et al</w:t>
      </w:r>
      <w:r w:rsidRPr="00026471">
        <w:rPr>
          <w:rFonts w:ascii="Arial" w:hAnsi="Arial" w:cs="Arial"/>
          <w:lang w:val="pt-BR"/>
        </w:rPr>
        <w:t>. (2023) observed a drop in notifications in 2020 and 2021, followed by a gradual increase in subsequent years, concomitant with the resumption of surveillance and diagnostic activities.</w:t>
      </w:r>
    </w:p>
    <w:p w14:paraId="33C0FE16" w14:textId="77777777" w:rsidR="00026471" w:rsidRPr="00026471" w:rsidRDefault="00026471" w:rsidP="00026471">
      <w:pPr>
        <w:pStyle w:val="Body"/>
        <w:spacing w:after="0"/>
        <w:ind w:firstLine="709"/>
        <w:rPr>
          <w:rFonts w:ascii="Arial" w:hAnsi="Arial" w:cs="Arial"/>
          <w:lang w:val="pt-BR"/>
        </w:rPr>
      </w:pPr>
      <w:r w:rsidRPr="00026471">
        <w:rPr>
          <w:rFonts w:ascii="Arial" w:hAnsi="Arial" w:cs="Arial"/>
          <w:lang w:val="pt-BR"/>
        </w:rPr>
        <w:t>However, in Santa Quitéria, this trend was not fully confirmed. Unlike the regional scenario, 2021 recorded the highest number of notifications in the municipality, suggesting a possible faster reorganization of local services or intensification of active search strategies. Regarding the bimonthly distribution, the first, second, and fifth months each concentrated 20% of the cases, indicating a possible seasonal pattern in the occurrence of the disease.</w:t>
      </w:r>
    </w:p>
    <w:p w14:paraId="3DF3BD09" w14:textId="0DE05BA6" w:rsidR="001100EE" w:rsidRDefault="00026471" w:rsidP="00026471">
      <w:pPr>
        <w:pStyle w:val="Body"/>
        <w:spacing w:after="0"/>
        <w:ind w:firstLine="709"/>
        <w:rPr>
          <w:rFonts w:ascii="Arial" w:hAnsi="Arial" w:cs="Arial"/>
          <w:lang w:val="pt-BR"/>
        </w:rPr>
      </w:pPr>
      <w:r w:rsidRPr="00026471">
        <w:rPr>
          <w:rFonts w:ascii="Arial" w:hAnsi="Arial" w:cs="Arial"/>
          <w:lang w:val="pt-BR"/>
        </w:rPr>
        <w:t>Comparing the findings of the present study with Dantas (2023), a divergence is observed regarding the monthly distribution of cases. The author identified a greater concentration between December and April, with a reduction from May to November; although January and March are consistent with this pattern, October presented a significant peak, deviating from the described trend (Dantas, 2019). This discrepancy may reflect regional variations, methodological differences, or local factors, such as intensified active case finding and changes in the demand for health services. Furthermore, Órfão (2021) highlights that aspects such as knowledge of symptoms, self-medication, and late seeking of care influence the annual distribution of cases, attributing the increase in March to the expansion of actions after the festive period—a behavior also observed in this study.</w:t>
      </w:r>
    </w:p>
    <w:p w14:paraId="577B5F9D" w14:textId="77777777" w:rsidR="00026471" w:rsidRDefault="00026471" w:rsidP="00026471">
      <w:pPr>
        <w:pStyle w:val="Body"/>
        <w:spacing w:after="0"/>
        <w:ind w:firstLine="709"/>
        <w:rPr>
          <w:rFonts w:ascii="Arial" w:hAnsi="Arial" w:cs="Arial"/>
          <w:lang w:val="pt-BR"/>
        </w:rPr>
      </w:pPr>
    </w:p>
    <w:p w14:paraId="17397737" w14:textId="1409B456" w:rsidR="00C11E4F" w:rsidRDefault="00C11E4F" w:rsidP="00DC2E62">
      <w:pPr>
        <w:pStyle w:val="Body"/>
        <w:spacing w:after="0"/>
        <w:rPr>
          <w:rFonts w:ascii="Arial" w:hAnsi="Arial" w:cs="Arial"/>
          <w:b/>
          <w:bCs/>
          <w:lang w:val="pt-BR"/>
        </w:rPr>
      </w:pPr>
      <w:r>
        <w:rPr>
          <w:rFonts w:ascii="Arial" w:hAnsi="Arial" w:cs="Arial"/>
          <w:b/>
          <w:bCs/>
          <w:lang w:val="pt-BR"/>
        </w:rPr>
        <w:t>3.2</w:t>
      </w:r>
      <w:r w:rsidR="00026471" w:rsidRPr="00026471">
        <w:rPr>
          <w:rFonts w:ascii="Arial" w:hAnsi="Arial" w:cs="Arial"/>
          <w:b/>
          <w:bCs/>
          <w:lang w:val="pt-BR"/>
        </w:rPr>
        <w:t xml:space="preserve"> Sociodemographic profile of the cases</w:t>
      </w:r>
    </w:p>
    <w:p w14:paraId="408DD7D0" w14:textId="77777777" w:rsidR="00C11E4F" w:rsidRPr="00DC2E62" w:rsidRDefault="00C11E4F" w:rsidP="00DC2E62">
      <w:pPr>
        <w:pStyle w:val="Body"/>
        <w:spacing w:after="0"/>
        <w:rPr>
          <w:rFonts w:ascii="Arial" w:hAnsi="Arial" w:cs="Arial"/>
          <w:b/>
          <w:bCs/>
          <w:lang w:val="pt-BR"/>
        </w:rPr>
      </w:pPr>
    </w:p>
    <w:p w14:paraId="0E1832C9" w14:textId="60BC507E" w:rsidR="00FD7B57" w:rsidRDefault="00026471" w:rsidP="00DC2E62">
      <w:pPr>
        <w:pStyle w:val="Body"/>
        <w:spacing w:after="0"/>
        <w:ind w:firstLine="709"/>
        <w:rPr>
          <w:rFonts w:ascii="Arial" w:hAnsi="Arial" w:cs="Arial"/>
          <w:lang w:val="pt-BR"/>
        </w:rPr>
      </w:pPr>
      <w:r w:rsidRPr="00026471">
        <w:rPr>
          <w:rFonts w:ascii="Arial" w:hAnsi="Arial" w:cs="Arial"/>
          <w:lang w:val="pt-BR"/>
        </w:rPr>
        <w:t>A predominance of tuberculosis cases was observed in the 40-59 age group, representing 46% of the total notifications. These findings are consistent with the results of Reis (2013), who showed that this same age group was the most affected by tuberculosis throughout the years analyzed. This is an economically active population that suffers from lost work or study days due to disabilities caused by the disease and its treatment, resulting in economic and social impacts for both families and the municipality (Graph 01).</w:t>
      </w:r>
    </w:p>
    <w:p w14:paraId="0894F1DC" w14:textId="77777777" w:rsidR="00026471" w:rsidRDefault="00026471" w:rsidP="00DC2E62">
      <w:pPr>
        <w:pStyle w:val="Body"/>
        <w:spacing w:after="0"/>
        <w:ind w:firstLine="709"/>
        <w:rPr>
          <w:rFonts w:ascii="Arial" w:hAnsi="Arial" w:cs="Arial"/>
          <w:lang w:val="pt-BR"/>
        </w:rPr>
      </w:pPr>
    </w:p>
    <w:p w14:paraId="694BE78F" w14:textId="6A7F050C" w:rsidR="00FD7B57" w:rsidRDefault="00026471" w:rsidP="00DC2E62">
      <w:pPr>
        <w:pStyle w:val="Body"/>
        <w:spacing w:after="0"/>
        <w:ind w:firstLine="709"/>
        <w:rPr>
          <w:rFonts w:ascii="Arial" w:hAnsi="Arial" w:cs="Arial"/>
          <w:b/>
          <w:bCs/>
        </w:rPr>
      </w:pPr>
      <w:r w:rsidRPr="00026471">
        <w:rPr>
          <w:rFonts w:ascii="Arial" w:hAnsi="Arial" w:cs="Arial"/>
          <w:b/>
          <w:bCs/>
        </w:rPr>
        <w:t>Graph 1. Distribution of the number of tuberculosis cases by age group and percentage according to sex, Santa Quitéria, Ceará, 2019–2023.</w:t>
      </w:r>
    </w:p>
    <w:p w14:paraId="256E8DB5" w14:textId="77777777" w:rsidR="00026471" w:rsidRDefault="00026471" w:rsidP="00DC2E62">
      <w:pPr>
        <w:pStyle w:val="Body"/>
        <w:spacing w:after="0"/>
        <w:ind w:firstLine="709"/>
        <w:rPr>
          <w:rFonts w:ascii="Arial" w:hAnsi="Arial" w:cs="Arial"/>
          <w:lang w:val="pt-BR"/>
        </w:rPr>
      </w:pPr>
    </w:p>
    <w:p w14:paraId="7118793E" w14:textId="6ED19B99" w:rsidR="00900FC4" w:rsidRDefault="00861F26" w:rsidP="00E84E55">
      <w:pPr>
        <w:pStyle w:val="Body"/>
        <w:spacing w:after="0"/>
        <w:jc w:val="center"/>
        <w:rPr>
          <w:rFonts w:ascii="Arial" w:hAnsi="Arial" w:cs="Arial"/>
          <w:b/>
          <w:bCs/>
          <w:sz w:val="18"/>
          <w:szCs w:val="18"/>
        </w:rPr>
      </w:pPr>
      <w:r w:rsidRPr="00861F26">
        <w:rPr>
          <w:rFonts w:ascii="Arial" w:hAnsi="Arial" w:cs="Arial"/>
          <w:b/>
          <w:bCs/>
          <w:noProof/>
          <w:sz w:val="18"/>
          <w:szCs w:val="18"/>
        </w:rPr>
        <w:drawing>
          <wp:inline distT="0" distB="0" distL="0" distR="0" wp14:anchorId="7A4B1CA3" wp14:editId="6C2BEECA">
            <wp:extent cx="5212080" cy="308864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3088640"/>
                    </a:xfrm>
                    <a:prstGeom prst="rect">
                      <a:avLst/>
                    </a:prstGeom>
                  </pic:spPr>
                </pic:pic>
              </a:graphicData>
            </a:graphic>
          </wp:inline>
        </w:drawing>
      </w:r>
    </w:p>
    <w:p w14:paraId="4BB4E66D" w14:textId="77777777" w:rsidR="00E84E55" w:rsidRDefault="00E84E55" w:rsidP="00900FC4">
      <w:pPr>
        <w:pStyle w:val="Body"/>
        <w:spacing w:after="0"/>
        <w:rPr>
          <w:rFonts w:ascii="Arial" w:hAnsi="Arial" w:cs="Arial"/>
          <w:b/>
          <w:bCs/>
          <w:sz w:val="18"/>
          <w:szCs w:val="18"/>
        </w:rPr>
      </w:pPr>
    </w:p>
    <w:p w14:paraId="34CCE45E" w14:textId="7CF12F6A" w:rsidR="00900FC4" w:rsidRDefault="00900FC4" w:rsidP="00900FC4">
      <w:pPr>
        <w:pStyle w:val="Body"/>
        <w:spacing w:after="0"/>
        <w:rPr>
          <w:rFonts w:ascii="Arial" w:hAnsi="Arial" w:cs="Arial"/>
          <w:b/>
          <w:bCs/>
          <w:sz w:val="18"/>
          <w:szCs w:val="18"/>
        </w:rPr>
      </w:pPr>
      <w:r w:rsidRPr="008D729C">
        <w:rPr>
          <w:rFonts w:ascii="Arial" w:hAnsi="Arial" w:cs="Arial"/>
          <w:b/>
          <w:bCs/>
          <w:sz w:val="18"/>
          <w:szCs w:val="18"/>
        </w:rPr>
        <w:t xml:space="preserve">Source: Notifiable </w:t>
      </w:r>
      <w:r w:rsidR="0035269F">
        <w:rPr>
          <w:rFonts w:ascii="Arial" w:hAnsi="Arial" w:cs="Arial"/>
          <w:b/>
          <w:bCs/>
          <w:sz w:val="18"/>
          <w:szCs w:val="18"/>
        </w:rPr>
        <w:t>D</w:t>
      </w:r>
      <w:r w:rsidRPr="008D729C">
        <w:rPr>
          <w:rFonts w:ascii="Arial" w:hAnsi="Arial" w:cs="Arial"/>
          <w:b/>
          <w:bCs/>
          <w:sz w:val="18"/>
          <w:szCs w:val="18"/>
        </w:rPr>
        <w:t xml:space="preserve">iseases </w:t>
      </w:r>
      <w:r w:rsidR="0035269F">
        <w:rPr>
          <w:rFonts w:ascii="Arial" w:hAnsi="Arial" w:cs="Arial"/>
          <w:b/>
          <w:bCs/>
          <w:sz w:val="18"/>
          <w:szCs w:val="18"/>
        </w:rPr>
        <w:t>I</w:t>
      </w:r>
      <w:r w:rsidRPr="008D729C">
        <w:rPr>
          <w:rFonts w:ascii="Arial" w:hAnsi="Arial" w:cs="Arial"/>
          <w:b/>
          <w:bCs/>
          <w:sz w:val="18"/>
          <w:szCs w:val="18"/>
        </w:rPr>
        <w:t xml:space="preserve">nformation </w:t>
      </w:r>
      <w:r w:rsidR="0035269F">
        <w:rPr>
          <w:rFonts w:ascii="Arial" w:hAnsi="Arial" w:cs="Arial"/>
          <w:b/>
          <w:bCs/>
          <w:sz w:val="18"/>
          <w:szCs w:val="18"/>
        </w:rPr>
        <w:t>S</w:t>
      </w:r>
      <w:r w:rsidRPr="008D729C">
        <w:rPr>
          <w:rFonts w:ascii="Arial" w:hAnsi="Arial" w:cs="Arial"/>
          <w:b/>
          <w:bCs/>
          <w:sz w:val="18"/>
          <w:szCs w:val="18"/>
        </w:rPr>
        <w:t>ystem (S</w:t>
      </w:r>
      <w:r w:rsidR="0035269F">
        <w:rPr>
          <w:rFonts w:ascii="Arial" w:hAnsi="Arial" w:cs="Arial"/>
          <w:b/>
          <w:bCs/>
          <w:sz w:val="18"/>
          <w:szCs w:val="18"/>
        </w:rPr>
        <w:t>INAN</w:t>
      </w:r>
      <w:r w:rsidRPr="008D729C">
        <w:rPr>
          <w:rFonts w:ascii="Arial" w:hAnsi="Arial" w:cs="Arial"/>
          <w:b/>
          <w:bCs/>
          <w:sz w:val="18"/>
          <w:szCs w:val="18"/>
        </w:rPr>
        <w:t>)</w:t>
      </w:r>
    </w:p>
    <w:p w14:paraId="657402D9" w14:textId="3361B9F3" w:rsidR="00FD7B57" w:rsidRPr="00FD7B57" w:rsidRDefault="00FD7B57" w:rsidP="00FD7B57">
      <w:pPr>
        <w:pStyle w:val="Body"/>
        <w:spacing w:after="0"/>
        <w:rPr>
          <w:rFonts w:ascii="Arial" w:hAnsi="Arial" w:cs="Arial"/>
          <w:sz w:val="18"/>
          <w:szCs w:val="18"/>
        </w:rPr>
      </w:pPr>
    </w:p>
    <w:p w14:paraId="21E0E565" w14:textId="14A77248" w:rsidR="00026471" w:rsidRPr="000803A8" w:rsidRDefault="00026471" w:rsidP="00026471">
      <w:pPr>
        <w:pStyle w:val="Body"/>
        <w:spacing w:after="0"/>
        <w:ind w:firstLine="709"/>
        <w:rPr>
          <w:rFonts w:ascii="Arial" w:hAnsi="Arial" w:cs="Arial"/>
        </w:rPr>
      </w:pPr>
      <w:r w:rsidRPr="000803A8">
        <w:rPr>
          <w:rFonts w:ascii="Arial" w:hAnsi="Arial" w:cs="Arial"/>
        </w:rPr>
        <w:t>Although the highest concentration of cases is among adults, it is important to highlight that the elderly population also deserves attention. Due to the aging process and demographic transition, the elderly have become a relevant risk group, since they may present reactivation of latent infections, which has concerned public policies for tuberculosis control globally (Coelho, 2010).</w:t>
      </w:r>
    </w:p>
    <w:p w14:paraId="18C312CE" w14:textId="19E993F3" w:rsidR="00026471" w:rsidRPr="00026471" w:rsidRDefault="00026471" w:rsidP="00026471">
      <w:pPr>
        <w:pStyle w:val="Body"/>
        <w:spacing w:after="0"/>
        <w:ind w:firstLine="709"/>
        <w:rPr>
          <w:rFonts w:ascii="Arial" w:hAnsi="Arial" w:cs="Arial"/>
          <w:lang w:val="pt-BR"/>
        </w:rPr>
      </w:pPr>
      <w:r w:rsidRPr="00026471">
        <w:rPr>
          <w:rFonts w:ascii="Arial" w:hAnsi="Arial" w:cs="Arial"/>
          <w:lang w:val="pt-BR"/>
        </w:rPr>
        <w:t>Regarding race, a predominance of tuberculosis cases was observed among individuals who self-identified as mixed-race, totaling 73%. This result is particularly noteworthy when compared to data from Salva (2022), who analyzed 7,116 cases of drug-resistant tuberculosis (DR-TB) in Brazil. According to the author, in the Northeast region, 38% of cases affected mixed-race individuals. However, in the present study, the predominance was even more evident: mixed-race individuals represented 73% of cases.</w:t>
      </w:r>
    </w:p>
    <w:p w14:paraId="2F88FCAA" w14:textId="77777777" w:rsidR="00026471" w:rsidRDefault="00026471" w:rsidP="00026471">
      <w:pPr>
        <w:pStyle w:val="Body"/>
        <w:spacing w:after="0"/>
        <w:ind w:firstLine="709"/>
        <w:rPr>
          <w:rFonts w:ascii="Arial" w:hAnsi="Arial" w:cs="Arial"/>
          <w:lang w:val="pt-BR"/>
        </w:rPr>
      </w:pPr>
      <w:r w:rsidRPr="00026471">
        <w:rPr>
          <w:rFonts w:ascii="Arial" w:hAnsi="Arial" w:cs="Arial"/>
          <w:lang w:val="pt-BR"/>
        </w:rPr>
        <w:t>Compared to the findings of Vilariça (2008), a marked difference is observed regarding the racial profile of the affected individuals. In the cited study, which evaluated 132 patients with multidrug-resistant tuberculosis, it was observed that 74% of tuberculosis cases were among Black people, while 46% corresponded to White people, with no specific mention made of the mixed-race population. This evidence suggests that both Black and mixed-race people face severe forms of tuberculosis, indicating the role of race as a marker of social vulnerability to the disease.</w:t>
      </w:r>
    </w:p>
    <w:p w14:paraId="2954E18B" w14:textId="6FAC4596" w:rsidR="00026471" w:rsidRPr="00026471" w:rsidRDefault="00026471" w:rsidP="00026471">
      <w:pPr>
        <w:pStyle w:val="Body"/>
        <w:spacing w:after="0"/>
        <w:rPr>
          <w:rFonts w:ascii="Arial" w:hAnsi="Arial" w:cs="Arial"/>
          <w:lang w:val="pt-BR"/>
        </w:rPr>
      </w:pPr>
      <w:r w:rsidRPr="00026471">
        <w:rPr>
          <w:rFonts w:ascii="Arial" w:hAnsi="Arial" w:cs="Arial"/>
          <w:lang w:val="pt-BR"/>
        </w:rPr>
        <w:t xml:space="preserve">Regarding gender, the analysis of tuberculosis cases in the municipality of Santa Quitéria-CE revealed a significant prevalence in males, with 77% (43) of the registered cases. Similar to what was observed in the municipality of Santa Quitéria-CE, data from Lima </w:t>
      </w:r>
      <w:r w:rsidR="00E52CED" w:rsidRPr="00E52CED">
        <w:rPr>
          <w:rFonts w:ascii="Arial" w:hAnsi="Arial" w:cs="Arial"/>
          <w:i/>
          <w:lang w:val="pt-BR"/>
        </w:rPr>
        <w:t>et al</w:t>
      </w:r>
      <w:r w:rsidRPr="00026471">
        <w:rPr>
          <w:rFonts w:ascii="Arial" w:hAnsi="Arial" w:cs="Arial"/>
          <w:lang w:val="pt-BR"/>
        </w:rPr>
        <w:t xml:space="preserve">. (2019) show that, nationally, 64.4% of drug-resistant tuberculosis (DR-TB) cases occurred among men. The difference between the percentages, even more pronounced in the local context, reinforces a known trend: men are more vulnerable to tuberculosis, possibly due to factors </w:t>
      </w:r>
      <w:r w:rsidRPr="00026471">
        <w:rPr>
          <w:rFonts w:ascii="Arial" w:hAnsi="Arial" w:cs="Arial"/>
          <w:lang w:val="pt-BR"/>
        </w:rPr>
        <w:lastRenderedPageBreak/>
        <w:t xml:space="preserve">such as lower demand for health services, lifestyle habits more exposed to risks (such as smoking and alcoholism), and unfavorable social conditions (Lima </w:t>
      </w:r>
      <w:r w:rsidR="00E52CED" w:rsidRPr="00E52CED">
        <w:rPr>
          <w:rFonts w:ascii="Arial" w:hAnsi="Arial" w:cs="Arial"/>
          <w:i/>
          <w:lang w:val="pt-BR"/>
        </w:rPr>
        <w:t>et al</w:t>
      </w:r>
      <w:r w:rsidRPr="00026471">
        <w:rPr>
          <w:rFonts w:ascii="Arial" w:hAnsi="Arial" w:cs="Arial"/>
          <w:lang w:val="pt-BR"/>
        </w:rPr>
        <w:t>., 2019).</w:t>
      </w:r>
    </w:p>
    <w:p w14:paraId="70874F75" w14:textId="1A74AAD0" w:rsidR="00026471" w:rsidRPr="0097725D" w:rsidRDefault="00026471" w:rsidP="00026471">
      <w:pPr>
        <w:pStyle w:val="Body"/>
        <w:spacing w:after="0"/>
        <w:rPr>
          <w:rFonts w:ascii="Arial" w:hAnsi="Arial" w:cs="Arial"/>
          <w:lang w:val="nb-NO"/>
        </w:rPr>
      </w:pPr>
      <w:r w:rsidRPr="0097725D">
        <w:rPr>
          <w:rFonts w:ascii="Arial" w:hAnsi="Arial" w:cs="Arial"/>
          <w:lang w:val="nb-NO"/>
        </w:rPr>
        <w:t>This trend is seen in the findings of Angelotti (2013), which point to a predominance of cases among men (66.6%), reinforcing the pattern already identified in other regions. Although the proportion of pregnant women was low (0.3%), this finding highlights the need to pay attention to the specificities of different population groups. Social determinants, such as racial inequality, gender and unfavorable socioeconomic conditions, can increase vulnerability to tuberculosis, in addition to constituting barriers to timely diagnosis and adherence to treatment.</w:t>
      </w:r>
    </w:p>
    <w:p w14:paraId="67BAFD26" w14:textId="120036B0" w:rsidR="0061007A" w:rsidRDefault="00026471" w:rsidP="00026471">
      <w:pPr>
        <w:pStyle w:val="Body"/>
        <w:spacing w:after="0"/>
        <w:rPr>
          <w:rFonts w:ascii="Arial" w:hAnsi="Arial" w:cs="Arial"/>
          <w:lang w:val="pt-BR"/>
        </w:rPr>
      </w:pPr>
      <w:r w:rsidRPr="0097725D">
        <w:rPr>
          <w:rFonts w:ascii="Arial" w:hAnsi="Arial" w:cs="Arial"/>
          <w:lang w:val="nb-NO"/>
        </w:rPr>
        <w:t xml:space="preserve">With regard to the educational profile, it was observed that most patients affected by tuberculosis in the municipality of Santa Quitéria-CE had low levels of education. </w:t>
      </w:r>
      <w:r w:rsidRPr="00026471">
        <w:rPr>
          <w:rFonts w:ascii="Arial" w:hAnsi="Arial" w:cs="Arial"/>
          <w:lang w:val="pt-BR"/>
        </w:rPr>
        <w:t>The highest concentration was among those who attended incomplete primary education, with 45% (25) of the total cases (table 2).</w:t>
      </w:r>
    </w:p>
    <w:p w14:paraId="21B1EC23" w14:textId="77777777" w:rsidR="00026471" w:rsidRDefault="00026471" w:rsidP="00026471">
      <w:pPr>
        <w:pStyle w:val="Body"/>
        <w:spacing w:after="0"/>
        <w:rPr>
          <w:rFonts w:ascii="Arial" w:hAnsi="Arial" w:cs="Arial"/>
          <w:b/>
          <w:bCs/>
        </w:rPr>
      </w:pPr>
    </w:p>
    <w:p w14:paraId="32F6A50C" w14:textId="25D674B1" w:rsidR="00311DCB" w:rsidRDefault="00026471" w:rsidP="00311DCB">
      <w:pPr>
        <w:pStyle w:val="Body"/>
        <w:spacing w:after="0"/>
        <w:jc w:val="center"/>
        <w:rPr>
          <w:rFonts w:ascii="Arial" w:hAnsi="Arial" w:cs="Arial"/>
          <w:b/>
          <w:bCs/>
        </w:rPr>
      </w:pPr>
      <w:r w:rsidRPr="00026471">
        <w:rPr>
          <w:rFonts w:ascii="Arial" w:hAnsi="Arial" w:cs="Arial"/>
          <w:b/>
          <w:bCs/>
        </w:rPr>
        <w:t>Table 2. Record of the number of cases according to education level.</w:t>
      </w:r>
    </w:p>
    <w:p w14:paraId="2603E58E" w14:textId="77777777" w:rsidR="00026471" w:rsidRPr="00711405" w:rsidRDefault="00026471" w:rsidP="00311DCB">
      <w:pPr>
        <w:pStyle w:val="Body"/>
        <w:spacing w:after="0"/>
        <w:jc w:val="center"/>
        <w:rPr>
          <w:rFonts w:ascii="Arial" w:hAnsi="Arial" w:cs="Arial"/>
          <w:b/>
          <w:bCs/>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4097"/>
        <w:gridCol w:w="1488"/>
        <w:gridCol w:w="2623"/>
      </w:tblGrid>
      <w:tr w:rsidR="00A427BA" w:rsidRPr="00561BE4" w14:paraId="4A2759F2" w14:textId="77777777" w:rsidTr="00946D22">
        <w:trPr>
          <w:jc w:val="center"/>
        </w:trPr>
        <w:tc>
          <w:tcPr>
            <w:tcW w:w="4253" w:type="dxa"/>
            <w:tcBorders>
              <w:bottom w:val="single" w:sz="4" w:space="0" w:color="000000"/>
              <w:right w:val="nil"/>
            </w:tcBorders>
          </w:tcPr>
          <w:p w14:paraId="103FA230" w14:textId="77777777" w:rsidR="00A427BA" w:rsidRPr="00561BE4" w:rsidRDefault="00A427BA" w:rsidP="00946D22">
            <w:pPr>
              <w:jc w:val="center"/>
              <w:rPr>
                <w:rFonts w:ascii="Arial" w:hAnsi="Arial" w:cs="Arial"/>
                <w:sz w:val="20"/>
                <w:szCs w:val="20"/>
              </w:rPr>
            </w:pPr>
            <w:r w:rsidRPr="00561BE4">
              <w:rPr>
                <w:rFonts w:ascii="Arial" w:hAnsi="Arial" w:cs="Arial"/>
                <w:b/>
                <w:bCs/>
                <w:sz w:val="20"/>
                <w:szCs w:val="20"/>
              </w:rPr>
              <w:t>CASES ACCORDING TO EDUCATION LEVEL</w:t>
            </w:r>
          </w:p>
        </w:tc>
        <w:tc>
          <w:tcPr>
            <w:tcW w:w="1554" w:type="dxa"/>
            <w:tcBorders>
              <w:left w:val="nil"/>
              <w:bottom w:val="single" w:sz="4" w:space="0" w:color="000000"/>
              <w:right w:val="nil"/>
            </w:tcBorders>
          </w:tcPr>
          <w:p w14:paraId="743DCBCC" w14:textId="77777777" w:rsidR="00A427BA" w:rsidRPr="0014093A" w:rsidRDefault="00A427BA" w:rsidP="00946D22">
            <w:pPr>
              <w:jc w:val="center"/>
              <w:rPr>
                <w:rFonts w:ascii="Arial" w:hAnsi="Arial" w:cs="Arial"/>
                <w:b/>
                <w:bCs/>
                <w:sz w:val="20"/>
                <w:szCs w:val="20"/>
              </w:rPr>
            </w:pPr>
            <w:r w:rsidRPr="0014093A">
              <w:rPr>
                <w:rFonts w:ascii="Arial" w:hAnsi="Arial" w:cs="Arial"/>
                <w:b/>
                <w:bCs/>
                <w:sz w:val="20"/>
                <w:szCs w:val="20"/>
              </w:rPr>
              <w:t>Nº</w:t>
            </w:r>
          </w:p>
        </w:tc>
        <w:tc>
          <w:tcPr>
            <w:tcW w:w="2687" w:type="dxa"/>
            <w:tcBorders>
              <w:left w:val="nil"/>
              <w:bottom w:val="single" w:sz="4" w:space="0" w:color="000000"/>
            </w:tcBorders>
          </w:tcPr>
          <w:p w14:paraId="01C05271" w14:textId="25B69EDA" w:rsidR="00A427BA" w:rsidRPr="00561BE4" w:rsidRDefault="00365772" w:rsidP="00946D22">
            <w:pPr>
              <w:jc w:val="center"/>
              <w:rPr>
                <w:rFonts w:ascii="Arial" w:hAnsi="Arial" w:cs="Arial"/>
                <w:sz w:val="20"/>
                <w:szCs w:val="20"/>
              </w:rPr>
            </w:pPr>
            <w:r>
              <w:rPr>
                <w:rFonts w:ascii="Arial" w:hAnsi="Arial" w:cs="Arial"/>
                <w:b/>
                <w:bCs/>
                <w:color w:val="000000"/>
                <w:sz w:val="20"/>
                <w:szCs w:val="20"/>
                <w:lang w:eastAsia="pt-BR"/>
              </w:rPr>
              <w:t>PERCENTAGE</w:t>
            </w:r>
            <w:r w:rsidR="00A427BA" w:rsidRPr="00561BE4">
              <w:rPr>
                <w:rFonts w:ascii="Arial" w:hAnsi="Arial" w:cs="Arial"/>
                <w:b/>
                <w:bCs/>
                <w:color w:val="000000"/>
                <w:sz w:val="20"/>
                <w:szCs w:val="20"/>
                <w:lang w:eastAsia="pt-BR"/>
              </w:rPr>
              <w:t xml:space="preserve"> (%)</w:t>
            </w:r>
          </w:p>
        </w:tc>
      </w:tr>
      <w:tr w:rsidR="00A427BA" w:rsidRPr="00561BE4" w14:paraId="562E92E9" w14:textId="77777777" w:rsidTr="00946D22">
        <w:trPr>
          <w:jc w:val="center"/>
        </w:trPr>
        <w:tc>
          <w:tcPr>
            <w:tcW w:w="4253" w:type="dxa"/>
            <w:tcBorders>
              <w:bottom w:val="nil"/>
              <w:right w:val="nil"/>
            </w:tcBorders>
          </w:tcPr>
          <w:p w14:paraId="62B268CA"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Unknown/Blank</w:t>
            </w:r>
          </w:p>
        </w:tc>
        <w:tc>
          <w:tcPr>
            <w:tcW w:w="1554" w:type="dxa"/>
            <w:tcBorders>
              <w:left w:val="nil"/>
              <w:bottom w:val="nil"/>
              <w:right w:val="nil"/>
            </w:tcBorders>
          </w:tcPr>
          <w:p w14:paraId="716AEFFC"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13</w:t>
            </w:r>
          </w:p>
        </w:tc>
        <w:tc>
          <w:tcPr>
            <w:tcW w:w="2687" w:type="dxa"/>
            <w:tcBorders>
              <w:left w:val="nil"/>
              <w:bottom w:val="nil"/>
            </w:tcBorders>
          </w:tcPr>
          <w:p w14:paraId="2E859840"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23,0</w:t>
            </w:r>
          </w:p>
        </w:tc>
      </w:tr>
      <w:tr w:rsidR="00A427BA" w:rsidRPr="00561BE4" w14:paraId="6EDB9640" w14:textId="77777777" w:rsidTr="00946D22">
        <w:trPr>
          <w:jc w:val="center"/>
        </w:trPr>
        <w:tc>
          <w:tcPr>
            <w:tcW w:w="4253" w:type="dxa"/>
            <w:tcBorders>
              <w:top w:val="nil"/>
              <w:bottom w:val="nil"/>
              <w:right w:val="nil"/>
            </w:tcBorders>
          </w:tcPr>
          <w:p w14:paraId="53C6CF4F"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Illiterate</w:t>
            </w:r>
          </w:p>
        </w:tc>
        <w:tc>
          <w:tcPr>
            <w:tcW w:w="1554" w:type="dxa"/>
            <w:tcBorders>
              <w:top w:val="nil"/>
              <w:left w:val="nil"/>
              <w:bottom w:val="nil"/>
              <w:right w:val="nil"/>
            </w:tcBorders>
          </w:tcPr>
          <w:p w14:paraId="0D0BDB4D"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7</w:t>
            </w:r>
          </w:p>
        </w:tc>
        <w:tc>
          <w:tcPr>
            <w:tcW w:w="2687" w:type="dxa"/>
            <w:tcBorders>
              <w:top w:val="nil"/>
              <w:left w:val="nil"/>
              <w:bottom w:val="nil"/>
            </w:tcBorders>
          </w:tcPr>
          <w:p w14:paraId="1AE8C508"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13,0</w:t>
            </w:r>
          </w:p>
        </w:tc>
      </w:tr>
      <w:tr w:rsidR="00A427BA" w:rsidRPr="00561BE4" w14:paraId="43338362" w14:textId="77777777" w:rsidTr="00946D22">
        <w:trPr>
          <w:jc w:val="center"/>
        </w:trPr>
        <w:tc>
          <w:tcPr>
            <w:tcW w:w="4253" w:type="dxa"/>
            <w:tcBorders>
              <w:top w:val="nil"/>
              <w:bottom w:val="nil"/>
              <w:right w:val="nil"/>
            </w:tcBorders>
          </w:tcPr>
          <w:p w14:paraId="792006FD"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Incomplete primary education</w:t>
            </w:r>
          </w:p>
        </w:tc>
        <w:tc>
          <w:tcPr>
            <w:tcW w:w="1554" w:type="dxa"/>
            <w:tcBorders>
              <w:top w:val="nil"/>
              <w:left w:val="nil"/>
              <w:bottom w:val="nil"/>
              <w:right w:val="nil"/>
            </w:tcBorders>
          </w:tcPr>
          <w:p w14:paraId="5CB90DEC"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25</w:t>
            </w:r>
          </w:p>
        </w:tc>
        <w:tc>
          <w:tcPr>
            <w:tcW w:w="2687" w:type="dxa"/>
            <w:tcBorders>
              <w:top w:val="nil"/>
              <w:left w:val="nil"/>
              <w:bottom w:val="nil"/>
            </w:tcBorders>
          </w:tcPr>
          <w:p w14:paraId="4257F3DF"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45,0</w:t>
            </w:r>
          </w:p>
        </w:tc>
      </w:tr>
      <w:tr w:rsidR="00A427BA" w:rsidRPr="00561BE4" w14:paraId="25EF20FB" w14:textId="77777777" w:rsidTr="00946D22">
        <w:trPr>
          <w:trHeight w:val="336"/>
          <w:jc w:val="center"/>
        </w:trPr>
        <w:tc>
          <w:tcPr>
            <w:tcW w:w="4253" w:type="dxa"/>
            <w:tcBorders>
              <w:top w:val="nil"/>
              <w:bottom w:val="nil"/>
              <w:right w:val="nil"/>
            </w:tcBorders>
          </w:tcPr>
          <w:p w14:paraId="2A442A7C"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Complete primary education</w:t>
            </w:r>
          </w:p>
        </w:tc>
        <w:tc>
          <w:tcPr>
            <w:tcW w:w="1554" w:type="dxa"/>
            <w:tcBorders>
              <w:top w:val="nil"/>
              <w:left w:val="nil"/>
              <w:bottom w:val="nil"/>
              <w:right w:val="nil"/>
            </w:tcBorders>
          </w:tcPr>
          <w:p w14:paraId="141E8F65"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5</w:t>
            </w:r>
          </w:p>
        </w:tc>
        <w:tc>
          <w:tcPr>
            <w:tcW w:w="2687" w:type="dxa"/>
            <w:tcBorders>
              <w:top w:val="nil"/>
              <w:left w:val="nil"/>
              <w:bottom w:val="nil"/>
            </w:tcBorders>
          </w:tcPr>
          <w:p w14:paraId="736FDFF1"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9,0</w:t>
            </w:r>
          </w:p>
        </w:tc>
      </w:tr>
      <w:tr w:rsidR="00A427BA" w:rsidRPr="00561BE4" w14:paraId="79D6D9C6" w14:textId="77777777" w:rsidTr="00946D22">
        <w:trPr>
          <w:jc w:val="center"/>
        </w:trPr>
        <w:tc>
          <w:tcPr>
            <w:tcW w:w="4253" w:type="dxa"/>
            <w:tcBorders>
              <w:top w:val="nil"/>
              <w:bottom w:val="nil"/>
              <w:right w:val="nil"/>
            </w:tcBorders>
          </w:tcPr>
          <w:p w14:paraId="61D0FD8C"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Incomplete secondary education</w:t>
            </w:r>
          </w:p>
        </w:tc>
        <w:tc>
          <w:tcPr>
            <w:tcW w:w="1554" w:type="dxa"/>
            <w:tcBorders>
              <w:top w:val="nil"/>
              <w:left w:val="nil"/>
              <w:bottom w:val="nil"/>
              <w:right w:val="nil"/>
            </w:tcBorders>
          </w:tcPr>
          <w:p w14:paraId="299BBED3"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2</w:t>
            </w:r>
          </w:p>
        </w:tc>
        <w:tc>
          <w:tcPr>
            <w:tcW w:w="2687" w:type="dxa"/>
            <w:tcBorders>
              <w:top w:val="nil"/>
              <w:left w:val="nil"/>
              <w:bottom w:val="nil"/>
            </w:tcBorders>
          </w:tcPr>
          <w:p w14:paraId="56F46BC2"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4,0</w:t>
            </w:r>
          </w:p>
        </w:tc>
      </w:tr>
      <w:tr w:rsidR="00A427BA" w:rsidRPr="00561BE4" w14:paraId="1CA6AB16" w14:textId="77777777" w:rsidTr="00946D22">
        <w:trPr>
          <w:jc w:val="center"/>
        </w:trPr>
        <w:tc>
          <w:tcPr>
            <w:tcW w:w="4253" w:type="dxa"/>
            <w:tcBorders>
              <w:top w:val="nil"/>
              <w:right w:val="nil"/>
            </w:tcBorders>
          </w:tcPr>
          <w:p w14:paraId="426D7B23"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Complete secondary education</w:t>
            </w:r>
          </w:p>
        </w:tc>
        <w:tc>
          <w:tcPr>
            <w:tcW w:w="1554" w:type="dxa"/>
            <w:tcBorders>
              <w:top w:val="nil"/>
              <w:left w:val="nil"/>
              <w:right w:val="nil"/>
            </w:tcBorders>
          </w:tcPr>
          <w:p w14:paraId="7D19D171"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4</w:t>
            </w:r>
          </w:p>
        </w:tc>
        <w:tc>
          <w:tcPr>
            <w:tcW w:w="2687" w:type="dxa"/>
            <w:tcBorders>
              <w:top w:val="nil"/>
              <w:left w:val="nil"/>
            </w:tcBorders>
          </w:tcPr>
          <w:p w14:paraId="6284D32F"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7,0</w:t>
            </w:r>
          </w:p>
        </w:tc>
      </w:tr>
    </w:tbl>
    <w:p w14:paraId="29FDC3FD" w14:textId="6F04A88D" w:rsidR="00311DCB" w:rsidRDefault="00026471" w:rsidP="00311DCB">
      <w:pPr>
        <w:pStyle w:val="Body"/>
        <w:rPr>
          <w:rFonts w:ascii="Arial" w:hAnsi="Arial" w:cs="Arial"/>
          <w:lang w:val="pt-BR"/>
        </w:rPr>
      </w:pPr>
      <w:r w:rsidRPr="00026471">
        <w:rPr>
          <w:rFonts w:ascii="Arial" w:hAnsi="Arial" w:cs="Arial"/>
          <w:b/>
          <w:bCs/>
          <w:sz w:val="18"/>
          <w:szCs w:val="18"/>
        </w:rPr>
        <w:t>Source: Author's own work</w:t>
      </w:r>
    </w:p>
    <w:p w14:paraId="30593EF1" w14:textId="3DFFED23" w:rsidR="00C11E4F" w:rsidRDefault="00026471" w:rsidP="00B234F4">
      <w:pPr>
        <w:pStyle w:val="Body"/>
        <w:spacing w:after="0"/>
        <w:ind w:firstLine="709"/>
        <w:rPr>
          <w:rFonts w:ascii="Arial" w:hAnsi="Arial" w:cs="Arial"/>
          <w:lang w:val="pt-BR"/>
        </w:rPr>
      </w:pPr>
      <w:r w:rsidRPr="00026471">
        <w:rPr>
          <w:rFonts w:ascii="Arial" w:hAnsi="Arial" w:cs="Arial"/>
          <w:lang w:val="pt-BR"/>
        </w:rPr>
        <w:t>Oliveira (2018) identified a predominance of patients with incomplete primary education, as evidenced in other studies with similar designs conducted in Brazil. Ferreira (2013) reinforces this perspective by highlighting that low education levels act as a marker of precarious living conditions and unequal access to information, consumer goods, and health services, which increases vulnerability to tuberculosis. Therefore, it is understood that the level of education favors the acquisition of knowledge about the disease process, being essential for coping with the disease and for adherence to treatment, directly reflecting on the effectiveness of tuberculosis control actions.</w:t>
      </w:r>
    </w:p>
    <w:p w14:paraId="29AE5FE8" w14:textId="77777777" w:rsidR="00026471" w:rsidRDefault="00026471" w:rsidP="00B234F4">
      <w:pPr>
        <w:pStyle w:val="Body"/>
        <w:spacing w:after="0"/>
        <w:ind w:firstLine="709"/>
        <w:rPr>
          <w:rFonts w:ascii="Arial" w:hAnsi="Arial" w:cs="Arial"/>
          <w:lang w:val="pt-BR"/>
        </w:rPr>
      </w:pPr>
    </w:p>
    <w:p w14:paraId="70F4C932" w14:textId="0738C34B" w:rsidR="00C11E4F" w:rsidRDefault="00C11E4F" w:rsidP="00C11E4F">
      <w:pPr>
        <w:pStyle w:val="Body"/>
        <w:spacing w:after="0"/>
        <w:rPr>
          <w:rFonts w:ascii="Arial" w:hAnsi="Arial" w:cs="Arial"/>
          <w:lang w:val="pt-BR"/>
        </w:rPr>
      </w:pPr>
      <w:r>
        <w:rPr>
          <w:rFonts w:ascii="Arial" w:hAnsi="Arial" w:cs="Arial"/>
          <w:lang w:val="pt-BR"/>
        </w:rPr>
        <w:t xml:space="preserve">3.3 </w:t>
      </w:r>
      <w:r w:rsidR="00F42137">
        <w:rPr>
          <w:rFonts w:ascii="Arial" w:hAnsi="Arial" w:cs="Arial"/>
          <w:lang w:val="pt-BR"/>
        </w:rPr>
        <w:t>S</w:t>
      </w:r>
      <w:r w:rsidR="003A1799" w:rsidRPr="003A1799">
        <w:rPr>
          <w:rFonts w:ascii="Arial" w:hAnsi="Arial" w:cs="Arial"/>
          <w:lang w:val="pt-BR"/>
        </w:rPr>
        <w:t>pecific Vulnerable Populations</w:t>
      </w:r>
    </w:p>
    <w:p w14:paraId="6E4699CD" w14:textId="77777777" w:rsidR="00C11E4F" w:rsidRPr="00994AB3" w:rsidRDefault="00C11E4F" w:rsidP="00B234F4">
      <w:pPr>
        <w:pStyle w:val="Body"/>
        <w:spacing w:after="0"/>
        <w:ind w:firstLine="709"/>
        <w:rPr>
          <w:rFonts w:ascii="Arial" w:hAnsi="Arial" w:cs="Arial"/>
          <w:lang w:val="pt-BR"/>
        </w:rPr>
      </w:pPr>
    </w:p>
    <w:p w14:paraId="2E45C795" w14:textId="608FA09C" w:rsidR="00C11E4F" w:rsidRDefault="003A1799" w:rsidP="003646F9">
      <w:pPr>
        <w:pStyle w:val="Body"/>
        <w:spacing w:after="0"/>
        <w:ind w:firstLine="709"/>
        <w:rPr>
          <w:rFonts w:ascii="Arial" w:hAnsi="Arial" w:cs="Arial"/>
          <w:lang w:val="pt-BR"/>
        </w:rPr>
      </w:pPr>
      <w:r w:rsidRPr="003A1799">
        <w:rPr>
          <w:rFonts w:ascii="Arial" w:hAnsi="Arial" w:cs="Arial"/>
          <w:lang w:val="pt-BR"/>
        </w:rPr>
        <w:t>In Santa Quitéria-CE, a case of tuberculosis was confirmed among healthcare professionals and the homeless population. Although most notifications were negative, these cases highlight the need for surveillance and prevention measures targeted at vulnerable populations, such as healthcare workers and homeless people.</w:t>
      </w:r>
    </w:p>
    <w:p w14:paraId="76589B09" w14:textId="77777777" w:rsidR="003A1799" w:rsidRDefault="003A1799" w:rsidP="003646F9">
      <w:pPr>
        <w:pStyle w:val="Body"/>
        <w:spacing w:after="0"/>
        <w:ind w:firstLine="709"/>
        <w:rPr>
          <w:rFonts w:ascii="Arial" w:hAnsi="Arial" w:cs="Arial"/>
          <w:lang w:val="pt-BR"/>
        </w:rPr>
      </w:pPr>
    </w:p>
    <w:p w14:paraId="163C1679" w14:textId="26367C7F" w:rsidR="00C11E4F" w:rsidRDefault="00C11E4F" w:rsidP="00C11E4F">
      <w:pPr>
        <w:pStyle w:val="Body"/>
        <w:spacing w:after="0"/>
        <w:rPr>
          <w:rFonts w:ascii="Arial" w:hAnsi="Arial" w:cs="Arial"/>
          <w:lang w:val="pt-BR"/>
        </w:rPr>
      </w:pPr>
      <w:r>
        <w:rPr>
          <w:rFonts w:ascii="Arial" w:hAnsi="Arial" w:cs="Arial"/>
          <w:lang w:val="pt-BR"/>
        </w:rPr>
        <w:t xml:space="preserve">3.4 </w:t>
      </w:r>
      <w:r w:rsidR="003A1799" w:rsidRPr="003A1799">
        <w:rPr>
          <w:rFonts w:ascii="Arial" w:hAnsi="Arial" w:cs="Arial"/>
          <w:lang w:val="pt-BR"/>
        </w:rPr>
        <w:t>Entry Status and Treatment History</w:t>
      </w:r>
    </w:p>
    <w:p w14:paraId="18C1024E" w14:textId="77777777" w:rsidR="00C11E4F" w:rsidRPr="00994AB3" w:rsidRDefault="00C11E4F" w:rsidP="003646F9">
      <w:pPr>
        <w:pStyle w:val="Body"/>
        <w:spacing w:after="0"/>
        <w:ind w:firstLine="709"/>
        <w:rPr>
          <w:rFonts w:ascii="Arial" w:hAnsi="Arial" w:cs="Arial"/>
          <w:lang w:val="pt-BR"/>
        </w:rPr>
      </w:pPr>
    </w:p>
    <w:p w14:paraId="4C720C6B" w14:textId="0FF5E478" w:rsidR="00C11E4F" w:rsidRDefault="003A1799" w:rsidP="00B234F4">
      <w:pPr>
        <w:pStyle w:val="Body"/>
        <w:spacing w:after="0"/>
        <w:ind w:firstLine="709"/>
        <w:rPr>
          <w:rFonts w:ascii="Arial" w:hAnsi="Arial" w:cs="Arial"/>
          <w:lang w:val="pt-BR"/>
        </w:rPr>
      </w:pPr>
      <w:r w:rsidRPr="003A1799">
        <w:rPr>
          <w:rFonts w:ascii="Arial" w:hAnsi="Arial" w:cs="Arial"/>
          <w:lang w:val="pt-BR"/>
        </w:rPr>
        <w:t xml:space="preserve">Among the registered tuberculosis cases, 86% were new cases, 9% were relapses, and 5% were readmissions after treatment abandonment. These numbers of relapse cases, obtained in the current study period, are lower than those recorded by Vieira and Leitão (2005), who identified 17.8% retreatment in Fortaleza at that time. The difference between the analyzed periods may reflect advances in patient control and follow-up strategies over the years. Nevertheless, the data indicate that, although cases of relapse and re-entry may seem small in isolation, their sum represents a continuous challenge for tuberculosis control, highlighting the importance of adequate follow-up of patients during and after treatment, to avoid discontinuities that favor the worsening or spread of the disease (Giroti </w:t>
      </w:r>
      <w:r w:rsidR="00E52CED" w:rsidRPr="00E52CED">
        <w:rPr>
          <w:rFonts w:ascii="Arial" w:hAnsi="Arial" w:cs="Arial"/>
          <w:i/>
          <w:lang w:val="pt-BR"/>
        </w:rPr>
        <w:t>et al</w:t>
      </w:r>
      <w:r w:rsidRPr="003A1799">
        <w:rPr>
          <w:rFonts w:ascii="Arial" w:hAnsi="Arial" w:cs="Arial"/>
          <w:lang w:val="pt-BR"/>
        </w:rPr>
        <w:t>., 2010).</w:t>
      </w:r>
    </w:p>
    <w:p w14:paraId="3F09A242" w14:textId="77777777" w:rsidR="003A1799" w:rsidRDefault="003A1799" w:rsidP="00B234F4">
      <w:pPr>
        <w:pStyle w:val="Body"/>
        <w:spacing w:after="0"/>
        <w:ind w:firstLine="709"/>
        <w:rPr>
          <w:rFonts w:ascii="Arial" w:hAnsi="Arial" w:cs="Arial"/>
          <w:lang w:val="pt-BR"/>
        </w:rPr>
      </w:pPr>
    </w:p>
    <w:p w14:paraId="6A919720" w14:textId="19CA1C85" w:rsidR="00C11E4F" w:rsidRDefault="00C11E4F" w:rsidP="00C11E4F">
      <w:pPr>
        <w:pStyle w:val="Body"/>
        <w:spacing w:after="0"/>
        <w:rPr>
          <w:rFonts w:ascii="Arial" w:hAnsi="Arial" w:cs="Arial"/>
          <w:lang w:val="pt-BR"/>
        </w:rPr>
      </w:pPr>
      <w:r>
        <w:rPr>
          <w:rFonts w:ascii="Arial" w:hAnsi="Arial" w:cs="Arial"/>
          <w:lang w:val="pt-BR"/>
        </w:rPr>
        <w:t xml:space="preserve">3.5 </w:t>
      </w:r>
      <w:r w:rsidR="003A1799" w:rsidRPr="003A1799">
        <w:rPr>
          <w:rFonts w:ascii="Arial" w:hAnsi="Arial" w:cs="Arial"/>
          <w:lang w:val="pt-BR"/>
        </w:rPr>
        <w:t>Clinical Form of Tuberculosis</w:t>
      </w:r>
    </w:p>
    <w:p w14:paraId="5D77A59A" w14:textId="77777777" w:rsidR="00C11E4F" w:rsidRPr="00994AB3" w:rsidRDefault="00C11E4F" w:rsidP="00B234F4">
      <w:pPr>
        <w:pStyle w:val="Body"/>
        <w:spacing w:after="0"/>
        <w:ind w:firstLine="709"/>
        <w:rPr>
          <w:rFonts w:ascii="Arial" w:hAnsi="Arial" w:cs="Arial"/>
          <w:lang w:val="pt-BR"/>
        </w:rPr>
      </w:pPr>
    </w:p>
    <w:p w14:paraId="46406DBD" w14:textId="2C806451" w:rsidR="003A1799" w:rsidRPr="003A1799" w:rsidRDefault="003A1799" w:rsidP="003A1799">
      <w:pPr>
        <w:pStyle w:val="Body"/>
        <w:spacing w:after="0"/>
        <w:ind w:firstLine="709"/>
        <w:rPr>
          <w:rFonts w:ascii="Arial" w:hAnsi="Arial" w:cs="Arial"/>
          <w:lang w:val="pt-BR"/>
        </w:rPr>
      </w:pPr>
      <w:r w:rsidRPr="003A1799">
        <w:rPr>
          <w:rFonts w:ascii="Arial" w:hAnsi="Arial" w:cs="Arial"/>
          <w:lang w:val="pt-BR"/>
        </w:rPr>
        <w:t>The results are similar to those of Silva (2017), who, in the state of Maranhão, between 2005 and 2010, recorded 87.4% new cases, 6.1% relapses, and 6.5% re-entry after abandonment. Even so, the data indicate that, although the cases of relapse and re-entry individually seem reduced, their sum represents a continuous challenge for tuberculosis control, highlighting the importance of adequate follow-up of patients during and after treatment, to avoid discontinuities that favor the worsening or spread of the disease.</w:t>
      </w:r>
    </w:p>
    <w:p w14:paraId="30BED755" w14:textId="3416D2BC" w:rsidR="003A1799" w:rsidRPr="003A1799" w:rsidRDefault="003A1799" w:rsidP="003A1799">
      <w:pPr>
        <w:pStyle w:val="Body"/>
        <w:spacing w:after="0"/>
        <w:ind w:firstLine="709"/>
        <w:rPr>
          <w:rFonts w:ascii="Arial" w:hAnsi="Arial" w:cs="Arial"/>
          <w:lang w:val="pt-BR"/>
        </w:rPr>
      </w:pPr>
      <w:r w:rsidRPr="003A1799">
        <w:rPr>
          <w:rFonts w:ascii="Arial" w:hAnsi="Arial" w:cs="Arial"/>
          <w:lang w:val="pt-BR"/>
        </w:rPr>
        <w:t xml:space="preserve">The pulmonary form of tuberculosis was the most prevalent in the present study, representing 87.1% of cases, with 49 infected patients. These data are in agreement with the literature of Carvalho </w:t>
      </w:r>
      <w:r w:rsidR="00E52CED" w:rsidRPr="00E52CED">
        <w:rPr>
          <w:rFonts w:ascii="Arial" w:hAnsi="Arial" w:cs="Arial"/>
          <w:i/>
          <w:lang w:val="pt-BR"/>
        </w:rPr>
        <w:t>et al</w:t>
      </w:r>
      <w:r w:rsidRPr="003A1799">
        <w:rPr>
          <w:rFonts w:ascii="Arial" w:hAnsi="Arial" w:cs="Arial"/>
          <w:lang w:val="pt-BR"/>
        </w:rPr>
        <w:t>. (2020), which states that pulmonary tuberculosis remains the most frequent manifestation, being responsible for more than 90% of the cases reported in various regions of the country. This predominance is related to the fact that the pulmonary form is the main route of transmission of the disease, which favors its identification and notification by health services. In addition, the most characteristic symptoms, such as persistent cough, fever and weight loss, make its recognition more immediate compared to extrapulmonary forms, which often present in a more nonspecific way or require complementary tests for diagnosis (Ministry of Health, 2020).</w:t>
      </w:r>
    </w:p>
    <w:p w14:paraId="5F90BFE8" w14:textId="792BEA6A" w:rsidR="00C11E4F" w:rsidRDefault="003A1799" w:rsidP="003A1799">
      <w:pPr>
        <w:pStyle w:val="Body"/>
        <w:spacing w:after="0"/>
        <w:ind w:firstLine="709"/>
        <w:rPr>
          <w:rFonts w:ascii="Arial" w:hAnsi="Arial" w:cs="Arial"/>
          <w:lang w:val="pt-BR"/>
        </w:rPr>
      </w:pPr>
      <w:r w:rsidRPr="003A1799">
        <w:rPr>
          <w:rFonts w:ascii="Arial" w:hAnsi="Arial" w:cs="Arial"/>
          <w:lang w:val="pt-BR"/>
        </w:rPr>
        <w:t xml:space="preserve">Although the 87% percentage found in this study is lower than that observed by Carvalho </w:t>
      </w:r>
      <w:r w:rsidR="00E52CED" w:rsidRPr="00E52CED">
        <w:rPr>
          <w:rFonts w:ascii="Arial" w:hAnsi="Arial" w:cs="Arial"/>
          <w:i/>
          <w:lang w:val="pt-BR"/>
        </w:rPr>
        <w:t>et al</w:t>
      </w:r>
      <w:r w:rsidRPr="003A1799">
        <w:rPr>
          <w:rFonts w:ascii="Arial" w:hAnsi="Arial" w:cs="Arial"/>
          <w:lang w:val="pt-BR"/>
        </w:rPr>
        <w:t>. (2020), it is important to reinforce active surveillance, early diagnosis and adequate treatment of the pulmonary form, especially due to its greater transmission potential.</w:t>
      </w:r>
    </w:p>
    <w:p w14:paraId="74100900" w14:textId="77777777" w:rsidR="003A1799" w:rsidRDefault="003A1799" w:rsidP="00C11E4F">
      <w:pPr>
        <w:pStyle w:val="Body"/>
        <w:spacing w:after="0"/>
        <w:rPr>
          <w:rFonts w:ascii="Arial" w:hAnsi="Arial" w:cs="Arial"/>
          <w:lang w:val="pt-BR"/>
        </w:rPr>
      </w:pPr>
    </w:p>
    <w:p w14:paraId="3473DD48" w14:textId="5F270192" w:rsidR="00C11E4F" w:rsidRDefault="00C11E4F" w:rsidP="00C11E4F">
      <w:pPr>
        <w:pStyle w:val="Body"/>
        <w:spacing w:after="0"/>
        <w:rPr>
          <w:rFonts w:ascii="Arial" w:hAnsi="Arial" w:cs="Arial"/>
          <w:lang w:val="pt-BR"/>
        </w:rPr>
      </w:pPr>
      <w:r>
        <w:rPr>
          <w:rFonts w:ascii="Arial" w:hAnsi="Arial" w:cs="Arial"/>
          <w:lang w:val="pt-BR"/>
        </w:rPr>
        <w:t xml:space="preserve">3.6 </w:t>
      </w:r>
      <w:r w:rsidR="003A1799" w:rsidRPr="003A1799">
        <w:rPr>
          <w:rFonts w:ascii="Arial" w:hAnsi="Arial" w:cs="Arial"/>
          <w:lang w:val="pt-BR"/>
        </w:rPr>
        <w:t>Case closure status</w:t>
      </w:r>
    </w:p>
    <w:p w14:paraId="713FA313" w14:textId="77777777" w:rsidR="00C11E4F" w:rsidRPr="00994AB3" w:rsidRDefault="00C11E4F" w:rsidP="003646F9">
      <w:pPr>
        <w:pStyle w:val="Body"/>
        <w:spacing w:after="0"/>
        <w:ind w:firstLine="709"/>
        <w:rPr>
          <w:rFonts w:ascii="Arial" w:hAnsi="Arial" w:cs="Arial"/>
          <w:lang w:val="pt-BR"/>
        </w:rPr>
      </w:pPr>
    </w:p>
    <w:p w14:paraId="3DF17357" w14:textId="77777777" w:rsidR="003A1799" w:rsidRPr="003A1799" w:rsidRDefault="003A1799" w:rsidP="00C91FED">
      <w:pPr>
        <w:pStyle w:val="Body"/>
        <w:spacing w:after="0"/>
        <w:rPr>
          <w:rFonts w:ascii="Arial" w:hAnsi="Arial" w:cs="Arial"/>
          <w:lang w:val="pt-BR"/>
        </w:rPr>
      </w:pPr>
      <w:r w:rsidRPr="003A1799">
        <w:rPr>
          <w:rFonts w:ascii="Arial" w:hAnsi="Arial" w:cs="Arial"/>
          <w:lang w:val="pt-BR"/>
        </w:rPr>
        <w:t>Most tuberculosis cases closed in the municipality of Santa Quitéria-CE ended in cure, 75% of the total analyzed. This percentage indicates a relatively positive performance in relation to therapeutic success, especially when compared to data from the Northeast region, where Silva (2022) reported a cure rate of 55%. On the other hand, treatment abandonment still represents a significant challenge for tuberculosis control in the region, with 21.7% of cases in the Northeast region not completing treatment adequately (Sousa, 2020).</w:t>
      </w:r>
    </w:p>
    <w:p w14:paraId="06CE0C2B" w14:textId="72E2A81E" w:rsidR="00C74261" w:rsidRDefault="003A1799" w:rsidP="00C91FED">
      <w:pPr>
        <w:pStyle w:val="Body"/>
        <w:spacing w:after="0"/>
        <w:rPr>
          <w:rFonts w:ascii="Arial" w:hAnsi="Arial" w:cs="Arial"/>
          <w:lang w:val="pt-BR"/>
        </w:rPr>
      </w:pPr>
      <w:r w:rsidRPr="003A1799">
        <w:rPr>
          <w:rFonts w:ascii="Arial" w:hAnsi="Arial" w:cs="Arial"/>
          <w:lang w:val="pt-BR"/>
        </w:rPr>
        <w:t>The trend observed by Jesus (2021) in the municipality of Ilhéus-BA reported a progressive increase in the proportion of cured cases between 2014 and 2018, ranging from 66.67% in 2016 to 77.61% in 2018. Regarding treatment abandonment, the average recorded in Ilhéus-BA was 18.30%, a percentage similar to that verified in Santa Quitéria-CE, indicating a common challenge faced by several municipalities with regard to therapeutic adherence. The performance of Santa Quitéria-CE, therefore, is within the positive parameters observed in other regions of the country, reflecting advances in patient follow-up and the effectiveness of tuberculosis control actions.</w:t>
      </w:r>
    </w:p>
    <w:p w14:paraId="79E8A30A" w14:textId="77777777" w:rsidR="003A1799" w:rsidRDefault="003A1799" w:rsidP="003A1799">
      <w:pPr>
        <w:pStyle w:val="Body"/>
        <w:spacing w:after="0"/>
        <w:ind w:firstLine="709"/>
        <w:rPr>
          <w:rFonts w:ascii="Arial" w:hAnsi="Arial" w:cs="Arial"/>
          <w:lang w:val="pt-BR"/>
        </w:rPr>
      </w:pPr>
    </w:p>
    <w:p w14:paraId="3F88B1FA" w14:textId="00AD7987" w:rsidR="00C74261" w:rsidRDefault="00C74261" w:rsidP="00C74261">
      <w:pPr>
        <w:pStyle w:val="Body"/>
        <w:spacing w:after="0"/>
        <w:rPr>
          <w:rFonts w:ascii="Arial" w:hAnsi="Arial" w:cs="Arial"/>
          <w:lang w:val="pt-BR"/>
        </w:rPr>
      </w:pPr>
      <w:r>
        <w:rPr>
          <w:rFonts w:ascii="Arial" w:hAnsi="Arial" w:cs="Arial"/>
          <w:lang w:val="pt-BR"/>
        </w:rPr>
        <w:t xml:space="preserve">3.7 </w:t>
      </w:r>
      <w:r w:rsidR="00861803">
        <w:rPr>
          <w:rFonts w:ascii="Arial" w:hAnsi="Arial" w:cs="Arial"/>
          <w:lang w:val="pt-BR"/>
        </w:rPr>
        <w:t>T</w:t>
      </w:r>
      <w:r w:rsidR="003A1799" w:rsidRPr="003A1799">
        <w:rPr>
          <w:rFonts w:ascii="Arial" w:hAnsi="Arial" w:cs="Arial"/>
          <w:lang w:val="pt-BR"/>
        </w:rPr>
        <w:t>uberculosis and Comorbidities</w:t>
      </w:r>
    </w:p>
    <w:p w14:paraId="6C709174" w14:textId="77777777" w:rsidR="00C74261" w:rsidRPr="00994AB3" w:rsidRDefault="00C74261" w:rsidP="003646F9">
      <w:pPr>
        <w:pStyle w:val="Body"/>
        <w:spacing w:after="0"/>
        <w:ind w:firstLine="709"/>
        <w:rPr>
          <w:rFonts w:ascii="Arial" w:hAnsi="Arial" w:cs="Arial"/>
          <w:lang w:val="pt-BR"/>
        </w:rPr>
      </w:pPr>
    </w:p>
    <w:p w14:paraId="3DE15A3B" w14:textId="223C5C98" w:rsidR="003A1799" w:rsidRPr="003A1799" w:rsidRDefault="003A1799" w:rsidP="003A1799">
      <w:pPr>
        <w:pStyle w:val="Body"/>
        <w:spacing w:after="0"/>
        <w:rPr>
          <w:rFonts w:ascii="Arial" w:hAnsi="Arial" w:cs="Arial"/>
        </w:rPr>
      </w:pPr>
      <w:r w:rsidRPr="003A1799">
        <w:rPr>
          <w:rFonts w:ascii="Arial" w:hAnsi="Arial" w:cs="Arial"/>
        </w:rPr>
        <w:t>Tuberculosis (TB) coinfection showed a low overall frequency, with a heterogeneous distribution among the comorbidities evaluated: 7% among individuals with diabetes (93% without TB), 2% among individuals with mental disorders (98% without TB), and 5% among illicit drug users (93% without TB; 2% missing records). Higher percentages were observed among alcoholics (18%; 80% without TB; 2% missing records) and HIV-positive individuals (9%; 88% without TB; 4% not tested).</w:t>
      </w:r>
    </w:p>
    <w:p w14:paraId="094F6466" w14:textId="3F1C6E23" w:rsidR="003A1799" w:rsidRPr="003A1799" w:rsidRDefault="003A1799" w:rsidP="003A1799">
      <w:pPr>
        <w:pStyle w:val="Body"/>
        <w:spacing w:after="0"/>
        <w:rPr>
          <w:rFonts w:ascii="Arial" w:hAnsi="Arial" w:cs="Arial"/>
        </w:rPr>
      </w:pPr>
      <w:r w:rsidRPr="003A1799">
        <w:rPr>
          <w:rFonts w:ascii="Arial" w:hAnsi="Arial" w:cs="Arial"/>
        </w:rPr>
        <w:t>When observing the results of the present study, it is noticeable that they are consistent with the findings of (Basta</w:t>
      </w:r>
      <w:r w:rsidR="00F42137">
        <w:rPr>
          <w:rFonts w:ascii="Arial" w:hAnsi="Arial" w:cs="Arial"/>
        </w:rPr>
        <w:t xml:space="preserve">, </w:t>
      </w:r>
      <w:r w:rsidRPr="003A1799">
        <w:rPr>
          <w:rFonts w:ascii="Arial" w:hAnsi="Arial" w:cs="Arial"/>
        </w:rPr>
        <w:t xml:space="preserve">2013), who also identified a strong presence of comorbidities among people with tuberculosis. The author highlights the abusive use of alcohol (23.4%) and the consumption of illicit drugs (20.2%) as quite frequent conditions, in addition to important associations with smoking (28.4%), diabetes (11.3%) and HIV/AIDS (9.1%). The similarity </w:t>
      </w:r>
      <w:r w:rsidRPr="003A1799">
        <w:rPr>
          <w:rFonts w:ascii="Arial" w:hAnsi="Arial" w:cs="Arial"/>
        </w:rPr>
        <w:lastRenderedPageBreak/>
        <w:t>between the data reinforces the idea that certain health conditions, such as alcoholism and HIV, represent significant risk factors for the development of tuberculosis, as also evidenced in the present study.</w:t>
      </w:r>
    </w:p>
    <w:p w14:paraId="45CB6429" w14:textId="0DE42BFD" w:rsidR="003A1799" w:rsidRPr="003A1799" w:rsidRDefault="003A1799" w:rsidP="003A1799">
      <w:pPr>
        <w:pStyle w:val="Body"/>
        <w:spacing w:after="0"/>
        <w:rPr>
          <w:rFonts w:ascii="Arial" w:hAnsi="Arial" w:cs="Arial"/>
        </w:rPr>
      </w:pPr>
      <w:r w:rsidRPr="003A1799">
        <w:rPr>
          <w:rFonts w:ascii="Arial" w:hAnsi="Arial" w:cs="Arial"/>
        </w:rPr>
        <w:t xml:space="preserve">Cunha (2021), in turn, also identified the association between alcoholism and tuberculosis: </w:t>
      </w:r>
      <w:r w:rsidR="00F42137">
        <w:rPr>
          <w:rFonts w:ascii="Arial" w:hAnsi="Arial" w:cs="Arial"/>
        </w:rPr>
        <w:t>I</w:t>
      </w:r>
      <w:r w:rsidRPr="003A1799">
        <w:rPr>
          <w:rFonts w:ascii="Arial" w:hAnsi="Arial" w:cs="Arial"/>
        </w:rPr>
        <w:t>n the present study, 18% of alcoholic individuals were diagnosed with TB, a significantly higher proportion than that observed in the other groups. Cunha also highlighted alcoholism as one of the most prevalent comorbidities (20.7%), frequently associated with the use of psychoactive substances. illicit substances, which can further increase the risk of exposure to and illness from tuberculosis.</w:t>
      </w:r>
    </w:p>
    <w:p w14:paraId="56738F02" w14:textId="675916B9" w:rsidR="003A1799" w:rsidRPr="003A1799" w:rsidRDefault="003A1799" w:rsidP="003A1799">
      <w:pPr>
        <w:pStyle w:val="Body"/>
        <w:spacing w:after="0"/>
        <w:rPr>
          <w:rFonts w:ascii="Arial" w:hAnsi="Arial" w:cs="Arial"/>
        </w:rPr>
      </w:pPr>
      <w:r w:rsidRPr="003A1799">
        <w:rPr>
          <w:rFonts w:ascii="Arial" w:hAnsi="Arial" w:cs="Arial"/>
        </w:rPr>
        <w:t>In light of this, the importance of a more attentive approach to health services, especially for vulnerable groups, becomes evident. Active tuberculosis screening strategies should be strengthened among people with a history of alcohol abuse and those living with HIV, as these were the groups with the highest observed association. Although less frequent, diabetes, illicit drug use, and mental disorders also deserve attention, as they can influence both the risk of illness and the response to treatment (</w:t>
      </w:r>
      <w:proofErr w:type="spellStart"/>
      <w:r w:rsidRPr="003A1799">
        <w:rPr>
          <w:rFonts w:ascii="Arial" w:hAnsi="Arial" w:cs="Arial"/>
        </w:rPr>
        <w:t>Cuday</w:t>
      </w:r>
      <w:proofErr w:type="spellEnd"/>
      <w:r w:rsidRPr="003A1799">
        <w:rPr>
          <w:rFonts w:ascii="Arial" w:hAnsi="Arial" w:cs="Arial"/>
        </w:rPr>
        <w:t>; Wilson; Cohen, 2020).</w:t>
      </w:r>
    </w:p>
    <w:p w14:paraId="4EF1AEE6" w14:textId="76D14A86" w:rsidR="006B7EAB" w:rsidRPr="0097725D" w:rsidRDefault="003A1799" w:rsidP="003A1799">
      <w:pPr>
        <w:pStyle w:val="Body"/>
        <w:spacing w:after="0"/>
        <w:rPr>
          <w:rFonts w:ascii="Arial" w:hAnsi="Arial"/>
          <w:bCs/>
        </w:rPr>
      </w:pPr>
      <w:r w:rsidRPr="003A1799">
        <w:rPr>
          <w:rFonts w:ascii="Arial" w:hAnsi="Arial" w:cs="Arial"/>
        </w:rPr>
        <w:t>Most of the tuberculosis cases closed in the municipality of Santa Quitéria-CE had laboratory confirmation, totaling 46 cases, which corresponds to 82% of the total analyzed. Based on the analysis by Pinto (2022), it is observed that large municipalities have higher percentages of laboratory confirmation, attributed, in part, to the implementation of the Rapid Tuberculosis Testing Network and the greater availability of specialized public services. However, these municipalities also face challenges such as lower coverage of primary care, which can compromise actions such as contact tracing and Directly Observed Treatment, resulting in worse therapeutic outcomes.</w:t>
      </w:r>
    </w:p>
    <w:p w14:paraId="4A135C95" w14:textId="77777777" w:rsidR="00C74261" w:rsidRPr="0097725D" w:rsidRDefault="00C74261" w:rsidP="003646F9">
      <w:pPr>
        <w:pStyle w:val="Body"/>
        <w:spacing w:after="0"/>
        <w:ind w:firstLine="709"/>
        <w:rPr>
          <w:rFonts w:ascii="Arial" w:hAnsi="Arial"/>
          <w:bCs/>
        </w:rPr>
      </w:pPr>
    </w:p>
    <w:p w14:paraId="50EACAFF" w14:textId="4396360E" w:rsidR="00C74261" w:rsidRDefault="00C74261" w:rsidP="00C74261">
      <w:pPr>
        <w:pStyle w:val="Body"/>
        <w:spacing w:after="0"/>
        <w:rPr>
          <w:rFonts w:ascii="Arial" w:hAnsi="Arial"/>
          <w:bCs/>
          <w:lang w:val="pt-BR"/>
        </w:rPr>
      </w:pPr>
      <w:r>
        <w:rPr>
          <w:rFonts w:ascii="Arial" w:hAnsi="Arial"/>
          <w:bCs/>
          <w:lang w:val="pt-BR"/>
        </w:rPr>
        <w:t xml:space="preserve">3.8 </w:t>
      </w:r>
      <w:r w:rsidR="003A1799" w:rsidRPr="003A1799">
        <w:rPr>
          <w:rFonts w:ascii="Arial" w:hAnsi="Arial"/>
          <w:bCs/>
          <w:lang w:val="pt-BR"/>
        </w:rPr>
        <w:t>Laboratory Diagnosis of Tuberculosis</w:t>
      </w:r>
    </w:p>
    <w:p w14:paraId="17E4029D" w14:textId="77777777" w:rsidR="00C74261" w:rsidRDefault="00C74261" w:rsidP="003646F9">
      <w:pPr>
        <w:pStyle w:val="Body"/>
        <w:spacing w:after="0"/>
        <w:ind w:firstLine="709"/>
        <w:rPr>
          <w:rFonts w:ascii="Arial" w:hAnsi="Arial"/>
          <w:bCs/>
          <w:lang w:val="pt-BR"/>
        </w:rPr>
      </w:pPr>
    </w:p>
    <w:p w14:paraId="60B49A64" w14:textId="77777777" w:rsidR="00001128" w:rsidRPr="00001128" w:rsidRDefault="00001128" w:rsidP="00001128">
      <w:pPr>
        <w:pStyle w:val="Body"/>
        <w:spacing w:after="0"/>
        <w:rPr>
          <w:rFonts w:ascii="Arial" w:hAnsi="Arial"/>
          <w:bCs/>
          <w:lang w:val="pt-BR"/>
        </w:rPr>
      </w:pPr>
      <w:r w:rsidRPr="00001128">
        <w:rPr>
          <w:rFonts w:ascii="Arial" w:hAnsi="Arial"/>
          <w:bCs/>
          <w:lang w:val="pt-BR"/>
        </w:rPr>
        <w:t>Laboratory confirmation is a key component in the diagnosis and control of tuberculosis. In a study conducted by Costa (2019), only 60% of reported cases had laboratory confirmation, a relevant finding considering that diagnostic tests for tuberculosis are freely available through the Brazilian Unified Health System (SUS), according to Ministry of Health guidelines. In Santa Quitéria–CE, however, the higher proportion of laboratory-confirmed cases suggests a relatively effective performance of the local diagnostic network and epidemiological surveillance system, contributing to safer case management.</w:t>
      </w:r>
    </w:p>
    <w:p w14:paraId="0B93E46B" w14:textId="77777777" w:rsidR="00001128" w:rsidRPr="00001128" w:rsidRDefault="00001128" w:rsidP="00001128">
      <w:pPr>
        <w:pStyle w:val="Body"/>
        <w:spacing w:after="0"/>
        <w:rPr>
          <w:rFonts w:ascii="Arial" w:hAnsi="Arial"/>
          <w:bCs/>
          <w:lang w:val="pt-BR"/>
        </w:rPr>
      </w:pPr>
      <w:r w:rsidRPr="00001128">
        <w:rPr>
          <w:rFonts w:ascii="Arial" w:hAnsi="Arial"/>
          <w:bCs/>
          <w:lang w:val="pt-BR"/>
        </w:rPr>
        <w:t>Sputum smear microscopy remains one of the most widely used diagnostic tools for tuberculosis due to its practicality and low cost. Even samples with a low bacillary load may have important clinical significance. According to Ozores (2023), the presence of one or two bacilli may be sufficient for </w:t>
      </w:r>
      <w:r w:rsidRPr="00001128">
        <w:rPr>
          <w:rFonts w:ascii="Arial" w:hAnsi="Arial"/>
          <w:bCs/>
          <w:i/>
          <w:iCs/>
          <w:lang w:val="pt-BR"/>
        </w:rPr>
        <w:t>Mycobacterium tuberculosis</w:t>
      </w:r>
      <w:r w:rsidRPr="00001128">
        <w:rPr>
          <w:rFonts w:ascii="Arial" w:hAnsi="Arial"/>
          <w:bCs/>
          <w:lang w:val="pt-BR"/>
        </w:rPr>
        <w:t> to reach the bronchioles and pulmonary alveoli and initiate infection. In this sense, positivity in smear microscopy, even at low levels, represents a relevant indicator for disease detection and transmission potential.</w:t>
      </w:r>
    </w:p>
    <w:p w14:paraId="43AE9A8A" w14:textId="77777777" w:rsidR="00001128" w:rsidRPr="00001128" w:rsidRDefault="00001128" w:rsidP="00001128">
      <w:pPr>
        <w:pStyle w:val="Body"/>
        <w:spacing w:after="0"/>
        <w:rPr>
          <w:rFonts w:ascii="Arial" w:hAnsi="Arial"/>
          <w:bCs/>
          <w:lang w:val="pt-BR"/>
        </w:rPr>
      </w:pPr>
      <w:r w:rsidRPr="00001128">
        <w:rPr>
          <w:rFonts w:ascii="Arial" w:hAnsi="Arial"/>
          <w:bCs/>
          <w:lang w:val="pt-BR"/>
        </w:rPr>
        <w:t>Evidence from previous studies also reinforces the association between bacillary presence and disease severity. Nogueira (2004) observed high positivity rates in hospitalized patients with treatment failure or social vulnerability, reaching 91.2% and 90.5%, respectively, indicating that bacilloscopy positivity may be related to more advanced clinical conditions.</w:t>
      </w:r>
    </w:p>
    <w:p w14:paraId="1C6B666B" w14:textId="77777777" w:rsidR="00001128" w:rsidRPr="00001128" w:rsidRDefault="00001128" w:rsidP="00001128">
      <w:pPr>
        <w:pStyle w:val="Body"/>
        <w:spacing w:after="0"/>
        <w:rPr>
          <w:rFonts w:ascii="Arial" w:hAnsi="Arial"/>
          <w:bCs/>
          <w:lang w:val="pt-BR"/>
        </w:rPr>
      </w:pPr>
      <w:r w:rsidRPr="00001128">
        <w:rPr>
          <w:rFonts w:ascii="Arial" w:hAnsi="Arial"/>
          <w:bCs/>
          <w:lang w:val="pt-BR"/>
        </w:rPr>
        <w:t>Regarding complementary diagnostic methods, sputum culture was positive in 36% of the analyzed cases, while 45% of patients did not undergo the test, indicating underutilization of this important diagnostic tool. Similar findings were reported by Fortuna (2020) in Teixeira de Freitas, where 89.28% of cases were not submitted to culture, and by Júnior (2020), who identified the absence of this test in more than 83% of cases in the states of Paraíba and Rio Grande do Norte. Although the scenario in Santa Quitéria–CE is less critical, the proportion of non-performance still represents an important limitation for diagnostic confirmation.</w:t>
      </w:r>
    </w:p>
    <w:p w14:paraId="5F44D8E2" w14:textId="77777777" w:rsidR="00001128" w:rsidRPr="00001128" w:rsidRDefault="00001128" w:rsidP="00001128">
      <w:pPr>
        <w:pStyle w:val="Body"/>
        <w:spacing w:after="0"/>
        <w:rPr>
          <w:rFonts w:ascii="Arial" w:hAnsi="Arial"/>
          <w:bCs/>
          <w:lang w:val="nb-NO"/>
        </w:rPr>
      </w:pPr>
      <w:r w:rsidRPr="00001128">
        <w:rPr>
          <w:rFonts w:ascii="Arial" w:hAnsi="Arial"/>
          <w:bCs/>
          <w:lang w:val="pt-BR"/>
        </w:rPr>
        <w:t xml:space="preserve">The Rapid Molecular Test for Tuberculosis (RMT-TB), which allows rapid detection of the bacillus and rifampicin resistance, also showed low utilization in the analyzed cases. </w:t>
      </w:r>
      <w:r w:rsidRPr="00001128">
        <w:rPr>
          <w:rFonts w:ascii="Arial" w:hAnsi="Arial"/>
          <w:bCs/>
          <w:lang w:val="nb-NO"/>
        </w:rPr>
        <w:t xml:space="preserve">Only a small proportion of individuals were diagnosed using this method, while most did not undergo </w:t>
      </w:r>
      <w:r w:rsidRPr="00001128">
        <w:rPr>
          <w:rFonts w:ascii="Arial" w:hAnsi="Arial"/>
          <w:bCs/>
          <w:lang w:val="nb-NO"/>
        </w:rPr>
        <w:lastRenderedPageBreak/>
        <w:t>the test or had incomplete records. According to Salva (2022), this technology represents a significant advance in tuberculosis diagnosis; however, as discussed by Liporaci (2018), operational challenges, limited access to equipment, and insufficient professional training may restrict its implementation in some health services.</w:t>
      </w:r>
    </w:p>
    <w:p w14:paraId="6F4130E9" w14:textId="77777777" w:rsidR="00001128" w:rsidRPr="00001128" w:rsidRDefault="00001128" w:rsidP="00001128">
      <w:pPr>
        <w:pStyle w:val="Body"/>
        <w:spacing w:after="0"/>
        <w:rPr>
          <w:rFonts w:ascii="Arial" w:hAnsi="Arial"/>
          <w:bCs/>
          <w:lang w:val="nb-NO"/>
        </w:rPr>
      </w:pPr>
      <w:r w:rsidRPr="00001128">
        <w:rPr>
          <w:rFonts w:ascii="Arial" w:hAnsi="Arial"/>
          <w:bCs/>
          <w:lang w:val="nb-NO"/>
        </w:rPr>
        <w:t>Finally, drug sensitivity testing plays a fundamental role in guiding appropriate treatment and identifying resistant strains. In the present study, positivity was observed in 43% of the analyzed cases. The effectiveness of these tests may vary according to factors such as the diagnostic technique employed, the timing of sample collection, the patient’s clinical condition, and the training of healthcare professionals (Peruhype, 2014). Therefore, expanding access to modern diagnostic technologies and strengthening professional training remain essential strategies to improve early detection and tuberculosis control (Bertoni, 2010).</w:t>
      </w:r>
    </w:p>
    <w:p w14:paraId="4BE35A42" w14:textId="77777777" w:rsidR="00861803" w:rsidRPr="00001128" w:rsidRDefault="00861803" w:rsidP="00E62630">
      <w:pPr>
        <w:pStyle w:val="Body"/>
        <w:spacing w:after="0"/>
        <w:rPr>
          <w:rFonts w:ascii="Arial" w:hAnsi="Arial" w:cs="Arial"/>
          <w:b/>
          <w:bCs/>
          <w:lang w:val="nb-NO"/>
        </w:rPr>
      </w:pPr>
    </w:p>
    <w:p w14:paraId="48F61823" w14:textId="438F36D8" w:rsidR="00B01FCD" w:rsidRPr="00994AB3" w:rsidRDefault="00E62630" w:rsidP="00E62630">
      <w:pPr>
        <w:pStyle w:val="Body"/>
        <w:spacing w:after="0"/>
        <w:rPr>
          <w:rFonts w:ascii="Arial" w:hAnsi="Arial"/>
          <w:b/>
          <w:bCs/>
          <w:lang w:val="pt-BR"/>
        </w:rPr>
      </w:pPr>
      <w:r w:rsidRPr="00994AB3">
        <w:rPr>
          <w:rFonts w:ascii="Arial" w:hAnsi="Arial" w:cs="Arial"/>
          <w:b/>
          <w:bCs/>
          <w:lang w:val="pt-BR"/>
        </w:rPr>
        <w:t>4. CONCLUSION</w:t>
      </w:r>
    </w:p>
    <w:p w14:paraId="2408E144" w14:textId="77777777" w:rsidR="00790ADA" w:rsidRPr="00994AB3" w:rsidRDefault="00790ADA" w:rsidP="00441B6F">
      <w:pPr>
        <w:pStyle w:val="ConcHead"/>
        <w:spacing w:after="0"/>
        <w:jc w:val="both"/>
        <w:rPr>
          <w:rFonts w:ascii="Arial" w:hAnsi="Arial" w:cs="Arial"/>
          <w:lang w:val="pt-BR"/>
        </w:rPr>
      </w:pPr>
    </w:p>
    <w:p w14:paraId="17F491D9" w14:textId="77777777" w:rsidR="007804B1" w:rsidRPr="007804B1" w:rsidRDefault="007804B1" w:rsidP="007804B1">
      <w:pPr>
        <w:jc w:val="both"/>
        <w:rPr>
          <w:rFonts w:ascii="Arial" w:hAnsi="Arial" w:cs="Arial"/>
          <w:lang w:val="pt-BR"/>
        </w:rPr>
      </w:pPr>
      <w:r w:rsidRPr="007804B1">
        <w:rPr>
          <w:rFonts w:ascii="Arial" w:hAnsi="Arial" w:cs="Arial"/>
          <w:lang w:val="pt-BR"/>
        </w:rPr>
        <w:t>This study characterized the epidemiological profile of tuberculosis in the municipality of Santa Quitéria, Ceará, between 2019 and 2023. The findings showed a higher occurrence of the disease among adult men, particularly those aged 40–59 years, with low educational level and self-identified as mixed-race. The pulmonary form was the most frequent, and although most cases evolved to cure, challenges such as treatment abandonment and relapse remain present. In addition, the limited use of important diagnostic tools, particularly rapid molecular testing and sputum culture, highlights gaps in the diagnostic process.</w:t>
      </w:r>
    </w:p>
    <w:p w14:paraId="41C15D14" w14:textId="5D28A445" w:rsidR="007804B1" w:rsidRPr="007804B1" w:rsidRDefault="007804B1" w:rsidP="007804B1">
      <w:pPr>
        <w:jc w:val="both"/>
        <w:rPr>
          <w:rFonts w:ascii="Arial" w:hAnsi="Arial" w:cs="Arial"/>
          <w:lang w:val="pt-BR"/>
        </w:rPr>
      </w:pPr>
      <w:r w:rsidRPr="007804B1">
        <w:rPr>
          <w:rFonts w:ascii="Arial" w:hAnsi="Arial" w:cs="Arial"/>
          <w:lang w:val="pt-BR"/>
        </w:rPr>
        <w:t>These results reinforce the importance of strengthening tuberculosis control strategies at the level of Primary Health Care, especially through early diagnosis, improved case notification, and continuous monitoring of patients during treatment. Expanding access to laboratory diagnostic tests and implementing targeted educational and prevention actions are essential measures to improve disease control.</w:t>
      </w:r>
      <w:r>
        <w:rPr>
          <w:rFonts w:ascii="Arial" w:hAnsi="Arial" w:cs="Arial"/>
          <w:lang w:val="pt-BR"/>
        </w:rPr>
        <w:t xml:space="preserve"> </w:t>
      </w:r>
      <w:r w:rsidRPr="007804B1">
        <w:rPr>
          <w:rFonts w:ascii="Arial" w:hAnsi="Arial" w:cs="Arial"/>
          <w:lang w:val="pt-BR"/>
        </w:rPr>
        <w:t>Furthermore, future epidemiological studies are recommended to monitor local trends and evaluate the effectiveness of public health interventions. Such efforts are fundamental to support evidence-based decision-making and contribute to achieving the global goal of tuberculosis elimination proposed by the World Health Organization.</w:t>
      </w:r>
    </w:p>
    <w:p w14:paraId="61CE98AC" w14:textId="77777777" w:rsidR="00861803" w:rsidRPr="00315186" w:rsidRDefault="00861803" w:rsidP="00441B6F"/>
    <w:p w14:paraId="7174F377" w14:textId="2EAD0595" w:rsidR="00ED0FD7" w:rsidRDefault="00ED0FD7" w:rsidP="00441B6F">
      <w:pPr>
        <w:pStyle w:val="ReferHead"/>
        <w:spacing w:after="0"/>
        <w:jc w:val="both"/>
        <w:rPr>
          <w:rFonts w:ascii="Arial" w:hAnsi="Arial" w:cs="Arial"/>
          <w:b w:val="0"/>
          <w:caps w:val="0"/>
          <w:sz w:val="20"/>
        </w:rPr>
      </w:pPr>
      <w:bookmarkStart w:id="0" w:name="_GoBack"/>
      <w:bookmarkEnd w:id="0"/>
    </w:p>
    <w:p w14:paraId="4B5BF611" w14:textId="08B282FE" w:rsidR="00ED0FD7" w:rsidRPr="00001128" w:rsidRDefault="00001128" w:rsidP="00ED0FD7">
      <w:pPr>
        <w:pStyle w:val="NoSpacing"/>
        <w:rPr>
          <w:rFonts w:ascii="Arial" w:hAnsi="Arial" w:cs="Arial"/>
          <w:b/>
          <w:bCs/>
        </w:rPr>
      </w:pPr>
      <w:bookmarkStart w:id="1" w:name="_Hlk198031404"/>
      <w:r w:rsidRPr="00001128">
        <w:rPr>
          <w:rFonts w:ascii="Arial" w:hAnsi="Arial" w:cs="Arial"/>
          <w:b/>
          <w:bCs/>
        </w:rPr>
        <w:t xml:space="preserve">DISCLAIMER </w:t>
      </w:r>
      <w:r w:rsidR="00ED0FD7" w:rsidRPr="00001128">
        <w:rPr>
          <w:rFonts w:ascii="Arial" w:hAnsi="Arial" w:cs="Arial"/>
          <w:b/>
          <w:bCs/>
        </w:rPr>
        <w:t>(Artificial intelligence)</w:t>
      </w:r>
    </w:p>
    <w:p w14:paraId="21FBD34D" w14:textId="77777777" w:rsidR="00ED0FD7" w:rsidRPr="00001128" w:rsidRDefault="00ED0FD7" w:rsidP="00ED0FD7">
      <w:pPr>
        <w:pStyle w:val="NoSpacing"/>
        <w:rPr>
          <w:rFonts w:ascii="Arial" w:hAnsi="Arial" w:cs="Arial"/>
        </w:rPr>
      </w:pPr>
    </w:p>
    <w:p w14:paraId="54E604BE" w14:textId="77777777" w:rsidR="00ED0FD7" w:rsidRPr="00001128" w:rsidRDefault="00ED0FD7" w:rsidP="00ED0FD7">
      <w:pPr>
        <w:pStyle w:val="NoSpacing"/>
        <w:rPr>
          <w:rFonts w:ascii="Arial" w:hAnsi="Arial" w:cs="Arial"/>
        </w:rPr>
      </w:pPr>
      <w:r w:rsidRPr="00001128">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1"/>
    <w:p w14:paraId="3EBBE797" w14:textId="77777777" w:rsidR="00ED0FD7" w:rsidRDefault="00ED0FD7" w:rsidP="00441B6F">
      <w:pPr>
        <w:pStyle w:val="ReferHead"/>
        <w:spacing w:after="0"/>
        <w:jc w:val="both"/>
        <w:rPr>
          <w:rFonts w:ascii="Arial" w:hAnsi="Arial" w:cs="Arial"/>
          <w:b w:val="0"/>
          <w:caps w:val="0"/>
          <w:sz w:val="20"/>
        </w:rPr>
      </w:pPr>
    </w:p>
    <w:p w14:paraId="1D8FEF6B" w14:textId="77777777" w:rsidR="00860000" w:rsidRDefault="00860000" w:rsidP="00441B6F">
      <w:pPr>
        <w:pStyle w:val="ReferHead"/>
        <w:spacing w:after="0"/>
        <w:jc w:val="both"/>
        <w:rPr>
          <w:rFonts w:ascii="Arial" w:hAnsi="Arial" w:cs="Arial"/>
        </w:rPr>
      </w:pPr>
    </w:p>
    <w:p w14:paraId="35E096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98CD1B" w14:textId="77777777" w:rsidR="00164A2C" w:rsidRDefault="00164A2C" w:rsidP="0074737C">
      <w:pPr>
        <w:ind w:left="360"/>
        <w:rPr>
          <w:lang w:val="pt-BR"/>
        </w:rPr>
      </w:pPr>
    </w:p>
    <w:p w14:paraId="21A951E8" w14:textId="77777777" w:rsidR="004D46F5" w:rsidRDefault="004D46F5" w:rsidP="002B6940">
      <w:pPr>
        <w:ind w:left="360"/>
        <w:rPr>
          <w:rFonts w:ascii="Arial" w:hAnsi="Arial" w:cs="Arial"/>
          <w:lang w:val="pt-BR"/>
        </w:rPr>
      </w:pPr>
    </w:p>
    <w:p w14:paraId="16D6C2A6" w14:textId="77777777" w:rsidR="00001128" w:rsidRPr="00001128" w:rsidRDefault="00001128" w:rsidP="00001128">
      <w:pPr>
        <w:ind w:left="360"/>
        <w:rPr>
          <w:rFonts w:ascii="Arial" w:hAnsi="Arial" w:cs="Arial"/>
          <w:lang w:val="pt-BR"/>
        </w:rPr>
      </w:pPr>
      <w:r w:rsidRPr="00001128">
        <w:rPr>
          <w:rFonts w:ascii="Arial" w:hAnsi="Arial" w:cs="Arial"/>
          <w:lang w:val="pt-BR"/>
        </w:rPr>
        <w:t>VAZ, J. M. de L., LOPES, L. M., &amp; LUBI, N. C. (2024). Pharmaceutical care in the management of pulmonary tuberculosis treatment in adults. Public Health and Collective Health: Contributions to Community Well-being, 2, 12–21.</w:t>
      </w:r>
    </w:p>
    <w:p w14:paraId="47F61D71" w14:textId="77777777" w:rsidR="00001128" w:rsidRPr="00001128" w:rsidRDefault="00001128" w:rsidP="00001128">
      <w:pPr>
        <w:ind w:left="360"/>
        <w:rPr>
          <w:rFonts w:ascii="Arial" w:hAnsi="Arial" w:cs="Arial"/>
          <w:lang w:val="pt-BR"/>
        </w:rPr>
      </w:pPr>
    </w:p>
    <w:p w14:paraId="47D4484D" w14:textId="77777777" w:rsidR="00001128" w:rsidRPr="00001128" w:rsidRDefault="00001128" w:rsidP="00001128">
      <w:pPr>
        <w:ind w:left="360"/>
        <w:rPr>
          <w:rFonts w:ascii="Arial" w:hAnsi="Arial" w:cs="Arial"/>
          <w:lang w:val="pt-BR"/>
        </w:rPr>
      </w:pPr>
      <w:r w:rsidRPr="00001128">
        <w:rPr>
          <w:rFonts w:ascii="Arial" w:hAnsi="Arial" w:cs="Arial"/>
          <w:lang w:val="pt-BR"/>
        </w:rPr>
        <w:t>LIMA, V. Q. F., et al. (2024). Epidemiological profile of tuberculosis in the elderly population in the State of Acre. RECIMA21 - Multidisciplinary Scientific Journal, 5(10), e5105765. https://doi.org/10.47820/recima21.v5i10.5765</w:t>
      </w:r>
    </w:p>
    <w:p w14:paraId="35E67A0E" w14:textId="77777777" w:rsidR="00001128" w:rsidRPr="00001128" w:rsidRDefault="00001128" w:rsidP="00001128">
      <w:pPr>
        <w:ind w:left="360"/>
        <w:rPr>
          <w:rFonts w:ascii="Arial" w:hAnsi="Arial" w:cs="Arial"/>
          <w:lang w:val="pt-BR"/>
        </w:rPr>
      </w:pPr>
    </w:p>
    <w:p w14:paraId="65E53AE2" w14:textId="77777777" w:rsidR="00001128" w:rsidRPr="00001128" w:rsidRDefault="00001128" w:rsidP="00001128">
      <w:pPr>
        <w:ind w:left="360"/>
        <w:rPr>
          <w:rFonts w:ascii="Arial" w:hAnsi="Arial" w:cs="Arial"/>
          <w:lang w:val="pt-BR"/>
        </w:rPr>
      </w:pPr>
      <w:r w:rsidRPr="00001128">
        <w:rPr>
          <w:rFonts w:ascii="Arial" w:hAnsi="Arial" w:cs="Arial"/>
          <w:lang w:val="pt-BR"/>
        </w:rPr>
        <w:t>Ministry of Health. (2020). Tuberculosis. Virtual Health Library. https://bvsms.saude.gov.br/tuberculose-21/</w:t>
      </w:r>
    </w:p>
    <w:p w14:paraId="2610DB1A" w14:textId="77777777" w:rsidR="00001128" w:rsidRPr="00001128" w:rsidRDefault="00001128" w:rsidP="00001128">
      <w:pPr>
        <w:ind w:left="360"/>
        <w:rPr>
          <w:rFonts w:ascii="Arial" w:hAnsi="Arial" w:cs="Arial"/>
          <w:lang w:val="pt-BR"/>
        </w:rPr>
      </w:pPr>
    </w:p>
    <w:p w14:paraId="6FB2369B" w14:textId="77777777" w:rsidR="00001128" w:rsidRPr="00001128" w:rsidRDefault="00001128" w:rsidP="00001128">
      <w:pPr>
        <w:ind w:left="360"/>
        <w:rPr>
          <w:rFonts w:ascii="Arial" w:hAnsi="Arial" w:cs="Arial"/>
          <w:lang w:val="nb-NO"/>
        </w:rPr>
      </w:pPr>
      <w:r w:rsidRPr="00001128">
        <w:rPr>
          <w:rFonts w:ascii="Arial" w:hAnsi="Arial" w:cs="Arial"/>
          <w:lang w:val="pt-BR"/>
        </w:rPr>
        <w:lastRenderedPageBreak/>
        <w:t xml:space="preserve">World Health Organization. (2023). Global tuberculosis report 2023. </w:t>
      </w:r>
      <w:r w:rsidRPr="00001128">
        <w:rPr>
          <w:rFonts w:ascii="Arial" w:hAnsi="Arial" w:cs="Arial"/>
          <w:lang w:val="nb-NO"/>
        </w:rPr>
        <w:t>Geneva: World Health Organization. https://www.who.int/publications/i/item/9789240083851</w:t>
      </w:r>
    </w:p>
    <w:p w14:paraId="22E5C10F" w14:textId="77777777" w:rsidR="00001128" w:rsidRPr="00001128" w:rsidRDefault="00001128" w:rsidP="00001128">
      <w:pPr>
        <w:ind w:left="360"/>
        <w:rPr>
          <w:rFonts w:ascii="Arial" w:hAnsi="Arial" w:cs="Arial"/>
          <w:lang w:val="nb-NO"/>
        </w:rPr>
      </w:pPr>
    </w:p>
    <w:p w14:paraId="632C33E4" w14:textId="77777777" w:rsidR="00001128" w:rsidRPr="00001128" w:rsidRDefault="00001128" w:rsidP="00001128">
      <w:pPr>
        <w:ind w:left="360"/>
        <w:rPr>
          <w:rFonts w:ascii="Arial" w:hAnsi="Arial" w:cs="Arial"/>
          <w:lang w:val="pt-BR"/>
        </w:rPr>
      </w:pPr>
      <w:r w:rsidRPr="00001128">
        <w:rPr>
          <w:rFonts w:ascii="Arial" w:hAnsi="Arial" w:cs="Arial"/>
          <w:lang w:val="nb-NO"/>
        </w:rPr>
        <w:t xml:space="preserve">GUIDONI, L., et al. </w:t>
      </w:r>
      <w:r w:rsidRPr="00001128">
        <w:rPr>
          <w:rFonts w:ascii="Arial" w:hAnsi="Arial" w:cs="Arial"/>
          <w:lang w:val="pt-BR"/>
        </w:rPr>
        <w:t>(2021). Catastrophic costs and social consequences resulting from tuberculosis diagnosis and treatment in Brazil. Epidemiologia e Serviços de Saúde, 30(3), 1–15.</w:t>
      </w:r>
    </w:p>
    <w:p w14:paraId="31CF8AB2" w14:textId="77777777" w:rsidR="00001128" w:rsidRPr="00001128" w:rsidRDefault="00001128" w:rsidP="00001128">
      <w:pPr>
        <w:ind w:left="360"/>
        <w:rPr>
          <w:rFonts w:ascii="Arial" w:hAnsi="Arial" w:cs="Arial"/>
          <w:lang w:val="pt-BR"/>
        </w:rPr>
      </w:pPr>
    </w:p>
    <w:p w14:paraId="0208927A" w14:textId="77777777" w:rsidR="00001128" w:rsidRPr="00001128" w:rsidRDefault="00001128" w:rsidP="00001128">
      <w:pPr>
        <w:ind w:left="360"/>
        <w:rPr>
          <w:rFonts w:ascii="Arial" w:hAnsi="Arial" w:cs="Arial"/>
          <w:lang w:val="pt-BR"/>
        </w:rPr>
      </w:pPr>
      <w:r w:rsidRPr="00001128">
        <w:rPr>
          <w:rFonts w:ascii="Arial" w:hAnsi="Arial" w:cs="Arial"/>
          <w:lang w:val="pt-BR"/>
        </w:rPr>
        <w:t>POERSCH, K., &amp; COSTA, J. S. D. (2021). Factors associated with tuberculosis treatment abandonment: A case-control study. Cadernos de Saúde Coletiva, 29(4), 485–495.</w:t>
      </w:r>
    </w:p>
    <w:p w14:paraId="1DE8148F" w14:textId="77777777" w:rsidR="00001128" w:rsidRPr="00001128" w:rsidRDefault="00001128" w:rsidP="00001128">
      <w:pPr>
        <w:ind w:left="360"/>
        <w:rPr>
          <w:rFonts w:ascii="Arial" w:hAnsi="Arial" w:cs="Arial"/>
          <w:lang w:val="pt-BR"/>
        </w:rPr>
      </w:pPr>
    </w:p>
    <w:p w14:paraId="6B697B4E" w14:textId="77777777" w:rsidR="00001128" w:rsidRPr="00001128" w:rsidRDefault="00001128" w:rsidP="00001128">
      <w:pPr>
        <w:ind w:left="360"/>
        <w:rPr>
          <w:rFonts w:ascii="Arial" w:hAnsi="Arial" w:cs="Arial"/>
          <w:lang w:val="pt-BR"/>
        </w:rPr>
      </w:pPr>
      <w:r w:rsidRPr="00001128">
        <w:rPr>
          <w:rFonts w:ascii="Arial" w:hAnsi="Arial" w:cs="Arial"/>
          <w:lang w:val="pt-BR"/>
        </w:rPr>
        <w:t>SOUSA, G., et al. (2021). Prevalence and factors associated with tuberculosis treatment abandonment. Revista da Escola de Enfermagem da USP, 55, e03767.</w:t>
      </w:r>
    </w:p>
    <w:p w14:paraId="48AC4982" w14:textId="77777777" w:rsidR="00001128" w:rsidRPr="00001128" w:rsidRDefault="00001128" w:rsidP="00001128">
      <w:pPr>
        <w:ind w:left="360"/>
        <w:rPr>
          <w:rFonts w:ascii="Arial" w:hAnsi="Arial" w:cs="Arial"/>
          <w:lang w:val="pt-BR"/>
        </w:rPr>
      </w:pPr>
    </w:p>
    <w:p w14:paraId="148CE8E8" w14:textId="77777777" w:rsidR="00001128" w:rsidRPr="00001128" w:rsidRDefault="00001128" w:rsidP="00001128">
      <w:pPr>
        <w:ind w:left="360"/>
        <w:rPr>
          <w:rFonts w:ascii="Arial" w:hAnsi="Arial" w:cs="Arial"/>
          <w:lang w:val="pt-BR"/>
        </w:rPr>
      </w:pPr>
      <w:r w:rsidRPr="00001128">
        <w:rPr>
          <w:rFonts w:ascii="Arial" w:hAnsi="Arial" w:cs="Arial"/>
          <w:lang w:val="pt-BR"/>
        </w:rPr>
        <w:t>SANTOS, J. V., et al. (2024). Evolution of the clinical and epidemiological profile of tuberculosis in the Northeast from 2019 to 2023. Brazilian Journal of Implantology and Health Sciences, 6(10), 232–248. https://doi.org/10.36557/2674-8169.2024v6n10p232-248</w:t>
      </w:r>
    </w:p>
    <w:p w14:paraId="7CCFB63D" w14:textId="77777777" w:rsidR="00001128" w:rsidRPr="00001128" w:rsidRDefault="00001128" w:rsidP="00001128">
      <w:pPr>
        <w:ind w:left="360"/>
        <w:rPr>
          <w:rFonts w:ascii="Arial" w:hAnsi="Arial" w:cs="Arial"/>
          <w:lang w:val="pt-BR"/>
        </w:rPr>
      </w:pPr>
    </w:p>
    <w:p w14:paraId="478F3793" w14:textId="77777777" w:rsidR="00001128" w:rsidRPr="00001128" w:rsidRDefault="00001128" w:rsidP="00001128">
      <w:pPr>
        <w:ind w:left="360"/>
        <w:rPr>
          <w:rFonts w:ascii="Arial" w:hAnsi="Arial" w:cs="Arial"/>
          <w:lang w:val="nb-NO"/>
        </w:rPr>
      </w:pPr>
      <w:r w:rsidRPr="00001128">
        <w:rPr>
          <w:rFonts w:ascii="Arial" w:hAnsi="Arial" w:cs="Arial"/>
          <w:lang w:val="nb-NO"/>
        </w:rPr>
        <w:t>ALVES, D. Y. M., et al. (2024). Analysis of the epidemiological profile of tuberculosis in the state of Alagoas: An assessment of cases from 2019 to 2023. PBPC – Brazilian Production of Scientific Research, 3(2). https://doi.org/10.36557/pbpc.v3i2.223</w:t>
      </w:r>
    </w:p>
    <w:p w14:paraId="5C53CE27" w14:textId="77777777" w:rsidR="00001128" w:rsidRPr="00001128" w:rsidRDefault="00001128" w:rsidP="00001128">
      <w:pPr>
        <w:ind w:left="360"/>
        <w:rPr>
          <w:rFonts w:ascii="Arial" w:hAnsi="Arial" w:cs="Arial"/>
          <w:lang w:val="nb-NO"/>
        </w:rPr>
      </w:pPr>
    </w:p>
    <w:p w14:paraId="1618A083" w14:textId="77777777" w:rsidR="00001128" w:rsidRPr="00001128" w:rsidRDefault="00001128" w:rsidP="00001128">
      <w:pPr>
        <w:ind w:left="360"/>
        <w:rPr>
          <w:rFonts w:ascii="Arial" w:hAnsi="Arial" w:cs="Arial"/>
          <w:lang w:val="pt-BR"/>
        </w:rPr>
      </w:pPr>
      <w:r w:rsidRPr="00001128">
        <w:rPr>
          <w:rFonts w:ascii="Arial" w:hAnsi="Arial" w:cs="Arial"/>
          <w:lang w:val="pt-BR"/>
        </w:rPr>
        <w:t>DANTAS, R. T. (2023). Urban climate and tuberculosis in Manaus, Amazonas, Brazil. Revista Geonorte, 14(43), 132–148. https://doi.org/10.21170/geonorte.2023.V.14.N.43.132.148</w:t>
      </w:r>
    </w:p>
    <w:p w14:paraId="49D27C1C" w14:textId="77777777" w:rsidR="00001128" w:rsidRPr="00001128" w:rsidRDefault="00001128" w:rsidP="00001128">
      <w:pPr>
        <w:ind w:left="360"/>
        <w:rPr>
          <w:rFonts w:ascii="Arial" w:hAnsi="Arial" w:cs="Arial"/>
          <w:lang w:val="pt-BR"/>
        </w:rPr>
      </w:pPr>
    </w:p>
    <w:p w14:paraId="2AF012B1" w14:textId="77777777" w:rsidR="00001128" w:rsidRPr="00001128" w:rsidRDefault="00001128" w:rsidP="00001128">
      <w:pPr>
        <w:ind w:left="360"/>
        <w:rPr>
          <w:rFonts w:ascii="Arial" w:hAnsi="Arial" w:cs="Arial"/>
          <w:lang w:val="pt-BR"/>
        </w:rPr>
      </w:pPr>
      <w:r w:rsidRPr="00001128">
        <w:rPr>
          <w:rFonts w:ascii="Arial" w:hAnsi="Arial" w:cs="Arial"/>
          <w:lang w:val="pt-BR"/>
        </w:rPr>
        <w:t>ORFÃO, N. H., SILVA, K. M., FERREIRA, M. R. L., &amp; BRUNELLO, M. E. F. (2021). Homeless population: Profile of tuberculosis and HIV coinfection cases. Revista Enfermagem Contemporânea, 10(1), 94–102.</w:t>
      </w:r>
    </w:p>
    <w:p w14:paraId="5709E5F1" w14:textId="77777777" w:rsidR="00001128" w:rsidRPr="00001128" w:rsidRDefault="00001128" w:rsidP="00001128">
      <w:pPr>
        <w:ind w:left="360"/>
        <w:rPr>
          <w:rFonts w:ascii="Arial" w:hAnsi="Arial" w:cs="Arial"/>
          <w:lang w:val="pt-BR"/>
        </w:rPr>
      </w:pPr>
    </w:p>
    <w:p w14:paraId="31C73FFE" w14:textId="77777777" w:rsidR="00001128" w:rsidRPr="00001128" w:rsidRDefault="00001128" w:rsidP="00001128">
      <w:pPr>
        <w:ind w:left="360"/>
        <w:rPr>
          <w:rFonts w:ascii="Arial" w:hAnsi="Arial" w:cs="Arial"/>
          <w:lang w:val="nb-NO"/>
        </w:rPr>
      </w:pPr>
      <w:r w:rsidRPr="00001128">
        <w:rPr>
          <w:rFonts w:ascii="Arial" w:hAnsi="Arial" w:cs="Arial"/>
          <w:lang w:val="nb-NO"/>
        </w:rPr>
        <w:t xml:space="preserve">REIS, D. C., et al. </w:t>
      </w:r>
      <w:r w:rsidRPr="00001128">
        <w:rPr>
          <w:rFonts w:ascii="Arial" w:hAnsi="Arial" w:cs="Arial"/>
          <w:lang w:val="pt-BR"/>
        </w:rPr>
        <w:t xml:space="preserve">(2013). Epidemiological profile of tuberculosis in the municipality of Belo Horizonte (MG) from 2002 to 2008. </w:t>
      </w:r>
      <w:r w:rsidRPr="00001128">
        <w:rPr>
          <w:rFonts w:ascii="Arial" w:hAnsi="Arial" w:cs="Arial"/>
          <w:lang w:val="nb-NO"/>
        </w:rPr>
        <w:t>Brazilian Journal of Epidemiology, 16(3), 592–602.</w:t>
      </w:r>
    </w:p>
    <w:p w14:paraId="43EECD43" w14:textId="77777777" w:rsidR="00001128" w:rsidRPr="00001128" w:rsidRDefault="00001128" w:rsidP="00001128">
      <w:pPr>
        <w:ind w:left="360"/>
        <w:rPr>
          <w:rFonts w:ascii="Arial" w:hAnsi="Arial" w:cs="Arial"/>
          <w:lang w:val="nb-NO"/>
        </w:rPr>
      </w:pPr>
    </w:p>
    <w:p w14:paraId="3B4562F3" w14:textId="77777777" w:rsidR="00001128" w:rsidRPr="00001128" w:rsidRDefault="00001128" w:rsidP="00001128">
      <w:pPr>
        <w:ind w:left="360"/>
        <w:rPr>
          <w:rFonts w:ascii="Arial" w:hAnsi="Arial" w:cs="Arial"/>
          <w:lang w:val="pt-BR"/>
        </w:rPr>
      </w:pPr>
      <w:r w:rsidRPr="00001128">
        <w:rPr>
          <w:rFonts w:ascii="Arial" w:hAnsi="Arial" w:cs="Arial"/>
          <w:lang w:val="nb-NO"/>
        </w:rPr>
        <w:t xml:space="preserve">COELHO, D. M. M., et al. </w:t>
      </w:r>
      <w:r w:rsidRPr="00001128">
        <w:rPr>
          <w:rFonts w:ascii="Arial" w:hAnsi="Arial" w:cs="Arial"/>
          <w:lang w:val="pt-BR"/>
        </w:rPr>
        <w:t>(2010). Epidemiological profile of tuberculosis in the municipality of Teresina-PI from 1999 to 2005. Epidemiologia e Serviços de Saúde, 19(1), 34–43.</w:t>
      </w:r>
    </w:p>
    <w:p w14:paraId="6FF1D56C" w14:textId="77777777" w:rsidR="00001128" w:rsidRPr="00001128" w:rsidRDefault="00001128" w:rsidP="00001128">
      <w:pPr>
        <w:ind w:left="360"/>
        <w:rPr>
          <w:rFonts w:ascii="Arial" w:hAnsi="Arial" w:cs="Arial"/>
          <w:lang w:val="pt-BR"/>
        </w:rPr>
      </w:pPr>
    </w:p>
    <w:p w14:paraId="2B958593" w14:textId="77777777" w:rsidR="00001128" w:rsidRPr="00001128" w:rsidRDefault="00001128" w:rsidP="00001128">
      <w:pPr>
        <w:ind w:left="360"/>
        <w:rPr>
          <w:rFonts w:ascii="Arial" w:hAnsi="Arial" w:cs="Arial"/>
          <w:lang w:val="pt-BR"/>
        </w:rPr>
      </w:pPr>
      <w:r w:rsidRPr="00001128">
        <w:rPr>
          <w:rFonts w:ascii="Arial" w:hAnsi="Arial" w:cs="Arial"/>
          <w:lang w:val="pt-BR"/>
        </w:rPr>
        <w:t>SALVA, G. A. L. (2022). Sociodemographic and clinical-epidemiological characteristics of reported cases of drug-resistant tuberculosis according to race/color, Brazil and regions, 2013–2018. Monograph (Bachelor’s degree in Collective Health). Federal University of Rio de Janeiro.</w:t>
      </w:r>
    </w:p>
    <w:p w14:paraId="22321D43" w14:textId="77777777" w:rsidR="00001128" w:rsidRPr="00001128" w:rsidRDefault="00001128" w:rsidP="00001128">
      <w:pPr>
        <w:ind w:left="360"/>
        <w:rPr>
          <w:rFonts w:ascii="Arial" w:hAnsi="Arial" w:cs="Arial"/>
          <w:lang w:val="pt-BR"/>
        </w:rPr>
      </w:pPr>
    </w:p>
    <w:p w14:paraId="77996A67" w14:textId="77777777" w:rsidR="00001128" w:rsidRPr="00001128" w:rsidRDefault="00001128" w:rsidP="00001128">
      <w:pPr>
        <w:ind w:left="360"/>
        <w:rPr>
          <w:rFonts w:ascii="Arial" w:hAnsi="Arial" w:cs="Arial"/>
          <w:lang w:val="pt-BR"/>
        </w:rPr>
      </w:pPr>
      <w:r w:rsidRPr="00001128">
        <w:rPr>
          <w:rFonts w:ascii="Arial" w:hAnsi="Arial" w:cs="Arial"/>
          <w:lang w:val="nb-NO"/>
        </w:rPr>
        <w:t xml:space="preserve">ANGELOTTI, L. C. Z., et al. </w:t>
      </w:r>
      <w:r w:rsidRPr="00001128">
        <w:rPr>
          <w:rFonts w:ascii="Arial" w:hAnsi="Arial" w:cs="Arial"/>
          <w:lang w:val="pt-BR"/>
        </w:rPr>
        <w:t>(2013). Quality of notification and follow-up data of tuberculosis cases in Minas Gerais. Brazilian Journal of Epidemiology, 16(3), 678–689.</w:t>
      </w:r>
    </w:p>
    <w:p w14:paraId="5393F42B" w14:textId="77777777" w:rsidR="00001128" w:rsidRPr="00001128" w:rsidRDefault="00001128" w:rsidP="00001128">
      <w:pPr>
        <w:ind w:left="360"/>
        <w:rPr>
          <w:rFonts w:ascii="Arial" w:hAnsi="Arial" w:cs="Arial"/>
          <w:lang w:val="pt-BR"/>
        </w:rPr>
      </w:pPr>
    </w:p>
    <w:p w14:paraId="6E0AEE1C" w14:textId="77777777" w:rsidR="00001128" w:rsidRPr="00001128" w:rsidRDefault="00001128" w:rsidP="00001128">
      <w:pPr>
        <w:ind w:left="360"/>
        <w:rPr>
          <w:rFonts w:ascii="Arial" w:hAnsi="Arial" w:cs="Arial"/>
          <w:lang w:val="pt-BR"/>
        </w:rPr>
      </w:pPr>
      <w:r w:rsidRPr="00001128">
        <w:rPr>
          <w:rFonts w:ascii="Arial" w:hAnsi="Arial" w:cs="Arial"/>
          <w:lang w:val="pt-BR"/>
        </w:rPr>
        <w:t>OLIVEIRA, M. S. R., et al. (2018). Epidemiological profile of tuberculosis cases in the state of Maranhão from 2012 to 2016. Revista Prevenção de Infecção e Saúde, 4, 68–96.</w:t>
      </w:r>
    </w:p>
    <w:p w14:paraId="345D95DE" w14:textId="77777777" w:rsidR="00001128" w:rsidRPr="00001128" w:rsidRDefault="00001128" w:rsidP="00001128">
      <w:pPr>
        <w:ind w:left="360"/>
        <w:rPr>
          <w:rFonts w:ascii="Arial" w:hAnsi="Arial" w:cs="Arial"/>
          <w:lang w:val="pt-BR"/>
        </w:rPr>
      </w:pPr>
    </w:p>
    <w:p w14:paraId="054B3C7F" w14:textId="77777777" w:rsidR="00001128" w:rsidRPr="00001128" w:rsidRDefault="00001128" w:rsidP="00001128">
      <w:pPr>
        <w:ind w:left="360"/>
        <w:rPr>
          <w:rFonts w:ascii="Arial" w:hAnsi="Arial" w:cs="Arial"/>
          <w:lang w:val="pt-BR"/>
        </w:rPr>
      </w:pPr>
      <w:r w:rsidRPr="00001128">
        <w:rPr>
          <w:rFonts w:ascii="Arial" w:hAnsi="Arial" w:cs="Arial"/>
          <w:lang w:val="pt-BR"/>
        </w:rPr>
        <w:lastRenderedPageBreak/>
        <w:t>FERREIRA, R. C. Z., SOBRINHO, E. C. R., ZÓIA, E. N., &amp; FIGUEIREDO, R. M. (2013). Epidemiological profile of tuberculosis in a municipality in the interior of São Paulo (2001–2010). Cuidado é Fundamental, 7(1), 7–12.</w:t>
      </w:r>
    </w:p>
    <w:p w14:paraId="325C7542" w14:textId="77777777" w:rsidR="00001128" w:rsidRPr="00001128" w:rsidRDefault="00001128" w:rsidP="00001128">
      <w:pPr>
        <w:ind w:left="360"/>
        <w:rPr>
          <w:rFonts w:ascii="Arial" w:hAnsi="Arial" w:cs="Arial"/>
          <w:lang w:val="pt-BR"/>
        </w:rPr>
      </w:pPr>
    </w:p>
    <w:p w14:paraId="200B2365" w14:textId="77777777" w:rsidR="00001128" w:rsidRPr="00001128" w:rsidRDefault="00001128" w:rsidP="00001128">
      <w:pPr>
        <w:ind w:left="360"/>
        <w:rPr>
          <w:rFonts w:ascii="Arial" w:hAnsi="Arial" w:cs="Arial"/>
          <w:lang w:val="pt-BR"/>
        </w:rPr>
      </w:pPr>
      <w:r w:rsidRPr="00001128">
        <w:rPr>
          <w:rFonts w:ascii="Arial" w:hAnsi="Arial" w:cs="Arial"/>
          <w:lang w:val="pt-BR"/>
        </w:rPr>
        <w:t>FORTUNA, J. L., &amp; SOARES, P. A. O. (2020). Epidemiological profile of tuberculosis in the municipality of Teixeira de Freitas from 2001 to 2017. Brazilian Journal of Health Review, 3(3), 7171–7186. https://doi.org/10.34119/bjhrv3n3-247</w:t>
      </w:r>
    </w:p>
    <w:p w14:paraId="665998EE" w14:textId="77777777" w:rsidR="00001128" w:rsidRPr="00001128" w:rsidRDefault="00001128" w:rsidP="00001128">
      <w:pPr>
        <w:ind w:left="360"/>
        <w:rPr>
          <w:rFonts w:ascii="Arial" w:hAnsi="Arial" w:cs="Arial"/>
          <w:lang w:val="pt-BR"/>
        </w:rPr>
      </w:pPr>
    </w:p>
    <w:p w14:paraId="164CC7FE" w14:textId="77777777" w:rsidR="00001128" w:rsidRPr="00001128" w:rsidRDefault="00001128" w:rsidP="00001128">
      <w:pPr>
        <w:ind w:left="360"/>
        <w:rPr>
          <w:rFonts w:ascii="Arial" w:hAnsi="Arial" w:cs="Arial"/>
          <w:lang w:val="pt-BR"/>
        </w:rPr>
      </w:pPr>
      <w:r w:rsidRPr="00001128">
        <w:rPr>
          <w:rFonts w:ascii="Arial" w:hAnsi="Arial" w:cs="Arial"/>
          <w:lang w:val="pt-BR"/>
        </w:rPr>
        <w:t>VIEIRA, M. L. G., &amp; LEITÃO, G. C. M. (2005). Tuberculosis: The documented reality of the Flávio Marcílio Health Center in Fortaleza-CE. Rev Rene.</w:t>
      </w:r>
    </w:p>
    <w:p w14:paraId="1AA11379" w14:textId="77777777" w:rsidR="00001128" w:rsidRPr="00001128" w:rsidRDefault="00001128" w:rsidP="00001128">
      <w:pPr>
        <w:ind w:left="360"/>
        <w:rPr>
          <w:rFonts w:ascii="Arial" w:hAnsi="Arial" w:cs="Arial"/>
          <w:lang w:val="pt-BR"/>
        </w:rPr>
      </w:pPr>
    </w:p>
    <w:p w14:paraId="3074C547" w14:textId="77777777" w:rsidR="00001128" w:rsidRPr="00001128" w:rsidRDefault="00001128" w:rsidP="00001128">
      <w:pPr>
        <w:ind w:left="360"/>
        <w:rPr>
          <w:rFonts w:ascii="Arial" w:hAnsi="Arial" w:cs="Arial"/>
          <w:lang w:val="pt-BR"/>
        </w:rPr>
      </w:pPr>
      <w:r w:rsidRPr="00001128">
        <w:rPr>
          <w:rFonts w:ascii="Arial" w:hAnsi="Arial" w:cs="Arial"/>
          <w:lang w:val="pt-BR"/>
        </w:rPr>
        <w:t>DE OLIVEIRA GIROTI, S. K., et al. (2010). Profile of tuberculosis patients and factors associated with treatment abandonment. Cogitare Enfermagem, 15(2), 271–277.</w:t>
      </w:r>
    </w:p>
    <w:p w14:paraId="0AC0F0BD" w14:textId="77777777" w:rsidR="00001128" w:rsidRPr="00001128" w:rsidRDefault="00001128" w:rsidP="00001128">
      <w:pPr>
        <w:ind w:left="360"/>
        <w:rPr>
          <w:rFonts w:ascii="Arial" w:hAnsi="Arial" w:cs="Arial"/>
          <w:lang w:val="pt-BR"/>
        </w:rPr>
      </w:pPr>
    </w:p>
    <w:p w14:paraId="26E04220" w14:textId="77777777" w:rsidR="00001128" w:rsidRPr="00001128" w:rsidRDefault="00001128" w:rsidP="00001128">
      <w:pPr>
        <w:ind w:left="360"/>
        <w:rPr>
          <w:rFonts w:ascii="Arial" w:hAnsi="Arial" w:cs="Arial"/>
          <w:lang w:val="nb-NO"/>
        </w:rPr>
      </w:pPr>
      <w:r w:rsidRPr="00001128">
        <w:rPr>
          <w:rFonts w:ascii="Arial" w:hAnsi="Arial" w:cs="Arial"/>
          <w:lang w:val="nb-NO"/>
        </w:rPr>
        <w:t xml:space="preserve">SILVA, T. C., et al. </w:t>
      </w:r>
      <w:r w:rsidRPr="00001128">
        <w:rPr>
          <w:rFonts w:ascii="Arial" w:hAnsi="Arial" w:cs="Arial"/>
          <w:lang w:val="pt-BR"/>
        </w:rPr>
        <w:t xml:space="preserve">(2017). Factors associated with tuberculosis retreatment in priority municipalities of Maranhão, Brazil. </w:t>
      </w:r>
      <w:r w:rsidRPr="00001128">
        <w:rPr>
          <w:rFonts w:ascii="Arial" w:hAnsi="Arial" w:cs="Arial"/>
          <w:lang w:val="nb-NO"/>
        </w:rPr>
        <w:t>Ciência &amp; Saúde Coletiva, 22(12), 4095–4104.</w:t>
      </w:r>
    </w:p>
    <w:p w14:paraId="045599B3" w14:textId="77777777" w:rsidR="00001128" w:rsidRPr="00001128" w:rsidRDefault="00001128" w:rsidP="00001128">
      <w:pPr>
        <w:ind w:left="360"/>
        <w:rPr>
          <w:rFonts w:ascii="Arial" w:hAnsi="Arial" w:cs="Arial"/>
          <w:lang w:val="nb-NO"/>
        </w:rPr>
      </w:pPr>
    </w:p>
    <w:p w14:paraId="62F613DC" w14:textId="77777777" w:rsidR="00001128" w:rsidRPr="00001128" w:rsidRDefault="00001128" w:rsidP="00001128">
      <w:pPr>
        <w:ind w:left="360"/>
        <w:rPr>
          <w:rFonts w:ascii="Arial" w:hAnsi="Arial" w:cs="Arial"/>
          <w:lang w:val="pt-BR"/>
        </w:rPr>
      </w:pPr>
      <w:r w:rsidRPr="00001128">
        <w:rPr>
          <w:rFonts w:ascii="Arial" w:hAnsi="Arial" w:cs="Arial"/>
          <w:lang w:val="pt-BR"/>
        </w:rPr>
        <w:t>CARVALHO, L. P., et al. Overview of pulmonary tuberculosis in priority municipalities in the State of Pará, Brazil, from 2013 to 2017. Brazilian Journal of Health Review, Curitiba.</w:t>
      </w:r>
    </w:p>
    <w:p w14:paraId="1564C2BB" w14:textId="77777777" w:rsidR="00001128" w:rsidRPr="00001128" w:rsidRDefault="00001128" w:rsidP="00001128">
      <w:pPr>
        <w:ind w:left="360"/>
        <w:rPr>
          <w:rFonts w:ascii="Arial" w:hAnsi="Arial" w:cs="Arial"/>
          <w:lang w:val="pt-BR"/>
        </w:rPr>
      </w:pPr>
    </w:p>
    <w:p w14:paraId="558F314F" w14:textId="77777777" w:rsidR="00001128" w:rsidRPr="00001128" w:rsidRDefault="00001128" w:rsidP="00001128">
      <w:pPr>
        <w:ind w:left="360"/>
        <w:rPr>
          <w:rFonts w:ascii="Arial" w:hAnsi="Arial" w:cs="Arial"/>
          <w:lang w:val="pt-BR"/>
        </w:rPr>
      </w:pPr>
      <w:r w:rsidRPr="00001128">
        <w:rPr>
          <w:rFonts w:ascii="Arial" w:hAnsi="Arial" w:cs="Arial"/>
          <w:lang w:val="pt-BR"/>
        </w:rPr>
        <w:t>SILVA, M. R., et al. (2021). Follow-up and outcome status of reported tuberculosis cases. Revista de Enfermagem da UFPE on line, 15(1), 1–10.</w:t>
      </w:r>
    </w:p>
    <w:p w14:paraId="7163986F" w14:textId="77777777" w:rsidR="00001128" w:rsidRPr="00001128" w:rsidRDefault="00001128" w:rsidP="00001128">
      <w:pPr>
        <w:ind w:left="360"/>
        <w:rPr>
          <w:rFonts w:ascii="Arial" w:hAnsi="Arial" w:cs="Arial"/>
          <w:lang w:val="pt-BR"/>
        </w:rPr>
      </w:pPr>
    </w:p>
    <w:p w14:paraId="14DBDA61" w14:textId="77777777" w:rsidR="00001128" w:rsidRPr="00001128" w:rsidRDefault="00001128" w:rsidP="00001128">
      <w:pPr>
        <w:ind w:left="360"/>
        <w:rPr>
          <w:rFonts w:ascii="Arial" w:hAnsi="Arial" w:cs="Arial"/>
          <w:lang w:val="nb-NO"/>
        </w:rPr>
      </w:pPr>
      <w:r w:rsidRPr="00001128">
        <w:rPr>
          <w:rFonts w:ascii="Arial" w:hAnsi="Arial" w:cs="Arial"/>
          <w:lang w:val="pt-BR"/>
        </w:rPr>
        <w:t xml:space="preserve">SOUSA, G. O., et al. (2020). Epidemiology of tuberculosis in Northeast Brazil, 2015–2019. </w:t>
      </w:r>
      <w:r w:rsidRPr="00001128">
        <w:rPr>
          <w:rFonts w:ascii="Arial" w:hAnsi="Arial" w:cs="Arial"/>
          <w:lang w:val="nb-NO"/>
        </w:rPr>
        <w:t>Research, Society and Development, 9(8).</w:t>
      </w:r>
    </w:p>
    <w:p w14:paraId="51557F0C" w14:textId="77777777" w:rsidR="00001128" w:rsidRPr="00001128" w:rsidRDefault="00001128" w:rsidP="00001128">
      <w:pPr>
        <w:ind w:left="360"/>
        <w:rPr>
          <w:rFonts w:ascii="Arial" w:hAnsi="Arial" w:cs="Arial"/>
          <w:lang w:val="nb-NO"/>
        </w:rPr>
      </w:pPr>
    </w:p>
    <w:p w14:paraId="57F7D7F5" w14:textId="77777777" w:rsidR="00001128" w:rsidRPr="00001128" w:rsidRDefault="00001128" w:rsidP="00001128">
      <w:pPr>
        <w:ind w:left="360"/>
        <w:rPr>
          <w:rFonts w:ascii="Arial" w:hAnsi="Arial" w:cs="Arial"/>
          <w:lang w:val="pt-BR"/>
        </w:rPr>
      </w:pPr>
      <w:r w:rsidRPr="00001128">
        <w:rPr>
          <w:rFonts w:ascii="Arial" w:hAnsi="Arial" w:cs="Arial"/>
          <w:lang w:val="nb-NO"/>
        </w:rPr>
        <w:t xml:space="preserve">JESUS, G. A. S., et al. </w:t>
      </w:r>
      <w:r w:rsidRPr="00001128">
        <w:rPr>
          <w:rFonts w:ascii="Arial" w:hAnsi="Arial" w:cs="Arial"/>
          <w:lang w:val="pt-BR"/>
        </w:rPr>
        <w:t>(2021). Follow-up and outcome status of reported tuberculosis cases. Revista de Enfermagem da UFPE on line, 15(1), 1–10.</w:t>
      </w:r>
    </w:p>
    <w:p w14:paraId="5A24C1B9" w14:textId="77777777" w:rsidR="00001128" w:rsidRPr="00001128" w:rsidRDefault="00001128" w:rsidP="00001128">
      <w:pPr>
        <w:ind w:left="360"/>
        <w:rPr>
          <w:rFonts w:ascii="Arial" w:hAnsi="Arial" w:cs="Arial"/>
          <w:lang w:val="pt-BR"/>
        </w:rPr>
      </w:pPr>
    </w:p>
    <w:p w14:paraId="4F28A960" w14:textId="77777777" w:rsidR="00001128" w:rsidRPr="00001128" w:rsidRDefault="00001128" w:rsidP="00001128">
      <w:pPr>
        <w:ind w:left="360"/>
        <w:rPr>
          <w:rFonts w:ascii="Arial" w:hAnsi="Arial" w:cs="Arial"/>
          <w:lang w:val="nb-NO"/>
        </w:rPr>
      </w:pPr>
      <w:r w:rsidRPr="00001128">
        <w:rPr>
          <w:rFonts w:ascii="Arial" w:hAnsi="Arial" w:cs="Arial"/>
          <w:lang w:val="nb-NO"/>
        </w:rPr>
        <w:t xml:space="preserve">BASTA, P. C., et al. </w:t>
      </w:r>
      <w:r w:rsidRPr="00001128">
        <w:rPr>
          <w:rFonts w:ascii="Arial" w:hAnsi="Arial" w:cs="Arial"/>
          <w:lang w:val="pt-BR"/>
        </w:rPr>
        <w:t xml:space="preserve">(2013). Social inequalities and tuberculosis: Analysis according to race/color in Mato Grosso do Sul. </w:t>
      </w:r>
      <w:r w:rsidRPr="00001128">
        <w:rPr>
          <w:rFonts w:ascii="Arial" w:hAnsi="Arial" w:cs="Arial"/>
          <w:lang w:val="nb-NO"/>
        </w:rPr>
        <w:t>Revista de Saúde Pública, 47(5), 854–864.</w:t>
      </w:r>
    </w:p>
    <w:p w14:paraId="65F6B98A" w14:textId="77777777" w:rsidR="00001128" w:rsidRPr="00001128" w:rsidRDefault="00001128" w:rsidP="00001128">
      <w:pPr>
        <w:ind w:left="360"/>
        <w:rPr>
          <w:rFonts w:ascii="Arial" w:hAnsi="Arial" w:cs="Arial"/>
          <w:lang w:val="nb-NO"/>
        </w:rPr>
      </w:pPr>
    </w:p>
    <w:p w14:paraId="4538D207" w14:textId="77777777" w:rsidR="00001128" w:rsidRPr="00001128" w:rsidRDefault="00001128" w:rsidP="00001128">
      <w:pPr>
        <w:ind w:left="360"/>
        <w:rPr>
          <w:rFonts w:ascii="Arial" w:hAnsi="Arial" w:cs="Arial"/>
          <w:lang w:val="pt-BR"/>
        </w:rPr>
      </w:pPr>
      <w:r w:rsidRPr="00001128">
        <w:rPr>
          <w:rFonts w:ascii="Arial" w:hAnsi="Arial" w:cs="Arial"/>
          <w:lang w:val="nb-NO"/>
        </w:rPr>
        <w:t xml:space="preserve">CUNHA, J. P. A., et al. </w:t>
      </w:r>
      <w:r w:rsidRPr="00001128">
        <w:rPr>
          <w:rFonts w:ascii="Arial" w:hAnsi="Arial" w:cs="Arial"/>
          <w:lang w:val="pt-BR"/>
        </w:rPr>
        <w:t>(2021). Risk factors and comorbidities associated with reported tuberculosis cases in the municipality of Campo Grande, Mato Grosso do Sul. Revista Eletrônica Acervo Saúde, 13(8).</w:t>
      </w:r>
    </w:p>
    <w:p w14:paraId="2FDE29CA" w14:textId="77777777" w:rsidR="00001128" w:rsidRPr="00001128" w:rsidRDefault="00001128" w:rsidP="00001128">
      <w:pPr>
        <w:ind w:left="360"/>
        <w:rPr>
          <w:rFonts w:ascii="Arial" w:hAnsi="Arial" w:cs="Arial"/>
          <w:lang w:val="pt-BR"/>
        </w:rPr>
      </w:pPr>
    </w:p>
    <w:p w14:paraId="78F5FCA7" w14:textId="77777777" w:rsidR="00001128" w:rsidRPr="00001128" w:rsidRDefault="00001128" w:rsidP="00001128">
      <w:pPr>
        <w:ind w:left="360"/>
        <w:rPr>
          <w:rFonts w:ascii="Arial" w:hAnsi="Arial" w:cs="Arial"/>
          <w:lang w:val="pt-BR"/>
        </w:rPr>
      </w:pPr>
      <w:r w:rsidRPr="00001128">
        <w:rPr>
          <w:rFonts w:ascii="Arial" w:hAnsi="Arial" w:cs="Arial"/>
          <w:lang w:val="pt-BR"/>
        </w:rPr>
        <w:t xml:space="preserve">CUDAY, P. G. T., WILSON, D., &amp; COHEN, T. (2020). </w:t>
      </w:r>
      <w:r w:rsidRPr="00001128">
        <w:rPr>
          <w:rFonts w:ascii="Arial" w:hAnsi="Arial" w:cs="Arial"/>
          <w:lang w:val="nb-NO"/>
        </w:rPr>
        <w:t xml:space="preserve">Risk factors for recurrent tuberculosis in a high burden setting: A cohort study. </w:t>
      </w:r>
      <w:r w:rsidRPr="00001128">
        <w:rPr>
          <w:rFonts w:ascii="Arial" w:hAnsi="Arial" w:cs="Arial"/>
          <w:lang w:val="pt-BR"/>
        </w:rPr>
        <w:t>BMC Infectious Diseases, 20, 789.</w:t>
      </w:r>
    </w:p>
    <w:p w14:paraId="0FEA7D72" w14:textId="77777777" w:rsidR="00001128" w:rsidRPr="00001128" w:rsidRDefault="00001128" w:rsidP="00001128">
      <w:pPr>
        <w:ind w:left="360"/>
        <w:rPr>
          <w:rFonts w:ascii="Arial" w:hAnsi="Arial" w:cs="Arial"/>
          <w:lang w:val="pt-BR"/>
        </w:rPr>
      </w:pPr>
    </w:p>
    <w:p w14:paraId="31DB2BBF" w14:textId="77777777" w:rsidR="00001128" w:rsidRPr="00001128" w:rsidRDefault="00001128" w:rsidP="00001128">
      <w:pPr>
        <w:ind w:left="360"/>
        <w:rPr>
          <w:rFonts w:ascii="Arial" w:hAnsi="Arial" w:cs="Arial"/>
          <w:lang w:val="pt-BR"/>
        </w:rPr>
      </w:pPr>
      <w:r w:rsidRPr="00001128">
        <w:rPr>
          <w:rFonts w:ascii="Arial" w:hAnsi="Arial" w:cs="Arial"/>
          <w:lang w:val="pt-BR"/>
        </w:rPr>
        <w:t>PINTO, P. F. P. S., et al. (2022). Performance evaluation of tuberculosis control in Brazilian municipalities. Revista de Saúde Pública, 56, 53.</w:t>
      </w:r>
    </w:p>
    <w:p w14:paraId="402A141B" w14:textId="77777777" w:rsidR="00001128" w:rsidRPr="00001128" w:rsidRDefault="00001128" w:rsidP="00001128">
      <w:pPr>
        <w:ind w:left="360"/>
        <w:rPr>
          <w:rFonts w:ascii="Arial" w:hAnsi="Arial" w:cs="Arial"/>
          <w:lang w:val="pt-BR"/>
        </w:rPr>
      </w:pPr>
    </w:p>
    <w:p w14:paraId="295221DB" w14:textId="77777777" w:rsidR="00001128" w:rsidRPr="00001128" w:rsidRDefault="00001128" w:rsidP="00001128">
      <w:pPr>
        <w:ind w:left="360"/>
        <w:rPr>
          <w:rFonts w:ascii="Arial" w:hAnsi="Arial" w:cs="Arial"/>
          <w:lang w:val="pt-BR"/>
        </w:rPr>
      </w:pPr>
      <w:r w:rsidRPr="00001128">
        <w:rPr>
          <w:rFonts w:ascii="Arial" w:hAnsi="Arial" w:cs="Arial"/>
          <w:lang w:val="pt-BR"/>
        </w:rPr>
        <w:t>COSTA, R. H. F., et al. (2020). Epidemiological and operational overview of tuberculosis in the state of Piauí: A portrait of a decade. Research, Society and Development, 9(2).</w:t>
      </w:r>
    </w:p>
    <w:p w14:paraId="4EE9A46D" w14:textId="77777777" w:rsidR="00001128" w:rsidRPr="00001128" w:rsidRDefault="00001128" w:rsidP="00001128">
      <w:pPr>
        <w:ind w:left="360"/>
        <w:rPr>
          <w:rFonts w:ascii="Arial" w:hAnsi="Arial" w:cs="Arial"/>
          <w:lang w:val="pt-BR"/>
        </w:rPr>
      </w:pPr>
    </w:p>
    <w:p w14:paraId="7455C994" w14:textId="77777777" w:rsidR="00001128" w:rsidRPr="00001128" w:rsidRDefault="00001128" w:rsidP="00001128">
      <w:pPr>
        <w:ind w:left="360"/>
        <w:rPr>
          <w:rFonts w:ascii="Arial" w:hAnsi="Arial" w:cs="Arial"/>
          <w:lang w:val="pt-BR"/>
        </w:rPr>
      </w:pPr>
      <w:r w:rsidRPr="00001128">
        <w:rPr>
          <w:rFonts w:ascii="Arial" w:hAnsi="Arial" w:cs="Arial"/>
          <w:lang w:val="pt-BR"/>
        </w:rPr>
        <w:t>OZORES, B. G. G. (2023). Factors that hinder the early diagnosis of pulmonary tuberculosis. Undergraduate thesis (Nursing). Lusíada University Center.</w:t>
      </w:r>
    </w:p>
    <w:p w14:paraId="1A2326C2" w14:textId="77777777" w:rsidR="00001128" w:rsidRPr="00001128" w:rsidRDefault="00001128" w:rsidP="00001128">
      <w:pPr>
        <w:ind w:left="360"/>
        <w:rPr>
          <w:rFonts w:ascii="Arial" w:hAnsi="Arial" w:cs="Arial"/>
          <w:lang w:val="pt-BR"/>
        </w:rPr>
      </w:pPr>
    </w:p>
    <w:p w14:paraId="51929AD8" w14:textId="77777777" w:rsidR="00001128" w:rsidRPr="00001128" w:rsidRDefault="00001128" w:rsidP="00001128">
      <w:pPr>
        <w:ind w:left="360"/>
        <w:rPr>
          <w:rFonts w:ascii="Arial" w:hAnsi="Arial" w:cs="Arial"/>
          <w:lang w:val="pt-BR"/>
        </w:rPr>
      </w:pPr>
      <w:r w:rsidRPr="00001128">
        <w:rPr>
          <w:rFonts w:ascii="Arial" w:hAnsi="Arial" w:cs="Arial"/>
          <w:lang w:val="pt-BR"/>
        </w:rPr>
        <w:t>NOGUEIRA, P. A., ABRAHÃO, R. M. C. M., &amp; MALUCELLI, M. I. C. (2004). Sputum smear microscopy in patients hospitalized in tuberculosis hospitals in the State of São Paulo. Brazilian Journal of Epidemiology, 7(1), 54–64.</w:t>
      </w:r>
    </w:p>
    <w:p w14:paraId="004B3D6B" w14:textId="77777777" w:rsidR="00001128" w:rsidRPr="00001128" w:rsidRDefault="00001128" w:rsidP="00001128">
      <w:pPr>
        <w:ind w:left="360"/>
        <w:rPr>
          <w:rFonts w:ascii="Arial" w:hAnsi="Arial" w:cs="Arial"/>
          <w:lang w:val="pt-BR"/>
        </w:rPr>
      </w:pPr>
    </w:p>
    <w:p w14:paraId="617FE964" w14:textId="77777777" w:rsidR="00001128" w:rsidRPr="00001128" w:rsidRDefault="00001128" w:rsidP="00001128">
      <w:pPr>
        <w:ind w:left="360"/>
        <w:rPr>
          <w:rFonts w:ascii="Arial" w:hAnsi="Arial" w:cs="Arial"/>
          <w:lang w:val="nb-NO"/>
        </w:rPr>
      </w:pPr>
      <w:r w:rsidRPr="00001128">
        <w:rPr>
          <w:rFonts w:ascii="Arial" w:hAnsi="Arial" w:cs="Arial"/>
          <w:lang w:val="nb-NO"/>
        </w:rPr>
        <w:lastRenderedPageBreak/>
        <w:t xml:space="preserve">JÚNIOR, A. C. V., et al. </w:t>
      </w:r>
      <w:r w:rsidRPr="00001128">
        <w:rPr>
          <w:rFonts w:ascii="Arial" w:hAnsi="Arial" w:cs="Arial"/>
          <w:lang w:val="pt-BR"/>
        </w:rPr>
        <w:t xml:space="preserve">(2020). Evaluation of the epidemiological profile of tuberculosis and its TB-HIV coinfection in the states of Paraíba and Rio Grande do Norte. </w:t>
      </w:r>
      <w:r w:rsidRPr="00001128">
        <w:rPr>
          <w:rFonts w:ascii="Arial" w:hAnsi="Arial" w:cs="Arial"/>
          <w:lang w:val="nb-NO"/>
        </w:rPr>
        <w:t>Brazilian Journal of Development, 6(1), 441–456.</w:t>
      </w:r>
    </w:p>
    <w:p w14:paraId="03299207" w14:textId="77777777" w:rsidR="00001128" w:rsidRPr="00001128" w:rsidRDefault="00001128" w:rsidP="00001128">
      <w:pPr>
        <w:ind w:left="360"/>
        <w:rPr>
          <w:rFonts w:ascii="Arial" w:hAnsi="Arial" w:cs="Arial"/>
          <w:lang w:val="nb-NO"/>
        </w:rPr>
      </w:pPr>
    </w:p>
    <w:p w14:paraId="6CD3B93B" w14:textId="77777777" w:rsidR="00001128" w:rsidRPr="00001128" w:rsidRDefault="00001128" w:rsidP="00001128">
      <w:pPr>
        <w:ind w:left="360"/>
        <w:rPr>
          <w:rFonts w:ascii="Arial" w:hAnsi="Arial" w:cs="Arial"/>
          <w:lang w:val="nb-NO"/>
        </w:rPr>
      </w:pPr>
      <w:r w:rsidRPr="00001128">
        <w:rPr>
          <w:rFonts w:ascii="Arial" w:hAnsi="Arial" w:cs="Arial"/>
          <w:lang w:val="nb-NO"/>
        </w:rPr>
        <w:t xml:space="preserve">LIPORACI, Q. F. S., et al. </w:t>
      </w:r>
      <w:r w:rsidRPr="00001128">
        <w:rPr>
          <w:rFonts w:ascii="Arial" w:hAnsi="Arial" w:cs="Arial"/>
          <w:lang w:val="pt-BR"/>
        </w:rPr>
        <w:t xml:space="preserve">(2018). Monitoring of notification of pulmonary tuberculosis cases with laboratory confirmation in the municipality of Rio de Janeiro. </w:t>
      </w:r>
      <w:r w:rsidRPr="00001128">
        <w:rPr>
          <w:rFonts w:ascii="Arial" w:hAnsi="Arial" w:cs="Arial"/>
          <w:lang w:val="nb-NO"/>
        </w:rPr>
        <w:t>REVA Acadêmica: Revista Científica da Saúde, 3(1), 1–6.</w:t>
      </w:r>
    </w:p>
    <w:p w14:paraId="11761076" w14:textId="77777777" w:rsidR="00001128" w:rsidRPr="00001128" w:rsidRDefault="00001128" w:rsidP="00001128">
      <w:pPr>
        <w:ind w:left="360"/>
        <w:rPr>
          <w:rFonts w:ascii="Arial" w:hAnsi="Arial" w:cs="Arial"/>
          <w:lang w:val="nb-NO"/>
        </w:rPr>
      </w:pPr>
    </w:p>
    <w:p w14:paraId="650EF54D" w14:textId="79624B5E" w:rsidR="004D46F5" w:rsidRPr="00001128" w:rsidRDefault="00001128" w:rsidP="00001128">
      <w:pPr>
        <w:ind w:left="360"/>
        <w:rPr>
          <w:rFonts w:ascii="Arial" w:hAnsi="Arial" w:cs="Arial"/>
          <w:lang w:val="pt-BR"/>
        </w:rPr>
      </w:pPr>
      <w:r w:rsidRPr="00001128">
        <w:rPr>
          <w:rFonts w:ascii="Arial" w:hAnsi="Arial" w:cs="Arial"/>
          <w:lang w:val="nb-NO"/>
        </w:rPr>
        <w:t xml:space="preserve">BERTONI, T. A., et al. </w:t>
      </w:r>
      <w:r w:rsidRPr="00001128">
        <w:rPr>
          <w:rFonts w:ascii="Arial" w:hAnsi="Arial" w:cs="Arial"/>
          <w:lang w:val="pt-BR"/>
        </w:rPr>
        <w:t>(2010). Paracoccidioidomycosis and tuberculosis: Differential diagnosis. Revista da Sociedade Brasileira de Medicina Tropical, 43(1), 86–88.</w:t>
      </w:r>
    </w:p>
    <w:p w14:paraId="03933106" w14:textId="19FFA101" w:rsidR="004D46F5" w:rsidRPr="00001128" w:rsidRDefault="004D46F5" w:rsidP="002B6940">
      <w:pPr>
        <w:ind w:left="360"/>
        <w:rPr>
          <w:rFonts w:ascii="Arial" w:hAnsi="Arial" w:cs="Arial"/>
          <w:lang w:val="pt-BR"/>
        </w:rPr>
        <w:sectPr w:rsidR="004D46F5" w:rsidRPr="00001128" w:rsidSect="006F564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0CC6947" w14:textId="77777777" w:rsidR="00B01FCD" w:rsidRPr="00001128" w:rsidRDefault="00B01FCD" w:rsidP="00441B6F">
      <w:pPr>
        <w:pStyle w:val="Appendix"/>
        <w:spacing w:after="0"/>
        <w:jc w:val="both"/>
        <w:rPr>
          <w:rFonts w:ascii="Arial" w:hAnsi="Arial" w:cs="Arial"/>
          <w:b w:val="0"/>
          <w:lang w:val="pt-BR"/>
        </w:rPr>
      </w:pPr>
    </w:p>
    <w:sectPr w:rsidR="00B01FCD" w:rsidRPr="00001128" w:rsidSect="006F56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B6E1F" w14:textId="77777777" w:rsidR="007C32ED" w:rsidRDefault="007C32ED" w:rsidP="00C37E61">
      <w:r>
        <w:separator/>
      </w:r>
    </w:p>
  </w:endnote>
  <w:endnote w:type="continuationSeparator" w:id="0">
    <w:p w14:paraId="79C57E95" w14:textId="77777777" w:rsidR="007C32ED" w:rsidRDefault="007C32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62765" w14:textId="77777777" w:rsidR="001A1A98" w:rsidRDefault="001A1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F03E" w14:textId="77777777" w:rsidR="001A1A98" w:rsidRDefault="001A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8476" w14:textId="77777777" w:rsidR="009E048A" w:rsidRDefault="009E048A">
    <w:pPr>
      <w:pStyle w:val="Footer"/>
      <w:rPr>
        <w:rFonts w:ascii="Arial" w:hAnsi="Arial" w:cs="Arial"/>
        <w:sz w:val="16"/>
      </w:rPr>
    </w:pPr>
  </w:p>
  <w:p w14:paraId="35A679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E8C831E" w14:textId="77777777" w:rsidR="009E048A" w:rsidRDefault="009E048A">
    <w:pPr>
      <w:pStyle w:val="Footer"/>
      <w:rPr>
        <w:rFonts w:ascii="Arial" w:hAnsi="Arial" w:cs="Arial"/>
        <w:sz w:val="16"/>
      </w:rPr>
    </w:pPr>
  </w:p>
  <w:p w14:paraId="7F8EE4C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7ED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80E7F" w14:textId="77777777" w:rsidR="007C32ED" w:rsidRDefault="007C32ED" w:rsidP="00C37E61">
      <w:r>
        <w:separator/>
      </w:r>
    </w:p>
  </w:footnote>
  <w:footnote w:type="continuationSeparator" w:id="0">
    <w:p w14:paraId="016AE9B0" w14:textId="77777777" w:rsidR="007C32ED" w:rsidRDefault="007C32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6E9A" w14:textId="1DE6D04B" w:rsidR="001A1A98" w:rsidRDefault="007C32ED">
    <w:pPr>
      <w:pStyle w:val="Header"/>
    </w:pPr>
    <w:r>
      <w:rPr>
        <w:noProof/>
      </w:rPr>
      <w:pict w14:anchorId="27846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7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8A00" w14:textId="61B7C435" w:rsidR="001A1A98" w:rsidRDefault="007C32ED">
    <w:pPr>
      <w:pStyle w:val="Header"/>
    </w:pPr>
    <w:r>
      <w:rPr>
        <w:noProof/>
      </w:rPr>
      <w:pict w14:anchorId="58376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7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5220" w14:textId="773DB8D2" w:rsidR="00296529" w:rsidRPr="00296529" w:rsidRDefault="007C32ED" w:rsidP="00296529">
    <w:pPr>
      <w:ind w:left="2160"/>
      <w:jc w:val="center"/>
      <w:rPr>
        <w:rFonts w:ascii="Times New Roman" w:eastAsia="Calibri" w:hAnsi="Times New Roman"/>
        <w:i/>
        <w:sz w:val="18"/>
        <w:szCs w:val="22"/>
      </w:rPr>
    </w:pPr>
    <w:r>
      <w:rPr>
        <w:noProof/>
      </w:rPr>
      <w:pict w14:anchorId="263C6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6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50790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40E96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47BE4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5AC4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3699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9F25C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5A72" w14:textId="30EB62F4" w:rsidR="001A1A98" w:rsidRDefault="007C32ED">
    <w:pPr>
      <w:pStyle w:val="Header"/>
    </w:pPr>
    <w:r>
      <w:rPr>
        <w:noProof/>
      </w:rPr>
      <w:pict w14:anchorId="46E74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7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0D72" w14:textId="247410CE" w:rsidR="001A1A98" w:rsidRDefault="007C32ED">
    <w:pPr>
      <w:pStyle w:val="Header"/>
    </w:pPr>
    <w:r>
      <w:rPr>
        <w:noProof/>
      </w:rPr>
      <w:pict w14:anchorId="08725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7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1B75" w14:textId="5C77C441" w:rsidR="001A1A98" w:rsidRDefault="007C32ED">
    <w:pPr>
      <w:pStyle w:val="Header"/>
    </w:pPr>
    <w:r>
      <w:rPr>
        <w:noProof/>
      </w:rPr>
      <w:pict w14:anchorId="2B0AE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7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0475BD"/>
    <w:multiLevelType w:val="hybridMultilevel"/>
    <w:tmpl w:val="55A281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7674B"/>
    <w:multiLevelType w:val="hybridMultilevel"/>
    <w:tmpl w:val="FF2E39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AD467B5"/>
    <w:multiLevelType w:val="hybridMultilevel"/>
    <w:tmpl w:val="C5C81F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6"/>
  </w:num>
  <w:num w:numId="30">
    <w:abstractNumId w:val="10"/>
  </w:num>
  <w:num w:numId="31">
    <w:abstractNumId w:val="15"/>
  </w:num>
  <w:num w:numId="32">
    <w:abstractNumId w:val="2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wMjM1sDCzNDcyMTBX0lEKTi0uzszPAykwrAUA/geFkywAAAA="/>
  </w:docVars>
  <w:rsids>
    <w:rsidRoot w:val="00AA6219"/>
    <w:rsid w:val="00000F8F"/>
    <w:rsid w:val="00001128"/>
    <w:rsid w:val="00017A94"/>
    <w:rsid w:val="00017EAD"/>
    <w:rsid w:val="00026471"/>
    <w:rsid w:val="00030174"/>
    <w:rsid w:val="0004579C"/>
    <w:rsid w:val="00052258"/>
    <w:rsid w:val="0005347C"/>
    <w:rsid w:val="00054C30"/>
    <w:rsid w:val="000607FA"/>
    <w:rsid w:val="000803A8"/>
    <w:rsid w:val="000867B1"/>
    <w:rsid w:val="000A3FB2"/>
    <w:rsid w:val="000A47FA"/>
    <w:rsid w:val="000A65D3"/>
    <w:rsid w:val="000B1E33"/>
    <w:rsid w:val="000B75C2"/>
    <w:rsid w:val="000D689F"/>
    <w:rsid w:val="000E7B7B"/>
    <w:rsid w:val="000E7D62"/>
    <w:rsid w:val="00103357"/>
    <w:rsid w:val="001072C1"/>
    <w:rsid w:val="001100EE"/>
    <w:rsid w:val="00121267"/>
    <w:rsid w:val="00123C9F"/>
    <w:rsid w:val="00126190"/>
    <w:rsid w:val="00130F17"/>
    <w:rsid w:val="001320BF"/>
    <w:rsid w:val="00132FC1"/>
    <w:rsid w:val="00133761"/>
    <w:rsid w:val="00134787"/>
    <w:rsid w:val="0014093A"/>
    <w:rsid w:val="00163BC4"/>
    <w:rsid w:val="00164A2C"/>
    <w:rsid w:val="00181CCA"/>
    <w:rsid w:val="0018593F"/>
    <w:rsid w:val="00191062"/>
    <w:rsid w:val="00192927"/>
    <w:rsid w:val="00192B72"/>
    <w:rsid w:val="001A0B36"/>
    <w:rsid w:val="001A1A98"/>
    <w:rsid w:val="001A29D8"/>
    <w:rsid w:val="001A5CAA"/>
    <w:rsid w:val="001B0427"/>
    <w:rsid w:val="001B2B4E"/>
    <w:rsid w:val="001D3A51"/>
    <w:rsid w:val="001E10D2"/>
    <w:rsid w:val="001E25B4"/>
    <w:rsid w:val="001E44FE"/>
    <w:rsid w:val="001F5DE3"/>
    <w:rsid w:val="00200595"/>
    <w:rsid w:val="0020317C"/>
    <w:rsid w:val="00204835"/>
    <w:rsid w:val="00205CB2"/>
    <w:rsid w:val="00206E6B"/>
    <w:rsid w:val="00211D49"/>
    <w:rsid w:val="00231920"/>
    <w:rsid w:val="0023195C"/>
    <w:rsid w:val="00233ABD"/>
    <w:rsid w:val="0024282C"/>
    <w:rsid w:val="002460DC"/>
    <w:rsid w:val="00250985"/>
    <w:rsid w:val="00253692"/>
    <w:rsid w:val="002556F6"/>
    <w:rsid w:val="00272D81"/>
    <w:rsid w:val="00276AC2"/>
    <w:rsid w:val="00283105"/>
    <w:rsid w:val="00284C4C"/>
    <w:rsid w:val="00287E68"/>
    <w:rsid w:val="00287FC2"/>
    <w:rsid w:val="00296529"/>
    <w:rsid w:val="002A545A"/>
    <w:rsid w:val="002B27FB"/>
    <w:rsid w:val="002B685A"/>
    <w:rsid w:val="002B6940"/>
    <w:rsid w:val="002C57D2"/>
    <w:rsid w:val="002E0D56"/>
    <w:rsid w:val="00301795"/>
    <w:rsid w:val="003047F4"/>
    <w:rsid w:val="00311DCB"/>
    <w:rsid w:val="00315186"/>
    <w:rsid w:val="0033343E"/>
    <w:rsid w:val="003512C2"/>
    <w:rsid w:val="0035269F"/>
    <w:rsid w:val="00353192"/>
    <w:rsid w:val="00364317"/>
    <w:rsid w:val="003646F9"/>
    <w:rsid w:val="00365772"/>
    <w:rsid w:val="003718A4"/>
    <w:rsid w:val="00371FB6"/>
    <w:rsid w:val="00372D80"/>
    <w:rsid w:val="003763C1"/>
    <w:rsid w:val="00376BBE"/>
    <w:rsid w:val="0039224F"/>
    <w:rsid w:val="003A1799"/>
    <w:rsid w:val="003A43A4"/>
    <w:rsid w:val="003A7E18"/>
    <w:rsid w:val="003C2E2F"/>
    <w:rsid w:val="003C4C86"/>
    <w:rsid w:val="003C6258"/>
    <w:rsid w:val="003D7008"/>
    <w:rsid w:val="003E2904"/>
    <w:rsid w:val="003E3BFC"/>
    <w:rsid w:val="00400458"/>
    <w:rsid w:val="00401927"/>
    <w:rsid w:val="0041027F"/>
    <w:rsid w:val="00412475"/>
    <w:rsid w:val="00417E10"/>
    <w:rsid w:val="00423789"/>
    <w:rsid w:val="004343F6"/>
    <w:rsid w:val="00440F43"/>
    <w:rsid w:val="00441B6F"/>
    <w:rsid w:val="00446221"/>
    <w:rsid w:val="00450E62"/>
    <w:rsid w:val="004539DB"/>
    <w:rsid w:val="00460651"/>
    <w:rsid w:val="00471A80"/>
    <w:rsid w:val="00477574"/>
    <w:rsid w:val="00481127"/>
    <w:rsid w:val="0048478A"/>
    <w:rsid w:val="004A4B50"/>
    <w:rsid w:val="004D0E7A"/>
    <w:rsid w:val="004D305E"/>
    <w:rsid w:val="004D4277"/>
    <w:rsid w:val="004D46F5"/>
    <w:rsid w:val="00502516"/>
    <w:rsid w:val="00505F06"/>
    <w:rsid w:val="00506828"/>
    <w:rsid w:val="005171A4"/>
    <w:rsid w:val="0053056E"/>
    <w:rsid w:val="00533618"/>
    <w:rsid w:val="00554DAF"/>
    <w:rsid w:val="00554FDA"/>
    <w:rsid w:val="00561222"/>
    <w:rsid w:val="0056393A"/>
    <w:rsid w:val="005C1E79"/>
    <w:rsid w:val="005C784C"/>
    <w:rsid w:val="005D17F6"/>
    <w:rsid w:val="005E5539"/>
    <w:rsid w:val="00602BF5"/>
    <w:rsid w:val="0061007A"/>
    <w:rsid w:val="006131FA"/>
    <w:rsid w:val="00617FDD"/>
    <w:rsid w:val="00633614"/>
    <w:rsid w:val="00633F68"/>
    <w:rsid w:val="00636EB2"/>
    <w:rsid w:val="006375B8"/>
    <w:rsid w:val="0066510A"/>
    <w:rsid w:val="00673F9F"/>
    <w:rsid w:val="0067716D"/>
    <w:rsid w:val="00686953"/>
    <w:rsid w:val="00687DEA"/>
    <w:rsid w:val="00687E67"/>
    <w:rsid w:val="006936F7"/>
    <w:rsid w:val="006967F7"/>
    <w:rsid w:val="006A250C"/>
    <w:rsid w:val="006B21D3"/>
    <w:rsid w:val="006B57D0"/>
    <w:rsid w:val="006B7EAB"/>
    <w:rsid w:val="006C1D85"/>
    <w:rsid w:val="006C23F9"/>
    <w:rsid w:val="006D30FF"/>
    <w:rsid w:val="006D44CA"/>
    <w:rsid w:val="006D6940"/>
    <w:rsid w:val="006E21A0"/>
    <w:rsid w:val="006E2619"/>
    <w:rsid w:val="006F11EC"/>
    <w:rsid w:val="006F1281"/>
    <w:rsid w:val="006F5642"/>
    <w:rsid w:val="0070082C"/>
    <w:rsid w:val="00703F7D"/>
    <w:rsid w:val="00705EF0"/>
    <w:rsid w:val="00711405"/>
    <w:rsid w:val="00711883"/>
    <w:rsid w:val="00713A77"/>
    <w:rsid w:val="007369E6"/>
    <w:rsid w:val="00740040"/>
    <w:rsid w:val="00746E59"/>
    <w:rsid w:val="0074737C"/>
    <w:rsid w:val="00752B7B"/>
    <w:rsid w:val="00754C9A"/>
    <w:rsid w:val="0075599A"/>
    <w:rsid w:val="00761D52"/>
    <w:rsid w:val="007624C7"/>
    <w:rsid w:val="0077749E"/>
    <w:rsid w:val="007804B1"/>
    <w:rsid w:val="007824B6"/>
    <w:rsid w:val="007871C4"/>
    <w:rsid w:val="00790ADA"/>
    <w:rsid w:val="007A5D46"/>
    <w:rsid w:val="007B0318"/>
    <w:rsid w:val="007C32ED"/>
    <w:rsid w:val="007D2288"/>
    <w:rsid w:val="007D59AE"/>
    <w:rsid w:val="007E088F"/>
    <w:rsid w:val="007E0FAA"/>
    <w:rsid w:val="007E46C7"/>
    <w:rsid w:val="007F7B32"/>
    <w:rsid w:val="00804BC2"/>
    <w:rsid w:val="0081431A"/>
    <w:rsid w:val="0083216F"/>
    <w:rsid w:val="00850375"/>
    <w:rsid w:val="00853064"/>
    <w:rsid w:val="0085643C"/>
    <w:rsid w:val="00860000"/>
    <w:rsid w:val="00861803"/>
    <w:rsid w:val="00861F26"/>
    <w:rsid w:val="00863BD3"/>
    <w:rsid w:val="008641ED"/>
    <w:rsid w:val="00866946"/>
    <w:rsid w:val="00866D66"/>
    <w:rsid w:val="008671C6"/>
    <w:rsid w:val="00874268"/>
    <w:rsid w:val="00875803"/>
    <w:rsid w:val="0089058B"/>
    <w:rsid w:val="008A3C90"/>
    <w:rsid w:val="008A4760"/>
    <w:rsid w:val="008A5A42"/>
    <w:rsid w:val="008B459E"/>
    <w:rsid w:val="008C540A"/>
    <w:rsid w:val="008C5DE4"/>
    <w:rsid w:val="008D729C"/>
    <w:rsid w:val="008E13AE"/>
    <w:rsid w:val="008E1506"/>
    <w:rsid w:val="008E710C"/>
    <w:rsid w:val="008E7B55"/>
    <w:rsid w:val="008F69D6"/>
    <w:rsid w:val="00900FC4"/>
    <w:rsid w:val="00902823"/>
    <w:rsid w:val="009041F4"/>
    <w:rsid w:val="00915CA6"/>
    <w:rsid w:val="009176E8"/>
    <w:rsid w:val="00927834"/>
    <w:rsid w:val="00945DE5"/>
    <w:rsid w:val="0095005E"/>
    <w:rsid w:val="009500A6"/>
    <w:rsid w:val="00957C18"/>
    <w:rsid w:val="009659BA"/>
    <w:rsid w:val="009662C7"/>
    <w:rsid w:val="0097725D"/>
    <w:rsid w:val="009818D0"/>
    <w:rsid w:val="00983040"/>
    <w:rsid w:val="00992546"/>
    <w:rsid w:val="00994AB3"/>
    <w:rsid w:val="009B1324"/>
    <w:rsid w:val="009B3FB9"/>
    <w:rsid w:val="009C2465"/>
    <w:rsid w:val="009D1535"/>
    <w:rsid w:val="009D35A0"/>
    <w:rsid w:val="009D7EB7"/>
    <w:rsid w:val="009E0434"/>
    <w:rsid w:val="009E048A"/>
    <w:rsid w:val="009E08E9"/>
    <w:rsid w:val="009E3DB9"/>
    <w:rsid w:val="009E6E35"/>
    <w:rsid w:val="009F0EDA"/>
    <w:rsid w:val="00A03B96"/>
    <w:rsid w:val="00A05B19"/>
    <w:rsid w:val="00A1134E"/>
    <w:rsid w:val="00A24E7E"/>
    <w:rsid w:val="00A258C3"/>
    <w:rsid w:val="00A347C0"/>
    <w:rsid w:val="00A37AAA"/>
    <w:rsid w:val="00A427BA"/>
    <w:rsid w:val="00A51431"/>
    <w:rsid w:val="00A539AD"/>
    <w:rsid w:val="00A6650A"/>
    <w:rsid w:val="00A85006"/>
    <w:rsid w:val="00A851AD"/>
    <w:rsid w:val="00A94063"/>
    <w:rsid w:val="00A9623E"/>
    <w:rsid w:val="00AA6219"/>
    <w:rsid w:val="00AA74E0"/>
    <w:rsid w:val="00AB703F"/>
    <w:rsid w:val="00AC58C8"/>
    <w:rsid w:val="00AC6BB8"/>
    <w:rsid w:val="00AE008F"/>
    <w:rsid w:val="00B01FCD"/>
    <w:rsid w:val="00B1776C"/>
    <w:rsid w:val="00B234F4"/>
    <w:rsid w:val="00B45742"/>
    <w:rsid w:val="00B52583"/>
    <w:rsid w:val="00B52896"/>
    <w:rsid w:val="00B855EB"/>
    <w:rsid w:val="00B914D4"/>
    <w:rsid w:val="00B95236"/>
    <w:rsid w:val="00B96BD9"/>
    <w:rsid w:val="00BA1B01"/>
    <w:rsid w:val="00BA2641"/>
    <w:rsid w:val="00BB37AA"/>
    <w:rsid w:val="00BC53A0"/>
    <w:rsid w:val="00BD3CA4"/>
    <w:rsid w:val="00BE2E45"/>
    <w:rsid w:val="00BE62AD"/>
    <w:rsid w:val="00BE7264"/>
    <w:rsid w:val="00BF121F"/>
    <w:rsid w:val="00BF1F80"/>
    <w:rsid w:val="00C11E4F"/>
    <w:rsid w:val="00C166EF"/>
    <w:rsid w:val="00C17EB0"/>
    <w:rsid w:val="00C24340"/>
    <w:rsid w:val="00C252CF"/>
    <w:rsid w:val="00C26182"/>
    <w:rsid w:val="00C27F5F"/>
    <w:rsid w:val="00C30A0F"/>
    <w:rsid w:val="00C35D3A"/>
    <w:rsid w:val="00C37E61"/>
    <w:rsid w:val="00C46039"/>
    <w:rsid w:val="00C57D95"/>
    <w:rsid w:val="00C64B45"/>
    <w:rsid w:val="00C67EEA"/>
    <w:rsid w:val="00C70F1B"/>
    <w:rsid w:val="00C71A47"/>
    <w:rsid w:val="00C74261"/>
    <w:rsid w:val="00C7464C"/>
    <w:rsid w:val="00C777C4"/>
    <w:rsid w:val="00C85588"/>
    <w:rsid w:val="00C91FED"/>
    <w:rsid w:val="00C96234"/>
    <w:rsid w:val="00CA1A88"/>
    <w:rsid w:val="00CC5798"/>
    <w:rsid w:val="00CD61D8"/>
    <w:rsid w:val="00CD6755"/>
    <w:rsid w:val="00CD6856"/>
    <w:rsid w:val="00CE0089"/>
    <w:rsid w:val="00CE793C"/>
    <w:rsid w:val="00CF00CF"/>
    <w:rsid w:val="00CF193C"/>
    <w:rsid w:val="00CF637D"/>
    <w:rsid w:val="00D0013B"/>
    <w:rsid w:val="00D14349"/>
    <w:rsid w:val="00D173F1"/>
    <w:rsid w:val="00D23D30"/>
    <w:rsid w:val="00D74CB0"/>
    <w:rsid w:val="00D80F41"/>
    <w:rsid w:val="00D8295D"/>
    <w:rsid w:val="00D848BD"/>
    <w:rsid w:val="00DA0E7C"/>
    <w:rsid w:val="00DA683A"/>
    <w:rsid w:val="00DC2A65"/>
    <w:rsid w:val="00DC2E62"/>
    <w:rsid w:val="00DE15F0"/>
    <w:rsid w:val="00DE5663"/>
    <w:rsid w:val="00DE78AA"/>
    <w:rsid w:val="00E053D0"/>
    <w:rsid w:val="00E153B4"/>
    <w:rsid w:val="00E15994"/>
    <w:rsid w:val="00E3114E"/>
    <w:rsid w:val="00E31A70"/>
    <w:rsid w:val="00E35B02"/>
    <w:rsid w:val="00E522CC"/>
    <w:rsid w:val="00E52CED"/>
    <w:rsid w:val="00E53E65"/>
    <w:rsid w:val="00E62630"/>
    <w:rsid w:val="00E66496"/>
    <w:rsid w:val="00E66B35"/>
    <w:rsid w:val="00E66E10"/>
    <w:rsid w:val="00E769F6"/>
    <w:rsid w:val="00E8407C"/>
    <w:rsid w:val="00E84E55"/>
    <w:rsid w:val="00E84F3C"/>
    <w:rsid w:val="00E865DE"/>
    <w:rsid w:val="00E8710E"/>
    <w:rsid w:val="00E96684"/>
    <w:rsid w:val="00EA012C"/>
    <w:rsid w:val="00EA0C0E"/>
    <w:rsid w:val="00EC6A55"/>
    <w:rsid w:val="00ED0288"/>
    <w:rsid w:val="00ED0FD7"/>
    <w:rsid w:val="00ED3B33"/>
    <w:rsid w:val="00EE52CB"/>
    <w:rsid w:val="00EF581D"/>
    <w:rsid w:val="00EF7FD8"/>
    <w:rsid w:val="00F06F59"/>
    <w:rsid w:val="00F077FF"/>
    <w:rsid w:val="00F17988"/>
    <w:rsid w:val="00F17C1D"/>
    <w:rsid w:val="00F42137"/>
    <w:rsid w:val="00F428E9"/>
    <w:rsid w:val="00F469F0"/>
    <w:rsid w:val="00F53273"/>
    <w:rsid w:val="00F60179"/>
    <w:rsid w:val="00F755E4"/>
    <w:rsid w:val="00F77D02"/>
    <w:rsid w:val="00FB3A86"/>
    <w:rsid w:val="00FB591F"/>
    <w:rsid w:val="00FC20A8"/>
    <w:rsid w:val="00FD0CAA"/>
    <w:rsid w:val="00FD36C8"/>
    <w:rsid w:val="00FD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ED6B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133761"/>
    <w:pPr>
      <w:spacing w:after="120"/>
    </w:pPr>
  </w:style>
  <w:style w:type="character" w:customStyle="1" w:styleId="BodyTextChar">
    <w:name w:val="Body Text Char"/>
    <w:basedOn w:val="DefaultParagraphFont"/>
    <w:link w:val="BodyText"/>
    <w:semiHidden/>
    <w:rsid w:val="00133761"/>
    <w:rPr>
      <w:rFonts w:ascii="Helvetica" w:hAnsi="Helvetica"/>
    </w:rPr>
  </w:style>
  <w:style w:type="paragraph" w:styleId="CommentSubject">
    <w:name w:val="annotation subject"/>
    <w:basedOn w:val="CommentText"/>
    <w:next w:val="CommentText"/>
    <w:link w:val="CommentSubjectChar"/>
    <w:semiHidden/>
    <w:unhideWhenUsed/>
    <w:rsid w:val="00364317"/>
    <w:rPr>
      <w:rFonts w:ascii="Helvetica" w:hAnsi="Helvetica"/>
      <w:b/>
      <w:bCs/>
      <w:lang w:val="en-US" w:eastAsia="en-US"/>
    </w:rPr>
  </w:style>
  <w:style w:type="character" w:customStyle="1" w:styleId="CommentSubjectChar">
    <w:name w:val="Comment Subject Char"/>
    <w:basedOn w:val="CommentTextChar"/>
    <w:link w:val="CommentSubject"/>
    <w:semiHidden/>
    <w:rsid w:val="00364317"/>
    <w:rPr>
      <w:rFonts w:ascii="Helvetica" w:hAnsi="Helvetica"/>
      <w:b/>
      <w:bCs/>
      <w:lang w:val="nb-NO" w:eastAsia="nb-NO"/>
    </w:rPr>
  </w:style>
  <w:style w:type="paragraph" w:styleId="NormalWeb">
    <w:name w:val="Normal (Web)"/>
    <w:basedOn w:val="Normal"/>
    <w:semiHidden/>
    <w:unhideWhenUsed/>
    <w:rsid w:val="00C74261"/>
    <w:rPr>
      <w:rFonts w:ascii="Times New Roman" w:hAnsi="Times New Roman"/>
      <w:sz w:val="24"/>
      <w:szCs w:val="24"/>
    </w:rPr>
  </w:style>
  <w:style w:type="paragraph" w:styleId="Revision">
    <w:name w:val="Revision"/>
    <w:hidden/>
    <w:uiPriority w:val="99"/>
    <w:semiHidden/>
    <w:rsid w:val="00205CB2"/>
    <w:rPr>
      <w:rFonts w:ascii="Helvetica" w:hAnsi="Helvetica"/>
    </w:rPr>
  </w:style>
  <w:style w:type="paragraph" w:styleId="ListParagraph">
    <w:name w:val="List Paragraph"/>
    <w:basedOn w:val="Normal"/>
    <w:uiPriority w:val="34"/>
    <w:qFormat/>
    <w:rsid w:val="000803A8"/>
    <w:pPr>
      <w:ind w:left="720"/>
      <w:contextualSpacing/>
    </w:pPr>
  </w:style>
  <w:style w:type="table" w:customStyle="1" w:styleId="TableGrid1">
    <w:name w:val="Table Grid1"/>
    <w:basedOn w:val="TableNormal"/>
    <w:next w:val="TableGrid"/>
    <w:uiPriority w:val="39"/>
    <w:rsid w:val="00017A94"/>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FD7"/>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5669089">
      <w:bodyDiv w:val="1"/>
      <w:marLeft w:val="0"/>
      <w:marRight w:val="0"/>
      <w:marTop w:val="0"/>
      <w:marBottom w:val="0"/>
      <w:divBdr>
        <w:top w:val="none" w:sz="0" w:space="0" w:color="auto"/>
        <w:left w:val="none" w:sz="0" w:space="0" w:color="auto"/>
        <w:bottom w:val="none" w:sz="0" w:space="0" w:color="auto"/>
        <w:right w:val="none" w:sz="0" w:space="0" w:color="auto"/>
      </w:divBdr>
      <w:divsChild>
        <w:div w:id="410389070">
          <w:marLeft w:val="0"/>
          <w:marRight w:val="0"/>
          <w:marTop w:val="0"/>
          <w:marBottom w:val="0"/>
          <w:divBdr>
            <w:top w:val="none" w:sz="0" w:space="0" w:color="auto"/>
            <w:left w:val="none" w:sz="0" w:space="0" w:color="auto"/>
            <w:bottom w:val="none" w:sz="0" w:space="0" w:color="auto"/>
            <w:right w:val="none" w:sz="0" w:space="0" w:color="auto"/>
          </w:divBdr>
        </w:div>
      </w:divsChild>
    </w:div>
    <w:div w:id="73552895">
      <w:bodyDiv w:val="1"/>
      <w:marLeft w:val="0"/>
      <w:marRight w:val="0"/>
      <w:marTop w:val="0"/>
      <w:marBottom w:val="0"/>
      <w:divBdr>
        <w:top w:val="none" w:sz="0" w:space="0" w:color="auto"/>
        <w:left w:val="none" w:sz="0" w:space="0" w:color="auto"/>
        <w:bottom w:val="none" w:sz="0" w:space="0" w:color="auto"/>
        <w:right w:val="none" w:sz="0" w:space="0" w:color="auto"/>
      </w:divBdr>
    </w:div>
    <w:div w:id="77214691">
      <w:bodyDiv w:val="1"/>
      <w:marLeft w:val="0"/>
      <w:marRight w:val="0"/>
      <w:marTop w:val="0"/>
      <w:marBottom w:val="0"/>
      <w:divBdr>
        <w:top w:val="none" w:sz="0" w:space="0" w:color="auto"/>
        <w:left w:val="none" w:sz="0" w:space="0" w:color="auto"/>
        <w:bottom w:val="none" w:sz="0" w:space="0" w:color="auto"/>
        <w:right w:val="none" w:sz="0" w:space="0" w:color="auto"/>
      </w:divBdr>
    </w:div>
    <w:div w:id="86116276">
      <w:bodyDiv w:val="1"/>
      <w:marLeft w:val="0"/>
      <w:marRight w:val="0"/>
      <w:marTop w:val="0"/>
      <w:marBottom w:val="0"/>
      <w:divBdr>
        <w:top w:val="none" w:sz="0" w:space="0" w:color="auto"/>
        <w:left w:val="none" w:sz="0" w:space="0" w:color="auto"/>
        <w:bottom w:val="none" w:sz="0" w:space="0" w:color="auto"/>
        <w:right w:val="none" w:sz="0" w:space="0" w:color="auto"/>
      </w:divBdr>
      <w:divsChild>
        <w:div w:id="11286743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429392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8557432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8603180">
      <w:bodyDiv w:val="1"/>
      <w:marLeft w:val="0"/>
      <w:marRight w:val="0"/>
      <w:marTop w:val="0"/>
      <w:marBottom w:val="0"/>
      <w:divBdr>
        <w:top w:val="none" w:sz="0" w:space="0" w:color="auto"/>
        <w:left w:val="none" w:sz="0" w:space="0" w:color="auto"/>
        <w:bottom w:val="none" w:sz="0" w:space="0" w:color="auto"/>
        <w:right w:val="none" w:sz="0" w:space="0" w:color="auto"/>
      </w:divBdr>
    </w:div>
    <w:div w:id="683285721">
      <w:bodyDiv w:val="1"/>
      <w:marLeft w:val="0"/>
      <w:marRight w:val="0"/>
      <w:marTop w:val="0"/>
      <w:marBottom w:val="0"/>
      <w:divBdr>
        <w:top w:val="none" w:sz="0" w:space="0" w:color="auto"/>
        <w:left w:val="none" w:sz="0" w:space="0" w:color="auto"/>
        <w:bottom w:val="none" w:sz="0" w:space="0" w:color="auto"/>
        <w:right w:val="none" w:sz="0" w:space="0" w:color="auto"/>
      </w:divBdr>
    </w:div>
    <w:div w:id="701714189">
      <w:bodyDiv w:val="1"/>
      <w:marLeft w:val="0"/>
      <w:marRight w:val="0"/>
      <w:marTop w:val="0"/>
      <w:marBottom w:val="0"/>
      <w:divBdr>
        <w:top w:val="none" w:sz="0" w:space="0" w:color="auto"/>
        <w:left w:val="none" w:sz="0" w:space="0" w:color="auto"/>
        <w:bottom w:val="none" w:sz="0" w:space="0" w:color="auto"/>
        <w:right w:val="none" w:sz="0" w:space="0" w:color="auto"/>
      </w:divBdr>
    </w:div>
    <w:div w:id="717238539">
      <w:bodyDiv w:val="1"/>
      <w:marLeft w:val="0"/>
      <w:marRight w:val="0"/>
      <w:marTop w:val="0"/>
      <w:marBottom w:val="0"/>
      <w:divBdr>
        <w:top w:val="none" w:sz="0" w:space="0" w:color="auto"/>
        <w:left w:val="none" w:sz="0" w:space="0" w:color="auto"/>
        <w:bottom w:val="none" w:sz="0" w:space="0" w:color="auto"/>
        <w:right w:val="none" w:sz="0" w:space="0" w:color="auto"/>
      </w:divBdr>
    </w:div>
    <w:div w:id="727723654">
      <w:bodyDiv w:val="1"/>
      <w:marLeft w:val="0"/>
      <w:marRight w:val="0"/>
      <w:marTop w:val="0"/>
      <w:marBottom w:val="0"/>
      <w:divBdr>
        <w:top w:val="none" w:sz="0" w:space="0" w:color="auto"/>
        <w:left w:val="none" w:sz="0" w:space="0" w:color="auto"/>
        <w:bottom w:val="none" w:sz="0" w:space="0" w:color="auto"/>
        <w:right w:val="none" w:sz="0" w:space="0" w:color="auto"/>
      </w:divBdr>
    </w:div>
    <w:div w:id="842284287">
      <w:bodyDiv w:val="1"/>
      <w:marLeft w:val="0"/>
      <w:marRight w:val="0"/>
      <w:marTop w:val="0"/>
      <w:marBottom w:val="0"/>
      <w:divBdr>
        <w:top w:val="none" w:sz="0" w:space="0" w:color="auto"/>
        <w:left w:val="none" w:sz="0" w:space="0" w:color="auto"/>
        <w:bottom w:val="none" w:sz="0" w:space="0" w:color="auto"/>
        <w:right w:val="none" w:sz="0" w:space="0" w:color="auto"/>
      </w:divBdr>
    </w:div>
    <w:div w:id="869492132">
      <w:bodyDiv w:val="1"/>
      <w:marLeft w:val="0"/>
      <w:marRight w:val="0"/>
      <w:marTop w:val="0"/>
      <w:marBottom w:val="0"/>
      <w:divBdr>
        <w:top w:val="none" w:sz="0" w:space="0" w:color="auto"/>
        <w:left w:val="none" w:sz="0" w:space="0" w:color="auto"/>
        <w:bottom w:val="none" w:sz="0" w:space="0" w:color="auto"/>
        <w:right w:val="none" w:sz="0" w:space="0" w:color="auto"/>
      </w:divBdr>
    </w:div>
    <w:div w:id="977342918">
      <w:bodyDiv w:val="1"/>
      <w:marLeft w:val="0"/>
      <w:marRight w:val="0"/>
      <w:marTop w:val="0"/>
      <w:marBottom w:val="0"/>
      <w:divBdr>
        <w:top w:val="none" w:sz="0" w:space="0" w:color="auto"/>
        <w:left w:val="none" w:sz="0" w:space="0" w:color="auto"/>
        <w:bottom w:val="none" w:sz="0" w:space="0" w:color="auto"/>
        <w:right w:val="none" w:sz="0" w:space="0" w:color="auto"/>
      </w:divBdr>
      <w:divsChild>
        <w:div w:id="1871607947">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369451">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226876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5198603">
      <w:bodyDiv w:val="1"/>
      <w:marLeft w:val="0"/>
      <w:marRight w:val="0"/>
      <w:marTop w:val="0"/>
      <w:marBottom w:val="0"/>
      <w:divBdr>
        <w:top w:val="none" w:sz="0" w:space="0" w:color="auto"/>
        <w:left w:val="none" w:sz="0" w:space="0" w:color="auto"/>
        <w:bottom w:val="none" w:sz="0" w:space="0" w:color="auto"/>
        <w:right w:val="none" w:sz="0" w:space="0" w:color="auto"/>
      </w:divBdr>
      <w:divsChild>
        <w:div w:id="1129712269">
          <w:marLeft w:val="0"/>
          <w:marRight w:val="0"/>
          <w:marTop w:val="0"/>
          <w:marBottom w:val="0"/>
          <w:divBdr>
            <w:top w:val="none" w:sz="0" w:space="0" w:color="auto"/>
            <w:left w:val="none" w:sz="0" w:space="0" w:color="auto"/>
            <w:bottom w:val="none" w:sz="0" w:space="0" w:color="auto"/>
            <w:right w:val="none" w:sz="0" w:space="0" w:color="auto"/>
          </w:divBdr>
        </w:div>
      </w:divsChild>
    </w:div>
    <w:div w:id="1560508771">
      <w:bodyDiv w:val="1"/>
      <w:marLeft w:val="0"/>
      <w:marRight w:val="0"/>
      <w:marTop w:val="0"/>
      <w:marBottom w:val="0"/>
      <w:divBdr>
        <w:top w:val="none" w:sz="0" w:space="0" w:color="auto"/>
        <w:left w:val="none" w:sz="0" w:space="0" w:color="auto"/>
        <w:bottom w:val="none" w:sz="0" w:space="0" w:color="auto"/>
        <w:right w:val="none" w:sz="0" w:space="0" w:color="auto"/>
      </w:divBdr>
    </w:div>
    <w:div w:id="1594245084">
      <w:bodyDiv w:val="1"/>
      <w:marLeft w:val="0"/>
      <w:marRight w:val="0"/>
      <w:marTop w:val="0"/>
      <w:marBottom w:val="0"/>
      <w:divBdr>
        <w:top w:val="none" w:sz="0" w:space="0" w:color="auto"/>
        <w:left w:val="none" w:sz="0" w:space="0" w:color="auto"/>
        <w:bottom w:val="none" w:sz="0" w:space="0" w:color="auto"/>
        <w:right w:val="none" w:sz="0" w:space="0" w:color="auto"/>
      </w:divBdr>
    </w:div>
    <w:div w:id="1701276836">
      <w:bodyDiv w:val="1"/>
      <w:marLeft w:val="0"/>
      <w:marRight w:val="0"/>
      <w:marTop w:val="0"/>
      <w:marBottom w:val="0"/>
      <w:divBdr>
        <w:top w:val="none" w:sz="0" w:space="0" w:color="auto"/>
        <w:left w:val="none" w:sz="0" w:space="0" w:color="auto"/>
        <w:bottom w:val="none" w:sz="0" w:space="0" w:color="auto"/>
        <w:right w:val="none" w:sz="0" w:space="0" w:color="auto"/>
      </w:divBdr>
    </w:div>
    <w:div w:id="1704551795">
      <w:bodyDiv w:val="1"/>
      <w:marLeft w:val="0"/>
      <w:marRight w:val="0"/>
      <w:marTop w:val="0"/>
      <w:marBottom w:val="0"/>
      <w:divBdr>
        <w:top w:val="none" w:sz="0" w:space="0" w:color="auto"/>
        <w:left w:val="none" w:sz="0" w:space="0" w:color="auto"/>
        <w:bottom w:val="none" w:sz="0" w:space="0" w:color="auto"/>
        <w:right w:val="none" w:sz="0" w:space="0" w:color="auto"/>
      </w:divBdr>
    </w:div>
    <w:div w:id="1725375583">
      <w:bodyDiv w:val="1"/>
      <w:marLeft w:val="0"/>
      <w:marRight w:val="0"/>
      <w:marTop w:val="0"/>
      <w:marBottom w:val="0"/>
      <w:divBdr>
        <w:top w:val="none" w:sz="0" w:space="0" w:color="auto"/>
        <w:left w:val="none" w:sz="0" w:space="0" w:color="auto"/>
        <w:bottom w:val="none" w:sz="0" w:space="0" w:color="auto"/>
        <w:right w:val="none" w:sz="0" w:space="0" w:color="auto"/>
      </w:divBdr>
      <w:divsChild>
        <w:div w:id="1217820545">
          <w:marLeft w:val="0"/>
          <w:marRight w:val="0"/>
          <w:marTop w:val="0"/>
          <w:marBottom w:val="0"/>
          <w:divBdr>
            <w:top w:val="none" w:sz="0" w:space="0" w:color="auto"/>
            <w:left w:val="none" w:sz="0" w:space="0" w:color="auto"/>
            <w:bottom w:val="none" w:sz="0" w:space="0" w:color="auto"/>
            <w:right w:val="none" w:sz="0" w:space="0" w:color="auto"/>
          </w:divBdr>
        </w:div>
      </w:divsChild>
    </w:div>
    <w:div w:id="1734351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7668471">
      <w:bodyDiv w:val="1"/>
      <w:marLeft w:val="0"/>
      <w:marRight w:val="0"/>
      <w:marTop w:val="0"/>
      <w:marBottom w:val="0"/>
      <w:divBdr>
        <w:top w:val="none" w:sz="0" w:space="0" w:color="auto"/>
        <w:left w:val="none" w:sz="0" w:space="0" w:color="auto"/>
        <w:bottom w:val="none" w:sz="0" w:space="0" w:color="auto"/>
        <w:right w:val="none" w:sz="0" w:space="0" w:color="auto"/>
      </w:divBdr>
    </w:div>
    <w:div w:id="1888175757">
      <w:bodyDiv w:val="1"/>
      <w:marLeft w:val="0"/>
      <w:marRight w:val="0"/>
      <w:marTop w:val="0"/>
      <w:marBottom w:val="0"/>
      <w:divBdr>
        <w:top w:val="none" w:sz="0" w:space="0" w:color="auto"/>
        <w:left w:val="none" w:sz="0" w:space="0" w:color="auto"/>
        <w:bottom w:val="none" w:sz="0" w:space="0" w:color="auto"/>
        <w:right w:val="none" w:sz="0" w:space="0" w:color="auto"/>
      </w:divBdr>
    </w:div>
    <w:div w:id="1895460584">
      <w:bodyDiv w:val="1"/>
      <w:marLeft w:val="0"/>
      <w:marRight w:val="0"/>
      <w:marTop w:val="0"/>
      <w:marBottom w:val="0"/>
      <w:divBdr>
        <w:top w:val="none" w:sz="0" w:space="0" w:color="auto"/>
        <w:left w:val="none" w:sz="0" w:space="0" w:color="auto"/>
        <w:bottom w:val="none" w:sz="0" w:space="0" w:color="auto"/>
        <w:right w:val="none" w:sz="0" w:space="0" w:color="auto"/>
      </w:divBdr>
    </w:div>
    <w:div w:id="1957171753">
      <w:bodyDiv w:val="1"/>
      <w:marLeft w:val="0"/>
      <w:marRight w:val="0"/>
      <w:marTop w:val="0"/>
      <w:marBottom w:val="0"/>
      <w:divBdr>
        <w:top w:val="none" w:sz="0" w:space="0" w:color="auto"/>
        <w:left w:val="none" w:sz="0" w:space="0" w:color="auto"/>
        <w:bottom w:val="none" w:sz="0" w:space="0" w:color="auto"/>
        <w:right w:val="none" w:sz="0" w:space="0" w:color="auto"/>
      </w:divBdr>
    </w:div>
    <w:div w:id="19656966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2104201">
      <w:bodyDiv w:val="1"/>
      <w:marLeft w:val="0"/>
      <w:marRight w:val="0"/>
      <w:marTop w:val="0"/>
      <w:marBottom w:val="0"/>
      <w:divBdr>
        <w:top w:val="none" w:sz="0" w:space="0" w:color="auto"/>
        <w:left w:val="none" w:sz="0" w:space="0" w:color="auto"/>
        <w:bottom w:val="none" w:sz="0" w:space="0" w:color="auto"/>
        <w:right w:val="none" w:sz="0" w:space="0" w:color="auto"/>
      </w:divBdr>
      <w:divsChild>
        <w:div w:id="233902779">
          <w:marLeft w:val="0"/>
          <w:marRight w:val="0"/>
          <w:marTop w:val="0"/>
          <w:marBottom w:val="0"/>
          <w:divBdr>
            <w:top w:val="none" w:sz="0" w:space="0" w:color="auto"/>
            <w:left w:val="none" w:sz="0" w:space="0" w:color="auto"/>
            <w:bottom w:val="none" w:sz="0" w:space="0" w:color="auto"/>
            <w:right w:val="none" w:sz="0" w:space="0" w:color="auto"/>
          </w:divBdr>
        </w:div>
      </w:divsChild>
    </w:div>
    <w:div w:id="2038464217">
      <w:bodyDiv w:val="1"/>
      <w:marLeft w:val="0"/>
      <w:marRight w:val="0"/>
      <w:marTop w:val="0"/>
      <w:marBottom w:val="0"/>
      <w:divBdr>
        <w:top w:val="none" w:sz="0" w:space="0" w:color="auto"/>
        <w:left w:val="none" w:sz="0" w:space="0" w:color="auto"/>
        <w:bottom w:val="none" w:sz="0" w:space="0" w:color="auto"/>
        <w:right w:val="none" w:sz="0" w:space="0" w:color="auto"/>
      </w:divBdr>
      <w:divsChild>
        <w:div w:id="2031562481">
          <w:marLeft w:val="0"/>
          <w:marRight w:val="0"/>
          <w:marTop w:val="0"/>
          <w:marBottom w:val="0"/>
          <w:divBdr>
            <w:top w:val="none" w:sz="0" w:space="0" w:color="auto"/>
            <w:left w:val="none" w:sz="0" w:space="0" w:color="auto"/>
            <w:bottom w:val="none" w:sz="0" w:space="0" w:color="auto"/>
            <w:right w:val="none" w:sz="0" w:space="0" w:color="auto"/>
          </w:divBdr>
        </w:div>
      </w:divsChild>
    </w:div>
    <w:div w:id="206675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5871-28C9-4D70-B6DD-5D5E8891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11</Pages>
  <Words>4858</Words>
  <Characters>27692</Characters>
  <Application>Microsoft Office Word</Application>
  <DocSecurity>0</DocSecurity>
  <Lines>230</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32486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17</cp:revision>
  <cp:lastPrinted>1999-07-06T11:00:00Z</cp:lastPrinted>
  <dcterms:created xsi:type="dcterms:W3CDTF">2026-03-06T17:06:00Z</dcterms:created>
  <dcterms:modified xsi:type="dcterms:W3CDTF">2026-03-24T11:51:00Z</dcterms:modified>
</cp:coreProperties>
</file>