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7F8A" w14:textId="7192D570" w:rsidR="00771536" w:rsidRPr="002C027E" w:rsidRDefault="00771536" w:rsidP="002C027E">
      <w:pPr>
        <w:spacing w:line="240" w:lineRule="auto"/>
        <w:jc w:val="right"/>
        <w:rPr>
          <w:rFonts w:ascii="Arial" w:hAnsi="Arial" w:cs="Arial"/>
          <w:b/>
          <w:bCs/>
          <w:sz w:val="36"/>
          <w:szCs w:val="36"/>
        </w:rPr>
      </w:pPr>
      <w:proofErr w:type="spellStart"/>
      <w:r w:rsidRPr="002C027E">
        <w:rPr>
          <w:rFonts w:ascii="Arial" w:hAnsi="Arial" w:cs="Arial"/>
          <w:b/>
          <w:bCs/>
          <w:sz w:val="36"/>
          <w:szCs w:val="36"/>
        </w:rPr>
        <w:t>Refractance</w:t>
      </w:r>
      <w:proofErr w:type="spellEnd"/>
      <w:r w:rsidRPr="002C027E">
        <w:rPr>
          <w:rFonts w:ascii="Arial" w:hAnsi="Arial" w:cs="Arial"/>
          <w:b/>
          <w:bCs/>
          <w:sz w:val="36"/>
          <w:szCs w:val="36"/>
        </w:rPr>
        <w:t xml:space="preserve"> </w:t>
      </w:r>
      <w:r w:rsidR="002D50E0" w:rsidRPr="002C027E">
        <w:rPr>
          <w:rFonts w:ascii="Arial" w:hAnsi="Arial" w:cs="Arial"/>
          <w:b/>
          <w:bCs/>
          <w:sz w:val="36"/>
          <w:szCs w:val="36"/>
        </w:rPr>
        <w:t>W</w:t>
      </w:r>
      <w:r w:rsidRPr="002C027E">
        <w:rPr>
          <w:rFonts w:ascii="Arial" w:hAnsi="Arial" w:cs="Arial"/>
          <w:b/>
          <w:bCs/>
          <w:sz w:val="36"/>
          <w:szCs w:val="36"/>
        </w:rPr>
        <w:t xml:space="preserve">indow </w:t>
      </w:r>
      <w:r w:rsidR="002D50E0" w:rsidRPr="002C027E">
        <w:rPr>
          <w:rFonts w:ascii="Arial" w:hAnsi="Arial" w:cs="Arial"/>
          <w:b/>
          <w:bCs/>
          <w:sz w:val="36"/>
          <w:szCs w:val="36"/>
        </w:rPr>
        <w:t>D</w:t>
      </w:r>
      <w:r w:rsidRPr="002C027E">
        <w:rPr>
          <w:rFonts w:ascii="Arial" w:hAnsi="Arial" w:cs="Arial"/>
          <w:b/>
          <w:bCs/>
          <w:sz w:val="36"/>
          <w:szCs w:val="36"/>
        </w:rPr>
        <w:t xml:space="preserve">rying of </w:t>
      </w:r>
      <w:r w:rsidR="002D50E0" w:rsidRPr="002C027E">
        <w:rPr>
          <w:rFonts w:ascii="Arial" w:hAnsi="Arial" w:cs="Arial"/>
          <w:b/>
          <w:bCs/>
          <w:sz w:val="36"/>
          <w:szCs w:val="36"/>
        </w:rPr>
        <w:t>N</w:t>
      </w:r>
      <w:r w:rsidRPr="002C027E">
        <w:rPr>
          <w:rFonts w:ascii="Arial" w:hAnsi="Arial" w:cs="Arial"/>
          <w:b/>
          <w:bCs/>
          <w:sz w:val="36"/>
          <w:szCs w:val="36"/>
        </w:rPr>
        <w:t>utmeg mace: Drying kinetics and Quality Characteristics in comparison with Hot-air drying</w:t>
      </w:r>
    </w:p>
    <w:p w14:paraId="408C4F55" w14:textId="77777777" w:rsidR="00027AE0" w:rsidRDefault="00027AE0" w:rsidP="009501AC">
      <w:pPr>
        <w:spacing w:line="360" w:lineRule="auto"/>
        <w:jc w:val="both"/>
        <w:rPr>
          <w:rFonts w:ascii="Arial" w:hAnsi="Arial" w:cs="Arial"/>
          <w:b/>
          <w:bCs/>
          <w:sz w:val="22"/>
          <w:szCs w:val="22"/>
        </w:rPr>
      </w:pPr>
    </w:p>
    <w:p w14:paraId="7D025B6D" w14:textId="321A9329" w:rsidR="009501AC" w:rsidRPr="002C027E" w:rsidRDefault="002C027E" w:rsidP="009501AC">
      <w:pPr>
        <w:spacing w:line="360" w:lineRule="auto"/>
        <w:jc w:val="both"/>
        <w:rPr>
          <w:rFonts w:ascii="Arial" w:hAnsi="Arial" w:cs="Arial"/>
          <w:b/>
          <w:bCs/>
          <w:sz w:val="22"/>
          <w:szCs w:val="22"/>
        </w:rPr>
      </w:pPr>
      <w:r w:rsidRPr="002C027E">
        <w:rPr>
          <w:rFonts w:ascii="Arial" w:hAnsi="Arial" w:cs="Arial"/>
          <w:b/>
          <w:bCs/>
          <w:sz w:val="22"/>
          <w:szCs w:val="22"/>
        </w:rPr>
        <w:t>ABSTRACT</w:t>
      </w:r>
    </w:p>
    <w:p w14:paraId="32CD6186" w14:textId="2D71ACE3" w:rsidR="00771536" w:rsidRPr="002C027E" w:rsidRDefault="00771536" w:rsidP="009501AC">
      <w:pPr>
        <w:spacing w:line="360" w:lineRule="auto"/>
        <w:jc w:val="both"/>
        <w:rPr>
          <w:rFonts w:ascii="Arial" w:hAnsi="Arial" w:cs="Arial"/>
        </w:rPr>
      </w:pPr>
      <w:r w:rsidRPr="002C027E">
        <w:rPr>
          <w:rFonts w:ascii="Arial" w:hAnsi="Arial" w:cs="Arial"/>
          <w:sz w:val="20"/>
          <w:szCs w:val="20"/>
        </w:rPr>
        <w:t>This study investigated the drying kinetics, mass transfer characteristics and quality attributes of nutmeg mace (</w:t>
      </w:r>
      <w:r w:rsidRPr="002C027E">
        <w:rPr>
          <w:rFonts w:ascii="Arial" w:hAnsi="Arial" w:cs="Arial"/>
          <w:i/>
          <w:iCs/>
          <w:sz w:val="20"/>
          <w:szCs w:val="20"/>
        </w:rPr>
        <w:t>Myristica fragrans</w:t>
      </w:r>
      <w:r w:rsidRPr="002C027E">
        <w:rPr>
          <w:rFonts w:ascii="Arial" w:hAnsi="Arial" w:cs="Arial"/>
          <w:sz w:val="20"/>
          <w:szCs w:val="20"/>
        </w:rPr>
        <w:t xml:space="preserve"> </w:t>
      </w:r>
      <w:proofErr w:type="spellStart"/>
      <w:r w:rsidRPr="002C027E">
        <w:rPr>
          <w:rFonts w:ascii="Arial" w:hAnsi="Arial" w:cs="Arial"/>
          <w:sz w:val="20"/>
          <w:szCs w:val="20"/>
        </w:rPr>
        <w:t>Houtt</w:t>
      </w:r>
      <w:proofErr w:type="spellEnd"/>
      <w:r w:rsidRPr="002C027E">
        <w:rPr>
          <w:rFonts w:ascii="Arial" w:hAnsi="Arial" w:cs="Arial"/>
          <w:sz w:val="20"/>
          <w:szCs w:val="20"/>
        </w:rPr>
        <w:t xml:space="preserve">.) dried using </w:t>
      </w:r>
      <w:proofErr w:type="spellStart"/>
      <w:r w:rsidRPr="002C027E">
        <w:rPr>
          <w:rFonts w:ascii="Arial" w:hAnsi="Arial" w:cs="Arial"/>
          <w:sz w:val="20"/>
          <w:szCs w:val="20"/>
        </w:rPr>
        <w:t>Refractance</w:t>
      </w:r>
      <w:proofErr w:type="spellEnd"/>
      <w:r w:rsidRPr="002C027E">
        <w:rPr>
          <w:rFonts w:ascii="Arial" w:hAnsi="Arial" w:cs="Arial"/>
          <w:sz w:val="20"/>
          <w:szCs w:val="20"/>
        </w:rPr>
        <w:t xml:space="preserve"> window drying (RWD) in comparison with conventional hot-air drying (HAD). </w:t>
      </w:r>
      <w:proofErr w:type="spellStart"/>
      <w:r w:rsidRPr="002C027E">
        <w:rPr>
          <w:rFonts w:ascii="Arial" w:hAnsi="Arial" w:cs="Arial"/>
          <w:sz w:val="20"/>
          <w:szCs w:val="20"/>
        </w:rPr>
        <w:t>Refractance</w:t>
      </w:r>
      <w:proofErr w:type="spellEnd"/>
      <w:r w:rsidRPr="002C027E">
        <w:rPr>
          <w:rFonts w:ascii="Arial" w:hAnsi="Arial" w:cs="Arial"/>
          <w:sz w:val="20"/>
          <w:szCs w:val="20"/>
        </w:rPr>
        <w:t xml:space="preserve"> window drying exhibited faster moisture removal and a higher effective moisture diffusivity (4.76 × 10</w:t>
      </w:r>
      <w:r w:rsidRPr="002C027E">
        <w:rPr>
          <w:rFonts w:ascii="Cambria Math" w:hAnsi="Cambria Math" w:cs="Cambria Math"/>
          <w:sz w:val="20"/>
          <w:szCs w:val="20"/>
        </w:rPr>
        <w:t>⁻</w:t>
      </w:r>
      <w:r w:rsidRPr="002C027E">
        <w:rPr>
          <w:rFonts w:ascii="Arial" w:hAnsi="Arial" w:cs="Arial"/>
          <w:sz w:val="20"/>
          <w:szCs w:val="20"/>
        </w:rPr>
        <w:t>⁸ m² s</w:t>
      </w:r>
      <w:r w:rsidRPr="002C027E">
        <w:rPr>
          <w:rFonts w:ascii="Cambria Math" w:hAnsi="Cambria Math" w:cs="Cambria Math"/>
          <w:sz w:val="20"/>
          <w:szCs w:val="20"/>
        </w:rPr>
        <w:t>⁻</w:t>
      </w:r>
      <w:r w:rsidRPr="002C027E">
        <w:rPr>
          <w:rFonts w:ascii="Arial" w:hAnsi="Arial" w:cs="Arial"/>
          <w:sz w:val="20"/>
          <w:szCs w:val="20"/>
        </w:rPr>
        <w:t>¹) than hot-air drying (4.56 × 10</w:t>
      </w:r>
      <w:r w:rsidRPr="002C027E">
        <w:rPr>
          <w:rFonts w:ascii="Cambria Math" w:hAnsi="Cambria Math" w:cs="Cambria Math"/>
          <w:sz w:val="20"/>
          <w:szCs w:val="20"/>
        </w:rPr>
        <w:t>⁻</w:t>
      </w:r>
      <w:r w:rsidRPr="002C027E">
        <w:rPr>
          <w:rFonts w:ascii="Arial" w:hAnsi="Arial" w:cs="Arial"/>
          <w:sz w:val="20"/>
          <w:szCs w:val="20"/>
        </w:rPr>
        <w:t>⁸ m² s</w:t>
      </w:r>
      <w:r w:rsidRPr="002C027E">
        <w:rPr>
          <w:rFonts w:ascii="Cambria Math" w:hAnsi="Cambria Math" w:cs="Cambria Math"/>
          <w:sz w:val="20"/>
          <w:szCs w:val="20"/>
        </w:rPr>
        <w:t>⁻</w:t>
      </w:r>
      <w:r w:rsidRPr="002C027E">
        <w:rPr>
          <w:rFonts w:ascii="Arial" w:hAnsi="Arial" w:cs="Arial"/>
          <w:sz w:val="20"/>
          <w:szCs w:val="20"/>
        </w:rPr>
        <w:t xml:space="preserve">¹). Moisture removal under both drying conditions occurred predominantly in the falling-rate period. Among the thin-layer drying models evaluated, the logarithmic model provided the best fit to the experimental moisture ratio data for both RWD and HAD. In addition, RWD yielded dried nutmeg mace with lower water activity (0.50), superior retention of the characteristic red colour and higher total phenolic content (14.26) compared with hot-air drying. The findings demonstrate that </w:t>
      </w:r>
      <w:proofErr w:type="spellStart"/>
      <w:r w:rsidRPr="002C027E">
        <w:rPr>
          <w:rFonts w:ascii="Arial" w:hAnsi="Arial" w:cs="Arial"/>
          <w:sz w:val="20"/>
          <w:szCs w:val="20"/>
        </w:rPr>
        <w:t>refractance</w:t>
      </w:r>
      <w:proofErr w:type="spellEnd"/>
      <w:r w:rsidRPr="002C027E">
        <w:rPr>
          <w:rFonts w:ascii="Arial" w:hAnsi="Arial" w:cs="Arial"/>
          <w:sz w:val="20"/>
          <w:szCs w:val="20"/>
        </w:rPr>
        <w:t xml:space="preserve"> window drying is an effective low-temperature dehydration technique for improving drying efficiency and preserving quality attributes of high-value nutmeg mace</w:t>
      </w:r>
      <w:r w:rsidRPr="002C027E">
        <w:rPr>
          <w:rFonts w:ascii="Arial" w:hAnsi="Arial" w:cs="Arial"/>
        </w:rPr>
        <w:t>.</w:t>
      </w:r>
    </w:p>
    <w:p w14:paraId="32E873D3" w14:textId="77777777" w:rsidR="00110353" w:rsidRPr="002C027E" w:rsidRDefault="00771536" w:rsidP="002C027E">
      <w:pPr>
        <w:jc w:val="both"/>
        <w:rPr>
          <w:rFonts w:ascii="Arial" w:hAnsi="Arial" w:cs="Arial"/>
          <w:i/>
          <w:iCs/>
          <w:sz w:val="20"/>
          <w:szCs w:val="20"/>
        </w:rPr>
      </w:pPr>
      <w:r w:rsidRPr="002C027E">
        <w:rPr>
          <w:rFonts w:ascii="Arial" w:hAnsi="Arial" w:cs="Arial"/>
          <w:b/>
          <w:bCs/>
          <w:i/>
          <w:iCs/>
          <w:sz w:val="20"/>
          <w:szCs w:val="20"/>
        </w:rPr>
        <w:t>Keywords:</w:t>
      </w:r>
      <w:r w:rsidRPr="002C027E">
        <w:rPr>
          <w:rFonts w:ascii="Arial" w:hAnsi="Arial" w:cs="Arial"/>
          <w:i/>
          <w:iCs/>
          <w:sz w:val="20"/>
          <w:szCs w:val="20"/>
        </w:rPr>
        <w:t xml:space="preserve"> </w:t>
      </w:r>
      <w:proofErr w:type="spellStart"/>
      <w:r w:rsidRPr="002C027E">
        <w:rPr>
          <w:rFonts w:ascii="Arial" w:hAnsi="Arial" w:cs="Arial"/>
          <w:i/>
          <w:iCs/>
          <w:sz w:val="20"/>
          <w:szCs w:val="20"/>
        </w:rPr>
        <w:t>Refractance</w:t>
      </w:r>
      <w:proofErr w:type="spellEnd"/>
      <w:r w:rsidRPr="002C027E">
        <w:rPr>
          <w:rFonts w:ascii="Arial" w:hAnsi="Arial" w:cs="Arial"/>
          <w:i/>
          <w:iCs/>
          <w:sz w:val="20"/>
          <w:szCs w:val="20"/>
        </w:rPr>
        <w:t xml:space="preserve"> window drying; </w:t>
      </w:r>
      <w:r w:rsidR="00110353" w:rsidRPr="002C027E">
        <w:rPr>
          <w:rFonts w:ascii="Arial" w:hAnsi="Arial" w:cs="Arial"/>
          <w:i/>
          <w:iCs/>
          <w:sz w:val="20"/>
          <w:szCs w:val="20"/>
        </w:rPr>
        <w:t>N</w:t>
      </w:r>
      <w:r w:rsidRPr="002C027E">
        <w:rPr>
          <w:rFonts w:ascii="Arial" w:hAnsi="Arial" w:cs="Arial"/>
          <w:i/>
          <w:iCs/>
          <w:sz w:val="20"/>
          <w:szCs w:val="20"/>
        </w:rPr>
        <w:t xml:space="preserve">utmeg mace; </w:t>
      </w:r>
      <w:r w:rsidR="00110353" w:rsidRPr="002C027E">
        <w:rPr>
          <w:rFonts w:ascii="Arial" w:hAnsi="Arial" w:cs="Arial"/>
          <w:i/>
          <w:iCs/>
          <w:sz w:val="20"/>
          <w:szCs w:val="20"/>
        </w:rPr>
        <w:t>D</w:t>
      </w:r>
      <w:r w:rsidRPr="002C027E">
        <w:rPr>
          <w:rFonts w:ascii="Arial" w:hAnsi="Arial" w:cs="Arial"/>
          <w:i/>
          <w:iCs/>
          <w:sz w:val="20"/>
          <w:szCs w:val="20"/>
        </w:rPr>
        <w:t xml:space="preserve">rying kinetics; </w:t>
      </w:r>
      <w:r w:rsidR="00110353" w:rsidRPr="002C027E">
        <w:rPr>
          <w:rFonts w:ascii="Arial" w:hAnsi="Arial" w:cs="Arial"/>
          <w:i/>
          <w:iCs/>
          <w:sz w:val="20"/>
          <w:szCs w:val="20"/>
        </w:rPr>
        <w:t>E</w:t>
      </w:r>
      <w:r w:rsidRPr="002C027E">
        <w:rPr>
          <w:rFonts w:ascii="Arial" w:hAnsi="Arial" w:cs="Arial"/>
          <w:i/>
          <w:iCs/>
          <w:sz w:val="20"/>
          <w:szCs w:val="20"/>
        </w:rPr>
        <w:t xml:space="preserve">ffective moisture diffusivity; </w:t>
      </w:r>
      <w:r w:rsidR="00110353" w:rsidRPr="002C027E">
        <w:rPr>
          <w:rFonts w:ascii="Arial" w:hAnsi="Arial" w:cs="Arial"/>
          <w:i/>
          <w:iCs/>
          <w:sz w:val="20"/>
          <w:szCs w:val="20"/>
        </w:rPr>
        <w:t>T</w:t>
      </w:r>
      <w:r w:rsidRPr="002C027E">
        <w:rPr>
          <w:rFonts w:ascii="Arial" w:hAnsi="Arial" w:cs="Arial"/>
          <w:i/>
          <w:iCs/>
          <w:sz w:val="20"/>
          <w:szCs w:val="20"/>
        </w:rPr>
        <w:t>hin-layer modelling; hot-air drying</w:t>
      </w:r>
    </w:p>
    <w:p w14:paraId="738D9EA2" w14:textId="550DA0EF" w:rsidR="00110353" w:rsidRPr="002C027E" w:rsidRDefault="002C027E" w:rsidP="00771536">
      <w:pPr>
        <w:rPr>
          <w:rFonts w:ascii="Arial" w:hAnsi="Arial" w:cs="Arial"/>
          <w:b/>
          <w:bCs/>
          <w:sz w:val="22"/>
          <w:szCs w:val="22"/>
        </w:rPr>
      </w:pPr>
      <w:r w:rsidRPr="002C027E">
        <w:rPr>
          <w:rFonts w:ascii="Arial" w:hAnsi="Arial" w:cs="Arial"/>
          <w:b/>
          <w:bCs/>
          <w:sz w:val="22"/>
          <w:szCs w:val="22"/>
        </w:rPr>
        <w:t>1. INTRODUCTION</w:t>
      </w:r>
    </w:p>
    <w:p w14:paraId="6CD118A2" w14:textId="7DEA2C4B" w:rsidR="000339F1" w:rsidRPr="002C027E" w:rsidRDefault="000339F1" w:rsidP="00B56144">
      <w:pPr>
        <w:spacing w:line="360" w:lineRule="auto"/>
        <w:jc w:val="both"/>
        <w:rPr>
          <w:rFonts w:ascii="Arial" w:hAnsi="Arial" w:cs="Arial"/>
          <w:sz w:val="20"/>
          <w:szCs w:val="20"/>
        </w:rPr>
      </w:pPr>
      <w:r w:rsidRPr="002C027E">
        <w:rPr>
          <w:rFonts w:ascii="Arial" w:hAnsi="Arial" w:cs="Arial"/>
          <w:sz w:val="20"/>
          <w:szCs w:val="20"/>
        </w:rPr>
        <w:t xml:space="preserve">Nutmeg mace is the red, fleshy, lobed and net-like aril that envelops the albuminous seed of </w:t>
      </w:r>
      <w:r w:rsidRPr="002C027E">
        <w:rPr>
          <w:rFonts w:ascii="Arial" w:hAnsi="Arial" w:cs="Arial"/>
          <w:i/>
          <w:iCs/>
          <w:sz w:val="20"/>
          <w:szCs w:val="20"/>
        </w:rPr>
        <w:t xml:space="preserve">Myristica fragrans </w:t>
      </w:r>
      <w:proofErr w:type="spellStart"/>
      <w:r w:rsidRPr="002C027E">
        <w:rPr>
          <w:rFonts w:ascii="Arial" w:hAnsi="Arial" w:cs="Arial"/>
          <w:i/>
          <w:iCs/>
          <w:sz w:val="20"/>
          <w:szCs w:val="20"/>
        </w:rPr>
        <w:t>Houtt</w:t>
      </w:r>
      <w:proofErr w:type="spellEnd"/>
      <w:r w:rsidRPr="002C027E">
        <w:rPr>
          <w:rFonts w:ascii="Arial" w:hAnsi="Arial" w:cs="Arial"/>
          <w:sz w:val="20"/>
          <w:szCs w:val="20"/>
        </w:rPr>
        <w:t>. As one of the two principal primary products of the nutmeg fruit, mace is a high-value commercial spice with considerable economic importance in the global market. The commercial grade and market value of mace are predominantly determined by its distinctive aroma and colour, which are mainly associated with the presence of lycopene and related pigment compounds. In addition, mace contains a markedly higher proportion of fragrance-defining carbazole alkaloids compared with nutmeg seed, thereby contributing significantly to its superior aromatic quality and commercial preference (</w:t>
      </w:r>
      <w:proofErr w:type="spellStart"/>
      <w:r w:rsidRPr="002C027E">
        <w:rPr>
          <w:rFonts w:ascii="Arial" w:hAnsi="Arial" w:cs="Arial"/>
          <w:sz w:val="20"/>
          <w:szCs w:val="20"/>
        </w:rPr>
        <w:t>Elfia</w:t>
      </w:r>
      <w:proofErr w:type="spellEnd"/>
      <w:r w:rsidRPr="002C027E">
        <w:rPr>
          <w:rFonts w:ascii="Arial" w:hAnsi="Arial" w:cs="Arial"/>
          <w:sz w:val="20"/>
          <w:szCs w:val="20"/>
        </w:rPr>
        <w:t xml:space="preserve"> and Susilo, 2023).</w:t>
      </w:r>
    </w:p>
    <w:p w14:paraId="3524A38F" w14:textId="77843CAD" w:rsidR="000339F1" w:rsidRPr="002C027E" w:rsidRDefault="000339F1" w:rsidP="00B56144">
      <w:pPr>
        <w:spacing w:line="360" w:lineRule="auto"/>
        <w:jc w:val="both"/>
        <w:rPr>
          <w:rFonts w:ascii="Arial" w:hAnsi="Arial" w:cs="Arial"/>
          <w:sz w:val="20"/>
          <w:szCs w:val="20"/>
        </w:rPr>
      </w:pPr>
      <w:r w:rsidRPr="002C027E">
        <w:rPr>
          <w:rFonts w:ascii="Arial" w:hAnsi="Arial" w:cs="Arial"/>
          <w:sz w:val="20"/>
          <w:szCs w:val="20"/>
        </w:rPr>
        <w:t>Nutmeg mace possesses substantial pharmaceutical and medicinal relevance due to its richness in bioactive secondary metabolites, particularly essential oil constituents such as myristicin, elemicin and several lignans. It is extensively used in traditional systems of medicine for the treatment of gastrointestinal disorders. Contemporary pharmacological studies have demonstrated that mace extracts exhibit antioxidant, anti-inflammatory, antimicrobial and neuroprotective activities and have also shown potential as broad-spectrum anticancer agents. In addition to its therapeutic applications, nutmeg mace has gained increasing attention for advanced technological uses, including the green synthesis of silver nanoparticles for agrochemical and biomedical applications (Ullagaddi, 2025).</w:t>
      </w:r>
    </w:p>
    <w:p w14:paraId="7182EEB2" w14:textId="183472C1" w:rsidR="000339F1" w:rsidRPr="002C027E" w:rsidRDefault="000339F1" w:rsidP="00B56144">
      <w:pPr>
        <w:spacing w:line="360" w:lineRule="auto"/>
        <w:jc w:val="both"/>
        <w:rPr>
          <w:rFonts w:ascii="Arial" w:hAnsi="Arial" w:cs="Arial"/>
          <w:sz w:val="20"/>
          <w:szCs w:val="20"/>
        </w:rPr>
      </w:pPr>
      <w:r w:rsidRPr="002C027E">
        <w:rPr>
          <w:rFonts w:ascii="Arial" w:hAnsi="Arial" w:cs="Arial"/>
          <w:sz w:val="20"/>
          <w:szCs w:val="20"/>
        </w:rPr>
        <w:lastRenderedPageBreak/>
        <w:t>From a processing and industrial perspective, nutmeg mace constitutes an important raw material for the extraction of essential oils used in oral-care products, perfumery and emerging applications such as active food-packaging systems. However, the retention of its characteristic aroma and colour remains a major technological challenge, as its volatile oil constituents and pigment compounds are highly susceptible to degradation under adverse environmental and processing conditions. Furthermore, nutmeg mace is harvested within a short and highly concentrated seasonal window, typically from May to July, which increases the risk of post-harvest losses and quality deterioration in the absence of timely and effective preservation interventions. Therefore, the adoption of appropriate and efficient drying strategies is essential to minimize the degradation of volatile and bioactive constituents and to ensure the preservation of its high-value functional and pharmacological attributes (</w:t>
      </w:r>
      <w:proofErr w:type="spellStart"/>
      <w:r w:rsidRPr="002C027E">
        <w:rPr>
          <w:rFonts w:ascii="Arial" w:hAnsi="Arial" w:cs="Arial"/>
          <w:sz w:val="20"/>
          <w:szCs w:val="20"/>
        </w:rPr>
        <w:t>Suthisamphat</w:t>
      </w:r>
      <w:proofErr w:type="spellEnd"/>
      <w:r w:rsidRPr="002C027E">
        <w:rPr>
          <w:rFonts w:ascii="Arial" w:hAnsi="Arial" w:cs="Arial"/>
          <w:sz w:val="20"/>
          <w:szCs w:val="20"/>
        </w:rPr>
        <w:t xml:space="preserve"> et al., 2020).</w:t>
      </w:r>
    </w:p>
    <w:p w14:paraId="7649604D" w14:textId="68DD41CE" w:rsidR="009501AC" w:rsidRPr="002C027E" w:rsidRDefault="009501AC" w:rsidP="00B56144">
      <w:pPr>
        <w:spacing w:line="360" w:lineRule="auto"/>
        <w:jc w:val="both"/>
        <w:rPr>
          <w:rFonts w:ascii="Arial" w:hAnsi="Arial" w:cs="Arial"/>
          <w:sz w:val="20"/>
          <w:szCs w:val="20"/>
        </w:rPr>
      </w:pPr>
      <w:proofErr w:type="spellStart"/>
      <w:r w:rsidRPr="002C027E">
        <w:rPr>
          <w:rFonts w:ascii="Arial" w:hAnsi="Arial" w:cs="Arial"/>
          <w:sz w:val="20"/>
          <w:szCs w:val="20"/>
        </w:rPr>
        <w:t>Refractance</w:t>
      </w:r>
      <w:proofErr w:type="spellEnd"/>
      <w:r w:rsidRPr="002C027E">
        <w:rPr>
          <w:rFonts w:ascii="Arial" w:hAnsi="Arial" w:cs="Arial"/>
          <w:sz w:val="20"/>
          <w:szCs w:val="20"/>
        </w:rPr>
        <w:t xml:space="preserve"> Window (RW) drying is recognized in food engineering as a sophisticated fourth-generation thin-film dehydration technology specifically designed for the preservation of heat-sensitive biological materials </w:t>
      </w:r>
      <w:r w:rsidR="00486583" w:rsidRPr="002C027E">
        <w:rPr>
          <w:rFonts w:ascii="Arial" w:hAnsi="Arial" w:cs="Arial"/>
          <w:sz w:val="20"/>
          <w:szCs w:val="20"/>
        </w:rPr>
        <w:t>(</w:t>
      </w:r>
      <w:r w:rsidRPr="002C027E">
        <w:rPr>
          <w:rFonts w:ascii="Arial" w:hAnsi="Arial" w:cs="Arial"/>
          <w:sz w:val="20"/>
          <w:szCs w:val="20"/>
        </w:rPr>
        <w:t>Borse et al., 2025</w:t>
      </w:r>
      <w:r w:rsidR="00486583" w:rsidRPr="002C027E">
        <w:rPr>
          <w:rFonts w:ascii="Arial" w:hAnsi="Arial" w:cs="Arial"/>
          <w:sz w:val="20"/>
          <w:szCs w:val="20"/>
        </w:rPr>
        <w:t>)</w:t>
      </w:r>
      <w:r w:rsidRPr="002C027E">
        <w:rPr>
          <w:rFonts w:ascii="Arial" w:hAnsi="Arial" w:cs="Arial"/>
          <w:sz w:val="20"/>
          <w:szCs w:val="20"/>
        </w:rPr>
        <w:t xml:space="preserve">. Technically categorized as a variant of Cast-Tape Drying (CTD), the process involves spreading a wet product on an infrared-transparent polymeric film that floats atop circulating hot water </w:t>
      </w:r>
      <w:r w:rsidR="00486583" w:rsidRPr="002C027E">
        <w:rPr>
          <w:rFonts w:ascii="Arial" w:hAnsi="Arial" w:cs="Arial"/>
          <w:sz w:val="20"/>
          <w:szCs w:val="20"/>
        </w:rPr>
        <w:t>(</w:t>
      </w:r>
      <w:r w:rsidRPr="002C027E">
        <w:rPr>
          <w:rFonts w:ascii="Arial" w:hAnsi="Arial" w:cs="Arial"/>
          <w:sz w:val="20"/>
          <w:szCs w:val="20"/>
        </w:rPr>
        <w:t>Kumar et al., 2024</w:t>
      </w:r>
      <w:r w:rsidR="00486583" w:rsidRPr="002C027E">
        <w:rPr>
          <w:rFonts w:ascii="Arial" w:hAnsi="Arial" w:cs="Arial"/>
          <w:sz w:val="20"/>
          <w:szCs w:val="20"/>
        </w:rPr>
        <w:t>)</w:t>
      </w:r>
      <w:r w:rsidRPr="002C027E">
        <w:rPr>
          <w:rFonts w:ascii="Arial" w:hAnsi="Arial" w:cs="Arial"/>
          <w:sz w:val="20"/>
          <w:szCs w:val="20"/>
        </w:rPr>
        <w:t xml:space="preserve">. The system operates by exploiting refractive index mismatches between the heating medium, the contact film (typically Mylar®), and the moist product to create a unique "window" for thermal radiation </w:t>
      </w:r>
      <w:r w:rsidR="00486583" w:rsidRPr="002C027E">
        <w:rPr>
          <w:rFonts w:ascii="Arial" w:hAnsi="Arial" w:cs="Arial"/>
          <w:sz w:val="20"/>
          <w:szCs w:val="20"/>
        </w:rPr>
        <w:t>(</w:t>
      </w:r>
      <w:r w:rsidRPr="002C027E">
        <w:rPr>
          <w:rFonts w:ascii="Arial" w:hAnsi="Arial" w:cs="Arial"/>
          <w:sz w:val="20"/>
          <w:szCs w:val="20"/>
        </w:rPr>
        <w:t>He et al., 2024</w:t>
      </w:r>
      <w:r w:rsidR="00486583" w:rsidRPr="002C027E">
        <w:rPr>
          <w:rFonts w:ascii="Arial" w:hAnsi="Arial" w:cs="Arial"/>
          <w:sz w:val="20"/>
          <w:szCs w:val="20"/>
        </w:rPr>
        <w:t>)</w:t>
      </w:r>
      <w:r w:rsidRPr="002C027E">
        <w:rPr>
          <w:rFonts w:ascii="Arial" w:hAnsi="Arial" w:cs="Arial"/>
          <w:sz w:val="20"/>
          <w:szCs w:val="20"/>
        </w:rPr>
        <w:t xml:space="preserve">. A distinctive feature of this technology is its self-regulating heat transfer mechanism; as the product reaches dryness, the "window" gradually closes, naturally reducing the heat flux and preventing the product from overheating </w:t>
      </w:r>
      <w:r w:rsidR="00486583" w:rsidRPr="002C027E">
        <w:rPr>
          <w:rFonts w:ascii="Arial" w:hAnsi="Arial" w:cs="Arial"/>
          <w:sz w:val="20"/>
          <w:szCs w:val="20"/>
        </w:rPr>
        <w:t>(</w:t>
      </w:r>
      <w:r w:rsidRPr="002C027E">
        <w:rPr>
          <w:rFonts w:ascii="Arial" w:hAnsi="Arial" w:cs="Arial"/>
          <w:sz w:val="20"/>
          <w:szCs w:val="20"/>
        </w:rPr>
        <w:t>Silva et al., 2024</w:t>
      </w:r>
      <w:r w:rsidR="00486583" w:rsidRPr="002C027E">
        <w:rPr>
          <w:rFonts w:ascii="Arial" w:hAnsi="Arial" w:cs="Arial"/>
          <w:sz w:val="20"/>
          <w:szCs w:val="20"/>
        </w:rPr>
        <w:t>)</w:t>
      </w:r>
      <w:r w:rsidRPr="002C027E">
        <w:rPr>
          <w:rFonts w:ascii="Arial" w:hAnsi="Arial" w:cs="Arial"/>
          <w:sz w:val="20"/>
          <w:szCs w:val="20"/>
        </w:rPr>
        <w:t xml:space="preserve">. Consequently, RWD is highly valued for its energy efficiency and its ability to yield high-quality products at a fraction of the capital investment and energy input required for freeze-drying </w:t>
      </w:r>
      <w:r w:rsidR="00486583" w:rsidRPr="002C027E">
        <w:rPr>
          <w:rFonts w:ascii="Arial" w:hAnsi="Arial" w:cs="Arial"/>
          <w:sz w:val="20"/>
          <w:szCs w:val="20"/>
        </w:rPr>
        <w:t>(</w:t>
      </w:r>
      <w:proofErr w:type="spellStart"/>
      <w:r w:rsidRPr="002C027E">
        <w:rPr>
          <w:rFonts w:ascii="Arial" w:hAnsi="Arial" w:cs="Arial"/>
          <w:sz w:val="20"/>
          <w:szCs w:val="20"/>
        </w:rPr>
        <w:t>Nindo</w:t>
      </w:r>
      <w:proofErr w:type="spellEnd"/>
      <w:r w:rsidRPr="002C027E">
        <w:rPr>
          <w:rFonts w:ascii="Arial" w:hAnsi="Arial" w:cs="Arial"/>
          <w:sz w:val="20"/>
          <w:szCs w:val="20"/>
        </w:rPr>
        <w:t xml:space="preserve"> and Tang, 2007</w:t>
      </w:r>
      <w:r w:rsidR="00486583" w:rsidRPr="002C027E">
        <w:rPr>
          <w:rFonts w:ascii="Arial" w:hAnsi="Arial" w:cs="Arial"/>
          <w:sz w:val="20"/>
          <w:szCs w:val="20"/>
        </w:rPr>
        <w:t>)</w:t>
      </w:r>
      <w:r w:rsidRPr="002C027E">
        <w:rPr>
          <w:rFonts w:ascii="Arial" w:hAnsi="Arial" w:cs="Arial"/>
          <w:sz w:val="20"/>
          <w:szCs w:val="20"/>
        </w:rPr>
        <w:t>.</w:t>
      </w:r>
    </w:p>
    <w:p w14:paraId="7800593D" w14:textId="79BE46D1" w:rsidR="009501AC" w:rsidRPr="002C027E" w:rsidRDefault="009501AC" w:rsidP="00B56144">
      <w:pPr>
        <w:spacing w:line="360" w:lineRule="auto"/>
        <w:jc w:val="both"/>
        <w:rPr>
          <w:rFonts w:ascii="Arial" w:hAnsi="Arial" w:cs="Arial"/>
          <w:sz w:val="20"/>
          <w:szCs w:val="20"/>
        </w:rPr>
      </w:pPr>
      <w:r w:rsidRPr="002C027E">
        <w:rPr>
          <w:rFonts w:ascii="Arial" w:hAnsi="Arial" w:cs="Arial"/>
          <w:sz w:val="20"/>
          <w:szCs w:val="20"/>
        </w:rPr>
        <w:t xml:space="preserve">Although RW drying has been successfully applied to diverse high-value commodities such as saffron </w:t>
      </w:r>
      <w:r w:rsidR="005B0F27">
        <w:rPr>
          <w:rFonts w:ascii="Arial" w:hAnsi="Arial" w:cs="Arial"/>
          <w:sz w:val="20"/>
          <w:szCs w:val="20"/>
        </w:rPr>
        <w:t>(</w:t>
      </w:r>
      <w:r w:rsidRPr="002C027E">
        <w:rPr>
          <w:rFonts w:ascii="Arial" w:hAnsi="Arial" w:cs="Arial"/>
          <w:sz w:val="20"/>
          <w:szCs w:val="20"/>
        </w:rPr>
        <w:t>Aghaei et al., 2019</w:t>
      </w:r>
      <w:r w:rsidR="005B0F27">
        <w:rPr>
          <w:rFonts w:ascii="Arial" w:hAnsi="Arial" w:cs="Arial"/>
          <w:sz w:val="20"/>
          <w:szCs w:val="20"/>
        </w:rPr>
        <w:t>)</w:t>
      </w:r>
      <w:r w:rsidRPr="002C027E">
        <w:rPr>
          <w:rFonts w:ascii="Arial" w:hAnsi="Arial" w:cs="Arial"/>
          <w:sz w:val="20"/>
          <w:szCs w:val="20"/>
        </w:rPr>
        <w:t xml:space="preserve">, aloe vera </w:t>
      </w:r>
      <w:r w:rsidR="00387B5C" w:rsidRPr="002C027E">
        <w:rPr>
          <w:rFonts w:ascii="Arial" w:hAnsi="Arial" w:cs="Arial"/>
          <w:sz w:val="20"/>
          <w:szCs w:val="20"/>
        </w:rPr>
        <w:t>(</w:t>
      </w:r>
      <w:r w:rsidRPr="002C027E">
        <w:rPr>
          <w:rFonts w:ascii="Arial" w:hAnsi="Arial" w:cs="Arial"/>
          <w:sz w:val="20"/>
          <w:szCs w:val="20"/>
        </w:rPr>
        <w:t>Ayala-Aponte et al., 2021</w:t>
      </w:r>
      <w:r w:rsidR="00387B5C" w:rsidRPr="002C027E">
        <w:rPr>
          <w:rFonts w:ascii="Arial" w:hAnsi="Arial" w:cs="Arial"/>
          <w:sz w:val="20"/>
          <w:szCs w:val="20"/>
        </w:rPr>
        <w:t>)</w:t>
      </w:r>
      <w:r w:rsidRPr="002C027E">
        <w:rPr>
          <w:rFonts w:ascii="Arial" w:hAnsi="Arial" w:cs="Arial"/>
          <w:sz w:val="20"/>
          <w:szCs w:val="20"/>
        </w:rPr>
        <w:t xml:space="preserve">, and mango </w:t>
      </w:r>
      <w:r w:rsidR="00B056BE" w:rsidRPr="002C027E">
        <w:rPr>
          <w:rFonts w:ascii="Arial" w:hAnsi="Arial" w:cs="Arial"/>
          <w:sz w:val="20"/>
          <w:szCs w:val="20"/>
        </w:rPr>
        <w:t>(</w:t>
      </w:r>
      <w:r w:rsidRPr="002C027E">
        <w:rPr>
          <w:rFonts w:ascii="Arial" w:hAnsi="Arial" w:cs="Arial"/>
          <w:sz w:val="20"/>
          <w:szCs w:val="20"/>
        </w:rPr>
        <w:t>Ochoa-Martínez et al., 2012</w:t>
      </w:r>
      <w:r w:rsidR="00B056BE" w:rsidRPr="002C027E">
        <w:rPr>
          <w:rFonts w:ascii="Arial" w:hAnsi="Arial" w:cs="Arial"/>
          <w:sz w:val="20"/>
          <w:szCs w:val="20"/>
        </w:rPr>
        <w:t>),</w:t>
      </w:r>
      <w:r w:rsidRPr="002C027E">
        <w:rPr>
          <w:rFonts w:ascii="Arial" w:hAnsi="Arial" w:cs="Arial"/>
          <w:sz w:val="20"/>
          <w:szCs w:val="20"/>
        </w:rPr>
        <w:t xml:space="preserve"> there is currently no documented scientific study addressing its application specifically for nutmeg mace. Furthermore, comparative data regarding drying kinetics, effective moisture diffusivity, and activation energy for nutmeg mace under RW conditions in relation to conventional hot-air drying remains notably absent from existing literature </w:t>
      </w:r>
      <w:r w:rsidR="00522643" w:rsidRPr="002C027E">
        <w:rPr>
          <w:rFonts w:ascii="Arial" w:hAnsi="Arial" w:cs="Arial"/>
          <w:sz w:val="20"/>
          <w:szCs w:val="20"/>
        </w:rPr>
        <w:t>(</w:t>
      </w:r>
      <w:proofErr w:type="spellStart"/>
      <w:r w:rsidRPr="002C027E">
        <w:rPr>
          <w:rFonts w:ascii="Arial" w:hAnsi="Arial" w:cs="Arial"/>
          <w:sz w:val="20"/>
          <w:szCs w:val="20"/>
        </w:rPr>
        <w:t>Rurush</w:t>
      </w:r>
      <w:proofErr w:type="spellEnd"/>
      <w:r w:rsidRPr="002C027E">
        <w:rPr>
          <w:rFonts w:ascii="Arial" w:hAnsi="Arial" w:cs="Arial"/>
          <w:sz w:val="20"/>
          <w:szCs w:val="20"/>
        </w:rPr>
        <w:t xml:space="preserve"> et al., 2022</w:t>
      </w:r>
      <w:r w:rsidR="00522643" w:rsidRPr="002C027E">
        <w:rPr>
          <w:rFonts w:ascii="Arial" w:hAnsi="Arial" w:cs="Arial"/>
          <w:sz w:val="20"/>
          <w:szCs w:val="20"/>
        </w:rPr>
        <w:t>)</w:t>
      </w:r>
      <w:r w:rsidRPr="002C027E">
        <w:rPr>
          <w:rFonts w:ascii="Arial" w:hAnsi="Arial" w:cs="Arial"/>
          <w:sz w:val="20"/>
          <w:szCs w:val="20"/>
        </w:rPr>
        <w:t xml:space="preserve">. Additionally, despite the demonstrated capability of RW systems to maintain the aromatic and bioactive integrity of various medicinal and aromatic plants </w:t>
      </w:r>
      <w:r w:rsidR="00522643" w:rsidRPr="002C027E">
        <w:rPr>
          <w:rFonts w:ascii="Arial" w:hAnsi="Arial" w:cs="Arial"/>
          <w:sz w:val="20"/>
          <w:szCs w:val="20"/>
        </w:rPr>
        <w:t>(</w:t>
      </w:r>
      <w:r w:rsidRPr="002C027E">
        <w:rPr>
          <w:rFonts w:ascii="Arial" w:hAnsi="Arial" w:cs="Arial"/>
          <w:sz w:val="20"/>
          <w:szCs w:val="20"/>
        </w:rPr>
        <w:t>Kaveh et al., 2024</w:t>
      </w:r>
      <w:r w:rsidR="00522643" w:rsidRPr="002C027E">
        <w:rPr>
          <w:rFonts w:ascii="Arial" w:hAnsi="Arial" w:cs="Arial"/>
          <w:sz w:val="20"/>
          <w:szCs w:val="20"/>
        </w:rPr>
        <w:t>)</w:t>
      </w:r>
      <w:r w:rsidRPr="002C027E">
        <w:rPr>
          <w:rFonts w:ascii="Arial" w:hAnsi="Arial" w:cs="Arial"/>
          <w:sz w:val="20"/>
          <w:szCs w:val="20"/>
        </w:rPr>
        <w:t>, detailed investigations focusing on the volatile retention and microstructural stability of nutmeg mace processed with this emerging technology have not yet been reported.</w:t>
      </w:r>
    </w:p>
    <w:p w14:paraId="406C6F53" w14:textId="46BD122B" w:rsidR="009501AC" w:rsidRPr="002C027E" w:rsidRDefault="009501AC" w:rsidP="00B56144">
      <w:pPr>
        <w:spacing w:line="360" w:lineRule="auto"/>
        <w:jc w:val="both"/>
        <w:rPr>
          <w:rFonts w:ascii="Arial" w:hAnsi="Arial" w:cs="Arial"/>
          <w:sz w:val="20"/>
          <w:szCs w:val="20"/>
        </w:rPr>
      </w:pPr>
      <w:r w:rsidRPr="002C027E">
        <w:rPr>
          <w:rFonts w:ascii="Arial" w:hAnsi="Arial" w:cs="Arial"/>
          <w:sz w:val="20"/>
          <w:szCs w:val="20"/>
        </w:rPr>
        <w:t xml:space="preserve">In this context, the present investigation focuses on determining the engineering properties of nutmeg mace relevant to post-harvest handling, performing a comparative evaluation of quality characteristics between RW and conventional hot-air drying, and providing a rigorous analysis of the drying </w:t>
      </w:r>
      <w:r w:rsidR="00AF46A9" w:rsidRPr="002C027E">
        <w:rPr>
          <w:rFonts w:ascii="Arial" w:hAnsi="Arial" w:cs="Arial"/>
          <w:sz w:val="20"/>
          <w:szCs w:val="20"/>
        </w:rPr>
        <w:t>behaviour</w:t>
      </w:r>
      <w:r w:rsidRPr="002C027E">
        <w:rPr>
          <w:rFonts w:ascii="Arial" w:hAnsi="Arial" w:cs="Arial"/>
          <w:sz w:val="20"/>
          <w:szCs w:val="20"/>
        </w:rPr>
        <w:t xml:space="preserve"> and kinetics associated with both systems</w:t>
      </w:r>
      <w:r w:rsidR="006202D1" w:rsidRPr="002C027E">
        <w:rPr>
          <w:rFonts w:ascii="Arial" w:hAnsi="Arial" w:cs="Arial"/>
          <w:sz w:val="20"/>
          <w:szCs w:val="20"/>
        </w:rPr>
        <w:t>.</w:t>
      </w:r>
    </w:p>
    <w:p w14:paraId="7DF85BE6" w14:textId="0A941CAD" w:rsidR="008F22C3" w:rsidRPr="002C027E" w:rsidRDefault="002C027E" w:rsidP="009501AC">
      <w:pPr>
        <w:spacing w:line="360" w:lineRule="auto"/>
        <w:jc w:val="both"/>
        <w:rPr>
          <w:rFonts w:ascii="Arial" w:hAnsi="Arial" w:cs="Arial"/>
          <w:b/>
          <w:bCs/>
          <w:sz w:val="22"/>
          <w:szCs w:val="22"/>
        </w:rPr>
      </w:pPr>
      <w:r w:rsidRPr="002C027E">
        <w:rPr>
          <w:rFonts w:ascii="Arial" w:hAnsi="Arial" w:cs="Arial"/>
          <w:b/>
          <w:bCs/>
          <w:sz w:val="22"/>
          <w:szCs w:val="22"/>
        </w:rPr>
        <w:t>2. MATERIALS AND METHODS</w:t>
      </w:r>
    </w:p>
    <w:p w14:paraId="71558AB5" w14:textId="57E269AD" w:rsidR="00810D76" w:rsidRPr="002C027E" w:rsidRDefault="00AF7D6E" w:rsidP="009501AC">
      <w:pPr>
        <w:spacing w:line="360" w:lineRule="auto"/>
        <w:jc w:val="both"/>
        <w:rPr>
          <w:rFonts w:ascii="Arial" w:hAnsi="Arial" w:cs="Arial"/>
          <w:b/>
          <w:bCs/>
          <w:sz w:val="22"/>
          <w:szCs w:val="22"/>
        </w:rPr>
      </w:pPr>
      <w:r w:rsidRPr="002C027E">
        <w:rPr>
          <w:rFonts w:ascii="Arial" w:hAnsi="Arial" w:cs="Arial"/>
          <w:b/>
          <w:bCs/>
          <w:sz w:val="22"/>
          <w:szCs w:val="22"/>
        </w:rPr>
        <w:t>2.1</w:t>
      </w:r>
      <w:r w:rsidR="00810D76" w:rsidRPr="002C027E">
        <w:rPr>
          <w:rFonts w:ascii="Arial" w:hAnsi="Arial" w:cs="Arial"/>
          <w:b/>
          <w:bCs/>
          <w:sz w:val="22"/>
          <w:szCs w:val="22"/>
        </w:rPr>
        <w:t xml:space="preserve"> Sample </w:t>
      </w:r>
      <w:r w:rsidRPr="002C027E">
        <w:rPr>
          <w:rFonts w:ascii="Arial" w:hAnsi="Arial" w:cs="Arial"/>
          <w:b/>
          <w:bCs/>
          <w:sz w:val="22"/>
          <w:szCs w:val="22"/>
        </w:rPr>
        <w:t>p</w:t>
      </w:r>
      <w:r w:rsidR="00810D76" w:rsidRPr="002C027E">
        <w:rPr>
          <w:rFonts w:ascii="Arial" w:hAnsi="Arial" w:cs="Arial"/>
          <w:b/>
          <w:bCs/>
          <w:sz w:val="22"/>
          <w:szCs w:val="22"/>
        </w:rPr>
        <w:t>reparation</w:t>
      </w:r>
    </w:p>
    <w:p w14:paraId="23327632" w14:textId="015D3F64" w:rsidR="00D931A6" w:rsidRPr="002C027E" w:rsidRDefault="00810D76" w:rsidP="002C027E">
      <w:pPr>
        <w:spacing w:line="360" w:lineRule="auto"/>
        <w:jc w:val="both"/>
        <w:rPr>
          <w:rFonts w:ascii="Arial" w:hAnsi="Arial" w:cs="Arial"/>
          <w:sz w:val="20"/>
          <w:szCs w:val="20"/>
        </w:rPr>
      </w:pPr>
      <w:r w:rsidRPr="002C027E">
        <w:rPr>
          <w:rFonts w:ascii="Arial" w:hAnsi="Arial" w:cs="Arial"/>
          <w:sz w:val="20"/>
          <w:szCs w:val="20"/>
        </w:rPr>
        <w:lastRenderedPageBreak/>
        <w:t xml:space="preserve">Fresh nutmeg mace samples were procured from a local farmer at </w:t>
      </w:r>
      <w:proofErr w:type="spellStart"/>
      <w:r w:rsidRPr="002C027E">
        <w:rPr>
          <w:rFonts w:ascii="Arial" w:hAnsi="Arial" w:cs="Arial"/>
          <w:sz w:val="20"/>
          <w:szCs w:val="20"/>
        </w:rPr>
        <w:t>Tavanur</w:t>
      </w:r>
      <w:proofErr w:type="spellEnd"/>
      <w:r w:rsidRPr="002C027E">
        <w:rPr>
          <w:rFonts w:ascii="Arial" w:hAnsi="Arial" w:cs="Arial"/>
          <w:sz w:val="20"/>
          <w:szCs w:val="20"/>
        </w:rPr>
        <w:t>, Malappuram district, Kerala, India. The mace was collected at physiological maturity, corresponding to the stage at which the nutmeg fruit naturally splits into two halves, exposing the aril. The freshly harvested mace samples were manually sorted to remove extraneous matter and subsequently washed using potable water. Surface moisture was removed by gently wiping the samples prior to further experimentation. The initial moisture content of fresh nutmeg mace was in the range of 50–60% (wet basis).</w:t>
      </w:r>
    </w:p>
    <w:p w14:paraId="3DA5A025" w14:textId="77777777" w:rsidR="004D2A7E" w:rsidRPr="00B56144" w:rsidRDefault="004D2A7E" w:rsidP="004D2A7E">
      <w:pPr>
        <w:spacing w:line="360" w:lineRule="auto"/>
        <w:jc w:val="both"/>
        <w:rPr>
          <w:rFonts w:ascii="Arial" w:hAnsi="Arial" w:cs="Arial"/>
          <w:b/>
          <w:bCs/>
          <w:sz w:val="22"/>
          <w:szCs w:val="22"/>
        </w:rPr>
      </w:pPr>
      <w:r w:rsidRPr="00B56144">
        <w:rPr>
          <w:rFonts w:ascii="Arial" w:hAnsi="Arial" w:cs="Arial"/>
          <w:b/>
          <w:bCs/>
          <w:sz w:val="22"/>
          <w:szCs w:val="22"/>
        </w:rPr>
        <w:t xml:space="preserve">2.2 </w:t>
      </w:r>
      <w:proofErr w:type="spellStart"/>
      <w:r w:rsidRPr="00B56144">
        <w:rPr>
          <w:rFonts w:ascii="Arial" w:hAnsi="Arial" w:cs="Arial"/>
          <w:b/>
          <w:bCs/>
          <w:sz w:val="22"/>
          <w:szCs w:val="22"/>
        </w:rPr>
        <w:t>Refractance</w:t>
      </w:r>
      <w:proofErr w:type="spellEnd"/>
      <w:r w:rsidRPr="00B56144">
        <w:rPr>
          <w:rFonts w:ascii="Arial" w:hAnsi="Arial" w:cs="Arial"/>
          <w:b/>
          <w:bCs/>
          <w:sz w:val="22"/>
          <w:szCs w:val="22"/>
        </w:rPr>
        <w:t xml:space="preserve"> window drying system</w:t>
      </w:r>
    </w:p>
    <w:p w14:paraId="15FD9205" w14:textId="48F33506" w:rsidR="004D2A7E" w:rsidRPr="00B56144" w:rsidRDefault="004D2A7E" w:rsidP="00B56144">
      <w:pPr>
        <w:spacing w:line="360" w:lineRule="auto"/>
        <w:jc w:val="both"/>
        <w:rPr>
          <w:rFonts w:ascii="Arial" w:hAnsi="Arial" w:cs="Arial"/>
          <w:sz w:val="20"/>
          <w:szCs w:val="20"/>
        </w:rPr>
      </w:pPr>
      <w:proofErr w:type="spellStart"/>
      <w:r w:rsidRPr="00B56144">
        <w:rPr>
          <w:rFonts w:ascii="Arial" w:hAnsi="Arial" w:cs="Arial"/>
          <w:sz w:val="20"/>
          <w:szCs w:val="20"/>
        </w:rPr>
        <w:t>Refractance</w:t>
      </w:r>
      <w:proofErr w:type="spellEnd"/>
      <w:r w:rsidRPr="00B56144">
        <w:rPr>
          <w:rFonts w:ascii="Arial" w:hAnsi="Arial" w:cs="Arial"/>
          <w:sz w:val="20"/>
          <w:szCs w:val="20"/>
        </w:rPr>
        <w:t xml:space="preserve"> window drying of nutmeg mace was carried out using a </w:t>
      </w:r>
      <w:proofErr w:type="spellStart"/>
      <w:r w:rsidRPr="00B56144">
        <w:rPr>
          <w:rFonts w:ascii="Arial" w:hAnsi="Arial" w:cs="Arial"/>
          <w:sz w:val="20"/>
          <w:szCs w:val="20"/>
        </w:rPr>
        <w:t>refractance</w:t>
      </w:r>
      <w:proofErr w:type="spellEnd"/>
      <w:r w:rsidRPr="00B56144">
        <w:rPr>
          <w:rFonts w:ascii="Arial" w:hAnsi="Arial" w:cs="Arial"/>
          <w:sz w:val="20"/>
          <w:szCs w:val="20"/>
        </w:rPr>
        <w:t xml:space="preserve"> window drying unit operated with a static hot-water bath maintained at 50 °C. A polyethylene terephthalate (PET) transparent film</w:t>
      </w:r>
      <w:r w:rsidR="00A43D25">
        <w:rPr>
          <w:rFonts w:ascii="Arial" w:hAnsi="Arial" w:cs="Arial"/>
          <w:sz w:val="20"/>
          <w:szCs w:val="20"/>
        </w:rPr>
        <w:t xml:space="preserve"> (Mylar)</w:t>
      </w:r>
      <w:r w:rsidRPr="00B56144">
        <w:rPr>
          <w:rFonts w:ascii="Arial" w:hAnsi="Arial" w:cs="Arial"/>
          <w:sz w:val="20"/>
          <w:szCs w:val="20"/>
        </w:rPr>
        <w:t xml:space="preserve"> with a thickness of 125 µm was used as the infrared-transparent interface between the heating medium and the product. The effective cross-sectional drying area of the system was 0.0725 m². Nutmeg mace samples were uniformly spread on the surface of the PET film as a thin layer with a thickness of 1 cm for all drying experiments.</w:t>
      </w:r>
    </w:p>
    <w:p w14:paraId="78AEEAB3" w14:textId="5BB72A21" w:rsidR="004D2A7E" w:rsidRPr="00B56144" w:rsidRDefault="004D2A7E" w:rsidP="004D2A7E">
      <w:pPr>
        <w:spacing w:line="360" w:lineRule="auto"/>
        <w:jc w:val="both"/>
        <w:rPr>
          <w:rFonts w:ascii="Arial" w:hAnsi="Arial" w:cs="Arial"/>
          <w:b/>
          <w:bCs/>
          <w:sz w:val="22"/>
          <w:szCs w:val="22"/>
        </w:rPr>
      </w:pPr>
      <w:r w:rsidRPr="00B56144">
        <w:rPr>
          <w:rFonts w:ascii="Arial" w:hAnsi="Arial" w:cs="Arial"/>
          <w:b/>
          <w:bCs/>
          <w:sz w:val="22"/>
          <w:szCs w:val="22"/>
        </w:rPr>
        <w:t xml:space="preserve">2.3 Hot </w:t>
      </w:r>
      <w:r w:rsidR="002D50E0" w:rsidRPr="00B56144">
        <w:rPr>
          <w:rFonts w:ascii="Arial" w:hAnsi="Arial" w:cs="Arial"/>
          <w:b/>
          <w:bCs/>
          <w:sz w:val="22"/>
          <w:szCs w:val="22"/>
        </w:rPr>
        <w:t>air-drying</w:t>
      </w:r>
      <w:r w:rsidRPr="00B56144">
        <w:rPr>
          <w:rFonts w:ascii="Arial" w:hAnsi="Arial" w:cs="Arial"/>
          <w:b/>
          <w:bCs/>
          <w:sz w:val="22"/>
          <w:szCs w:val="22"/>
        </w:rPr>
        <w:t xml:space="preserve"> system</w:t>
      </w:r>
    </w:p>
    <w:p w14:paraId="696ED3F4" w14:textId="0263EFD3" w:rsidR="004D2A7E" w:rsidRPr="00B56144" w:rsidRDefault="004D2A7E" w:rsidP="00B56144">
      <w:pPr>
        <w:spacing w:line="360" w:lineRule="auto"/>
        <w:jc w:val="both"/>
        <w:rPr>
          <w:rFonts w:ascii="Arial" w:hAnsi="Arial" w:cs="Arial"/>
          <w:sz w:val="20"/>
          <w:szCs w:val="20"/>
        </w:rPr>
      </w:pPr>
      <w:r w:rsidRPr="00B56144">
        <w:rPr>
          <w:rFonts w:ascii="Arial" w:hAnsi="Arial" w:cs="Arial"/>
          <w:sz w:val="20"/>
          <w:szCs w:val="20"/>
        </w:rPr>
        <w:t xml:space="preserve">Drying experiments using conventional hot-air drying were carried out in a convective hot-air dryer operated at a drying air temperature of 45 °C, which was selected as the control condition. Nutmeg mace samples were uniformly spread on the drying trays as a single layer with a thickness of 1 cm. The air velocity inside the drying chamber was maintained at </w:t>
      </w:r>
      <w:r w:rsidR="006202D1" w:rsidRPr="00B56144">
        <w:rPr>
          <w:rFonts w:ascii="Arial" w:hAnsi="Arial" w:cs="Arial"/>
          <w:sz w:val="20"/>
          <w:szCs w:val="20"/>
        </w:rPr>
        <w:t xml:space="preserve">3 </w:t>
      </w:r>
      <w:r w:rsidRPr="00B56144">
        <w:rPr>
          <w:rFonts w:ascii="Arial" w:hAnsi="Arial" w:cs="Arial"/>
          <w:sz w:val="20"/>
          <w:szCs w:val="20"/>
        </w:rPr>
        <w:t>m s</w:t>
      </w:r>
      <w:r w:rsidRPr="00B56144">
        <w:rPr>
          <w:rFonts w:ascii="Cambria Math" w:hAnsi="Cambria Math" w:cs="Cambria Math"/>
          <w:sz w:val="20"/>
          <w:szCs w:val="20"/>
        </w:rPr>
        <w:t>⁻</w:t>
      </w:r>
      <w:r w:rsidRPr="00B56144">
        <w:rPr>
          <w:rFonts w:ascii="Arial" w:hAnsi="Arial" w:cs="Arial"/>
          <w:sz w:val="20"/>
          <w:szCs w:val="20"/>
        </w:rPr>
        <w:t>¹.</w:t>
      </w:r>
    </w:p>
    <w:p w14:paraId="4720B470" w14:textId="77777777" w:rsidR="004D2A7E" w:rsidRPr="00B56144" w:rsidRDefault="004D2A7E" w:rsidP="004D2A7E">
      <w:pPr>
        <w:spacing w:line="360" w:lineRule="auto"/>
        <w:jc w:val="both"/>
        <w:rPr>
          <w:rFonts w:ascii="Arial" w:hAnsi="Arial" w:cs="Arial"/>
          <w:b/>
          <w:bCs/>
          <w:sz w:val="22"/>
          <w:szCs w:val="22"/>
        </w:rPr>
      </w:pPr>
      <w:r w:rsidRPr="00B56144">
        <w:rPr>
          <w:rFonts w:ascii="Arial" w:hAnsi="Arial" w:cs="Arial"/>
          <w:b/>
          <w:bCs/>
          <w:sz w:val="22"/>
          <w:szCs w:val="22"/>
        </w:rPr>
        <w:t>2.4 Drying experiment</w:t>
      </w:r>
    </w:p>
    <w:p w14:paraId="4CB70CF8" w14:textId="301BE8B7" w:rsidR="004D2A7E" w:rsidRPr="00B56144" w:rsidRDefault="004D2A7E" w:rsidP="00B56144">
      <w:pPr>
        <w:spacing w:line="360" w:lineRule="auto"/>
        <w:jc w:val="both"/>
        <w:rPr>
          <w:rFonts w:ascii="Arial" w:hAnsi="Arial" w:cs="Arial"/>
          <w:sz w:val="20"/>
          <w:szCs w:val="20"/>
        </w:rPr>
      </w:pPr>
      <w:r w:rsidRPr="00B56144">
        <w:rPr>
          <w:rFonts w:ascii="Arial" w:hAnsi="Arial" w:cs="Arial"/>
          <w:sz w:val="20"/>
          <w:szCs w:val="20"/>
        </w:rPr>
        <w:t xml:space="preserve">Drying experiments were carried out using 100 g of fresh nutmeg mace for each experimental run. During both </w:t>
      </w:r>
      <w:proofErr w:type="spellStart"/>
      <w:r w:rsidRPr="00B56144">
        <w:rPr>
          <w:rFonts w:ascii="Arial" w:hAnsi="Arial" w:cs="Arial"/>
          <w:sz w:val="20"/>
          <w:szCs w:val="20"/>
        </w:rPr>
        <w:t>Refractance</w:t>
      </w:r>
      <w:proofErr w:type="spellEnd"/>
      <w:r w:rsidRPr="00B56144">
        <w:rPr>
          <w:rFonts w:ascii="Arial" w:hAnsi="Arial" w:cs="Arial"/>
          <w:sz w:val="20"/>
          <w:szCs w:val="20"/>
        </w:rPr>
        <w:t xml:space="preserve"> window drying and hot-air drying, the samples were periodically removed from the dryer and weighed at 30 min intervals using a digital balance to monitor moisture loss. Drying was continued until the samples attained a final moisture content in the range of 7–10% (wet basis). All drying experiments were performed in triplicate for each drying method to ensure reproducibility of the results.</w:t>
      </w:r>
    </w:p>
    <w:p w14:paraId="5713C362" w14:textId="77777777" w:rsidR="00007C12" w:rsidRPr="00B56144" w:rsidRDefault="00007C12" w:rsidP="00007C12">
      <w:pPr>
        <w:spacing w:line="360" w:lineRule="auto"/>
        <w:jc w:val="both"/>
        <w:rPr>
          <w:rFonts w:ascii="Arial" w:hAnsi="Arial" w:cs="Arial"/>
          <w:b/>
          <w:bCs/>
          <w:sz w:val="22"/>
          <w:szCs w:val="22"/>
        </w:rPr>
      </w:pPr>
      <w:r w:rsidRPr="00B56144">
        <w:rPr>
          <w:rFonts w:ascii="Arial" w:hAnsi="Arial" w:cs="Arial"/>
          <w:b/>
          <w:bCs/>
          <w:sz w:val="22"/>
          <w:szCs w:val="22"/>
        </w:rPr>
        <w:t>2.5 Moisture content determination</w:t>
      </w:r>
    </w:p>
    <w:p w14:paraId="16B3A33C" w14:textId="7E00D6DA" w:rsidR="00007C12" w:rsidRPr="00B56144" w:rsidRDefault="00007C12" w:rsidP="00B56144">
      <w:pPr>
        <w:spacing w:line="360" w:lineRule="auto"/>
        <w:jc w:val="both"/>
        <w:rPr>
          <w:rFonts w:ascii="Arial" w:hAnsi="Arial" w:cs="Arial"/>
          <w:sz w:val="20"/>
          <w:szCs w:val="20"/>
        </w:rPr>
      </w:pPr>
      <w:r w:rsidRPr="00B56144">
        <w:rPr>
          <w:rFonts w:ascii="Arial" w:hAnsi="Arial" w:cs="Arial"/>
          <w:sz w:val="20"/>
          <w:szCs w:val="20"/>
        </w:rPr>
        <w:t xml:space="preserve">The moisture content of the samples was determined using the standard hot-air oven method as </w:t>
      </w:r>
      <w:r w:rsidR="00F51FB1" w:rsidRPr="00B56144">
        <w:rPr>
          <w:rFonts w:ascii="Arial" w:hAnsi="Arial" w:cs="Arial"/>
          <w:sz w:val="20"/>
          <w:szCs w:val="20"/>
        </w:rPr>
        <w:t xml:space="preserve">described in </w:t>
      </w:r>
      <w:proofErr w:type="spellStart"/>
      <w:r w:rsidR="00F51FB1" w:rsidRPr="00B56144">
        <w:rPr>
          <w:rFonts w:ascii="Arial" w:hAnsi="Arial" w:cs="Arial"/>
          <w:sz w:val="20"/>
          <w:szCs w:val="20"/>
        </w:rPr>
        <w:t>Kheto</w:t>
      </w:r>
      <w:proofErr w:type="spellEnd"/>
      <w:r w:rsidR="00F51FB1" w:rsidRPr="00B56144">
        <w:rPr>
          <w:rFonts w:ascii="Arial" w:hAnsi="Arial" w:cs="Arial"/>
          <w:sz w:val="20"/>
          <w:szCs w:val="20"/>
        </w:rPr>
        <w:t xml:space="preserve"> et al. (2025) (</w:t>
      </w:r>
      <w:proofErr w:type="spellStart"/>
      <w:r w:rsidR="00F51FB1" w:rsidRPr="00B56144">
        <w:rPr>
          <w:rFonts w:ascii="Arial" w:hAnsi="Arial" w:cs="Arial"/>
          <w:sz w:val="20"/>
          <w:szCs w:val="20"/>
        </w:rPr>
        <w:t>E</w:t>
      </w:r>
      <w:r w:rsidRPr="00B56144">
        <w:rPr>
          <w:rFonts w:ascii="Arial" w:hAnsi="Arial" w:cs="Arial"/>
          <w:sz w:val="20"/>
          <w:szCs w:val="20"/>
        </w:rPr>
        <w:t>qn</w:t>
      </w:r>
      <w:proofErr w:type="spellEnd"/>
      <w:r w:rsidRPr="00B56144">
        <w:rPr>
          <w:rFonts w:ascii="Arial" w:hAnsi="Arial" w:cs="Arial"/>
          <w:sz w:val="20"/>
          <w:szCs w:val="20"/>
        </w:rPr>
        <w:t xml:space="preserve"> 1</w:t>
      </w:r>
      <w:r w:rsidR="00F51FB1" w:rsidRPr="00B56144">
        <w:rPr>
          <w:rFonts w:ascii="Arial" w:hAnsi="Arial" w:cs="Arial"/>
          <w:sz w:val="20"/>
          <w:szCs w:val="20"/>
        </w:rPr>
        <w:t>)</w:t>
      </w:r>
      <w:r w:rsidRPr="00B56144">
        <w:rPr>
          <w:rFonts w:ascii="Arial" w:hAnsi="Arial" w:cs="Arial"/>
          <w:sz w:val="20"/>
          <w:szCs w:val="20"/>
        </w:rPr>
        <w:t>. A representative portion of the dried sample was placed in a hot-air oven maintained at 105 °C and dried until a constant weight was attained.</w:t>
      </w:r>
    </w:p>
    <w:p w14:paraId="104FFF22" w14:textId="374DB1CD" w:rsidR="00007C12" w:rsidRPr="00B56144" w:rsidRDefault="00000000" w:rsidP="00F51FB1">
      <w:pPr>
        <w:spacing w:line="360" w:lineRule="auto"/>
        <w:jc w:val="center"/>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MC</m:t>
            </m:r>
          </m:e>
          <m:sub>
            <m:r>
              <w:rPr>
                <w:rFonts w:ascii="Cambria Math" w:hAnsi="Cambria Math" w:cs="Arial"/>
                <w:sz w:val="20"/>
                <w:szCs w:val="20"/>
              </w:rPr>
              <m:t>wb</m:t>
            </m:r>
          </m:sub>
        </m:sSub>
        <m:d>
          <m:dPr>
            <m:ctrlPr>
              <w:rPr>
                <w:rFonts w:ascii="Cambria Math" w:hAnsi="Cambria Math" w:cs="Arial"/>
                <w:i/>
                <w:sz w:val="20"/>
                <w:szCs w:val="20"/>
              </w:rPr>
            </m:ctrlPr>
          </m:dPr>
          <m:e>
            <m:r>
              <w:rPr>
                <w:rFonts w:ascii="Cambria Math" w:hAnsi="Cambria Math" w:cs="Arial"/>
                <w:sz w:val="20"/>
                <w:szCs w:val="20"/>
              </w:rPr>
              <m:t>%</m:t>
            </m:r>
          </m:e>
        </m:d>
        <m:r>
          <w:rPr>
            <w:rFonts w:ascii="Cambria Math" w:hAnsi="Cambria Math" w:cs="Arial"/>
            <w:sz w:val="20"/>
            <w:szCs w:val="20"/>
          </w:rPr>
          <m:t xml:space="preserve">= </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d</m:t>
                </m:r>
              </m:sub>
            </m:sSub>
          </m:num>
          <m:den>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i</m:t>
                </m:r>
              </m:sub>
            </m:sSub>
          </m:den>
        </m:f>
        <m:r>
          <w:rPr>
            <w:rFonts w:ascii="Cambria Math" w:hAnsi="Cambria Math" w:cs="Arial"/>
            <w:sz w:val="20"/>
            <w:szCs w:val="20"/>
          </w:rPr>
          <m:t xml:space="preserve"> ×100</m:t>
        </m:r>
      </m:oMath>
      <w:r w:rsidR="00AF7D6E" w:rsidRPr="00B56144">
        <w:rPr>
          <w:rFonts w:ascii="Arial" w:eastAsiaTheme="minorEastAsia" w:hAnsi="Arial" w:cs="Arial"/>
          <w:sz w:val="20"/>
          <w:szCs w:val="20"/>
        </w:rPr>
        <w:t xml:space="preserve">                                   </w:t>
      </w:r>
      <w:r w:rsidR="00F51FB1" w:rsidRPr="00B56144">
        <w:rPr>
          <w:rFonts w:ascii="Arial" w:eastAsiaTheme="minorEastAsia" w:hAnsi="Arial" w:cs="Arial"/>
          <w:sz w:val="20"/>
          <w:szCs w:val="20"/>
        </w:rPr>
        <w:t>(1)</w:t>
      </w:r>
    </w:p>
    <w:p w14:paraId="0489F0AB" w14:textId="1E59189E" w:rsidR="00007C12" w:rsidRPr="00B56144" w:rsidRDefault="00000000" w:rsidP="00F51FB1">
      <w:pPr>
        <w:spacing w:line="360" w:lineRule="auto"/>
        <w:ind w:left="720"/>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MC</m:t>
            </m:r>
          </m:e>
          <m:sub>
            <m:r>
              <w:rPr>
                <w:rFonts w:ascii="Cambria Math" w:hAnsi="Cambria Math" w:cs="Arial"/>
                <w:sz w:val="20"/>
                <w:szCs w:val="20"/>
              </w:rPr>
              <m:t>wb</m:t>
            </m:r>
          </m:sub>
        </m:sSub>
      </m:oMath>
      <w:r w:rsidR="00007C12" w:rsidRPr="00B56144">
        <w:rPr>
          <w:rFonts w:ascii="Arial" w:hAnsi="Arial" w:cs="Arial"/>
          <w:sz w:val="20"/>
          <w:szCs w:val="20"/>
        </w:rPr>
        <w:t>= moisture content on wet basis (%)</w:t>
      </w:r>
    </w:p>
    <w:p w14:paraId="3AE2889E" w14:textId="5E22CE62" w:rsidR="00007C12" w:rsidRPr="00B56144" w:rsidRDefault="00000000" w:rsidP="00F51FB1">
      <w:pPr>
        <w:spacing w:line="360" w:lineRule="auto"/>
        <w:ind w:left="720"/>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i</m:t>
            </m:r>
          </m:sub>
        </m:sSub>
      </m:oMath>
      <w:r w:rsidR="00007C12" w:rsidRPr="00B56144">
        <w:rPr>
          <w:rFonts w:ascii="Arial" w:hAnsi="Arial" w:cs="Arial"/>
          <w:sz w:val="20"/>
          <w:szCs w:val="20"/>
        </w:rPr>
        <w:t>= initial mass of sample before oven drying (g)</w:t>
      </w:r>
    </w:p>
    <w:p w14:paraId="1F9FED97" w14:textId="5EE554F9" w:rsidR="00007C12" w:rsidRPr="00B56144" w:rsidRDefault="00000000" w:rsidP="00F51FB1">
      <w:pPr>
        <w:spacing w:line="360" w:lineRule="auto"/>
        <w:ind w:left="720"/>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d</m:t>
            </m:r>
          </m:sub>
        </m:sSub>
      </m:oMath>
      <w:r w:rsidR="00007C12" w:rsidRPr="00B56144">
        <w:rPr>
          <w:rFonts w:ascii="Arial" w:hAnsi="Arial" w:cs="Arial"/>
          <w:sz w:val="20"/>
          <w:szCs w:val="20"/>
        </w:rPr>
        <w:t xml:space="preserve"> = mass of sample after oven drying to constant weight (g)</w:t>
      </w:r>
    </w:p>
    <w:p w14:paraId="38B85F69" w14:textId="03D2BC92" w:rsidR="007A05C8" w:rsidRPr="00B56144" w:rsidRDefault="00AF7D6E" w:rsidP="007A05C8">
      <w:pPr>
        <w:spacing w:line="360" w:lineRule="auto"/>
        <w:jc w:val="both"/>
        <w:rPr>
          <w:rFonts w:ascii="Arial" w:hAnsi="Arial" w:cs="Arial"/>
          <w:b/>
          <w:bCs/>
          <w:sz w:val="22"/>
          <w:szCs w:val="22"/>
        </w:rPr>
      </w:pPr>
      <w:r w:rsidRPr="00B56144">
        <w:rPr>
          <w:rFonts w:ascii="Arial" w:hAnsi="Arial" w:cs="Arial"/>
          <w:b/>
          <w:bCs/>
          <w:sz w:val="22"/>
          <w:szCs w:val="22"/>
        </w:rPr>
        <w:lastRenderedPageBreak/>
        <w:t xml:space="preserve">2.6 </w:t>
      </w:r>
      <w:r w:rsidR="007A05C8" w:rsidRPr="00B56144">
        <w:rPr>
          <w:rFonts w:ascii="Arial" w:hAnsi="Arial" w:cs="Arial"/>
          <w:b/>
          <w:bCs/>
          <w:sz w:val="22"/>
          <w:szCs w:val="22"/>
        </w:rPr>
        <w:t>Engineering properties of fresh nutmeg mace</w:t>
      </w:r>
    </w:p>
    <w:p w14:paraId="5ADA7DC5" w14:textId="5F5E5AE5" w:rsidR="007A05C8" w:rsidRPr="00B56144" w:rsidRDefault="007A05C8" w:rsidP="00B56144">
      <w:pPr>
        <w:spacing w:line="360" w:lineRule="auto"/>
        <w:jc w:val="both"/>
        <w:rPr>
          <w:rFonts w:ascii="Arial" w:hAnsi="Arial" w:cs="Arial"/>
          <w:sz w:val="20"/>
          <w:szCs w:val="20"/>
        </w:rPr>
      </w:pPr>
      <w:r w:rsidRPr="00B56144">
        <w:rPr>
          <w:rFonts w:ascii="Arial" w:hAnsi="Arial" w:cs="Arial"/>
          <w:sz w:val="20"/>
          <w:szCs w:val="20"/>
        </w:rPr>
        <w:t xml:space="preserve">The engineering properties of fresh nutmeg mace were determined in order to generate the physical data required for the design and optimisation of drying, handling and post-harvest processing operations. The principal dimensions of nutmeg mace, namely length, width and thickness, were measured for randomly selected samples using a digital vernier </w:t>
      </w:r>
      <w:proofErr w:type="spellStart"/>
      <w:r w:rsidRPr="00B56144">
        <w:rPr>
          <w:rFonts w:ascii="Arial" w:hAnsi="Arial" w:cs="Arial"/>
          <w:sz w:val="20"/>
          <w:szCs w:val="20"/>
        </w:rPr>
        <w:t>caliper</w:t>
      </w:r>
      <w:proofErr w:type="spellEnd"/>
      <w:r w:rsidRPr="00B56144">
        <w:rPr>
          <w:rFonts w:ascii="Arial" w:hAnsi="Arial" w:cs="Arial"/>
          <w:sz w:val="20"/>
          <w:szCs w:val="20"/>
        </w:rPr>
        <w:t xml:space="preserve"> with an accuracy of 0.01 mm. The measured dimensional parameters were used to compute the sphericity of nutmeg mace in accordance with the method described by </w:t>
      </w:r>
      <w:proofErr w:type="spellStart"/>
      <w:r w:rsidRPr="00B56144">
        <w:rPr>
          <w:rFonts w:ascii="Arial" w:hAnsi="Arial" w:cs="Arial"/>
          <w:sz w:val="20"/>
          <w:szCs w:val="20"/>
        </w:rPr>
        <w:t>Mohsenin</w:t>
      </w:r>
      <w:proofErr w:type="spellEnd"/>
      <w:r w:rsidRPr="00B56144">
        <w:rPr>
          <w:rFonts w:ascii="Arial" w:hAnsi="Arial" w:cs="Arial"/>
          <w:sz w:val="20"/>
          <w:szCs w:val="20"/>
        </w:rPr>
        <w:t xml:space="preserve"> (1986). The bulk density of nutmeg mace was determined by gently filling a container of known volume with the samples without applying any external compaction and recording the corresponding mass. Bulk density was calculated as the ratio of the sample mass to the occupied volume, following the procedure reported by </w:t>
      </w:r>
      <w:proofErr w:type="spellStart"/>
      <w:r w:rsidR="00136AB5" w:rsidRPr="00B56144">
        <w:rPr>
          <w:rFonts w:ascii="Arial" w:hAnsi="Arial" w:cs="Arial"/>
          <w:sz w:val="20"/>
          <w:szCs w:val="20"/>
        </w:rPr>
        <w:t>Yoha</w:t>
      </w:r>
      <w:proofErr w:type="spellEnd"/>
      <w:r w:rsidR="00136AB5" w:rsidRPr="00B56144">
        <w:rPr>
          <w:rFonts w:ascii="Arial" w:hAnsi="Arial" w:cs="Arial"/>
          <w:sz w:val="20"/>
          <w:szCs w:val="20"/>
        </w:rPr>
        <w:t xml:space="preserve"> et al. (2020)</w:t>
      </w:r>
      <w:r w:rsidRPr="00B56144">
        <w:rPr>
          <w:rFonts w:ascii="Arial" w:hAnsi="Arial" w:cs="Arial"/>
          <w:sz w:val="20"/>
          <w:szCs w:val="20"/>
        </w:rPr>
        <w:t xml:space="preserve">. The true density of nutmeg mace was determined using the toluene displacement method as described by </w:t>
      </w:r>
      <w:proofErr w:type="spellStart"/>
      <w:r w:rsidRPr="00B56144">
        <w:rPr>
          <w:rFonts w:ascii="Arial" w:hAnsi="Arial" w:cs="Arial"/>
          <w:sz w:val="20"/>
          <w:szCs w:val="20"/>
        </w:rPr>
        <w:t>Mohsenin</w:t>
      </w:r>
      <w:proofErr w:type="spellEnd"/>
      <w:r w:rsidRPr="00B56144">
        <w:rPr>
          <w:rFonts w:ascii="Arial" w:hAnsi="Arial" w:cs="Arial"/>
          <w:sz w:val="20"/>
          <w:szCs w:val="20"/>
        </w:rPr>
        <w:t xml:space="preserve"> (1986). The porosity of nutmeg mace was subsequently calculated from the experimentally determined bulk and true density values using the relationship reported by </w:t>
      </w:r>
      <w:proofErr w:type="spellStart"/>
      <w:r w:rsidRPr="00B56144">
        <w:rPr>
          <w:rFonts w:ascii="Arial" w:hAnsi="Arial" w:cs="Arial"/>
          <w:sz w:val="20"/>
          <w:szCs w:val="20"/>
        </w:rPr>
        <w:t>Rajoriya</w:t>
      </w:r>
      <w:proofErr w:type="spellEnd"/>
      <w:r w:rsidRPr="00B56144">
        <w:rPr>
          <w:rFonts w:ascii="Arial" w:hAnsi="Arial" w:cs="Arial"/>
          <w:sz w:val="20"/>
          <w:szCs w:val="20"/>
        </w:rPr>
        <w:t xml:space="preserve"> et al. (202</w:t>
      </w:r>
      <w:r w:rsidR="00136AB5" w:rsidRPr="00B56144">
        <w:rPr>
          <w:rFonts w:ascii="Arial" w:hAnsi="Arial" w:cs="Arial"/>
          <w:sz w:val="20"/>
          <w:szCs w:val="20"/>
        </w:rPr>
        <w:t>0</w:t>
      </w:r>
      <w:r w:rsidRPr="00B56144">
        <w:rPr>
          <w:rFonts w:ascii="Arial" w:hAnsi="Arial" w:cs="Arial"/>
          <w:sz w:val="20"/>
          <w:szCs w:val="20"/>
        </w:rPr>
        <w:t xml:space="preserve">). The colour characteristics of fresh nutmeg mace were determined in terms of CIE L*, a* and b* coordinates using a colour measuring instrument. The chroma (C*) and hue angle (h°) values were calculated from the measured L*, a* and b* values in accordance with the standard </w:t>
      </w:r>
      <w:proofErr w:type="spellStart"/>
      <w:r w:rsidRPr="00B56144">
        <w:rPr>
          <w:rFonts w:ascii="Arial" w:hAnsi="Arial" w:cs="Arial"/>
          <w:sz w:val="20"/>
          <w:szCs w:val="20"/>
        </w:rPr>
        <w:t>colourimetric</w:t>
      </w:r>
      <w:proofErr w:type="spellEnd"/>
      <w:r w:rsidRPr="00B56144">
        <w:rPr>
          <w:rFonts w:ascii="Arial" w:hAnsi="Arial" w:cs="Arial"/>
          <w:sz w:val="20"/>
          <w:szCs w:val="20"/>
        </w:rPr>
        <w:t xml:space="preserve"> relationships described by </w:t>
      </w:r>
      <w:r w:rsidR="00956181" w:rsidRPr="00B56144">
        <w:rPr>
          <w:rFonts w:ascii="Arial" w:hAnsi="Arial" w:cs="Arial"/>
          <w:sz w:val="20"/>
          <w:szCs w:val="20"/>
        </w:rPr>
        <w:t xml:space="preserve">Pathare et al. </w:t>
      </w:r>
      <w:r w:rsidRPr="00B56144">
        <w:rPr>
          <w:rFonts w:ascii="Arial" w:hAnsi="Arial" w:cs="Arial"/>
          <w:sz w:val="20"/>
          <w:szCs w:val="20"/>
        </w:rPr>
        <w:t>(20</w:t>
      </w:r>
      <w:r w:rsidR="00956181" w:rsidRPr="00B56144">
        <w:rPr>
          <w:rFonts w:ascii="Arial" w:hAnsi="Arial" w:cs="Arial"/>
          <w:sz w:val="20"/>
          <w:szCs w:val="20"/>
        </w:rPr>
        <w:t>13</w:t>
      </w:r>
      <w:r w:rsidRPr="00B56144">
        <w:rPr>
          <w:rFonts w:ascii="Arial" w:hAnsi="Arial" w:cs="Arial"/>
          <w:sz w:val="20"/>
          <w:szCs w:val="20"/>
        </w:rPr>
        <w:t>).</w:t>
      </w:r>
    </w:p>
    <w:p w14:paraId="2F780BFC" w14:textId="7409412E" w:rsidR="001C25B0" w:rsidRPr="00B56144" w:rsidRDefault="001C25B0" w:rsidP="001C25B0">
      <w:pPr>
        <w:spacing w:line="360" w:lineRule="auto"/>
        <w:jc w:val="both"/>
        <w:rPr>
          <w:rFonts w:ascii="Arial" w:hAnsi="Arial" w:cs="Arial"/>
          <w:b/>
          <w:bCs/>
          <w:sz w:val="22"/>
          <w:szCs w:val="22"/>
        </w:rPr>
      </w:pPr>
      <w:r w:rsidRPr="00B56144">
        <w:rPr>
          <w:rFonts w:ascii="Arial" w:hAnsi="Arial" w:cs="Arial"/>
          <w:b/>
          <w:bCs/>
          <w:sz w:val="22"/>
          <w:szCs w:val="22"/>
        </w:rPr>
        <w:t>2.</w:t>
      </w:r>
      <w:r w:rsidR="00AF7D6E" w:rsidRPr="00B56144">
        <w:rPr>
          <w:rFonts w:ascii="Arial" w:hAnsi="Arial" w:cs="Arial"/>
          <w:b/>
          <w:bCs/>
          <w:sz w:val="22"/>
          <w:szCs w:val="22"/>
        </w:rPr>
        <w:t>7</w:t>
      </w:r>
      <w:r w:rsidRPr="00B56144">
        <w:rPr>
          <w:rFonts w:ascii="Arial" w:hAnsi="Arial" w:cs="Arial"/>
          <w:b/>
          <w:bCs/>
          <w:sz w:val="22"/>
          <w:szCs w:val="22"/>
        </w:rPr>
        <w:t xml:space="preserve"> Drying characteristics</w:t>
      </w:r>
    </w:p>
    <w:p w14:paraId="189CC59E" w14:textId="6344341C" w:rsidR="001C25B0" w:rsidRPr="00B56144" w:rsidRDefault="001C25B0" w:rsidP="00B56144">
      <w:pPr>
        <w:spacing w:line="360" w:lineRule="auto"/>
        <w:jc w:val="both"/>
        <w:rPr>
          <w:rFonts w:ascii="Arial" w:hAnsi="Arial" w:cs="Arial"/>
          <w:sz w:val="20"/>
          <w:szCs w:val="20"/>
        </w:rPr>
      </w:pPr>
      <w:r w:rsidRPr="00B56144">
        <w:rPr>
          <w:rFonts w:ascii="Arial" w:hAnsi="Arial" w:cs="Arial"/>
          <w:sz w:val="20"/>
          <w:szCs w:val="20"/>
        </w:rPr>
        <w:t xml:space="preserve">Drying experiments were conducted using 100 g of fresh nutmeg mace for each experimental run. During both </w:t>
      </w:r>
      <w:proofErr w:type="spellStart"/>
      <w:r w:rsidRPr="00B56144">
        <w:rPr>
          <w:rFonts w:ascii="Arial" w:hAnsi="Arial" w:cs="Arial"/>
          <w:sz w:val="20"/>
          <w:szCs w:val="20"/>
        </w:rPr>
        <w:t>refractance</w:t>
      </w:r>
      <w:proofErr w:type="spellEnd"/>
      <w:r w:rsidRPr="00B56144">
        <w:rPr>
          <w:rFonts w:ascii="Arial" w:hAnsi="Arial" w:cs="Arial"/>
          <w:sz w:val="20"/>
          <w:szCs w:val="20"/>
        </w:rPr>
        <w:t xml:space="preserve"> window drying and hot-air drying, the samples were removed at 30 min intervals and weighed using a digital balance to monitor moisture loss. Drying was continued until the samples attained a final moisture content in the range of 7–10% (wet basis). All experiments were carried out in triplicate.</w:t>
      </w:r>
    </w:p>
    <w:p w14:paraId="5155EECD" w14:textId="52B3F4A6" w:rsidR="001C25B0" w:rsidRPr="00B56144" w:rsidRDefault="001C25B0" w:rsidP="001C25B0">
      <w:pPr>
        <w:spacing w:line="360" w:lineRule="auto"/>
        <w:jc w:val="both"/>
        <w:rPr>
          <w:rFonts w:ascii="Arial" w:hAnsi="Arial" w:cs="Arial"/>
          <w:b/>
          <w:bCs/>
          <w:sz w:val="20"/>
          <w:szCs w:val="20"/>
        </w:rPr>
      </w:pPr>
      <w:r w:rsidRPr="00B56144">
        <w:rPr>
          <w:rFonts w:ascii="Arial" w:hAnsi="Arial" w:cs="Arial"/>
          <w:b/>
          <w:bCs/>
          <w:sz w:val="20"/>
          <w:szCs w:val="20"/>
        </w:rPr>
        <w:t>2.</w:t>
      </w:r>
      <w:r w:rsidR="00AF7D6E" w:rsidRPr="00B56144">
        <w:rPr>
          <w:rFonts w:ascii="Arial" w:hAnsi="Arial" w:cs="Arial"/>
          <w:b/>
          <w:bCs/>
          <w:sz w:val="20"/>
          <w:szCs w:val="20"/>
        </w:rPr>
        <w:t>7</w:t>
      </w:r>
      <w:r w:rsidRPr="00B56144">
        <w:rPr>
          <w:rFonts w:ascii="Arial" w:hAnsi="Arial" w:cs="Arial"/>
          <w:b/>
          <w:bCs/>
          <w:sz w:val="20"/>
          <w:szCs w:val="20"/>
        </w:rPr>
        <w:t>.1 Drying kinetics</w:t>
      </w:r>
    </w:p>
    <w:p w14:paraId="68B71559" w14:textId="71715735" w:rsidR="001C25B0" w:rsidRPr="00B56144" w:rsidRDefault="001C25B0" w:rsidP="00B56144">
      <w:pPr>
        <w:spacing w:line="360" w:lineRule="auto"/>
        <w:jc w:val="both"/>
        <w:rPr>
          <w:rFonts w:ascii="Arial" w:hAnsi="Arial" w:cs="Arial"/>
          <w:sz w:val="20"/>
          <w:szCs w:val="20"/>
        </w:rPr>
      </w:pPr>
      <w:r w:rsidRPr="00B56144">
        <w:rPr>
          <w:rFonts w:ascii="Arial" w:hAnsi="Arial" w:cs="Arial"/>
          <w:sz w:val="20"/>
          <w:szCs w:val="20"/>
        </w:rPr>
        <w:t xml:space="preserve">The drying behaviour of nutmeg mace was analysed in terms of moisture ratio and drying rate. The moisture ratio (MR) was calculated </w:t>
      </w:r>
      <w:r w:rsidR="00203B1B" w:rsidRPr="00B56144">
        <w:rPr>
          <w:rFonts w:ascii="Arial" w:hAnsi="Arial" w:cs="Arial"/>
          <w:sz w:val="20"/>
          <w:szCs w:val="20"/>
        </w:rPr>
        <w:t xml:space="preserve">using </w:t>
      </w:r>
      <w:r w:rsidR="00AF7D6E" w:rsidRPr="00B56144">
        <w:rPr>
          <w:rFonts w:ascii="Arial" w:hAnsi="Arial" w:cs="Arial"/>
          <w:sz w:val="20"/>
          <w:szCs w:val="20"/>
        </w:rPr>
        <w:t>Eqn. 2</w:t>
      </w:r>
      <w:r w:rsidR="00203B1B" w:rsidRPr="00B56144">
        <w:rPr>
          <w:rFonts w:ascii="Arial" w:hAnsi="Arial" w:cs="Arial"/>
          <w:sz w:val="20"/>
          <w:szCs w:val="20"/>
        </w:rPr>
        <w:t xml:space="preserve"> (Nguyen et al., 2022)</w:t>
      </w:r>
      <w:r w:rsidR="00AF7D6E" w:rsidRPr="00B56144">
        <w:rPr>
          <w:rFonts w:ascii="Arial" w:hAnsi="Arial" w:cs="Arial"/>
          <w:sz w:val="20"/>
          <w:szCs w:val="20"/>
        </w:rPr>
        <w:t>.</w:t>
      </w:r>
    </w:p>
    <w:p w14:paraId="758B2D81" w14:textId="77777777" w:rsidR="001D4320" w:rsidRPr="00B56144" w:rsidRDefault="001C25B0" w:rsidP="001D4320">
      <w:pPr>
        <w:spacing w:line="360" w:lineRule="auto"/>
        <w:jc w:val="center"/>
        <w:rPr>
          <w:rFonts w:ascii="Arial" w:eastAsiaTheme="minorEastAsia" w:hAnsi="Arial" w:cs="Arial"/>
          <w:sz w:val="20"/>
          <w:szCs w:val="20"/>
        </w:rPr>
      </w:pPr>
      <m:oMath>
        <m:r>
          <w:rPr>
            <w:rFonts w:ascii="Cambria Math" w:hAnsi="Cambria Math" w:cs="Arial"/>
            <w:sz w:val="20"/>
            <w:szCs w:val="20"/>
          </w:rPr>
          <m:t>MR=</m:t>
        </m:r>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M</m:t>
                </m:r>
              </m:e>
              <m:sub>
                <m:r>
                  <w:rPr>
                    <w:rFonts w:ascii="Cambria Math" w:hAnsi="Cambria Math" w:cs="Arial"/>
                    <w:sz w:val="20"/>
                    <w:szCs w:val="20"/>
                  </w:rPr>
                  <m:t>t</m:t>
                </m:r>
              </m:sub>
            </m:sSub>
          </m:num>
          <m:den>
            <m:sSub>
              <m:sSubPr>
                <m:ctrlPr>
                  <w:rPr>
                    <w:rFonts w:ascii="Cambria Math" w:hAnsi="Cambria Math" w:cs="Arial"/>
                    <w:sz w:val="20"/>
                    <w:szCs w:val="20"/>
                  </w:rPr>
                </m:ctrlPr>
              </m:sSubPr>
              <m:e>
                <m:r>
                  <w:rPr>
                    <w:rFonts w:ascii="Cambria Math" w:hAnsi="Cambria Math" w:cs="Arial"/>
                    <w:sz w:val="20"/>
                    <w:szCs w:val="20"/>
                  </w:rPr>
                  <m:t>M</m:t>
                </m:r>
              </m:e>
              <m:sub>
                <m:r>
                  <w:rPr>
                    <w:rFonts w:ascii="Cambria Math" w:hAnsi="Cambria Math" w:cs="Arial"/>
                    <w:sz w:val="20"/>
                    <w:szCs w:val="20"/>
                  </w:rPr>
                  <m:t>0</m:t>
                </m:r>
              </m:sub>
            </m:sSub>
          </m:den>
        </m:f>
      </m:oMath>
      <w:r w:rsidR="00AF7D6E" w:rsidRPr="00B56144">
        <w:rPr>
          <w:rFonts w:ascii="Arial" w:eastAsiaTheme="minorEastAsia" w:hAnsi="Arial" w:cs="Arial"/>
          <w:sz w:val="20"/>
          <w:szCs w:val="20"/>
        </w:rPr>
        <w:t xml:space="preserve">                                   (2)</w:t>
      </w:r>
    </w:p>
    <w:p w14:paraId="66391CA9" w14:textId="775DA166" w:rsidR="001C25B0" w:rsidRPr="00B56144" w:rsidRDefault="001C25B0" w:rsidP="001D4320">
      <w:pPr>
        <w:spacing w:line="360" w:lineRule="auto"/>
        <w:jc w:val="both"/>
        <w:rPr>
          <w:rFonts w:ascii="Arial" w:hAnsi="Arial" w:cs="Arial"/>
          <w:sz w:val="20"/>
          <w:szCs w:val="20"/>
        </w:rPr>
      </w:pPr>
      <w:r w:rsidRPr="00B56144">
        <w:rPr>
          <w:rFonts w:ascii="Arial" w:hAnsi="Arial" w:cs="Arial"/>
          <w:sz w:val="20"/>
          <w:szCs w:val="20"/>
        </w:rPr>
        <w:t xml:space="preserve">where </w:t>
      </w:r>
      <m:oMath>
        <m:sSub>
          <m:sSubPr>
            <m:ctrlPr>
              <w:rPr>
                <w:rFonts w:ascii="Cambria Math" w:hAnsi="Cambria Math" w:cs="Arial"/>
                <w:sz w:val="20"/>
                <w:szCs w:val="20"/>
              </w:rPr>
            </m:ctrlPr>
          </m:sSubPr>
          <m:e>
            <m:r>
              <w:rPr>
                <w:rFonts w:ascii="Cambria Math" w:hAnsi="Cambria Math" w:cs="Arial"/>
                <w:sz w:val="20"/>
                <w:szCs w:val="20"/>
              </w:rPr>
              <m:t>M</m:t>
            </m:r>
          </m:e>
          <m:sub>
            <m:r>
              <w:rPr>
                <w:rFonts w:ascii="Cambria Math" w:hAnsi="Cambria Math" w:cs="Arial"/>
                <w:sz w:val="20"/>
                <w:szCs w:val="20"/>
              </w:rPr>
              <m:t>t</m:t>
            </m:r>
          </m:sub>
        </m:sSub>
      </m:oMath>
      <w:r w:rsidRPr="00B56144">
        <w:rPr>
          <w:rFonts w:ascii="Arial" w:hAnsi="Arial" w:cs="Arial"/>
          <w:sz w:val="20"/>
          <w:szCs w:val="20"/>
        </w:rPr>
        <w:t xml:space="preserve">is the moisture content at time </w:t>
      </w:r>
      <m:oMath>
        <m:r>
          <w:rPr>
            <w:rFonts w:ascii="Cambria Math" w:hAnsi="Cambria Math" w:cs="Arial"/>
            <w:sz w:val="20"/>
            <w:szCs w:val="20"/>
          </w:rPr>
          <m:t>t</m:t>
        </m:r>
      </m:oMath>
      <w:r w:rsidRPr="00B56144">
        <w:rPr>
          <w:rFonts w:ascii="Arial" w:hAnsi="Arial" w:cs="Arial"/>
          <w:sz w:val="20"/>
          <w:szCs w:val="20"/>
        </w:rPr>
        <w:t xml:space="preserve">and </w:t>
      </w:r>
      <m:oMath>
        <m:sSub>
          <m:sSubPr>
            <m:ctrlPr>
              <w:rPr>
                <w:rFonts w:ascii="Cambria Math" w:hAnsi="Cambria Math" w:cs="Arial"/>
                <w:sz w:val="20"/>
                <w:szCs w:val="20"/>
              </w:rPr>
            </m:ctrlPr>
          </m:sSubPr>
          <m:e>
            <m:r>
              <w:rPr>
                <w:rFonts w:ascii="Cambria Math" w:hAnsi="Cambria Math" w:cs="Arial"/>
                <w:sz w:val="20"/>
                <w:szCs w:val="20"/>
              </w:rPr>
              <m:t>M</m:t>
            </m:r>
          </m:e>
          <m:sub>
            <m:r>
              <w:rPr>
                <w:rFonts w:ascii="Cambria Math" w:hAnsi="Cambria Math" w:cs="Arial"/>
                <w:sz w:val="20"/>
                <w:szCs w:val="20"/>
              </w:rPr>
              <m:t>0</m:t>
            </m:r>
          </m:sub>
        </m:sSub>
      </m:oMath>
      <w:r w:rsidRPr="00B56144">
        <w:rPr>
          <w:rFonts w:ascii="Arial" w:hAnsi="Arial" w:cs="Arial"/>
          <w:sz w:val="20"/>
          <w:szCs w:val="20"/>
        </w:rPr>
        <w:t>is the initial moisture content.</w:t>
      </w:r>
    </w:p>
    <w:p w14:paraId="380D6872" w14:textId="0978C215" w:rsidR="001C25B0" w:rsidRPr="00B56144" w:rsidRDefault="001C25B0" w:rsidP="00B56144">
      <w:pPr>
        <w:spacing w:line="360" w:lineRule="auto"/>
        <w:jc w:val="both"/>
        <w:rPr>
          <w:rFonts w:ascii="Arial" w:hAnsi="Arial" w:cs="Arial"/>
          <w:sz w:val="20"/>
          <w:szCs w:val="20"/>
        </w:rPr>
      </w:pPr>
      <w:r w:rsidRPr="00B56144">
        <w:rPr>
          <w:rFonts w:ascii="Arial" w:hAnsi="Arial" w:cs="Arial"/>
          <w:sz w:val="20"/>
          <w:szCs w:val="20"/>
        </w:rPr>
        <w:t xml:space="preserve">The drying rate (DR) </w:t>
      </w:r>
      <w:r w:rsidR="00203B1B" w:rsidRPr="00B56144">
        <w:rPr>
          <w:rFonts w:ascii="Arial" w:hAnsi="Arial" w:cs="Arial"/>
          <w:sz w:val="20"/>
          <w:szCs w:val="20"/>
        </w:rPr>
        <w:t xml:space="preserve">indicative of the mass of water evaporated per unit time </w:t>
      </w:r>
      <w:r w:rsidRPr="00B56144">
        <w:rPr>
          <w:rFonts w:ascii="Arial" w:hAnsi="Arial" w:cs="Arial"/>
          <w:sz w:val="20"/>
          <w:szCs w:val="20"/>
        </w:rPr>
        <w:t>was calculated as</w:t>
      </w:r>
      <w:r w:rsidR="00203B1B" w:rsidRPr="00B56144">
        <w:rPr>
          <w:rFonts w:ascii="Arial" w:hAnsi="Arial" w:cs="Arial"/>
          <w:sz w:val="20"/>
          <w:szCs w:val="20"/>
        </w:rPr>
        <w:t xml:space="preserve"> given in Eqn</w:t>
      </w:r>
      <w:r w:rsidR="004A7A54" w:rsidRPr="00B56144">
        <w:rPr>
          <w:rFonts w:ascii="Arial" w:hAnsi="Arial" w:cs="Arial"/>
          <w:sz w:val="20"/>
          <w:szCs w:val="20"/>
        </w:rPr>
        <w:t>.</w:t>
      </w:r>
      <w:r w:rsidR="00AF7D6E" w:rsidRPr="00B56144">
        <w:rPr>
          <w:rFonts w:ascii="Arial" w:hAnsi="Arial" w:cs="Arial"/>
          <w:sz w:val="20"/>
          <w:szCs w:val="20"/>
        </w:rPr>
        <w:t xml:space="preserve"> 3</w:t>
      </w:r>
      <w:r w:rsidR="004A7A54" w:rsidRPr="00B56144">
        <w:rPr>
          <w:rFonts w:ascii="Arial" w:hAnsi="Arial" w:cs="Arial"/>
          <w:color w:val="303030"/>
          <w:sz w:val="20"/>
          <w:szCs w:val="20"/>
          <w:shd w:val="clear" w:color="auto" w:fill="FFFFFF"/>
        </w:rPr>
        <w:t xml:space="preserve"> </w:t>
      </w:r>
      <w:r w:rsidR="004A7A54" w:rsidRPr="00B56144">
        <w:rPr>
          <w:rFonts w:ascii="Arial" w:hAnsi="Arial" w:cs="Arial"/>
          <w:sz w:val="20"/>
          <w:szCs w:val="20"/>
        </w:rPr>
        <w:t>(Ali et al., 2024).</w:t>
      </w:r>
    </w:p>
    <w:p w14:paraId="3004C796" w14:textId="77777777" w:rsidR="001D4320" w:rsidRPr="00B56144" w:rsidRDefault="001C25B0" w:rsidP="001D4320">
      <w:pPr>
        <w:spacing w:line="360" w:lineRule="auto"/>
        <w:jc w:val="center"/>
        <w:rPr>
          <w:rFonts w:ascii="Arial" w:eastAsiaTheme="minorEastAsia" w:hAnsi="Arial" w:cs="Arial"/>
          <w:sz w:val="20"/>
          <w:szCs w:val="20"/>
        </w:rPr>
      </w:pPr>
      <m:oMath>
        <m:r>
          <w:rPr>
            <w:rFonts w:ascii="Cambria Math" w:hAnsi="Cambria Math" w:cs="Arial"/>
            <w:sz w:val="20"/>
            <w:szCs w:val="20"/>
          </w:rPr>
          <m:t>DR=</m:t>
        </m:r>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M</m:t>
                </m:r>
              </m:e>
              <m:sub>
                <m:r>
                  <w:rPr>
                    <w:rFonts w:ascii="Cambria Math" w:hAnsi="Cambria Math" w:cs="Arial"/>
                    <w:sz w:val="20"/>
                    <w:szCs w:val="20"/>
                  </w:rPr>
                  <m:t>t+</m:t>
                </m:r>
                <m:r>
                  <m:rPr>
                    <m:sty m:val="p"/>
                  </m:rPr>
                  <w:rPr>
                    <w:rFonts w:ascii="Cambria Math" w:hAnsi="Cambria Math" w:cs="Arial"/>
                    <w:sz w:val="20"/>
                    <w:szCs w:val="20"/>
                  </w:rPr>
                  <m:t>Δ</m:t>
                </m:r>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M</m:t>
                </m:r>
              </m:e>
              <m:sub>
                <m:r>
                  <w:rPr>
                    <w:rFonts w:ascii="Cambria Math" w:hAnsi="Cambria Math" w:cs="Arial"/>
                    <w:sz w:val="20"/>
                    <w:szCs w:val="20"/>
                  </w:rPr>
                  <m:t>t</m:t>
                </m:r>
              </m:sub>
            </m:sSub>
          </m:num>
          <m:den>
            <m:r>
              <m:rPr>
                <m:sty m:val="p"/>
              </m:rPr>
              <w:rPr>
                <w:rFonts w:ascii="Cambria Math" w:hAnsi="Cambria Math" w:cs="Arial"/>
                <w:sz w:val="20"/>
                <w:szCs w:val="20"/>
              </w:rPr>
              <m:t>Δ</m:t>
            </m:r>
            <m:r>
              <w:rPr>
                <w:rFonts w:ascii="Cambria Math" w:hAnsi="Cambria Math" w:cs="Arial"/>
                <w:sz w:val="20"/>
                <w:szCs w:val="20"/>
              </w:rPr>
              <m:t>t</m:t>
            </m:r>
          </m:den>
        </m:f>
      </m:oMath>
      <w:r w:rsidR="00AF7D6E" w:rsidRPr="00B56144">
        <w:rPr>
          <w:rFonts w:ascii="Arial" w:eastAsiaTheme="minorEastAsia" w:hAnsi="Arial" w:cs="Arial"/>
          <w:sz w:val="20"/>
          <w:szCs w:val="20"/>
        </w:rPr>
        <w:t xml:space="preserve">                         (3)</w:t>
      </w:r>
    </w:p>
    <w:p w14:paraId="47C0445A" w14:textId="4269881B" w:rsidR="004A7A54" w:rsidRPr="00B56144" w:rsidRDefault="001C25B0" w:rsidP="001D4320">
      <w:pPr>
        <w:spacing w:line="360" w:lineRule="auto"/>
        <w:jc w:val="both"/>
        <w:rPr>
          <w:rFonts w:ascii="Arial" w:hAnsi="Arial" w:cs="Arial"/>
          <w:sz w:val="20"/>
          <w:szCs w:val="20"/>
        </w:rPr>
      </w:pPr>
      <w:r w:rsidRPr="00B56144">
        <w:rPr>
          <w:rFonts w:ascii="Arial" w:hAnsi="Arial" w:cs="Arial"/>
          <w:sz w:val="20"/>
          <w:szCs w:val="20"/>
        </w:rPr>
        <w:t xml:space="preserve">where </w:t>
      </w:r>
      <m:oMath>
        <m:sSub>
          <m:sSubPr>
            <m:ctrlPr>
              <w:rPr>
                <w:rFonts w:ascii="Cambria Math" w:hAnsi="Cambria Math" w:cs="Arial"/>
                <w:sz w:val="20"/>
                <w:szCs w:val="20"/>
              </w:rPr>
            </m:ctrlPr>
          </m:sSubPr>
          <m:e>
            <m:r>
              <w:rPr>
                <w:rFonts w:ascii="Cambria Math" w:hAnsi="Cambria Math" w:cs="Arial"/>
                <w:sz w:val="20"/>
                <w:szCs w:val="20"/>
              </w:rPr>
              <m:t>M</m:t>
            </m:r>
          </m:e>
          <m:sub>
            <m:r>
              <w:rPr>
                <w:rFonts w:ascii="Cambria Math" w:hAnsi="Cambria Math" w:cs="Arial"/>
                <w:sz w:val="20"/>
                <w:szCs w:val="20"/>
              </w:rPr>
              <m:t>t</m:t>
            </m:r>
          </m:sub>
        </m:sSub>
      </m:oMath>
      <w:r w:rsidRPr="00B56144">
        <w:rPr>
          <w:rFonts w:ascii="Arial" w:hAnsi="Arial" w:cs="Arial"/>
          <w:sz w:val="20"/>
          <w:szCs w:val="20"/>
        </w:rPr>
        <w:t xml:space="preserve">and </w:t>
      </w:r>
      <m:oMath>
        <m:sSub>
          <m:sSubPr>
            <m:ctrlPr>
              <w:rPr>
                <w:rFonts w:ascii="Cambria Math" w:hAnsi="Cambria Math" w:cs="Arial"/>
                <w:sz w:val="20"/>
                <w:szCs w:val="20"/>
              </w:rPr>
            </m:ctrlPr>
          </m:sSubPr>
          <m:e>
            <m:r>
              <w:rPr>
                <w:rFonts w:ascii="Cambria Math" w:hAnsi="Cambria Math" w:cs="Arial"/>
                <w:sz w:val="20"/>
                <w:szCs w:val="20"/>
              </w:rPr>
              <m:t>M</m:t>
            </m:r>
          </m:e>
          <m:sub>
            <m:r>
              <w:rPr>
                <w:rFonts w:ascii="Cambria Math" w:hAnsi="Cambria Math" w:cs="Arial"/>
                <w:sz w:val="20"/>
                <w:szCs w:val="20"/>
              </w:rPr>
              <m:t>t+</m:t>
            </m:r>
            <m:r>
              <m:rPr>
                <m:sty m:val="p"/>
              </m:rPr>
              <w:rPr>
                <w:rFonts w:ascii="Cambria Math" w:hAnsi="Cambria Math" w:cs="Arial"/>
                <w:sz w:val="20"/>
                <w:szCs w:val="20"/>
              </w:rPr>
              <m:t>Δ</m:t>
            </m:r>
            <m:r>
              <w:rPr>
                <w:rFonts w:ascii="Cambria Math" w:hAnsi="Cambria Math" w:cs="Arial"/>
                <w:sz w:val="20"/>
                <w:szCs w:val="20"/>
              </w:rPr>
              <m:t>t</m:t>
            </m:r>
          </m:sub>
        </m:sSub>
      </m:oMath>
      <w:r w:rsidRPr="00B56144">
        <w:rPr>
          <w:rFonts w:ascii="Arial" w:hAnsi="Arial" w:cs="Arial"/>
          <w:sz w:val="20"/>
          <w:szCs w:val="20"/>
        </w:rPr>
        <w:t xml:space="preserve">represent the moisture contents at time </w:t>
      </w:r>
      <m:oMath>
        <m:r>
          <w:rPr>
            <w:rFonts w:ascii="Cambria Math" w:hAnsi="Cambria Math" w:cs="Arial"/>
            <w:sz w:val="20"/>
            <w:szCs w:val="20"/>
          </w:rPr>
          <m:t>t</m:t>
        </m:r>
      </m:oMath>
      <w:r w:rsidRPr="00B56144">
        <w:rPr>
          <w:rFonts w:ascii="Arial" w:hAnsi="Arial" w:cs="Arial"/>
          <w:sz w:val="20"/>
          <w:szCs w:val="20"/>
        </w:rPr>
        <w:t xml:space="preserve">and </w:t>
      </w:r>
      <m:oMath>
        <m:r>
          <w:rPr>
            <w:rFonts w:ascii="Cambria Math" w:hAnsi="Cambria Math" w:cs="Arial"/>
            <w:sz w:val="20"/>
            <w:szCs w:val="20"/>
          </w:rPr>
          <m:t>t+</m:t>
        </m:r>
        <m:r>
          <m:rPr>
            <m:sty m:val="p"/>
          </m:rPr>
          <w:rPr>
            <w:rFonts w:ascii="Cambria Math" w:hAnsi="Cambria Math" w:cs="Arial"/>
            <w:sz w:val="20"/>
            <w:szCs w:val="20"/>
          </w:rPr>
          <m:t>Δ</m:t>
        </m:r>
        <m:r>
          <w:rPr>
            <w:rFonts w:ascii="Cambria Math" w:hAnsi="Cambria Math" w:cs="Arial"/>
            <w:sz w:val="20"/>
            <w:szCs w:val="20"/>
          </w:rPr>
          <m:t>t</m:t>
        </m:r>
      </m:oMath>
      <w:r w:rsidRPr="00B56144">
        <w:rPr>
          <w:rFonts w:ascii="Arial" w:hAnsi="Arial" w:cs="Arial"/>
          <w:sz w:val="20"/>
          <w:szCs w:val="20"/>
        </w:rPr>
        <w:t xml:space="preserve">, respectively, and </w:t>
      </w:r>
      <m:oMath>
        <m:r>
          <m:rPr>
            <m:sty m:val="p"/>
          </m:rPr>
          <w:rPr>
            <w:rFonts w:ascii="Cambria Math" w:hAnsi="Cambria Math" w:cs="Arial"/>
            <w:sz w:val="20"/>
            <w:szCs w:val="20"/>
          </w:rPr>
          <m:t>Δ</m:t>
        </m:r>
        <m:r>
          <w:rPr>
            <w:rFonts w:ascii="Cambria Math" w:hAnsi="Cambria Math" w:cs="Arial"/>
            <w:sz w:val="20"/>
            <w:szCs w:val="20"/>
          </w:rPr>
          <m:t>t</m:t>
        </m:r>
      </m:oMath>
      <w:r w:rsidRPr="00B56144">
        <w:rPr>
          <w:rFonts w:ascii="Arial" w:hAnsi="Arial" w:cs="Arial"/>
          <w:sz w:val="20"/>
          <w:szCs w:val="20"/>
        </w:rPr>
        <w:t>is the corresponding time interval.</w:t>
      </w:r>
    </w:p>
    <w:p w14:paraId="59C50689" w14:textId="4834F683" w:rsidR="0005235E" w:rsidRPr="00B56144" w:rsidRDefault="004A7A54" w:rsidP="00B56144">
      <w:pPr>
        <w:spacing w:line="360" w:lineRule="auto"/>
        <w:jc w:val="both"/>
        <w:rPr>
          <w:rFonts w:ascii="Arial" w:hAnsi="Arial" w:cs="Arial"/>
          <w:sz w:val="20"/>
          <w:szCs w:val="20"/>
        </w:rPr>
      </w:pPr>
      <w:r w:rsidRPr="00B56144">
        <w:rPr>
          <w:rFonts w:ascii="Arial" w:hAnsi="Arial" w:cs="Arial"/>
          <w:sz w:val="20"/>
          <w:szCs w:val="20"/>
        </w:rPr>
        <w:lastRenderedPageBreak/>
        <w:t>To derive a mathematical representation of these kinetics, various semi-theoretical thin-layer models were fitted to the experimental data (Showkat et al., 2024). Model adequacy and goodness of fit were rigorously evaluated using statistical benchmarks, including the coefficient of determination (R</w:t>
      </w:r>
      <w:r w:rsidRPr="00B56144">
        <w:rPr>
          <w:rFonts w:ascii="Arial" w:hAnsi="Arial" w:cs="Arial"/>
          <w:sz w:val="20"/>
          <w:szCs w:val="20"/>
          <w:vertAlign w:val="superscript"/>
        </w:rPr>
        <w:t>2</w:t>
      </w:r>
      <w:r w:rsidRPr="00B56144">
        <w:rPr>
          <w:rFonts w:ascii="Arial" w:hAnsi="Arial" w:cs="Arial"/>
          <w:sz w:val="20"/>
          <w:szCs w:val="20"/>
        </w:rPr>
        <w:t>), root mean square error (RMSE), and information criteria such as the Akaike information criterion (AIC), mean absolute error (MAE), Nash–Sutcliffe efficiency (NSE), and Bayesian information criterion (BIC).to identify the most accurate model (Ali et al., 2</w:t>
      </w:r>
      <w:r w:rsidR="004131A2" w:rsidRPr="00B56144">
        <w:rPr>
          <w:rFonts w:ascii="Arial" w:hAnsi="Arial" w:cs="Arial"/>
          <w:sz w:val="20"/>
          <w:szCs w:val="20"/>
        </w:rPr>
        <w:t>024).</w:t>
      </w:r>
      <w:r w:rsidR="001D5A74" w:rsidRPr="00B56144">
        <w:rPr>
          <w:rFonts w:ascii="Arial" w:hAnsi="Arial" w:cs="Arial"/>
          <w:sz w:val="20"/>
          <w:szCs w:val="20"/>
        </w:rPr>
        <w:t xml:space="preserve"> Non-linear regression and statistical evaluation of the thin-layer drying models were performed using R statistical software.</w:t>
      </w:r>
    </w:p>
    <w:p w14:paraId="7A2455DF" w14:textId="74E0CBD5" w:rsidR="004131A2" w:rsidRPr="00B56144" w:rsidRDefault="001D5A74" w:rsidP="0005235E">
      <w:pPr>
        <w:spacing w:line="360" w:lineRule="auto"/>
        <w:jc w:val="both"/>
        <w:rPr>
          <w:rFonts w:ascii="Arial" w:hAnsi="Arial" w:cs="Arial"/>
          <w:b/>
          <w:bCs/>
          <w:sz w:val="20"/>
          <w:szCs w:val="20"/>
        </w:rPr>
      </w:pPr>
      <w:r w:rsidRPr="00B56144">
        <w:rPr>
          <w:rFonts w:ascii="Arial" w:hAnsi="Arial" w:cs="Arial"/>
          <w:b/>
          <w:bCs/>
          <w:sz w:val="20"/>
          <w:szCs w:val="20"/>
        </w:rPr>
        <w:t>Table 1.</w:t>
      </w:r>
      <w:r w:rsidR="004131A2" w:rsidRPr="00B56144">
        <w:rPr>
          <w:rFonts w:ascii="Arial" w:hAnsi="Arial" w:cs="Arial"/>
          <w:b/>
          <w:bCs/>
          <w:sz w:val="20"/>
          <w:szCs w:val="20"/>
        </w:rPr>
        <w:t xml:space="preserve"> Thin-Layer Drying Mathematical Models and Equations</w:t>
      </w:r>
    </w:p>
    <w:tbl>
      <w:tblPr>
        <w:tblStyle w:val="TableGrid"/>
        <w:tblW w:w="0" w:type="auto"/>
        <w:tblLook w:val="04A0" w:firstRow="1" w:lastRow="0" w:firstColumn="1" w:lastColumn="0" w:noHBand="0" w:noVBand="1"/>
      </w:tblPr>
      <w:tblGrid>
        <w:gridCol w:w="839"/>
        <w:gridCol w:w="2514"/>
        <w:gridCol w:w="3134"/>
      </w:tblGrid>
      <w:tr w:rsidR="00BF798E" w:rsidRPr="00B56144" w14:paraId="4BA8102C" w14:textId="77777777" w:rsidTr="00BF798E">
        <w:tc>
          <w:tcPr>
            <w:tcW w:w="0" w:type="auto"/>
            <w:hideMark/>
          </w:tcPr>
          <w:p w14:paraId="5C30F176" w14:textId="77777777" w:rsidR="00BF798E" w:rsidRPr="00B56144" w:rsidRDefault="00BF798E" w:rsidP="00BF798E">
            <w:pPr>
              <w:spacing w:after="160" w:line="360" w:lineRule="auto"/>
              <w:jc w:val="both"/>
              <w:rPr>
                <w:rFonts w:ascii="Arial" w:hAnsi="Arial" w:cs="Arial"/>
                <w:b/>
                <w:bCs/>
                <w:sz w:val="20"/>
                <w:szCs w:val="20"/>
              </w:rPr>
            </w:pPr>
            <w:r w:rsidRPr="00B56144">
              <w:rPr>
                <w:rFonts w:ascii="Arial" w:hAnsi="Arial" w:cs="Arial"/>
                <w:b/>
                <w:bCs/>
                <w:sz w:val="20"/>
                <w:szCs w:val="20"/>
              </w:rPr>
              <w:t>Sl. No.</w:t>
            </w:r>
          </w:p>
        </w:tc>
        <w:tc>
          <w:tcPr>
            <w:tcW w:w="0" w:type="auto"/>
            <w:hideMark/>
          </w:tcPr>
          <w:p w14:paraId="5CAC304E" w14:textId="77777777" w:rsidR="00BF798E" w:rsidRPr="00B56144" w:rsidRDefault="00BF798E" w:rsidP="00BF798E">
            <w:pPr>
              <w:spacing w:after="160" w:line="360" w:lineRule="auto"/>
              <w:jc w:val="both"/>
              <w:rPr>
                <w:rFonts w:ascii="Arial" w:hAnsi="Arial" w:cs="Arial"/>
                <w:b/>
                <w:bCs/>
                <w:sz w:val="20"/>
                <w:szCs w:val="20"/>
              </w:rPr>
            </w:pPr>
            <w:r w:rsidRPr="00B56144">
              <w:rPr>
                <w:rFonts w:ascii="Arial" w:hAnsi="Arial" w:cs="Arial"/>
                <w:b/>
                <w:bCs/>
                <w:sz w:val="20"/>
                <w:szCs w:val="20"/>
              </w:rPr>
              <w:t>Model name</w:t>
            </w:r>
          </w:p>
        </w:tc>
        <w:tc>
          <w:tcPr>
            <w:tcW w:w="0" w:type="auto"/>
            <w:hideMark/>
          </w:tcPr>
          <w:p w14:paraId="54C60484" w14:textId="77777777" w:rsidR="00BF798E" w:rsidRPr="00B56144" w:rsidRDefault="00BF798E" w:rsidP="00BF798E">
            <w:pPr>
              <w:spacing w:after="160" w:line="360" w:lineRule="auto"/>
              <w:jc w:val="both"/>
              <w:rPr>
                <w:rFonts w:ascii="Arial" w:hAnsi="Arial" w:cs="Arial"/>
                <w:b/>
                <w:bCs/>
                <w:sz w:val="20"/>
                <w:szCs w:val="20"/>
              </w:rPr>
            </w:pPr>
            <w:r w:rsidRPr="00B56144">
              <w:rPr>
                <w:rFonts w:ascii="Arial" w:hAnsi="Arial" w:cs="Arial"/>
                <w:b/>
                <w:bCs/>
                <w:sz w:val="20"/>
                <w:szCs w:val="20"/>
              </w:rPr>
              <w:t>Model equation</w:t>
            </w:r>
          </w:p>
        </w:tc>
      </w:tr>
      <w:tr w:rsidR="00BF798E" w:rsidRPr="00B56144" w14:paraId="3B13ADC1" w14:textId="77777777" w:rsidTr="00BF798E">
        <w:tc>
          <w:tcPr>
            <w:tcW w:w="0" w:type="auto"/>
            <w:hideMark/>
          </w:tcPr>
          <w:p w14:paraId="0981481F"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1</w:t>
            </w:r>
          </w:p>
        </w:tc>
        <w:tc>
          <w:tcPr>
            <w:tcW w:w="0" w:type="auto"/>
            <w:hideMark/>
          </w:tcPr>
          <w:p w14:paraId="3FB88276"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Newton</w:t>
            </w:r>
          </w:p>
        </w:tc>
        <w:tc>
          <w:tcPr>
            <w:tcW w:w="0" w:type="auto"/>
            <w:hideMark/>
          </w:tcPr>
          <w:p w14:paraId="2471C15C" w14:textId="6CCB5B6B" w:rsidR="00BF798E" w:rsidRPr="00B56144" w:rsidRDefault="00D31740" w:rsidP="00BF798E">
            <w:pPr>
              <w:spacing w:after="160" w:line="360" w:lineRule="auto"/>
              <w:jc w:val="both"/>
              <w:rPr>
                <w:rFonts w:ascii="Arial" w:hAnsi="Arial" w:cs="Arial"/>
                <w:sz w:val="20"/>
                <w:szCs w:val="20"/>
              </w:rPr>
            </w:pPr>
            <w:r w:rsidRPr="00B56144">
              <w:rPr>
                <w:rFonts w:ascii="Arial" w:hAnsi="Arial" w:cs="Arial"/>
                <w:sz w:val="20"/>
                <w:szCs w:val="20"/>
              </w:rPr>
              <w:t>MR= exp(−kt)</w:t>
            </w:r>
          </w:p>
        </w:tc>
      </w:tr>
      <w:tr w:rsidR="00BF798E" w:rsidRPr="00B56144" w14:paraId="5A852DFF" w14:textId="77777777" w:rsidTr="00BF798E">
        <w:tc>
          <w:tcPr>
            <w:tcW w:w="0" w:type="auto"/>
            <w:hideMark/>
          </w:tcPr>
          <w:p w14:paraId="7CFD9BF4"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2</w:t>
            </w:r>
          </w:p>
        </w:tc>
        <w:tc>
          <w:tcPr>
            <w:tcW w:w="0" w:type="auto"/>
            <w:hideMark/>
          </w:tcPr>
          <w:p w14:paraId="2854CD7D"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Henderson and Pabis</w:t>
            </w:r>
          </w:p>
        </w:tc>
        <w:tc>
          <w:tcPr>
            <w:tcW w:w="0" w:type="auto"/>
            <w:hideMark/>
          </w:tcPr>
          <w:p w14:paraId="585BF2F9" w14:textId="7E33167A" w:rsidR="00BF798E" w:rsidRPr="00B56144" w:rsidRDefault="00D31740" w:rsidP="00BF798E">
            <w:pPr>
              <w:spacing w:after="160" w:line="360" w:lineRule="auto"/>
              <w:jc w:val="both"/>
              <w:rPr>
                <w:rFonts w:ascii="Arial" w:hAnsi="Arial" w:cs="Arial"/>
                <w:sz w:val="20"/>
                <w:szCs w:val="20"/>
              </w:rPr>
            </w:pPr>
            <w:r w:rsidRPr="00B56144">
              <w:rPr>
                <w:rFonts w:ascii="Arial" w:hAnsi="Arial" w:cs="Arial"/>
                <w:sz w:val="20"/>
                <w:szCs w:val="20"/>
              </w:rPr>
              <w:t>MR=</w:t>
            </w:r>
            <w:proofErr w:type="gramStart"/>
            <w:r w:rsidRPr="00B56144">
              <w:rPr>
                <w:rFonts w:ascii="Arial" w:hAnsi="Arial" w:cs="Arial"/>
                <w:sz w:val="20"/>
                <w:szCs w:val="20"/>
              </w:rPr>
              <w:t>a</w:t>
            </w:r>
            <w:proofErr w:type="gramEnd"/>
            <w:r w:rsidRPr="00B56144">
              <w:rPr>
                <w:rFonts w:ascii="Arial" w:hAnsi="Arial" w:cs="Arial"/>
                <w:sz w:val="20"/>
                <w:szCs w:val="20"/>
              </w:rPr>
              <w:t xml:space="preserve"> exp(−kt)</w:t>
            </w:r>
          </w:p>
        </w:tc>
      </w:tr>
      <w:tr w:rsidR="00BF798E" w:rsidRPr="00B56144" w14:paraId="4325044F" w14:textId="77777777" w:rsidTr="00BF798E">
        <w:tc>
          <w:tcPr>
            <w:tcW w:w="0" w:type="auto"/>
            <w:hideMark/>
          </w:tcPr>
          <w:p w14:paraId="42426CEC"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3</w:t>
            </w:r>
          </w:p>
        </w:tc>
        <w:tc>
          <w:tcPr>
            <w:tcW w:w="0" w:type="auto"/>
            <w:hideMark/>
          </w:tcPr>
          <w:p w14:paraId="0959790C"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Page</w:t>
            </w:r>
          </w:p>
        </w:tc>
        <w:tc>
          <w:tcPr>
            <w:tcW w:w="0" w:type="auto"/>
            <w:hideMark/>
          </w:tcPr>
          <w:p w14:paraId="488576A2" w14:textId="4DB4B51F" w:rsidR="00BF798E" w:rsidRPr="00B56144" w:rsidRDefault="00D31740" w:rsidP="00BF798E">
            <w:pPr>
              <w:spacing w:after="160" w:line="360" w:lineRule="auto"/>
              <w:jc w:val="both"/>
              <w:rPr>
                <w:rFonts w:ascii="Arial" w:hAnsi="Arial" w:cs="Arial"/>
                <w:sz w:val="20"/>
                <w:szCs w:val="20"/>
              </w:rPr>
            </w:pPr>
            <w:r w:rsidRPr="00B56144">
              <w:rPr>
                <w:rFonts w:ascii="Arial" w:hAnsi="Arial" w:cs="Arial"/>
                <w:sz w:val="20"/>
                <w:szCs w:val="20"/>
              </w:rPr>
              <w:t>MR=exp(−</w:t>
            </w:r>
            <w:proofErr w:type="spellStart"/>
            <w:r w:rsidRPr="00B56144">
              <w:rPr>
                <w:rFonts w:ascii="Arial" w:hAnsi="Arial" w:cs="Arial"/>
                <w:sz w:val="20"/>
                <w:szCs w:val="20"/>
              </w:rPr>
              <w:t>kt</w:t>
            </w:r>
            <w:r w:rsidRPr="00B56144">
              <w:rPr>
                <w:rFonts w:ascii="Arial" w:hAnsi="Arial" w:cs="Arial"/>
                <w:sz w:val="20"/>
                <w:szCs w:val="20"/>
                <w:vertAlign w:val="superscript"/>
              </w:rPr>
              <w:t>n</w:t>
            </w:r>
            <w:proofErr w:type="spellEnd"/>
            <w:r w:rsidRPr="00B56144">
              <w:rPr>
                <w:rFonts w:ascii="Arial" w:hAnsi="Arial" w:cs="Arial"/>
                <w:sz w:val="20"/>
                <w:szCs w:val="20"/>
              </w:rPr>
              <w:t>)</w:t>
            </w:r>
          </w:p>
        </w:tc>
      </w:tr>
      <w:tr w:rsidR="00BF798E" w:rsidRPr="00B56144" w14:paraId="0BC08CE1" w14:textId="77777777" w:rsidTr="00BF798E">
        <w:tc>
          <w:tcPr>
            <w:tcW w:w="0" w:type="auto"/>
            <w:hideMark/>
          </w:tcPr>
          <w:p w14:paraId="7E233445"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4</w:t>
            </w:r>
          </w:p>
        </w:tc>
        <w:tc>
          <w:tcPr>
            <w:tcW w:w="0" w:type="auto"/>
            <w:hideMark/>
          </w:tcPr>
          <w:p w14:paraId="279938A6"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Modified Page</w:t>
            </w:r>
          </w:p>
        </w:tc>
        <w:tc>
          <w:tcPr>
            <w:tcW w:w="0" w:type="auto"/>
            <w:hideMark/>
          </w:tcPr>
          <w:p w14:paraId="3C1EFC44" w14:textId="630611CB" w:rsidR="00BF798E" w:rsidRPr="00B56144" w:rsidRDefault="00D31740" w:rsidP="00BF798E">
            <w:pPr>
              <w:spacing w:after="160" w:line="360" w:lineRule="auto"/>
              <w:jc w:val="both"/>
              <w:rPr>
                <w:rFonts w:ascii="Arial" w:hAnsi="Arial" w:cs="Arial"/>
                <w:sz w:val="20"/>
                <w:szCs w:val="20"/>
              </w:rPr>
            </w:pPr>
            <w:r w:rsidRPr="00B56144">
              <w:rPr>
                <w:rFonts w:ascii="Arial" w:hAnsi="Arial" w:cs="Arial"/>
                <w:sz w:val="20"/>
                <w:szCs w:val="20"/>
              </w:rPr>
              <w:t>MR=exp[−(kt)</w:t>
            </w:r>
            <w:r w:rsidRPr="00B56144">
              <w:rPr>
                <w:rFonts w:ascii="Arial" w:hAnsi="Arial" w:cs="Arial"/>
                <w:sz w:val="20"/>
                <w:szCs w:val="20"/>
                <w:vertAlign w:val="superscript"/>
              </w:rPr>
              <w:t>n</w:t>
            </w:r>
            <w:r w:rsidRPr="00B56144">
              <w:rPr>
                <w:rFonts w:ascii="Arial" w:hAnsi="Arial" w:cs="Arial"/>
                <w:sz w:val="20"/>
                <w:szCs w:val="20"/>
              </w:rPr>
              <w:t>]</w:t>
            </w:r>
          </w:p>
        </w:tc>
      </w:tr>
      <w:tr w:rsidR="00BF798E" w:rsidRPr="00B56144" w14:paraId="7CF49C93" w14:textId="77777777" w:rsidTr="00BF798E">
        <w:tc>
          <w:tcPr>
            <w:tcW w:w="0" w:type="auto"/>
            <w:hideMark/>
          </w:tcPr>
          <w:p w14:paraId="74E954D9"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5</w:t>
            </w:r>
          </w:p>
        </w:tc>
        <w:tc>
          <w:tcPr>
            <w:tcW w:w="0" w:type="auto"/>
            <w:hideMark/>
          </w:tcPr>
          <w:p w14:paraId="3669031E"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Logarithmic</w:t>
            </w:r>
          </w:p>
        </w:tc>
        <w:tc>
          <w:tcPr>
            <w:tcW w:w="0" w:type="auto"/>
            <w:hideMark/>
          </w:tcPr>
          <w:p w14:paraId="75A95A28" w14:textId="1C280805" w:rsidR="00BF798E" w:rsidRPr="00B56144" w:rsidRDefault="00D31740" w:rsidP="00BF798E">
            <w:pPr>
              <w:spacing w:after="160" w:line="360" w:lineRule="auto"/>
              <w:jc w:val="both"/>
              <w:rPr>
                <w:rFonts w:ascii="Arial" w:hAnsi="Arial" w:cs="Arial"/>
                <w:sz w:val="20"/>
                <w:szCs w:val="20"/>
              </w:rPr>
            </w:pPr>
            <w:r w:rsidRPr="00B56144">
              <w:rPr>
                <w:rFonts w:ascii="Arial" w:hAnsi="Arial" w:cs="Arial"/>
                <w:sz w:val="20"/>
                <w:szCs w:val="20"/>
              </w:rPr>
              <w:t>MR=</w:t>
            </w:r>
            <w:proofErr w:type="gramStart"/>
            <w:r w:rsidRPr="00B56144">
              <w:rPr>
                <w:rFonts w:ascii="Arial" w:hAnsi="Arial" w:cs="Arial"/>
                <w:sz w:val="20"/>
                <w:szCs w:val="20"/>
              </w:rPr>
              <w:t>a</w:t>
            </w:r>
            <w:proofErr w:type="gramEnd"/>
            <w:r w:rsidR="001F5977">
              <w:rPr>
                <w:rFonts w:ascii="Arial" w:hAnsi="Arial" w:cs="Arial"/>
                <w:sz w:val="20"/>
                <w:szCs w:val="20"/>
              </w:rPr>
              <w:t xml:space="preserve"> </w:t>
            </w:r>
            <w:r w:rsidRPr="00B56144">
              <w:rPr>
                <w:rFonts w:ascii="Arial" w:hAnsi="Arial" w:cs="Arial"/>
                <w:sz w:val="20"/>
                <w:szCs w:val="20"/>
              </w:rPr>
              <w:t>exp(−kt)</w:t>
            </w:r>
            <w:r w:rsidR="001F5977">
              <w:rPr>
                <w:rFonts w:ascii="Arial" w:hAnsi="Arial" w:cs="Arial"/>
                <w:sz w:val="20"/>
                <w:szCs w:val="20"/>
              </w:rPr>
              <w:t xml:space="preserve"> </w:t>
            </w:r>
            <w:r w:rsidRPr="00B56144">
              <w:rPr>
                <w:rFonts w:ascii="Arial" w:hAnsi="Arial" w:cs="Arial"/>
                <w:sz w:val="20"/>
                <w:szCs w:val="20"/>
              </w:rPr>
              <w:t>+</w:t>
            </w:r>
            <w:r w:rsidR="001F5977">
              <w:rPr>
                <w:rFonts w:ascii="Arial" w:hAnsi="Arial" w:cs="Arial"/>
                <w:sz w:val="20"/>
                <w:szCs w:val="20"/>
              </w:rPr>
              <w:t xml:space="preserve"> </w:t>
            </w:r>
            <w:r w:rsidRPr="00B56144">
              <w:rPr>
                <w:rFonts w:ascii="Arial" w:hAnsi="Arial" w:cs="Arial"/>
                <w:sz w:val="20"/>
                <w:szCs w:val="20"/>
              </w:rPr>
              <w:t>c</w:t>
            </w:r>
          </w:p>
        </w:tc>
      </w:tr>
      <w:tr w:rsidR="00BF798E" w:rsidRPr="00B56144" w14:paraId="2A90F838" w14:textId="77777777" w:rsidTr="00BF798E">
        <w:tc>
          <w:tcPr>
            <w:tcW w:w="0" w:type="auto"/>
            <w:hideMark/>
          </w:tcPr>
          <w:p w14:paraId="4F27B0E8"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6</w:t>
            </w:r>
          </w:p>
        </w:tc>
        <w:tc>
          <w:tcPr>
            <w:tcW w:w="0" w:type="auto"/>
            <w:hideMark/>
          </w:tcPr>
          <w:p w14:paraId="40BA97B6"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Wang and Singh</w:t>
            </w:r>
          </w:p>
        </w:tc>
        <w:tc>
          <w:tcPr>
            <w:tcW w:w="0" w:type="auto"/>
            <w:hideMark/>
          </w:tcPr>
          <w:p w14:paraId="515AFC61" w14:textId="06132AC8" w:rsidR="00BF798E" w:rsidRPr="00B56144" w:rsidRDefault="00D31740" w:rsidP="00BF798E">
            <w:pPr>
              <w:spacing w:after="160" w:line="360" w:lineRule="auto"/>
              <w:jc w:val="both"/>
              <w:rPr>
                <w:rFonts w:ascii="Arial" w:hAnsi="Arial" w:cs="Arial"/>
                <w:sz w:val="20"/>
                <w:szCs w:val="20"/>
              </w:rPr>
            </w:pPr>
            <w:r w:rsidRPr="00B56144">
              <w:rPr>
                <w:rFonts w:ascii="Arial" w:hAnsi="Arial" w:cs="Arial"/>
                <w:sz w:val="20"/>
                <w:szCs w:val="20"/>
              </w:rPr>
              <w:t>MR=1+at+bt</w:t>
            </w:r>
            <w:r w:rsidRPr="00B56144">
              <w:rPr>
                <w:rFonts w:ascii="Arial" w:hAnsi="Arial" w:cs="Arial"/>
                <w:sz w:val="20"/>
                <w:szCs w:val="20"/>
                <w:vertAlign w:val="superscript"/>
              </w:rPr>
              <w:t>2</w:t>
            </w:r>
          </w:p>
        </w:tc>
      </w:tr>
      <w:tr w:rsidR="00BF798E" w:rsidRPr="00B56144" w14:paraId="25FF2D0C" w14:textId="77777777" w:rsidTr="00BF798E">
        <w:tc>
          <w:tcPr>
            <w:tcW w:w="0" w:type="auto"/>
            <w:hideMark/>
          </w:tcPr>
          <w:p w14:paraId="168F542A"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7</w:t>
            </w:r>
          </w:p>
        </w:tc>
        <w:tc>
          <w:tcPr>
            <w:tcW w:w="0" w:type="auto"/>
            <w:hideMark/>
          </w:tcPr>
          <w:p w14:paraId="139C7E3E"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Approximation of diffusion</w:t>
            </w:r>
          </w:p>
        </w:tc>
        <w:tc>
          <w:tcPr>
            <w:tcW w:w="0" w:type="auto"/>
            <w:hideMark/>
          </w:tcPr>
          <w:p w14:paraId="75A3BFBA" w14:textId="13BB8BDF" w:rsidR="00BF798E" w:rsidRPr="00B56144" w:rsidRDefault="00D31740" w:rsidP="00BF798E">
            <w:pPr>
              <w:spacing w:after="160" w:line="360" w:lineRule="auto"/>
              <w:jc w:val="both"/>
              <w:rPr>
                <w:rFonts w:ascii="Arial" w:hAnsi="Arial" w:cs="Arial"/>
                <w:sz w:val="20"/>
                <w:szCs w:val="20"/>
              </w:rPr>
            </w:pPr>
            <w:r w:rsidRPr="00B56144">
              <w:rPr>
                <w:rFonts w:ascii="Arial" w:hAnsi="Arial" w:cs="Arial"/>
                <w:sz w:val="20"/>
                <w:szCs w:val="20"/>
              </w:rPr>
              <w:t>MR=</w:t>
            </w:r>
            <w:proofErr w:type="gramStart"/>
            <w:r w:rsidRPr="00B56144">
              <w:rPr>
                <w:rFonts w:ascii="Arial" w:hAnsi="Arial" w:cs="Arial"/>
                <w:sz w:val="20"/>
                <w:szCs w:val="20"/>
              </w:rPr>
              <w:t>a</w:t>
            </w:r>
            <w:proofErr w:type="gramEnd"/>
            <w:r w:rsidRPr="00B56144">
              <w:rPr>
                <w:rFonts w:ascii="Arial" w:hAnsi="Arial" w:cs="Arial"/>
                <w:sz w:val="20"/>
                <w:szCs w:val="20"/>
              </w:rPr>
              <w:t xml:space="preserve"> exp(−kt)</w:t>
            </w:r>
            <w:r w:rsidR="001F5977">
              <w:rPr>
                <w:rFonts w:ascii="Arial" w:hAnsi="Arial" w:cs="Arial"/>
                <w:sz w:val="20"/>
                <w:szCs w:val="20"/>
              </w:rPr>
              <w:t xml:space="preserve"> </w:t>
            </w:r>
            <w:r w:rsidRPr="00B56144">
              <w:rPr>
                <w:rFonts w:ascii="Arial" w:hAnsi="Arial" w:cs="Arial"/>
                <w:sz w:val="20"/>
                <w:szCs w:val="20"/>
              </w:rPr>
              <w:t>+</w:t>
            </w:r>
            <w:r w:rsidR="001F5977">
              <w:rPr>
                <w:rFonts w:ascii="Arial" w:hAnsi="Arial" w:cs="Arial"/>
                <w:sz w:val="20"/>
                <w:szCs w:val="20"/>
              </w:rPr>
              <w:t xml:space="preserve"> </w:t>
            </w:r>
            <w:r w:rsidRPr="00B56144">
              <w:rPr>
                <w:rFonts w:ascii="Arial" w:hAnsi="Arial" w:cs="Arial"/>
                <w:sz w:val="20"/>
                <w:szCs w:val="20"/>
              </w:rPr>
              <w:t>(1−a) exp(−</w:t>
            </w:r>
            <w:proofErr w:type="spellStart"/>
            <w:r w:rsidRPr="00B56144">
              <w:rPr>
                <w:rFonts w:ascii="Arial" w:hAnsi="Arial" w:cs="Arial"/>
                <w:sz w:val="20"/>
                <w:szCs w:val="20"/>
              </w:rPr>
              <w:t>kbt</w:t>
            </w:r>
            <w:proofErr w:type="spellEnd"/>
            <w:r w:rsidRPr="00B56144">
              <w:rPr>
                <w:rFonts w:ascii="Arial" w:hAnsi="Arial" w:cs="Arial"/>
                <w:sz w:val="20"/>
                <w:szCs w:val="20"/>
              </w:rPr>
              <w:t>)</w:t>
            </w:r>
          </w:p>
        </w:tc>
      </w:tr>
      <w:tr w:rsidR="00BF798E" w:rsidRPr="00B56144" w14:paraId="266FD38B" w14:textId="77777777" w:rsidTr="00BF798E">
        <w:tc>
          <w:tcPr>
            <w:tcW w:w="0" w:type="auto"/>
            <w:hideMark/>
          </w:tcPr>
          <w:p w14:paraId="496FDD2E"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8</w:t>
            </w:r>
          </w:p>
        </w:tc>
        <w:tc>
          <w:tcPr>
            <w:tcW w:w="0" w:type="auto"/>
            <w:hideMark/>
          </w:tcPr>
          <w:p w14:paraId="638513E9" w14:textId="77777777" w:rsidR="00BF798E" w:rsidRPr="00B56144" w:rsidRDefault="00BF798E" w:rsidP="00BF798E">
            <w:pPr>
              <w:spacing w:after="160" w:line="360" w:lineRule="auto"/>
              <w:jc w:val="both"/>
              <w:rPr>
                <w:rFonts w:ascii="Arial" w:hAnsi="Arial" w:cs="Arial"/>
                <w:sz w:val="20"/>
                <w:szCs w:val="20"/>
              </w:rPr>
            </w:pPr>
            <w:r w:rsidRPr="00B56144">
              <w:rPr>
                <w:rFonts w:ascii="Arial" w:hAnsi="Arial" w:cs="Arial"/>
                <w:sz w:val="20"/>
                <w:szCs w:val="20"/>
              </w:rPr>
              <w:t>Singh et al. (2014)</w:t>
            </w:r>
          </w:p>
        </w:tc>
        <w:tc>
          <w:tcPr>
            <w:tcW w:w="0" w:type="auto"/>
            <w:hideMark/>
          </w:tcPr>
          <w:p w14:paraId="0359C88F" w14:textId="67B08AF8" w:rsidR="00BF798E" w:rsidRPr="00B56144" w:rsidRDefault="00AB4197" w:rsidP="00BF798E">
            <w:pPr>
              <w:spacing w:after="160" w:line="360" w:lineRule="auto"/>
              <w:jc w:val="both"/>
              <w:rPr>
                <w:rFonts w:ascii="Arial" w:hAnsi="Arial" w:cs="Arial"/>
                <w:sz w:val="20"/>
                <w:szCs w:val="20"/>
              </w:rPr>
            </w:pPr>
            <w:r w:rsidRPr="00B56144">
              <w:rPr>
                <w:rFonts w:ascii="Arial" w:hAnsi="Arial" w:cs="Arial"/>
                <w:sz w:val="20"/>
                <w:szCs w:val="20"/>
              </w:rPr>
              <w:t>MR=</w:t>
            </w:r>
            <w:proofErr w:type="gramStart"/>
            <w:r w:rsidRPr="00B56144">
              <w:rPr>
                <w:rFonts w:ascii="Arial" w:hAnsi="Arial" w:cs="Arial"/>
                <w:sz w:val="20"/>
                <w:szCs w:val="20"/>
              </w:rPr>
              <w:t>a</w:t>
            </w:r>
            <w:proofErr w:type="gramEnd"/>
            <w:r w:rsidR="001F5977">
              <w:rPr>
                <w:rFonts w:ascii="Arial" w:hAnsi="Arial" w:cs="Arial"/>
                <w:sz w:val="20"/>
                <w:szCs w:val="20"/>
              </w:rPr>
              <w:t xml:space="preserve"> </w:t>
            </w:r>
            <w:r w:rsidRPr="00B56144">
              <w:rPr>
                <w:rFonts w:ascii="Arial" w:hAnsi="Arial" w:cs="Arial"/>
                <w:sz w:val="20"/>
                <w:szCs w:val="20"/>
              </w:rPr>
              <w:t>exp(−</w:t>
            </w:r>
            <w:proofErr w:type="spellStart"/>
            <w:r w:rsidRPr="00B56144">
              <w:rPr>
                <w:rFonts w:ascii="Arial" w:hAnsi="Arial" w:cs="Arial"/>
                <w:sz w:val="20"/>
                <w:szCs w:val="20"/>
              </w:rPr>
              <w:t>kt</w:t>
            </w:r>
            <w:r w:rsidRPr="00B56144">
              <w:rPr>
                <w:rFonts w:ascii="Arial" w:hAnsi="Arial" w:cs="Arial"/>
                <w:sz w:val="20"/>
                <w:szCs w:val="20"/>
                <w:vertAlign w:val="superscript"/>
              </w:rPr>
              <w:t>n</w:t>
            </w:r>
            <w:proofErr w:type="spellEnd"/>
            <w:r w:rsidRPr="00B56144">
              <w:rPr>
                <w:rFonts w:ascii="Arial" w:hAnsi="Arial" w:cs="Arial"/>
                <w:sz w:val="20"/>
                <w:szCs w:val="20"/>
              </w:rPr>
              <w:t>)</w:t>
            </w:r>
            <w:r w:rsidR="001F5977">
              <w:rPr>
                <w:rFonts w:ascii="Arial" w:hAnsi="Arial" w:cs="Arial"/>
                <w:sz w:val="20"/>
                <w:szCs w:val="20"/>
              </w:rPr>
              <w:t xml:space="preserve"> </w:t>
            </w:r>
            <w:r w:rsidRPr="00B56144">
              <w:rPr>
                <w:rFonts w:ascii="Arial" w:hAnsi="Arial" w:cs="Arial"/>
                <w:sz w:val="20"/>
                <w:szCs w:val="20"/>
              </w:rPr>
              <w:t>+</w:t>
            </w:r>
            <w:r w:rsidR="001F5977">
              <w:rPr>
                <w:rFonts w:ascii="Arial" w:hAnsi="Arial" w:cs="Arial"/>
                <w:sz w:val="20"/>
                <w:szCs w:val="20"/>
              </w:rPr>
              <w:t xml:space="preserve"> </w:t>
            </w:r>
            <w:r w:rsidRPr="00B56144">
              <w:rPr>
                <w:rFonts w:ascii="Arial" w:hAnsi="Arial" w:cs="Arial"/>
                <w:sz w:val="20"/>
                <w:szCs w:val="20"/>
              </w:rPr>
              <w:t>b</w:t>
            </w:r>
          </w:p>
        </w:tc>
      </w:tr>
    </w:tbl>
    <w:p w14:paraId="727DA806" w14:textId="77777777" w:rsidR="00C6191D" w:rsidRPr="002C027E" w:rsidRDefault="00C6191D" w:rsidP="00F70B31">
      <w:pPr>
        <w:spacing w:line="360" w:lineRule="auto"/>
        <w:jc w:val="both"/>
        <w:rPr>
          <w:rFonts w:ascii="Arial" w:hAnsi="Arial" w:cs="Arial"/>
          <w:b/>
          <w:bCs/>
          <w:sz w:val="26"/>
          <w:szCs w:val="26"/>
        </w:rPr>
      </w:pPr>
    </w:p>
    <w:p w14:paraId="6680B075" w14:textId="38DF8853" w:rsidR="00F70B31" w:rsidRPr="00B56144" w:rsidRDefault="001D5A74" w:rsidP="00F70B31">
      <w:pPr>
        <w:spacing w:line="360" w:lineRule="auto"/>
        <w:jc w:val="both"/>
        <w:rPr>
          <w:rFonts w:ascii="Arial" w:hAnsi="Arial" w:cs="Arial"/>
          <w:b/>
          <w:bCs/>
          <w:sz w:val="20"/>
          <w:szCs w:val="20"/>
        </w:rPr>
      </w:pPr>
      <w:r w:rsidRPr="00B56144">
        <w:rPr>
          <w:rFonts w:ascii="Arial" w:hAnsi="Arial" w:cs="Arial"/>
          <w:b/>
          <w:bCs/>
          <w:sz w:val="20"/>
          <w:szCs w:val="20"/>
        </w:rPr>
        <w:t xml:space="preserve">2.7.2 </w:t>
      </w:r>
      <w:r w:rsidR="00F70B31" w:rsidRPr="00B56144">
        <w:rPr>
          <w:rFonts w:ascii="Arial" w:hAnsi="Arial" w:cs="Arial"/>
          <w:b/>
          <w:bCs/>
          <w:sz w:val="20"/>
          <w:szCs w:val="20"/>
        </w:rPr>
        <w:t>Effective Moisture Diffusivity</w:t>
      </w:r>
    </w:p>
    <w:p w14:paraId="07907BC9" w14:textId="412C9BD0" w:rsidR="00F70B31" w:rsidRPr="00B56144" w:rsidRDefault="00F70B31" w:rsidP="00B56144">
      <w:pPr>
        <w:spacing w:line="360" w:lineRule="auto"/>
        <w:jc w:val="both"/>
        <w:rPr>
          <w:rFonts w:ascii="Arial" w:hAnsi="Arial" w:cs="Arial"/>
          <w:sz w:val="20"/>
          <w:szCs w:val="20"/>
        </w:rPr>
      </w:pPr>
      <w:r w:rsidRPr="00B56144">
        <w:rPr>
          <w:rFonts w:ascii="Arial" w:hAnsi="Arial" w:cs="Arial"/>
          <w:sz w:val="20"/>
          <w:szCs w:val="20"/>
        </w:rPr>
        <w:t>The effective moisture diffusivity (</w:t>
      </w:r>
      <m:oMath>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eff</m:t>
            </m:r>
          </m:sub>
        </m:sSub>
      </m:oMath>
      <w:r w:rsidRPr="00B56144">
        <w:rPr>
          <w:rFonts w:ascii="Arial" w:hAnsi="Arial" w:cs="Arial"/>
          <w:sz w:val="20"/>
          <w:szCs w:val="20"/>
        </w:rPr>
        <w:t>) which represents the global transport properties of water including molecular diffusion, vapor diffusion, and capillarity was determined based on Fick’s second law of diffusion (Kheto et al., 2025). For the morphological analysis of the nutmeg mace matrix, an infinite cylinder geometry was assumed. In accordance with established analytical procedures for extended drying stages (MR&lt;0.6), the infinite series solution of Fick's law was simplified to the first-term solution (Talukdar and Uppaluri, 2021). The effective moisture diffusivity was subsequently derived from the slope (K) of the linear relationship established between the natural logarithm of the moisture ratio (</w:t>
      </w:r>
      <w:proofErr w:type="spellStart"/>
      <w:r w:rsidRPr="00B56144">
        <w:rPr>
          <w:rFonts w:ascii="Arial" w:hAnsi="Arial" w:cs="Arial"/>
          <w:sz w:val="20"/>
          <w:szCs w:val="20"/>
        </w:rPr>
        <w:t>lnMR</w:t>
      </w:r>
      <w:proofErr w:type="spellEnd"/>
      <w:r w:rsidRPr="00B56144">
        <w:rPr>
          <w:rFonts w:ascii="Arial" w:hAnsi="Arial" w:cs="Arial"/>
          <w:sz w:val="20"/>
          <w:szCs w:val="20"/>
        </w:rPr>
        <w:t>) and the processing time (t) (Nguyen et al., 2022).</w:t>
      </w:r>
    </w:p>
    <w:p w14:paraId="4CE972A9" w14:textId="723EB24B" w:rsidR="00F70B31" w:rsidRPr="00B56144" w:rsidRDefault="00F70B31" w:rsidP="00B56144">
      <w:pPr>
        <w:spacing w:line="360" w:lineRule="auto"/>
        <w:jc w:val="both"/>
        <w:rPr>
          <w:rFonts w:ascii="Arial" w:hAnsi="Arial" w:cs="Arial"/>
          <w:sz w:val="20"/>
          <w:szCs w:val="20"/>
        </w:rPr>
      </w:pPr>
      <w:r w:rsidRPr="00B56144">
        <w:rPr>
          <w:rFonts w:ascii="Arial" w:hAnsi="Arial" w:cs="Arial"/>
          <w:sz w:val="20"/>
          <w:szCs w:val="20"/>
        </w:rPr>
        <w:t xml:space="preserve">The governing partial differential equation for the cylindrical coordinate system is expressed as </w:t>
      </w:r>
      <w:r w:rsidR="00CF39CC" w:rsidRPr="00B56144">
        <w:rPr>
          <w:rFonts w:ascii="Arial" w:hAnsi="Arial" w:cs="Arial"/>
          <w:sz w:val="20"/>
          <w:szCs w:val="20"/>
        </w:rPr>
        <w:t xml:space="preserve">Eqn. </w:t>
      </w:r>
      <w:r w:rsidR="001D5A74" w:rsidRPr="00B56144">
        <w:rPr>
          <w:rFonts w:ascii="Arial" w:hAnsi="Arial" w:cs="Arial"/>
          <w:sz w:val="20"/>
          <w:szCs w:val="20"/>
        </w:rPr>
        <w:t>4</w:t>
      </w:r>
      <w:r w:rsidR="00CF39CC" w:rsidRPr="00B56144">
        <w:rPr>
          <w:rFonts w:ascii="Arial" w:hAnsi="Arial" w:cs="Arial"/>
          <w:sz w:val="20"/>
          <w:szCs w:val="20"/>
        </w:rPr>
        <w:t xml:space="preserve"> </w:t>
      </w:r>
      <w:r w:rsidRPr="00B56144">
        <w:rPr>
          <w:rFonts w:ascii="Arial" w:hAnsi="Arial" w:cs="Arial"/>
          <w:sz w:val="20"/>
          <w:szCs w:val="20"/>
        </w:rPr>
        <w:t>(Kumar et al., 2022)</w:t>
      </w:r>
      <w:r w:rsidR="00CF39CC" w:rsidRPr="00B56144">
        <w:rPr>
          <w:rFonts w:ascii="Arial" w:hAnsi="Arial" w:cs="Arial"/>
          <w:sz w:val="20"/>
          <w:szCs w:val="20"/>
        </w:rPr>
        <w:t>.</w:t>
      </w:r>
    </w:p>
    <w:p w14:paraId="1E5C309F" w14:textId="7334FA55" w:rsidR="00F70B31" w:rsidRPr="00B56144" w:rsidRDefault="00000000" w:rsidP="00CF39CC">
      <w:pPr>
        <w:spacing w:line="360" w:lineRule="auto"/>
        <w:jc w:val="center"/>
        <w:rPr>
          <w:rFonts w:ascii="Arial" w:eastAsiaTheme="minorEastAsia" w:hAnsi="Arial" w:cs="Arial"/>
          <w:sz w:val="20"/>
          <w:szCs w:val="20"/>
        </w:rPr>
      </w:pPr>
      <m:oMath>
        <m:f>
          <m:fPr>
            <m:ctrlPr>
              <w:rPr>
                <w:rFonts w:ascii="Cambria Math" w:hAnsi="Cambria Math" w:cs="Arial"/>
                <w:i/>
                <w:sz w:val="20"/>
                <w:szCs w:val="20"/>
              </w:rPr>
            </m:ctrlPr>
          </m:fPr>
          <m:num>
            <m:r>
              <w:rPr>
                <w:rFonts w:ascii="Cambria Math" w:hAnsi="Cambria Math" w:cs="Arial"/>
                <w:sz w:val="20"/>
                <w:szCs w:val="20"/>
              </w:rPr>
              <m:t>∂MR</m:t>
            </m:r>
          </m:num>
          <m:den>
            <m:r>
              <w:rPr>
                <w:rFonts w:ascii="Cambria Math" w:hAnsi="Cambria Math" w:cs="Arial"/>
                <w:sz w:val="20"/>
                <w:szCs w:val="20"/>
              </w:rPr>
              <m:t>∂t</m:t>
            </m:r>
          </m:den>
        </m:f>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r</m:t>
            </m:r>
          </m:den>
        </m:f>
        <m:f>
          <m:fPr>
            <m:ctrlPr>
              <w:rPr>
                <w:rFonts w:ascii="Cambria Math" w:hAnsi="Cambria Math" w:cs="Arial"/>
                <w:i/>
                <w:sz w:val="20"/>
                <w:szCs w:val="20"/>
              </w:rPr>
            </m:ctrlPr>
          </m:fPr>
          <m:num>
            <m:r>
              <w:rPr>
                <w:rFonts w:ascii="Cambria Math" w:hAnsi="Cambria Math" w:cs="Arial"/>
                <w:sz w:val="20"/>
                <w:szCs w:val="20"/>
              </w:rPr>
              <m:t>∂</m:t>
            </m:r>
          </m:num>
          <m:den>
            <m:r>
              <w:rPr>
                <w:rFonts w:ascii="Cambria Math" w:hAnsi="Cambria Math" w:cs="Arial"/>
                <w:sz w:val="20"/>
                <w:szCs w:val="20"/>
              </w:rPr>
              <m:t>∂r</m:t>
            </m:r>
          </m:den>
        </m:f>
        <m:d>
          <m:dPr>
            <m:ctrlPr>
              <w:rPr>
                <w:rFonts w:ascii="Cambria Math" w:hAnsi="Cambria Math" w:cs="Arial"/>
                <w:i/>
                <w:sz w:val="20"/>
                <w:szCs w:val="20"/>
              </w:rPr>
            </m:ctrlPr>
          </m:dPr>
          <m:e>
            <m:r>
              <w:rPr>
                <w:rFonts w:ascii="Cambria Math" w:hAnsi="Cambria Math" w:cs="Arial"/>
                <w:sz w:val="20"/>
                <w:szCs w:val="20"/>
              </w:rPr>
              <m:t>r</m:t>
            </m:r>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eff</m:t>
                </m:r>
              </m:sub>
            </m:sSub>
            <m:f>
              <m:fPr>
                <m:ctrlPr>
                  <w:rPr>
                    <w:rFonts w:ascii="Cambria Math" w:hAnsi="Cambria Math" w:cs="Arial"/>
                    <w:i/>
                    <w:sz w:val="20"/>
                    <w:szCs w:val="20"/>
                  </w:rPr>
                </m:ctrlPr>
              </m:fPr>
              <m:num>
                <m:r>
                  <w:rPr>
                    <w:rFonts w:ascii="Cambria Math" w:hAnsi="Cambria Math" w:cs="Arial"/>
                    <w:sz w:val="20"/>
                    <w:szCs w:val="20"/>
                  </w:rPr>
                  <m:t>∂MR</m:t>
                </m:r>
              </m:num>
              <m:den>
                <m:r>
                  <w:rPr>
                    <w:rFonts w:ascii="Cambria Math" w:hAnsi="Cambria Math" w:cs="Arial"/>
                    <w:sz w:val="20"/>
                    <w:szCs w:val="20"/>
                  </w:rPr>
                  <m:t>∂r</m:t>
                </m:r>
              </m:den>
            </m:f>
          </m:e>
        </m:d>
      </m:oMath>
      <w:r w:rsidR="001D5A74" w:rsidRPr="00B56144">
        <w:rPr>
          <w:rFonts w:ascii="Arial" w:eastAsiaTheme="minorEastAsia" w:hAnsi="Arial" w:cs="Arial"/>
          <w:sz w:val="20"/>
          <w:szCs w:val="20"/>
        </w:rPr>
        <w:t xml:space="preserve">                        </w:t>
      </w:r>
      <w:r w:rsidR="003F379B" w:rsidRPr="00B56144">
        <w:rPr>
          <w:rFonts w:ascii="Arial" w:eastAsiaTheme="minorEastAsia" w:hAnsi="Arial" w:cs="Arial"/>
          <w:sz w:val="20"/>
          <w:szCs w:val="20"/>
        </w:rPr>
        <w:t>(</w:t>
      </w:r>
      <w:r w:rsidR="001D5A74" w:rsidRPr="00B56144">
        <w:rPr>
          <w:rFonts w:ascii="Arial" w:eastAsiaTheme="minorEastAsia" w:hAnsi="Arial" w:cs="Arial"/>
          <w:sz w:val="20"/>
          <w:szCs w:val="20"/>
        </w:rPr>
        <w:t>4</w:t>
      </w:r>
      <w:r w:rsidR="003F379B" w:rsidRPr="00B56144">
        <w:rPr>
          <w:rFonts w:ascii="Arial" w:eastAsiaTheme="minorEastAsia" w:hAnsi="Arial" w:cs="Arial"/>
          <w:sz w:val="20"/>
          <w:szCs w:val="20"/>
        </w:rPr>
        <w:t>)</w:t>
      </w:r>
    </w:p>
    <w:p w14:paraId="326B278D" w14:textId="15BE8699" w:rsidR="00CF39CC" w:rsidRPr="00B56144" w:rsidRDefault="00CF39CC" w:rsidP="00B56144">
      <w:pPr>
        <w:spacing w:line="360" w:lineRule="auto"/>
        <w:jc w:val="both"/>
        <w:rPr>
          <w:rFonts w:ascii="Arial" w:hAnsi="Arial" w:cs="Arial"/>
          <w:sz w:val="20"/>
          <w:szCs w:val="20"/>
        </w:rPr>
      </w:pPr>
      <w:r w:rsidRPr="00B56144">
        <w:rPr>
          <w:rFonts w:ascii="Arial" w:hAnsi="Arial" w:cs="Arial"/>
          <w:sz w:val="20"/>
          <w:szCs w:val="20"/>
        </w:rPr>
        <w:t xml:space="preserve">The corresponding simplified analytical solution for an infinite cylinder is given in Eqn. </w:t>
      </w:r>
      <w:r w:rsidR="004C59B5" w:rsidRPr="00B56144">
        <w:rPr>
          <w:rFonts w:ascii="Arial" w:hAnsi="Arial" w:cs="Arial"/>
          <w:sz w:val="20"/>
          <w:szCs w:val="20"/>
        </w:rPr>
        <w:t>5</w:t>
      </w:r>
      <w:r w:rsidRPr="00B56144">
        <w:rPr>
          <w:rFonts w:ascii="Arial" w:hAnsi="Arial" w:cs="Arial"/>
          <w:sz w:val="20"/>
          <w:szCs w:val="20"/>
        </w:rPr>
        <w:t xml:space="preserve"> (Talukdar and </w:t>
      </w:r>
      <w:proofErr w:type="spellStart"/>
      <w:r w:rsidRPr="00B56144">
        <w:rPr>
          <w:rFonts w:ascii="Arial" w:hAnsi="Arial" w:cs="Arial"/>
          <w:sz w:val="20"/>
          <w:szCs w:val="20"/>
        </w:rPr>
        <w:t>Uppaluri</w:t>
      </w:r>
      <w:proofErr w:type="spellEnd"/>
      <w:r w:rsidRPr="00B56144">
        <w:rPr>
          <w:rFonts w:ascii="Arial" w:hAnsi="Arial" w:cs="Arial"/>
          <w:sz w:val="20"/>
          <w:szCs w:val="20"/>
        </w:rPr>
        <w:t>, 2021).</w:t>
      </w:r>
    </w:p>
    <w:p w14:paraId="48F56F79" w14:textId="36ED6064" w:rsidR="00CF39CC" w:rsidRPr="00B56144" w:rsidRDefault="00CF39CC" w:rsidP="00CF39CC">
      <w:pPr>
        <w:spacing w:line="360" w:lineRule="auto"/>
        <w:jc w:val="center"/>
        <w:rPr>
          <w:rFonts w:ascii="Arial" w:eastAsiaTheme="minorEastAsia" w:hAnsi="Arial" w:cs="Arial"/>
          <w:iCs/>
          <w:sz w:val="20"/>
          <w:szCs w:val="20"/>
        </w:rPr>
      </w:pPr>
      <m:oMath>
        <m:r>
          <w:rPr>
            <w:rFonts w:ascii="Cambria Math" w:hAnsi="Cambria Math" w:cs="Arial"/>
            <w:sz w:val="20"/>
            <w:szCs w:val="20"/>
          </w:rPr>
          <w:lastRenderedPageBreak/>
          <m:t xml:space="preserve">MR= </m:t>
        </m:r>
        <m:f>
          <m:fPr>
            <m:ctrlPr>
              <w:rPr>
                <w:rFonts w:ascii="Cambria Math" w:hAnsi="Cambria Math" w:cs="Arial"/>
                <w:i/>
                <w:sz w:val="20"/>
                <w:szCs w:val="20"/>
              </w:rPr>
            </m:ctrlPr>
          </m:fPr>
          <m:num>
            <m:r>
              <w:rPr>
                <w:rFonts w:ascii="Cambria Math" w:hAnsi="Cambria Math" w:cs="Arial"/>
                <w:sz w:val="20"/>
                <w:szCs w:val="20"/>
              </w:rPr>
              <m:t>4</m:t>
            </m:r>
          </m:num>
          <m:den>
            <m:sSubSup>
              <m:sSubSupPr>
                <m:ctrlPr>
                  <w:rPr>
                    <w:rFonts w:ascii="Cambria Math" w:hAnsi="Cambria Math" w:cs="Arial"/>
                    <w:i/>
                    <w:sz w:val="20"/>
                    <w:szCs w:val="20"/>
                  </w:rPr>
                </m:ctrlPr>
              </m:sSubSupPr>
              <m:e>
                <m:r>
                  <w:rPr>
                    <w:rFonts w:ascii="Cambria Math" w:hAnsi="Cambria Math" w:cs="Arial"/>
                    <w:sz w:val="20"/>
                    <w:szCs w:val="20"/>
                  </w:rPr>
                  <m:t>λ</m:t>
                </m:r>
              </m:e>
              <m:sub>
                <m:r>
                  <w:rPr>
                    <w:rFonts w:ascii="Cambria Math" w:hAnsi="Cambria Math" w:cs="Arial"/>
                    <w:sz w:val="20"/>
                    <w:szCs w:val="20"/>
                  </w:rPr>
                  <m:t>1</m:t>
                </m:r>
              </m:sub>
              <m:sup>
                <m:r>
                  <w:rPr>
                    <w:rFonts w:ascii="Cambria Math" w:hAnsi="Cambria Math" w:cs="Arial"/>
                    <w:sz w:val="20"/>
                    <w:szCs w:val="20"/>
                  </w:rPr>
                  <m:t>2</m:t>
                </m:r>
              </m:sup>
            </m:sSubSup>
          </m:den>
        </m:f>
        <m:r>
          <w:rPr>
            <w:rFonts w:ascii="Cambria Math" w:hAnsi="Cambria Math" w:cs="Arial"/>
            <w:sz w:val="20"/>
            <w:szCs w:val="20"/>
          </w:rPr>
          <m:t xml:space="preserve">exp </m:t>
        </m:r>
        <m:d>
          <m:dPr>
            <m:ctrlPr>
              <w:rPr>
                <w:rFonts w:ascii="Cambria Math" w:hAnsi="Cambria Math" w:cs="Arial"/>
                <w:i/>
                <w:sz w:val="20"/>
                <w:szCs w:val="20"/>
              </w:rPr>
            </m:ctrlPr>
          </m:dPr>
          <m:e>
            <m:r>
              <w:rPr>
                <w:rFonts w:ascii="Cambria Math" w:hAnsi="Cambria Math" w:cs="Arial"/>
                <w:sz w:val="20"/>
                <w:szCs w:val="20"/>
              </w:rPr>
              <m:t>-</m:t>
            </m:r>
            <m:f>
              <m:fPr>
                <m:ctrlPr>
                  <w:rPr>
                    <w:rFonts w:ascii="Cambria Math" w:hAnsi="Cambria Math" w:cs="Arial"/>
                    <w:i/>
                    <w:sz w:val="20"/>
                    <w:szCs w:val="20"/>
                  </w:rPr>
                </m:ctrlPr>
              </m:fPr>
              <m:num>
                <m:sSubSup>
                  <m:sSubSupPr>
                    <m:ctrlPr>
                      <w:rPr>
                        <w:rFonts w:ascii="Cambria Math" w:hAnsi="Cambria Math" w:cs="Arial"/>
                        <w:i/>
                        <w:sz w:val="20"/>
                        <w:szCs w:val="20"/>
                      </w:rPr>
                    </m:ctrlPr>
                  </m:sSubSupPr>
                  <m:e>
                    <m:r>
                      <w:rPr>
                        <w:rFonts w:ascii="Cambria Math" w:hAnsi="Cambria Math" w:cs="Arial"/>
                        <w:sz w:val="20"/>
                        <w:szCs w:val="20"/>
                      </w:rPr>
                      <m:t>λ</m:t>
                    </m:r>
                  </m:e>
                  <m:sub>
                    <m:r>
                      <w:rPr>
                        <w:rFonts w:ascii="Cambria Math" w:hAnsi="Cambria Math" w:cs="Arial"/>
                        <w:sz w:val="20"/>
                        <w:szCs w:val="20"/>
                      </w:rPr>
                      <m:t>1</m:t>
                    </m:r>
                  </m:sub>
                  <m:sup>
                    <m:r>
                      <w:rPr>
                        <w:rFonts w:ascii="Cambria Math" w:hAnsi="Cambria Math" w:cs="Arial"/>
                        <w:sz w:val="20"/>
                        <w:szCs w:val="20"/>
                      </w:rPr>
                      <m:t>2</m:t>
                    </m:r>
                  </m:sup>
                </m:sSubSup>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eff</m:t>
                    </m:r>
                  </m:sub>
                </m:sSub>
                <m:r>
                  <w:rPr>
                    <w:rFonts w:ascii="Cambria Math" w:hAnsi="Cambria Math" w:cs="Arial"/>
                    <w:sz w:val="20"/>
                    <w:szCs w:val="20"/>
                  </w:rPr>
                  <m:t>t</m:t>
                </m:r>
              </m:num>
              <m:den>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den>
            </m:f>
          </m:e>
        </m:d>
      </m:oMath>
      <w:r w:rsidR="001D5A74" w:rsidRPr="00B56144">
        <w:rPr>
          <w:rFonts w:ascii="Arial" w:eastAsiaTheme="minorEastAsia" w:hAnsi="Arial" w:cs="Arial"/>
          <w:i/>
          <w:sz w:val="20"/>
          <w:szCs w:val="20"/>
        </w:rPr>
        <w:t xml:space="preserve">                  </w:t>
      </w:r>
      <w:r w:rsidRPr="00B56144">
        <w:rPr>
          <w:rFonts w:ascii="Arial" w:eastAsiaTheme="minorEastAsia" w:hAnsi="Arial" w:cs="Arial"/>
          <w:iCs/>
          <w:sz w:val="20"/>
          <w:szCs w:val="20"/>
        </w:rPr>
        <w:t>(</w:t>
      </w:r>
      <w:r w:rsidR="004C59B5" w:rsidRPr="00B56144">
        <w:rPr>
          <w:rFonts w:ascii="Arial" w:eastAsiaTheme="minorEastAsia" w:hAnsi="Arial" w:cs="Arial"/>
          <w:iCs/>
          <w:sz w:val="20"/>
          <w:szCs w:val="20"/>
        </w:rPr>
        <w:t>5</w:t>
      </w:r>
      <w:r w:rsidRPr="00B56144">
        <w:rPr>
          <w:rFonts w:ascii="Arial" w:eastAsiaTheme="minorEastAsia" w:hAnsi="Arial" w:cs="Arial"/>
          <w:iCs/>
          <w:sz w:val="20"/>
          <w:szCs w:val="20"/>
        </w:rPr>
        <w:t>)</w:t>
      </w:r>
    </w:p>
    <w:p w14:paraId="4B45D20D" w14:textId="5FE603BB" w:rsidR="007A05C8" w:rsidRPr="00B56144" w:rsidRDefault="00CF39CC" w:rsidP="004C59B5">
      <w:pPr>
        <w:spacing w:line="360" w:lineRule="auto"/>
        <w:jc w:val="both"/>
        <w:rPr>
          <w:rFonts w:ascii="Arial" w:hAnsi="Arial" w:cs="Arial"/>
          <w:iCs/>
          <w:sz w:val="20"/>
          <w:szCs w:val="20"/>
        </w:rPr>
      </w:pPr>
      <w:r w:rsidRPr="00B56144">
        <w:rPr>
          <w:rFonts w:ascii="Arial" w:hAnsi="Arial" w:cs="Arial"/>
          <w:iCs/>
          <w:sz w:val="20"/>
          <w:szCs w:val="20"/>
        </w:rPr>
        <w:t>Where</w:t>
      </w:r>
      <w:r w:rsidR="004C59B5" w:rsidRPr="00B56144">
        <w:rPr>
          <w:rFonts w:ascii="Arial" w:hAnsi="Arial" w:cs="Arial"/>
          <w:iCs/>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eff</m:t>
            </m:r>
          </m:sub>
        </m:sSub>
        <m:r>
          <w:rPr>
            <w:rFonts w:ascii="Cambria Math" w:hAnsi="Cambria Math" w:cs="Arial"/>
            <w:sz w:val="20"/>
            <w:szCs w:val="20"/>
          </w:rPr>
          <m:t xml:space="preserve"> - </m:t>
        </m:r>
      </m:oMath>
      <w:r w:rsidR="004C59B5" w:rsidRPr="00B56144">
        <w:rPr>
          <w:rFonts w:ascii="Arial" w:eastAsiaTheme="minorEastAsia" w:hAnsi="Arial" w:cs="Arial"/>
          <w:sz w:val="20"/>
          <w:szCs w:val="20"/>
        </w:rPr>
        <w:t>Effective moisture diffusivity (m</w:t>
      </w:r>
      <w:r w:rsidR="004C59B5" w:rsidRPr="00B56144">
        <w:rPr>
          <w:rFonts w:ascii="Arial" w:eastAsiaTheme="minorEastAsia" w:hAnsi="Arial" w:cs="Arial"/>
          <w:sz w:val="20"/>
          <w:szCs w:val="20"/>
          <w:vertAlign w:val="superscript"/>
        </w:rPr>
        <w:t>2</w:t>
      </w:r>
      <w:r w:rsidR="004C59B5" w:rsidRPr="00B56144">
        <w:rPr>
          <w:rFonts w:ascii="Arial" w:eastAsiaTheme="minorEastAsia" w:hAnsi="Arial" w:cs="Arial"/>
          <w:sz w:val="20"/>
          <w:szCs w:val="20"/>
        </w:rPr>
        <w:t>s</w:t>
      </w:r>
      <w:r w:rsidR="004C59B5" w:rsidRPr="00B56144">
        <w:rPr>
          <w:rFonts w:ascii="Arial" w:eastAsiaTheme="minorEastAsia" w:hAnsi="Arial" w:cs="Arial"/>
          <w:sz w:val="20"/>
          <w:szCs w:val="20"/>
          <w:vertAlign w:val="superscript"/>
        </w:rPr>
        <w:t>-1</w:t>
      </w:r>
      <w:r w:rsidR="004C59B5" w:rsidRPr="00B56144">
        <w:rPr>
          <w:rFonts w:ascii="Arial" w:eastAsiaTheme="minorEastAsia" w:hAnsi="Arial" w:cs="Arial"/>
          <w:sz w:val="20"/>
          <w:szCs w:val="20"/>
        </w:rPr>
        <w:t>)</w:t>
      </w:r>
      <w:r w:rsidR="004C59B5" w:rsidRPr="00B56144">
        <w:rPr>
          <w:rFonts w:ascii="Arial" w:hAnsi="Arial" w:cs="Arial"/>
          <w:iCs/>
          <w:sz w:val="20"/>
          <w:szCs w:val="20"/>
        </w:rPr>
        <w:t xml:space="preserve">, r – radius of the cylinder (m), </w:t>
      </w:r>
      <w:r w:rsidRPr="00B56144">
        <w:rPr>
          <w:rFonts w:ascii="Cambria Math" w:hAnsi="Cambria Math" w:cs="Cambria Math"/>
          <w:iCs/>
          <w:sz w:val="20"/>
          <w:szCs w:val="20"/>
        </w:rPr>
        <w:t>𝝺</w:t>
      </w:r>
      <w:r w:rsidRPr="00B56144">
        <w:rPr>
          <w:rFonts w:ascii="Arial" w:hAnsi="Arial" w:cs="Arial"/>
          <w:iCs/>
          <w:sz w:val="20"/>
          <w:szCs w:val="20"/>
          <w:vertAlign w:val="subscript"/>
        </w:rPr>
        <w:t>1</w:t>
      </w:r>
      <w:r w:rsidRPr="00B56144">
        <w:rPr>
          <w:rFonts w:ascii="Arial" w:hAnsi="Arial" w:cs="Arial"/>
          <w:iCs/>
          <w:sz w:val="20"/>
          <w:szCs w:val="20"/>
        </w:rPr>
        <w:t xml:space="preserve"> represents the first root of the Bessel function (</w:t>
      </w:r>
      <w:r w:rsidRPr="00B56144">
        <w:rPr>
          <w:rFonts w:ascii="Cambria Math" w:hAnsi="Cambria Math" w:cs="Cambria Math"/>
          <w:iCs/>
          <w:sz w:val="20"/>
          <w:szCs w:val="20"/>
        </w:rPr>
        <w:t>𝝺</w:t>
      </w:r>
      <w:r w:rsidRPr="00B56144">
        <w:rPr>
          <w:rFonts w:ascii="Arial" w:hAnsi="Arial" w:cs="Arial"/>
          <w:iCs/>
          <w:sz w:val="20"/>
          <w:szCs w:val="20"/>
          <w:vertAlign w:val="subscript"/>
        </w:rPr>
        <w:t>1</w:t>
      </w:r>
      <w:r w:rsidRPr="00B56144">
        <w:rPr>
          <w:rFonts w:ascii="Arial" w:hAnsi="Arial" w:cs="Arial"/>
          <w:iCs/>
          <w:sz w:val="20"/>
          <w:szCs w:val="20"/>
        </w:rPr>
        <w:t>= 2.4048).</w:t>
      </w:r>
    </w:p>
    <w:p w14:paraId="0B17DA18" w14:textId="77777777" w:rsidR="007A05C8" w:rsidRPr="00B56144" w:rsidRDefault="007A05C8" w:rsidP="007A05C8">
      <w:pPr>
        <w:spacing w:line="360" w:lineRule="auto"/>
        <w:jc w:val="both"/>
        <w:rPr>
          <w:rFonts w:ascii="Arial" w:hAnsi="Arial" w:cs="Arial"/>
          <w:vanish/>
          <w:sz w:val="22"/>
          <w:szCs w:val="22"/>
        </w:rPr>
      </w:pPr>
      <w:r w:rsidRPr="00B56144">
        <w:rPr>
          <w:rFonts w:ascii="Arial" w:hAnsi="Arial" w:cs="Arial"/>
          <w:vanish/>
          <w:sz w:val="22"/>
          <w:szCs w:val="22"/>
        </w:rPr>
        <w:t>Top of Form</w:t>
      </w:r>
    </w:p>
    <w:p w14:paraId="007EDBDA" w14:textId="77777777" w:rsidR="00D042E1" w:rsidRPr="00B56144" w:rsidRDefault="00D042E1" w:rsidP="00D042E1">
      <w:pPr>
        <w:spacing w:line="360" w:lineRule="auto"/>
        <w:jc w:val="both"/>
        <w:rPr>
          <w:rFonts w:ascii="Arial" w:hAnsi="Arial" w:cs="Arial"/>
          <w:sz w:val="22"/>
          <w:szCs w:val="22"/>
        </w:rPr>
      </w:pPr>
      <w:r w:rsidRPr="00B56144">
        <w:rPr>
          <w:rFonts w:ascii="Arial" w:hAnsi="Arial" w:cs="Arial"/>
          <w:b/>
          <w:bCs/>
          <w:sz w:val="22"/>
          <w:szCs w:val="22"/>
        </w:rPr>
        <w:t>2.6. Quality Characteristics Analysis</w:t>
      </w:r>
    </w:p>
    <w:p w14:paraId="1DC4ED86" w14:textId="76940A9E" w:rsidR="00D042E1" w:rsidRPr="00B56144" w:rsidRDefault="00D042E1" w:rsidP="00D042E1">
      <w:pPr>
        <w:spacing w:line="360" w:lineRule="auto"/>
        <w:jc w:val="both"/>
        <w:rPr>
          <w:rFonts w:ascii="Arial" w:hAnsi="Arial" w:cs="Arial"/>
          <w:sz w:val="20"/>
          <w:szCs w:val="20"/>
        </w:rPr>
      </w:pPr>
      <w:r w:rsidRPr="00B56144">
        <w:rPr>
          <w:rFonts w:ascii="Arial" w:hAnsi="Arial" w:cs="Arial"/>
          <w:b/>
          <w:bCs/>
          <w:sz w:val="20"/>
          <w:szCs w:val="20"/>
        </w:rPr>
        <w:t>2.6.1. Water Activity (</w:t>
      </w:r>
      <m:oMath>
        <m:sSub>
          <m:sSubPr>
            <m:ctrlPr>
              <w:rPr>
                <w:rFonts w:ascii="Cambria Math" w:hAnsi="Cambria Math" w:cs="Arial"/>
                <w:b/>
                <w:bCs/>
                <w:i/>
                <w:sz w:val="20"/>
                <w:szCs w:val="20"/>
              </w:rPr>
            </m:ctrlPr>
          </m:sSubPr>
          <m:e>
            <m:r>
              <m:rPr>
                <m:sty m:val="bi"/>
              </m:rPr>
              <w:rPr>
                <w:rFonts w:ascii="Cambria Math" w:hAnsi="Cambria Math" w:cs="Arial"/>
                <w:sz w:val="20"/>
                <w:szCs w:val="20"/>
              </w:rPr>
              <m:t>a</m:t>
            </m:r>
          </m:e>
          <m:sub>
            <m:r>
              <m:rPr>
                <m:sty m:val="bi"/>
              </m:rPr>
              <w:rPr>
                <w:rFonts w:ascii="Cambria Math" w:hAnsi="Cambria Math" w:cs="Arial"/>
                <w:sz w:val="20"/>
                <w:szCs w:val="20"/>
              </w:rPr>
              <m:t>w</m:t>
            </m:r>
          </m:sub>
        </m:sSub>
      </m:oMath>
      <w:r w:rsidRPr="00B56144">
        <w:rPr>
          <w:rFonts w:ascii="Arial" w:hAnsi="Arial" w:cs="Arial"/>
          <w:b/>
          <w:bCs/>
          <w:sz w:val="20"/>
          <w:szCs w:val="20"/>
        </w:rPr>
        <w:t>)</w:t>
      </w:r>
    </w:p>
    <w:p w14:paraId="26D8F16B" w14:textId="21692BCE" w:rsidR="00D042E1" w:rsidRPr="00C56CB9" w:rsidRDefault="00D042E1" w:rsidP="00B56144">
      <w:pPr>
        <w:spacing w:line="360" w:lineRule="auto"/>
        <w:jc w:val="both"/>
        <w:rPr>
          <w:rFonts w:ascii="Arial" w:hAnsi="Arial" w:cs="Arial"/>
          <w:sz w:val="20"/>
          <w:szCs w:val="20"/>
        </w:rPr>
      </w:pPr>
      <w:r w:rsidRPr="00C56CB9">
        <w:rPr>
          <w:rFonts w:ascii="Arial" w:hAnsi="Arial" w:cs="Arial"/>
          <w:sz w:val="20"/>
          <w:szCs w:val="20"/>
        </w:rPr>
        <w:t>The water activity (</w:t>
      </w: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w</m:t>
            </m:r>
          </m:sub>
        </m:sSub>
      </m:oMath>
      <w:r w:rsidRPr="00C56CB9">
        <w:rPr>
          <w:rFonts w:ascii="Arial" w:hAnsi="Arial" w:cs="Arial"/>
          <w:sz w:val="20"/>
          <w:szCs w:val="20"/>
        </w:rPr>
        <w:t>) of both fresh and dried nutmeg mace samples was determined using a digital water activity meter (e.g., Aqualab</w:t>
      </w:r>
      <w:r w:rsidR="003F21DE" w:rsidRPr="00C56CB9">
        <w:rPr>
          <w:rFonts w:ascii="Arial" w:hAnsi="Arial" w:cs="Arial"/>
          <w:sz w:val="20"/>
          <w:szCs w:val="20"/>
        </w:rPr>
        <w:t>)</w:t>
      </w:r>
      <w:r w:rsidRPr="00C56CB9">
        <w:rPr>
          <w:rFonts w:ascii="Arial" w:hAnsi="Arial" w:cs="Arial"/>
          <w:sz w:val="20"/>
          <w:szCs w:val="20"/>
        </w:rPr>
        <w:t xml:space="preserve">. Approximately 2–3 g of the sample was placed in the measurement cup, and readings were taken at a constant temperature of </w:t>
      </w:r>
      <w:r w:rsidR="00B425C1" w:rsidRPr="00C56CB9">
        <w:rPr>
          <w:rFonts w:ascii="Arial" w:hAnsi="Arial" w:cs="Arial"/>
          <w:sz w:val="20"/>
          <w:szCs w:val="20"/>
        </w:rPr>
        <w:t>25</w:t>
      </w:r>
      <w:r w:rsidR="004C59B5" w:rsidRPr="00C56CB9">
        <w:rPr>
          <w:rFonts w:ascii="Arial" w:hAnsi="Arial" w:cs="Arial"/>
          <w:sz w:val="20"/>
          <w:szCs w:val="20"/>
        </w:rPr>
        <w:t xml:space="preserve"> </w:t>
      </w:r>
      <w:r w:rsidR="00B425C1" w:rsidRPr="00C56CB9">
        <w:rPr>
          <w:rFonts w:ascii="Arial" w:hAnsi="Arial" w:cs="Arial"/>
          <w:sz w:val="20"/>
          <w:szCs w:val="20"/>
          <w:vertAlign w:val="superscript"/>
        </w:rPr>
        <w:t>0</w:t>
      </w:r>
      <w:r w:rsidR="00B425C1" w:rsidRPr="00C56CB9">
        <w:rPr>
          <w:rFonts w:ascii="Arial" w:hAnsi="Arial" w:cs="Arial"/>
          <w:sz w:val="20"/>
          <w:szCs w:val="20"/>
        </w:rPr>
        <w:t>C</w:t>
      </w:r>
      <w:r w:rsidRPr="00C56CB9">
        <w:rPr>
          <w:rFonts w:ascii="Arial" w:hAnsi="Arial" w:cs="Arial"/>
          <w:sz w:val="20"/>
          <w:szCs w:val="20"/>
        </w:rPr>
        <w:t>. This measurement is critical for ensuring the microbiological stability of the dried product, with target values generally maintained below 0.600.</w:t>
      </w:r>
    </w:p>
    <w:p w14:paraId="6BB25CA3" w14:textId="29334D42" w:rsidR="00D042E1" w:rsidRPr="00C56CB9" w:rsidRDefault="00D042E1" w:rsidP="00D042E1">
      <w:pPr>
        <w:spacing w:line="360" w:lineRule="auto"/>
        <w:jc w:val="both"/>
        <w:rPr>
          <w:rFonts w:ascii="Arial" w:hAnsi="Arial" w:cs="Arial"/>
          <w:sz w:val="20"/>
          <w:szCs w:val="20"/>
        </w:rPr>
      </w:pPr>
      <w:r w:rsidRPr="00C56CB9">
        <w:rPr>
          <w:rFonts w:ascii="Arial" w:hAnsi="Arial" w:cs="Arial"/>
          <w:b/>
          <w:bCs/>
          <w:sz w:val="20"/>
          <w:szCs w:val="20"/>
        </w:rPr>
        <w:t>2.6.2. Colo</w:t>
      </w:r>
      <w:r w:rsidR="005B0F27">
        <w:rPr>
          <w:rFonts w:ascii="Arial" w:hAnsi="Arial" w:cs="Arial"/>
          <w:b/>
          <w:bCs/>
          <w:sz w:val="20"/>
          <w:szCs w:val="20"/>
        </w:rPr>
        <w:t>u</w:t>
      </w:r>
      <w:r w:rsidRPr="00C56CB9">
        <w:rPr>
          <w:rFonts w:ascii="Arial" w:hAnsi="Arial" w:cs="Arial"/>
          <w:b/>
          <w:bCs/>
          <w:sz w:val="20"/>
          <w:szCs w:val="20"/>
        </w:rPr>
        <w:t>r Attributes</w:t>
      </w:r>
    </w:p>
    <w:p w14:paraId="77FC99DD" w14:textId="24292D8C" w:rsidR="00B425C1" w:rsidRPr="00C56CB9" w:rsidRDefault="00D042E1" w:rsidP="00C56CB9">
      <w:pPr>
        <w:spacing w:line="360" w:lineRule="auto"/>
        <w:jc w:val="both"/>
        <w:rPr>
          <w:rFonts w:ascii="Arial" w:hAnsi="Arial" w:cs="Arial"/>
          <w:sz w:val="20"/>
          <w:szCs w:val="20"/>
        </w:rPr>
      </w:pPr>
      <w:r w:rsidRPr="00C56CB9">
        <w:rPr>
          <w:rFonts w:ascii="Arial" w:hAnsi="Arial" w:cs="Arial"/>
          <w:sz w:val="20"/>
          <w:szCs w:val="20"/>
        </w:rPr>
        <w:t>The surface colo</w:t>
      </w:r>
      <w:r w:rsidR="00B425C1" w:rsidRPr="00C56CB9">
        <w:rPr>
          <w:rFonts w:ascii="Arial" w:hAnsi="Arial" w:cs="Arial"/>
          <w:sz w:val="20"/>
          <w:szCs w:val="20"/>
        </w:rPr>
        <w:t>u</w:t>
      </w:r>
      <w:r w:rsidRPr="00C56CB9">
        <w:rPr>
          <w:rFonts w:ascii="Arial" w:hAnsi="Arial" w:cs="Arial"/>
          <w:sz w:val="20"/>
          <w:szCs w:val="20"/>
        </w:rPr>
        <w:t xml:space="preserve">r of fresh and dehydrated samples was quantified using a </w:t>
      </w:r>
      <w:r w:rsidR="005B0F27">
        <w:rPr>
          <w:rFonts w:ascii="Arial" w:hAnsi="Arial" w:cs="Arial"/>
          <w:sz w:val="20"/>
          <w:szCs w:val="20"/>
        </w:rPr>
        <w:t>colour</w:t>
      </w:r>
      <w:r w:rsidRPr="00C56CB9">
        <w:rPr>
          <w:rFonts w:ascii="Arial" w:hAnsi="Arial" w:cs="Arial"/>
          <w:sz w:val="20"/>
          <w:szCs w:val="20"/>
        </w:rPr>
        <w:t>imeter (</w:t>
      </w:r>
      <w:proofErr w:type="spellStart"/>
      <w:r w:rsidRPr="00C56CB9">
        <w:rPr>
          <w:rFonts w:ascii="Arial" w:hAnsi="Arial" w:cs="Arial"/>
          <w:sz w:val="20"/>
          <w:szCs w:val="20"/>
        </w:rPr>
        <w:t>HunterLab</w:t>
      </w:r>
      <w:proofErr w:type="spellEnd"/>
      <w:r w:rsidRPr="00C56CB9">
        <w:rPr>
          <w:rFonts w:ascii="Arial" w:hAnsi="Arial" w:cs="Arial"/>
          <w:sz w:val="20"/>
          <w:szCs w:val="20"/>
        </w:rPr>
        <w:t xml:space="preserve">) calibrated with standard black and white tiles. Results were expressed in the CIELAB </w:t>
      </w:r>
      <w:r w:rsidR="005B0F27">
        <w:rPr>
          <w:rFonts w:ascii="Arial" w:hAnsi="Arial" w:cs="Arial"/>
          <w:sz w:val="20"/>
          <w:szCs w:val="20"/>
        </w:rPr>
        <w:t>colour</w:t>
      </w:r>
      <w:r w:rsidRPr="00C56CB9">
        <w:rPr>
          <w:rFonts w:ascii="Arial" w:hAnsi="Arial" w:cs="Arial"/>
          <w:sz w:val="20"/>
          <w:szCs w:val="20"/>
        </w:rPr>
        <w:t xml:space="preserve"> space, recording coordinates for lightness (</w:t>
      </w:r>
      <w:r w:rsidR="00B425C1" w:rsidRPr="00C56CB9">
        <w:rPr>
          <w:rFonts w:ascii="Arial" w:hAnsi="Arial" w:cs="Arial"/>
          <w:sz w:val="20"/>
          <w:szCs w:val="20"/>
        </w:rPr>
        <w:t>L*</w:t>
      </w:r>
      <w:r w:rsidRPr="00C56CB9">
        <w:rPr>
          <w:rFonts w:ascii="Arial" w:hAnsi="Arial" w:cs="Arial"/>
          <w:sz w:val="20"/>
          <w:szCs w:val="20"/>
        </w:rPr>
        <w:t>), redness/greenness (</w:t>
      </w:r>
      <w:r w:rsidR="00B425C1" w:rsidRPr="00C56CB9">
        <w:rPr>
          <w:rFonts w:ascii="Arial" w:hAnsi="Arial" w:cs="Arial"/>
          <w:sz w:val="20"/>
          <w:szCs w:val="20"/>
        </w:rPr>
        <w:t>a*</w:t>
      </w:r>
      <w:r w:rsidRPr="00C56CB9">
        <w:rPr>
          <w:rFonts w:ascii="Arial" w:hAnsi="Arial" w:cs="Arial"/>
          <w:sz w:val="20"/>
          <w:szCs w:val="20"/>
        </w:rPr>
        <w:t>), and yellowness/blueness (</w:t>
      </w:r>
      <w:r w:rsidR="00B425C1" w:rsidRPr="00C56CB9">
        <w:rPr>
          <w:rFonts w:ascii="Arial" w:hAnsi="Arial" w:cs="Arial"/>
          <w:sz w:val="20"/>
          <w:szCs w:val="20"/>
        </w:rPr>
        <w:t>b*</w:t>
      </w:r>
      <w:r w:rsidRPr="00C56CB9">
        <w:rPr>
          <w:rFonts w:ascii="Arial" w:hAnsi="Arial" w:cs="Arial"/>
          <w:sz w:val="20"/>
          <w:szCs w:val="20"/>
        </w:rPr>
        <w:t xml:space="preserve">). The total </w:t>
      </w:r>
      <w:r w:rsidR="005B0F27">
        <w:rPr>
          <w:rFonts w:ascii="Arial" w:hAnsi="Arial" w:cs="Arial"/>
          <w:sz w:val="20"/>
          <w:szCs w:val="20"/>
        </w:rPr>
        <w:t>colour</w:t>
      </w:r>
      <w:r w:rsidRPr="00C56CB9">
        <w:rPr>
          <w:rFonts w:ascii="Arial" w:hAnsi="Arial" w:cs="Arial"/>
          <w:sz w:val="20"/>
          <w:szCs w:val="20"/>
        </w:rPr>
        <w:t xml:space="preserve"> difference (</w:t>
      </w:r>
      <w:r w:rsidR="00B425C1" w:rsidRPr="00C56CB9">
        <w:rPr>
          <w:rFonts w:ascii="Arial" w:hAnsi="Arial" w:cs="Arial"/>
          <w:sz w:val="20"/>
          <w:szCs w:val="20"/>
        </w:rPr>
        <w:t>∆E</w:t>
      </w:r>
      <w:r w:rsidRPr="00C56CB9">
        <w:rPr>
          <w:rFonts w:ascii="Arial" w:hAnsi="Arial" w:cs="Arial"/>
          <w:sz w:val="20"/>
          <w:szCs w:val="20"/>
        </w:rPr>
        <w:t>) was calculated to determine the magnitude of colo</w:t>
      </w:r>
      <w:r w:rsidR="00B425C1" w:rsidRPr="00C56CB9">
        <w:rPr>
          <w:rFonts w:ascii="Arial" w:hAnsi="Arial" w:cs="Arial"/>
          <w:sz w:val="20"/>
          <w:szCs w:val="20"/>
        </w:rPr>
        <w:t>u</w:t>
      </w:r>
      <w:r w:rsidRPr="00C56CB9">
        <w:rPr>
          <w:rFonts w:ascii="Arial" w:hAnsi="Arial" w:cs="Arial"/>
          <w:sz w:val="20"/>
          <w:szCs w:val="20"/>
        </w:rPr>
        <w:t xml:space="preserve">r shift during thermal processing using the </w:t>
      </w:r>
      <w:r w:rsidR="00B425C1" w:rsidRPr="00C56CB9">
        <w:rPr>
          <w:rFonts w:ascii="Arial" w:hAnsi="Arial" w:cs="Arial"/>
          <w:sz w:val="20"/>
          <w:szCs w:val="20"/>
        </w:rPr>
        <w:t>following equation</w:t>
      </w:r>
      <w:r w:rsidR="004C59B5" w:rsidRPr="00C56CB9">
        <w:rPr>
          <w:rFonts w:ascii="Arial" w:hAnsi="Arial" w:cs="Arial"/>
          <w:sz w:val="20"/>
          <w:szCs w:val="20"/>
        </w:rPr>
        <w:t xml:space="preserve"> </w:t>
      </w:r>
      <w:r w:rsidR="001F5977">
        <w:rPr>
          <w:rFonts w:ascii="Arial" w:hAnsi="Arial" w:cs="Arial"/>
          <w:sz w:val="20"/>
          <w:szCs w:val="20"/>
        </w:rPr>
        <w:t>6</w:t>
      </w:r>
      <w:r w:rsidR="00B425C1" w:rsidRPr="00C56CB9">
        <w:rPr>
          <w:rFonts w:ascii="Arial" w:hAnsi="Arial" w:cs="Arial"/>
          <w:sz w:val="20"/>
          <w:szCs w:val="20"/>
        </w:rPr>
        <w:t xml:space="preserve"> (Minjares-Fuentes et al., 2017; Hasan et al., 2024)</w:t>
      </w:r>
      <w:r w:rsidR="004C59B5" w:rsidRPr="00C56CB9">
        <w:rPr>
          <w:rFonts w:ascii="Arial" w:hAnsi="Arial" w:cs="Arial"/>
          <w:sz w:val="20"/>
          <w:szCs w:val="20"/>
        </w:rPr>
        <w:t>.</w:t>
      </w:r>
    </w:p>
    <w:p w14:paraId="29507A2E" w14:textId="20C1972D" w:rsidR="00B425C1" w:rsidRPr="00C56CB9" w:rsidRDefault="00B425C1" w:rsidP="004C59B5">
      <w:pPr>
        <w:spacing w:line="360" w:lineRule="auto"/>
        <w:jc w:val="center"/>
        <w:rPr>
          <w:rFonts w:ascii="Arial" w:hAnsi="Arial" w:cs="Arial"/>
          <w:sz w:val="20"/>
          <w:szCs w:val="20"/>
        </w:rPr>
      </w:pPr>
      <m:oMath>
        <m:r>
          <w:rPr>
            <w:rFonts w:ascii="Cambria Math" w:hAnsi="Cambria Math" w:cs="Arial"/>
            <w:sz w:val="20"/>
            <w:szCs w:val="20"/>
          </w:rPr>
          <m:t xml:space="preserve">∆E =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r>
                  <w:rPr>
                    <w:rFonts w:ascii="Cambria Math" w:hAnsi="Cambria Math" w:cs="Arial"/>
                    <w:sz w:val="20"/>
                    <w:szCs w:val="20"/>
                  </w:rPr>
                  <m:t>(</m:t>
                </m:r>
                <m:sSubSup>
                  <m:sSubSupPr>
                    <m:ctrlPr>
                      <w:rPr>
                        <w:rFonts w:ascii="Cambria Math" w:hAnsi="Cambria Math" w:cs="Arial"/>
                        <w:i/>
                        <w:sz w:val="20"/>
                        <w:szCs w:val="20"/>
                      </w:rPr>
                    </m:ctrlPr>
                  </m:sSubSupPr>
                  <m:e>
                    <m:r>
                      <w:rPr>
                        <w:rFonts w:ascii="Cambria Math" w:hAnsi="Cambria Math" w:cs="Arial"/>
                        <w:sz w:val="20"/>
                        <w:szCs w:val="20"/>
                      </w:rPr>
                      <m:t>L</m:t>
                    </m:r>
                  </m:e>
                  <m:sub>
                    <m:r>
                      <w:rPr>
                        <w:rFonts w:ascii="Cambria Math" w:hAnsi="Cambria Math" w:cs="Arial"/>
                        <w:sz w:val="20"/>
                        <w:szCs w:val="20"/>
                      </w:rPr>
                      <m:t>0</m:t>
                    </m:r>
                  </m:sub>
                  <m:sup>
                    <m:r>
                      <w:rPr>
                        <w:rFonts w:ascii="Cambria Math" w:hAnsi="Cambria Math" w:cs="Arial"/>
                        <w:sz w:val="20"/>
                        <w:szCs w:val="20"/>
                      </w:rPr>
                      <m:t>*</m:t>
                    </m:r>
                  </m:sup>
                </m:sSubSup>
                <m:r>
                  <w:rPr>
                    <w:rFonts w:ascii="Cambria Math" w:hAnsi="Cambria Math" w:cs="Arial"/>
                    <w:sz w:val="20"/>
                    <w:szCs w:val="20"/>
                  </w:rPr>
                  <m:t>-</m:t>
                </m:r>
                <m:sSubSup>
                  <m:sSubSupPr>
                    <m:ctrlPr>
                      <w:rPr>
                        <w:rFonts w:ascii="Cambria Math" w:hAnsi="Cambria Math" w:cs="Arial"/>
                        <w:i/>
                        <w:sz w:val="20"/>
                        <w:szCs w:val="20"/>
                      </w:rPr>
                    </m:ctrlPr>
                  </m:sSubSupPr>
                  <m:e>
                    <m:r>
                      <w:rPr>
                        <w:rFonts w:ascii="Cambria Math" w:hAnsi="Cambria Math" w:cs="Arial"/>
                        <w:sz w:val="20"/>
                        <w:szCs w:val="20"/>
                      </w:rPr>
                      <m:t>L</m:t>
                    </m:r>
                  </m:e>
                  <m:sub>
                    <m:r>
                      <w:rPr>
                        <w:rFonts w:ascii="Cambria Math" w:hAnsi="Cambria Math" w:cs="Arial"/>
                        <w:sz w:val="20"/>
                        <w:szCs w:val="20"/>
                      </w:rPr>
                      <m:t>t</m:t>
                    </m:r>
                  </m:sub>
                  <m:sup>
                    <m:r>
                      <w:rPr>
                        <w:rFonts w:ascii="Cambria Math" w:hAnsi="Cambria Math" w:cs="Arial"/>
                        <w:sz w:val="20"/>
                        <w:szCs w:val="20"/>
                      </w:rPr>
                      <m:t>*</m:t>
                    </m:r>
                  </m:sup>
                </m:sSubSup>
                <m:r>
                  <w:rPr>
                    <w:rFonts w:ascii="Cambria Math" w:hAnsi="Cambria Math" w:cs="Arial"/>
                    <w:sz w:val="20"/>
                    <w:szCs w:val="20"/>
                  </w:rPr>
                  <m:t>)</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m:t>
                </m:r>
                <m:sSubSup>
                  <m:sSubSupPr>
                    <m:ctrlPr>
                      <w:rPr>
                        <w:rFonts w:ascii="Cambria Math" w:hAnsi="Cambria Math" w:cs="Arial"/>
                        <w:i/>
                        <w:sz w:val="20"/>
                        <w:szCs w:val="20"/>
                      </w:rPr>
                    </m:ctrlPr>
                  </m:sSubSupPr>
                  <m:e>
                    <m:r>
                      <w:rPr>
                        <w:rFonts w:ascii="Cambria Math" w:hAnsi="Cambria Math" w:cs="Arial"/>
                        <w:sz w:val="20"/>
                        <w:szCs w:val="20"/>
                      </w:rPr>
                      <m:t>a</m:t>
                    </m:r>
                  </m:e>
                  <m:sub>
                    <m:r>
                      <w:rPr>
                        <w:rFonts w:ascii="Cambria Math" w:hAnsi="Cambria Math" w:cs="Arial"/>
                        <w:sz w:val="20"/>
                        <w:szCs w:val="20"/>
                      </w:rPr>
                      <m:t>0</m:t>
                    </m:r>
                  </m:sub>
                  <m:sup>
                    <m:r>
                      <w:rPr>
                        <w:rFonts w:ascii="Cambria Math" w:hAnsi="Cambria Math" w:cs="Arial"/>
                        <w:sz w:val="20"/>
                        <w:szCs w:val="20"/>
                      </w:rPr>
                      <m:t>*</m:t>
                    </m:r>
                  </m:sup>
                </m:sSubSup>
                <m:r>
                  <w:rPr>
                    <w:rFonts w:ascii="Cambria Math" w:hAnsi="Cambria Math" w:cs="Arial"/>
                    <w:sz w:val="20"/>
                    <w:szCs w:val="20"/>
                  </w:rPr>
                  <m:t>-</m:t>
                </m:r>
                <m:sSubSup>
                  <m:sSubSupPr>
                    <m:ctrlPr>
                      <w:rPr>
                        <w:rFonts w:ascii="Cambria Math" w:hAnsi="Cambria Math" w:cs="Arial"/>
                        <w:i/>
                        <w:sz w:val="20"/>
                        <w:szCs w:val="20"/>
                      </w:rPr>
                    </m:ctrlPr>
                  </m:sSubSupPr>
                  <m:e>
                    <m:r>
                      <w:rPr>
                        <w:rFonts w:ascii="Cambria Math" w:hAnsi="Cambria Math" w:cs="Arial"/>
                        <w:sz w:val="20"/>
                        <w:szCs w:val="20"/>
                      </w:rPr>
                      <m:t>a</m:t>
                    </m:r>
                  </m:e>
                  <m:sub>
                    <m:r>
                      <w:rPr>
                        <w:rFonts w:ascii="Cambria Math" w:hAnsi="Cambria Math" w:cs="Arial"/>
                        <w:sz w:val="20"/>
                        <w:szCs w:val="20"/>
                      </w:rPr>
                      <m:t>t</m:t>
                    </m:r>
                  </m:sub>
                  <m:sup>
                    <m:r>
                      <w:rPr>
                        <w:rFonts w:ascii="Cambria Math" w:hAnsi="Cambria Math" w:cs="Arial"/>
                        <w:sz w:val="20"/>
                        <w:szCs w:val="20"/>
                      </w:rPr>
                      <m:t>*</m:t>
                    </m:r>
                  </m:sup>
                </m:sSubSup>
                <m:r>
                  <w:rPr>
                    <w:rFonts w:ascii="Cambria Math" w:hAnsi="Cambria Math" w:cs="Arial"/>
                    <w:sz w:val="20"/>
                    <w:szCs w:val="20"/>
                  </w:rPr>
                  <m:t>)</m:t>
                </m:r>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m:t>
                </m:r>
                <m:sSubSup>
                  <m:sSubSupPr>
                    <m:ctrlPr>
                      <w:rPr>
                        <w:rFonts w:ascii="Cambria Math" w:hAnsi="Cambria Math" w:cs="Arial"/>
                        <w:i/>
                        <w:sz w:val="20"/>
                        <w:szCs w:val="20"/>
                      </w:rPr>
                    </m:ctrlPr>
                  </m:sSubSupPr>
                  <m:e>
                    <m:r>
                      <w:rPr>
                        <w:rFonts w:ascii="Cambria Math" w:hAnsi="Cambria Math" w:cs="Arial"/>
                        <w:sz w:val="20"/>
                        <w:szCs w:val="20"/>
                      </w:rPr>
                      <m:t>b</m:t>
                    </m:r>
                  </m:e>
                  <m:sub>
                    <m:r>
                      <w:rPr>
                        <w:rFonts w:ascii="Cambria Math" w:hAnsi="Cambria Math" w:cs="Arial"/>
                        <w:sz w:val="20"/>
                        <w:szCs w:val="20"/>
                      </w:rPr>
                      <m:t>0</m:t>
                    </m:r>
                  </m:sub>
                  <m:sup>
                    <m:r>
                      <w:rPr>
                        <w:rFonts w:ascii="Cambria Math" w:hAnsi="Cambria Math" w:cs="Arial"/>
                        <w:sz w:val="20"/>
                        <w:szCs w:val="20"/>
                      </w:rPr>
                      <m:t>*</m:t>
                    </m:r>
                  </m:sup>
                </m:sSubSup>
                <m:r>
                  <w:rPr>
                    <w:rFonts w:ascii="Cambria Math" w:hAnsi="Cambria Math" w:cs="Arial"/>
                    <w:sz w:val="20"/>
                    <w:szCs w:val="20"/>
                  </w:rPr>
                  <m:t>-</m:t>
                </m:r>
                <m:sSubSup>
                  <m:sSubSupPr>
                    <m:ctrlPr>
                      <w:rPr>
                        <w:rFonts w:ascii="Cambria Math" w:hAnsi="Cambria Math" w:cs="Arial"/>
                        <w:i/>
                        <w:sz w:val="20"/>
                        <w:szCs w:val="20"/>
                      </w:rPr>
                    </m:ctrlPr>
                  </m:sSubSupPr>
                  <m:e>
                    <m:r>
                      <w:rPr>
                        <w:rFonts w:ascii="Cambria Math" w:hAnsi="Cambria Math" w:cs="Arial"/>
                        <w:sz w:val="20"/>
                        <w:szCs w:val="20"/>
                      </w:rPr>
                      <m:t>b</m:t>
                    </m:r>
                  </m:e>
                  <m:sub>
                    <m:r>
                      <w:rPr>
                        <w:rFonts w:ascii="Cambria Math" w:hAnsi="Cambria Math" w:cs="Arial"/>
                        <w:sz w:val="20"/>
                        <w:szCs w:val="20"/>
                      </w:rPr>
                      <m:t>t</m:t>
                    </m:r>
                  </m:sub>
                  <m:sup>
                    <m:r>
                      <w:rPr>
                        <w:rFonts w:ascii="Cambria Math" w:hAnsi="Cambria Math" w:cs="Arial"/>
                        <w:sz w:val="20"/>
                        <w:szCs w:val="20"/>
                      </w:rPr>
                      <m:t>*</m:t>
                    </m:r>
                  </m:sup>
                </m:sSubSup>
                <m:r>
                  <w:rPr>
                    <w:rFonts w:ascii="Cambria Math" w:hAnsi="Cambria Math" w:cs="Arial"/>
                    <w:sz w:val="20"/>
                    <w:szCs w:val="20"/>
                  </w:rPr>
                  <m:t>)</m:t>
                </m:r>
              </m:e>
              <m:sup>
                <m:r>
                  <w:rPr>
                    <w:rFonts w:ascii="Cambria Math" w:hAnsi="Cambria Math" w:cs="Arial"/>
                    <w:sz w:val="20"/>
                    <w:szCs w:val="20"/>
                  </w:rPr>
                  <m:t>2</m:t>
                </m:r>
              </m:sup>
            </m:sSup>
          </m:e>
        </m:rad>
      </m:oMath>
      <w:r w:rsidR="004C59B5" w:rsidRPr="00C56CB9">
        <w:rPr>
          <w:rFonts w:ascii="Arial" w:eastAsiaTheme="minorEastAsia" w:hAnsi="Arial" w:cs="Arial"/>
          <w:sz w:val="20"/>
          <w:szCs w:val="20"/>
        </w:rPr>
        <w:t xml:space="preserve">      (</w:t>
      </w:r>
      <w:r w:rsidR="001F5977">
        <w:rPr>
          <w:rFonts w:ascii="Arial" w:eastAsiaTheme="minorEastAsia" w:hAnsi="Arial" w:cs="Arial"/>
          <w:sz w:val="20"/>
          <w:szCs w:val="20"/>
        </w:rPr>
        <w:t>6</w:t>
      </w:r>
      <w:r w:rsidR="004C59B5" w:rsidRPr="00C56CB9">
        <w:rPr>
          <w:rFonts w:ascii="Arial" w:eastAsiaTheme="minorEastAsia" w:hAnsi="Arial" w:cs="Arial"/>
          <w:sz w:val="20"/>
          <w:szCs w:val="20"/>
        </w:rPr>
        <w:t>)</w:t>
      </w:r>
    </w:p>
    <w:p w14:paraId="3498DBB4" w14:textId="30A79D76" w:rsidR="00D042E1" w:rsidRPr="00C56CB9" w:rsidRDefault="00B425C1" w:rsidP="00B425C1">
      <w:pPr>
        <w:spacing w:line="360" w:lineRule="auto"/>
        <w:jc w:val="both"/>
        <w:rPr>
          <w:rFonts w:ascii="Arial" w:hAnsi="Arial" w:cs="Arial"/>
          <w:sz w:val="20"/>
          <w:szCs w:val="20"/>
        </w:rPr>
      </w:pPr>
      <w:r w:rsidRPr="00C56CB9">
        <w:rPr>
          <w:rFonts w:ascii="Arial" w:hAnsi="Arial" w:cs="Arial"/>
          <w:sz w:val="20"/>
          <w:szCs w:val="20"/>
        </w:rPr>
        <w:t xml:space="preserve"> where the subscript ‘0’ refers to the fresh or impregnated sample and ‘t’ refers to the dried product.</w:t>
      </w:r>
    </w:p>
    <w:p w14:paraId="67315BA2" w14:textId="77777777" w:rsidR="00D042E1" w:rsidRPr="00C56CB9" w:rsidRDefault="00D042E1" w:rsidP="00D042E1">
      <w:pPr>
        <w:spacing w:line="360" w:lineRule="auto"/>
        <w:jc w:val="both"/>
        <w:rPr>
          <w:rFonts w:ascii="Arial" w:hAnsi="Arial" w:cs="Arial"/>
          <w:sz w:val="20"/>
          <w:szCs w:val="20"/>
        </w:rPr>
      </w:pPr>
      <w:r w:rsidRPr="00C56CB9">
        <w:rPr>
          <w:rFonts w:ascii="Arial" w:hAnsi="Arial" w:cs="Arial"/>
          <w:b/>
          <w:bCs/>
          <w:sz w:val="20"/>
          <w:szCs w:val="20"/>
        </w:rPr>
        <w:t>2.6.3. Total Phenolic Content (TPC)</w:t>
      </w:r>
    </w:p>
    <w:p w14:paraId="6B954E7C" w14:textId="56EA23AF" w:rsidR="00D042E1" w:rsidRPr="00C56CB9" w:rsidRDefault="00D042E1" w:rsidP="00C56CB9">
      <w:pPr>
        <w:spacing w:line="360" w:lineRule="auto"/>
        <w:jc w:val="both"/>
        <w:rPr>
          <w:rFonts w:ascii="Arial" w:hAnsi="Arial" w:cs="Arial"/>
          <w:sz w:val="20"/>
          <w:szCs w:val="20"/>
        </w:rPr>
      </w:pPr>
      <w:r w:rsidRPr="00C56CB9">
        <w:rPr>
          <w:rFonts w:ascii="Arial" w:hAnsi="Arial" w:cs="Arial"/>
          <w:sz w:val="20"/>
          <w:szCs w:val="20"/>
        </w:rPr>
        <w:t>The Total Phenolic Content (TPC) was determined using the Folin-</w:t>
      </w:r>
      <w:proofErr w:type="spellStart"/>
      <w:r w:rsidRPr="00C56CB9">
        <w:rPr>
          <w:rFonts w:ascii="Arial" w:hAnsi="Arial" w:cs="Arial"/>
          <w:sz w:val="20"/>
          <w:szCs w:val="20"/>
        </w:rPr>
        <w:t>Ciocalteu</w:t>
      </w:r>
      <w:proofErr w:type="spellEnd"/>
      <w:r w:rsidRPr="00C56CB9">
        <w:rPr>
          <w:rFonts w:ascii="Arial" w:hAnsi="Arial" w:cs="Arial"/>
          <w:sz w:val="20"/>
          <w:szCs w:val="20"/>
        </w:rPr>
        <w:t xml:space="preserve"> </w:t>
      </w:r>
      <w:proofErr w:type="spellStart"/>
      <w:r w:rsidR="005B0F27">
        <w:rPr>
          <w:rFonts w:ascii="Arial" w:hAnsi="Arial" w:cs="Arial"/>
          <w:sz w:val="20"/>
          <w:szCs w:val="20"/>
        </w:rPr>
        <w:t>colour</w:t>
      </w:r>
      <w:r w:rsidRPr="00C56CB9">
        <w:rPr>
          <w:rFonts w:ascii="Arial" w:hAnsi="Arial" w:cs="Arial"/>
          <w:sz w:val="20"/>
          <w:szCs w:val="20"/>
        </w:rPr>
        <w:t>imetric</w:t>
      </w:r>
      <w:proofErr w:type="spellEnd"/>
      <w:r w:rsidRPr="00C56CB9">
        <w:rPr>
          <w:rFonts w:ascii="Arial" w:hAnsi="Arial" w:cs="Arial"/>
          <w:sz w:val="20"/>
          <w:szCs w:val="20"/>
        </w:rPr>
        <w:t xml:space="preserve"> method (Nguyen et al., 2022). </w:t>
      </w:r>
      <w:r w:rsidR="001B18B4" w:rsidRPr="00C56CB9">
        <w:rPr>
          <w:rFonts w:ascii="Arial" w:hAnsi="Arial" w:cs="Arial"/>
          <w:sz w:val="20"/>
          <w:szCs w:val="20"/>
        </w:rPr>
        <w:t>G</w:t>
      </w:r>
      <w:r w:rsidRPr="00C56CB9">
        <w:rPr>
          <w:rFonts w:ascii="Arial" w:hAnsi="Arial" w:cs="Arial"/>
          <w:sz w:val="20"/>
          <w:szCs w:val="20"/>
        </w:rPr>
        <w:t>round powder</w:t>
      </w:r>
      <w:r w:rsidR="001B18B4" w:rsidRPr="00C56CB9">
        <w:rPr>
          <w:rFonts w:ascii="Arial" w:hAnsi="Arial" w:cs="Arial"/>
          <w:sz w:val="20"/>
          <w:szCs w:val="20"/>
        </w:rPr>
        <w:t xml:space="preserve"> of dried nutmeg mace</w:t>
      </w:r>
      <w:r w:rsidRPr="00C56CB9">
        <w:rPr>
          <w:rFonts w:ascii="Arial" w:hAnsi="Arial" w:cs="Arial"/>
          <w:sz w:val="20"/>
          <w:szCs w:val="20"/>
        </w:rPr>
        <w:t xml:space="preserve"> were homogenized with an appropriate solvent (e.g., 80% methanol) and centrifuged </w:t>
      </w:r>
      <w:r w:rsidR="001B18B4" w:rsidRPr="00C56CB9">
        <w:rPr>
          <w:rFonts w:ascii="Arial" w:hAnsi="Arial" w:cs="Arial"/>
          <w:sz w:val="20"/>
          <w:szCs w:val="20"/>
        </w:rPr>
        <w:t xml:space="preserve">10000 rpm </w:t>
      </w:r>
      <w:r w:rsidRPr="00C56CB9">
        <w:rPr>
          <w:rFonts w:ascii="Arial" w:hAnsi="Arial" w:cs="Arial"/>
          <w:sz w:val="20"/>
          <w:szCs w:val="20"/>
        </w:rPr>
        <w:t>to collect the supernatant. An aliquot of the extract was mixed with Folin-</w:t>
      </w:r>
      <w:proofErr w:type="spellStart"/>
      <w:r w:rsidRPr="00C56CB9">
        <w:rPr>
          <w:rFonts w:ascii="Arial" w:hAnsi="Arial" w:cs="Arial"/>
          <w:sz w:val="20"/>
          <w:szCs w:val="20"/>
        </w:rPr>
        <w:t>Ciocalteu</w:t>
      </w:r>
      <w:proofErr w:type="spellEnd"/>
      <w:r w:rsidRPr="00C56CB9">
        <w:rPr>
          <w:rFonts w:ascii="Arial" w:hAnsi="Arial" w:cs="Arial"/>
          <w:sz w:val="20"/>
          <w:szCs w:val="20"/>
        </w:rPr>
        <w:t xml:space="preserve"> reagent and sodium carbonate (</w:t>
      </w:r>
      <w:r w:rsidR="001B18B4" w:rsidRPr="00C56CB9">
        <w:rPr>
          <w:rFonts w:ascii="Arial" w:hAnsi="Arial" w:cs="Arial"/>
          <w:sz w:val="20"/>
          <w:szCs w:val="20"/>
        </w:rPr>
        <w:t>7.5%</w:t>
      </w:r>
      <w:r w:rsidRPr="00C56CB9">
        <w:rPr>
          <w:rFonts w:ascii="Arial" w:hAnsi="Arial" w:cs="Arial"/>
          <w:sz w:val="20"/>
          <w:szCs w:val="20"/>
        </w:rPr>
        <w:t xml:space="preserve">). After incubation in the dark for </w:t>
      </w:r>
      <w:r w:rsidR="001B18B4" w:rsidRPr="00C56CB9">
        <w:rPr>
          <w:rFonts w:ascii="Arial" w:hAnsi="Arial" w:cs="Arial"/>
          <w:sz w:val="20"/>
          <w:szCs w:val="20"/>
        </w:rPr>
        <w:t>2 hours</w:t>
      </w:r>
      <w:r w:rsidRPr="00C56CB9">
        <w:rPr>
          <w:rFonts w:ascii="Arial" w:hAnsi="Arial" w:cs="Arial"/>
          <w:sz w:val="20"/>
          <w:szCs w:val="20"/>
        </w:rPr>
        <w:t>, the absorbance was measured using a spectrophotometer at a wavelength ranging from 7</w:t>
      </w:r>
      <w:r w:rsidR="001B18B4" w:rsidRPr="00C56CB9">
        <w:rPr>
          <w:rFonts w:ascii="Arial" w:hAnsi="Arial" w:cs="Arial"/>
          <w:sz w:val="20"/>
          <w:szCs w:val="20"/>
        </w:rPr>
        <w:t>60 nm</w:t>
      </w:r>
      <w:r w:rsidRPr="00C56CB9">
        <w:rPr>
          <w:rFonts w:ascii="Arial" w:hAnsi="Arial" w:cs="Arial"/>
          <w:sz w:val="20"/>
          <w:szCs w:val="20"/>
        </w:rPr>
        <w:t>. Results were expressed as milligrams of gallic acid equivalents (GAE) per gram of dry matter.</w:t>
      </w:r>
    </w:p>
    <w:p w14:paraId="59F0D5D2" w14:textId="77777777" w:rsidR="00D042E1" w:rsidRPr="00C56CB9" w:rsidRDefault="00D042E1" w:rsidP="00D042E1">
      <w:pPr>
        <w:spacing w:line="360" w:lineRule="auto"/>
        <w:jc w:val="both"/>
        <w:rPr>
          <w:rFonts w:ascii="Arial" w:hAnsi="Arial" w:cs="Arial"/>
          <w:sz w:val="20"/>
          <w:szCs w:val="20"/>
        </w:rPr>
      </w:pPr>
      <w:r w:rsidRPr="00C56CB9">
        <w:rPr>
          <w:rFonts w:ascii="Arial" w:hAnsi="Arial" w:cs="Arial"/>
          <w:b/>
          <w:bCs/>
          <w:sz w:val="20"/>
          <w:szCs w:val="20"/>
        </w:rPr>
        <w:t>2.6.4. Shrinkage Percentage</w:t>
      </w:r>
    </w:p>
    <w:p w14:paraId="5D47E2BB" w14:textId="66073C13" w:rsidR="001B18B4" w:rsidRPr="00C56CB9" w:rsidRDefault="00D042E1" w:rsidP="00C56CB9">
      <w:pPr>
        <w:spacing w:line="360" w:lineRule="auto"/>
        <w:jc w:val="both"/>
        <w:rPr>
          <w:rFonts w:ascii="Arial" w:hAnsi="Arial" w:cs="Arial"/>
          <w:sz w:val="20"/>
          <w:szCs w:val="20"/>
        </w:rPr>
      </w:pPr>
      <w:r w:rsidRPr="00C56CB9">
        <w:rPr>
          <w:rFonts w:ascii="Arial" w:hAnsi="Arial" w:cs="Arial"/>
          <w:sz w:val="20"/>
          <w:szCs w:val="20"/>
        </w:rPr>
        <w:t xml:space="preserve">The shrinkage percentage was evaluated by monitoring the volumetric reduction of the nutmeg mace during the drying process. Dimensions (length, width, and thickness) were measured in triplicate using a digital </w:t>
      </w:r>
      <w:proofErr w:type="spellStart"/>
      <w:r w:rsidRPr="00C56CB9">
        <w:rPr>
          <w:rFonts w:ascii="Arial" w:hAnsi="Arial" w:cs="Arial"/>
          <w:sz w:val="20"/>
          <w:szCs w:val="20"/>
        </w:rPr>
        <w:t>caliper</w:t>
      </w:r>
      <w:proofErr w:type="spellEnd"/>
      <w:r w:rsidRPr="00C56CB9">
        <w:rPr>
          <w:rFonts w:ascii="Arial" w:hAnsi="Arial" w:cs="Arial"/>
          <w:sz w:val="20"/>
          <w:szCs w:val="20"/>
        </w:rPr>
        <w:t xml:space="preserve"> (accuracy) at different stages of dehydration. The shrinkage ratio was calculated as the change in volume relative to the initial volume (</w:t>
      </w:r>
      <w:r w:rsidR="001B18B4" w:rsidRPr="00C56CB9">
        <w:rPr>
          <w:rFonts w:ascii="Arial" w:hAnsi="Arial" w:cs="Arial"/>
          <w:sz w:val="20"/>
          <w:szCs w:val="20"/>
        </w:rPr>
        <w:t>V</w:t>
      </w:r>
      <w:r w:rsidR="001B18B4" w:rsidRPr="00C56CB9">
        <w:rPr>
          <w:rFonts w:ascii="Arial" w:hAnsi="Arial" w:cs="Arial"/>
          <w:sz w:val="20"/>
          <w:szCs w:val="20"/>
          <w:vertAlign w:val="subscript"/>
        </w:rPr>
        <w:t>0</w:t>
      </w:r>
      <w:r w:rsidRPr="00C56CB9">
        <w:rPr>
          <w:rFonts w:ascii="Arial" w:hAnsi="Arial" w:cs="Arial"/>
          <w:sz w:val="20"/>
          <w:szCs w:val="20"/>
        </w:rPr>
        <w:t xml:space="preserve">) according to the following equation </w:t>
      </w:r>
      <w:r w:rsidR="001F5977">
        <w:rPr>
          <w:rFonts w:ascii="Arial" w:hAnsi="Arial" w:cs="Arial"/>
          <w:sz w:val="20"/>
          <w:szCs w:val="20"/>
        </w:rPr>
        <w:t>7</w:t>
      </w:r>
      <w:r w:rsidR="004C59B5" w:rsidRPr="00C56CB9">
        <w:rPr>
          <w:rFonts w:ascii="Arial" w:hAnsi="Arial" w:cs="Arial"/>
          <w:sz w:val="20"/>
          <w:szCs w:val="20"/>
        </w:rPr>
        <w:t xml:space="preserve"> </w:t>
      </w:r>
      <w:r w:rsidRPr="00C56CB9">
        <w:rPr>
          <w:rFonts w:ascii="Arial" w:hAnsi="Arial" w:cs="Arial"/>
          <w:sz w:val="20"/>
          <w:szCs w:val="20"/>
        </w:rPr>
        <w:t>(Ayala-Aponte et al., 2021; Showkat et al., 2024)</w:t>
      </w:r>
      <w:r w:rsidR="004C59B5" w:rsidRPr="00C56CB9">
        <w:rPr>
          <w:rFonts w:ascii="Arial" w:hAnsi="Arial" w:cs="Arial"/>
          <w:sz w:val="20"/>
          <w:szCs w:val="20"/>
        </w:rPr>
        <w:t>.</w:t>
      </w:r>
    </w:p>
    <w:p w14:paraId="7A8CCE63" w14:textId="562423FB" w:rsidR="001B18B4" w:rsidRPr="00C56CB9" w:rsidRDefault="001B18B4" w:rsidP="001B18B4">
      <w:pPr>
        <w:spacing w:line="360" w:lineRule="auto"/>
        <w:jc w:val="center"/>
        <w:rPr>
          <w:rFonts w:ascii="Arial" w:eastAsiaTheme="minorEastAsia" w:hAnsi="Arial" w:cs="Arial"/>
          <w:sz w:val="20"/>
          <w:szCs w:val="20"/>
        </w:rPr>
      </w:pPr>
      <m:oMath>
        <m:r>
          <w:rPr>
            <w:rFonts w:ascii="Cambria Math" w:hAnsi="Cambria Math" w:cs="Arial"/>
            <w:sz w:val="20"/>
            <w:szCs w:val="20"/>
          </w:rPr>
          <m:t xml:space="preserve">Shrinkage Ratio = </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d</m:t>
                </m:r>
              </m:sub>
            </m:sSub>
          </m:num>
          <m:den>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0</m:t>
                </m:r>
              </m:sub>
            </m:sSub>
          </m:den>
        </m:f>
      </m:oMath>
      <w:r w:rsidR="004C59B5" w:rsidRPr="00C56CB9">
        <w:rPr>
          <w:rFonts w:ascii="Arial" w:eastAsiaTheme="minorEastAsia" w:hAnsi="Arial" w:cs="Arial"/>
          <w:sz w:val="20"/>
          <w:szCs w:val="20"/>
        </w:rPr>
        <w:t xml:space="preserve">                     (</w:t>
      </w:r>
      <w:r w:rsidR="001F5977">
        <w:rPr>
          <w:rFonts w:ascii="Arial" w:eastAsiaTheme="minorEastAsia" w:hAnsi="Arial" w:cs="Arial"/>
          <w:sz w:val="20"/>
          <w:szCs w:val="20"/>
        </w:rPr>
        <w:t>7</w:t>
      </w:r>
      <w:r w:rsidR="004C59B5" w:rsidRPr="00C56CB9">
        <w:rPr>
          <w:rFonts w:ascii="Arial" w:eastAsiaTheme="minorEastAsia" w:hAnsi="Arial" w:cs="Arial"/>
          <w:sz w:val="20"/>
          <w:szCs w:val="20"/>
        </w:rPr>
        <w:t>)</w:t>
      </w:r>
    </w:p>
    <w:p w14:paraId="0747ACFD" w14:textId="5F721167" w:rsidR="00D042E1" w:rsidRPr="00C56CB9" w:rsidRDefault="001B18B4" w:rsidP="00C56CB9">
      <w:pPr>
        <w:spacing w:line="360" w:lineRule="auto"/>
        <w:jc w:val="both"/>
        <w:rPr>
          <w:rFonts w:ascii="Arial" w:hAnsi="Arial" w:cs="Arial"/>
          <w:sz w:val="20"/>
          <w:szCs w:val="20"/>
        </w:rPr>
      </w:pPr>
      <w:r w:rsidRPr="00C56CB9">
        <w:rPr>
          <w:rFonts w:ascii="Arial" w:hAnsi="Arial" w:cs="Arial"/>
          <w:sz w:val="20"/>
          <w:szCs w:val="20"/>
        </w:rPr>
        <w:lastRenderedPageBreak/>
        <w:t>W</w:t>
      </w:r>
      <w:r w:rsidR="00D042E1" w:rsidRPr="00C56CB9">
        <w:rPr>
          <w:rFonts w:ascii="Arial" w:hAnsi="Arial" w:cs="Arial"/>
          <w:sz w:val="20"/>
          <w:szCs w:val="20"/>
        </w:rPr>
        <w:t>here</w:t>
      </w:r>
      <w:r w:rsidRPr="00C56CB9">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d</m:t>
            </m:r>
          </m:sub>
        </m:sSub>
      </m:oMath>
      <w:r w:rsidR="00D042E1" w:rsidRPr="00C56CB9">
        <w:rPr>
          <w:rFonts w:ascii="Arial" w:hAnsi="Arial" w:cs="Arial"/>
          <w:sz w:val="20"/>
          <w:szCs w:val="20"/>
        </w:rPr>
        <w:t xml:space="preserve"> represents the volume of the dried sample. In RW drying, homogenous shrinkage is typically observed due to the unique thin-film heat transfer mechanism, which often results in less structural collapse than conventional hot-air drying.</w:t>
      </w:r>
    </w:p>
    <w:p w14:paraId="26A69E33" w14:textId="718D0833" w:rsidR="004C59B5" w:rsidRPr="00C56CB9" w:rsidRDefault="00C56CB9" w:rsidP="00D042E1">
      <w:pPr>
        <w:spacing w:line="360" w:lineRule="auto"/>
        <w:jc w:val="both"/>
        <w:rPr>
          <w:rFonts w:ascii="Arial" w:hAnsi="Arial" w:cs="Arial"/>
          <w:b/>
          <w:bCs/>
          <w:sz w:val="22"/>
          <w:szCs w:val="22"/>
        </w:rPr>
      </w:pPr>
      <w:r w:rsidRPr="00C56CB9">
        <w:rPr>
          <w:rFonts w:ascii="Arial" w:hAnsi="Arial" w:cs="Arial"/>
          <w:b/>
          <w:bCs/>
          <w:sz w:val="22"/>
          <w:szCs w:val="22"/>
        </w:rPr>
        <w:t>3.0 RESULTS AND DISCUSSION</w:t>
      </w:r>
    </w:p>
    <w:p w14:paraId="7B7FAE89" w14:textId="77777777" w:rsidR="00652C6A" w:rsidRPr="00C56CB9" w:rsidRDefault="004C59B5" w:rsidP="00652C6A">
      <w:pPr>
        <w:spacing w:line="360" w:lineRule="auto"/>
        <w:jc w:val="both"/>
        <w:rPr>
          <w:rFonts w:ascii="Arial" w:hAnsi="Arial" w:cs="Arial"/>
          <w:b/>
          <w:bCs/>
          <w:sz w:val="22"/>
          <w:szCs w:val="22"/>
        </w:rPr>
      </w:pPr>
      <w:r w:rsidRPr="00C56CB9">
        <w:rPr>
          <w:rFonts w:ascii="Arial" w:hAnsi="Arial" w:cs="Arial"/>
          <w:b/>
          <w:bCs/>
          <w:sz w:val="22"/>
          <w:szCs w:val="22"/>
        </w:rPr>
        <w:t xml:space="preserve">3.1 </w:t>
      </w:r>
      <w:r w:rsidR="00652C6A" w:rsidRPr="00C56CB9">
        <w:rPr>
          <w:rFonts w:ascii="Arial" w:hAnsi="Arial" w:cs="Arial"/>
          <w:b/>
          <w:bCs/>
          <w:sz w:val="22"/>
          <w:szCs w:val="22"/>
        </w:rPr>
        <w:t>Engineering properties of fresh nutmeg mace</w:t>
      </w:r>
    </w:p>
    <w:p w14:paraId="6C57B85A" w14:textId="1C49090F" w:rsidR="00652C6A" w:rsidRPr="00C56CB9" w:rsidRDefault="00652C6A" w:rsidP="00C56CB9">
      <w:pPr>
        <w:spacing w:line="360" w:lineRule="auto"/>
        <w:jc w:val="both"/>
        <w:rPr>
          <w:rFonts w:ascii="Arial" w:hAnsi="Arial" w:cs="Arial"/>
          <w:sz w:val="20"/>
          <w:szCs w:val="20"/>
        </w:rPr>
      </w:pPr>
      <w:r w:rsidRPr="00C56CB9">
        <w:rPr>
          <w:rFonts w:ascii="Arial" w:hAnsi="Arial" w:cs="Arial"/>
          <w:sz w:val="20"/>
          <w:szCs w:val="20"/>
        </w:rPr>
        <w:t>The engineering properties of fresh nutmeg mace were determined in order to support the design and optimisation of drying and post-harvest handling operations. The average length, width and thickness of nutmeg mace were 25 mm, 18 mm and 0.85 mm, respectively, indicating a distinctly thin and elongated geometry. Such geometry is advantageous for thin-layer drying applications because a larger exposed surface area enhances heat and mass transfer during dehydration (</w:t>
      </w:r>
      <w:r w:rsidR="00CD7A79" w:rsidRPr="00C56CB9">
        <w:rPr>
          <w:rFonts w:ascii="Arial" w:hAnsi="Arial" w:cs="Arial"/>
          <w:sz w:val="20"/>
          <w:szCs w:val="20"/>
        </w:rPr>
        <w:t>Tepe</w:t>
      </w:r>
      <w:r w:rsidRPr="00C56CB9">
        <w:rPr>
          <w:rFonts w:ascii="Arial" w:hAnsi="Arial" w:cs="Arial"/>
          <w:sz w:val="20"/>
          <w:szCs w:val="20"/>
        </w:rPr>
        <w:t>, 20</w:t>
      </w:r>
      <w:r w:rsidR="00CD7A79" w:rsidRPr="00C56CB9">
        <w:rPr>
          <w:rFonts w:ascii="Arial" w:hAnsi="Arial" w:cs="Arial"/>
          <w:sz w:val="20"/>
          <w:szCs w:val="20"/>
        </w:rPr>
        <w:t>24</w:t>
      </w:r>
      <w:r w:rsidRPr="00C56CB9">
        <w:rPr>
          <w:rFonts w:ascii="Arial" w:hAnsi="Arial" w:cs="Arial"/>
          <w:sz w:val="20"/>
          <w:szCs w:val="20"/>
        </w:rPr>
        <w:t>).</w:t>
      </w:r>
    </w:p>
    <w:p w14:paraId="7C4834D3" w14:textId="488D63F6" w:rsidR="00652C6A" w:rsidRPr="00C56CB9" w:rsidRDefault="00652C6A" w:rsidP="00C56CB9">
      <w:pPr>
        <w:spacing w:line="360" w:lineRule="auto"/>
        <w:jc w:val="both"/>
        <w:rPr>
          <w:rFonts w:ascii="Arial" w:hAnsi="Arial" w:cs="Arial"/>
          <w:sz w:val="20"/>
          <w:szCs w:val="20"/>
        </w:rPr>
      </w:pPr>
      <w:r w:rsidRPr="00C56CB9">
        <w:rPr>
          <w:rFonts w:ascii="Arial" w:hAnsi="Arial" w:cs="Arial"/>
          <w:sz w:val="20"/>
          <w:szCs w:val="20"/>
        </w:rPr>
        <w:t>The sphericity of fresh nutmeg mace was found to be 0.75, confirming its non-spherical and flattened morphology. Low sphericity values are commonly associated with irregular biological materials and strongly influence their orientation on drying surfaces, bed packing behaviour and air–solid contact characteristics in convective drying systems (Pal et al., 2024).</w:t>
      </w:r>
    </w:p>
    <w:p w14:paraId="791F84A6" w14:textId="1797F2B2" w:rsidR="00652C6A" w:rsidRPr="00C56CB9" w:rsidRDefault="00652C6A" w:rsidP="00C56CB9">
      <w:pPr>
        <w:spacing w:line="360" w:lineRule="auto"/>
        <w:jc w:val="both"/>
        <w:rPr>
          <w:rFonts w:ascii="Arial" w:hAnsi="Arial" w:cs="Arial"/>
          <w:sz w:val="20"/>
          <w:szCs w:val="20"/>
        </w:rPr>
      </w:pPr>
      <w:r w:rsidRPr="00C56CB9">
        <w:rPr>
          <w:rFonts w:ascii="Arial" w:hAnsi="Arial" w:cs="Arial"/>
          <w:sz w:val="20"/>
          <w:szCs w:val="20"/>
        </w:rPr>
        <w:t>The bulk density and true density of fresh nutmeg mace were 1060 kg m</w:t>
      </w:r>
      <w:r w:rsidRPr="00C56CB9">
        <w:rPr>
          <w:rFonts w:ascii="Cambria Math" w:hAnsi="Cambria Math" w:cs="Cambria Math"/>
          <w:sz w:val="20"/>
          <w:szCs w:val="20"/>
        </w:rPr>
        <w:t>⁻</w:t>
      </w:r>
      <w:r w:rsidRPr="00C56CB9">
        <w:rPr>
          <w:rFonts w:ascii="Arial" w:hAnsi="Arial" w:cs="Arial"/>
          <w:sz w:val="20"/>
          <w:szCs w:val="20"/>
        </w:rPr>
        <w:t>³ and 1650 kg m</w:t>
      </w:r>
      <w:r w:rsidRPr="00C56CB9">
        <w:rPr>
          <w:rFonts w:ascii="Cambria Math" w:hAnsi="Cambria Math" w:cs="Cambria Math"/>
          <w:sz w:val="20"/>
          <w:szCs w:val="20"/>
        </w:rPr>
        <w:t>⁻</w:t>
      </w:r>
      <w:r w:rsidRPr="00C56CB9">
        <w:rPr>
          <w:rFonts w:ascii="Arial" w:hAnsi="Arial" w:cs="Arial"/>
          <w:sz w:val="20"/>
          <w:szCs w:val="20"/>
        </w:rPr>
        <w:t>³, respectively. From these values, the porosity was calculated as 0.35, indicating the presence of moderate inter-particle void spaces. Porosity plays a critical role in governing air permeability and resistance to airflow through the product bed and consequently affects the overall drying performance in both convective and hybrid drying systems (</w:t>
      </w:r>
      <w:proofErr w:type="spellStart"/>
      <w:r w:rsidRPr="00C56CB9">
        <w:rPr>
          <w:rFonts w:ascii="Arial" w:hAnsi="Arial" w:cs="Arial"/>
          <w:sz w:val="20"/>
          <w:szCs w:val="20"/>
        </w:rPr>
        <w:t>Rajoriya</w:t>
      </w:r>
      <w:proofErr w:type="spellEnd"/>
      <w:r w:rsidRPr="00C56CB9">
        <w:rPr>
          <w:rFonts w:ascii="Arial" w:hAnsi="Arial" w:cs="Arial"/>
          <w:sz w:val="20"/>
          <w:szCs w:val="20"/>
        </w:rPr>
        <w:t xml:space="preserve"> et al., 202</w:t>
      </w:r>
      <w:r w:rsidR="0094539D" w:rsidRPr="00C56CB9">
        <w:rPr>
          <w:rFonts w:ascii="Arial" w:hAnsi="Arial" w:cs="Arial"/>
          <w:sz w:val="20"/>
          <w:szCs w:val="20"/>
        </w:rPr>
        <w:t>0</w:t>
      </w:r>
      <w:r w:rsidRPr="00C56CB9">
        <w:rPr>
          <w:rFonts w:ascii="Arial" w:hAnsi="Arial" w:cs="Arial"/>
          <w:sz w:val="20"/>
          <w:szCs w:val="20"/>
        </w:rPr>
        <w:t>). The moderate porosity observed for nutmeg mace suggests favourable conditions for air penetration and vapour removal during drying.</w:t>
      </w:r>
    </w:p>
    <w:p w14:paraId="4930DA34" w14:textId="162C0F7F" w:rsidR="00652C6A" w:rsidRPr="00C56CB9" w:rsidRDefault="00652C6A" w:rsidP="00C56CB9">
      <w:pPr>
        <w:spacing w:line="360" w:lineRule="auto"/>
        <w:jc w:val="both"/>
        <w:rPr>
          <w:rFonts w:ascii="Arial" w:hAnsi="Arial" w:cs="Arial"/>
          <w:sz w:val="20"/>
          <w:szCs w:val="20"/>
        </w:rPr>
      </w:pPr>
      <w:r w:rsidRPr="00C56CB9">
        <w:rPr>
          <w:rFonts w:ascii="Arial" w:hAnsi="Arial" w:cs="Arial"/>
          <w:sz w:val="20"/>
          <w:szCs w:val="20"/>
        </w:rPr>
        <w:t>Fresh nutmeg mace exhibited a high initial moisture content in the range of 55–60% (wet basis), which explains the comparatively higher drying rates observed during the early stage of dehydration. High initial moisture content is a typical characteristic of fresh plant tissues and strongly influences the initial moisture removal behaviour in thin-layer drying processes (</w:t>
      </w:r>
      <w:proofErr w:type="spellStart"/>
      <w:r w:rsidRPr="00C56CB9">
        <w:rPr>
          <w:rFonts w:ascii="Arial" w:hAnsi="Arial" w:cs="Arial"/>
          <w:sz w:val="20"/>
          <w:szCs w:val="20"/>
        </w:rPr>
        <w:t>Rajoriya</w:t>
      </w:r>
      <w:proofErr w:type="spellEnd"/>
      <w:r w:rsidRPr="00C56CB9">
        <w:rPr>
          <w:rFonts w:ascii="Arial" w:hAnsi="Arial" w:cs="Arial"/>
          <w:sz w:val="20"/>
          <w:szCs w:val="20"/>
        </w:rPr>
        <w:t xml:space="preserve"> et al., 202</w:t>
      </w:r>
      <w:r w:rsidR="0094539D" w:rsidRPr="00C56CB9">
        <w:rPr>
          <w:rFonts w:ascii="Arial" w:hAnsi="Arial" w:cs="Arial"/>
          <w:sz w:val="20"/>
          <w:szCs w:val="20"/>
        </w:rPr>
        <w:t>0</w:t>
      </w:r>
      <w:r w:rsidRPr="00C56CB9">
        <w:rPr>
          <w:rFonts w:ascii="Arial" w:hAnsi="Arial" w:cs="Arial"/>
          <w:sz w:val="20"/>
          <w:szCs w:val="20"/>
        </w:rPr>
        <w:t xml:space="preserve">; </w:t>
      </w:r>
      <w:proofErr w:type="spellStart"/>
      <w:r w:rsidRPr="00C56CB9">
        <w:rPr>
          <w:rFonts w:ascii="Arial" w:hAnsi="Arial" w:cs="Arial"/>
          <w:sz w:val="20"/>
          <w:szCs w:val="20"/>
        </w:rPr>
        <w:t>Rurush</w:t>
      </w:r>
      <w:proofErr w:type="spellEnd"/>
      <w:r w:rsidRPr="00C56CB9">
        <w:rPr>
          <w:rFonts w:ascii="Arial" w:hAnsi="Arial" w:cs="Arial"/>
          <w:sz w:val="20"/>
          <w:szCs w:val="20"/>
        </w:rPr>
        <w:t xml:space="preserve"> et al., 2022).</w:t>
      </w:r>
    </w:p>
    <w:p w14:paraId="722FC724" w14:textId="12E58EB4" w:rsidR="00652C6A" w:rsidRPr="00C56CB9" w:rsidRDefault="00652C6A" w:rsidP="00C56CB9">
      <w:pPr>
        <w:spacing w:line="360" w:lineRule="auto"/>
        <w:jc w:val="both"/>
        <w:rPr>
          <w:rFonts w:ascii="Arial" w:hAnsi="Arial" w:cs="Arial"/>
          <w:sz w:val="20"/>
          <w:szCs w:val="20"/>
        </w:rPr>
      </w:pPr>
      <w:r w:rsidRPr="00C56CB9">
        <w:rPr>
          <w:rFonts w:ascii="Arial" w:hAnsi="Arial" w:cs="Arial"/>
          <w:sz w:val="20"/>
          <w:szCs w:val="20"/>
        </w:rPr>
        <w:t xml:space="preserve">The colour characteristics of fresh nutmeg mace were </w:t>
      </w:r>
      <w:r w:rsidRPr="00C56CB9">
        <w:rPr>
          <w:rFonts w:ascii="Arial" w:hAnsi="Arial" w:cs="Arial"/>
          <w:i/>
          <w:iCs/>
          <w:sz w:val="20"/>
          <w:szCs w:val="20"/>
        </w:rPr>
        <w:t>L* = 33.8, a*</w:t>
      </w:r>
      <w:r w:rsidRPr="00C56CB9">
        <w:rPr>
          <w:rFonts w:ascii="Arial" w:hAnsi="Arial" w:cs="Arial"/>
          <w:sz w:val="20"/>
          <w:szCs w:val="20"/>
        </w:rPr>
        <w:t xml:space="preserve"> = 36.7 and b* = 16.1, with a chroma value of 40.1 and a hue angle of 23.6°. The high a* and chroma values reflect the intense red colour of fresh mace, which is a primary quality determinant and is closely associated with its commercial value. Instrumental colour measurement in the CIE L</w:t>
      </w:r>
      <w:r w:rsidRPr="00C56CB9">
        <w:rPr>
          <w:rFonts w:ascii="Arial" w:hAnsi="Arial" w:cs="Arial"/>
          <w:i/>
          <w:iCs/>
          <w:sz w:val="20"/>
          <w:szCs w:val="20"/>
        </w:rPr>
        <w:t>a</w:t>
      </w:r>
      <w:r w:rsidRPr="00C56CB9">
        <w:rPr>
          <w:rFonts w:ascii="Arial" w:hAnsi="Arial" w:cs="Arial"/>
          <w:sz w:val="20"/>
          <w:szCs w:val="20"/>
        </w:rPr>
        <w:t xml:space="preserve">b* system is widely used to establish baseline colour characteristics of plant materials and to quantify colour degradation during processing and drying </w:t>
      </w:r>
      <w:r w:rsidR="0094539D" w:rsidRPr="00C56CB9">
        <w:rPr>
          <w:rFonts w:ascii="Arial" w:hAnsi="Arial" w:cs="Arial"/>
          <w:sz w:val="20"/>
          <w:szCs w:val="20"/>
        </w:rPr>
        <w:t>(</w:t>
      </w:r>
      <w:r w:rsidRPr="00C56CB9">
        <w:rPr>
          <w:rFonts w:ascii="Arial" w:hAnsi="Arial" w:cs="Arial"/>
          <w:sz w:val="20"/>
          <w:szCs w:val="20"/>
        </w:rPr>
        <w:t xml:space="preserve">Hernández-Santos et al., 2016). These baseline colour values therefore provide an important reference for evaluating colour retention in nutmeg mace subjected to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and hot-air drying.</w:t>
      </w:r>
    </w:p>
    <w:p w14:paraId="76EF1043" w14:textId="77777777" w:rsidR="00DD490C" w:rsidRPr="00C56CB9" w:rsidRDefault="00DD490C" w:rsidP="00DD490C">
      <w:pPr>
        <w:spacing w:line="360" w:lineRule="auto"/>
        <w:jc w:val="both"/>
        <w:rPr>
          <w:rFonts w:ascii="Arial" w:hAnsi="Arial" w:cs="Arial"/>
          <w:b/>
          <w:bCs/>
          <w:sz w:val="22"/>
          <w:szCs w:val="22"/>
        </w:rPr>
      </w:pPr>
      <w:r w:rsidRPr="00C56CB9">
        <w:rPr>
          <w:rFonts w:ascii="Arial" w:hAnsi="Arial" w:cs="Arial"/>
          <w:b/>
          <w:bCs/>
          <w:sz w:val="22"/>
          <w:szCs w:val="22"/>
        </w:rPr>
        <w:t>3.2 Drying characteristics of nutmeg mace</w:t>
      </w:r>
    </w:p>
    <w:p w14:paraId="4C4FC6FC" w14:textId="1703F34B" w:rsidR="00DD490C" w:rsidRPr="00C56CB9" w:rsidRDefault="00950327" w:rsidP="005B0F27">
      <w:pPr>
        <w:spacing w:line="360" w:lineRule="auto"/>
        <w:jc w:val="both"/>
        <w:rPr>
          <w:rFonts w:ascii="Arial" w:hAnsi="Arial" w:cs="Arial"/>
          <w:sz w:val="20"/>
          <w:szCs w:val="20"/>
        </w:rPr>
      </w:pPr>
      <w:r w:rsidRPr="00C56CB9">
        <w:rPr>
          <w:rFonts w:ascii="Arial" w:hAnsi="Arial" w:cs="Arial"/>
          <w:sz w:val="20"/>
          <w:szCs w:val="20"/>
        </w:rPr>
        <w:t xml:space="preserve">The total drying time required to reach the target moisture content (6–10% </w:t>
      </w:r>
      <w:proofErr w:type="spellStart"/>
      <w:r w:rsidRPr="00C56CB9">
        <w:rPr>
          <w:rFonts w:ascii="Arial" w:hAnsi="Arial" w:cs="Arial"/>
          <w:sz w:val="20"/>
          <w:szCs w:val="20"/>
        </w:rPr>
        <w:t>wb</w:t>
      </w:r>
      <w:proofErr w:type="spellEnd"/>
      <w:r w:rsidRPr="00C56CB9">
        <w:rPr>
          <w:rFonts w:ascii="Arial" w:hAnsi="Arial" w:cs="Arial"/>
          <w:sz w:val="20"/>
          <w:szCs w:val="20"/>
        </w:rPr>
        <w:t xml:space="preserve">) was 180 min for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drying and 240 min for Hot-air drying. </w:t>
      </w:r>
      <w:r w:rsidR="00DD490C" w:rsidRPr="00C56CB9">
        <w:rPr>
          <w:rFonts w:ascii="Arial" w:hAnsi="Arial" w:cs="Arial"/>
          <w:sz w:val="20"/>
          <w:szCs w:val="20"/>
        </w:rPr>
        <w:t xml:space="preserve">The drying characteristics of nutmeg mace under </w:t>
      </w:r>
      <w:proofErr w:type="spellStart"/>
      <w:r w:rsidR="00DD490C" w:rsidRPr="00C56CB9">
        <w:rPr>
          <w:rFonts w:ascii="Arial" w:hAnsi="Arial" w:cs="Arial"/>
          <w:sz w:val="20"/>
          <w:szCs w:val="20"/>
        </w:rPr>
        <w:t>refractance</w:t>
      </w:r>
      <w:proofErr w:type="spellEnd"/>
      <w:r w:rsidR="00DD490C" w:rsidRPr="00C56CB9">
        <w:rPr>
          <w:rFonts w:ascii="Arial" w:hAnsi="Arial" w:cs="Arial"/>
          <w:sz w:val="20"/>
          <w:szCs w:val="20"/>
        </w:rPr>
        <w:t xml:space="preserve"> window drying and hot-air drying are presented in terms of drying curves and drying rate profiles as depicted in Figure 1</w:t>
      </w:r>
      <w:r w:rsidR="001150E8" w:rsidRPr="00C56CB9">
        <w:rPr>
          <w:rFonts w:ascii="Arial" w:hAnsi="Arial" w:cs="Arial"/>
          <w:sz w:val="20"/>
          <w:szCs w:val="20"/>
        </w:rPr>
        <w:t xml:space="preserve"> and Figure 2 respectively</w:t>
      </w:r>
      <w:r w:rsidR="00DD490C" w:rsidRPr="00C56CB9">
        <w:rPr>
          <w:rFonts w:ascii="Arial" w:hAnsi="Arial" w:cs="Arial"/>
          <w:sz w:val="20"/>
          <w:szCs w:val="20"/>
        </w:rPr>
        <w:t xml:space="preserve">. For both drying methods, the moisture </w:t>
      </w:r>
      <w:r w:rsidR="00DD490C" w:rsidRPr="00C56CB9">
        <w:rPr>
          <w:rFonts w:ascii="Arial" w:hAnsi="Arial" w:cs="Arial"/>
          <w:sz w:val="20"/>
          <w:szCs w:val="20"/>
        </w:rPr>
        <w:lastRenderedPageBreak/>
        <w:t>content decreased continuously with increasing drying time, indicating a typical thin-layer drying behaviour of biological materials</w:t>
      </w:r>
      <w:r w:rsidR="001150E8" w:rsidRPr="00C56CB9">
        <w:rPr>
          <w:rFonts w:ascii="Arial" w:hAnsi="Arial" w:cs="Arial"/>
          <w:sz w:val="20"/>
          <w:szCs w:val="20"/>
        </w:rPr>
        <w:t xml:space="preserve"> (Santos et al., 2022; Silva et al., 2024; Adeyeye et al., 2025)</w:t>
      </w:r>
      <w:r w:rsidR="00DD490C" w:rsidRPr="00C56CB9">
        <w:rPr>
          <w:rFonts w:ascii="Arial" w:hAnsi="Arial" w:cs="Arial"/>
          <w:sz w:val="20"/>
          <w:szCs w:val="20"/>
        </w:rPr>
        <w:t>.</w:t>
      </w:r>
    </w:p>
    <w:p w14:paraId="18C949B2" w14:textId="398EC198" w:rsidR="00467C4B" w:rsidRPr="002C027E" w:rsidRDefault="00467C4B" w:rsidP="00467C4B">
      <w:pPr>
        <w:spacing w:line="360" w:lineRule="auto"/>
        <w:jc w:val="center"/>
        <w:rPr>
          <w:rFonts w:ascii="Arial" w:hAnsi="Arial" w:cs="Arial"/>
          <w:b/>
          <w:bCs/>
        </w:rPr>
      </w:pPr>
      <w:r w:rsidRPr="002C027E">
        <w:rPr>
          <w:rFonts w:ascii="Arial" w:hAnsi="Arial" w:cs="Arial"/>
          <w:b/>
          <w:bCs/>
          <w:noProof/>
        </w:rPr>
        <w:drawing>
          <wp:inline distT="0" distB="0" distL="0" distR="0" wp14:anchorId="34A5A914" wp14:editId="4176D915">
            <wp:extent cx="5249333" cy="3098800"/>
            <wp:effectExtent l="0" t="0" r="8890" b="6350"/>
            <wp:docPr id="22020027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72D3012" w14:textId="7E6BEBAC" w:rsidR="00467C4B" w:rsidRPr="00C56CB9" w:rsidRDefault="00467C4B" w:rsidP="00467C4B">
      <w:pPr>
        <w:spacing w:line="360" w:lineRule="auto"/>
        <w:jc w:val="both"/>
        <w:rPr>
          <w:rFonts w:ascii="Arial" w:hAnsi="Arial" w:cs="Arial"/>
          <w:sz w:val="20"/>
          <w:szCs w:val="20"/>
        </w:rPr>
      </w:pPr>
      <w:r w:rsidRPr="00C56CB9">
        <w:rPr>
          <w:rStyle w:val="Strong"/>
          <w:rFonts w:ascii="Arial" w:hAnsi="Arial" w:cs="Arial"/>
          <w:sz w:val="20"/>
          <w:szCs w:val="20"/>
        </w:rPr>
        <w:t xml:space="preserve">Figure </w:t>
      </w:r>
      <w:r w:rsidR="00950327" w:rsidRPr="00C56CB9">
        <w:rPr>
          <w:rStyle w:val="Strong"/>
          <w:rFonts w:ascii="Arial" w:hAnsi="Arial" w:cs="Arial"/>
          <w:sz w:val="20"/>
          <w:szCs w:val="20"/>
        </w:rPr>
        <w:t>1</w:t>
      </w:r>
      <w:r w:rsidRPr="00C56CB9">
        <w:rPr>
          <w:rStyle w:val="Strong"/>
          <w:rFonts w:ascii="Arial" w:hAnsi="Arial" w:cs="Arial"/>
          <w:sz w:val="20"/>
          <w:szCs w:val="20"/>
        </w:rPr>
        <w:t>.</w:t>
      </w:r>
      <w:r w:rsidRPr="00C56CB9">
        <w:rPr>
          <w:rFonts w:ascii="Arial" w:hAnsi="Arial" w:cs="Arial"/>
          <w:sz w:val="20"/>
          <w:szCs w:val="20"/>
        </w:rPr>
        <w:t xml:space="preserve"> Drying curves of nutmeg mace under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drying and hot-air drying</w:t>
      </w:r>
    </w:p>
    <w:p w14:paraId="2B99EED1" w14:textId="36C85515" w:rsidR="00467C4B" w:rsidRPr="00C56CB9" w:rsidRDefault="00467C4B" w:rsidP="005B0F27">
      <w:pPr>
        <w:spacing w:line="360" w:lineRule="auto"/>
        <w:jc w:val="both"/>
        <w:rPr>
          <w:rFonts w:ascii="Arial" w:hAnsi="Arial" w:cs="Arial"/>
          <w:sz w:val="20"/>
          <w:szCs w:val="20"/>
        </w:rPr>
      </w:pP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drying resulted in a faster reduction in moisture content compared with hot-air drying throughout the drying period</w:t>
      </w:r>
      <w:r w:rsidR="001150E8" w:rsidRPr="00C56CB9">
        <w:rPr>
          <w:rFonts w:ascii="Arial" w:hAnsi="Arial" w:cs="Arial"/>
          <w:sz w:val="20"/>
          <w:szCs w:val="20"/>
        </w:rPr>
        <w:t xml:space="preserve"> (Lalita et al., 2024; </w:t>
      </w:r>
      <w:proofErr w:type="spellStart"/>
      <w:r w:rsidR="001150E8" w:rsidRPr="00C56CB9">
        <w:rPr>
          <w:rFonts w:ascii="Arial" w:hAnsi="Arial" w:cs="Arial"/>
          <w:sz w:val="20"/>
          <w:szCs w:val="20"/>
        </w:rPr>
        <w:t>Günışık</w:t>
      </w:r>
      <w:proofErr w:type="spellEnd"/>
      <w:r w:rsidR="001150E8" w:rsidRPr="00C56CB9">
        <w:rPr>
          <w:rFonts w:ascii="Arial" w:hAnsi="Arial" w:cs="Arial"/>
          <w:sz w:val="20"/>
          <w:szCs w:val="20"/>
        </w:rPr>
        <w:t xml:space="preserve"> &amp; </w:t>
      </w:r>
      <w:proofErr w:type="spellStart"/>
      <w:r w:rsidR="001150E8" w:rsidRPr="00C56CB9">
        <w:rPr>
          <w:rFonts w:ascii="Arial" w:hAnsi="Arial" w:cs="Arial"/>
          <w:sz w:val="20"/>
          <w:szCs w:val="20"/>
        </w:rPr>
        <w:t>Tontul</w:t>
      </w:r>
      <w:proofErr w:type="spellEnd"/>
      <w:r w:rsidR="001150E8" w:rsidRPr="00C56CB9">
        <w:rPr>
          <w:rFonts w:ascii="Arial" w:hAnsi="Arial" w:cs="Arial"/>
          <w:sz w:val="20"/>
          <w:szCs w:val="20"/>
        </w:rPr>
        <w:t>, 2024)</w:t>
      </w:r>
      <w:r w:rsidRPr="00C56CB9">
        <w:rPr>
          <w:rFonts w:ascii="Arial" w:hAnsi="Arial" w:cs="Arial"/>
          <w:sz w:val="20"/>
          <w:szCs w:val="20"/>
        </w:rPr>
        <w:t xml:space="preserve">. </w:t>
      </w:r>
      <w:r w:rsidR="001150E8" w:rsidRPr="00C56CB9">
        <w:rPr>
          <w:rFonts w:ascii="Arial" w:hAnsi="Arial" w:cs="Arial"/>
          <w:sz w:val="20"/>
          <w:szCs w:val="20"/>
        </w:rPr>
        <w:t>This accelerated kinetics is fundamentally linked to the multimodal heat transfer mechanism inherent to RW technology—integrating simultaneous conduction, convection, and radiation—which allows for efficient energy transmission from the water bath through the infrared-transparent polymeric interface (Zhang et al., 2024; Herrera et al., 2025). This synergy facilitates rapid surface heating and effectively lowers the resistance of the boundary layer, thereby driving moisture more aggressively from the internal matrix to the surface (Talukdar et al., 2025; Nuñez et al., 2025).</w:t>
      </w:r>
    </w:p>
    <w:p w14:paraId="0C2AE6EE" w14:textId="77777777" w:rsidR="005F6D1C" w:rsidRPr="00C56CB9" w:rsidRDefault="005F6D1C" w:rsidP="005B0F27">
      <w:pPr>
        <w:spacing w:line="360" w:lineRule="auto"/>
        <w:jc w:val="both"/>
        <w:rPr>
          <w:rFonts w:ascii="Arial" w:hAnsi="Arial" w:cs="Arial"/>
          <w:sz w:val="20"/>
          <w:szCs w:val="20"/>
        </w:rPr>
      </w:pPr>
      <w:r w:rsidRPr="00C56CB9">
        <w:rPr>
          <w:rFonts w:ascii="Arial" w:hAnsi="Arial" w:cs="Arial"/>
          <w:sz w:val="20"/>
          <w:szCs w:val="20"/>
        </w:rPr>
        <w:t>A detailed analysis of the profiles reveals a pronounced initial surge in moisture loss for both methods, followed by a progressive retardation of the drying rate in the final stages (Padhi &amp; Dwivedi, 2022; Largo-Avila et al., 2024). The early phase of rapid dehydration is primarily governed by the evaporation of free and loosely bound water located near the product surface (Bordoloi &amp; Hazarika, 2024; Arslan-</w:t>
      </w:r>
      <w:proofErr w:type="spellStart"/>
      <w:r w:rsidRPr="00C56CB9">
        <w:rPr>
          <w:rFonts w:ascii="Arial" w:hAnsi="Arial" w:cs="Arial"/>
          <w:sz w:val="20"/>
          <w:szCs w:val="20"/>
        </w:rPr>
        <w:t>Tontul</w:t>
      </w:r>
      <w:proofErr w:type="spellEnd"/>
      <w:r w:rsidRPr="00C56CB9">
        <w:rPr>
          <w:rFonts w:ascii="Arial" w:hAnsi="Arial" w:cs="Arial"/>
          <w:sz w:val="20"/>
          <w:szCs w:val="20"/>
        </w:rPr>
        <w:t xml:space="preserve"> et al., 2024). As the process transitions into the later stages, the migration of water becomes increasingly dependent on internal diffusion mechanisms, which are limited by the structural resistance of the nutmeg mace slabs (</w:t>
      </w:r>
      <w:proofErr w:type="spellStart"/>
      <w:r w:rsidRPr="00C56CB9">
        <w:rPr>
          <w:rFonts w:ascii="Arial" w:hAnsi="Arial" w:cs="Arial"/>
          <w:sz w:val="20"/>
          <w:szCs w:val="20"/>
        </w:rPr>
        <w:t>Nansereko</w:t>
      </w:r>
      <w:proofErr w:type="spellEnd"/>
      <w:r w:rsidRPr="00C56CB9">
        <w:rPr>
          <w:rFonts w:ascii="Arial" w:hAnsi="Arial" w:cs="Arial"/>
          <w:sz w:val="20"/>
          <w:szCs w:val="20"/>
        </w:rPr>
        <w:t xml:space="preserve"> et al., 2022; Kaveh et al., 2025). Significantly, neither drying method exhibited a well-defined constant-rate period; instead, the entire process occurred within the falling-rate period (</w:t>
      </w:r>
      <w:proofErr w:type="spellStart"/>
      <w:r w:rsidRPr="00C56CB9">
        <w:rPr>
          <w:rFonts w:ascii="Arial" w:hAnsi="Arial" w:cs="Arial"/>
          <w:sz w:val="20"/>
          <w:szCs w:val="20"/>
        </w:rPr>
        <w:t>Nansereko</w:t>
      </w:r>
      <w:proofErr w:type="spellEnd"/>
      <w:r w:rsidRPr="00C56CB9">
        <w:rPr>
          <w:rFonts w:ascii="Arial" w:hAnsi="Arial" w:cs="Arial"/>
          <w:sz w:val="20"/>
          <w:szCs w:val="20"/>
        </w:rPr>
        <w:t xml:space="preserve"> et al., 2022; Kaveh et al., 2025). This observation confirms that internal moisture diffusion is the rate-controlling mechanism for nutmeg mace, a </w:t>
      </w:r>
      <w:proofErr w:type="spellStart"/>
      <w:r w:rsidRPr="00C56CB9">
        <w:rPr>
          <w:rFonts w:ascii="Arial" w:hAnsi="Arial" w:cs="Arial"/>
          <w:sz w:val="20"/>
          <w:szCs w:val="20"/>
        </w:rPr>
        <w:t>behavior</w:t>
      </w:r>
      <w:proofErr w:type="spellEnd"/>
      <w:r w:rsidRPr="00C56CB9">
        <w:rPr>
          <w:rFonts w:ascii="Arial" w:hAnsi="Arial" w:cs="Arial"/>
          <w:sz w:val="20"/>
          <w:szCs w:val="20"/>
        </w:rPr>
        <w:t xml:space="preserve"> typical of high-value spice and agricultural materials (Talukdar &amp; </w:t>
      </w:r>
      <w:proofErr w:type="spellStart"/>
      <w:r w:rsidRPr="00C56CB9">
        <w:rPr>
          <w:rFonts w:ascii="Arial" w:hAnsi="Arial" w:cs="Arial"/>
          <w:sz w:val="20"/>
          <w:szCs w:val="20"/>
        </w:rPr>
        <w:t>Uppaluri</w:t>
      </w:r>
      <w:proofErr w:type="spellEnd"/>
      <w:r w:rsidRPr="00C56CB9">
        <w:rPr>
          <w:rFonts w:ascii="Arial" w:hAnsi="Arial" w:cs="Arial"/>
          <w:sz w:val="20"/>
          <w:szCs w:val="20"/>
        </w:rPr>
        <w:t>, 2021; Bordoloi &amp; Hazarika, 2024). Ultimately, the enhanced moisture-removal efficiency of the RW system underscores its potential as a high-</w:t>
      </w:r>
      <w:r w:rsidRPr="00C56CB9">
        <w:rPr>
          <w:rFonts w:ascii="Arial" w:hAnsi="Arial" w:cs="Arial"/>
          <w:sz w:val="20"/>
          <w:szCs w:val="20"/>
        </w:rPr>
        <w:lastRenderedPageBreak/>
        <w:t>performance alternative to traditional convective drying for sensitive spice matrices (Hasan et al., 2024; Silva et al., 2024).</w:t>
      </w:r>
    </w:p>
    <w:p w14:paraId="05277098" w14:textId="3BDF5721" w:rsidR="00467C4B" w:rsidRPr="00C56CB9" w:rsidRDefault="00467C4B" w:rsidP="005B0F27">
      <w:pPr>
        <w:spacing w:line="360" w:lineRule="auto"/>
        <w:jc w:val="center"/>
        <w:rPr>
          <w:rFonts w:ascii="Arial" w:hAnsi="Arial" w:cs="Arial"/>
          <w:b/>
          <w:bCs/>
          <w:sz w:val="20"/>
          <w:szCs w:val="20"/>
        </w:rPr>
      </w:pPr>
      <w:r w:rsidRPr="00C56CB9">
        <w:rPr>
          <w:rFonts w:ascii="Arial" w:hAnsi="Arial" w:cs="Arial"/>
          <w:b/>
          <w:bCs/>
          <w:noProof/>
          <w:sz w:val="20"/>
          <w:szCs w:val="20"/>
        </w:rPr>
        <w:drawing>
          <wp:inline distT="0" distB="0" distL="0" distR="0" wp14:anchorId="021E73F2" wp14:editId="4195F005">
            <wp:extent cx="5139267" cy="3098800"/>
            <wp:effectExtent l="0" t="0" r="4445" b="6350"/>
            <wp:docPr id="20790234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08486D" w14:textId="62D9DEC4" w:rsidR="002D50E0" w:rsidRPr="005B0F27" w:rsidRDefault="00CB2719" w:rsidP="00D042E1">
      <w:pPr>
        <w:spacing w:line="360" w:lineRule="auto"/>
        <w:jc w:val="both"/>
        <w:rPr>
          <w:rFonts w:ascii="Arial" w:hAnsi="Arial" w:cs="Arial"/>
          <w:b/>
          <w:bCs/>
          <w:sz w:val="20"/>
          <w:szCs w:val="20"/>
        </w:rPr>
      </w:pPr>
      <w:r w:rsidRPr="005B0F27">
        <w:rPr>
          <w:rFonts w:ascii="Arial" w:hAnsi="Arial" w:cs="Arial"/>
          <w:b/>
          <w:bCs/>
          <w:sz w:val="20"/>
          <w:szCs w:val="20"/>
        </w:rPr>
        <w:t xml:space="preserve">Figure 2. Drying rate curves of nutmeg mace under </w:t>
      </w:r>
      <w:proofErr w:type="spellStart"/>
      <w:r w:rsidRPr="005B0F27">
        <w:rPr>
          <w:rFonts w:ascii="Arial" w:hAnsi="Arial" w:cs="Arial"/>
          <w:b/>
          <w:bCs/>
          <w:sz w:val="20"/>
          <w:szCs w:val="20"/>
        </w:rPr>
        <w:t>refractance</w:t>
      </w:r>
      <w:proofErr w:type="spellEnd"/>
      <w:r w:rsidRPr="005B0F27">
        <w:rPr>
          <w:rFonts w:ascii="Arial" w:hAnsi="Arial" w:cs="Arial"/>
          <w:b/>
          <w:bCs/>
          <w:sz w:val="20"/>
          <w:szCs w:val="20"/>
        </w:rPr>
        <w:t xml:space="preserve"> window drying and hot-air drying</w:t>
      </w:r>
    </w:p>
    <w:p w14:paraId="62AD0ADF" w14:textId="77777777" w:rsidR="005F6D1C" w:rsidRPr="00C56CB9" w:rsidRDefault="005F6D1C" w:rsidP="005F6D1C">
      <w:pPr>
        <w:spacing w:line="360" w:lineRule="auto"/>
        <w:jc w:val="both"/>
        <w:rPr>
          <w:rFonts w:ascii="Arial" w:hAnsi="Arial" w:cs="Arial"/>
          <w:b/>
          <w:bCs/>
          <w:sz w:val="22"/>
          <w:szCs w:val="22"/>
        </w:rPr>
      </w:pPr>
      <w:r w:rsidRPr="00C56CB9">
        <w:rPr>
          <w:rFonts w:ascii="Arial" w:hAnsi="Arial" w:cs="Arial"/>
          <w:b/>
          <w:bCs/>
          <w:sz w:val="22"/>
          <w:szCs w:val="22"/>
        </w:rPr>
        <w:t>3.3 Drying kinetics and modelling of nutmeg mace</w:t>
      </w:r>
    </w:p>
    <w:p w14:paraId="2386F517" w14:textId="30385346" w:rsidR="005F6D1C" w:rsidRPr="00C56CB9" w:rsidRDefault="005F6D1C" w:rsidP="005F6D1C">
      <w:pPr>
        <w:spacing w:line="360" w:lineRule="auto"/>
        <w:jc w:val="both"/>
        <w:rPr>
          <w:rFonts w:ascii="Arial" w:hAnsi="Arial" w:cs="Arial"/>
          <w:sz w:val="20"/>
          <w:szCs w:val="20"/>
        </w:rPr>
      </w:pPr>
      <w:r w:rsidRPr="00C56CB9">
        <w:rPr>
          <w:rFonts w:ascii="Arial" w:hAnsi="Arial" w:cs="Arial"/>
          <w:sz w:val="20"/>
          <w:szCs w:val="20"/>
        </w:rPr>
        <w:t xml:space="preserve">The drying kinetics of nutmeg mace under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drying (RWD) and hot-air drying (HAD) were analysed by fitting thin-layer drying models to the experimental moisture ratio data in order to describe the moisture removal behaviour under both drying systems</w:t>
      </w:r>
      <w:r w:rsidR="004F77E4" w:rsidRPr="00C56CB9">
        <w:rPr>
          <w:rFonts w:ascii="Arial" w:hAnsi="Arial" w:cs="Arial"/>
          <w:sz w:val="20"/>
          <w:szCs w:val="20"/>
        </w:rPr>
        <w:t xml:space="preserve"> (Mahanti et al., 2021; Kumar et al., 2024)</w:t>
      </w:r>
      <w:r w:rsidRPr="00C56CB9">
        <w:rPr>
          <w:rFonts w:ascii="Arial" w:hAnsi="Arial" w:cs="Arial"/>
          <w:sz w:val="20"/>
          <w:szCs w:val="20"/>
        </w:rPr>
        <w:t>.</w:t>
      </w:r>
    </w:p>
    <w:p w14:paraId="28D59688" w14:textId="44A1ED62" w:rsidR="00FE1DA4" w:rsidRPr="00C56CB9" w:rsidRDefault="00FE1DA4" w:rsidP="00FE1DA4">
      <w:pPr>
        <w:spacing w:line="360" w:lineRule="auto"/>
        <w:jc w:val="both"/>
        <w:rPr>
          <w:rFonts w:ascii="Arial" w:hAnsi="Arial" w:cs="Arial"/>
          <w:sz w:val="20"/>
          <w:szCs w:val="20"/>
        </w:rPr>
      </w:pPr>
      <w:r w:rsidRPr="00C56CB9">
        <w:rPr>
          <w:rFonts w:ascii="Arial" w:hAnsi="Arial" w:cs="Arial"/>
          <w:sz w:val="20"/>
          <w:szCs w:val="20"/>
        </w:rPr>
        <w:t xml:space="preserve">For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drying, the statistical performance of the thin-layer drying models is presented in Table </w:t>
      </w:r>
      <w:r w:rsidR="0046670E" w:rsidRPr="00C56CB9">
        <w:rPr>
          <w:rFonts w:ascii="Arial" w:hAnsi="Arial" w:cs="Arial"/>
          <w:sz w:val="20"/>
          <w:szCs w:val="20"/>
        </w:rPr>
        <w:t>2</w:t>
      </w:r>
      <w:r w:rsidRPr="00C56CB9">
        <w:rPr>
          <w:rFonts w:ascii="Arial" w:hAnsi="Arial" w:cs="Arial"/>
          <w:sz w:val="20"/>
          <w:szCs w:val="20"/>
        </w:rPr>
        <w:t>. All the models showed good agreement with the experimental moisture ratio data, as indicated by high coefficients of determination (R² &gt; 0.98) and low prediction errors</w:t>
      </w:r>
      <w:r w:rsidR="004F77E4" w:rsidRPr="00C56CB9">
        <w:rPr>
          <w:rFonts w:ascii="Arial" w:hAnsi="Arial" w:cs="Arial"/>
          <w:sz w:val="20"/>
          <w:szCs w:val="20"/>
        </w:rPr>
        <w:t xml:space="preserve"> (Ali et al., 2024; </w:t>
      </w:r>
      <w:proofErr w:type="spellStart"/>
      <w:r w:rsidR="004F77E4" w:rsidRPr="00C56CB9">
        <w:rPr>
          <w:rFonts w:ascii="Arial" w:hAnsi="Arial" w:cs="Arial"/>
          <w:sz w:val="20"/>
          <w:szCs w:val="20"/>
        </w:rPr>
        <w:t>Kheto</w:t>
      </w:r>
      <w:proofErr w:type="spellEnd"/>
      <w:r w:rsidR="004F77E4" w:rsidRPr="00C56CB9">
        <w:rPr>
          <w:rFonts w:ascii="Arial" w:hAnsi="Arial" w:cs="Arial"/>
          <w:sz w:val="20"/>
          <w:szCs w:val="20"/>
        </w:rPr>
        <w:t xml:space="preserve"> et al., 2025)</w:t>
      </w:r>
      <w:r w:rsidRPr="00C56CB9">
        <w:rPr>
          <w:rFonts w:ascii="Arial" w:hAnsi="Arial" w:cs="Arial"/>
          <w:sz w:val="20"/>
          <w:szCs w:val="20"/>
        </w:rPr>
        <w:t xml:space="preserve">. Among the </w:t>
      </w:r>
      <w:r w:rsidR="004F77E4" w:rsidRPr="00C56CB9">
        <w:rPr>
          <w:rFonts w:ascii="Arial" w:hAnsi="Arial" w:cs="Arial"/>
          <w:sz w:val="20"/>
          <w:szCs w:val="20"/>
        </w:rPr>
        <w:t>evaluated</w:t>
      </w:r>
      <w:r w:rsidRPr="00C56CB9">
        <w:rPr>
          <w:rFonts w:ascii="Arial" w:hAnsi="Arial" w:cs="Arial"/>
          <w:sz w:val="20"/>
          <w:szCs w:val="20"/>
        </w:rPr>
        <w:t xml:space="preserve"> models, the logarithmic model exhibited one of the lowest </w:t>
      </w:r>
      <w:proofErr w:type="gramStart"/>
      <w:r w:rsidR="004F77E4" w:rsidRPr="00C56CB9">
        <w:rPr>
          <w:rFonts w:ascii="Arial" w:hAnsi="Arial" w:cs="Arial"/>
          <w:sz w:val="20"/>
          <w:szCs w:val="20"/>
        </w:rPr>
        <w:t>root</w:t>
      </w:r>
      <w:proofErr w:type="gramEnd"/>
      <w:r w:rsidR="004F77E4" w:rsidRPr="00C56CB9">
        <w:rPr>
          <w:rFonts w:ascii="Arial" w:hAnsi="Arial" w:cs="Arial"/>
          <w:sz w:val="20"/>
          <w:szCs w:val="20"/>
        </w:rPr>
        <w:t xml:space="preserve"> mean square error (</w:t>
      </w:r>
      <w:r w:rsidRPr="00C56CB9">
        <w:rPr>
          <w:rFonts w:ascii="Arial" w:hAnsi="Arial" w:cs="Arial"/>
          <w:sz w:val="20"/>
          <w:szCs w:val="20"/>
        </w:rPr>
        <w:t xml:space="preserve">RMSE </w:t>
      </w:r>
      <w:r w:rsidR="00A70559" w:rsidRPr="00C56CB9">
        <w:rPr>
          <w:rFonts w:ascii="Arial" w:hAnsi="Arial" w:cs="Arial"/>
          <w:sz w:val="20"/>
          <w:szCs w:val="20"/>
        </w:rPr>
        <w:t xml:space="preserve">= </w:t>
      </w:r>
      <w:r w:rsidRPr="00C56CB9">
        <w:rPr>
          <w:rFonts w:ascii="Arial" w:hAnsi="Arial" w:cs="Arial"/>
          <w:sz w:val="20"/>
          <w:szCs w:val="20"/>
        </w:rPr>
        <w:t>0.0103) and</w:t>
      </w:r>
      <w:r w:rsidR="00A70559" w:rsidRPr="00C56CB9">
        <w:rPr>
          <w:rFonts w:ascii="Arial" w:hAnsi="Arial" w:cs="Arial"/>
          <w:sz w:val="20"/>
          <w:szCs w:val="20"/>
        </w:rPr>
        <w:t xml:space="preserve"> mean absolute error</w:t>
      </w:r>
      <w:r w:rsidRPr="00C56CB9">
        <w:rPr>
          <w:rFonts w:ascii="Arial" w:hAnsi="Arial" w:cs="Arial"/>
          <w:sz w:val="20"/>
          <w:szCs w:val="20"/>
        </w:rPr>
        <w:t xml:space="preserve"> </w:t>
      </w:r>
      <w:r w:rsidR="00A70559" w:rsidRPr="00C56CB9">
        <w:rPr>
          <w:rFonts w:ascii="Arial" w:hAnsi="Arial" w:cs="Arial"/>
          <w:sz w:val="20"/>
          <w:szCs w:val="20"/>
        </w:rPr>
        <w:t>(</w:t>
      </w:r>
      <w:r w:rsidRPr="00C56CB9">
        <w:rPr>
          <w:rFonts w:ascii="Arial" w:hAnsi="Arial" w:cs="Arial"/>
          <w:sz w:val="20"/>
          <w:szCs w:val="20"/>
        </w:rPr>
        <w:t xml:space="preserve">MAE </w:t>
      </w:r>
      <w:r w:rsidR="00A70559" w:rsidRPr="00C56CB9">
        <w:rPr>
          <w:rFonts w:ascii="Arial" w:hAnsi="Arial" w:cs="Arial"/>
          <w:sz w:val="20"/>
          <w:szCs w:val="20"/>
        </w:rPr>
        <w:t xml:space="preserve">= </w:t>
      </w:r>
      <w:r w:rsidRPr="00C56CB9">
        <w:rPr>
          <w:rFonts w:ascii="Arial" w:hAnsi="Arial" w:cs="Arial"/>
          <w:sz w:val="20"/>
          <w:szCs w:val="20"/>
        </w:rPr>
        <w:t>0.0071) values, together with a high coefficient of determination (R² = 0.9989)</w:t>
      </w:r>
      <w:r w:rsidR="00A70559" w:rsidRPr="00C56CB9">
        <w:rPr>
          <w:rFonts w:ascii="Arial" w:hAnsi="Arial" w:cs="Arial"/>
          <w:sz w:val="20"/>
          <w:szCs w:val="20"/>
        </w:rPr>
        <w:t xml:space="preserve"> (Ortiz-Jerez et al., 2022)</w:t>
      </w:r>
      <w:r w:rsidRPr="00C56CB9">
        <w:rPr>
          <w:rFonts w:ascii="Arial" w:hAnsi="Arial" w:cs="Arial"/>
          <w:sz w:val="20"/>
          <w:szCs w:val="20"/>
        </w:rPr>
        <w:t>. In addition, the logarithmic model yielded comparatively lower information criteria values (AIC = −36.1761 and BIC = −36.3924), indicating better parsimony and predictive capability.</w:t>
      </w:r>
    </w:p>
    <w:p w14:paraId="1F10B83E" w14:textId="77777777" w:rsidR="005B0F27" w:rsidRDefault="005B0F27" w:rsidP="000B3EA0">
      <w:pPr>
        <w:spacing w:line="240" w:lineRule="auto"/>
        <w:jc w:val="both"/>
        <w:rPr>
          <w:rFonts w:ascii="Arial" w:hAnsi="Arial" w:cs="Arial"/>
          <w:b/>
          <w:bCs/>
          <w:sz w:val="20"/>
          <w:szCs w:val="20"/>
        </w:rPr>
      </w:pPr>
    </w:p>
    <w:p w14:paraId="0E3BFEBD" w14:textId="3AB078A2" w:rsidR="005E76EE" w:rsidRPr="00C56CB9" w:rsidRDefault="005E76EE" w:rsidP="000B3EA0">
      <w:pPr>
        <w:spacing w:line="240" w:lineRule="auto"/>
        <w:jc w:val="both"/>
        <w:rPr>
          <w:rFonts w:ascii="Arial" w:hAnsi="Arial" w:cs="Arial"/>
          <w:b/>
          <w:bCs/>
          <w:sz w:val="20"/>
          <w:szCs w:val="20"/>
        </w:rPr>
      </w:pPr>
      <w:r w:rsidRPr="00C56CB9">
        <w:rPr>
          <w:rFonts w:ascii="Arial" w:hAnsi="Arial" w:cs="Arial"/>
          <w:b/>
          <w:bCs/>
          <w:sz w:val="20"/>
          <w:szCs w:val="20"/>
        </w:rPr>
        <w:t xml:space="preserve">Table 2. Model fitting statistics for thin-layer drying of nutmeg mace by </w:t>
      </w:r>
      <w:proofErr w:type="spellStart"/>
      <w:r w:rsidRPr="00C56CB9">
        <w:rPr>
          <w:rFonts w:ascii="Arial" w:hAnsi="Arial" w:cs="Arial"/>
          <w:b/>
          <w:bCs/>
          <w:sz w:val="20"/>
          <w:szCs w:val="20"/>
        </w:rPr>
        <w:t>Refractance</w:t>
      </w:r>
      <w:proofErr w:type="spellEnd"/>
      <w:r w:rsidRPr="00C56CB9">
        <w:rPr>
          <w:rFonts w:ascii="Arial" w:hAnsi="Arial" w:cs="Arial"/>
          <w:b/>
          <w:bCs/>
          <w:sz w:val="20"/>
          <w:szCs w:val="20"/>
        </w:rPr>
        <w:t xml:space="preserve"> window drying</w:t>
      </w:r>
    </w:p>
    <w:tbl>
      <w:tblPr>
        <w:tblStyle w:val="TableGrid"/>
        <w:tblW w:w="0" w:type="auto"/>
        <w:jc w:val="center"/>
        <w:tblLook w:val="0600" w:firstRow="0" w:lastRow="0" w:firstColumn="0" w:lastColumn="0" w:noHBand="1" w:noVBand="1"/>
      </w:tblPr>
      <w:tblGrid>
        <w:gridCol w:w="1917"/>
        <w:gridCol w:w="1051"/>
        <w:gridCol w:w="1051"/>
        <w:gridCol w:w="1051"/>
        <w:gridCol w:w="1051"/>
        <w:gridCol w:w="1006"/>
        <w:gridCol w:w="1006"/>
      </w:tblGrid>
      <w:tr w:rsidR="005E76EE" w:rsidRPr="00C56CB9" w14:paraId="20BD5F68" w14:textId="77777777" w:rsidTr="000B3EA0">
        <w:trPr>
          <w:trHeight w:val="455"/>
          <w:jc w:val="center"/>
        </w:trPr>
        <w:tc>
          <w:tcPr>
            <w:tcW w:w="0" w:type="auto"/>
            <w:vAlign w:val="center"/>
            <w:hideMark/>
          </w:tcPr>
          <w:p w14:paraId="733D1225"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Model</w:t>
            </w:r>
          </w:p>
        </w:tc>
        <w:tc>
          <w:tcPr>
            <w:tcW w:w="0" w:type="auto"/>
            <w:vAlign w:val="center"/>
            <w:hideMark/>
          </w:tcPr>
          <w:p w14:paraId="08EE15B9"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RMSE</w:t>
            </w:r>
          </w:p>
        </w:tc>
        <w:tc>
          <w:tcPr>
            <w:tcW w:w="0" w:type="auto"/>
            <w:vAlign w:val="center"/>
            <w:hideMark/>
          </w:tcPr>
          <w:p w14:paraId="30C40C7C"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MAE</w:t>
            </w:r>
          </w:p>
        </w:tc>
        <w:tc>
          <w:tcPr>
            <w:tcW w:w="0" w:type="auto"/>
            <w:vAlign w:val="center"/>
            <w:hideMark/>
          </w:tcPr>
          <w:p w14:paraId="6C1FC650"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NSE</w:t>
            </w:r>
          </w:p>
        </w:tc>
        <w:tc>
          <w:tcPr>
            <w:tcW w:w="0" w:type="auto"/>
            <w:vAlign w:val="center"/>
            <w:hideMark/>
          </w:tcPr>
          <w:p w14:paraId="1A07E007"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R</w:t>
            </w:r>
            <w:r w:rsidRPr="00C56CB9">
              <w:rPr>
                <w:rFonts w:ascii="Arial" w:eastAsia="Times New Roman" w:hAnsi="Arial" w:cs="Arial"/>
                <w:b/>
                <w:bCs/>
                <w:color w:val="000000" w:themeColor="dark1"/>
                <w:kern w:val="24"/>
                <w:position w:val="10"/>
                <w:sz w:val="20"/>
                <w:szCs w:val="20"/>
                <w:vertAlign w:val="superscript"/>
                <w:lang w:eastAsia="en-IN"/>
                <w14:ligatures w14:val="none"/>
              </w:rPr>
              <w:t>2</w:t>
            </w:r>
          </w:p>
        </w:tc>
        <w:tc>
          <w:tcPr>
            <w:tcW w:w="0" w:type="auto"/>
            <w:vAlign w:val="center"/>
            <w:hideMark/>
          </w:tcPr>
          <w:p w14:paraId="3B2A34D9"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AIC</w:t>
            </w:r>
          </w:p>
        </w:tc>
        <w:tc>
          <w:tcPr>
            <w:tcW w:w="0" w:type="auto"/>
            <w:vAlign w:val="center"/>
            <w:hideMark/>
          </w:tcPr>
          <w:p w14:paraId="5D3A4D89"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BIC</w:t>
            </w:r>
          </w:p>
        </w:tc>
      </w:tr>
      <w:tr w:rsidR="005E76EE" w:rsidRPr="00C56CB9" w14:paraId="2196A761" w14:textId="77777777" w:rsidTr="000B3EA0">
        <w:trPr>
          <w:trHeight w:val="405"/>
          <w:jc w:val="center"/>
        </w:trPr>
        <w:tc>
          <w:tcPr>
            <w:tcW w:w="0" w:type="auto"/>
            <w:vAlign w:val="center"/>
            <w:hideMark/>
          </w:tcPr>
          <w:p w14:paraId="1C01DC12"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Newton</w:t>
            </w:r>
          </w:p>
        </w:tc>
        <w:tc>
          <w:tcPr>
            <w:tcW w:w="0" w:type="auto"/>
            <w:vAlign w:val="center"/>
            <w:hideMark/>
          </w:tcPr>
          <w:p w14:paraId="0E64565D"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0.014119</w:t>
            </w:r>
          </w:p>
        </w:tc>
        <w:tc>
          <w:tcPr>
            <w:tcW w:w="0" w:type="auto"/>
            <w:vAlign w:val="center"/>
            <w:hideMark/>
          </w:tcPr>
          <w:p w14:paraId="3A51EDA0"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0.011542</w:t>
            </w:r>
          </w:p>
        </w:tc>
        <w:tc>
          <w:tcPr>
            <w:tcW w:w="0" w:type="auto"/>
            <w:vAlign w:val="center"/>
            <w:hideMark/>
          </w:tcPr>
          <w:p w14:paraId="7415E3AC"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0.998809</w:t>
            </w:r>
          </w:p>
        </w:tc>
        <w:tc>
          <w:tcPr>
            <w:tcW w:w="0" w:type="auto"/>
            <w:vAlign w:val="center"/>
            <w:hideMark/>
          </w:tcPr>
          <w:p w14:paraId="06CC2171"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0.998809</w:t>
            </w:r>
          </w:p>
        </w:tc>
        <w:tc>
          <w:tcPr>
            <w:tcW w:w="0" w:type="auto"/>
            <w:vAlign w:val="center"/>
            <w:hideMark/>
          </w:tcPr>
          <w:p w14:paraId="602BAB83"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-35.7779</w:t>
            </w:r>
          </w:p>
        </w:tc>
        <w:tc>
          <w:tcPr>
            <w:tcW w:w="0" w:type="auto"/>
            <w:vAlign w:val="center"/>
            <w:hideMark/>
          </w:tcPr>
          <w:p w14:paraId="065FBB07"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-35.886</w:t>
            </w:r>
          </w:p>
        </w:tc>
      </w:tr>
      <w:tr w:rsidR="005E76EE" w:rsidRPr="00C56CB9" w14:paraId="70348CD3" w14:textId="77777777" w:rsidTr="000B3EA0">
        <w:trPr>
          <w:trHeight w:val="424"/>
          <w:jc w:val="center"/>
        </w:trPr>
        <w:tc>
          <w:tcPr>
            <w:tcW w:w="0" w:type="auto"/>
            <w:vAlign w:val="center"/>
            <w:hideMark/>
          </w:tcPr>
          <w:p w14:paraId="2B9FF1AE"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Henderson Pabis</w:t>
            </w:r>
          </w:p>
        </w:tc>
        <w:tc>
          <w:tcPr>
            <w:tcW w:w="0" w:type="auto"/>
            <w:vAlign w:val="center"/>
            <w:hideMark/>
          </w:tcPr>
          <w:p w14:paraId="320777F4"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0.014115</w:t>
            </w:r>
          </w:p>
        </w:tc>
        <w:tc>
          <w:tcPr>
            <w:tcW w:w="0" w:type="auto"/>
            <w:vAlign w:val="center"/>
            <w:hideMark/>
          </w:tcPr>
          <w:p w14:paraId="63919A04"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0.01168</w:t>
            </w:r>
          </w:p>
        </w:tc>
        <w:tc>
          <w:tcPr>
            <w:tcW w:w="0" w:type="auto"/>
            <w:vAlign w:val="center"/>
            <w:hideMark/>
          </w:tcPr>
          <w:p w14:paraId="63CE6524"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0.998809</w:t>
            </w:r>
          </w:p>
        </w:tc>
        <w:tc>
          <w:tcPr>
            <w:tcW w:w="0" w:type="auto"/>
            <w:vAlign w:val="center"/>
            <w:hideMark/>
          </w:tcPr>
          <w:p w14:paraId="000B002E"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0.998809</w:t>
            </w:r>
          </w:p>
        </w:tc>
        <w:tc>
          <w:tcPr>
            <w:tcW w:w="0" w:type="auto"/>
            <w:vAlign w:val="center"/>
            <w:hideMark/>
          </w:tcPr>
          <w:p w14:paraId="41129FFB"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-33.7826</w:t>
            </w:r>
          </w:p>
        </w:tc>
        <w:tc>
          <w:tcPr>
            <w:tcW w:w="0" w:type="auto"/>
            <w:vAlign w:val="center"/>
            <w:hideMark/>
          </w:tcPr>
          <w:p w14:paraId="02902DAA"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-33.9449</w:t>
            </w:r>
          </w:p>
        </w:tc>
      </w:tr>
      <w:tr w:rsidR="005E76EE" w:rsidRPr="00C56CB9" w14:paraId="3417FDF1" w14:textId="77777777" w:rsidTr="000B3EA0">
        <w:trPr>
          <w:trHeight w:val="416"/>
          <w:jc w:val="center"/>
        </w:trPr>
        <w:tc>
          <w:tcPr>
            <w:tcW w:w="0" w:type="auto"/>
            <w:vAlign w:val="center"/>
            <w:hideMark/>
          </w:tcPr>
          <w:p w14:paraId="2B0B7218" w14:textId="6EE99068"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lastRenderedPageBreak/>
              <w:t xml:space="preserve">Wang </w:t>
            </w:r>
            <w:r w:rsidR="000B3EA0" w:rsidRPr="00C56CB9">
              <w:rPr>
                <w:rFonts w:ascii="Arial" w:eastAsia="Times New Roman" w:hAnsi="Arial" w:cs="Arial"/>
                <w:b/>
                <w:bCs/>
                <w:color w:val="000000" w:themeColor="dark1"/>
                <w:kern w:val="24"/>
                <w:sz w:val="20"/>
                <w:szCs w:val="20"/>
                <w:lang w:eastAsia="en-IN"/>
                <w14:ligatures w14:val="none"/>
              </w:rPr>
              <w:t>&amp;</w:t>
            </w:r>
            <w:r w:rsidRPr="00C56CB9">
              <w:rPr>
                <w:rFonts w:ascii="Arial" w:eastAsia="Times New Roman" w:hAnsi="Arial" w:cs="Arial"/>
                <w:b/>
                <w:bCs/>
                <w:color w:val="000000" w:themeColor="dark1"/>
                <w:kern w:val="24"/>
                <w:sz w:val="20"/>
                <w:szCs w:val="20"/>
                <w:lang w:eastAsia="en-IN"/>
                <w14:ligatures w14:val="none"/>
              </w:rPr>
              <w:t>Singh</w:t>
            </w:r>
          </w:p>
        </w:tc>
        <w:tc>
          <w:tcPr>
            <w:tcW w:w="0" w:type="auto"/>
            <w:vAlign w:val="center"/>
            <w:hideMark/>
          </w:tcPr>
          <w:p w14:paraId="7124BB70"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0.034088</w:t>
            </w:r>
          </w:p>
        </w:tc>
        <w:tc>
          <w:tcPr>
            <w:tcW w:w="0" w:type="auto"/>
            <w:vAlign w:val="center"/>
            <w:hideMark/>
          </w:tcPr>
          <w:p w14:paraId="2937A4C9"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0.026286</w:t>
            </w:r>
          </w:p>
        </w:tc>
        <w:tc>
          <w:tcPr>
            <w:tcW w:w="0" w:type="auto"/>
            <w:vAlign w:val="center"/>
            <w:hideMark/>
          </w:tcPr>
          <w:p w14:paraId="56B9787A"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0.988863</w:t>
            </w:r>
          </w:p>
        </w:tc>
        <w:tc>
          <w:tcPr>
            <w:tcW w:w="0" w:type="auto"/>
            <w:vAlign w:val="center"/>
            <w:hideMark/>
          </w:tcPr>
          <w:p w14:paraId="244FC8C6"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0.988863</w:t>
            </w:r>
          </w:p>
        </w:tc>
        <w:tc>
          <w:tcPr>
            <w:tcW w:w="0" w:type="auto"/>
            <w:vAlign w:val="center"/>
            <w:hideMark/>
          </w:tcPr>
          <w:p w14:paraId="23D60F5A"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-21.4384</w:t>
            </w:r>
          </w:p>
        </w:tc>
        <w:tc>
          <w:tcPr>
            <w:tcW w:w="0" w:type="auto"/>
            <w:vAlign w:val="center"/>
            <w:hideMark/>
          </w:tcPr>
          <w:p w14:paraId="6617A4BE"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-21.6006</w:t>
            </w:r>
          </w:p>
        </w:tc>
      </w:tr>
      <w:tr w:rsidR="005E76EE" w:rsidRPr="00C56CB9" w14:paraId="3176E725" w14:textId="77777777" w:rsidTr="000B3EA0">
        <w:trPr>
          <w:trHeight w:val="409"/>
          <w:jc w:val="center"/>
        </w:trPr>
        <w:tc>
          <w:tcPr>
            <w:tcW w:w="0" w:type="auto"/>
            <w:vAlign w:val="center"/>
            <w:hideMark/>
          </w:tcPr>
          <w:p w14:paraId="1775D621"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Logarithmic</w:t>
            </w:r>
          </w:p>
        </w:tc>
        <w:tc>
          <w:tcPr>
            <w:tcW w:w="0" w:type="auto"/>
            <w:vAlign w:val="center"/>
            <w:hideMark/>
          </w:tcPr>
          <w:p w14:paraId="1EA45FB8"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0.010313</w:t>
            </w:r>
          </w:p>
        </w:tc>
        <w:tc>
          <w:tcPr>
            <w:tcW w:w="0" w:type="auto"/>
            <w:vAlign w:val="center"/>
            <w:hideMark/>
          </w:tcPr>
          <w:p w14:paraId="22F8E45F"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0.007131</w:t>
            </w:r>
          </w:p>
        </w:tc>
        <w:tc>
          <w:tcPr>
            <w:tcW w:w="0" w:type="auto"/>
            <w:vAlign w:val="center"/>
            <w:hideMark/>
          </w:tcPr>
          <w:p w14:paraId="415DD1C6"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0.998981</w:t>
            </w:r>
          </w:p>
        </w:tc>
        <w:tc>
          <w:tcPr>
            <w:tcW w:w="0" w:type="auto"/>
            <w:vAlign w:val="center"/>
            <w:hideMark/>
          </w:tcPr>
          <w:p w14:paraId="47457AC9"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0.998981</w:t>
            </w:r>
          </w:p>
        </w:tc>
        <w:tc>
          <w:tcPr>
            <w:tcW w:w="0" w:type="auto"/>
            <w:vAlign w:val="center"/>
            <w:hideMark/>
          </w:tcPr>
          <w:p w14:paraId="4F845366"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-36.1761</w:t>
            </w:r>
          </w:p>
        </w:tc>
        <w:tc>
          <w:tcPr>
            <w:tcW w:w="0" w:type="auto"/>
            <w:vAlign w:val="center"/>
            <w:hideMark/>
          </w:tcPr>
          <w:p w14:paraId="22805CDA"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-36.3924</w:t>
            </w:r>
          </w:p>
        </w:tc>
      </w:tr>
      <w:tr w:rsidR="005E76EE" w:rsidRPr="00C56CB9" w14:paraId="14FF498E" w14:textId="77777777" w:rsidTr="000B3EA0">
        <w:trPr>
          <w:trHeight w:val="415"/>
          <w:jc w:val="center"/>
        </w:trPr>
        <w:tc>
          <w:tcPr>
            <w:tcW w:w="0" w:type="auto"/>
            <w:vAlign w:val="center"/>
            <w:hideMark/>
          </w:tcPr>
          <w:p w14:paraId="398E4903"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Page</w:t>
            </w:r>
          </w:p>
        </w:tc>
        <w:tc>
          <w:tcPr>
            <w:tcW w:w="0" w:type="auto"/>
            <w:vAlign w:val="center"/>
            <w:hideMark/>
          </w:tcPr>
          <w:p w14:paraId="2293D860"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0.013419</w:t>
            </w:r>
          </w:p>
        </w:tc>
        <w:tc>
          <w:tcPr>
            <w:tcW w:w="0" w:type="auto"/>
            <w:vAlign w:val="center"/>
            <w:hideMark/>
          </w:tcPr>
          <w:p w14:paraId="1CE09E03"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0.010921</w:t>
            </w:r>
          </w:p>
        </w:tc>
        <w:tc>
          <w:tcPr>
            <w:tcW w:w="0" w:type="auto"/>
            <w:vAlign w:val="center"/>
            <w:hideMark/>
          </w:tcPr>
          <w:p w14:paraId="701AA956"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0.998827</w:t>
            </w:r>
          </w:p>
        </w:tc>
        <w:tc>
          <w:tcPr>
            <w:tcW w:w="0" w:type="auto"/>
            <w:vAlign w:val="center"/>
            <w:hideMark/>
          </w:tcPr>
          <w:p w14:paraId="49DF36B0"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0.998827</w:t>
            </w:r>
          </w:p>
        </w:tc>
        <w:tc>
          <w:tcPr>
            <w:tcW w:w="0" w:type="auto"/>
            <w:vAlign w:val="center"/>
            <w:hideMark/>
          </w:tcPr>
          <w:p w14:paraId="1341CDE4"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-34.4904</w:t>
            </w:r>
          </w:p>
        </w:tc>
        <w:tc>
          <w:tcPr>
            <w:tcW w:w="0" w:type="auto"/>
            <w:vAlign w:val="center"/>
            <w:hideMark/>
          </w:tcPr>
          <w:p w14:paraId="5E845009"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-34.6526</w:t>
            </w:r>
          </w:p>
        </w:tc>
      </w:tr>
      <w:tr w:rsidR="005E76EE" w:rsidRPr="00C56CB9" w14:paraId="78667A62" w14:textId="77777777" w:rsidTr="000B3EA0">
        <w:trPr>
          <w:trHeight w:val="420"/>
          <w:jc w:val="center"/>
        </w:trPr>
        <w:tc>
          <w:tcPr>
            <w:tcW w:w="0" w:type="auto"/>
            <w:vAlign w:val="center"/>
            <w:hideMark/>
          </w:tcPr>
          <w:p w14:paraId="20B58FB9"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Modified Page</w:t>
            </w:r>
          </w:p>
        </w:tc>
        <w:tc>
          <w:tcPr>
            <w:tcW w:w="0" w:type="auto"/>
            <w:vAlign w:val="center"/>
            <w:hideMark/>
          </w:tcPr>
          <w:p w14:paraId="70577C74"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0.013354</w:t>
            </w:r>
          </w:p>
        </w:tc>
        <w:tc>
          <w:tcPr>
            <w:tcW w:w="0" w:type="auto"/>
            <w:vAlign w:val="center"/>
            <w:hideMark/>
          </w:tcPr>
          <w:p w14:paraId="674E5C95"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0.011304</w:t>
            </w:r>
          </w:p>
        </w:tc>
        <w:tc>
          <w:tcPr>
            <w:tcW w:w="0" w:type="auto"/>
            <w:vAlign w:val="center"/>
            <w:hideMark/>
          </w:tcPr>
          <w:p w14:paraId="4442B671"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0.998928</w:t>
            </w:r>
          </w:p>
        </w:tc>
        <w:tc>
          <w:tcPr>
            <w:tcW w:w="0" w:type="auto"/>
            <w:vAlign w:val="center"/>
            <w:hideMark/>
          </w:tcPr>
          <w:p w14:paraId="4E5DDF9F"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0.998928</w:t>
            </w:r>
          </w:p>
        </w:tc>
        <w:tc>
          <w:tcPr>
            <w:tcW w:w="0" w:type="auto"/>
            <w:vAlign w:val="center"/>
            <w:hideMark/>
          </w:tcPr>
          <w:p w14:paraId="0258B70C"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-32.5585</w:t>
            </w:r>
          </w:p>
        </w:tc>
        <w:tc>
          <w:tcPr>
            <w:tcW w:w="0" w:type="auto"/>
            <w:vAlign w:val="center"/>
            <w:hideMark/>
          </w:tcPr>
          <w:p w14:paraId="20730A7F"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-32.7777</w:t>
            </w:r>
          </w:p>
        </w:tc>
      </w:tr>
      <w:tr w:rsidR="005E76EE" w:rsidRPr="00C56CB9" w14:paraId="1E36EE14" w14:textId="77777777" w:rsidTr="000B3EA0">
        <w:trPr>
          <w:trHeight w:val="413"/>
          <w:jc w:val="center"/>
        </w:trPr>
        <w:tc>
          <w:tcPr>
            <w:tcW w:w="0" w:type="auto"/>
            <w:vAlign w:val="center"/>
            <w:hideMark/>
          </w:tcPr>
          <w:p w14:paraId="0E72070D" w14:textId="63DE19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Singh</w:t>
            </w:r>
            <w:r w:rsidR="005E76EE" w:rsidRPr="00C56CB9">
              <w:rPr>
                <w:rFonts w:ascii="Arial" w:eastAsia="Times New Roman" w:hAnsi="Arial" w:cs="Arial"/>
                <w:b/>
                <w:bCs/>
                <w:color w:val="000000" w:themeColor="dark1"/>
                <w:kern w:val="24"/>
                <w:sz w:val="20"/>
                <w:szCs w:val="20"/>
                <w:lang w:eastAsia="en-IN"/>
                <w14:ligatures w14:val="none"/>
              </w:rPr>
              <w:t xml:space="preserve"> et al.</w:t>
            </w:r>
            <w:r w:rsidRPr="00C56CB9">
              <w:rPr>
                <w:rFonts w:ascii="Arial" w:eastAsia="Times New Roman" w:hAnsi="Arial" w:cs="Arial"/>
                <w:b/>
                <w:bCs/>
                <w:color w:val="000000" w:themeColor="dark1"/>
                <w:kern w:val="24"/>
                <w:sz w:val="20"/>
                <w:szCs w:val="20"/>
                <w:lang w:eastAsia="en-IN"/>
                <w14:ligatures w14:val="none"/>
              </w:rPr>
              <w:t xml:space="preserve"> </w:t>
            </w:r>
            <w:r w:rsidR="005E76EE" w:rsidRPr="00C56CB9">
              <w:rPr>
                <w:rFonts w:ascii="Arial" w:eastAsia="Times New Roman" w:hAnsi="Arial" w:cs="Arial"/>
                <w:b/>
                <w:bCs/>
                <w:color w:val="000000" w:themeColor="dark1"/>
                <w:kern w:val="24"/>
                <w:sz w:val="20"/>
                <w:szCs w:val="20"/>
                <w:lang w:eastAsia="en-IN"/>
                <w14:ligatures w14:val="none"/>
              </w:rPr>
              <w:t>(</w:t>
            </w:r>
            <w:r w:rsidRPr="00C56CB9">
              <w:rPr>
                <w:rFonts w:ascii="Arial" w:eastAsia="Times New Roman" w:hAnsi="Arial" w:cs="Arial"/>
                <w:b/>
                <w:bCs/>
                <w:color w:val="000000" w:themeColor="dark1"/>
                <w:kern w:val="24"/>
                <w:sz w:val="20"/>
                <w:szCs w:val="20"/>
                <w:lang w:eastAsia="en-IN"/>
                <w14:ligatures w14:val="none"/>
              </w:rPr>
              <w:t>2014</w:t>
            </w:r>
            <w:r w:rsidR="005E76EE" w:rsidRPr="00C56CB9">
              <w:rPr>
                <w:rFonts w:ascii="Arial" w:eastAsia="Times New Roman" w:hAnsi="Arial" w:cs="Arial"/>
                <w:b/>
                <w:bCs/>
                <w:color w:val="000000" w:themeColor="dark1"/>
                <w:kern w:val="24"/>
                <w:sz w:val="20"/>
                <w:szCs w:val="20"/>
                <w:lang w:eastAsia="en-IN"/>
                <w14:ligatures w14:val="none"/>
              </w:rPr>
              <w:t>)</w:t>
            </w:r>
          </w:p>
        </w:tc>
        <w:tc>
          <w:tcPr>
            <w:tcW w:w="0" w:type="auto"/>
            <w:vAlign w:val="center"/>
            <w:hideMark/>
          </w:tcPr>
          <w:p w14:paraId="47854488"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0.010314</w:t>
            </w:r>
          </w:p>
        </w:tc>
        <w:tc>
          <w:tcPr>
            <w:tcW w:w="0" w:type="auto"/>
            <w:vAlign w:val="center"/>
            <w:hideMark/>
          </w:tcPr>
          <w:p w14:paraId="5EA2E1D5"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0.006467</w:t>
            </w:r>
          </w:p>
        </w:tc>
        <w:tc>
          <w:tcPr>
            <w:tcW w:w="0" w:type="auto"/>
            <w:vAlign w:val="center"/>
            <w:hideMark/>
          </w:tcPr>
          <w:p w14:paraId="29BE8CB6"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0.99898</w:t>
            </w:r>
          </w:p>
        </w:tc>
        <w:tc>
          <w:tcPr>
            <w:tcW w:w="0" w:type="auto"/>
            <w:vAlign w:val="center"/>
            <w:hideMark/>
          </w:tcPr>
          <w:p w14:paraId="0E28DDEA"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0.99898</w:t>
            </w:r>
          </w:p>
        </w:tc>
        <w:tc>
          <w:tcPr>
            <w:tcW w:w="0" w:type="auto"/>
            <w:vAlign w:val="center"/>
            <w:hideMark/>
          </w:tcPr>
          <w:p w14:paraId="50D60B89"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-38.1749</w:t>
            </w:r>
          </w:p>
        </w:tc>
        <w:tc>
          <w:tcPr>
            <w:tcW w:w="0" w:type="auto"/>
            <w:vAlign w:val="center"/>
            <w:hideMark/>
          </w:tcPr>
          <w:p w14:paraId="3E856315" w14:textId="77777777" w:rsidR="0046670E" w:rsidRPr="00C56CB9" w:rsidRDefault="0046670E" w:rsidP="000B3EA0">
            <w:pPr>
              <w:jc w:val="center"/>
              <w:textAlignment w:val="bottom"/>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-38.3372</w:t>
            </w:r>
          </w:p>
        </w:tc>
      </w:tr>
    </w:tbl>
    <w:p w14:paraId="2DCE3021" w14:textId="77777777" w:rsidR="0046670E" w:rsidRPr="00C56CB9" w:rsidRDefault="0046670E" w:rsidP="00FE1DA4">
      <w:pPr>
        <w:spacing w:line="360" w:lineRule="auto"/>
        <w:jc w:val="both"/>
        <w:rPr>
          <w:rFonts w:ascii="Arial" w:hAnsi="Arial" w:cs="Arial"/>
          <w:sz w:val="20"/>
          <w:szCs w:val="20"/>
        </w:rPr>
      </w:pPr>
    </w:p>
    <w:p w14:paraId="24FCBA4C" w14:textId="2759DD13" w:rsidR="00FE1DA4" w:rsidRPr="00C56CB9" w:rsidRDefault="00FE1DA4" w:rsidP="005B0F27">
      <w:pPr>
        <w:spacing w:line="360" w:lineRule="auto"/>
        <w:jc w:val="both"/>
        <w:rPr>
          <w:rFonts w:ascii="Arial" w:hAnsi="Arial" w:cs="Arial"/>
          <w:sz w:val="20"/>
          <w:szCs w:val="20"/>
        </w:rPr>
      </w:pPr>
      <w:r w:rsidRPr="00C56CB9">
        <w:rPr>
          <w:rFonts w:ascii="Arial" w:hAnsi="Arial" w:cs="Arial"/>
          <w:sz w:val="20"/>
          <w:szCs w:val="20"/>
        </w:rPr>
        <w:t xml:space="preserve">Although the Singh et al. (2014) model produced marginally lower error indices and information criteria, the logarithmic model was selected as the most suitable model for representing the drying behaviour of nutmeg mace under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drying due to its consistent statistical performance and its widely reported suitability for thin-layer drying of plant-based materials</w:t>
      </w:r>
      <w:r w:rsidR="00A70559" w:rsidRPr="00C56CB9">
        <w:rPr>
          <w:rFonts w:ascii="Arial" w:hAnsi="Arial" w:cs="Arial"/>
          <w:sz w:val="20"/>
          <w:szCs w:val="20"/>
        </w:rPr>
        <w:t xml:space="preserve"> (Talukdar and </w:t>
      </w:r>
      <w:proofErr w:type="spellStart"/>
      <w:r w:rsidR="00A70559" w:rsidRPr="00C56CB9">
        <w:rPr>
          <w:rFonts w:ascii="Arial" w:hAnsi="Arial" w:cs="Arial"/>
          <w:sz w:val="20"/>
          <w:szCs w:val="20"/>
        </w:rPr>
        <w:t>Uppaluri</w:t>
      </w:r>
      <w:proofErr w:type="spellEnd"/>
      <w:r w:rsidR="00A70559" w:rsidRPr="00C56CB9">
        <w:rPr>
          <w:rFonts w:ascii="Arial" w:hAnsi="Arial" w:cs="Arial"/>
          <w:sz w:val="20"/>
          <w:szCs w:val="20"/>
        </w:rPr>
        <w:t>, 2021; Ortiz-Jerez et al., 2022)</w:t>
      </w:r>
      <w:r w:rsidRPr="00C56CB9">
        <w:rPr>
          <w:rFonts w:ascii="Arial" w:hAnsi="Arial" w:cs="Arial"/>
          <w:sz w:val="20"/>
          <w:szCs w:val="20"/>
        </w:rPr>
        <w:t>.</w:t>
      </w:r>
    </w:p>
    <w:p w14:paraId="375483DE" w14:textId="49D61A26" w:rsidR="000B3EA0" w:rsidRPr="00C56CB9" w:rsidRDefault="000B3EA0" w:rsidP="005B0F27">
      <w:pPr>
        <w:spacing w:line="360" w:lineRule="auto"/>
        <w:jc w:val="both"/>
        <w:rPr>
          <w:rFonts w:ascii="Arial" w:hAnsi="Arial" w:cs="Arial"/>
          <w:sz w:val="20"/>
          <w:szCs w:val="20"/>
        </w:rPr>
      </w:pPr>
      <w:r w:rsidRPr="00C56CB9">
        <w:rPr>
          <w:rFonts w:ascii="Arial" w:hAnsi="Arial" w:cs="Arial"/>
          <w:sz w:val="20"/>
          <w:szCs w:val="20"/>
        </w:rPr>
        <w:t xml:space="preserve">The fitted logarithmic model for </w:t>
      </w:r>
      <w:proofErr w:type="spellStart"/>
      <w:r w:rsidR="00A70559" w:rsidRPr="00C56CB9">
        <w:rPr>
          <w:rFonts w:ascii="Arial" w:hAnsi="Arial" w:cs="Arial"/>
          <w:sz w:val="20"/>
          <w:szCs w:val="20"/>
        </w:rPr>
        <w:t>R</w:t>
      </w:r>
      <w:r w:rsidRPr="00C56CB9">
        <w:rPr>
          <w:rFonts w:ascii="Arial" w:hAnsi="Arial" w:cs="Arial"/>
          <w:sz w:val="20"/>
          <w:szCs w:val="20"/>
        </w:rPr>
        <w:t>efractance</w:t>
      </w:r>
      <w:proofErr w:type="spellEnd"/>
      <w:r w:rsidRPr="00C56CB9">
        <w:rPr>
          <w:rFonts w:ascii="Arial" w:hAnsi="Arial" w:cs="Arial"/>
          <w:sz w:val="20"/>
          <w:szCs w:val="20"/>
        </w:rPr>
        <w:t xml:space="preserve"> window drying is illustrated in Fig. 3, where the predicted moisture ratio closely follows the experimental data throughout the drying period. Furthermore, the observed versus predicted moisture ratio plot for the logarithmic model (Fig. </w:t>
      </w:r>
      <w:r w:rsidR="00A459BE" w:rsidRPr="00C56CB9">
        <w:rPr>
          <w:rFonts w:ascii="Arial" w:hAnsi="Arial" w:cs="Arial"/>
          <w:sz w:val="20"/>
          <w:szCs w:val="20"/>
        </w:rPr>
        <w:t>4</w:t>
      </w:r>
      <w:r w:rsidRPr="00C56CB9">
        <w:rPr>
          <w:rFonts w:ascii="Arial" w:hAnsi="Arial" w:cs="Arial"/>
          <w:sz w:val="20"/>
          <w:szCs w:val="20"/>
        </w:rPr>
        <w:t xml:space="preserve">) shows that the data points are closely distributed along the 1:1 line, confirming the high predictive accuracy of the model for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drying</w:t>
      </w:r>
      <w:r w:rsidR="003A79DB" w:rsidRPr="00C56CB9">
        <w:rPr>
          <w:rFonts w:ascii="Arial" w:hAnsi="Arial" w:cs="Arial"/>
          <w:sz w:val="20"/>
          <w:szCs w:val="20"/>
        </w:rPr>
        <w:t xml:space="preserve"> (</w:t>
      </w:r>
      <w:proofErr w:type="spellStart"/>
      <w:r w:rsidR="003A79DB" w:rsidRPr="00C56CB9">
        <w:rPr>
          <w:rFonts w:ascii="Arial" w:hAnsi="Arial" w:cs="Arial"/>
          <w:sz w:val="20"/>
          <w:szCs w:val="20"/>
        </w:rPr>
        <w:t>Muyonga</w:t>
      </w:r>
      <w:proofErr w:type="spellEnd"/>
      <w:r w:rsidR="003A79DB" w:rsidRPr="00C56CB9">
        <w:rPr>
          <w:rFonts w:ascii="Arial" w:hAnsi="Arial" w:cs="Arial"/>
          <w:sz w:val="20"/>
          <w:szCs w:val="20"/>
        </w:rPr>
        <w:t xml:space="preserve"> et al., 2022; </w:t>
      </w:r>
      <w:proofErr w:type="spellStart"/>
      <w:r w:rsidR="003A79DB" w:rsidRPr="00C56CB9">
        <w:rPr>
          <w:rFonts w:ascii="Arial" w:hAnsi="Arial" w:cs="Arial"/>
          <w:sz w:val="20"/>
          <w:szCs w:val="20"/>
        </w:rPr>
        <w:t>Nansereko</w:t>
      </w:r>
      <w:proofErr w:type="spellEnd"/>
      <w:r w:rsidR="003A79DB" w:rsidRPr="00C56CB9">
        <w:rPr>
          <w:rFonts w:ascii="Arial" w:hAnsi="Arial" w:cs="Arial"/>
          <w:sz w:val="20"/>
          <w:szCs w:val="20"/>
        </w:rPr>
        <w:t xml:space="preserve"> et al., 2022).</w:t>
      </w:r>
    </w:p>
    <w:p w14:paraId="5764B89B" w14:textId="79B0154A" w:rsidR="000B3EA0" w:rsidRPr="00C56CB9" w:rsidRDefault="000B3EA0" w:rsidP="005B0F27">
      <w:pPr>
        <w:spacing w:line="360" w:lineRule="auto"/>
        <w:jc w:val="center"/>
        <w:rPr>
          <w:rFonts w:ascii="Arial" w:hAnsi="Arial" w:cs="Arial"/>
          <w:sz w:val="20"/>
          <w:szCs w:val="20"/>
        </w:rPr>
      </w:pPr>
      <w:r w:rsidRPr="00C56CB9">
        <w:rPr>
          <w:rFonts w:ascii="Arial" w:hAnsi="Arial" w:cs="Arial"/>
          <w:noProof/>
          <w:sz w:val="20"/>
          <w:szCs w:val="20"/>
        </w:rPr>
        <w:drawing>
          <wp:inline distT="0" distB="0" distL="0" distR="0" wp14:anchorId="732DB516" wp14:editId="3B38A58B">
            <wp:extent cx="4622800" cy="2591042"/>
            <wp:effectExtent l="0" t="0" r="635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8007" cy="2593960"/>
                    </a:xfrm>
                    <a:prstGeom prst="rect">
                      <a:avLst/>
                    </a:prstGeom>
                    <a:noFill/>
                    <a:ln>
                      <a:noFill/>
                    </a:ln>
                    <a:effectLst/>
                  </pic:spPr>
                </pic:pic>
              </a:graphicData>
            </a:graphic>
          </wp:inline>
        </w:drawing>
      </w:r>
    </w:p>
    <w:p w14:paraId="040A882C" w14:textId="5C6433D2" w:rsidR="000B3EA0" w:rsidRPr="005B0F27" w:rsidRDefault="000B3EA0" w:rsidP="00FE1DA4">
      <w:pPr>
        <w:spacing w:line="360" w:lineRule="auto"/>
        <w:jc w:val="both"/>
        <w:rPr>
          <w:rFonts w:ascii="Arial" w:hAnsi="Arial" w:cs="Arial"/>
          <w:b/>
          <w:bCs/>
          <w:sz w:val="20"/>
          <w:szCs w:val="20"/>
        </w:rPr>
      </w:pPr>
      <w:r w:rsidRPr="005B0F27">
        <w:rPr>
          <w:rFonts w:ascii="Arial" w:hAnsi="Arial" w:cs="Arial"/>
          <w:b/>
          <w:bCs/>
          <w:sz w:val="20"/>
          <w:szCs w:val="20"/>
        </w:rPr>
        <w:t xml:space="preserve">Fig. 3. Experimental and predicted moisture ratio curves of nutmeg mace during </w:t>
      </w:r>
      <w:proofErr w:type="spellStart"/>
      <w:r w:rsidRPr="005B0F27">
        <w:rPr>
          <w:rFonts w:ascii="Arial" w:hAnsi="Arial" w:cs="Arial"/>
          <w:b/>
          <w:bCs/>
          <w:sz w:val="20"/>
          <w:szCs w:val="20"/>
        </w:rPr>
        <w:t>refractance</w:t>
      </w:r>
      <w:proofErr w:type="spellEnd"/>
      <w:r w:rsidRPr="005B0F27">
        <w:rPr>
          <w:rFonts w:ascii="Arial" w:hAnsi="Arial" w:cs="Arial"/>
          <w:b/>
          <w:bCs/>
          <w:sz w:val="20"/>
          <w:szCs w:val="20"/>
        </w:rPr>
        <w:t xml:space="preserve"> window drying using the logarithmic model</w:t>
      </w:r>
    </w:p>
    <w:p w14:paraId="5BCABF43" w14:textId="495808A4" w:rsidR="000B3EA0" w:rsidRPr="00C56CB9" w:rsidRDefault="000B3EA0" w:rsidP="005B0F27">
      <w:pPr>
        <w:spacing w:line="360" w:lineRule="auto"/>
        <w:jc w:val="center"/>
        <w:rPr>
          <w:rFonts w:ascii="Arial" w:hAnsi="Arial" w:cs="Arial"/>
          <w:sz w:val="20"/>
          <w:szCs w:val="20"/>
        </w:rPr>
      </w:pPr>
      <w:r w:rsidRPr="00C56CB9">
        <w:rPr>
          <w:rFonts w:ascii="Arial" w:hAnsi="Arial" w:cs="Arial"/>
          <w:noProof/>
          <w:sz w:val="20"/>
          <w:szCs w:val="20"/>
        </w:rPr>
        <w:lastRenderedPageBreak/>
        <w:drawing>
          <wp:inline distT="0" distB="0" distL="0" distR="0" wp14:anchorId="51504814" wp14:editId="40C8EC01">
            <wp:extent cx="4824639" cy="2522432"/>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0384" cy="2525435"/>
                    </a:xfrm>
                    <a:prstGeom prst="rect">
                      <a:avLst/>
                    </a:prstGeom>
                    <a:noFill/>
                    <a:ln>
                      <a:noFill/>
                    </a:ln>
                    <a:effectLst/>
                  </pic:spPr>
                </pic:pic>
              </a:graphicData>
            </a:graphic>
          </wp:inline>
        </w:drawing>
      </w:r>
    </w:p>
    <w:p w14:paraId="23330D7C" w14:textId="201AB39E" w:rsidR="000B3EA0" w:rsidRPr="005B0F27" w:rsidRDefault="000B3EA0" w:rsidP="00FE1DA4">
      <w:pPr>
        <w:spacing w:line="360" w:lineRule="auto"/>
        <w:jc w:val="both"/>
        <w:rPr>
          <w:rFonts w:ascii="Arial" w:hAnsi="Arial" w:cs="Arial"/>
          <w:b/>
          <w:bCs/>
          <w:sz w:val="20"/>
          <w:szCs w:val="20"/>
        </w:rPr>
      </w:pPr>
      <w:r w:rsidRPr="005B0F27">
        <w:rPr>
          <w:rFonts w:ascii="Arial" w:hAnsi="Arial" w:cs="Arial"/>
          <w:b/>
          <w:bCs/>
          <w:sz w:val="20"/>
          <w:szCs w:val="20"/>
        </w:rPr>
        <w:t xml:space="preserve">Fig. 4. Observed versus predicted moisture ratio for nutmeg mace during </w:t>
      </w:r>
      <w:proofErr w:type="spellStart"/>
      <w:r w:rsidRPr="005B0F27">
        <w:rPr>
          <w:rFonts w:ascii="Arial" w:hAnsi="Arial" w:cs="Arial"/>
          <w:b/>
          <w:bCs/>
          <w:sz w:val="20"/>
          <w:szCs w:val="20"/>
        </w:rPr>
        <w:t>refractance</w:t>
      </w:r>
      <w:proofErr w:type="spellEnd"/>
      <w:r w:rsidRPr="005B0F27">
        <w:rPr>
          <w:rFonts w:ascii="Arial" w:hAnsi="Arial" w:cs="Arial"/>
          <w:b/>
          <w:bCs/>
          <w:sz w:val="20"/>
          <w:szCs w:val="20"/>
        </w:rPr>
        <w:t xml:space="preserve"> window drying using the logarithmic model</w:t>
      </w:r>
    </w:p>
    <w:p w14:paraId="1528F79D" w14:textId="324D9A78" w:rsidR="003A79DB" w:rsidRPr="00C56CB9" w:rsidRDefault="00B037D0" w:rsidP="00C56CB9">
      <w:pPr>
        <w:spacing w:line="360" w:lineRule="auto"/>
        <w:jc w:val="both"/>
        <w:rPr>
          <w:rFonts w:ascii="Arial" w:hAnsi="Arial" w:cs="Arial"/>
          <w:sz w:val="20"/>
          <w:szCs w:val="20"/>
        </w:rPr>
      </w:pPr>
      <w:r w:rsidRPr="00C56CB9">
        <w:rPr>
          <w:rFonts w:ascii="Arial" w:hAnsi="Arial" w:cs="Arial"/>
          <w:sz w:val="20"/>
          <w:szCs w:val="20"/>
        </w:rPr>
        <w:t>For the evaluation of hot-air drying (HAD) kinetics, the comparative statistical performance of the thin-layer models is summarized in Table 3</w:t>
      </w:r>
      <w:r w:rsidR="003A79DB" w:rsidRPr="00C56CB9">
        <w:rPr>
          <w:rFonts w:ascii="Arial" w:hAnsi="Arial" w:cs="Arial"/>
          <w:sz w:val="20"/>
          <w:szCs w:val="20"/>
        </w:rPr>
        <w:t xml:space="preserve">. </w:t>
      </w:r>
      <w:r w:rsidRPr="00C56CB9">
        <w:rPr>
          <w:rFonts w:ascii="Arial" w:hAnsi="Arial" w:cs="Arial"/>
          <w:sz w:val="20"/>
          <w:szCs w:val="20"/>
        </w:rPr>
        <w:t>All investigated semi-theoretical models demonstrated a high degree of correlation with the experimental moisture ratio data, evidenced by substantial coefficients of determination (R</w:t>
      </w:r>
      <w:r w:rsidRPr="00C56CB9">
        <w:rPr>
          <w:rFonts w:ascii="Arial" w:hAnsi="Arial" w:cs="Arial"/>
          <w:sz w:val="20"/>
          <w:szCs w:val="20"/>
          <w:vertAlign w:val="superscript"/>
        </w:rPr>
        <w:t>2</w:t>
      </w:r>
      <w:r w:rsidRPr="00C56CB9">
        <w:rPr>
          <w:rFonts w:ascii="Arial" w:hAnsi="Arial" w:cs="Arial"/>
          <w:sz w:val="20"/>
          <w:szCs w:val="20"/>
        </w:rPr>
        <w:t xml:space="preserve"> &gt;</w:t>
      </w:r>
      <w:r w:rsidR="00977DD7" w:rsidRPr="00C56CB9">
        <w:rPr>
          <w:rFonts w:ascii="Arial" w:hAnsi="Arial" w:cs="Arial"/>
          <w:sz w:val="20"/>
          <w:szCs w:val="20"/>
        </w:rPr>
        <w:t>0.99</w:t>
      </w:r>
      <w:r w:rsidRPr="00C56CB9">
        <w:rPr>
          <w:rFonts w:ascii="Arial" w:hAnsi="Arial" w:cs="Arial"/>
          <w:sz w:val="20"/>
          <w:szCs w:val="20"/>
        </w:rPr>
        <w:t>) and minimal prediction errors (Santos et al., 2022; Ali et al., 2024).</w:t>
      </w:r>
      <w:r w:rsidR="003A79DB" w:rsidRPr="00C56CB9">
        <w:rPr>
          <w:rFonts w:ascii="Arial" w:hAnsi="Arial" w:cs="Arial"/>
          <w:sz w:val="20"/>
          <w:szCs w:val="20"/>
        </w:rPr>
        <w:t xml:space="preserve"> </w:t>
      </w:r>
      <w:r w:rsidR="00977DD7" w:rsidRPr="00C56CB9">
        <w:rPr>
          <w:rFonts w:ascii="Arial" w:hAnsi="Arial" w:cs="Arial"/>
          <w:sz w:val="20"/>
          <w:szCs w:val="20"/>
        </w:rPr>
        <w:t>Among the evaluated models, the logarithmic model provided the most robust overall statistical performance for the nutmeg mace matrix, yielding the lowest root mean square error (RMSE = 0.011235) and mean absolute error (MAE = 0.009586) values, alongside an exceptionally high R</w:t>
      </w:r>
      <w:r w:rsidR="00977DD7" w:rsidRPr="00C56CB9">
        <w:rPr>
          <w:rFonts w:ascii="Arial" w:hAnsi="Arial" w:cs="Arial"/>
          <w:sz w:val="20"/>
          <w:szCs w:val="20"/>
          <w:vertAlign w:val="superscript"/>
        </w:rPr>
        <w:t>2</w:t>
      </w:r>
      <w:r w:rsidR="00977DD7" w:rsidRPr="00C56CB9">
        <w:rPr>
          <w:rFonts w:ascii="Arial" w:hAnsi="Arial" w:cs="Arial"/>
          <w:sz w:val="20"/>
          <w:szCs w:val="20"/>
        </w:rPr>
        <w:t xml:space="preserve"> (0.99879) (Talukdar and </w:t>
      </w:r>
      <w:proofErr w:type="spellStart"/>
      <w:r w:rsidR="00977DD7" w:rsidRPr="00C56CB9">
        <w:rPr>
          <w:rFonts w:ascii="Arial" w:hAnsi="Arial" w:cs="Arial"/>
          <w:sz w:val="20"/>
          <w:szCs w:val="20"/>
        </w:rPr>
        <w:t>Uppaluri</w:t>
      </w:r>
      <w:proofErr w:type="spellEnd"/>
      <w:r w:rsidR="00977DD7" w:rsidRPr="00C56CB9">
        <w:rPr>
          <w:rFonts w:ascii="Arial" w:hAnsi="Arial" w:cs="Arial"/>
          <w:sz w:val="20"/>
          <w:szCs w:val="20"/>
        </w:rPr>
        <w:t>, 2021). The selection of the logarithmic model was further substantiated by its superior performance in terms of information criteria, specifically achieving the lowest Akaike information criterion (AIC = −47.255) and Bayesian information criterion (BIC = −46.466), which indicate better statistical parsimony and predictive reliability (Ali et al., 2024; Showkat et al., 2024).</w:t>
      </w:r>
    </w:p>
    <w:p w14:paraId="4266E3F5" w14:textId="77777777" w:rsidR="001B5CBA" w:rsidRPr="00C56CB9" w:rsidRDefault="001B5CBA" w:rsidP="001B5CBA">
      <w:pPr>
        <w:spacing w:line="240" w:lineRule="auto"/>
        <w:jc w:val="both"/>
        <w:rPr>
          <w:rFonts w:ascii="Arial" w:hAnsi="Arial" w:cs="Arial"/>
          <w:b/>
          <w:bCs/>
          <w:sz w:val="20"/>
          <w:szCs w:val="20"/>
        </w:rPr>
      </w:pPr>
      <w:r w:rsidRPr="00C56CB9">
        <w:rPr>
          <w:rFonts w:ascii="Arial" w:hAnsi="Arial" w:cs="Arial"/>
          <w:b/>
          <w:bCs/>
          <w:sz w:val="20"/>
          <w:szCs w:val="20"/>
        </w:rPr>
        <w:t>Table 3. Model fitting statistics for thin-layer drying of nutmeg mace by Hot air drying</w:t>
      </w:r>
    </w:p>
    <w:tbl>
      <w:tblPr>
        <w:tblStyle w:val="TableGrid"/>
        <w:tblW w:w="9351" w:type="dxa"/>
        <w:tblLook w:val="0600" w:firstRow="0" w:lastRow="0" w:firstColumn="0" w:lastColumn="0" w:noHBand="1" w:noVBand="1"/>
      </w:tblPr>
      <w:tblGrid>
        <w:gridCol w:w="1906"/>
        <w:gridCol w:w="1300"/>
        <w:gridCol w:w="1384"/>
        <w:gridCol w:w="1162"/>
        <w:gridCol w:w="1162"/>
        <w:gridCol w:w="1161"/>
        <w:gridCol w:w="1276"/>
      </w:tblGrid>
      <w:tr w:rsidR="001B5CBA" w:rsidRPr="00C56CB9" w14:paraId="4A6A36E3" w14:textId="77777777" w:rsidTr="009D7C33">
        <w:trPr>
          <w:trHeight w:val="538"/>
        </w:trPr>
        <w:tc>
          <w:tcPr>
            <w:tcW w:w="1906" w:type="dxa"/>
            <w:vAlign w:val="center"/>
            <w:hideMark/>
          </w:tcPr>
          <w:p w14:paraId="0043F407"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Model</w:t>
            </w:r>
          </w:p>
        </w:tc>
        <w:tc>
          <w:tcPr>
            <w:tcW w:w="1300" w:type="dxa"/>
            <w:vAlign w:val="center"/>
            <w:hideMark/>
          </w:tcPr>
          <w:p w14:paraId="49F56D62"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RMSE</w:t>
            </w:r>
          </w:p>
        </w:tc>
        <w:tc>
          <w:tcPr>
            <w:tcW w:w="0" w:type="auto"/>
            <w:vAlign w:val="center"/>
            <w:hideMark/>
          </w:tcPr>
          <w:p w14:paraId="67723552"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MAE</w:t>
            </w:r>
          </w:p>
        </w:tc>
        <w:tc>
          <w:tcPr>
            <w:tcW w:w="0" w:type="auto"/>
            <w:vAlign w:val="center"/>
            <w:hideMark/>
          </w:tcPr>
          <w:p w14:paraId="23748885"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NSE</w:t>
            </w:r>
          </w:p>
        </w:tc>
        <w:tc>
          <w:tcPr>
            <w:tcW w:w="0" w:type="auto"/>
            <w:vAlign w:val="center"/>
            <w:hideMark/>
          </w:tcPr>
          <w:p w14:paraId="48A62836"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R²</w:t>
            </w:r>
          </w:p>
        </w:tc>
        <w:tc>
          <w:tcPr>
            <w:tcW w:w="1161" w:type="dxa"/>
            <w:vAlign w:val="center"/>
            <w:hideMark/>
          </w:tcPr>
          <w:p w14:paraId="29618DEA"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AIC</w:t>
            </w:r>
          </w:p>
        </w:tc>
        <w:tc>
          <w:tcPr>
            <w:tcW w:w="1276" w:type="dxa"/>
            <w:vAlign w:val="center"/>
            <w:hideMark/>
          </w:tcPr>
          <w:p w14:paraId="1E8E0BDF"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BIC</w:t>
            </w:r>
          </w:p>
        </w:tc>
      </w:tr>
      <w:tr w:rsidR="001B5CBA" w:rsidRPr="00C56CB9" w14:paraId="58687F64" w14:textId="77777777" w:rsidTr="009D7C33">
        <w:trPr>
          <w:trHeight w:val="417"/>
        </w:trPr>
        <w:tc>
          <w:tcPr>
            <w:tcW w:w="1906" w:type="dxa"/>
            <w:vAlign w:val="center"/>
            <w:hideMark/>
          </w:tcPr>
          <w:p w14:paraId="67C88A3D"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Logarithmic</w:t>
            </w:r>
          </w:p>
        </w:tc>
        <w:tc>
          <w:tcPr>
            <w:tcW w:w="1300" w:type="dxa"/>
            <w:vAlign w:val="center"/>
            <w:hideMark/>
          </w:tcPr>
          <w:p w14:paraId="136C35F5"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0.011235</w:t>
            </w:r>
          </w:p>
        </w:tc>
        <w:tc>
          <w:tcPr>
            <w:tcW w:w="0" w:type="auto"/>
            <w:vAlign w:val="center"/>
            <w:hideMark/>
          </w:tcPr>
          <w:p w14:paraId="395EABC8"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0.009586</w:t>
            </w:r>
          </w:p>
        </w:tc>
        <w:tc>
          <w:tcPr>
            <w:tcW w:w="0" w:type="auto"/>
            <w:vAlign w:val="center"/>
            <w:hideMark/>
          </w:tcPr>
          <w:p w14:paraId="7FF0DED6"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0.99879</w:t>
            </w:r>
          </w:p>
        </w:tc>
        <w:tc>
          <w:tcPr>
            <w:tcW w:w="0" w:type="auto"/>
            <w:vAlign w:val="center"/>
            <w:hideMark/>
          </w:tcPr>
          <w:p w14:paraId="56A1A702"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0.99879</w:t>
            </w:r>
          </w:p>
        </w:tc>
        <w:tc>
          <w:tcPr>
            <w:tcW w:w="1161" w:type="dxa"/>
            <w:vAlign w:val="center"/>
            <w:hideMark/>
          </w:tcPr>
          <w:p w14:paraId="1290EDE4"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-47.255</w:t>
            </w:r>
          </w:p>
        </w:tc>
        <w:tc>
          <w:tcPr>
            <w:tcW w:w="1276" w:type="dxa"/>
            <w:vAlign w:val="center"/>
            <w:hideMark/>
          </w:tcPr>
          <w:p w14:paraId="5D030876"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-46.466</w:t>
            </w:r>
          </w:p>
        </w:tc>
      </w:tr>
      <w:tr w:rsidR="001B5CBA" w:rsidRPr="00C56CB9" w14:paraId="67DF4EA1" w14:textId="77777777" w:rsidTr="009D7C33">
        <w:trPr>
          <w:trHeight w:val="425"/>
        </w:trPr>
        <w:tc>
          <w:tcPr>
            <w:tcW w:w="1906" w:type="dxa"/>
            <w:vAlign w:val="center"/>
            <w:hideMark/>
          </w:tcPr>
          <w:p w14:paraId="3BEC0814"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Singh_2014</w:t>
            </w:r>
          </w:p>
        </w:tc>
        <w:tc>
          <w:tcPr>
            <w:tcW w:w="1300" w:type="dxa"/>
            <w:vAlign w:val="center"/>
            <w:hideMark/>
          </w:tcPr>
          <w:p w14:paraId="68FEBE8E"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0.013058</w:t>
            </w:r>
          </w:p>
        </w:tc>
        <w:tc>
          <w:tcPr>
            <w:tcW w:w="0" w:type="auto"/>
            <w:vAlign w:val="center"/>
            <w:hideMark/>
          </w:tcPr>
          <w:p w14:paraId="0FE13EE1"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0.0109144</w:t>
            </w:r>
          </w:p>
        </w:tc>
        <w:tc>
          <w:tcPr>
            <w:tcW w:w="0" w:type="auto"/>
            <w:vAlign w:val="center"/>
            <w:hideMark/>
          </w:tcPr>
          <w:p w14:paraId="4F3609CA"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0.998373</w:t>
            </w:r>
          </w:p>
        </w:tc>
        <w:tc>
          <w:tcPr>
            <w:tcW w:w="0" w:type="auto"/>
            <w:vAlign w:val="center"/>
            <w:hideMark/>
          </w:tcPr>
          <w:p w14:paraId="6722723B"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0.998373</w:t>
            </w:r>
          </w:p>
        </w:tc>
        <w:tc>
          <w:tcPr>
            <w:tcW w:w="1161" w:type="dxa"/>
            <w:vAlign w:val="center"/>
            <w:hideMark/>
          </w:tcPr>
          <w:p w14:paraId="2F853832"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-46.548</w:t>
            </w:r>
          </w:p>
        </w:tc>
        <w:tc>
          <w:tcPr>
            <w:tcW w:w="1276" w:type="dxa"/>
            <w:vAlign w:val="center"/>
            <w:hideMark/>
          </w:tcPr>
          <w:p w14:paraId="24C9AC2F"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-45.957</w:t>
            </w:r>
          </w:p>
        </w:tc>
      </w:tr>
      <w:tr w:rsidR="001B5CBA" w:rsidRPr="00C56CB9" w14:paraId="40C7CDB7" w14:textId="77777777" w:rsidTr="009D7C33">
        <w:trPr>
          <w:trHeight w:val="419"/>
        </w:trPr>
        <w:tc>
          <w:tcPr>
            <w:tcW w:w="1906" w:type="dxa"/>
            <w:vAlign w:val="center"/>
            <w:hideMark/>
          </w:tcPr>
          <w:p w14:paraId="7CD8623B" w14:textId="77777777" w:rsidR="001B5CBA" w:rsidRPr="00C56CB9" w:rsidRDefault="001B5CBA" w:rsidP="009D7C33">
            <w:pPr>
              <w:rPr>
                <w:rFonts w:ascii="Arial" w:eastAsia="Times New Roman" w:hAnsi="Arial" w:cs="Arial"/>
                <w:kern w:val="0"/>
                <w:sz w:val="20"/>
                <w:szCs w:val="20"/>
                <w:lang w:eastAsia="en-IN"/>
                <w14:ligatures w14:val="none"/>
              </w:rPr>
            </w:pPr>
            <w:proofErr w:type="spellStart"/>
            <w:r w:rsidRPr="00C56CB9">
              <w:rPr>
                <w:rFonts w:ascii="Arial" w:eastAsia="Times New Roman" w:hAnsi="Arial" w:cs="Arial"/>
                <w:b/>
                <w:bCs/>
                <w:color w:val="000000" w:themeColor="dark1"/>
                <w:kern w:val="24"/>
                <w:sz w:val="20"/>
                <w:szCs w:val="20"/>
                <w:lang w:eastAsia="en-IN"/>
                <w14:ligatures w14:val="none"/>
              </w:rPr>
              <w:t>Modified_Page</w:t>
            </w:r>
            <w:proofErr w:type="spellEnd"/>
          </w:p>
        </w:tc>
        <w:tc>
          <w:tcPr>
            <w:tcW w:w="1300" w:type="dxa"/>
            <w:vAlign w:val="center"/>
            <w:hideMark/>
          </w:tcPr>
          <w:p w14:paraId="143D7948"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0.013638</w:t>
            </w:r>
          </w:p>
        </w:tc>
        <w:tc>
          <w:tcPr>
            <w:tcW w:w="0" w:type="auto"/>
            <w:vAlign w:val="center"/>
            <w:hideMark/>
          </w:tcPr>
          <w:p w14:paraId="15627EC6"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0.0124741</w:t>
            </w:r>
          </w:p>
        </w:tc>
        <w:tc>
          <w:tcPr>
            <w:tcW w:w="0" w:type="auto"/>
            <w:vAlign w:val="center"/>
            <w:hideMark/>
          </w:tcPr>
          <w:p w14:paraId="7EA62D92"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0.998226</w:t>
            </w:r>
          </w:p>
        </w:tc>
        <w:tc>
          <w:tcPr>
            <w:tcW w:w="0" w:type="auto"/>
            <w:vAlign w:val="center"/>
            <w:hideMark/>
          </w:tcPr>
          <w:p w14:paraId="482F2A5B"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0.998226</w:t>
            </w:r>
          </w:p>
        </w:tc>
        <w:tc>
          <w:tcPr>
            <w:tcW w:w="1161" w:type="dxa"/>
            <w:vAlign w:val="center"/>
            <w:hideMark/>
          </w:tcPr>
          <w:p w14:paraId="5478C9B0"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-43.767</w:t>
            </w:r>
          </w:p>
        </w:tc>
        <w:tc>
          <w:tcPr>
            <w:tcW w:w="1276" w:type="dxa"/>
            <w:vAlign w:val="center"/>
            <w:hideMark/>
          </w:tcPr>
          <w:p w14:paraId="38DE3C9B"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-42.978</w:t>
            </w:r>
          </w:p>
        </w:tc>
      </w:tr>
      <w:tr w:rsidR="001B5CBA" w:rsidRPr="00C56CB9" w14:paraId="6ECFFA0E" w14:textId="77777777" w:rsidTr="009D7C33">
        <w:trPr>
          <w:trHeight w:val="413"/>
        </w:trPr>
        <w:tc>
          <w:tcPr>
            <w:tcW w:w="1906" w:type="dxa"/>
            <w:vAlign w:val="center"/>
            <w:hideMark/>
          </w:tcPr>
          <w:p w14:paraId="4C2BC34A"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Page</w:t>
            </w:r>
          </w:p>
        </w:tc>
        <w:tc>
          <w:tcPr>
            <w:tcW w:w="1300" w:type="dxa"/>
            <w:vAlign w:val="center"/>
            <w:hideMark/>
          </w:tcPr>
          <w:p w14:paraId="45EFD79B"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0.013878</w:t>
            </w:r>
          </w:p>
        </w:tc>
        <w:tc>
          <w:tcPr>
            <w:tcW w:w="0" w:type="auto"/>
            <w:vAlign w:val="center"/>
            <w:hideMark/>
          </w:tcPr>
          <w:p w14:paraId="1D2F3A77"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0.0120524</w:t>
            </w:r>
          </w:p>
        </w:tc>
        <w:tc>
          <w:tcPr>
            <w:tcW w:w="0" w:type="auto"/>
            <w:vAlign w:val="center"/>
            <w:hideMark/>
          </w:tcPr>
          <w:p w14:paraId="37E2A2F3"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0.998163</w:t>
            </w:r>
          </w:p>
        </w:tc>
        <w:tc>
          <w:tcPr>
            <w:tcW w:w="0" w:type="auto"/>
            <w:vAlign w:val="center"/>
            <w:hideMark/>
          </w:tcPr>
          <w:p w14:paraId="0C921534"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0.998163</w:t>
            </w:r>
          </w:p>
        </w:tc>
        <w:tc>
          <w:tcPr>
            <w:tcW w:w="1161" w:type="dxa"/>
            <w:vAlign w:val="center"/>
            <w:hideMark/>
          </w:tcPr>
          <w:p w14:paraId="5B4425F5"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-45.453</w:t>
            </w:r>
          </w:p>
        </w:tc>
        <w:tc>
          <w:tcPr>
            <w:tcW w:w="1276" w:type="dxa"/>
            <w:vAlign w:val="center"/>
            <w:hideMark/>
          </w:tcPr>
          <w:p w14:paraId="60711F70"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-44.861</w:t>
            </w:r>
          </w:p>
        </w:tc>
      </w:tr>
      <w:tr w:rsidR="001B5CBA" w:rsidRPr="00C56CB9" w14:paraId="3263B507" w14:textId="77777777" w:rsidTr="009D7C33">
        <w:trPr>
          <w:trHeight w:val="341"/>
        </w:trPr>
        <w:tc>
          <w:tcPr>
            <w:tcW w:w="1906" w:type="dxa"/>
            <w:vAlign w:val="center"/>
            <w:hideMark/>
          </w:tcPr>
          <w:p w14:paraId="3BB8DA48"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Wang_&amp; Singh</w:t>
            </w:r>
          </w:p>
        </w:tc>
        <w:tc>
          <w:tcPr>
            <w:tcW w:w="1300" w:type="dxa"/>
            <w:vAlign w:val="center"/>
            <w:hideMark/>
          </w:tcPr>
          <w:p w14:paraId="3D9AC4E9"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0.020112</w:t>
            </w:r>
          </w:p>
        </w:tc>
        <w:tc>
          <w:tcPr>
            <w:tcW w:w="0" w:type="auto"/>
            <w:vAlign w:val="center"/>
            <w:hideMark/>
          </w:tcPr>
          <w:p w14:paraId="758106CB"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0.0165889</w:t>
            </w:r>
          </w:p>
        </w:tc>
        <w:tc>
          <w:tcPr>
            <w:tcW w:w="0" w:type="auto"/>
            <w:vAlign w:val="center"/>
            <w:hideMark/>
          </w:tcPr>
          <w:p w14:paraId="71EE8604"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0.996142</w:t>
            </w:r>
          </w:p>
        </w:tc>
        <w:tc>
          <w:tcPr>
            <w:tcW w:w="0" w:type="auto"/>
            <w:vAlign w:val="center"/>
            <w:hideMark/>
          </w:tcPr>
          <w:p w14:paraId="6698336C"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0.996142</w:t>
            </w:r>
          </w:p>
        </w:tc>
        <w:tc>
          <w:tcPr>
            <w:tcW w:w="1161" w:type="dxa"/>
            <w:vAlign w:val="center"/>
            <w:hideMark/>
          </w:tcPr>
          <w:p w14:paraId="77F9ACB1"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-38.774</w:t>
            </w:r>
          </w:p>
        </w:tc>
        <w:tc>
          <w:tcPr>
            <w:tcW w:w="1276" w:type="dxa"/>
            <w:vAlign w:val="center"/>
            <w:hideMark/>
          </w:tcPr>
          <w:p w14:paraId="4063092C"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-38.183</w:t>
            </w:r>
          </w:p>
        </w:tc>
      </w:tr>
      <w:tr w:rsidR="001B5CBA" w:rsidRPr="00C56CB9" w14:paraId="17F48C2E" w14:textId="77777777" w:rsidTr="009D7C33">
        <w:trPr>
          <w:trHeight w:val="287"/>
        </w:trPr>
        <w:tc>
          <w:tcPr>
            <w:tcW w:w="1906" w:type="dxa"/>
            <w:vAlign w:val="center"/>
            <w:hideMark/>
          </w:tcPr>
          <w:p w14:paraId="3624916E" w14:textId="77777777" w:rsidR="001B5CBA" w:rsidRPr="00C56CB9" w:rsidRDefault="001B5CBA" w:rsidP="009D7C33">
            <w:pPr>
              <w:rPr>
                <w:rFonts w:ascii="Arial" w:eastAsia="Times New Roman" w:hAnsi="Arial" w:cs="Arial"/>
                <w:kern w:val="0"/>
                <w:sz w:val="20"/>
                <w:szCs w:val="20"/>
                <w:lang w:eastAsia="en-IN"/>
                <w14:ligatures w14:val="none"/>
              </w:rPr>
            </w:pPr>
            <w:proofErr w:type="spellStart"/>
            <w:r w:rsidRPr="00C56CB9">
              <w:rPr>
                <w:rFonts w:ascii="Arial" w:eastAsia="Times New Roman" w:hAnsi="Arial" w:cs="Arial"/>
                <w:b/>
                <w:bCs/>
                <w:color w:val="000000" w:themeColor="dark1"/>
                <w:kern w:val="24"/>
                <w:sz w:val="20"/>
                <w:szCs w:val="20"/>
                <w:lang w:eastAsia="en-IN"/>
                <w14:ligatures w14:val="none"/>
              </w:rPr>
              <w:t>Henderson_Pabis</w:t>
            </w:r>
            <w:proofErr w:type="spellEnd"/>
          </w:p>
        </w:tc>
        <w:tc>
          <w:tcPr>
            <w:tcW w:w="1300" w:type="dxa"/>
            <w:vAlign w:val="center"/>
            <w:hideMark/>
          </w:tcPr>
          <w:p w14:paraId="33EBF22B"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0.026494</w:t>
            </w:r>
          </w:p>
        </w:tc>
        <w:tc>
          <w:tcPr>
            <w:tcW w:w="0" w:type="auto"/>
            <w:vAlign w:val="center"/>
            <w:hideMark/>
          </w:tcPr>
          <w:p w14:paraId="7DB620DA"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0.0247238</w:t>
            </w:r>
          </w:p>
        </w:tc>
        <w:tc>
          <w:tcPr>
            <w:tcW w:w="0" w:type="auto"/>
            <w:vAlign w:val="center"/>
            <w:hideMark/>
          </w:tcPr>
          <w:p w14:paraId="4F17451A"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0.993305</w:t>
            </w:r>
          </w:p>
        </w:tc>
        <w:tc>
          <w:tcPr>
            <w:tcW w:w="0" w:type="auto"/>
            <w:vAlign w:val="center"/>
            <w:hideMark/>
          </w:tcPr>
          <w:p w14:paraId="4AC2E4AA"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0.993305</w:t>
            </w:r>
          </w:p>
        </w:tc>
        <w:tc>
          <w:tcPr>
            <w:tcW w:w="1161" w:type="dxa"/>
            <w:vAlign w:val="center"/>
            <w:hideMark/>
          </w:tcPr>
          <w:p w14:paraId="31CB2F04"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-33.813</w:t>
            </w:r>
          </w:p>
        </w:tc>
        <w:tc>
          <w:tcPr>
            <w:tcW w:w="1276" w:type="dxa"/>
            <w:vAlign w:val="center"/>
            <w:hideMark/>
          </w:tcPr>
          <w:p w14:paraId="5AD77D73"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-33.222</w:t>
            </w:r>
          </w:p>
        </w:tc>
      </w:tr>
      <w:tr w:rsidR="001B5CBA" w:rsidRPr="00C56CB9" w14:paraId="2A45EEF1" w14:textId="77777777" w:rsidTr="009D7C33">
        <w:trPr>
          <w:trHeight w:val="323"/>
        </w:trPr>
        <w:tc>
          <w:tcPr>
            <w:tcW w:w="1906" w:type="dxa"/>
            <w:vAlign w:val="center"/>
            <w:hideMark/>
          </w:tcPr>
          <w:p w14:paraId="1BB28DAA"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b/>
                <w:bCs/>
                <w:color w:val="000000" w:themeColor="dark1"/>
                <w:kern w:val="24"/>
                <w:sz w:val="20"/>
                <w:szCs w:val="20"/>
                <w:lang w:eastAsia="en-IN"/>
                <w14:ligatures w14:val="none"/>
              </w:rPr>
              <w:t>Newton</w:t>
            </w:r>
          </w:p>
        </w:tc>
        <w:tc>
          <w:tcPr>
            <w:tcW w:w="1300" w:type="dxa"/>
            <w:vAlign w:val="center"/>
            <w:hideMark/>
          </w:tcPr>
          <w:p w14:paraId="2BF17B24"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0.0277900</w:t>
            </w:r>
          </w:p>
        </w:tc>
        <w:tc>
          <w:tcPr>
            <w:tcW w:w="0" w:type="auto"/>
            <w:vAlign w:val="center"/>
            <w:hideMark/>
          </w:tcPr>
          <w:p w14:paraId="6A0DD962"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0.024723765</w:t>
            </w:r>
          </w:p>
        </w:tc>
        <w:tc>
          <w:tcPr>
            <w:tcW w:w="0" w:type="auto"/>
            <w:vAlign w:val="center"/>
            <w:hideMark/>
          </w:tcPr>
          <w:p w14:paraId="3059857B"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0.9926350</w:t>
            </w:r>
          </w:p>
        </w:tc>
        <w:tc>
          <w:tcPr>
            <w:tcW w:w="0" w:type="auto"/>
            <w:vAlign w:val="center"/>
            <w:hideMark/>
          </w:tcPr>
          <w:p w14:paraId="75628357"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0.9926350</w:t>
            </w:r>
          </w:p>
        </w:tc>
        <w:tc>
          <w:tcPr>
            <w:tcW w:w="1161" w:type="dxa"/>
            <w:vAlign w:val="center"/>
            <w:hideMark/>
          </w:tcPr>
          <w:p w14:paraId="5F55A1A1"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-34.95453</w:t>
            </w:r>
          </w:p>
        </w:tc>
        <w:tc>
          <w:tcPr>
            <w:tcW w:w="1276" w:type="dxa"/>
            <w:vAlign w:val="center"/>
            <w:hideMark/>
          </w:tcPr>
          <w:p w14:paraId="73269598" w14:textId="77777777" w:rsidR="001B5CBA" w:rsidRPr="00C56CB9" w:rsidRDefault="001B5CBA" w:rsidP="009D7C33">
            <w:pPr>
              <w:rPr>
                <w:rFonts w:ascii="Arial" w:eastAsia="Times New Roman" w:hAnsi="Arial" w:cs="Arial"/>
                <w:kern w:val="0"/>
                <w:sz w:val="20"/>
                <w:szCs w:val="20"/>
                <w:lang w:eastAsia="en-IN"/>
                <w14:ligatures w14:val="none"/>
              </w:rPr>
            </w:pPr>
            <w:r w:rsidRPr="00C56CB9">
              <w:rPr>
                <w:rFonts w:ascii="Arial" w:eastAsia="Times New Roman" w:hAnsi="Arial" w:cs="Arial"/>
                <w:color w:val="000000" w:themeColor="dark1"/>
                <w:kern w:val="24"/>
                <w:sz w:val="20"/>
                <w:szCs w:val="20"/>
                <w:lang w:eastAsia="en-IN"/>
                <w14:ligatures w14:val="none"/>
              </w:rPr>
              <w:t>-34.56008</w:t>
            </w:r>
          </w:p>
        </w:tc>
      </w:tr>
    </w:tbl>
    <w:p w14:paraId="7EC0F974" w14:textId="77777777" w:rsidR="001A157A" w:rsidRDefault="001A157A" w:rsidP="00C56CB9">
      <w:pPr>
        <w:spacing w:line="360" w:lineRule="auto"/>
        <w:jc w:val="both"/>
        <w:rPr>
          <w:rFonts w:ascii="Arial" w:hAnsi="Arial" w:cs="Arial"/>
          <w:sz w:val="20"/>
          <w:szCs w:val="20"/>
        </w:rPr>
      </w:pPr>
    </w:p>
    <w:p w14:paraId="2B675A77" w14:textId="6FE6A7D1" w:rsidR="00C6191D" w:rsidRPr="00C56CB9" w:rsidRDefault="00977DD7" w:rsidP="00C56CB9">
      <w:pPr>
        <w:spacing w:line="360" w:lineRule="auto"/>
        <w:jc w:val="both"/>
        <w:rPr>
          <w:rFonts w:ascii="Arial" w:hAnsi="Arial" w:cs="Arial"/>
          <w:sz w:val="20"/>
          <w:szCs w:val="20"/>
        </w:rPr>
      </w:pPr>
      <w:r w:rsidRPr="00C56CB9">
        <w:rPr>
          <w:rFonts w:ascii="Arial" w:hAnsi="Arial" w:cs="Arial"/>
          <w:sz w:val="20"/>
          <w:szCs w:val="20"/>
        </w:rPr>
        <w:t xml:space="preserve">The high degree of fit for the logarithmic model under HAD is visually represented in Figure 5, where the predicted moisture ratio values closely align with the experimental data across the entire processing </w:t>
      </w:r>
      <w:r w:rsidRPr="00C56CB9">
        <w:rPr>
          <w:rFonts w:ascii="Arial" w:hAnsi="Arial" w:cs="Arial"/>
          <w:sz w:val="20"/>
          <w:szCs w:val="20"/>
        </w:rPr>
        <w:lastRenderedPageBreak/>
        <w:t xml:space="preserve">duration (He et al., 2024). Additionally, the observed versus predicted moisture ratio plot (Figure </w:t>
      </w:r>
      <w:r w:rsidR="00BD1133" w:rsidRPr="00C56CB9">
        <w:rPr>
          <w:rFonts w:ascii="Arial" w:hAnsi="Arial" w:cs="Arial"/>
          <w:sz w:val="20"/>
          <w:szCs w:val="20"/>
        </w:rPr>
        <w:t>6</w:t>
      </w:r>
      <w:r w:rsidRPr="00C56CB9">
        <w:rPr>
          <w:rFonts w:ascii="Arial" w:hAnsi="Arial" w:cs="Arial"/>
          <w:sz w:val="20"/>
          <w:szCs w:val="20"/>
        </w:rPr>
        <w:t xml:space="preserve">) demonstrates strong agreement between the experimental observations and model predictions, with the data points distributed tightly along the 1:1 (45-degree) identity line (Santos et al., 2022; Showkat et al., 2024). These findings confirm that the logarithmic model serves as a highly reliable mathematical tool for representing the dehydration kinetics of nutmeg mace under convective hot-air conditions (Talukdar and </w:t>
      </w:r>
      <w:proofErr w:type="spellStart"/>
      <w:r w:rsidRPr="00C56CB9">
        <w:rPr>
          <w:rFonts w:ascii="Arial" w:hAnsi="Arial" w:cs="Arial"/>
          <w:sz w:val="20"/>
          <w:szCs w:val="20"/>
        </w:rPr>
        <w:t>Uppaluri</w:t>
      </w:r>
      <w:proofErr w:type="spellEnd"/>
      <w:r w:rsidRPr="00C56CB9">
        <w:rPr>
          <w:rFonts w:ascii="Arial" w:hAnsi="Arial" w:cs="Arial"/>
          <w:sz w:val="20"/>
          <w:szCs w:val="20"/>
        </w:rPr>
        <w:t xml:space="preserve">, 2021). </w:t>
      </w:r>
    </w:p>
    <w:p w14:paraId="7487776B" w14:textId="7EDACFEB" w:rsidR="003A79DB" w:rsidRPr="00C56CB9" w:rsidRDefault="001B5CBA" w:rsidP="00096B35">
      <w:pPr>
        <w:spacing w:line="360" w:lineRule="auto"/>
        <w:ind w:firstLine="720"/>
        <w:jc w:val="both"/>
        <w:rPr>
          <w:rFonts w:ascii="Arial" w:hAnsi="Arial" w:cs="Arial"/>
          <w:sz w:val="20"/>
          <w:szCs w:val="20"/>
        </w:rPr>
      </w:pPr>
      <w:r w:rsidRPr="00C56CB9">
        <w:rPr>
          <w:rFonts w:ascii="Arial" w:hAnsi="Arial" w:cs="Arial"/>
          <w:noProof/>
          <w:sz w:val="20"/>
          <w:szCs w:val="20"/>
        </w:rPr>
        <w:drawing>
          <wp:inline distT="0" distB="0" distL="0" distR="0" wp14:anchorId="2DA0EC7F" wp14:editId="293397B2">
            <wp:extent cx="4546388" cy="2697812"/>
            <wp:effectExtent l="0" t="0" r="6985" b="762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6506" cy="2703816"/>
                    </a:xfrm>
                    <a:prstGeom prst="rect">
                      <a:avLst/>
                    </a:prstGeom>
                    <a:noFill/>
                    <a:ln>
                      <a:noFill/>
                    </a:ln>
                    <a:effectLst/>
                  </pic:spPr>
                </pic:pic>
              </a:graphicData>
            </a:graphic>
          </wp:inline>
        </w:drawing>
      </w:r>
    </w:p>
    <w:p w14:paraId="7988AF7C" w14:textId="6573DD7D" w:rsidR="002F146F" w:rsidRPr="005B0F27" w:rsidRDefault="002F146F" w:rsidP="005B0F27">
      <w:pPr>
        <w:spacing w:line="360" w:lineRule="auto"/>
        <w:jc w:val="center"/>
        <w:rPr>
          <w:rFonts w:ascii="Arial" w:hAnsi="Arial" w:cs="Arial"/>
          <w:b/>
          <w:bCs/>
          <w:sz w:val="20"/>
          <w:szCs w:val="20"/>
        </w:rPr>
      </w:pPr>
      <w:r w:rsidRPr="005B0F27">
        <w:rPr>
          <w:rFonts w:ascii="Arial" w:hAnsi="Arial" w:cs="Arial"/>
          <w:b/>
          <w:bCs/>
          <w:sz w:val="20"/>
          <w:szCs w:val="20"/>
        </w:rPr>
        <w:t>Fig. 5. Experimental and predicted moisture ratio curves of nutmeg mace during Hot air drying using the logarithmic model</w:t>
      </w:r>
    </w:p>
    <w:p w14:paraId="298C4D56" w14:textId="77777777" w:rsidR="002F146F" w:rsidRPr="00C56CB9" w:rsidRDefault="002F146F" w:rsidP="00FE1DA4">
      <w:pPr>
        <w:spacing w:line="360" w:lineRule="auto"/>
        <w:jc w:val="both"/>
        <w:rPr>
          <w:rFonts w:ascii="Arial" w:hAnsi="Arial" w:cs="Arial"/>
          <w:sz w:val="20"/>
          <w:szCs w:val="20"/>
        </w:rPr>
      </w:pPr>
    </w:p>
    <w:p w14:paraId="0AE4B37B" w14:textId="3AB3FFDB" w:rsidR="001B5CBA" w:rsidRPr="00C56CB9" w:rsidRDefault="001B5CBA" w:rsidP="005B0F27">
      <w:pPr>
        <w:spacing w:line="360" w:lineRule="auto"/>
        <w:jc w:val="center"/>
        <w:rPr>
          <w:rFonts w:ascii="Arial" w:hAnsi="Arial" w:cs="Arial"/>
          <w:sz w:val="20"/>
          <w:szCs w:val="20"/>
        </w:rPr>
      </w:pPr>
      <w:r w:rsidRPr="00C56CB9">
        <w:rPr>
          <w:rFonts w:ascii="Arial" w:hAnsi="Arial" w:cs="Arial"/>
          <w:noProof/>
          <w:sz w:val="20"/>
          <w:szCs w:val="20"/>
        </w:rPr>
        <w:drawing>
          <wp:inline distT="0" distB="0" distL="0" distR="0" wp14:anchorId="266B5A9D" wp14:editId="430177B1">
            <wp:extent cx="4275667" cy="257648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r="1491"/>
                    <a:stretch/>
                  </pic:blipFill>
                  <pic:spPr bwMode="auto">
                    <a:xfrm>
                      <a:off x="0" y="0"/>
                      <a:ext cx="4279518" cy="2578806"/>
                    </a:xfrm>
                    <a:prstGeom prst="rect">
                      <a:avLst/>
                    </a:prstGeom>
                    <a:noFill/>
                    <a:ln>
                      <a:noFill/>
                    </a:ln>
                    <a:effectLst/>
                  </pic:spPr>
                </pic:pic>
              </a:graphicData>
            </a:graphic>
          </wp:inline>
        </w:drawing>
      </w:r>
    </w:p>
    <w:p w14:paraId="47E0C3F9" w14:textId="5552C674" w:rsidR="002F146F" w:rsidRPr="005B0F27" w:rsidRDefault="002F146F" w:rsidP="005B0F27">
      <w:pPr>
        <w:spacing w:line="360" w:lineRule="auto"/>
        <w:jc w:val="center"/>
        <w:rPr>
          <w:rFonts w:ascii="Arial" w:hAnsi="Arial" w:cs="Arial"/>
          <w:b/>
          <w:bCs/>
          <w:sz w:val="20"/>
          <w:szCs w:val="20"/>
        </w:rPr>
      </w:pPr>
      <w:r w:rsidRPr="005B0F27">
        <w:rPr>
          <w:rFonts w:ascii="Arial" w:hAnsi="Arial" w:cs="Arial"/>
          <w:b/>
          <w:bCs/>
          <w:sz w:val="20"/>
          <w:szCs w:val="20"/>
        </w:rPr>
        <w:t>Fig. 6. Observed versus predicted moisture ratio for nutmeg mace during Hot air drying using the logarithmic model</w:t>
      </w:r>
    </w:p>
    <w:p w14:paraId="7F35E58D" w14:textId="77777777" w:rsidR="009D7C33" w:rsidRDefault="009D7C33" w:rsidP="00275ED8">
      <w:pPr>
        <w:spacing w:line="360" w:lineRule="auto"/>
        <w:jc w:val="both"/>
        <w:rPr>
          <w:rFonts w:ascii="Arial" w:hAnsi="Arial" w:cs="Arial"/>
          <w:b/>
          <w:bCs/>
          <w:sz w:val="22"/>
          <w:szCs w:val="22"/>
        </w:rPr>
      </w:pPr>
    </w:p>
    <w:p w14:paraId="78F6A6B4" w14:textId="72609B62" w:rsidR="00275ED8" w:rsidRPr="00C56CB9" w:rsidRDefault="00275ED8" w:rsidP="00275ED8">
      <w:pPr>
        <w:spacing w:line="360" w:lineRule="auto"/>
        <w:jc w:val="both"/>
        <w:rPr>
          <w:rFonts w:ascii="Arial" w:hAnsi="Arial" w:cs="Arial"/>
          <w:b/>
          <w:bCs/>
          <w:sz w:val="22"/>
          <w:szCs w:val="22"/>
        </w:rPr>
      </w:pPr>
      <w:r w:rsidRPr="00C56CB9">
        <w:rPr>
          <w:rFonts w:ascii="Arial" w:hAnsi="Arial" w:cs="Arial"/>
          <w:b/>
          <w:bCs/>
          <w:sz w:val="22"/>
          <w:szCs w:val="22"/>
        </w:rPr>
        <w:lastRenderedPageBreak/>
        <w:t>3.4 Effective moisture diffusivity</w:t>
      </w:r>
    </w:p>
    <w:p w14:paraId="140FBAFF" w14:textId="1C212F2C" w:rsidR="00275ED8" w:rsidRPr="00C56CB9" w:rsidRDefault="00275ED8" w:rsidP="00C56CB9">
      <w:pPr>
        <w:spacing w:line="360" w:lineRule="auto"/>
        <w:jc w:val="both"/>
        <w:rPr>
          <w:rFonts w:ascii="Arial" w:hAnsi="Arial" w:cs="Arial"/>
          <w:sz w:val="20"/>
          <w:szCs w:val="20"/>
        </w:rPr>
      </w:pPr>
      <w:r w:rsidRPr="00C56CB9">
        <w:rPr>
          <w:rFonts w:ascii="Arial" w:hAnsi="Arial" w:cs="Arial"/>
          <w:sz w:val="20"/>
          <w:szCs w:val="20"/>
        </w:rPr>
        <w:t>In the present investigation, the effective moisture diffusivity (</w:t>
      </w:r>
      <w:proofErr w:type="spellStart"/>
      <w:r w:rsidR="0037344D" w:rsidRPr="00C56CB9">
        <w:rPr>
          <w:rFonts w:ascii="Arial" w:hAnsi="Arial" w:cs="Arial"/>
          <w:sz w:val="20"/>
          <w:szCs w:val="20"/>
        </w:rPr>
        <w:t>D</w:t>
      </w:r>
      <w:r w:rsidR="0037344D" w:rsidRPr="00C56CB9">
        <w:rPr>
          <w:rFonts w:ascii="Arial" w:hAnsi="Arial" w:cs="Arial"/>
          <w:sz w:val="20"/>
          <w:szCs w:val="20"/>
          <w:vertAlign w:val="subscript"/>
        </w:rPr>
        <w:t>eff</w:t>
      </w:r>
      <w:proofErr w:type="spellEnd"/>
      <w:r w:rsidRPr="00C56CB9">
        <w:rPr>
          <w:rFonts w:ascii="Arial" w:hAnsi="Arial" w:cs="Arial"/>
          <w:sz w:val="20"/>
          <w:szCs w:val="20"/>
        </w:rPr>
        <w:t xml:space="preserve">) values of nutmeg mace obtained during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(RW) drying and hot-air drying (HAD) were </w:t>
      </w:r>
      <w:r w:rsidR="0037344D" w:rsidRPr="00C56CB9">
        <w:rPr>
          <w:rFonts w:ascii="Arial" w:hAnsi="Arial" w:cs="Arial"/>
          <w:sz w:val="20"/>
          <w:szCs w:val="20"/>
        </w:rPr>
        <w:t xml:space="preserve"> </w:t>
      </w:r>
      <m:oMath>
        <m:r>
          <w:rPr>
            <w:rFonts w:ascii="Cambria Math" w:hAnsi="Cambria Math" w:cs="Arial"/>
            <w:sz w:val="20"/>
            <w:szCs w:val="20"/>
          </w:rPr>
          <m:t xml:space="preserve">4.76× </m:t>
        </m:r>
        <m:sSup>
          <m:sSupPr>
            <m:ctrlPr>
              <w:rPr>
                <w:rFonts w:ascii="Cambria Math"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-8</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r>
          <w:rPr>
            <w:rFonts w:ascii="Cambria Math" w:hAnsi="Cambria Math" w:cs="Arial"/>
            <w:sz w:val="20"/>
            <w:szCs w:val="20"/>
          </w:rPr>
          <m:t xml:space="preserve"> </m:t>
        </m:r>
      </m:oMath>
      <w:r w:rsidRPr="00C56CB9">
        <w:rPr>
          <w:rFonts w:ascii="Arial" w:hAnsi="Arial" w:cs="Arial"/>
          <w:sz w:val="20"/>
          <w:szCs w:val="20"/>
        </w:rPr>
        <w:t xml:space="preserve">and </w:t>
      </w:r>
      <m:oMath>
        <m:r>
          <w:rPr>
            <w:rFonts w:ascii="Cambria Math" w:hAnsi="Cambria Math" w:cs="Arial"/>
            <w:sz w:val="20"/>
            <w:szCs w:val="20"/>
          </w:rPr>
          <m:t xml:space="preserve">4.56× </m:t>
        </m:r>
        <m:sSup>
          <m:sSupPr>
            <m:ctrlPr>
              <w:rPr>
                <w:rFonts w:ascii="Cambria Math"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-8</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2</m:t>
            </m:r>
          </m:sup>
        </m:sSup>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oMath>
      <w:r w:rsidRPr="00C56CB9">
        <w:rPr>
          <w:rFonts w:ascii="Arial" w:hAnsi="Arial" w:cs="Arial"/>
          <w:sz w:val="20"/>
          <w:szCs w:val="20"/>
        </w:rPr>
        <w:t xml:space="preserve">, respectively. The higher observed for RW drying signifies an accelerated rate of internal moisture transport compared to conventional </w:t>
      </w:r>
      <w:r w:rsidR="0037344D" w:rsidRPr="00C56CB9">
        <w:rPr>
          <w:rFonts w:ascii="Arial" w:hAnsi="Arial" w:cs="Arial"/>
          <w:sz w:val="20"/>
          <w:szCs w:val="20"/>
        </w:rPr>
        <w:t xml:space="preserve">hot </w:t>
      </w:r>
      <w:r w:rsidR="0094299C" w:rsidRPr="00C56CB9">
        <w:rPr>
          <w:rFonts w:ascii="Arial" w:hAnsi="Arial" w:cs="Arial"/>
          <w:sz w:val="20"/>
          <w:szCs w:val="20"/>
        </w:rPr>
        <w:t>air-drying</w:t>
      </w:r>
      <w:r w:rsidR="0037344D" w:rsidRPr="00C56CB9">
        <w:rPr>
          <w:rFonts w:ascii="Arial" w:hAnsi="Arial" w:cs="Arial"/>
          <w:sz w:val="20"/>
          <w:szCs w:val="20"/>
        </w:rPr>
        <w:t xml:space="preserve"> </w:t>
      </w:r>
      <w:r w:rsidRPr="00C56CB9">
        <w:rPr>
          <w:rFonts w:ascii="Arial" w:hAnsi="Arial" w:cs="Arial"/>
          <w:sz w:val="20"/>
          <w:szCs w:val="20"/>
        </w:rPr>
        <w:t>methods (Miano and Rojas, 2024; Borse et al., 2025).</w:t>
      </w:r>
    </w:p>
    <w:p w14:paraId="3A8589E6" w14:textId="09883DE3" w:rsidR="00275ED8" w:rsidRPr="00C56CB9" w:rsidRDefault="00275ED8" w:rsidP="00C56CB9">
      <w:pPr>
        <w:spacing w:line="360" w:lineRule="auto"/>
        <w:jc w:val="both"/>
        <w:rPr>
          <w:rFonts w:ascii="Arial" w:hAnsi="Arial" w:cs="Arial"/>
          <w:sz w:val="20"/>
          <w:szCs w:val="20"/>
        </w:rPr>
      </w:pPr>
      <w:r w:rsidRPr="00C56CB9">
        <w:rPr>
          <w:rFonts w:ascii="Arial" w:hAnsi="Arial" w:cs="Arial"/>
          <w:sz w:val="20"/>
          <w:szCs w:val="20"/>
        </w:rPr>
        <w:t>The enhanced diffusivity under RW conditions is attributed to the efficient and uniform heat transfer mechanism associated with direct contact heating through the infrared-transparent polymer film, which promotes rapid surface heating and increases the vapor pressure gradient between the interior of the nutmeg mace tissue and the surrounding environment (Kumar et al., 2024; He et al., 2024). This intensified driving force facilitates faster migration of moisture from the internal matrix toward the product surface (Bordoloi and Hazarika, 2024; Silva et al., 2024). The magnitude of</w:t>
      </w:r>
      <w:r w:rsidR="00246E34" w:rsidRPr="00C56CB9">
        <w:rPr>
          <w:rFonts w:ascii="Arial" w:hAnsi="Arial" w:cs="Arial"/>
          <w:sz w:val="20"/>
          <w:szCs w:val="20"/>
        </w:rPr>
        <w:t xml:space="preserve"> </w:t>
      </w:r>
      <w:r w:rsidRPr="00C56CB9">
        <w:rPr>
          <w:rFonts w:ascii="Arial" w:hAnsi="Arial" w:cs="Arial"/>
          <w:sz w:val="20"/>
          <w:szCs w:val="20"/>
        </w:rPr>
        <w:t xml:space="preserve">the </w:t>
      </w:r>
      <w:proofErr w:type="spellStart"/>
      <w:r w:rsidR="00246E34" w:rsidRPr="00C56CB9">
        <w:rPr>
          <w:rFonts w:ascii="Arial" w:hAnsi="Arial" w:cs="Arial"/>
          <w:i/>
          <w:iCs/>
          <w:sz w:val="20"/>
          <w:szCs w:val="20"/>
        </w:rPr>
        <w:t>D</w:t>
      </w:r>
      <w:r w:rsidR="00246E34" w:rsidRPr="00C56CB9">
        <w:rPr>
          <w:rFonts w:ascii="Arial" w:hAnsi="Arial" w:cs="Arial"/>
          <w:i/>
          <w:iCs/>
          <w:sz w:val="20"/>
          <w:szCs w:val="20"/>
          <w:vertAlign w:val="subscript"/>
        </w:rPr>
        <w:t>eff</w:t>
      </w:r>
      <w:proofErr w:type="spellEnd"/>
      <w:r w:rsidR="00246E34" w:rsidRPr="00C56CB9">
        <w:rPr>
          <w:rFonts w:ascii="Arial" w:hAnsi="Arial" w:cs="Arial"/>
          <w:sz w:val="20"/>
          <w:szCs w:val="20"/>
        </w:rPr>
        <w:t xml:space="preserve"> </w:t>
      </w:r>
      <w:r w:rsidRPr="00C56CB9">
        <w:rPr>
          <w:rFonts w:ascii="Arial" w:hAnsi="Arial" w:cs="Arial"/>
          <w:sz w:val="20"/>
          <w:szCs w:val="20"/>
        </w:rPr>
        <w:t xml:space="preserve">values obtained in this study falls within the characteristic range of </w:t>
      </w:r>
      <w:r w:rsidR="00246E34" w:rsidRPr="00C56CB9">
        <w:rPr>
          <w:rFonts w:ascii="Arial" w:hAnsi="Arial" w:cs="Arial"/>
          <w:sz w:val="20"/>
          <w:szCs w:val="20"/>
        </w:rPr>
        <w:t>10</w:t>
      </w:r>
      <w:r w:rsidR="00246E34" w:rsidRPr="00C56CB9">
        <w:rPr>
          <w:rFonts w:ascii="Arial" w:hAnsi="Arial" w:cs="Arial"/>
          <w:sz w:val="20"/>
          <w:szCs w:val="20"/>
          <w:vertAlign w:val="superscript"/>
        </w:rPr>
        <w:t>-11</w:t>
      </w:r>
      <w:r w:rsidR="00246E34" w:rsidRPr="00C56CB9">
        <w:rPr>
          <w:rFonts w:ascii="Arial" w:hAnsi="Arial" w:cs="Arial"/>
          <w:sz w:val="20"/>
          <w:szCs w:val="20"/>
        </w:rPr>
        <w:t xml:space="preserve"> to 10</w:t>
      </w:r>
      <w:r w:rsidR="00246E34" w:rsidRPr="00C56CB9">
        <w:rPr>
          <w:rFonts w:ascii="Arial" w:hAnsi="Arial" w:cs="Arial"/>
          <w:sz w:val="20"/>
          <w:szCs w:val="20"/>
          <w:vertAlign w:val="superscript"/>
        </w:rPr>
        <w:t>-8</w:t>
      </w:r>
      <w:r w:rsidR="00246E34" w:rsidRPr="00C56CB9">
        <w:rPr>
          <w:rFonts w:ascii="Arial" w:hAnsi="Arial" w:cs="Arial"/>
          <w:sz w:val="20"/>
          <w:szCs w:val="20"/>
        </w:rPr>
        <w:t xml:space="preserve"> m</w:t>
      </w:r>
      <w:r w:rsidR="00246E34" w:rsidRPr="00C56CB9">
        <w:rPr>
          <w:rFonts w:ascii="Arial" w:hAnsi="Arial" w:cs="Arial"/>
          <w:sz w:val="20"/>
          <w:szCs w:val="20"/>
          <w:vertAlign w:val="superscript"/>
        </w:rPr>
        <w:t>2</w:t>
      </w:r>
      <w:r w:rsidR="00246E34" w:rsidRPr="00C56CB9">
        <w:rPr>
          <w:rFonts w:ascii="Arial" w:hAnsi="Arial" w:cs="Arial"/>
          <w:sz w:val="20"/>
          <w:szCs w:val="20"/>
        </w:rPr>
        <w:t>s</w:t>
      </w:r>
      <w:r w:rsidR="00246E34" w:rsidRPr="00C56CB9">
        <w:rPr>
          <w:rFonts w:ascii="Arial" w:hAnsi="Arial" w:cs="Arial"/>
          <w:sz w:val="20"/>
          <w:szCs w:val="20"/>
          <w:vertAlign w:val="superscript"/>
        </w:rPr>
        <w:t>-1</w:t>
      </w:r>
      <w:r w:rsidRPr="00C56CB9">
        <w:rPr>
          <w:rFonts w:ascii="Arial" w:hAnsi="Arial" w:cs="Arial"/>
          <w:sz w:val="20"/>
          <w:szCs w:val="20"/>
        </w:rPr>
        <w:t xml:space="preserve"> reported for various agricultural and high-moisture biological materials (Talukdar and </w:t>
      </w:r>
      <w:proofErr w:type="spellStart"/>
      <w:r w:rsidRPr="00C56CB9">
        <w:rPr>
          <w:rFonts w:ascii="Arial" w:hAnsi="Arial" w:cs="Arial"/>
          <w:sz w:val="20"/>
          <w:szCs w:val="20"/>
        </w:rPr>
        <w:t>Uppaluri</w:t>
      </w:r>
      <w:proofErr w:type="spellEnd"/>
      <w:r w:rsidRPr="00C56CB9">
        <w:rPr>
          <w:rFonts w:ascii="Arial" w:hAnsi="Arial" w:cs="Arial"/>
          <w:sz w:val="20"/>
          <w:szCs w:val="20"/>
        </w:rPr>
        <w:t>, 2021). Similar increases in effective moisture diffusivity under RW drying in comparison with HAD have been documented for various fruit and vegetable matrices, where improved multimodal heat transfer (conduction, radiation, and convection) and reduced internal thermal resistance were identified as the primary contributing factors (</w:t>
      </w:r>
      <w:proofErr w:type="spellStart"/>
      <w:r w:rsidRPr="00C56CB9">
        <w:rPr>
          <w:rFonts w:ascii="Arial" w:hAnsi="Arial" w:cs="Arial"/>
          <w:sz w:val="20"/>
          <w:szCs w:val="20"/>
        </w:rPr>
        <w:t>Rurush</w:t>
      </w:r>
      <w:proofErr w:type="spellEnd"/>
      <w:r w:rsidRPr="00C56CB9">
        <w:rPr>
          <w:rFonts w:ascii="Arial" w:hAnsi="Arial" w:cs="Arial"/>
          <w:sz w:val="20"/>
          <w:szCs w:val="20"/>
        </w:rPr>
        <w:t xml:space="preserve"> et al., 2022; </w:t>
      </w:r>
      <w:proofErr w:type="spellStart"/>
      <w:r w:rsidRPr="00C56CB9">
        <w:rPr>
          <w:rFonts w:ascii="Arial" w:hAnsi="Arial" w:cs="Arial"/>
          <w:sz w:val="20"/>
          <w:szCs w:val="20"/>
        </w:rPr>
        <w:t>Rajoriya</w:t>
      </w:r>
      <w:proofErr w:type="spellEnd"/>
      <w:r w:rsidRPr="00C56CB9">
        <w:rPr>
          <w:rFonts w:ascii="Arial" w:hAnsi="Arial" w:cs="Arial"/>
          <w:sz w:val="20"/>
          <w:szCs w:val="20"/>
        </w:rPr>
        <w:t xml:space="preserve"> et al., 2020).</w:t>
      </w:r>
    </w:p>
    <w:p w14:paraId="30081E6A" w14:textId="77777777" w:rsidR="00275ED8" w:rsidRPr="00C56CB9" w:rsidRDefault="00275ED8" w:rsidP="00C56CB9">
      <w:pPr>
        <w:spacing w:line="360" w:lineRule="auto"/>
        <w:jc w:val="both"/>
        <w:rPr>
          <w:rFonts w:ascii="Arial" w:hAnsi="Arial" w:cs="Arial"/>
          <w:sz w:val="20"/>
          <w:szCs w:val="20"/>
        </w:rPr>
      </w:pPr>
      <w:r w:rsidRPr="00C56CB9">
        <w:rPr>
          <w:rFonts w:ascii="Arial" w:hAnsi="Arial" w:cs="Arial"/>
          <w:sz w:val="20"/>
          <w:szCs w:val="20"/>
        </w:rPr>
        <w:t>The slightly lower effective moisture diffusivity observed during hot-air drying can be attributed to the comparatively lower heat transfer coefficient and the reliance on convective airflow for thermal energy supply, which results in a slower development of internal moisture gradients (</w:t>
      </w:r>
      <w:proofErr w:type="spellStart"/>
      <w:r w:rsidRPr="00C56CB9">
        <w:rPr>
          <w:rFonts w:ascii="Arial" w:hAnsi="Arial" w:cs="Arial"/>
          <w:sz w:val="20"/>
          <w:szCs w:val="20"/>
        </w:rPr>
        <w:t>Kheto</w:t>
      </w:r>
      <w:proofErr w:type="spellEnd"/>
      <w:r w:rsidRPr="00C56CB9">
        <w:rPr>
          <w:rFonts w:ascii="Arial" w:hAnsi="Arial" w:cs="Arial"/>
          <w:sz w:val="20"/>
          <w:szCs w:val="20"/>
        </w:rPr>
        <w:t xml:space="preserve"> et al., 2025; Shrivastav et al., 2021). Furthermore, prolonged convective drying often leads to structural changes that increase the resistance to water vapor escape (Showkat et al., 2024). Overall, the higher diffusivity achieved through RW drying is fundamentally consistent with the shorter processing times and superior drying rates observed for nutmeg mace under this fourth-generation technology (Hasan et al., 2024; Shaju and Prince, 2024).</w:t>
      </w:r>
    </w:p>
    <w:p w14:paraId="7CF10A81" w14:textId="330666C0" w:rsidR="002F146F" w:rsidRPr="00C56CB9" w:rsidRDefault="000A0F42" w:rsidP="00FE1DA4">
      <w:pPr>
        <w:spacing w:line="360" w:lineRule="auto"/>
        <w:jc w:val="both"/>
        <w:rPr>
          <w:rFonts w:ascii="Arial" w:hAnsi="Arial" w:cs="Arial"/>
          <w:b/>
          <w:bCs/>
          <w:sz w:val="22"/>
          <w:szCs w:val="22"/>
        </w:rPr>
      </w:pPr>
      <w:r w:rsidRPr="00C56CB9">
        <w:rPr>
          <w:rFonts w:ascii="Arial" w:hAnsi="Arial" w:cs="Arial"/>
          <w:b/>
          <w:bCs/>
          <w:sz w:val="22"/>
          <w:szCs w:val="22"/>
        </w:rPr>
        <w:t>3.4 Quality characteristics of dried nutmeg mace</w:t>
      </w:r>
    </w:p>
    <w:p w14:paraId="3CEC271E" w14:textId="51113A4E" w:rsidR="00064693" w:rsidRPr="00C56CB9" w:rsidRDefault="00064693" w:rsidP="00064693">
      <w:pPr>
        <w:spacing w:line="360" w:lineRule="auto"/>
        <w:jc w:val="both"/>
        <w:rPr>
          <w:rFonts w:ascii="Arial" w:hAnsi="Arial" w:cs="Arial"/>
          <w:b/>
          <w:bCs/>
          <w:sz w:val="20"/>
          <w:szCs w:val="20"/>
        </w:rPr>
      </w:pPr>
      <w:r w:rsidRPr="00C56CB9">
        <w:rPr>
          <w:rFonts w:ascii="Arial" w:hAnsi="Arial" w:cs="Arial"/>
          <w:b/>
          <w:bCs/>
          <w:sz w:val="20"/>
          <w:szCs w:val="20"/>
        </w:rPr>
        <w:t>3.4.1. Water Activity (a</w:t>
      </w:r>
      <w:r w:rsidRPr="00C56CB9">
        <w:rPr>
          <w:rFonts w:ascii="Arial" w:hAnsi="Arial" w:cs="Arial"/>
          <w:b/>
          <w:bCs/>
          <w:sz w:val="20"/>
          <w:szCs w:val="20"/>
          <w:vertAlign w:val="subscript"/>
        </w:rPr>
        <w:t>w</w:t>
      </w:r>
      <w:r w:rsidRPr="00C56CB9">
        <w:rPr>
          <w:rFonts w:ascii="Arial" w:hAnsi="Arial" w:cs="Arial"/>
          <w:b/>
          <w:bCs/>
          <w:sz w:val="20"/>
          <w:szCs w:val="20"/>
        </w:rPr>
        <w:t>)</w:t>
      </w:r>
    </w:p>
    <w:p w14:paraId="4AA5702E" w14:textId="29CC78E7" w:rsidR="00064693" w:rsidRPr="00C56CB9" w:rsidRDefault="00064693" w:rsidP="00C56CB9">
      <w:pPr>
        <w:spacing w:line="360" w:lineRule="auto"/>
        <w:jc w:val="both"/>
        <w:rPr>
          <w:rFonts w:ascii="Arial" w:hAnsi="Arial" w:cs="Arial"/>
          <w:sz w:val="20"/>
          <w:szCs w:val="20"/>
        </w:rPr>
      </w:pPr>
      <w:r w:rsidRPr="00C56CB9">
        <w:rPr>
          <w:rFonts w:ascii="Arial" w:hAnsi="Arial" w:cs="Arial"/>
          <w:sz w:val="20"/>
          <w:szCs w:val="20"/>
        </w:rPr>
        <w:t xml:space="preserve">Nutmeg mace dried by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(RW) drying exhibited a lower water activity (0.50) compared with hot-air drying (0.60). This lower a</w:t>
      </w:r>
      <w:r w:rsidRPr="00C56CB9">
        <w:rPr>
          <w:rFonts w:ascii="Arial" w:hAnsi="Arial" w:cs="Arial"/>
          <w:sz w:val="20"/>
          <w:szCs w:val="20"/>
          <w:vertAlign w:val="subscript"/>
        </w:rPr>
        <w:t>w</w:t>
      </w:r>
      <w:r w:rsidRPr="00C56CB9">
        <w:rPr>
          <w:rFonts w:ascii="Arial" w:hAnsi="Arial" w:cs="Arial"/>
          <w:sz w:val="20"/>
          <w:szCs w:val="20"/>
        </w:rPr>
        <w:t xml:space="preserve"> indicates improved product stability and a marked reduction in susceptibility to microbial proliferation and physicochemical deterioration, factors that are critical for the preservation and shelf-life of dehydrated spice products (Kumar et al., 2022; Silva et al., 2024). Achieving these stable equilibrium moisture levels through the RW system’s efficient heat transfer mechanism ensures the functional integrity and microbiological safety of high-value biological matrices (Borse et al., 2025).</w:t>
      </w:r>
    </w:p>
    <w:p w14:paraId="0B5E0D48" w14:textId="77777777" w:rsidR="009D7C33" w:rsidRDefault="009D7C33" w:rsidP="00064693">
      <w:pPr>
        <w:spacing w:line="360" w:lineRule="auto"/>
        <w:jc w:val="both"/>
        <w:rPr>
          <w:rFonts w:ascii="Arial" w:hAnsi="Arial" w:cs="Arial"/>
          <w:b/>
          <w:bCs/>
          <w:sz w:val="20"/>
          <w:szCs w:val="20"/>
        </w:rPr>
      </w:pPr>
    </w:p>
    <w:p w14:paraId="63ED138E" w14:textId="51B4423D" w:rsidR="00064693" w:rsidRPr="00C56CB9" w:rsidRDefault="00064693" w:rsidP="00064693">
      <w:pPr>
        <w:spacing w:line="360" w:lineRule="auto"/>
        <w:jc w:val="both"/>
        <w:rPr>
          <w:rFonts w:ascii="Arial" w:hAnsi="Arial" w:cs="Arial"/>
          <w:sz w:val="20"/>
          <w:szCs w:val="20"/>
        </w:rPr>
      </w:pPr>
      <w:r w:rsidRPr="00C56CB9">
        <w:rPr>
          <w:rFonts w:ascii="Arial" w:hAnsi="Arial" w:cs="Arial"/>
          <w:b/>
          <w:bCs/>
          <w:sz w:val="20"/>
          <w:szCs w:val="20"/>
        </w:rPr>
        <w:lastRenderedPageBreak/>
        <w:t xml:space="preserve">3.4.2. </w:t>
      </w:r>
      <w:r w:rsidR="005B0F27">
        <w:rPr>
          <w:rFonts w:ascii="Arial" w:hAnsi="Arial" w:cs="Arial"/>
          <w:b/>
          <w:bCs/>
          <w:sz w:val="20"/>
          <w:szCs w:val="20"/>
        </w:rPr>
        <w:t>Colour</w:t>
      </w:r>
      <w:r w:rsidRPr="00C56CB9">
        <w:rPr>
          <w:rFonts w:ascii="Arial" w:hAnsi="Arial" w:cs="Arial"/>
          <w:b/>
          <w:bCs/>
          <w:sz w:val="20"/>
          <w:szCs w:val="20"/>
        </w:rPr>
        <w:t xml:space="preserve"> Attributes and Total </w:t>
      </w:r>
      <w:r w:rsidR="005B0F27">
        <w:rPr>
          <w:rFonts w:ascii="Arial" w:hAnsi="Arial" w:cs="Arial"/>
          <w:b/>
          <w:bCs/>
          <w:sz w:val="20"/>
          <w:szCs w:val="20"/>
        </w:rPr>
        <w:t>Colour</w:t>
      </w:r>
      <w:r w:rsidRPr="00C56CB9">
        <w:rPr>
          <w:rFonts w:ascii="Arial" w:hAnsi="Arial" w:cs="Arial"/>
          <w:b/>
          <w:bCs/>
          <w:sz w:val="20"/>
          <w:szCs w:val="20"/>
        </w:rPr>
        <w:t xml:space="preserve"> Difference</w:t>
      </w:r>
    </w:p>
    <w:p w14:paraId="19142247" w14:textId="4A492176" w:rsidR="00064693" w:rsidRPr="00C56CB9" w:rsidRDefault="00064693" w:rsidP="00C56CB9">
      <w:pPr>
        <w:spacing w:line="360" w:lineRule="auto"/>
        <w:jc w:val="both"/>
        <w:rPr>
          <w:rFonts w:ascii="Arial" w:hAnsi="Arial" w:cs="Arial"/>
          <w:sz w:val="20"/>
          <w:szCs w:val="20"/>
        </w:rPr>
      </w:pPr>
      <w:r w:rsidRPr="00C56CB9">
        <w:rPr>
          <w:rFonts w:ascii="Arial" w:hAnsi="Arial" w:cs="Arial"/>
          <w:sz w:val="20"/>
          <w:szCs w:val="20"/>
        </w:rPr>
        <w:t xml:space="preserve">The </w:t>
      </w:r>
      <w:r w:rsidR="005B0F27">
        <w:rPr>
          <w:rFonts w:ascii="Arial" w:hAnsi="Arial" w:cs="Arial"/>
          <w:sz w:val="20"/>
          <w:szCs w:val="20"/>
        </w:rPr>
        <w:t>colour</w:t>
      </w:r>
      <w:r w:rsidRPr="00C56CB9">
        <w:rPr>
          <w:rFonts w:ascii="Arial" w:hAnsi="Arial" w:cs="Arial"/>
          <w:sz w:val="20"/>
          <w:szCs w:val="20"/>
        </w:rPr>
        <w:t xml:space="preserve"> attributes of nutmeg mace were better preserved under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(RW) drying, yielding higher a* (28.6) and chroma (31.9) values compared with hot-air drying (HAD) (a*=27.3; C*=30.5). These results indicate superior retention of the characteristic red pigments, which are vital for the commercial valuation of high-grade mace (Shrivastav et al., 2021). The enhanced pigment stability is attributed to RWD’s ability to achieve rapid moisture removal at relatively low product temperatures, thereby minimizing thermal degradation (Raghavi et al., 2018). In contrast, the lower </w:t>
      </w:r>
      <w:r w:rsidR="005B0F27">
        <w:rPr>
          <w:rFonts w:ascii="Arial" w:hAnsi="Arial" w:cs="Arial"/>
          <w:sz w:val="20"/>
          <w:szCs w:val="20"/>
        </w:rPr>
        <w:t>colour</w:t>
      </w:r>
      <w:r w:rsidRPr="00C56CB9">
        <w:rPr>
          <w:rFonts w:ascii="Arial" w:hAnsi="Arial" w:cs="Arial"/>
          <w:sz w:val="20"/>
          <w:szCs w:val="20"/>
        </w:rPr>
        <w:t xml:space="preserve"> intensity and dullness observed in HAD samples are typically caused by prolonged exposure to heated air, which triggers non-enzymatic browning (Maillard reactions) and pigment oxidation (Hasan et al., 2024).</w:t>
      </w:r>
    </w:p>
    <w:p w14:paraId="3473C2A7" w14:textId="553E1A1C" w:rsidR="00064693" w:rsidRPr="00C56CB9" w:rsidRDefault="00064693" w:rsidP="00C56CB9">
      <w:pPr>
        <w:spacing w:line="360" w:lineRule="auto"/>
        <w:jc w:val="both"/>
        <w:rPr>
          <w:rFonts w:ascii="Arial" w:hAnsi="Arial" w:cs="Arial"/>
          <w:sz w:val="20"/>
          <w:szCs w:val="20"/>
        </w:rPr>
      </w:pPr>
      <w:r w:rsidRPr="00C56CB9">
        <w:rPr>
          <w:rFonts w:ascii="Arial" w:hAnsi="Arial" w:cs="Arial"/>
          <w:sz w:val="20"/>
          <w:szCs w:val="20"/>
        </w:rPr>
        <w:t xml:space="preserve">The overall </w:t>
      </w:r>
      <w:r w:rsidR="005B0F27">
        <w:rPr>
          <w:rFonts w:ascii="Arial" w:hAnsi="Arial" w:cs="Arial"/>
          <w:sz w:val="20"/>
          <w:szCs w:val="20"/>
        </w:rPr>
        <w:t>colour</w:t>
      </w:r>
      <w:r w:rsidRPr="00C56CB9">
        <w:rPr>
          <w:rFonts w:ascii="Arial" w:hAnsi="Arial" w:cs="Arial"/>
          <w:sz w:val="20"/>
          <w:szCs w:val="20"/>
        </w:rPr>
        <w:t xml:space="preserve"> change relative to fresh nutmeg mace was quantified by the total </w:t>
      </w:r>
      <w:r w:rsidR="005B0F27">
        <w:rPr>
          <w:rFonts w:ascii="Arial" w:hAnsi="Arial" w:cs="Arial"/>
          <w:sz w:val="20"/>
          <w:szCs w:val="20"/>
        </w:rPr>
        <w:t>colour</w:t>
      </w:r>
      <w:r w:rsidRPr="00C56CB9">
        <w:rPr>
          <w:rFonts w:ascii="Arial" w:hAnsi="Arial" w:cs="Arial"/>
          <w:sz w:val="20"/>
          <w:szCs w:val="20"/>
        </w:rPr>
        <w:t xml:space="preserve"> difference (∆E). RW-dried samples exhibited a lower ∆E (9.11) than HAD samples (10.26), confirming that the fourth-generation technology more effectively maintains the original visual profile of the spice (Lalita et al., 2024). Since surface </w:t>
      </w:r>
      <w:r w:rsidR="005B0F27">
        <w:rPr>
          <w:rFonts w:ascii="Arial" w:hAnsi="Arial" w:cs="Arial"/>
          <w:sz w:val="20"/>
          <w:szCs w:val="20"/>
        </w:rPr>
        <w:t>colour</w:t>
      </w:r>
      <w:r w:rsidRPr="00C56CB9">
        <w:rPr>
          <w:rFonts w:ascii="Arial" w:hAnsi="Arial" w:cs="Arial"/>
          <w:sz w:val="20"/>
          <w:szCs w:val="20"/>
        </w:rPr>
        <w:t xml:space="preserve"> is a critical determinant of consumer acceptance and marketability, the ability of RW drying to produce a "fresh-like" appearance makes it a superior alternative to traditional convective methods (Ortiz-Jerez et al., 2022). These findings are in agreement with recent literature demonstrating that RW processing results in more vibrant and visually appealing dried products (</w:t>
      </w:r>
      <w:proofErr w:type="spellStart"/>
      <w:r w:rsidRPr="00C56CB9">
        <w:rPr>
          <w:rFonts w:ascii="Arial" w:hAnsi="Arial" w:cs="Arial"/>
          <w:sz w:val="20"/>
          <w:szCs w:val="20"/>
        </w:rPr>
        <w:t>Nansereko</w:t>
      </w:r>
      <w:proofErr w:type="spellEnd"/>
      <w:r w:rsidRPr="00C56CB9">
        <w:rPr>
          <w:rFonts w:ascii="Arial" w:hAnsi="Arial" w:cs="Arial"/>
          <w:sz w:val="20"/>
          <w:szCs w:val="20"/>
        </w:rPr>
        <w:t xml:space="preserve"> et al., 2022).</w:t>
      </w:r>
    </w:p>
    <w:p w14:paraId="7BBEFDB5" w14:textId="77777777" w:rsidR="00D3414E" w:rsidRPr="00C56CB9" w:rsidRDefault="00D3414E" w:rsidP="00D3414E">
      <w:pPr>
        <w:spacing w:line="360" w:lineRule="auto"/>
        <w:jc w:val="both"/>
        <w:rPr>
          <w:rFonts w:ascii="Arial" w:hAnsi="Arial" w:cs="Arial"/>
          <w:sz w:val="20"/>
          <w:szCs w:val="20"/>
        </w:rPr>
      </w:pPr>
      <w:r w:rsidRPr="00C56CB9">
        <w:rPr>
          <w:rFonts w:ascii="Arial" w:hAnsi="Arial" w:cs="Arial"/>
          <w:b/>
          <w:bCs/>
          <w:sz w:val="20"/>
          <w:szCs w:val="20"/>
        </w:rPr>
        <w:t>3.4.3. Total Phenolic Content (TPC)</w:t>
      </w:r>
    </w:p>
    <w:p w14:paraId="69180728" w14:textId="2D06944B" w:rsidR="00D3414E" w:rsidRPr="00C56CB9" w:rsidRDefault="00D3414E" w:rsidP="00C56CB9">
      <w:pPr>
        <w:spacing w:line="360" w:lineRule="auto"/>
        <w:jc w:val="both"/>
        <w:rPr>
          <w:rFonts w:ascii="Arial" w:hAnsi="Arial" w:cs="Arial"/>
          <w:sz w:val="20"/>
          <w:szCs w:val="20"/>
        </w:rPr>
      </w:pPr>
      <w:r w:rsidRPr="00C56CB9">
        <w:rPr>
          <w:rFonts w:ascii="Arial" w:hAnsi="Arial" w:cs="Arial"/>
          <w:sz w:val="20"/>
          <w:szCs w:val="20"/>
        </w:rPr>
        <w:t xml:space="preserve">Nutmeg mace dried by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(RW) drying exhibited a significantly higher total phenolic content (14.26</w:t>
      </w:r>
      <w:r w:rsidR="001F5977">
        <w:rPr>
          <w:rFonts w:ascii="Arial" w:hAnsi="Arial" w:cs="Arial"/>
          <w:sz w:val="20"/>
          <w:szCs w:val="20"/>
        </w:rPr>
        <w:t xml:space="preserve"> </w:t>
      </w:r>
      <w:r w:rsidR="001F5977" w:rsidRPr="001F5977">
        <w:rPr>
          <w:rFonts w:ascii="Arial" w:hAnsi="Arial" w:cs="Arial"/>
          <w:sz w:val="20"/>
          <w:szCs w:val="20"/>
        </w:rPr>
        <w:t>mg GAE/g</w:t>
      </w:r>
      <w:r w:rsidRPr="00C56CB9">
        <w:rPr>
          <w:rFonts w:ascii="Arial" w:hAnsi="Arial" w:cs="Arial"/>
          <w:sz w:val="20"/>
          <w:szCs w:val="20"/>
        </w:rPr>
        <w:t>) compared to hot-air dried (HAD) samples (12.48</w:t>
      </w:r>
      <w:r w:rsidR="001F5977">
        <w:rPr>
          <w:rFonts w:ascii="Arial" w:hAnsi="Arial" w:cs="Arial"/>
          <w:sz w:val="20"/>
          <w:szCs w:val="20"/>
        </w:rPr>
        <w:t xml:space="preserve"> </w:t>
      </w:r>
      <w:r w:rsidR="001F5977" w:rsidRPr="001F5977">
        <w:rPr>
          <w:rFonts w:ascii="Arial" w:hAnsi="Arial" w:cs="Arial"/>
          <w:sz w:val="20"/>
          <w:szCs w:val="20"/>
        </w:rPr>
        <w:t>mg GAE/g</w:t>
      </w:r>
      <w:r w:rsidRPr="00C56CB9">
        <w:rPr>
          <w:rFonts w:ascii="Arial" w:hAnsi="Arial" w:cs="Arial"/>
          <w:sz w:val="20"/>
          <w:szCs w:val="20"/>
        </w:rPr>
        <w:t>). This improved retention is primarily attributed to the shorter drying duration and reduced surface exposure time inherent to the RW process, which minimizes the oxidation of heat-sensitive bioactive constituents (Lalita et al., 2024). Phenolic compounds are highly susceptible to thermal and oxidative stress during prolonged convective drying, where direct exposure to high-velocity heated air hampering their quality attributes and leads to significant losses (Wu et al., 2024; Kumar et al., 2024).</w:t>
      </w:r>
    </w:p>
    <w:p w14:paraId="59D773DA" w14:textId="103E8168" w:rsidR="00D3414E" w:rsidRPr="00C56CB9" w:rsidRDefault="00D3414E" w:rsidP="00C56CB9">
      <w:pPr>
        <w:spacing w:line="360" w:lineRule="auto"/>
        <w:jc w:val="both"/>
        <w:rPr>
          <w:rFonts w:ascii="Arial" w:hAnsi="Arial" w:cs="Arial"/>
          <w:sz w:val="20"/>
          <w:szCs w:val="20"/>
        </w:rPr>
      </w:pPr>
      <w:r w:rsidRPr="00C56CB9">
        <w:rPr>
          <w:rFonts w:ascii="Arial" w:hAnsi="Arial" w:cs="Arial"/>
          <w:sz w:val="20"/>
          <w:szCs w:val="20"/>
        </w:rPr>
        <w:t xml:space="preserve">The self-regulating heat transfer mechanism of RW technology ensures that product temperatures remain relatively low through evaporative cooling, effectively inhibiting the activity of oxidative enzymes such as polyphenol oxidase (Nguyen et al., 2022; Borse et al., 2025). Furthermore, the rapid multimodal heat transfer can facilitate the breakdown of cell wall polymers, prompting the release of bound phenolic compounds from the cellular matrix into the extractable fraction (Zhang et al., 2024; </w:t>
      </w:r>
      <w:proofErr w:type="spellStart"/>
      <w:r w:rsidRPr="00C56CB9">
        <w:rPr>
          <w:rFonts w:ascii="Arial" w:hAnsi="Arial" w:cs="Arial"/>
          <w:sz w:val="20"/>
          <w:szCs w:val="20"/>
        </w:rPr>
        <w:t>Rajoriya</w:t>
      </w:r>
      <w:proofErr w:type="spellEnd"/>
      <w:r w:rsidRPr="00C56CB9">
        <w:rPr>
          <w:rFonts w:ascii="Arial" w:hAnsi="Arial" w:cs="Arial"/>
          <w:sz w:val="20"/>
          <w:szCs w:val="20"/>
        </w:rPr>
        <w:t xml:space="preserve"> et al., 202</w:t>
      </w:r>
      <w:r w:rsidR="00D50969" w:rsidRPr="00C56CB9">
        <w:rPr>
          <w:rFonts w:ascii="Arial" w:hAnsi="Arial" w:cs="Arial"/>
          <w:sz w:val="20"/>
          <w:szCs w:val="20"/>
        </w:rPr>
        <w:t>0</w:t>
      </w:r>
      <w:r w:rsidRPr="00C56CB9">
        <w:rPr>
          <w:rFonts w:ascii="Arial" w:hAnsi="Arial" w:cs="Arial"/>
          <w:sz w:val="20"/>
          <w:szCs w:val="20"/>
        </w:rPr>
        <w:t xml:space="preserve">). These synergistic effects confirm that RW drying is a high-performance, gentle dehydration technique that maintains the functional and antioxidant integrity of high-value spice matrices better than conventional methods (Talukdar and </w:t>
      </w:r>
      <w:proofErr w:type="spellStart"/>
      <w:r w:rsidRPr="00C56CB9">
        <w:rPr>
          <w:rFonts w:ascii="Arial" w:hAnsi="Arial" w:cs="Arial"/>
          <w:sz w:val="20"/>
          <w:szCs w:val="20"/>
        </w:rPr>
        <w:t>Uppaluri</w:t>
      </w:r>
      <w:proofErr w:type="spellEnd"/>
      <w:r w:rsidRPr="00C56CB9">
        <w:rPr>
          <w:rFonts w:ascii="Arial" w:hAnsi="Arial" w:cs="Arial"/>
          <w:sz w:val="20"/>
          <w:szCs w:val="20"/>
        </w:rPr>
        <w:t>, 2021; Kaveh et al., 2025).</w:t>
      </w:r>
    </w:p>
    <w:p w14:paraId="11402BB7" w14:textId="77777777" w:rsidR="008A0525" w:rsidRPr="00C56CB9" w:rsidRDefault="008A0525" w:rsidP="008A0525">
      <w:pPr>
        <w:spacing w:line="360" w:lineRule="auto"/>
        <w:jc w:val="both"/>
        <w:rPr>
          <w:rFonts w:ascii="Arial" w:hAnsi="Arial" w:cs="Arial"/>
          <w:sz w:val="20"/>
          <w:szCs w:val="20"/>
        </w:rPr>
      </w:pPr>
      <w:r w:rsidRPr="00C56CB9">
        <w:rPr>
          <w:rFonts w:ascii="Arial" w:hAnsi="Arial" w:cs="Arial"/>
          <w:b/>
          <w:bCs/>
          <w:sz w:val="20"/>
          <w:szCs w:val="20"/>
        </w:rPr>
        <w:t>3.4.4. Shrinkage Percentage</w:t>
      </w:r>
    </w:p>
    <w:p w14:paraId="65D9CED7" w14:textId="07870A4C" w:rsidR="008A0525" w:rsidRPr="00C56CB9" w:rsidRDefault="008A0525" w:rsidP="005B0F27">
      <w:pPr>
        <w:spacing w:line="360" w:lineRule="auto"/>
        <w:jc w:val="both"/>
        <w:rPr>
          <w:rFonts w:ascii="Arial" w:hAnsi="Arial" w:cs="Arial"/>
          <w:sz w:val="20"/>
          <w:szCs w:val="20"/>
        </w:rPr>
      </w:pPr>
      <w:r w:rsidRPr="00C56CB9">
        <w:rPr>
          <w:rFonts w:ascii="Arial" w:hAnsi="Arial" w:cs="Arial"/>
          <w:sz w:val="20"/>
          <w:szCs w:val="20"/>
        </w:rPr>
        <w:t xml:space="preserve">The shrinkage percentage of nutmeg mace was significantly influenced by the drying method, with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(RW) drying achieving a lower shrinkage (33.9%) than hot-air drying (HAD) </w:t>
      </w:r>
      <w:r w:rsidRPr="00C56CB9">
        <w:rPr>
          <w:rFonts w:ascii="Arial" w:hAnsi="Arial" w:cs="Arial"/>
          <w:sz w:val="20"/>
          <w:szCs w:val="20"/>
        </w:rPr>
        <w:lastRenderedPageBreak/>
        <w:t>(44.0%). This indicates superior preservation of the structural integrity and a reduction in undesirable physical modifications compared to conventional methods (Showkat et al., 2024; Silva et al., 2024). The minimized volumetric contraction in the RW system is attributed to uniform and moderate heat transfer conditions, which prevent excessive cell wall collapse and internal structural stress during the moisture removal process (Ayala-Aponte et al., 2021; Kaveh et al., 2025).</w:t>
      </w:r>
    </w:p>
    <w:p w14:paraId="6FE0F342" w14:textId="77777777" w:rsidR="008A0525" w:rsidRPr="00C56CB9" w:rsidRDefault="008A0525" w:rsidP="005B0F27">
      <w:pPr>
        <w:spacing w:line="360" w:lineRule="auto"/>
        <w:jc w:val="both"/>
        <w:rPr>
          <w:rFonts w:ascii="Arial" w:hAnsi="Arial" w:cs="Arial"/>
          <w:sz w:val="20"/>
          <w:szCs w:val="20"/>
        </w:rPr>
      </w:pPr>
      <w:r w:rsidRPr="00C56CB9">
        <w:rPr>
          <w:rFonts w:ascii="Arial" w:hAnsi="Arial" w:cs="Arial"/>
          <w:sz w:val="20"/>
          <w:szCs w:val="20"/>
        </w:rPr>
        <w:t xml:space="preserve">Conversely, the higher shrinkage observed in HAD is a consequence of uneven moisture migration and structural damage caused by prolonged exposure to high-velocity heated air (Kumar et al., 2024; Hasan et al., 2024). The RW process facilitates homogenous shrinkage by allowing the product to spread undisturbed over the Mylar interface, resulting in a smoother morphology compared to the severe deformation and structural collapse typical of convective systems (Borse et al., 2025; Zhang et al., 2024). Furthermore, the rapid reduction of moisture at the product surface during RW drying may induce a rubbery-glass transition, forming a rigid crust that helps maintain the physical dimensions of the spice (Ochoa-Martínez et al., 2012; Talukdar and </w:t>
      </w:r>
      <w:proofErr w:type="spellStart"/>
      <w:r w:rsidRPr="00C56CB9">
        <w:rPr>
          <w:rFonts w:ascii="Arial" w:hAnsi="Arial" w:cs="Arial"/>
          <w:sz w:val="20"/>
          <w:szCs w:val="20"/>
        </w:rPr>
        <w:t>Uppaluri</w:t>
      </w:r>
      <w:proofErr w:type="spellEnd"/>
      <w:r w:rsidRPr="00C56CB9">
        <w:rPr>
          <w:rFonts w:ascii="Arial" w:hAnsi="Arial" w:cs="Arial"/>
          <w:sz w:val="20"/>
          <w:szCs w:val="20"/>
        </w:rPr>
        <w:t>, 2021).</w:t>
      </w:r>
    </w:p>
    <w:p w14:paraId="7BBB427D" w14:textId="11DA9AAA" w:rsidR="00952EB3" w:rsidRPr="00C56CB9" w:rsidRDefault="00C56CB9" w:rsidP="00952EB3">
      <w:pPr>
        <w:spacing w:line="360" w:lineRule="auto"/>
        <w:jc w:val="both"/>
        <w:rPr>
          <w:rFonts w:ascii="Arial" w:hAnsi="Arial" w:cs="Arial"/>
          <w:b/>
          <w:bCs/>
          <w:sz w:val="22"/>
          <w:szCs w:val="22"/>
        </w:rPr>
      </w:pPr>
      <w:r w:rsidRPr="00C56CB9">
        <w:rPr>
          <w:rFonts w:ascii="Arial" w:hAnsi="Arial" w:cs="Arial"/>
          <w:b/>
          <w:bCs/>
          <w:sz w:val="22"/>
          <w:szCs w:val="22"/>
        </w:rPr>
        <w:t>4. CONCLUSION</w:t>
      </w:r>
    </w:p>
    <w:p w14:paraId="59F2C246" w14:textId="69236E4F" w:rsidR="00952EB3" w:rsidRDefault="00952EB3" w:rsidP="005B0F27">
      <w:pPr>
        <w:spacing w:line="360" w:lineRule="auto"/>
        <w:jc w:val="both"/>
        <w:rPr>
          <w:rFonts w:ascii="Arial" w:hAnsi="Arial" w:cs="Arial"/>
          <w:sz w:val="20"/>
          <w:szCs w:val="20"/>
        </w:rPr>
      </w:pP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drying demonstrated superior performance for the dehydration of nutmeg mace compared with conventional hot-air drying. The drying process under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conditions was effectively described by the logarithmic thin-layer model for both drying systems.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drying resulted in a higher effective moisture diffusivity, indicating enhanced internal moisture transport and improved drying efficiency. In addition,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dried nutmeg mace exhibited lower water activity, better retention of the characteristic red colour as reflected by lower total colour difference, higher total phenolic content and lower shrinkage than hot-air dried samples. These results confirm that </w:t>
      </w:r>
      <w:proofErr w:type="spellStart"/>
      <w:r w:rsidRPr="00C56CB9">
        <w:rPr>
          <w:rFonts w:ascii="Arial" w:hAnsi="Arial" w:cs="Arial"/>
          <w:sz w:val="20"/>
          <w:szCs w:val="20"/>
        </w:rPr>
        <w:t>refractance</w:t>
      </w:r>
      <w:proofErr w:type="spellEnd"/>
      <w:r w:rsidRPr="00C56CB9">
        <w:rPr>
          <w:rFonts w:ascii="Arial" w:hAnsi="Arial" w:cs="Arial"/>
          <w:sz w:val="20"/>
          <w:szCs w:val="20"/>
        </w:rPr>
        <w:t xml:space="preserve"> window drying is a promising low-temperature and energy-efficient drying technology for preserving the quality and functional attributes of high-value and heat-sensitive spice materials such as nutmeg mace.</w:t>
      </w:r>
    </w:p>
    <w:p w14:paraId="0F4BBDD8" w14:textId="67BEC595" w:rsidR="00610FA5" w:rsidRDefault="00610FA5" w:rsidP="005B0F27">
      <w:pPr>
        <w:spacing w:line="360" w:lineRule="auto"/>
        <w:jc w:val="both"/>
        <w:rPr>
          <w:rFonts w:ascii="Arial" w:hAnsi="Arial" w:cs="Arial"/>
          <w:sz w:val="20"/>
          <w:szCs w:val="20"/>
        </w:rPr>
      </w:pPr>
    </w:p>
    <w:p w14:paraId="7A36BB5A" w14:textId="77777777" w:rsidR="00610FA5" w:rsidRPr="009D7C33" w:rsidRDefault="00610FA5" w:rsidP="009D7C33">
      <w:pPr>
        <w:pStyle w:val="NoSpacing"/>
        <w:spacing w:line="276" w:lineRule="auto"/>
        <w:jc w:val="both"/>
        <w:rPr>
          <w:rFonts w:ascii="Arial" w:hAnsi="Arial" w:cs="Arial"/>
        </w:rPr>
      </w:pPr>
      <w:bookmarkStart w:id="0" w:name="_Hlk219284361"/>
      <w:bookmarkStart w:id="1" w:name="_Hlk198031404"/>
      <w:bookmarkStart w:id="2" w:name="_Hlk219128673"/>
      <w:r w:rsidRPr="009D7C33">
        <w:rPr>
          <w:rFonts w:ascii="Arial" w:hAnsi="Arial" w:cs="Arial"/>
        </w:rPr>
        <w:t>Disclaimer (Artificial intelligence)</w:t>
      </w:r>
    </w:p>
    <w:p w14:paraId="20BE6F1F" w14:textId="77777777" w:rsidR="00610FA5" w:rsidRPr="009D7C33" w:rsidRDefault="00610FA5" w:rsidP="009D7C33">
      <w:pPr>
        <w:pStyle w:val="NoSpacing"/>
        <w:spacing w:line="276" w:lineRule="auto"/>
        <w:jc w:val="both"/>
        <w:rPr>
          <w:rFonts w:ascii="Arial" w:hAnsi="Arial" w:cs="Arial"/>
        </w:rPr>
      </w:pPr>
    </w:p>
    <w:p w14:paraId="44B9C2D1" w14:textId="77777777" w:rsidR="00610FA5" w:rsidRPr="009D7C33" w:rsidRDefault="00610FA5" w:rsidP="009D7C33">
      <w:pPr>
        <w:pStyle w:val="NoSpacing"/>
        <w:spacing w:line="276" w:lineRule="auto"/>
        <w:jc w:val="both"/>
        <w:rPr>
          <w:rFonts w:ascii="Arial" w:hAnsi="Arial" w:cs="Arial"/>
        </w:rPr>
      </w:pPr>
      <w:r w:rsidRPr="009D7C33">
        <w:rPr>
          <w:rFonts w:ascii="Arial" w:hAnsi="Arial" w:cs="Arial"/>
        </w:rPr>
        <w:t>Author(s) hereby declare that NO generative AI technologies such as Large Language Models (ChatGPT, COPILOT, etc.) and text-to-image generators have been used during the writing or editing of this manuscript</w:t>
      </w:r>
      <w:bookmarkEnd w:id="0"/>
      <w:r w:rsidRPr="009D7C33">
        <w:rPr>
          <w:rFonts w:ascii="Arial" w:hAnsi="Arial" w:cs="Arial"/>
        </w:rPr>
        <w:t xml:space="preserve">. </w:t>
      </w:r>
    </w:p>
    <w:bookmarkEnd w:id="1"/>
    <w:p w14:paraId="25739B80" w14:textId="77777777" w:rsidR="00610FA5" w:rsidRDefault="00610FA5" w:rsidP="00610FA5">
      <w:pPr>
        <w:pStyle w:val="NoSpacing"/>
        <w:rPr>
          <w:rFonts w:ascii="Arial" w:hAnsi="Arial" w:cs="Arial"/>
        </w:rPr>
      </w:pPr>
    </w:p>
    <w:bookmarkEnd w:id="2"/>
    <w:p w14:paraId="1CAED539" w14:textId="77777777" w:rsidR="00610FA5" w:rsidRPr="00C56CB9" w:rsidRDefault="00610FA5" w:rsidP="005B0F27">
      <w:pPr>
        <w:spacing w:line="360" w:lineRule="auto"/>
        <w:jc w:val="both"/>
        <w:rPr>
          <w:rFonts w:ascii="Arial" w:hAnsi="Arial" w:cs="Arial"/>
          <w:sz w:val="20"/>
          <w:szCs w:val="20"/>
        </w:rPr>
      </w:pPr>
    </w:p>
    <w:p w14:paraId="792B1580" w14:textId="586FA655" w:rsidR="00EE1FE2" w:rsidRPr="00C56CB9" w:rsidRDefault="00C6191D" w:rsidP="00C56CB9">
      <w:pPr>
        <w:spacing w:line="360" w:lineRule="auto"/>
        <w:ind w:left="567" w:hanging="567"/>
        <w:jc w:val="both"/>
        <w:rPr>
          <w:rFonts w:ascii="Arial" w:hAnsi="Arial" w:cs="Arial"/>
          <w:b/>
          <w:bCs/>
          <w:color w:val="000000" w:themeColor="text1"/>
          <w:sz w:val="20"/>
          <w:szCs w:val="20"/>
        </w:rPr>
      </w:pPr>
      <w:r w:rsidRPr="00C56CB9">
        <w:rPr>
          <w:rFonts w:ascii="Arial" w:hAnsi="Arial" w:cs="Arial"/>
          <w:b/>
          <w:bCs/>
          <w:color w:val="000000" w:themeColor="text1"/>
          <w:sz w:val="20"/>
          <w:szCs w:val="20"/>
        </w:rPr>
        <w:t>Reference</w:t>
      </w:r>
    </w:p>
    <w:p w14:paraId="04E4D3E7"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Adeyeye, S. A. O., </w:t>
      </w:r>
      <w:proofErr w:type="spellStart"/>
      <w:r w:rsidRPr="00C56CB9">
        <w:rPr>
          <w:rFonts w:ascii="Arial" w:hAnsi="Arial" w:cs="Arial"/>
          <w:color w:val="000000" w:themeColor="text1"/>
          <w:sz w:val="20"/>
          <w:szCs w:val="20"/>
        </w:rPr>
        <w:t>Ashaolu</w:t>
      </w:r>
      <w:proofErr w:type="spellEnd"/>
      <w:r w:rsidRPr="00C56CB9">
        <w:rPr>
          <w:rFonts w:ascii="Arial" w:hAnsi="Arial" w:cs="Arial"/>
          <w:color w:val="000000" w:themeColor="text1"/>
          <w:sz w:val="20"/>
          <w:szCs w:val="20"/>
        </w:rPr>
        <w:t xml:space="preserve">, T. J., &amp; Babu, A. S. (2022). Food Drying: A Review. </w:t>
      </w:r>
      <w:r w:rsidRPr="00C56CB9">
        <w:rPr>
          <w:rFonts w:ascii="Arial" w:hAnsi="Arial" w:cs="Arial"/>
          <w:i/>
          <w:iCs/>
          <w:color w:val="000000" w:themeColor="text1"/>
          <w:sz w:val="20"/>
          <w:szCs w:val="20"/>
        </w:rPr>
        <w:t>Agricultural Reviews</w:t>
      </w:r>
      <w:r w:rsidRPr="00C56CB9">
        <w:rPr>
          <w:rFonts w:ascii="Arial" w:hAnsi="Arial" w:cs="Arial"/>
          <w:color w:val="000000" w:themeColor="text1"/>
          <w:sz w:val="20"/>
          <w:szCs w:val="20"/>
        </w:rPr>
        <w:t>, 46(1), 86–93.  Doi: 10.18805/</w:t>
      </w:r>
      <w:proofErr w:type="gramStart"/>
      <w:r w:rsidRPr="00C56CB9">
        <w:rPr>
          <w:rFonts w:ascii="Arial" w:hAnsi="Arial" w:cs="Arial"/>
          <w:color w:val="000000" w:themeColor="text1"/>
          <w:sz w:val="20"/>
          <w:szCs w:val="20"/>
        </w:rPr>
        <w:t>ag.R</w:t>
      </w:r>
      <w:proofErr w:type="gramEnd"/>
      <w:r w:rsidRPr="00C56CB9">
        <w:rPr>
          <w:rFonts w:ascii="Arial" w:hAnsi="Arial" w:cs="Arial"/>
          <w:color w:val="000000" w:themeColor="text1"/>
          <w:sz w:val="20"/>
          <w:szCs w:val="20"/>
        </w:rPr>
        <w:t>-2537</w:t>
      </w:r>
    </w:p>
    <w:p w14:paraId="59A1F6E5" w14:textId="7BFB1FA2"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Aghaei, Z., </w:t>
      </w:r>
      <w:proofErr w:type="gramStart"/>
      <w:r w:rsidRPr="00C56CB9">
        <w:rPr>
          <w:rFonts w:ascii="Arial" w:hAnsi="Arial" w:cs="Arial"/>
          <w:color w:val="000000" w:themeColor="text1"/>
          <w:sz w:val="20"/>
          <w:szCs w:val="20"/>
        </w:rPr>
        <w:t>Jafari,  S.</w:t>
      </w:r>
      <w:proofErr w:type="gramEnd"/>
      <w:r w:rsidRPr="00C56CB9">
        <w:rPr>
          <w:rFonts w:ascii="Arial" w:hAnsi="Arial" w:cs="Arial"/>
          <w:color w:val="000000" w:themeColor="text1"/>
          <w:sz w:val="20"/>
          <w:szCs w:val="20"/>
        </w:rPr>
        <w:t xml:space="preserve"> M., </w:t>
      </w:r>
      <w:r w:rsidR="002552DF"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Dehnad</w:t>
      </w:r>
      <w:proofErr w:type="spellEnd"/>
      <w:r w:rsidRPr="00C56CB9">
        <w:rPr>
          <w:rFonts w:ascii="Arial" w:hAnsi="Arial" w:cs="Arial"/>
          <w:color w:val="000000" w:themeColor="text1"/>
          <w:sz w:val="20"/>
          <w:szCs w:val="20"/>
        </w:rPr>
        <w:t xml:space="preserve">, D. </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2019</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Effect of Different Drying Methods on the Physicochemical Properties and Bioactive Components of Saffron Powder. </w:t>
      </w:r>
      <w:r w:rsidRPr="00C56CB9">
        <w:rPr>
          <w:rFonts w:ascii="Arial" w:hAnsi="Arial" w:cs="Arial"/>
          <w:i/>
          <w:iCs/>
          <w:color w:val="000000" w:themeColor="text1"/>
          <w:sz w:val="20"/>
          <w:szCs w:val="20"/>
        </w:rPr>
        <w:t xml:space="preserve">Plant Foods for Human Nutrition. </w:t>
      </w:r>
      <w:r w:rsidRPr="00C56CB9">
        <w:rPr>
          <w:rFonts w:ascii="Arial" w:hAnsi="Arial" w:cs="Arial"/>
          <w:color w:val="000000" w:themeColor="text1"/>
          <w:sz w:val="20"/>
          <w:szCs w:val="20"/>
        </w:rPr>
        <w:t>74:171-178. Doi: https://doi.org/10.1007/s11130-019-00729-7.</w:t>
      </w:r>
    </w:p>
    <w:p w14:paraId="35898EF3" w14:textId="77FAE086"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lastRenderedPageBreak/>
        <w:t xml:space="preserve">Ali, S., </w:t>
      </w:r>
      <w:proofErr w:type="spellStart"/>
      <w:r w:rsidRPr="00C56CB9">
        <w:rPr>
          <w:rFonts w:ascii="Arial" w:hAnsi="Arial" w:cs="Arial"/>
          <w:color w:val="000000" w:themeColor="text1"/>
          <w:sz w:val="20"/>
          <w:szCs w:val="20"/>
        </w:rPr>
        <w:t>Narwari</w:t>
      </w:r>
      <w:proofErr w:type="spellEnd"/>
      <w:r w:rsidRPr="00C56CB9">
        <w:rPr>
          <w:rFonts w:ascii="Arial" w:hAnsi="Arial" w:cs="Arial"/>
          <w:color w:val="000000" w:themeColor="text1"/>
          <w:sz w:val="20"/>
          <w:szCs w:val="20"/>
        </w:rPr>
        <w:t xml:space="preserve">, I. R., </w:t>
      </w:r>
      <w:r w:rsidR="002552DF"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Faisal, S. </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Response Surface Optimization of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of Bitter Gourd Slices. </w:t>
      </w:r>
      <w:r w:rsidRPr="00C56CB9">
        <w:rPr>
          <w:rFonts w:ascii="Arial" w:hAnsi="Arial" w:cs="Arial"/>
          <w:i/>
          <w:iCs/>
          <w:color w:val="000000" w:themeColor="text1"/>
          <w:sz w:val="20"/>
          <w:szCs w:val="20"/>
        </w:rPr>
        <w:t>Journal of Agricultural Engineering (India)</w:t>
      </w:r>
      <w:r w:rsidRPr="00C56CB9">
        <w:rPr>
          <w:rFonts w:ascii="Arial" w:hAnsi="Arial" w:cs="Arial"/>
          <w:color w:val="000000" w:themeColor="text1"/>
          <w:sz w:val="20"/>
          <w:szCs w:val="20"/>
        </w:rPr>
        <w:t>, 61(1), 52–66. Doi: https://doi.org/10.52151/jae2024611.1829</w:t>
      </w:r>
    </w:p>
    <w:p w14:paraId="793DDF5C" w14:textId="6A7F141B"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Arslan-</w:t>
      </w:r>
      <w:proofErr w:type="spellStart"/>
      <w:r w:rsidRPr="00C56CB9">
        <w:rPr>
          <w:rFonts w:ascii="Arial" w:hAnsi="Arial" w:cs="Arial"/>
          <w:color w:val="000000" w:themeColor="text1"/>
          <w:sz w:val="20"/>
          <w:szCs w:val="20"/>
        </w:rPr>
        <w:t>Tontul</w:t>
      </w:r>
      <w:proofErr w:type="spellEnd"/>
      <w:r w:rsidRPr="00C56CB9">
        <w:rPr>
          <w:rFonts w:ascii="Arial" w:hAnsi="Arial" w:cs="Arial"/>
          <w:color w:val="000000" w:themeColor="text1"/>
          <w:sz w:val="20"/>
          <w:szCs w:val="20"/>
        </w:rPr>
        <w:t xml:space="preserve">, S., </w:t>
      </w:r>
      <w:proofErr w:type="spellStart"/>
      <w:r w:rsidRPr="00C56CB9">
        <w:rPr>
          <w:rFonts w:ascii="Arial" w:hAnsi="Arial" w:cs="Arial"/>
          <w:color w:val="000000" w:themeColor="text1"/>
          <w:sz w:val="20"/>
          <w:szCs w:val="20"/>
        </w:rPr>
        <w:t>Günışık</w:t>
      </w:r>
      <w:proofErr w:type="spellEnd"/>
      <w:r w:rsidRPr="00C56CB9">
        <w:rPr>
          <w:rFonts w:ascii="Arial" w:hAnsi="Arial" w:cs="Arial"/>
          <w:color w:val="000000" w:themeColor="text1"/>
          <w:sz w:val="20"/>
          <w:szCs w:val="20"/>
        </w:rPr>
        <w:t xml:space="preserve">, A., &amp; </w:t>
      </w:r>
      <w:proofErr w:type="spellStart"/>
      <w:r w:rsidRPr="00C56CB9">
        <w:rPr>
          <w:rFonts w:ascii="Arial" w:hAnsi="Arial" w:cs="Arial"/>
          <w:color w:val="000000" w:themeColor="text1"/>
          <w:sz w:val="20"/>
          <w:szCs w:val="20"/>
        </w:rPr>
        <w:t>Tontul</w:t>
      </w:r>
      <w:proofErr w:type="spellEnd"/>
      <w:r w:rsidRPr="00C56CB9">
        <w:rPr>
          <w:rFonts w:ascii="Arial" w:hAnsi="Arial" w:cs="Arial"/>
          <w:color w:val="000000" w:themeColor="text1"/>
          <w:sz w:val="20"/>
          <w:szCs w:val="20"/>
        </w:rPr>
        <w:t xml:space="preserve">, I. </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Moisture sorption isotherm and thermodynamic analysis of egg powders dried by foam-mat-assisted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w:t>
      </w:r>
      <w:r w:rsidRPr="00C56CB9">
        <w:rPr>
          <w:rFonts w:ascii="Arial" w:hAnsi="Arial" w:cs="Arial"/>
          <w:i/>
          <w:iCs/>
          <w:color w:val="000000" w:themeColor="text1"/>
          <w:sz w:val="20"/>
          <w:szCs w:val="20"/>
        </w:rPr>
        <w:t>J. Sci. Food Agric</w:t>
      </w:r>
      <w:r w:rsidRPr="00C56CB9">
        <w:rPr>
          <w:rFonts w:ascii="Arial" w:hAnsi="Arial" w:cs="Arial"/>
          <w:color w:val="000000" w:themeColor="text1"/>
          <w:sz w:val="20"/>
          <w:szCs w:val="20"/>
        </w:rPr>
        <w:t xml:space="preserve">.104(14): 8646-8654. </w:t>
      </w:r>
      <w:proofErr w:type="spellStart"/>
      <w:r w:rsidRPr="00C56CB9">
        <w:rPr>
          <w:rFonts w:ascii="Arial" w:hAnsi="Arial" w:cs="Arial"/>
          <w:color w:val="000000" w:themeColor="text1"/>
          <w:sz w:val="20"/>
          <w:szCs w:val="20"/>
        </w:rPr>
        <w:t>doi</w:t>
      </w:r>
      <w:proofErr w:type="spellEnd"/>
      <w:r w:rsidRPr="00C56CB9">
        <w:rPr>
          <w:rFonts w:ascii="Arial" w:hAnsi="Arial" w:cs="Arial"/>
          <w:color w:val="000000" w:themeColor="text1"/>
          <w:sz w:val="20"/>
          <w:szCs w:val="20"/>
        </w:rPr>
        <w:t>: 10.1002/jsfa.13692</w:t>
      </w:r>
    </w:p>
    <w:p w14:paraId="55AEB984" w14:textId="500ABD5F"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Ayala-Aponte, A. A., Cárdenas-Nieto, J. D., &amp; Tirado, D. F. </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2021</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Aloe vera Gel Drying by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Kinetics and High-Quality Retention. </w:t>
      </w:r>
      <w:r w:rsidRPr="00C56CB9">
        <w:rPr>
          <w:rFonts w:ascii="Arial" w:hAnsi="Arial" w:cs="Arial"/>
          <w:i/>
          <w:iCs/>
          <w:color w:val="000000" w:themeColor="text1"/>
          <w:sz w:val="20"/>
          <w:szCs w:val="20"/>
        </w:rPr>
        <w:t>Foods</w:t>
      </w:r>
      <w:r w:rsidRPr="00C56CB9">
        <w:rPr>
          <w:rFonts w:ascii="Arial" w:hAnsi="Arial" w:cs="Arial"/>
          <w:color w:val="000000" w:themeColor="text1"/>
          <w:sz w:val="20"/>
          <w:szCs w:val="20"/>
        </w:rPr>
        <w:t xml:space="preserve">, 10(7), 1445. </w:t>
      </w:r>
      <w:proofErr w:type="gramStart"/>
      <w:r w:rsidRPr="00C56CB9">
        <w:rPr>
          <w:rFonts w:ascii="Arial" w:hAnsi="Arial" w:cs="Arial"/>
          <w:color w:val="000000" w:themeColor="text1"/>
          <w:sz w:val="20"/>
          <w:szCs w:val="20"/>
        </w:rPr>
        <w:t>Doi .</w:t>
      </w:r>
      <w:proofErr w:type="gramEnd"/>
      <w:r w:rsidRPr="00C56CB9">
        <w:rPr>
          <w:rFonts w:ascii="Arial" w:hAnsi="Arial" w:cs="Arial"/>
          <w:color w:val="000000" w:themeColor="text1"/>
          <w:sz w:val="20"/>
          <w:szCs w:val="20"/>
        </w:rPr>
        <w:t xml:space="preserve"> https://doi.org/10.3390/ foods10071445</w:t>
      </w:r>
    </w:p>
    <w:p w14:paraId="2B0FE8C7"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Bordoloi, T., &amp; Hazarika, M. K. (2024). Effects of instant controlled pressure drop treatment combined with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on infusion quality of made green tea. </w:t>
      </w:r>
      <w:r w:rsidRPr="00C56CB9">
        <w:rPr>
          <w:rFonts w:ascii="Arial" w:hAnsi="Arial" w:cs="Arial"/>
          <w:i/>
          <w:iCs/>
          <w:color w:val="000000" w:themeColor="text1"/>
          <w:sz w:val="20"/>
          <w:szCs w:val="20"/>
        </w:rPr>
        <w:t>Journal of the Science of Food and Agriculture</w:t>
      </w:r>
      <w:r w:rsidRPr="00C56CB9">
        <w:rPr>
          <w:rFonts w:ascii="Arial" w:hAnsi="Arial" w:cs="Arial"/>
          <w:color w:val="000000" w:themeColor="text1"/>
          <w:sz w:val="20"/>
          <w:szCs w:val="20"/>
        </w:rPr>
        <w:t xml:space="preserve">, 104(10), 6053–6061. Doi: </w:t>
      </w:r>
      <w:hyperlink r:id="rId13" w:history="1">
        <w:r w:rsidRPr="00C56CB9">
          <w:rPr>
            <w:rStyle w:val="Hyperlink"/>
            <w:rFonts w:ascii="Arial" w:hAnsi="Arial" w:cs="Arial"/>
            <w:color w:val="000000" w:themeColor="text1"/>
            <w:sz w:val="20"/>
            <w:szCs w:val="20"/>
          </w:rPr>
          <w:t>https://doi.org/10.1002/jsfa.13477</w:t>
        </w:r>
      </w:hyperlink>
    </w:p>
    <w:p w14:paraId="1C61DC62" w14:textId="408EC3FE"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Borse, S. M., Gupta, S. V., &amp; Patil, B. N. </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2025</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A review on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of fruits. </w:t>
      </w:r>
      <w:r w:rsidRPr="00C56CB9">
        <w:rPr>
          <w:rFonts w:ascii="Arial" w:hAnsi="Arial" w:cs="Arial"/>
          <w:i/>
          <w:iCs/>
          <w:color w:val="000000" w:themeColor="text1"/>
          <w:sz w:val="20"/>
          <w:szCs w:val="20"/>
        </w:rPr>
        <w:t>International Journal of Advanced Biochemistry Research</w:t>
      </w:r>
      <w:r w:rsidRPr="00C56CB9">
        <w:rPr>
          <w:rFonts w:ascii="Arial" w:hAnsi="Arial" w:cs="Arial"/>
          <w:color w:val="000000" w:themeColor="text1"/>
          <w:sz w:val="20"/>
          <w:szCs w:val="20"/>
        </w:rPr>
        <w:t xml:space="preserve">, 9(1), 472–482. DOI: </w:t>
      </w:r>
      <w:hyperlink r:id="rId14" w:history="1">
        <w:r w:rsidRPr="00C56CB9">
          <w:rPr>
            <w:rStyle w:val="Hyperlink"/>
            <w:rFonts w:ascii="Arial" w:hAnsi="Arial" w:cs="Arial"/>
            <w:color w:val="000000" w:themeColor="text1"/>
            <w:sz w:val="20"/>
            <w:szCs w:val="20"/>
          </w:rPr>
          <w:t xml:space="preserve">https://doi.org/10.33545/26174693.2025.v9.i1f.3558 </w:t>
        </w:r>
      </w:hyperlink>
    </w:p>
    <w:p w14:paraId="71505704" w14:textId="687660DC"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Calderón-Chiu, C., Martínez-Sánchez, C. E., Rodríguez-Miranda, J., Juárez-Barrientos, J. M., Carmona-García, R. </w:t>
      </w:r>
      <w:r w:rsidR="002552DF"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Herman-Lara, E. </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2020</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Evaluation of the combined effect of osmotic and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on the drying kinetics, physical, and phytochemical properties of beet. </w:t>
      </w:r>
      <w:r w:rsidRPr="00C56CB9">
        <w:rPr>
          <w:rFonts w:ascii="Arial" w:hAnsi="Arial" w:cs="Arial"/>
          <w:i/>
          <w:iCs/>
          <w:color w:val="000000" w:themeColor="text1"/>
          <w:sz w:val="20"/>
          <w:szCs w:val="20"/>
        </w:rPr>
        <w:t>Drying Technology</w:t>
      </w:r>
      <w:r w:rsidRPr="00C56CB9">
        <w:rPr>
          <w:rFonts w:ascii="Arial" w:hAnsi="Arial" w:cs="Arial"/>
          <w:color w:val="000000" w:themeColor="text1"/>
          <w:sz w:val="20"/>
          <w:szCs w:val="20"/>
        </w:rPr>
        <w:t xml:space="preserve">, 38(12), 1663–1675. Doi: </w:t>
      </w:r>
      <w:hyperlink r:id="rId15" w:tgtFrame="_blank" w:history="1">
        <w:r w:rsidRPr="00C56CB9">
          <w:rPr>
            <w:rStyle w:val="Hyperlink"/>
            <w:rFonts w:ascii="Arial" w:hAnsi="Arial" w:cs="Arial"/>
            <w:color w:val="000000" w:themeColor="text1"/>
            <w:sz w:val="20"/>
            <w:szCs w:val="20"/>
          </w:rPr>
          <w:t>0.1080/07373937.2019.1655439</w:t>
        </w:r>
      </w:hyperlink>
    </w:p>
    <w:p w14:paraId="3227363B" w14:textId="55272F29" w:rsidR="00EE1FE2" w:rsidRPr="00C56CB9" w:rsidRDefault="00EE1FE2" w:rsidP="00C56CB9">
      <w:pPr>
        <w:spacing w:line="360" w:lineRule="auto"/>
        <w:ind w:left="567" w:hanging="567"/>
        <w:jc w:val="both"/>
        <w:rPr>
          <w:rFonts w:ascii="Arial" w:hAnsi="Arial" w:cs="Arial"/>
          <w:color w:val="000000" w:themeColor="text1"/>
          <w:sz w:val="20"/>
          <w:szCs w:val="20"/>
        </w:rPr>
      </w:pPr>
      <w:proofErr w:type="spellStart"/>
      <w:r w:rsidRPr="00C56CB9">
        <w:rPr>
          <w:rFonts w:ascii="Arial" w:hAnsi="Arial" w:cs="Arial"/>
          <w:color w:val="000000" w:themeColor="text1"/>
          <w:sz w:val="20"/>
          <w:szCs w:val="20"/>
        </w:rPr>
        <w:t>Elfia</w:t>
      </w:r>
      <w:proofErr w:type="spellEnd"/>
      <w:r w:rsidRPr="00C56CB9">
        <w:rPr>
          <w:rFonts w:ascii="Arial" w:hAnsi="Arial" w:cs="Arial"/>
          <w:color w:val="000000" w:themeColor="text1"/>
          <w:sz w:val="20"/>
          <w:szCs w:val="20"/>
        </w:rPr>
        <w:t xml:space="preserve">, H. Y. </w:t>
      </w:r>
      <w:r w:rsidR="002552DF"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Susilo, S. </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2023</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 An update on the pharmacology, phytochemistry, and toxicity of </w:t>
      </w:r>
      <w:r w:rsidRPr="00C56CB9">
        <w:rPr>
          <w:rFonts w:ascii="Arial" w:hAnsi="Arial" w:cs="Arial"/>
          <w:i/>
          <w:iCs/>
          <w:color w:val="000000" w:themeColor="text1"/>
          <w:sz w:val="20"/>
          <w:szCs w:val="20"/>
        </w:rPr>
        <w:t>Myristica fragrans </w:t>
      </w:r>
      <w:proofErr w:type="spellStart"/>
      <w:r w:rsidRPr="00C56CB9">
        <w:rPr>
          <w:rFonts w:ascii="Arial" w:hAnsi="Arial" w:cs="Arial"/>
          <w:color w:val="000000" w:themeColor="text1"/>
          <w:sz w:val="20"/>
          <w:szCs w:val="20"/>
        </w:rPr>
        <w:t>Houtt</w:t>
      </w:r>
      <w:proofErr w:type="spellEnd"/>
      <w:r w:rsidRPr="00C56CB9">
        <w:rPr>
          <w:rFonts w:ascii="Arial" w:hAnsi="Arial" w:cs="Arial"/>
          <w:color w:val="000000" w:themeColor="text1"/>
          <w:sz w:val="20"/>
          <w:szCs w:val="20"/>
        </w:rPr>
        <w:t xml:space="preserve">. as a source of treatment: A scoping review. </w:t>
      </w:r>
      <w:r w:rsidRPr="00C56CB9">
        <w:rPr>
          <w:rFonts w:ascii="Arial" w:hAnsi="Arial" w:cs="Arial"/>
          <w:i/>
          <w:iCs/>
          <w:color w:val="000000" w:themeColor="text1"/>
          <w:sz w:val="20"/>
          <w:szCs w:val="20"/>
        </w:rPr>
        <w:t xml:space="preserve">J. Appl. Pharm. Sci. </w:t>
      </w:r>
      <w:r w:rsidRPr="00C56CB9">
        <w:rPr>
          <w:rFonts w:ascii="Arial" w:hAnsi="Arial" w:cs="Arial"/>
          <w:color w:val="000000" w:themeColor="text1"/>
          <w:sz w:val="20"/>
          <w:szCs w:val="20"/>
        </w:rPr>
        <w:t xml:space="preserve">13(10): 92-106 Doi: </w:t>
      </w:r>
      <w:hyperlink r:id="rId16" w:history="1">
        <w:r w:rsidRPr="00C56CB9">
          <w:rPr>
            <w:rStyle w:val="Hyperlink"/>
            <w:rFonts w:ascii="Arial" w:hAnsi="Arial" w:cs="Arial"/>
            <w:color w:val="000000" w:themeColor="text1"/>
            <w:sz w:val="20"/>
            <w:szCs w:val="20"/>
          </w:rPr>
          <w:t>http://doi.org/10.7324/JAPS.2023.137812</w:t>
        </w:r>
      </w:hyperlink>
    </w:p>
    <w:p w14:paraId="25583FFD" w14:textId="1FF1CBAD" w:rsidR="00EE1FE2" w:rsidRPr="00C56CB9" w:rsidRDefault="00EE1FE2" w:rsidP="00C56CB9">
      <w:pPr>
        <w:spacing w:line="360" w:lineRule="auto"/>
        <w:ind w:left="567" w:hanging="567"/>
        <w:jc w:val="both"/>
        <w:rPr>
          <w:rFonts w:ascii="Arial" w:hAnsi="Arial" w:cs="Arial"/>
          <w:color w:val="000000" w:themeColor="text1"/>
          <w:sz w:val="20"/>
          <w:szCs w:val="20"/>
        </w:rPr>
      </w:pPr>
      <w:proofErr w:type="spellStart"/>
      <w:r w:rsidRPr="00C56CB9">
        <w:rPr>
          <w:rFonts w:ascii="Arial" w:hAnsi="Arial" w:cs="Arial"/>
          <w:color w:val="000000" w:themeColor="text1"/>
          <w:sz w:val="20"/>
          <w:szCs w:val="20"/>
        </w:rPr>
        <w:t>Günışık</w:t>
      </w:r>
      <w:proofErr w:type="spellEnd"/>
      <w:r w:rsidRPr="00C56CB9">
        <w:rPr>
          <w:rFonts w:ascii="Arial" w:hAnsi="Arial" w:cs="Arial"/>
          <w:color w:val="000000" w:themeColor="text1"/>
          <w:sz w:val="20"/>
          <w:szCs w:val="20"/>
        </w:rPr>
        <w:t xml:space="preserve">, A., &amp; </w:t>
      </w:r>
      <w:proofErr w:type="spellStart"/>
      <w:r w:rsidRPr="00C56CB9">
        <w:rPr>
          <w:rFonts w:ascii="Arial" w:hAnsi="Arial" w:cs="Arial"/>
          <w:color w:val="000000" w:themeColor="text1"/>
          <w:sz w:val="20"/>
          <w:szCs w:val="20"/>
        </w:rPr>
        <w:t>Tontul</w:t>
      </w:r>
      <w:proofErr w:type="spellEnd"/>
      <w:r w:rsidRPr="00C56CB9">
        <w:rPr>
          <w:rFonts w:ascii="Arial" w:hAnsi="Arial" w:cs="Arial"/>
          <w:color w:val="000000" w:themeColor="text1"/>
          <w:sz w:val="20"/>
          <w:szCs w:val="20"/>
        </w:rPr>
        <w:t xml:space="preserve">, I. </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Effect of foaming and drying temperature on the physical, chemical, and functional properties of egg white powders produced using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w:t>
      </w:r>
      <w:r w:rsidRPr="00C56CB9">
        <w:rPr>
          <w:rFonts w:ascii="Arial" w:hAnsi="Arial" w:cs="Arial"/>
          <w:i/>
          <w:iCs/>
          <w:color w:val="000000" w:themeColor="text1"/>
          <w:sz w:val="20"/>
          <w:szCs w:val="20"/>
        </w:rPr>
        <w:t>Drying Technology</w:t>
      </w:r>
      <w:r w:rsidRPr="00C56CB9">
        <w:rPr>
          <w:rFonts w:ascii="Arial" w:hAnsi="Arial" w:cs="Arial"/>
          <w:color w:val="000000" w:themeColor="text1"/>
          <w:sz w:val="20"/>
          <w:szCs w:val="20"/>
        </w:rPr>
        <w:t xml:space="preserve">, 42(11), 1698–1708. Doi: </w:t>
      </w:r>
      <w:hyperlink r:id="rId17" w:history="1">
        <w:r w:rsidRPr="00C56CB9">
          <w:rPr>
            <w:rStyle w:val="Hyperlink"/>
            <w:rFonts w:ascii="Arial" w:hAnsi="Arial" w:cs="Arial"/>
            <w:color w:val="000000" w:themeColor="text1"/>
            <w:sz w:val="20"/>
            <w:szCs w:val="20"/>
          </w:rPr>
          <w:t>https://doi.org/10.1080/07373937.2024.2385808</w:t>
        </w:r>
      </w:hyperlink>
    </w:p>
    <w:p w14:paraId="459B9C7C" w14:textId="408D455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Hasan, M. M., EL-Badry, N., Ghanem, T. H., &amp; Nasr, A. </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Quality attributes of dried guava pulp using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Vs. hot air drying. </w:t>
      </w:r>
      <w:r w:rsidRPr="00C56CB9">
        <w:rPr>
          <w:rFonts w:ascii="Arial" w:hAnsi="Arial" w:cs="Arial"/>
          <w:i/>
          <w:iCs/>
          <w:color w:val="000000" w:themeColor="text1"/>
          <w:sz w:val="20"/>
          <w:szCs w:val="20"/>
        </w:rPr>
        <w:t>Al-Azhar Journal of Agricultural Research</w:t>
      </w:r>
      <w:r w:rsidRPr="00C56CB9">
        <w:rPr>
          <w:rFonts w:ascii="Arial" w:hAnsi="Arial" w:cs="Arial"/>
          <w:color w:val="000000" w:themeColor="text1"/>
          <w:sz w:val="20"/>
          <w:szCs w:val="20"/>
        </w:rPr>
        <w:t>, 49(2), 34–49.</w:t>
      </w:r>
    </w:p>
    <w:p w14:paraId="7DCF1723" w14:textId="437AAF69"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He, J., Song, W., Li, J., Ding, T., Guan, J., Wu, J., &amp; Wang, J. </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2552DF"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Study on a Moisture Ratio Curve Model for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Based on a D-Optimal Mixture Design. </w:t>
      </w:r>
      <w:r w:rsidRPr="00C56CB9">
        <w:rPr>
          <w:rFonts w:ascii="Arial" w:hAnsi="Arial" w:cs="Arial"/>
          <w:i/>
          <w:iCs/>
          <w:color w:val="000000" w:themeColor="text1"/>
          <w:sz w:val="20"/>
          <w:szCs w:val="20"/>
        </w:rPr>
        <w:t>Journal of Food Quality</w:t>
      </w:r>
      <w:r w:rsidRPr="00C56CB9">
        <w:rPr>
          <w:rFonts w:ascii="Arial" w:hAnsi="Arial" w:cs="Arial"/>
          <w:color w:val="000000" w:themeColor="text1"/>
          <w:sz w:val="20"/>
          <w:szCs w:val="20"/>
        </w:rPr>
        <w:t xml:space="preserve">, 2024. Doi: </w:t>
      </w:r>
      <w:hyperlink r:id="rId18" w:history="1">
        <w:r w:rsidRPr="00C56CB9">
          <w:rPr>
            <w:rStyle w:val="Hyperlink"/>
            <w:rFonts w:ascii="Arial" w:hAnsi="Arial" w:cs="Arial"/>
            <w:color w:val="000000" w:themeColor="text1"/>
            <w:sz w:val="20"/>
            <w:szCs w:val="20"/>
          </w:rPr>
          <w:t>https://doi.org/10.1155/2024/8604374</w:t>
        </w:r>
      </w:hyperlink>
    </w:p>
    <w:p w14:paraId="0CB78E9B"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Hernández-Santos, B., Martínez-Sánchez, C. E., </w:t>
      </w:r>
      <w:proofErr w:type="spellStart"/>
      <w:r w:rsidRPr="00C56CB9">
        <w:rPr>
          <w:rFonts w:ascii="Arial" w:hAnsi="Arial" w:cs="Arial"/>
          <w:color w:val="000000" w:themeColor="text1"/>
          <w:sz w:val="20"/>
          <w:szCs w:val="20"/>
        </w:rPr>
        <w:t>Torruco</w:t>
      </w:r>
      <w:proofErr w:type="spellEnd"/>
      <w:r w:rsidRPr="00C56CB9">
        <w:rPr>
          <w:rFonts w:ascii="Arial" w:hAnsi="Arial" w:cs="Arial"/>
          <w:color w:val="000000" w:themeColor="text1"/>
          <w:sz w:val="20"/>
          <w:szCs w:val="20"/>
        </w:rPr>
        <w:t xml:space="preserve">-Uco, J. G., Rodríguez-Miranda, J., Ruiz-López, I. I., </w:t>
      </w:r>
      <w:proofErr w:type="spellStart"/>
      <w:r w:rsidRPr="00C56CB9">
        <w:rPr>
          <w:rFonts w:ascii="Arial" w:hAnsi="Arial" w:cs="Arial"/>
          <w:color w:val="000000" w:themeColor="text1"/>
          <w:sz w:val="20"/>
          <w:szCs w:val="20"/>
        </w:rPr>
        <w:t>Vajando</w:t>
      </w:r>
      <w:proofErr w:type="spellEnd"/>
      <w:r w:rsidRPr="00C56CB9">
        <w:rPr>
          <w:rFonts w:ascii="Arial" w:hAnsi="Arial" w:cs="Arial"/>
          <w:color w:val="000000" w:themeColor="text1"/>
          <w:sz w:val="20"/>
          <w:szCs w:val="20"/>
        </w:rPr>
        <w:t xml:space="preserve">-Anaya, E. S., Carmona-García, R., &amp; Herman-Lara, E. (2016). Evaluation of physical and chemical properties of carrots dried by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w:t>
      </w:r>
      <w:r w:rsidRPr="00C56CB9">
        <w:rPr>
          <w:rFonts w:ascii="Arial" w:hAnsi="Arial" w:cs="Arial"/>
          <w:i/>
          <w:iCs/>
          <w:color w:val="000000" w:themeColor="text1"/>
          <w:sz w:val="20"/>
          <w:szCs w:val="20"/>
        </w:rPr>
        <w:t>Drying Technology</w:t>
      </w:r>
      <w:r w:rsidRPr="00C56CB9">
        <w:rPr>
          <w:rFonts w:ascii="Arial" w:hAnsi="Arial" w:cs="Arial"/>
          <w:color w:val="000000" w:themeColor="text1"/>
          <w:sz w:val="20"/>
          <w:szCs w:val="20"/>
        </w:rPr>
        <w:t>. 34(12): 14114-1422.</w:t>
      </w:r>
    </w:p>
    <w:p w14:paraId="78E69191"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lastRenderedPageBreak/>
        <w:t xml:space="preserve">Herrera, P. A., </w:t>
      </w:r>
      <w:proofErr w:type="spellStart"/>
      <w:r w:rsidRPr="00C56CB9">
        <w:rPr>
          <w:rFonts w:ascii="Arial" w:hAnsi="Arial" w:cs="Arial"/>
          <w:color w:val="000000" w:themeColor="text1"/>
          <w:sz w:val="20"/>
          <w:szCs w:val="20"/>
        </w:rPr>
        <w:t>Santagapita</w:t>
      </w:r>
      <w:proofErr w:type="spellEnd"/>
      <w:r w:rsidRPr="00C56CB9">
        <w:rPr>
          <w:rFonts w:ascii="Arial" w:hAnsi="Arial" w:cs="Arial"/>
          <w:color w:val="000000" w:themeColor="text1"/>
          <w:sz w:val="20"/>
          <w:szCs w:val="20"/>
        </w:rPr>
        <w:t xml:space="preserve">, P. R., &amp; Moreno, F. L. (2025).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A new approach for producing high-quality powdered dairy products. </w:t>
      </w:r>
      <w:r w:rsidRPr="00C56CB9">
        <w:rPr>
          <w:rFonts w:ascii="Arial" w:hAnsi="Arial" w:cs="Arial"/>
          <w:i/>
          <w:iCs/>
          <w:color w:val="000000" w:themeColor="text1"/>
          <w:sz w:val="20"/>
          <w:szCs w:val="20"/>
        </w:rPr>
        <w:t>Journal of Dairy Science</w:t>
      </w:r>
      <w:r w:rsidRPr="00C56CB9">
        <w:rPr>
          <w:rFonts w:ascii="Arial" w:hAnsi="Arial" w:cs="Arial"/>
          <w:color w:val="000000" w:themeColor="text1"/>
          <w:sz w:val="20"/>
          <w:szCs w:val="20"/>
        </w:rPr>
        <w:t>, 108(3), 2324–2339.</w:t>
      </w:r>
    </w:p>
    <w:p w14:paraId="406B6FE5" w14:textId="751BEA65"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Kaveh, M., Zomorodi, S., </w:t>
      </w:r>
      <w:proofErr w:type="spellStart"/>
      <w:r w:rsidRPr="00C56CB9">
        <w:rPr>
          <w:rFonts w:ascii="Arial" w:hAnsi="Arial" w:cs="Arial"/>
          <w:color w:val="000000" w:themeColor="text1"/>
          <w:sz w:val="20"/>
          <w:szCs w:val="20"/>
        </w:rPr>
        <w:t>Gheisary</w:t>
      </w:r>
      <w:proofErr w:type="spellEnd"/>
      <w:r w:rsidRPr="00C56CB9">
        <w:rPr>
          <w:rFonts w:ascii="Arial" w:hAnsi="Arial" w:cs="Arial"/>
          <w:color w:val="000000" w:themeColor="text1"/>
          <w:sz w:val="20"/>
          <w:szCs w:val="20"/>
        </w:rPr>
        <w:t xml:space="preserve">, B., </w:t>
      </w:r>
      <w:proofErr w:type="spellStart"/>
      <w:r w:rsidRPr="00C56CB9">
        <w:rPr>
          <w:rFonts w:ascii="Arial" w:hAnsi="Arial" w:cs="Arial"/>
          <w:color w:val="000000" w:themeColor="text1"/>
          <w:sz w:val="20"/>
          <w:szCs w:val="20"/>
        </w:rPr>
        <w:t>Elmesiry</w:t>
      </w:r>
      <w:proofErr w:type="spellEnd"/>
      <w:r w:rsidRPr="00C56CB9">
        <w:rPr>
          <w:rFonts w:ascii="Arial" w:hAnsi="Arial" w:cs="Arial"/>
          <w:color w:val="000000" w:themeColor="text1"/>
          <w:sz w:val="20"/>
          <w:szCs w:val="20"/>
        </w:rPr>
        <w:t xml:space="preserve">, H., Sharifian, F., </w:t>
      </w:r>
      <w:proofErr w:type="spellStart"/>
      <w:r w:rsidRPr="00C56CB9">
        <w:rPr>
          <w:rFonts w:ascii="Arial" w:hAnsi="Arial" w:cs="Arial"/>
          <w:color w:val="000000" w:themeColor="text1"/>
          <w:sz w:val="20"/>
          <w:szCs w:val="20"/>
        </w:rPr>
        <w:t>Elmesiry</w:t>
      </w:r>
      <w:proofErr w:type="spellEnd"/>
      <w:r w:rsidRPr="00C56CB9">
        <w:rPr>
          <w:rFonts w:ascii="Arial" w:hAnsi="Arial" w:cs="Arial"/>
          <w:color w:val="000000" w:themeColor="text1"/>
          <w:sz w:val="20"/>
          <w:szCs w:val="20"/>
        </w:rPr>
        <w:t xml:space="preserve">, A. </w:t>
      </w:r>
      <w:r w:rsidR="00513E1C"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Salem, A. 2025. Impact of various drying technologies for evaluation of drying kinetics, energy consumption, physical and bioactive properties of Rose flower. </w:t>
      </w:r>
      <w:r w:rsidRPr="00C56CB9">
        <w:rPr>
          <w:rFonts w:ascii="Arial" w:hAnsi="Arial" w:cs="Arial"/>
          <w:i/>
          <w:iCs/>
          <w:color w:val="000000" w:themeColor="text1"/>
          <w:sz w:val="20"/>
          <w:szCs w:val="20"/>
        </w:rPr>
        <w:t>Scientific Reports</w:t>
      </w:r>
      <w:r w:rsidRPr="00C56CB9">
        <w:rPr>
          <w:rFonts w:ascii="Arial" w:hAnsi="Arial" w:cs="Arial"/>
          <w:color w:val="000000" w:themeColor="text1"/>
          <w:sz w:val="20"/>
          <w:szCs w:val="20"/>
        </w:rPr>
        <w:t>, 15, 6808. Doi: https://doi.org/10.1038/s41598-025-94300-x</w:t>
      </w:r>
    </w:p>
    <w:p w14:paraId="74B086B8"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Kaveh, M., Zomorodi, S., Mariusz, S., &amp; </w:t>
      </w:r>
      <w:proofErr w:type="spellStart"/>
      <w:r w:rsidRPr="00C56CB9">
        <w:rPr>
          <w:rFonts w:ascii="Arial" w:hAnsi="Arial" w:cs="Arial"/>
          <w:color w:val="000000" w:themeColor="text1"/>
          <w:sz w:val="20"/>
          <w:szCs w:val="20"/>
        </w:rPr>
        <w:t>Dziwulska-Hunek</w:t>
      </w:r>
      <w:proofErr w:type="spellEnd"/>
      <w:r w:rsidRPr="00C56CB9">
        <w:rPr>
          <w:rFonts w:ascii="Arial" w:hAnsi="Arial" w:cs="Arial"/>
          <w:color w:val="000000" w:themeColor="text1"/>
          <w:sz w:val="20"/>
          <w:szCs w:val="20"/>
        </w:rPr>
        <w:t xml:space="preserve">, A. (2024). Determination of Drying Characteristics and Physicochemical Properties of Mint (Mentha spicata L.) Leaves Dried in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w:t>
      </w:r>
      <w:r w:rsidRPr="00C56CB9">
        <w:rPr>
          <w:rFonts w:ascii="Arial" w:hAnsi="Arial" w:cs="Arial"/>
          <w:i/>
          <w:iCs/>
          <w:color w:val="000000" w:themeColor="text1"/>
          <w:sz w:val="20"/>
          <w:szCs w:val="20"/>
        </w:rPr>
        <w:t>Foods</w:t>
      </w:r>
      <w:r w:rsidRPr="00C56CB9">
        <w:rPr>
          <w:rFonts w:ascii="Arial" w:hAnsi="Arial" w:cs="Arial"/>
          <w:color w:val="000000" w:themeColor="text1"/>
          <w:sz w:val="20"/>
          <w:szCs w:val="20"/>
        </w:rPr>
        <w:t xml:space="preserve">, 13(18), 2867. </w:t>
      </w:r>
      <w:hyperlink r:id="rId19" w:history="1">
        <w:r w:rsidRPr="00C56CB9">
          <w:rPr>
            <w:rStyle w:val="Hyperlink"/>
            <w:rFonts w:ascii="Arial" w:hAnsi="Arial" w:cs="Arial"/>
            <w:color w:val="000000" w:themeColor="text1"/>
            <w:sz w:val="20"/>
            <w:szCs w:val="20"/>
          </w:rPr>
          <w:t>https://doi.org/10.3390/foods13182867</w:t>
        </w:r>
      </w:hyperlink>
    </w:p>
    <w:p w14:paraId="332D3B94" w14:textId="3B5DCFEE" w:rsidR="00EE1FE2" w:rsidRPr="00C56CB9" w:rsidRDefault="00EE1FE2" w:rsidP="00C56CB9">
      <w:pPr>
        <w:spacing w:line="360" w:lineRule="auto"/>
        <w:ind w:left="567" w:hanging="567"/>
        <w:jc w:val="both"/>
        <w:rPr>
          <w:rFonts w:ascii="Arial" w:hAnsi="Arial" w:cs="Arial"/>
          <w:color w:val="000000" w:themeColor="text1"/>
          <w:sz w:val="20"/>
          <w:szCs w:val="20"/>
        </w:rPr>
      </w:pPr>
      <w:proofErr w:type="spellStart"/>
      <w:r w:rsidRPr="00C56CB9">
        <w:rPr>
          <w:rFonts w:ascii="Arial" w:hAnsi="Arial" w:cs="Arial"/>
          <w:color w:val="000000" w:themeColor="text1"/>
          <w:sz w:val="20"/>
          <w:szCs w:val="20"/>
        </w:rPr>
        <w:t>Kheto</w:t>
      </w:r>
      <w:proofErr w:type="spellEnd"/>
      <w:r w:rsidRPr="00C56CB9">
        <w:rPr>
          <w:rFonts w:ascii="Arial" w:hAnsi="Arial" w:cs="Arial"/>
          <w:color w:val="000000" w:themeColor="text1"/>
          <w:sz w:val="20"/>
          <w:szCs w:val="20"/>
        </w:rPr>
        <w:t xml:space="preserve">, A., Achary, J. V., Bebartta, R. P., </w:t>
      </w:r>
      <w:proofErr w:type="spellStart"/>
      <w:r w:rsidRPr="00C56CB9">
        <w:rPr>
          <w:rFonts w:ascii="Arial" w:hAnsi="Arial" w:cs="Arial"/>
          <w:color w:val="000000" w:themeColor="text1"/>
          <w:sz w:val="20"/>
          <w:szCs w:val="20"/>
        </w:rPr>
        <w:t>Sehrawat</w:t>
      </w:r>
      <w:proofErr w:type="spellEnd"/>
      <w:r w:rsidRPr="00C56CB9">
        <w:rPr>
          <w:rFonts w:ascii="Arial" w:hAnsi="Arial" w:cs="Arial"/>
          <w:color w:val="000000" w:themeColor="text1"/>
          <w:sz w:val="20"/>
          <w:szCs w:val="20"/>
        </w:rPr>
        <w:t xml:space="preserve">, R., Gul, K. </w:t>
      </w:r>
      <w:r w:rsidR="00513E1C"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Mujumdar, A. S.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2025</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of Spanish cherry (</w:t>
      </w:r>
      <w:proofErr w:type="spellStart"/>
      <w:r w:rsidRPr="00C56CB9">
        <w:rPr>
          <w:rFonts w:ascii="Arial" w:hAnsi="Arial" w:cs="Arial"/>
          <w:i/>
          <w:iCs/>
          <w:color w:val="000000" w:themeColor="text1"/>
          <w:sz w:val="20"/>
          <w:szCs w:val="20"/>
        </w:rPr>
        <w:t>Mimusops</w:t>
      </w:r>
      <w:proofErr w:type="spellEnd"/>
      <w:r w:rsidRPr="00C56CB9">
        <w:rPr>
          <w:rFonts w:ascii="Arial" w:hAnsi="Arial" w:cs="Arial"/>
          <w:i/>
          <w:iCs/>
          <w:color w:val="000000" w:themeColor="text1"/>
          <w:sz w:val="20"/>
          <w:szCs w:val="20"/>
        </w:rPr>
        <w:t xml:space="preserve"> </w:t>
      </w:r>
      <w:proofErr w:type="spellStart"/>
      <w:r w:rsidRPr="00C56CB9">
        <w:rPr>
          <w:rFonts w:ascii="Arial" w:hAnsi="Arial" w:cs="Arial"/>
          <w:i/>
          <w:iCs/>
          <w:color w:val="000000" w:themeColor="text1"/>
          <w:sz w:val="20"/>
          <w:szCs w:val="20"/>
        </w:rPr>
        <w:t>elengi</w:t>
      </w:r>
      <w:proofErr w:type="spellEnd"/>
      <w:r w:rsidRPr="00C56CB9">
        <w:rPr>
          <w:rFonts w:ascii="Arial" w:hAnsi="Arial" w:cs="Arial"/>
          <w:color w:val="000000" w:themeColor="text1"/>
          <w:sz w:val="20"/>
          <w:szCs w:val="20"/>
        </w:rPr>
        <w:t xml:space="preserve"> Linn) pulp: Impacts on drying kinetics, colour, and phytochemical properties. </w:t>
      </w:r>
      <w:r w:rsidRPr="00C56CB9">
        <w:rPr>
          <w:rFonts w:ascii="Arial" w:hAnsi="Arial" w:cs="Arial"/>
          <w:i/>
          <w:iCs/>
          <w:color w:val="000000" w:themeColor="text1"/>
          <w:sz w:val="20"/>
          <w:szCs w:val="20"/>
        </w:rPr>
        <w:t>Drying Technol.</w:t>
      </w:r>
      <w:r w:rsidRPr="00C56CB9">
        <w:rPr>
          <w:rFonts w:ascii="Arial" w:hAnsi="Arial" w:cs="Arial"/>
          <w:color w:val="000000" w:themeColor="text1"/>
          <w:sz w:val="20"/>
          <w:szCs w:val="20"/>
        </w:rPr>
        <w:t xml:space="preserve"> 43(1-2), 348–361. Doi: </w:t>
      </w:r>
      <w:hyperlink r:id="rId20" w:history="1">
        <w:r w:rsidRPr="00C56CB9">
          <w:rPr>
            <w:rStyle w:val="Hyperlink"/>
            <w:rFonts w:ascii="Arial" w:hAnsi="Arial" w:cs="Arial"/>
            <w:color w:val="000000" w:themeColor="text1"/>
            <w:sz w:val="20"/>
            <w:szCs w:val="20"/>
          </w:rPr>
          <w:t>https://doi.org/10.1080/07373937.2024.2407955</w:t>
        </w:r>
      </w:hyperlink>
    </w:p>
    <w:p w14:paraId="6953649F" w14:textId="7F54D06F"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Kumar, M., Madhumita, M., Prabhakar, P. K., &amp; Basu, S.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of food and biological materials: Status on mechanisms, diffusion modelling and hybrid drying approach. </w:t>
      </w:r>
      <w:r w:rsidRPr="00C56CB9">
        <w:rPr>
          <w:rFonts w:ascii="Arial" w:hAnsi="Arial" w:cs="Arial"/>
          <w:i/>
          <w:iCs/>
          <w:color w:val="000000" w:themeColor="text1"/>
          <w:sz w:val="20"/>
          <w:szCs w:val="20"/>
        </w:rPr>
        <w:t>Critical Reviews in Food Science and Nutrition</w:t>
      </w:r>
      <w:r w:rsidRPr="00C56CB9">
        <w:rPr>
          <w:rFonts w:ascii="Arial" w:hAnsi="Arial" w:cs="Arial"/>
          <w:color w:val="000000" w:themeColor="text1"/>
          <w:sz w:val="20"/>
          <w:szCs w:val="20"/>
        </w:rPr>
        <w:t xml:space="preserve">, 64(11), 3458–3481, DOI: 10.1080/10408398.2022.2132210 </w:t>
      </w:r>
    </w:p>
    <w:p w14:paraId="3F480905" w14:textId="19C38D9B"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Kumar, M., Madhumita, M., Srivastava, B., </w:t>
      </w:r>
      <w:r w:rsidR="00513E1C"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Prabhakar, P. K.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2022</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Mathematical </w:t>
      </w:r>
      <w:proofErr w:type="spellStart"/>
      <w:r w:rsidRPr="00C56CB9">
        <w:rPr>
          <w:rFonts w:ascii="Arial" w:hAnsi="Arial" w:cs="Arial"/>
          <w:color w:val="000000" w:themeColor="text1"/>
          <w:sz w:val="20"/>
          <w:szCs w:val="20"/>
        </w:rPr>
        <w:t>modeling</w:t>
      </w:r>
      <w:proofErr w:type="spellEnd"/>
      <w:r w:rsidRPr="00C56CB9">
        <w:rPr>
          <w:rFonts w:ascii="Arial" w:hAnsi="Arial" w:cs="Arial"/>
          <w:color w:val="000000" w:themeColor="text1"/>
          <w:sz w:val="20"/>
          <w:szCs w:val="20"/>
        </w:rPr>
        <w:t xml:space="preserve"> and simulation of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of mango pulp for moisture, temperature, and heat flux distribution. </w:t>
      </w:r>
      <w:r w:rsidRPr="00C56CB9">
        <w:rPr>
          <w:rFonts w:ascii="Arial" w:hAnsi="Arial" w:cs="Arial"/>
          <w:i/>
          <w:iCs/>
          <w:color w:val="000000" w:themeColor="text1"/>
          <w:sz w:val="20"/>
          <w:szCs w:val="20"/>
        </w:rPr>
        <w:t xml:space="preserve">J. Food Process Eng. </w:t>
      </w:r>
      <w:r w:rsidRPr="00C56CB9">
        <w:rPr>
          <w:rFonts w:ascii="Arial" w:hAnsi="Arial" w:cs="Arial"/>
          <w:color w:val="000000" w:themeColor="text1"/>
          <w:sz w:val="20"/>
          <w:szCs w:val="20"/>
        </w:rPr>
        <w:t xml:space="preserve">Doi: 10.1111/jfpe.14090  </w:t>
      </w:r>
    </w:p>
    <w:p w14:paraId="498ED5D0" w14:textId="06F30A6F"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Lalita, Giri, S. K., Mohapatra, D., Tripathi, m. K., Kate, A., </w:t>
      </w:r>
      <w:r w:rsidR="00513E1C" w:rsidRPr="00C56CB9">
        <w:rPr>
          <w:rFonts w:ascii="Arial" w:hAnsi="Arial" w:cs="Arial"/>
          <w:color w:val="000000" w:themeColor="text1"/>
          <w:sz w:val="20"/>
          <w:szCs w:val="20"/>
        </w:rPr>
        <w:t xml:space="preserve">&amp; </w:t>
      </w:r>
      <w:r w:rsidRPr="00C56CB9">
        <w:rPr>
          <w:rFonts w:ascii="Arial" w:hAnsi="Arial" w:cs="Arial"/>
          <w:color w:val="000000" w:themeColor="text1"/>
          <w:sz w:val="20"/>
          <w:szCs w:val="20"/>
        </w:rPr>
        <w:t xml:space="preserve">Wahid, A.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Optimization of process parameters of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for </w:t>
      </w:r>
      <w:proofErr w:type="spellStart"/>
      <w:r w:rsidRPr="00C56CB9">
        <w:rPr>
          <w:rFonts w:ascii="Arial" w:hAnsi="Arial" w:cs="Arial"/>
          <w:color w:val="000000" w:themeColor="text1"/>
          <w:sz w:val="20"/>
          <w:szCs w:val="20"/>
        </w:rPr>
        <w:t>aonla</w:t>
      </w:r>
      <w:proofErr w:type="spellEnd"/>
      <w:r w:rsidRPr="00C56CB9">
        <w:rPr>
          <w:rFonts w:ascii="Arial" w:hAnsi="Arial" w:cs="Arial"/>
          <w:color w:val="000000" w:themeColor="text1"/>
          <w:sz w:val="20"/>
          <w:szCs w:val="20"/>
        </w:rPr>
        <w:t xml:space="preserve"> slices and comparison with other drying techniques. </w:t>
      </w:r>
      <w:r w:rsidRPr="00C56CB9">
        <w:rPr>
          <w:rFonts w:ascii="Arial" w:hAnsi="Arial" w:cs="Arial"/>
          <w:i/>
          <w:iCs/>
          <w:color w:val="000000" w:themeColor="text1"/>
          <w:sz w:val="20"/>
          <w:szCs w:val="20"/>
        </w:rPr>
        <w:t>Journal of the Science of Food and Agriculture</w:t>
      </w:r>
      <w:r w:rsidRPr="00C56CB9">
        <w:rPr>
          <w:rFonts w:ascii="Arial" w:hAnsi="Arial" w:cs="Arial"/>
          <w:color w:val="000000" w:themeColor="text1"/>
          <w:sz w:val="20"/>
          <w:szCs w:val="20"/>
        </w:rPr>
        <w:t>, 104(13), 7854–7863. DOI 10.1002/jsfa.13615 2024 10</w:t>
      </w:r>
    </w:p>
    <w:p w14:paraId="07AD73F8"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Largo-Avila, E., Rico-Rodríguez, F., Peñaloza-Figueroa, J. K., &amp; López-Padilla, A. (2024). Effect of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and oven drying on physicochemical and sensory properties of peach (Prunus persica L.) surplus. </w:t>
      </w:r>
      <w:r w:rsidRPr="00C56CB9">
        <w:rPr>
          <w:rFonts w:ascii="Arial" w:hAnsi="Arial" w:cs="Arial"/>
          <w:i/>
          <w:iCs/>
          <w:color w:val="000000" w:themeColor="text1"/>
          <w:sz w:val="20"/>
          <w:szCs w:val="20"/>
        </w:rPr>
        <w:t>Frontiers in Nutrition</w:t>
      </w:r>
      <w:r w:rsidRPr="00C56CB9">
        <w:rPr>
          <w:rFonts w:ascii="Arial" w:hAnsi="Arial" w:cs="Arial"/>
          <w:color w:val="000000" w:themeColor="text1"/>
          <w:sz w:val="20"/>
          <w:szCs w:val="20"/>
        </w:rPr>
        <w:t>,23:11, 1307423.doi: 10.3389/fnut.2024.1307423</w:t>
      </w:r>
    </w:p>
    <w:p w14:paraId="244697AF" w14:textId="089C504C"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Mahanti, N. K., </w:t>
      </w:r>
      <w:proofErr w:type="spellStart"/>
      <w:r w:rsidRPr="00C56CB9">
        <w:rPr>
          <w:rFonts w:ascii="Arial" w:hAnsi="Arial" w:cs="Arial"/>
          <w:color w:val="000000" w:themeColor="text1"/>
          <w:sz w:val="20"/>
          <w:szCs w:val="20"/>
        </w:rPr>
        <w:t>Chakrabortya</w:t>
      </w:r>
      <w:proofErr w:type="spellEnd"/>
      <w:r w:rsidRPr="00C56CB9">
        <w:rPr>
          <w:rFonts w:ascii="Arial" w:hAnsi="Arial" w:cs="Arial"/>
          <w:color w:val="000000" w:themeColor="text1"/>
          <w:sz w:val="20"/>
          <w:szCs w:val="20"/>
        </w:rPr>
        <w:t>, S. K., Sudhakar, A., Verma, D. K.,</w:t>
      </w:r>
      <w:r w:rsidR="00513E1C" w:rsidRPr="00C56CB9">
        <w:rPr>
          <w:rFonts w:ascii="Arial" w:hAnsi="Arial" w:cs="Arial"/>
          <w:color w:val="000000" w:themeColor="text1"/>
          <w:sz w:val="20"/>
          <w:szCs w:val="20"/>
        </w:rPr>
        <w:t xml:space="preserve"> et al</w:t>
      </w:r>
      <w:r w:rsidRPr="00C56CB9">
        <w:rPr>
          <w:rFonts w:ascii="Arial" w:hAnsi="Arial" w:cs="Arial"/>
          <w:color w:val="000000" w:themeColor="text1"/>
          <w:sz w:val="20"/>
          <w:szCs w:val="20"/>
        </w:rPr>
        <w:t xml:space="preserve">.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2021</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Window-Drying vs. other drying methods and effect of different process parameters on quality of foods: A comprehensive review of trends and technological developments. </w:t>
      </w:r>
      <w:r w:rsidRPr="00C56CB9">
        <w:rPr>
          <w:rFonts w:ascii="Arial" w:hAnsi="Arial" w:cs="Arial"/>
          <w:i/>
          <w:iCs/>
          <w:color w:val="000000" w:themeColor="text1"/>
          <w:sz w:val="20"/>
          <w:szCs w:val="20"/>
        </w:rPr>
        <w:t xml:space="preserve">Future Foods. </w:t>
      </w:r>
      <w:hyperlink r:id="rId21" w:tgtFrame="_blank" w:tooltip="Persistent link using digital object identifier" w:history="1">
        <w:r w:rsidRPr="00C56CB9">
          <w:rPr>
            <w:rStyle w:val="Hyperlink"/>
            <w:rFonts w:ascii="Arial" w:hAnsi="Arial" w:cs="Arial"/>
            <w:color w:val="000000" w:themeColor="text1"/>
            <w:sz w:val="20"/>
            <w:szCs w:val="20"/>
          </w:rPr>
          <w:t>https://doi.org/10.1016/j.fufo.2021.100024</w:t>
        </w:r>
      </w:hyperlink>
    </w:p>
    <w:p w14:paraId="4335DCF5"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Miano, A. C., &amp; Rojas, M. L. (2024). Drying strategies of spent coffee grounds using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method. </w:t>
      </w:r>
      <w:r w:rsidRPr="00C56CB9">
        <w:rPr>
          <w:rFonts w:ascii="Arial" w:hAnsi="Arial" w:cs="Arial"/>
          <w:i/>
          <w:iCs/>
          <w:color w:val="000000" w:themeColor="text1"/>
          <w:sz w:val="20"/>
          <w:szCs w:val="20"/>
        </w:rPr>
        <w:t>Food Research International</w:t>
      </w:r>
      <w:r w:rsidRPr="00C56CB9">
        <w:rPr>
          <w:rFonts w:ascii="Arial" w:hAnsi="Arial" w:cs="Arial"/>
          <w:color w:val="000000" w:themeColor="text1"/>
          <w:sz w:val="20"/>
          <w:szCs w:val="20"/>
        </w:rPr>
        <w:t xml:space="preserve">. 178:114007. Doi: </w:t>
      </w:r>
      <w:hyperlink r:id="rId22" w:tgtFrame="_blank" w:tooltip="Persistent link using digital object identifier" w:history="1">
        <w:r w:rsidRPr="00C56CB9">
          <w:rPr>
            <w:rStyle w:val="Hyperlink"/>
            <w:rFonts w:ascii="Arial" w:hAnsi="Arial" w:cs="Arial"/>
            <w:color w:val="000000" w:themeColor="text1"/>
            <w:sz w:val="20"/>
            <w:szCs w:val="20"/>
          </w:rPr>
          <w:t>https://doi.org/10.1016/j.foodres.2024.114007</w:t>
        </w:r>
      </w:hyperlink>
    </w:p>
    <w:p w14:paraId="046A6851" w14:textId="70A4CBA8"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lastRenderedPageBreak/>
        <w:t xml:space="preserve">Minjares-Fuentes, R., Rodríguez-González, V. M., González-Laredo, R. F., </w:t>
      </w:r>
      <w:proofErr w:type="spellStart"/>
      <w:r w:rsidRPr="00C56CB9">
        <w:rPr>
          <w:rFonts w:ascii="Arial" w:hAnsi="Arial" w:cs="Arial"/>
          <w:color w:val="000000" w:themeColor="text1"/>
          <w:sz w:val="20"/>
          <w:szCs w:val="20"/>
        </w:rPr>
        <w:t>Eim</w:t>
      </w:r>
      <w:proofErr w:type="spellEnd"/>
      <w:r w:rsidRPr="00C56CB9">
        <w:rPr>
          <w:rFonts w:ascii="Arial" w:hAnsi="Arial" w:cs="Arial"/>
          <w:color w:val="000000" w:themeColor="text1"/>
          <w:sz w:val="20"/>
          <w:szCs w:val="20"/>
        </w:rPr>
        <w:t xml:space="preserve">, V., </w:t>
      </w:r>
      <w:r w:rsidR="00513E1C" w:rsidRPr="00C56CB9">
        <w:rPr>
          <w:rFonts w:ascii="Arial" w:hAnsi="Arial" w:cs="Arial"/>
          <w:color w:val="000000" w:themeColor="text1"/>
          <w:sz w:val="20"/>
          <w:szCs w:val="20"/>
        </w:rPr>
        <w:t>et al.</w:t>
      </w:r>
      <w:r w:rsidRPr="00C56CB9">
        <w:rPr>
          <w:rFonts w:ascii="Arial" w:hAnsi="Arial" w:cs="Arial"/>
          <w:color w:val="000000" w:themeColor="text1"/>
          <w:sz w:val="20"/>
          <w:szCs w:val="20"/>
        </w:rPr>
        <w:t xml:space="preserve">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2017</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Effect of different drying procedures on the bioactive polysaccharide </w:t>
      </w:r>
      <w:proofErr w:type="spellStart"/>
      <w:r w:rsidRPr="00C56CB9">
        <w:rPr>
          <w:rFonts w:ascii="Arial" w:hAnsi="Arial" w:cs="Arial"/>
          <w:color w:val="000000" w:themeColor="text1"/>
          <w:sz w:val="20"/>
          <w:szCs w:val="20"/>
        </w:rPr>
        <w:t>acemannan</w:t>
      </w:r>
      <w:proofErr w:type="spellEnd"/>
      <w:r w:rsidRPr="00C56CB9">
        <w:rPr>
          <w:rFonts w:ascii="Arial" w:hAnsi="Arial" w:cs="Arial"/>
          <w:color w:val="000000" w:themeColor="text1"/>
          <w:sz w:val="20"/>
          <w:szCs w:val="20"/>
        </w:rPr>
        <w:t xml:space="preserve"> from Aloe vera (Aloe </w:t>
      </w:r>
      <w:proofErr w:type="spellStart"/>
      <w:r w:rsidRPr="00C56CB9">
        <w:rPr>
          <w:rFonts w:ascii="Arial" w:hAnsi="Arial" w:cs="Arial"/>
          <w:color w:val="000000" w:themeColor="text1"/>
          <w:sz w:val="20"/>
          <w:szCs w:val="20"/>
        </w:rPr>
        <w:t>barbadensis</w:t>
      </w:r>
      <w:proofErr w:type="spellEnd"/>
      <w:r w:rsidRPr="00C56CB9">
        <w:rPr>
          <w:rFonts w:ascii="Arial" w:hAnsi="Arial" w:cs="Arial"/>
          <w:color w:val="000000" w:themeColor="text1"/>
          <w:sz w:val="20"/>
          <w:szCs w:val="20"/>
        </w:rPr>
        <w:t xml:space="preserve"> Miller). </w:t>
      </w:r>
      <w:r w:rsidRPr="00C56CB9">
        <w:rPr>
          <w:rFonts w:ascii="Arial" w:hAnsi="Arial" w:cs="Arial"/>
          <w:i/>
          <w:iCs/>
          <w:color w:val="000000" w:themeColor="text1"/>
          <w:sz w:val="20"/>
          <w:szCs w:val="20"/>
        </w:rPr>
        <w:t>Carbohydrate Polymers</w:t>
      </w:r>
      <w:r w:rsidRPr="00C56CB9">
        <w:rPr>
          <w:rFonts w:ascii="Arial" w:hAnsi="Arial" w:cs="Arial"/>
          <w:color w:val="000000" w:themeColor="text1"/>
          <w:sz w:val="20"/>
          <w:szCs w:val="20"/>
        </w:rPr>
        <w:t xml:space="preserve">, 168, 327–336.                                                                                                                                Doi: </w:t>
      </w:r>
      <w:hyperlink r:id="rId23" w:history="1">
        <w:r w:rsidRPr="00C56CB9">
          <w:rPr>
            <w:rStyle w:val="Hyperlink"/>
            <w:rFonts w:ascii="Arial" w:hAnsi="Arial" w:cs="Arial"/>
            <w:color w:val="000000" w:themeColor="text1"/>
            <w:sz w:val="20"/>
            <w:szCs w:val="20"/>
          </w:rPr>
          <w:t>http://dx.doi.org/10.1016/j.carbpol.2017.03.087</w:t>
        </w:r>
      </w:hyperlink>
    </w:p>
    <w:p w14:paraId="01309F94"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proofErr w:type="spellStart"/>
      <w:r w:rsidRPr="00C56CB9">
        <w:rPr>
          <w:rFonts w:ascii="Arial" w:hAnsi="Arial" w:cs="Arial"/>
          <w:color w:val="000000" w:themeColor="text1"/>
          <w:sz w:val="20"/>
          <w:szCs w:val="20"/>
        </w:rPr>
        <w:t>Mohsenin</w:t>
      </w:r>
      <w:proofErr w:type="spellEnd"/>
      <w:r w:rsidRPr="00C56CB9">
        <w:rPr>
          <w:rFonts w:ascii="Arial" w:hAnsi="Arial" w:cs="Arial"/>
          <w:color w:val="000000" w:themeColor="text1"/>
          <w:sz w:val="20"/>
          <w:szCs w:val="20"/>
        </w:rPr>
        <w:t xml:space="preserve">, N. N. (1986). </w:t>
      </w:r>
      <w:r w:rsidRPr="00C56CB9">
        <w:rPr>
          <w:rFonts w:ascii="Arial" w:hAnsi="Arial" w:cs="Arial"/>
          <w:i/>
          <w:iCs/>
          <w:color w:val="000000" w:themeColor="text1"/>
          <w:sz w:val="20"/>
          <w:szCs w:val="20"/>
        </w:rPr>
        <w:t>Physical Properties of Plant and Animal Materials: Structure, Physical Characteristics, and Mechanical Properties</w:t>
      </w:r>
      <w:r w:rsidRPr="00C56CB9">
        <w:rPr>
          <w:rFonts w:ascii="Arial" w:hAnsi="Arial" w:cs="Arial"/>
          <w:color w:val="000000" w:themeColor="text1"/>
          <w:sz w:val="20"/>
          <w:szCs w:val="20"/>
        </w:rPr>
        <w:t xml:space="preserve">. New York: Gordon and Breach Science </w:t>
      </w:r>
      <w:proofErr w:type="spellStart"/>
      <w:r w:rsidRPr="00C56CB9">
        <w:rPr>
          <w:rFonts w:ascii="Arial" w:hAnsi="Arial" w:cs="Arial"/>
          <w:color w:val="000000" w:themeColor="text1"/>
          <w:sz w:val="20"/>
          <w:szCs w:val="20"/>
        </w:rPr>
        <w:t>Publishers.Doi</w:t>
      </w:r>
      <w:proofErr w:type="spellEnd"/>
      <w:r w:rsidRPr="00C56CB9">
        <w:rPr>
          <w:rFonts w:ascii="Arial" w:hAnsi="Arial" w:cs="Arial"/>
          <w:color w:val="000000" w:themeColor="text1"/>
          <w:sz w:val="20"/>
          <w:szCs w:val="20"/>
        </w:rPr>
        <w:t xml:space="preserve">: </w:t>
      </w:r>
      <w:hyperlink r:id="rId24" w:history="1">
        <w:r w:rsidRPr="00C56CB9">
          <w:rPr>
            <w:rStyle w:val="Hyperlink"/>
            <w:rFonts w:ascii="Arial" w:hAnsi="Arial" w:cs="Arial"/>
            <w:color w:val="000000" w:themeColor="text1"/>
            <w:sz w:val="20"/>
            <w:szCs w:val="20"/>
          </w:rPr>
          <w:t>https://doi.org/10.1002/food.19870310724</w:t>
        </w:r>
      </w:hyperlink>
    </w:p>
    <w:p w14:paraId="4166B46D" w14:textId="20FADAE6" w:rsidR="00EE1FE2" w:rsidRPr="00C56CB9" w:rsidRDefault="00EE1FE2" w:rsidP="00C56CB9">
      <w:pPr>
        <w:spacing w:line="360" w:lineRule="auto"/>
        <w:ind w:left="567" w:hanging="567"/>
        <w:jc w:val="both"/>
        <w:rPr>
          <w:rFonts w:ascii="Arial" w:hAnsi="Arial" w:cs="Arial"/>
          <w:color w:val="000000" w:themeColor="text1"/>
          <w:sz w:val="20"/>
          <w:szCs w:val="20"/>
        </w:rPr>
      </w:pPr>
      <w:proofErr w:type="spellStart"/>
      <w:r w:rsidRPr="00C56CB9">
        <w:rPr>
          <w:rFonts w:ascii="Arial" w:hAnsi="Arial" w:cs="Arial"/>
          <w:color w:val="000000" w:themeColor="text1"/>
          <w:sz w:val="20"/>
          <w:szCs w:val="20"/>
        </w:rPr>
        <w:t>Muyonga</w:t>
      </w:r>
      <w:proofErr w:type="spellEnd"/>
      <w:r w:rsidRPr="00C56CB9">
        <w:rPr>
          <w:rFonts w:ascii="Arial" w:hAnsi="Arial" w:cs="Arial"/>
          <w:color w:val="000000" w:themeColor="text1"/>
          <w:sz w:val="20"/>
          <w:szCs w:val="20"/>
        </w:rPr>
        <w:t xml:space="preserve">, J. H., </w:t>
      </w:r>
      <w:proofErr w:type="spellStart"/>
      <w:r w:rsidRPr="00C56CB9">
        <w:rPr>
          <w:rFonts w:ascii="Arial" w:hAnsi="Arial" w:cs="Arial"/>
          <w:color w:val="000000" w:themeColor="text1"/>
          <w:sz w:val="20"/>
          <w:szCs w:val="20"/>
        </w:rPr>
        <w:t>Natocho</w:t>
      </w:r>
      <w:proofErr w:type="spellEnd"/>
      <w:r w:rsidRPr="00C56CB9">
        <w:rPr>
          <w:rFonts w:ascii="Arial" w:hAnsi="Arial" w:cs="Arial"/>
          <w:color w:val="000000" w:themeColor="text1"/>
          <w:sz w:val="20"/>
          <w:szCs w:val="20"/>
        </w:rPr>
        <w:t xml:space="preserve">, J., Kigozi, J., Baidhe, E. </w:t>
      </w:r>
      <w:r w:rsidR="00513E1C"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Nansereko</w:t>
      </w:r>
      <w:proofErr w:type="spellEnd"/>
      <w:r w:rsidRPr="00C56CB9">
        <w:rPr>
          <w:rFonts w:ascii="Arial" w:hAnsi="Arial" w:cs="Arial"/>
          <w:color w:val="000000" w:themeColor="text1"/>
          <w:sz w:val="20"/>
          <w:szCs w:val="20"/>
        </w:rPr>
        <w:t xml:space="preserve">, S.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2022</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Drying behaviour and optimization of drying conditions of pineapple puree and slices using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technology</w:t>
      </w:r>
      <w:r w:rsidRPr="00C56CB9">
        <w:rPr>
          <w:rFonts w:ascii="Arial" w:hAnsi="Arial" w:cs="Arial"/>
          <w:i/>
          <w:iCs/>
          <w:color w:val="000000" w:themeColor="text1"/>
          <w:sz w:val="20"/>
          <w:szCs w:val="20"/>
        </w:rPr>
        <w:t xml:space="preserve">. J Food Sci Technol. </w:t>
      </w:r>
      <w:r w:rsidRPr="00C56CB9">
        <w:rPr>
          <w:rFonts w:ascii="Arial" w:hAnsi="Arial" w:cs="Arial"/>
          <w:color w:val="000000" w:themeColor="text1"/>
          <w:sz w:val="20"/>
          <w:szCs w:val="20"/>
        </w:rPr>
        <w:t>59(7): 2794-2803. Doi: https://doi.org/10.1007/s13197-021-05302-2</w:t>
      </w:r>
    </w:p>
    <w:p w14:paraId="1C249444" w14:textId="39E200DF" w:rsidR="00EE1FE2" w:rsidRPr="00C56CB9" w:rsidRDefault="00EE1FE2" w:rsidP="00C56CB9">
      <w:pPr>
        <w:spacing w:line="360" w:lineRule="auto"/>
        <w:ind w:left="567" w:hanging="567"/>
        <w:jc w:val="both"/>
        <w:rPr>
          <w:rFonts w:ascii="Arial" w:hAnsi="Arial" w:cs="Arial"/>
          <w:color w:val="000000" w:themeColor="text1"/>
          <w:sz w:val="20"/>
          <w:szCs w:val="20"/>
        </w:rPr>
      </w:pPr>
      <w:proofErr w:type="spellStart"/>
      <w:r w:rsidRPr="00C56CB9">
        <w:rPr>
          <w:rFonts w:ascii="Arial" w:hAnsi="Arial" w:cs="Arial"/>
          <w:color w:val="000000" w:themeColor="text1"/>
          <w:sz w:val="20"/>
          <w:szCs w:val="20"/>
        </w:rPr>
        <w:t>Nansereko</w:t>
      </w:r>
      <w:proofErr w:type="spellEnd"/>
      <w:r w:rsidRPr="00C56CB9">
        <w:rPr>
          <w:rFonts w:ascii="Arial" w:hAnsi="Arial" w:cs="Arial"/>
          <w:color w:val="000000" w:themeColor="text1"/>
          <w:sz w:val="20"/>
          <w:szCs w:val="20"/>
        </w:rPr>
        <w:t xml:space="preserve">, S., </w:t>
      </w:r>
      <w:proofErr w:type="spellStart"/>
      <w:r w:rsidRPr="00C56CB9">
        <w:rPr>
          <w:rFonts w:ascii="Arial" w:hAnsi="Arial" w:cs="Arial"/>
          <w:color w:val="000000" w:themeColor="text1"/>
          <w:sz w:val="20"/>
          <w:szCs w:val="20"/>
        </w:rPr>
        <w:t>Muyonga</w:t>
      </w:r>
      <w:proofErr w:type="spellEnd"/>
      <w:r w:rsidRPr="00C56CB9">
        <w:rPr>
          <w:rFonts w:ascii="Arial" w:hAnsi="Arial" w:cs="Arial"/>
          <w:color w:val="000000" w:themeColor="text1"/>
          <w:sz w:val="20"/>
          <w:szCs w:val="20"/>
        </w:rPr>
        <w:t xml:space="preserve">, J., &amp; Byaruhanga, Y. B.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2022</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Influence of Drying Methods on Jackfruit Drying </w:t>
      </w:r>
      <w:proofErr w:type="spellStart"/>
      <w:r w:rsidRPr="00C56CB9">
        <w:rPr>
          <w:rFonts w:ascii="Arial" w:hAnsi="Arial" w:cs="Arial"/>
          <w:color w:val="000000" w:themeColor="text1"/>
          <w:sz w:val="20"/>
          <w:szCs w:val="20"/>
        </w:rPr>
        <w:t>Behavior</w:t>
      </w:r>
      <w:proofErr w:type="spellEnd"/>
      <w:r w:rsidRPr="00C56CB9">
        <w:rPr>
          <w:rFonts w:ascii="Arial" w:hAnsi="Arial" w:cs="Arial"/>
          <w:color w:val="000000" w:themeColor="text1"/>
          <w:sz w:val="20"/>
          <w:szCs w:val="20"/>
        </w:rPr>
        <w:t xml:space="preserve"> and Dried Products Physical Characteristics. </w:t>
      </w:r>
      <w:r w:rsidRPr="00C56CB9">
        <w:rPr>
          <w:rFonts w:ascii="Arial" w:hAnsi="Arial" w:cs="Arial"/>
          <w:i/>
          <w:iCs/>
          <w:color w:val="000000" w:themeColor="text1"/>
          <w:sz w:val="20"/>
          <w:szCs w:val="20"/>
        </w:rPr>
        <w:t>International Journal of Food Science</w:t>
      </w:r>
      <w:r w:rsidRPr="00C56CB9">
        <w:rPr>
          <w:rFonts w:ascii="Arial" w:hAnsi="Arial" w:cs="Arial"/>
          <w:color w:val="000000" w:themeColor="text1"/>
          <w:sz w:val="20"/>
          <w:szCs w:val="20"/>
        </w:rPr>
        <w:t xml:space="preserve">. Doi: </w:t>
      </w:r>
      <w:hyperlink r:id="rId25" w:history="1">
        <w:r w:rsidRPr="00C56CB9">
          <w:rPr>
            <w:rStyle w:val="Hyperlink"/>
            <w:rFonts w:ascii="Arial" w:hAnsi="Arial" w:cs="Arial"/>
            <w:color w:val="000000" w:themeColor="text1"/>
            <w:sz w:val="20"/>
            <w:szCs w:val="20"/>
          </w:rPr>
          <w:t>https://doi.org/10.1155/2022/8432478</w:t>
        </w:r>
      </w:hyperlink>
    </w:p>
    <w:p w14:paraId="4258AB67" w14:textId="250C49FD"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Nguyen, T. V. L., Nguyen, Q. D., &amp; Nguyen, P. B. D.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2022</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Drying Kinetics and Changes of Total Phenolic Content, Antioxidant Activity and </w:t>
      </w:r>
      <w:r w:rsidR="005B0F27">
        <w:rPr>
          <w:rFonts w:ascii="Arial" w:hAnsi="Arial" w:cs="Arial"/>
          <w:color w:val="000000" w:themeColor="text1"/>
          <w:sz w:val="20"/>
          <w:szCs w:val="20"/>
        </w:rPr>
        <w:t>Colour</w:t>
      </w:r>
      <w:r w:rsidRPr="00C56CB9">
        <w:rPr>
          <w:rFonts w:ascii="Arial" w:hAnsi="Arial" w:cs="Arial"/>
          <w:color w:val="000000" w:themeColor="text1"/>
          <w:sz w:val="20"/>
          <w:szCs w:val="20"/>
        </w:rPr>
        <w:t xml:space="preserve"> Parameters of Mango and Avocado Pulp in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w:t>
      </w:r>
      <w:r w:rsidRPr="00C56CB9">
        <w:rPr>
          <w:rFonts w:ascii="Arial" w:hAnsi="Arial" w:cs="Arial"/>
          <w:i/>
          <w:iCs/>
          <w:color w:val="000000" w:themeColor="text1"/>
          <w:sz w:val="20"/>
          <w:szCs w:val="20"/>
        </w:rPr>
        <w:t>Polish Journal of Food and Nutrition Sciences</w:t>
      </w:r>
      <w:r w:rsidRPr="00C56CB9">
        <w:rPr>
          <w:rFonts w:ascii="Arial" w:hAnsi="Arial" w:cs="Arial"/>
          <w:color w:val="000000" w:themeColor="text1"/>
          <w:sz w:val="20"/>
          <w:szCs w:val="20"/>
        </w:rPr>
        <w:t>, 72(1), 27–38. DOI: 10.31883/</w:t>
      </w:r>
      <w:proofErr w:type="spellStart"/>
      <w:r w:rsidRPr="00C56CB9">
        <w:rPr>
          <w:rFonts w:ascii="Arial" w:hAnsi="Arial" w:cs="Arial"/>
          <w:color w:val="000000" w:themeColor="text1"/>
          <w:sz w:val="20"/>
          <w:szCs w:val="20"/>
        </w:rPr>
        <w:t>pjfns</w:t>
      </w:r>
      <w:proofErr w:type="spellEnd"/>
      <w:r w:rsidRPr="00C56CB9">
        <w:rPr>
          <w:rFonts w:ascii="Arial" w:hAnsi="Arial" w:cs="Arial"/>
          <w:color w:val="000000" w:themeColor="text1"/>
          <w:sz w:val="20"/>
          <w:szCs w:val="20"/>
        </w:rPr>
        <w:t>/144835.</w:t>
      </w:r>
    </w:p>
    <w:p w14:paraId="5EB458D2" w14:textId="7CF9F77D" w:rsidR="00EE1FE2" w:rsidRPr="00C56CB9" w:rsidRDefault="00EE1FE2" w:rsidP="00C56CB9">
      <w:pPr>
        <w:spacing w:line="360" w:lineRule="auto"/>
        <w:ind w:left="567" w:hanging="567"/>
        <w:jc w:val="both"/>
        <w:rPr>
          <w:rFonts w:ascii="Arial" w:hAnsi="Arial" w:cs="Arial"/>
          <w:color w:val="000000" w:themeColor="text1"/>
          <w:sz w:val="20"/>
          <w:szCs w:val="20"/>
        </w:rPr>
      </w:pPr>
      <w:proofErr w:type="spellStart"/>
      <w:r w:rsidRPr="00C56CB9">
        <w:rPr>
          <w:rFonts w:ascii="Arial" w:hAnsi="Arial" w:cs="Arial"/>
          <w:color w:val="000000" w:themeColor="text1"/>
          <w:sz w:val="20"/>
          <w:szCs w:val="20"/>
        </w:rPr>
        <w:t>Nindo</w:t>
      </w:r>
      <w:proofErr w:type="spellEnd"/>
      <w:r w:rsidRPr="00C56CB9">
        <w:rPr>
          <w:rFonts w:ascii="Arial" w:hAnsi="Arial" w:cs="Arial"/>
          <w:color w:val="000000" w:themeColor="text1"/>
          <w:sz w:val="20"/>
          <w:szCs w:val="20"/>
        </w:rPr>
        <w:t xml:space="preserve">, C. I. </w:t>
      </w:r>
      <w:r w:rsidR="00513E1C"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Tang, J.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2007</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Dehydration Technology: A Novel Contact Drying Method. </w:t>
      </w:r>
      <w:r w:rsidRPr="00C56CB9">
        <w:rPr>
          <w:rFonts w:ascii="Arial" w:hAnsi="Arial" w:cs="Arial"/>
          <w:i/>
          <w:iCs/>
          <w:color w:val="000000" w:themeColor="text1"/>
          <w:sz w:val="20"/>
          <w:szCs w:val="20"/>
        </w:rPr>
        <w:t xml:space="preserve">Drying Technol. </w:t>
      </w:r>
      <w:r w:rsidRPr="00C56CB9">
        <w:rPr>
          <w:rFonts w:ascii="Arial" w:hAnsi="Arial" w:cs="Arial"/>
          <w:color w:val="000000" w:themeColor="text1"/>
          <w:sz w:val="20"/>
          <w:szCs w:val="20"/>
        </w:rPr>
        <w:t xml:space="preserve">25(1): 37-48. Doi: </w:t>
      </w:r>
      <w:hyperlink r:id="rId26" w:history="1">
        <w:r w:rsidRPr="00C56CB9">
          <w:rPr>
            <w:rStyle w:val="Hyperlink"/>
            <w:rFonts w:ascii="Arial" w:hAnsi="Arial" w:cs="Arial"/>
            <w:color w:val="000000" w:themeColor="text1"/>
            <w:sz w:val="20"/>
            <w:szCs w:val="20"/>
          </w:rPr>
          <w:t>https://doi.org/10.1080/07373930601152673</w:t>
        </w:r>
      </w:hyperlink>
    </w:p>
    <w:p w14:paraId="47C0584A" w14:textId="70DFBA25"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Nuñez, H., Jaques, A., Belmonte, K., Elitin, J.</w:t>
      </w:r>
      <w:r w:rsidR="00513E1C" w:rsidRPr="00C56CB9">
        <w:rPr>
          <w:rFonts w:ascii="Arial" w:hAnsi="Arial" w:cs="Arial"/>
          <w:color w:val="000000" w:themeColor="text1"/>
          <w:sz w:val="20"/>
          <w:szCs w:val="20"/>
        </w:rPr>
        <w:t xml:space="preserve"> et al.</w:t>
      </w:r>
      <w:r w:rsidRPr="00C56CB9">
        <w:rPr>
          <w:rFonts w:ascii="Arial" w:hAnsi="Arial" w:cs="Arial"/>
          <w:color w:val="000000" w:themeColor="text1"/>
          <w:sz w:val="20"/>
          <w:szCs w:val="20"/>
        </w:rPr>
        <w:t xml:space="preserve">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Development of an Apple Snack Enriched with Probiotic </w:t>
      </w:r>
      <w:proofErr w:type="spellStart"/>
      <w:r w:rsidRPr="00C56CB9">
        <w:rPr>
          <w:rFonts w:ascii="Arial" w:hAnsi="Arial" w:cs="Arial"/>
          <w:color w:val="000000" w:themeColor="text1"/>
          <w:sz w:val="20"/>
          <w:szCs w:val="20"/>
        </w:rPr>
        <w:t>Lacticaseibacillus</w:t>
      </w:r>
      <w:proofErr w:type="spellEnd"/>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rhamnosus</w:t>
      </w:r>
      <w:proofErr w:type="spellEnd"/>
      <w:r w:rsidRPr="00C56CB9">
        <w:rPr>
          <w:rFonts w:ascii="Arial" w:hAnsi="Arial" w:cs="Arial"/>
          <w:color w:val="000000" w:themeColor="text1"/>
          <w:sz w:val="20"/>
          <w:szCs w:val="20"/>
        </w:rPr>
        <w:t xml:space="preserve">: Evaluation of the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Process on Cell Viability. </w:t>
      </w:r>
      <w:r w:rsidRPr="00C56CB9">
        <w:rPr>
          <w:rFonts w:ascii="Arial" w:hAnsi="Arial" w:cs="Arial"/>
          <w:i/>
          <w:iCs/>
          <w:color w:val="000000" w:themeColor="text1"/>
          <w:sz w:val="20"/>
          <w:szCs w:val="20"/>
        </w:rPr>
        <w:t>Foods</w:t>
      </w:r>
      <w:r w:rsidRPr="00C56CB9">
        <w:rPr>
          <w:rFonts w:ascii="Arial" w:hAnsi="Arial" w:cs="Arial"/>
          <w:color w:val="000000" w:themeColor="text1"/>
          <w:sz w:val="20"/>
          <w:szCs w:val="20"/>
        </w:rPr>
        <w:t xml:space="preserve">, 13(11), 1756. Doi: </w:t>
      </w:r>
      <w:hyperlink r:id="rId27" w:history="1">
        <w:r w:rsidRPr="00C56CB9">
          <w:rPr>
            <w:rStyle w:val="Hyperlink"/>
            <w:rFonts w:ascii="Arial" w:hAnsi="Arial" w:cs="Arial"/>
            <w:color w:val="000000" w:themeColor="text1"/>
            <w:sz w:val="20"/>
            <w:szCs w:val="20"/>
          </w:rPr>
          <w:t>https://doi.org/10.3390/foods13111756</w:t>
        </w:r>
      </w:hyperlink>
    </w:p>
    <w:p w14:paraId="3907ED38" w14:textId="6FE78024"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Ochoa-Martínez, C. I., Quintero, P. T., Ayala, A. A., &amp; Ortiz, M. J. </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2012</w:t>
      </w:r>
      <w:r w:rsidR="00513E1C"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Drying characteristics of mango slices using the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technique. </w:t>
      </w:r>
      <w:r w:rsidRPr="00C56CB9">
        <w:rPr>
          <w:rFonts w:ascii="Arial" w:hAnsi="Arial" w:cs="Arial"/>
          <w:i/>
          <w:iCs/>
          <w:color w:val="000000" w:themeColor="text1"/>
          <w:sz w:val="20"/>
          <w:szCs w:val="20"/>
        </w:rPr>
        <w:t>Journal of Food Engineering</w:t>
      </w:r>
      <w:r w:rsidRPr="00C56CB9">
        <w:rPr>
          <w:rFonts w:ascii="Arial" w:hAnsi="Arial" w:cs="Arial"/>
          <w:color w:val="000000" w:themeColor="text1"/>
          <w:sz w:val="20"/>
          <w:szCs w:val="20"/>
        </w:rPr>
        <w:t xml:space="preserve">, 109(1), 69–75. </w:t>
      </w:r>
      <w:proofErr w:type="spellStart"/>
      <w:r w:rsidRPr="00C56CB9">
        <w:rPr>
          <w:rFonts w:ascii="Arial" w:hAnsi="Arial" w:cs="Arial"/>
          <w:color w:val="000000" w:themeColor="text1"/>
          <w:sz w:val="20"/>
          <w:szCs w:val="20"/>
        </w:rPr>
        <w:t>Doi:</w:t>
      </w:r>
      <w:hyperlink r:id="rId28" w:history="1">
        <w:r w:rsidRPr="00C56CB9">
          <w:rPr>
            <w:rStyle w:val="Hyperlink"/>
            <w:rFonts w:ascii="Arial" w:hAnsi="Arial" w:cs="Arial"/>
            <w:color w:val="000000" w:themeColor="text1"/>
            <w:sz w:val="20"/>
            <w:szCs w:val="20"/>
          </w:rPr>
          <w:t>https</w:t>
        </w:r>
        <w:proofErr w:type="spellEnd"/>
        <w:r w:rsidRPr="00C56CB9">
          <w:rPr>
            <w:rStyle w:val="Hyperlink"/>
            <w:rFonts w:ascii="Arial" w:hAnsi="Arial" w:cs="Arial"/>
            <w:color w:val="000000" w:themeColor="text1"/>
            <w:sz w:val="20"/>
            <w:szCs w:val="20"/>
          </w:rPr>
          <w:t>://doi.org/10.1016/j.jfoodeng.2011.09.032</w:t>
        </w:r>
      </w:hyperlink>
    </w:p>
    <w:p w14:paraId="00244B20" w14:textId="437DE6F6"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Ortiz-Jerez, M. J., Franco Sánchez, A., </w:t>
      </w:r>
      <w:r w:rsidR="00686791"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Zapata Montoya, J. E. </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2022</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 Drying kinetics and sensory characteristics of dehydrated pumpkin seeds (</w:t>
      </w:r>
      <w:r w:rsidRPr="00C56CB9">
        <w:rPr>
          <w:rFonts w:ascii="Arial" w:hAnsi="Arial" w:cs="Arial"/>
          <w:i/>
          <w:iCs/>
          <w:color w:val="000000" w:themeColor="text1"/>
          <w:sz w:val="20"/>
          <w:szCs w:val="20"/>
        </w:rPr>
        <w:t>Cucurbita moschata</w:t>
      </w:r>
      <w:r w:rsidRPr="00C56CB9">
        <w:rPr>
          <w:rFonts w:ascii="Arial" w:hAnsi="Arial" w:cs="Arial"/>
          <w:color w:val="000000" w:themeColor="text1"/>
          <w:sz w:val="20"/>
          <w:szCs w:val="20"/>
        </w:rPr>
        <w:t xml:space="preserve">) obtained by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w:t>
      </w:r>
      <w:proofErr w:type="spellStart"/>
      <w:r w:rsidRPr="00C56CB9">
        <w:rPr>
          <w:rFonts w:ascii="Arial" w:hAnsi="Arial" w:cs="Arial"/>
          <w:i/>
          <w:iCs/>
          <w:color w:val="000000" w:themeColor="text1"/>
          <w:sz w:val="20"/>
          <w:szCs w:val="20"/>
        </w:rPr>
        <w:t>Heliyon</w:t>
      </w:r>
      <w:proofErr w:type="spellEnd"/>
      <w:r w:rsidRPr="00C56CB9">
        <w:rPr>
          <w:rFonts w:ascii="Arial" w:hAnsi="Arial" w:cs="Arial"/>
          <w:color w:val="000000" w:themeColor="text1"/>
          <w:sz w:val="20"/>
          <w:szCs w:val="20"/>
        </w:rPr>
        <w:t xml:space="preserve">. 8(2-3). DOI: </w:t>
      </w:r>
      <w:proofErr w:type="gramStart"/>
      <w:r w:rsidRPr="00C56CB9">
        <w:rPr>
          <w:rFonts w:ascii="Arial" w:hAnsi="Arial" w:cs="Arial"/>
          <w:color w:val="000000" w:themeColor="text1"/>
          <w:sz w:val="20"/>
          <w:szCs w:val="20"/>
        </w:rPr>
        <w:t>10.1016/j.heliyon.2022.e</w:t>
      </w:r>
      <w:proofErr w:type="gramEnd"/>
      <w:r w:rsidRPr="00C56CB9">
        <w:rPr>
          <w:rFonts w:ascii="Arial" w:hAnsi="Arial" w:cs="Arial"/>
          <w:color w:val="000000" w:themeColor="text1"/>
          <w:sz w:val="20"/>
          <w:szCs w:val="20"/>
        </w:rPr>
        <w:t xml:space="preserve">10947 </w:t>
      </w:r>
    </w:p>
    <w:p w14:paraId="0B62AC92" w14:textId="05B3ECE6"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Padhi, S., </w:t>
      </w:r>
      <w:proofErr w:type="spellStart"/>
      <w:r w:rsidRPr="00C56CB9">
        <w:rPr>
          <w:rFonts w:ascii="Arial" w:hAnsi="Arial" w:cs="Arial"/>
          <w:color w:val="000000" w:themeColor="text1"/>
          <w:sz w:val="20"/>
          <w:szCs w:val="20"/>
        </w:rPr>
        <w:t>Murakonda</w:t>
      </w:r>
      <w:proofErr w:type="spellEnd"/>
      <w:r w:rsidRPr="00C56CB9">
        <w:rPr>
          <w:rFonts w:ascii="Arial" w:hAnsi="Arial" w:cs="Arial"/>
          <w:color w:val="000000" w:themeColor="text1"/>
          <w:sz w:val="20"/>
          <w:szCs w:val="20"/>
        </w:rPr>
        <w:t>, S.,</w:t>
      </w:r>
      <w:r w:rsidR="00686791" w:rsidRPr="00C56CB9">
        <w:rPr>
          <w:rFonts w:ascii="Arial" w:hAnsi="Arial" w:cs="Arial"/>
          <w:color w:val="000000" w:themeColor="text1"/>
          <w:sz w:val="20"/>
          <w:szCs w:val="20"/>
        </w:rPr>
        <w:t xml:space="preserve"> &amp;</w:t>
      </w:r>
      <w:r w:rsidRPr="00C56CB9">
        <w:rPr>
          <w:rFonts w:ascii="Arial" w:hAnsi="Arial" w:cs="Arial"/>
          <w:color w:val="000000" w:themeColor="text1"/>
          <w:sz w:val="20"/>
          <w:szCs w:val="20"/>
        </w:rPr>
        <w:t xml:space="preserve"> Dwivedi, M. (2022). Investigation of drying characteristics and nutritional retention of unripe green banana flour by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technology using statistical approach. </w:t>
      </w:r>
      <w:r w:rsidRPr="00C56CB9">
        <w:rPr>
          <w:rFonts w:ascii="Arial" w:hAnsi="Arial" w:cs="Arial"/>
          <w:i/>
          <w:iCs/>
          <w:color w:val="000000" w:themeColor="text1"/>
          <w:sz w:val="20"/>
          <w:szCs w:val="20"/>
        </w:rPr>
        <w:t>Journal of Food Measurement and Characterization</w:t>
      </w:r>
      <w:r w:rsidRPr="00C56CB9">
        <w:rPr>
          <w:rFonts w:ascii="Arial" w:hAnsi="Arial" w:cs="Arial"/>
          <w:color w:val="000000" w:themeColor="text1"/>
          <w:sz w:val="20"/>
          <w:szCs w:val="20"/>
        </w:rPr>
        <w:t>, 16(5): 2375–2385. Doi:  </w:t>
      </w:r>
      <w:hyperlink r:id="rId29" w:tgtFrame="_blank" w:history="1">
        <w:r w:rsidRPr="00C56CB9">
          <w:rPr>
            <w:rStyle w:val="Hyperlink"/>
            <w:rFonts w:ascii="Arial" w:hAnsi="Arial" w:cs="Arial"/>
            <w:color w:val="000000" w:themeColor="text1"/>
            <w:sz w:val="20"/>
            <w:szCs w:val="20"/>
          </w:rPr>
          <w:t>10.1007/s11694-022-01349-7</w:t>
        </w:r>
      </w:hyperlink>
    </w:p>
    <w:p w14:paraId="63831B61" w14:textId="3D7E7220"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Pal, L., Giri, S. K., Mohapatra, D., Tripathi, M. K. </w:t>
      </w:r>
      <w:r w:rsidR="00686791"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Adinath Kate. </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Mass transfer parameters and quality characteristics of </w:t>
      </w:r>
      <w:proofErr w:type="spellStart"/>
      <w:r w:rsidRPr="00C56CB9">
        <w:rPr>
          <w:rFonts w:ascii="Arial" w:hAnsi="Arial" w:cs="Arial"/>
          <w:color w:val="000000" w:themeColor="text1"/>
          <w:sz w:val="20"/>
          <w:szCs w:val="20"/>
        </w:rPr>
        <w:t>aonla</w:t>
      </w:r>
      <w:proofErr w:type="spellEnd"/>
      <w:r w:rsidRPr="00C56CB9">
        <w:rPr>
          <w:rFonts w:ascii="Arial" w:hAnsi="Arial" w:cs="Arial"/>
          <w:color w:val="000000" w:themeColor="text1"/>
          <w:sz w:val="20"/>
          <w:szCs w:val="20"/>
        </w:rPr>
        <w:t xml:space="preserve"> slices under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Drying Technol. 42(3): 492-505. Doi: </w:t>
      </w:r>
      <w:hyperlink r:id="rId30" w:history="1">
        <w:r w:rsidRPr="00C56CB9">
          <w:rPr>
            <w:rStyle w:val="Hyperlink"/>
            <w:rFonts w:ascii="Arial" w:hAnsi="Arial" w:cs="Arial"/>
            <w:color w:val="000000" w:themeColor="text1"/>
            <w:sz w:val="20"/>
            <w:szCs w:val="20"/>
          </w:rPr>
          <w:t>https://doi.org/10.1080/07373937.2023.2234473</w:t>
        </w:r>
      </w:hyperlink>
    </w:p>
    <w:p w14:paraId="37BE4540"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lastRenderedPageBreak/>
        <w:t xml:space="preserve">Pathare, P. B., Opara, U. L., &amp; Al-Said, F. A. J. (2013). Colour measurement and analysis in fresh and processed foods: A review. </w:t>
      </w:r>
      <w:r w:rsidRPr="00C56CB9">
        <w:rPr>
          <w:rFonts w:ascii="Arial" w:hAnsi="Arial" w:cs="Arial"/>
          <w:i/>
          <w:iCs/>
          <w:color w:val="000000" w:themeColor="text1"/>
          <w:sz w:val="20"/>
          <w:szCs w:val="20"/>
        </w:rPr>
        <w:t>Food and Bioprocess Technology</w:t>
      </w:r>
      <w:r w:rsidRPr="00C56CB9">
        <w:rPr>
          <w:rFonts w:ascii="Arial" w:hAnsi="Arial" w:cs="Arial"/>
          <w:color w:val="000000" w:themeColor="text1"/>
          <w:sz w:val="20"/>
          <w:szCs w:val="20"/>
        </w:rPr>
        <w:t>, 6(1), 36–60. DOI: </w:t>
      </w:r>
      <w:hyperlink r:id="rId31" w:tgtFrame="_blank" w:history="1">
        <w:r w:rsidRPr="00C56CB9">
          <w:rPr>
            <w:rStyle w:val="Hyperlink"/>
            <w:rFonts w:ascii="Arial" w:hAnsi="Arial" w:cs="Arial"/>
            <w:color w:val="000000" w:themeColor="text1"/>
            <w:sz w:val="20"/>
            <w:szCs w:val="20"/>
          </w:rPr>
          <w:t>10.1007/s11947-012-0867-9</w:t>
        </w:r>
      </w:hyperlink>
    </w:p>
    <w:p w14:paraId="19737DD2"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Raghavi, L. M., Moses, J. A., &amp; </w:t>
      </w:r>
      <w:proofErr w:type="spellStart"/>
      <w:r w:rsidRPr="00C56CB9">
        <w:rPr>
          <w:rFonts w:ascii="Arial" w:hAnsi="Arial" w:cs="Arial"/>
          <w:color w:val="000000" w:themeColor="text1"/>
          <w:sz w:val="20"/>
          <w:szCs w:val="20"/>
        </w:rPr>
        <w:t>Anandharamakrishnan</w:t>
      </w:r>
      <w:proofErr w:type="spellEnd"/>
      <w:r w:rsidRPr="00C56CB9">
        <w:rPr>
          <w:rFonts w:ascii="Arial" w:hAnsi="Arial" w:cs="Arial"/>
          <w:color w:val="000000" w:themeColor="text1"/>
          <w:sz w:val="20"/>
          <w:szCs w:val="20"/>
        </w:rPr>
        <w:t xml:space="preserve">, C. (2018).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of foods: A review. </w:t>
      </w:r>
      <w:r w:rsidRPr="00C56CB9">
        <w:rPr>
          <w:rFonts w:ascii="Arial" w:hAnsi="Arial" w:cs="Arial"/>
          <w:i/>
          <w:iCs/>
          <w:color w:val="000000" w:themeColor="text1"/>
          <w:sz w:val="20"/>
          <w:szCs w:val="20"/>
        </w:rPr>
        <w:t>Journal of Food Engineering</w:t>
      </w:r>
      <w:r w:rsidRPr="00C56CB9">
        <w:rPr>
          <w:rFonts w:ascii="Arial" w:hAnsi="Arial" w:cs="Arial"/>
          <w:color w:val="000000" w:themeColor="text1"/>
          <w:sz w:val="20"/>
          <w:szCs w:val="20"/>
        </w:rPr>
        <w:t>, 222, 267–275. https://doi.org/10.1016/j.jfoodeng.2017.11.032</w:t>
      </w:r>
    </w:p>
    <w:p w14:paraId="7EAEA565" w14:textId="410C87CB" w:rsidR="00EE1FE2" w:rsidRPr="00C56CB9" w:rsidRDefault="00EE1FE2" w:rsidP="00C56CB9">
      <w:pPr>
        <w:spacing w:line="360" w:lineRule="auto"/>
        <w:ind w:left="567" w:hanging="567"/>
        <w:jc w:val="both"/>
        <w:rPr>
          <w:rFonts w:ascii="Arial" w:hAnsi="Arial" w:cs="Arial"/>
          <w:color w:val="000000" w:themeColor="text1"/>
          <w:sz w:val="20"/>
          <w:szCs w:val="20"/>
        </w:rPr>
      </w:pPr>
      <w:proofErr w:type="spellStart"/>
      <w:r w:rsidRPr="00C56CB9">
        <w:rPr>
          <w:rFonts w:ascii="Arial" w:hAnsi="Arial" w:cs="Arial"/>
          <w:color w:val="000000" w:themeColor="text1"/>
          <w:sz w:val="20"/>
          <w:szCs w:val="20"/>
        </w:rPr>
        <w:t>Rajoriya</w:t>
      </w:r>
      <w:proofErr w:type="spellEnd"/>
      <w:r w:rsidRPr="00C56CB9">
        <w:rPr>
          <w:rFonts w:ascii="Arial" w:hAnsi="Arial" w:cs="Arial"/>
          <w:color w:val="000000" w:themeColor="text1"/>
          <w:sz w:val="20"/>
          <w:szCs w:val="20"/>
        </w:rPr>
        <w:t xml:space="preserve">, D., </w:t>
      </w:r>
      <w:proofErr w:type="spellStart"/>
      <w:r w:rsidRPr="00C56CB9">
        <w:rPr>
          <w:rFonts w:ascii="Arial" w:hAnsi="Arial" w:cs="Arial"/>
          <w:color w:val="000000" w:themeColor="text1"/>
          <w:sz w:val="20"/>
          <w:szCs w:val="20"/>
        </w:rPr>
        <w:t>Shewale</w:t>
      </w:r>
      <w:proofErr w:type="spellEnd"/>
      <w:r w:rsidRPr="00C56CB9">
        <w:rPr>
          <w:rFonts w:ascii="Arial" w:hAnsi="Arial" w:cs="Arial"/>
          <w:color w:val="000000" w:themeColor="text1"/>
          <w:sz w:val="20"/>
          <w:szCs w:val="20"/>
        </w:rPr>
        <w:t xml:space="preserve">, S. R., Bhavya, M. L., </w:t>
      </w:r>
      <w:r w:rsidR="00686791"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Hebbar, H. U. </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2020</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Far infrared assisted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of apple slices: Comparative study on flavour, nutrient retention and drying characteristics. </w:t>
      </w:r>
      <w:r w:rsidRPr="00C56CB9">
        <w:rPr>
          <w:rFonts w:ascii="Arial" w:hAnsi="Arial" w:cs="Arial"/>
          <w:i/>
          <w:iCs/>
          <w:color w:val="000000" w:themeColor="text1"/>
          <w:sz w:val="20"/>
          <w:szCs w:val="20"/>
        </w:rPr>
        <w:t>Innovative Food Sci. Emerging Technologies</w:t>
      </w:r>
      <w:r w:rsidRPr="00C56CB9">
        <w:rPr>
          <w:rFonts w:ascii="Arial" w:hAnsi="Arial" w:cs="Arial"/>
          <w:color w:val="000000" w:themeColor="text1"/>
          <w:sz w:val="20"/>
          <w:szCs w:val="20"/>
        </w:rPr>
        <w:t xml:space="preserve">. 66: 102530. Doi: </w:t>
      </w:r>
      <w:hyperlink r:id="rId32" w:tgtFrame="_blank" w:tooltip="Persistent link using digital object identifier" w:history="1">
        <w:r w:rsidRPr="00C56CB9">
          <w:rPr>
            <w:rStyle w:val="Hyperlink"/>
            <w:rFonts w:ascii="Arial" w:hAnsi="Arial" w:cs="Arial"/>
            <w:color w:val="000000" w:themeColor="text1"/>
            <w:sz w:val="20"/>
            <w:szCs w:val="20"/>
          </w:rPr>
          <w:t>https://doi.org/10.1016/j.ifset.2020.102530</w:t>
        </w:r>
      </w:hyperlink>
    </w:p>
    <w:p w14:paraId="0D0C182B" w14:textId="5CF1958D"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Rurush</w:t>
      </w:r>
      <w:proofErr w:type="spellEnd"/>
      <w:r w:rsidRPr="00C56CB9">
        <w:rPr>
          <w:rFonts w:ascii="Arial" w:hAnsi="Arial" w:cs="Arial"/>
          <w:color w:val="000000" w:themeColor="text1"/>
          <w:sz w:val="20"/>
          <w:szCs w:val="20"/>
        </w:rPr>
        <w:t xml:space="preserve">, E., Alvarado, M., Palacios, P., Flores, Y., Rojas, M. L. </w:t>
      </w:r>
      <w:r w:rsidR="00686791"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Miano, A. C. </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2022</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Drying kinetics of blueberry pulp and mass transfer parameters: Effect of hot air and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at different temperatures. </w:t>
      </w:r>
      <w:r w:rsidRPr="00C56CB9">
        <w:rPr>
          <w:rFonts w:ascii="Arial" w:hAnsi="Arial" w:cs="Arial"/>
          <w:i/>
          <w:iCs/>
          <w:color w:val="000000" w:themeColor="text1"/>
          <w:sz w:val="20"/>
          <w:szCs w:val="20"/>
        </w:rPr>
        <w:t>Journal of Food Engineering</w:t>
      </w:r>
      <w:r w:rsidRPr="00C56CB9">
        <w:rPr>
          <w:rFonts w:ascii="Arial" w:hAnsi="Arial" w:cs="Arial"/>
          <w:color w:val="000000" w:themeColor="text1"/>
          <w:sz w:val="20"/>
          <w:szCs w:val="20"/>
        </w:rPr>
        <w:t xml:space="preserve">, 320, 110929. Doi </w:t>
      </w:r>
      <w:hyperlink r:id="rId33" w:history="1">
        <w:r w:rsidRPr="00C56CB9">
          <w:rPr>
            <w:rStyle w:val="Hyperlink"/>
            <w:rFonts w:ascii="Arial" w:hAnsi="Arial" w:cs="Arial"/>
            <w:color w:val="000000" w:themeColor="text1"/>
            <w:sz w:val="20"/>
            <w:szCs w:val="20"/>
          </w:rPr>
          <w:t>https://doi.org/10.1016/j.jfoodeng.2021.110929</w:t>
        </w:r>
      </w:hyperlink>
      <w:r w:rsidRPr="00C56CB9">
        <w:rPr>
          <w:rFonts w:ascii="Arial" w:hAnsi="Arial" w:cs="Arial"/>
          <w:color w:val="000000" w:themeColor="text1"/>
          <w:sz w:val="20"/>
          <w:szCs w:val="20"/>
        </w:rPr>
        <w:t xml:space="preserve">   </w:t>
      </w:r>
    </w:p>
    <w:p w14:paraId="2407E27E" w14:textId="0599D279"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Santos, V. C. S., De Souza, R. L., Figueiredo, R. T., &amp; De Alsina, O. L. S. </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2022</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A review on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process of fruits and vegetables: Its integration with renewable energies. </w:t>
      </w:r>
      <w:r w:rsidRPr="00C56CB9">
        <w:rPr>
          <w:rFonts w:ascii="Arial" w:hAnsi="Arial" w:cs="Arial"/>
          <w:i/>
          <w:iCs/>
          <w:color w:val="000000" w:themeColor="text1"/>
          <w:sz w:val="20"/>
          <w:szCs w:val="20"/>
        </w:rPr>
        <w:t>Brazilian Journal of Food Technology</w:t>
      </w:r>
      <w:r w:rsidRPr="00C56CB9">
        <w:rPr>
          <w:rFonts w:ascii="Arial" w:hAnsi="Arial" w:cs="Arial"/>
          <w:color w:val="000000" w:themeColor="text1"/>
          <w:sz w:val="20"/>
          <w:szCs w:val="20"/>
        </w:rPr>
        <w:t xml:space="preserve">. 25. Doi: </w:t>
      </w:r>
      <w:hyperlink r:id="rId34" w:tgtFrame="_blank" w:history="1">
        <w:r w:rsidRPr="00C56CB9">
          <w:rPr>
            <w:rStyle w:val="Hyperlink"/>
            <w:rFonts w:ascii="Arial" w:hAnsi="Arial" w:cs="Arial"/>
            <w:color w:val="000000" w:themeColor="text1"/>
            <w:sz w:val="20"/>
            <w:szCs w:val="20"/>
          </w:rPr>
          <w:t>https://doi.org/10.1590/1981-6723.15321</w:t>
        </w:r>
      </w:hyperlink>
    </w:p>
    <w:p w14:paraId="5D88D071" w14:textId="625BBCC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Shaju, A. A. </w:t>
      </w:r>
      <w:r w:rsidR="00686791"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Prince, M. V. </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2025</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Technology and Product Quality Characteristics. </w:t>
      </w:r>
      <w:r w:rsidRPr="00C56CB9">
        <w:rPr>
          <w:rFonts w:ascii="Arial" w:hAnsi="Arial" w:cs="Arial"/>
          <w:i/>
          <w:iCs/>
          <w:color w:val="000000" w:themeColor="text1"/>
          <w:sz w:val="20"/>
          <w:szCs w:val="20"/>
        </w:rPr>
        <w:t xml:space="preserve">J. Scientific Res. Reports. </w:t>
      </w:r>
      <w:r w:rsidRPr="00C56CB9">
        <w:rPr>
          <w:rFonts w:ascii="Arial" w:hAnsi="Arial" w:cs="Arial"/>
          <w:color w:val="000000" w:themeColor="text1"/>
          <w:sz w:val="20"/>
          <w:szCs w:val="20"/>
        </w:rPr>
        <w:t>31(11):539-558. Doi: https://doi.org/10.9734/jsrr/2025/v31i113689</w:t>
      </w:r>
    </w:p>
    <w:p w14:paraId="64B162A1"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Showkat, M., Shukla, R. M., Richa, R., Amin, T., Faisal, S., Hussain, A., Joshi, S., Dobhal, A., &amp; Kumar, S. (2024). Synergistic Effect of Advanced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on Quality Characteristics of Potato Slices and Numerical Process Optimization. </w:t>
      </w:r>
      <w:r w:rsidRPr="00C56CB9">
        <w:rPr>
          <w:rFonts w:ascii="Arial" w:hAnsi="Arial" w:cs="Arial"/>
          <w:i/>
          <w:iCs/>
          <w:color w:val="000000" w:themeColor="text1"/>
          <w:sz w:val="20"/>
          <w:szCs w:val="20"/>
        </w:rPr>
        <w:t>Potato Research</w:t>
      </w:r>
      <w:r w:rsidRPr="00C56CB9">
        <w:rPr>
          <w:rFonts w:ascii="Arial" w:hAnsi="Arial" w:cs="Arial"/>
          <w:color w:val="000000" w:themeColor="text1"/>
          <w:sz w:val="20"/>
          <w:szCs w:val="20"/>
        </w:rPr>
        <w:t xml:space="preserve">. 68:1069–1087 </w:t>
      </w:r>
      <w:proofErr w:type="spellStart"/>
      <w:proofErr w:type="gramStart"/>
      <w:r w:rsidRPr="00C56CB9">
        <w:rPr>
          <w:rFonts w:ascii="Arial" w:hAnsi="Arial" w:cs="Arial"/>
          <w:color w:val="000000" w:themeColor="text1"/>
          <w:sz w:val="20"/>
          <w:szCs w:val="20"/>
        </w:rPr>
        <w:t>Doi:https</w:t>
      </w:r>
      <w:proofErr w:type="spellEnd"/>
      <w:r w:rsidRPr="00C56CB9">
        <w:rPr>
          <w:rFonts w:ascii="Arial" w:hAnsi="Arial" w:cs="Arial"/>
          <w:color w:val="000000" w:themeColor="text1"/>
          <w:sz w:val="20"/>
          <w:szCs w:val="20"/>
        </w:rPr>
        <w:t>://doi.org/10.1007/s11540</w:t>
      </w:r>
      <w:proofErr w:type="gramEnd"/>
      <w:r w:rsidRPr="00C56CB9">
        <w:rPr>
          <w:rFonts w:ascii="Arial" w:hAnsi="Arial" w:cs="Arial"/>
          <w:color w:val="000000" w:themeColor="text1"/>
          <w:sz w:val="20"/>
          <w:szCs w:val="20"/>
        </w:rPr>
        <w:t xml:space="preserve"> 024-09770-9</w:t>
      </w:r>
    </w:p>
    <w:p w14:paraId="0421A3B1" w14:textId="06CA8394"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Shrivastav, S., Ganorkar, P. M., Prajapati, K. M., &amp; Patel, D. B. </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2021</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Drying kinetics, heat quantities, and physiochemical characteristics of strawberry puree by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system. </w:t>
      </w:r>
      <w:r w:rsidRPr="00C56CB9">
        <w:rPr>
          <w:rFonts w:ascii="Arial" w:hAnsi="Arial" w:cs="Arial"/>
          <w:i/>
          <w:iCs/>
          <w:color w:val="000000" w:themeColor="text1"/>
          <w:sz w:val="20"/>
          <w:szCs w:val="20"/>
        </w:rPr>
        <w:t>Journal of Food Process Engineering</w:t>
      </w:r>
      <w:r w:rsidRPr="00C56CB9">
        <w:rPr>
          <w:rFonts w:ascii="Arial" w:hAnsi="Arial" w:cs="Arial"/>
          <w:color w:val="000000" w:themeColor="text1"/>
          <w:sz w:val="20"/>
          <w:szCs w:val="20"/>
        </w:rPr>
        <w:t>, 44(9), e13776. Doi: 10.1111/jfpe.13776</w:t>
      </w:r>
    </w:p>
    <w:p w14:paraId="199171AE" w14:textId="3A7DA193"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 Silva, N. C., Santos, A. O., Duarte, C. R., &amp; Barrozo, M. A. S. </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as an Alternative Method for Brewer’s Spent Grain Preservation. </w:t>
      </w:r>
      <w:r w:rsidRPr="00C56CB9">
        <w:rPr>
          <w:rFonts w:ascii="Arial" w:hAnsi="Arial" w:cs="Arial"/>
          <w:i/>
          <w:iCs/>
          <w:color w:val="000000" w:themeColor="text1"/>
          <w:sz w:val="20"/>
          <w:szCs w:val="20"/>
        </w:rPr>
        <w:t>Applied Biosciences</w:t>
      </w:r>
      <w:r w:rsidRPr="00C56CB9">
        <w:rPr>
          <w:rFonts w:ascii="Arial" w:hAnsi="Arial" w:cs="Arial"/>
          <w:color w:val="000000" w:themeColor="text1"/>
          <w:sz w:val="20"/>
          <w:szCs w:val="20"/>
        </w:rPr>
        <w:t xml:space="preserve">, 3, 71–86. Doi: </w:t>
      </w:r>
      <w:hyperlink r:id="rId35" w:history="1">
        <w:r w:rsidRPr="00C56CB9">
          <w:rPr>
            <w:rStyle w:val="Hyperlink"/>
            <w:rFonts w:ascii="Arial" w:hAnsi="Arial" w:cs="Arial"/>
            <w:color w:val="000000" w:themeColor="text1"/>
            <w:sz w:val="20"/>
            <w:szCs w:val="20"/>
          </w:rPr>
          <w:t>https://doi.org/10.3390/applbiosci3010005</w:t>
        </w:r>
      </w:hyperlink>
      <w:r w:rsidRPr="00C56CB9">
        <w:rPr>
          <w:rFonts w:ascii="Arial" w:hAnsi="Arial" w:cs="Arial"/>
          <w:color w:val="000000" w:themeColor="text1"/>
          <w:sz w:val="20"/>
          <w:szCs w:val="20"/>
        </w:rPr>
        <w:t xml:space="preserve">   </w:t>
      </w:r>
    </w:p>
    <w:p w14:paraId="7BC2D269" w14:textId="10A68E7A" w:rsidR="00EE1FE2" w:rsidRPr="00C56CB9" w:rsidRDefault="00EE1FE2" w:rsidP="00C56CB9">
      <w:pPr>
        <w:spacing w:line="360" w:lineRule="auto"/>
        <w:ind w:left="567" w:hanging="567"/>
        <w:jc w:val="both"/>
        <w:rPr>
          <w:rFonts w:ascii="Arial" w:hAnsi="Arial" w:cs="Arial"/>
          <w:color w:val="000000" w:themeColor="text1"/>
          <w:sz w:val="20"/>
          <w:szCs w:val="20"/>
        </w:rPr>
      </w:pPr>
      <w:proofErr w:type="spellStart"/>
      <w:r w:rsidRPr="00C56CB9">
        <w:rPr>
          <w:rFonts w:ascii="Arial" w:hAnsi="Arial" w:cs="Arial"/>
          <w:color w:val="000000" w:themeColor="text1"/>
          <w:sz w:val="20"/>
          <w:szCs w:val="20"/>
        </w:rPr>
        <w:t>Suthisamphat</w:t>
      </w:r>
      <w:proofErr w:type="spellEnd"/>
      <w:r w:rsidRPr="00C56CB9">
        <w:rPr>
          <w:rFonts w:ascii="Arial" w:hAnsi="Arial" w:cs="Arial"/>
          <w:color w:val="000000" w:themeColor="text1"/>
          <w:sz w:val="20"/>
          <w:szCs w:val="20"/>
        </w:rPr>
        <w:t xml:space="preserve">, N., </w:t>
      </w:r>
      <w:proofErr w:type="spellStart"/>
      <w:r w:rsidRPr="00C56CB9">
        <w:rPr>
          <w:rFonts w:ascii="Arial" w:hAnsi="Arial" w:cs="Arial"/>
          <w:color w:val="000000" w:themeColor="text1"/>
          <w:sz w:val="20"/>
          <w:szCs w:val="20"/>
        </w:rPr>
        <w:t>Dechayont</w:t>
      </w:r>
      <w:proofErr w:type="spellEnd"/>
      <w:r w:rsidRPr="00C56CB9">
        <w:rPr>
          <w:rFonts w:ascii="Arial" w:hAnsi="Arial" w:cs="Arial"/>
          <w:color w:val="000000" w:themeColor="text1"/>
          <w:sz w:val="20"/>
          <w:szCs w:val="20"/>
        </w:rPr>
        <w:t xml:space="preserve">, B., </w:t>
      </w:r>
      <w:proofErr w:type="spellStart"/>
      <w:r w:rsidRPr="00C56CB9">
        <w:rPr>
          <w:rFonts w:ascii="Arial" w:hAnsi="Arial" w:cs="Arial"/>
          <w:color w:val="000000" w:themeColor="text1"/>
          <w:sz w:val="20"/>
          <w:szCs w:val="20"/>
        </w:rPr>
        <w:t>Phuaklee</w:t>
      </w:r>
      <w:proofErr w:type="spellEnd"/>
      <w:r w:rsidRPr="00C56CB9">
        <w:rPr>
          <w:rFonts w:ascii="Arial" w:hAnsi="Arial" w:cs="Arial"/>
          <w:color w:val="000000" w:themeColor="text1"/>
          <w:sz w:val="20"/>
          <w:szCs w:val="20"/>
        </w:rPr>
        <w:t xml:space="preserve">, P., </w:t>
      </w:r>
      <w:proofErr w:type="spellStart"/>
      <w:r w:rsidRPr="00C56CB9">
        <w:rPr>
          <w:rFonts w:ascii="Arial" w:hAnsi="Arial" w:cs="Arial"/>
          <w:color w:val="000000" w:themeColor="text1"/>
          <w:sz w:val="20"/>
          <w:szCs w:val="20"/>
        </w:rPr>
        <w:t>Prajuabjinda</w:t>
      </w:r>
      <w:proofErr w:type="spellEnd"/>
      <w:r w:rsidRPr="00C56CB9">
        <w:rPr>
          <w:rFonts w:ascii="Arial" w:hAnsi="Arial" w:cs="Arial"/>
          <w:color w:val="000000" w:themeColor="text1"/>
          <w:sz w:val="20"/>
          <w:szCs w:val="20"/>
        </w:rPr>
        <w:t xml:space="preserve">, O., </w:t>
      </w:r>
      <w:proofErr w:type="spellStart"/>
      <w:r w:rsidRPr="00C56CB9">
        <w:rPr>
          <w:rFonts w:ascii="Arial" w:hAnsi="Arial" w:cs="Arial"/>
          <w:color w:val="000000" w:themeColor="text1"/>
          <w:sz w:val="20"/>
          <w:szCs w:val="20"/>
        </w:rPr>
        <w:t>Vilaichone</w:t>
      </w:r>
      <w:proofErr w:type="spellEnd"/>
      <w:r w:rsidRPr="00C56CB9">
        <w:rPr>
          <w:rFonts w:ascii="Arial" w:hAnsi="Arial" w:cs="Arial"/>
          <w:color w:val="000000" w:themeColor="text1"/>
          <w:sz w:val="20"/>
          <w:szCs w:val="20"/>
        </w:rPr>
        <w:t xml:space="preserve">. R., </w:t>
      </w:r>
      <w:proofErr w:type="spellStart"/>
      <w:r w:rsidRPr="00C56CB9">
        <w:rPr>
          <w:rFonts w:ascii="Arial" w:hAnsi="Arial" w:cs="Arial"/>
          <w:color w:val="000000" w:themeColor="text1"/>
          <w:sz w:val="20"/>
          <w:szCs w:val="20"/>
        </w:rPr>
        <w:t>Itharat</w:t>
      </w:r>
      <w:proofErr w:type="spellEnd"/>
      <w:r w:rsidRPr="00C56CB9">
        <w:rPr>
          <w:rFonts w:ascii="Arial" w:hAnsi="Arial" w:cs="Arial"/>
          <w:color w:val="000000" w:themeColor="text1"/>
          <w:sz w:val="20"/>
          <w:szCs w:val="20"/>
        </w:rPr>
        <w:t xml:space="preserve">, A., </w:t>
      </w:r>
      <w:proofErr w:type="spellStart"/>
      <w:r w:rsidRPr="00C56CB9">
        <w:rPr>
          <w:rFonts w:ascii="Arial" w:hAnsi="Arial" w:cs="Arial"/>
          <w:color w:val="000000" w:themeColor="text1"/>
          <w:sz w:val="20"/>
          <w:szCs w:val="20"/>
        </w:rPr>
        <w:t>Mokmued</w:t>
      </w:r>
      <w:proofErr w:type="spellEnd"/>
      <w:r w:rsidRPr="00C56CB9">
        <w:rPr>
          <w:rFonts w:ascii="Arial" w:hAnsi="Arial" w:cs="Arial"/>
          <w:color w:val="000000" w:themeColor="text1"/>
          <w:sz w:val="20"/>
          <w:szCs w:val="20"/>
        </w:rPr>
        <w:t xml:space="preserve">, K. </w:t>
      </w:r>
      <w:r w:rsidR="00686791"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Prommee</w:t>
      </w:r>
      <w:proofErr w:type="spellEnd"/>
      <w:r w:rsidRPr="00C56CB9">
        <w:rPr>
          <w:rFonts w:ascii="Arial" w:hAnsi="Arial" w:cs="Arial"/>
          <w:color w:val="000000" w:themeColor="text1"/>
          <w:sz w:val="20"/>
          <w:szCs w:val="20"/>
        </w:rPr>
        <w:t xml:space="preserve">, N. </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2020</w:t>
      </w:r>
      <w:r w:rsidR="00686791"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Evidence-Based Complementary and Alternative Medicine. 6p. </w:t>
      </w:r>
      <w:proofErr w:type="spellStart"/>
      <w:proofErr w:type="gramStart"/>
      <w:r w:rsidRPr="00C56CB9">
        <w:rPr>
          <w:rFonts w:ascii="Arial" w:hAnsi="Arial" w:cs="Arial"/>
          <w:color w:val="000000" w:themeColor="text1"/>
          <w:sz w:val="20"/>
          <w:szCs w:val="20"/>
        </w:rPr>
        <w:t>Doi:https</w:t>
      </w:r>
      <w:proofErr w:type="spellEnd"/>
      <w:r w:rsidRPr="00C56CB9">
        <w:rPr>
          <w:rFonts w:ascii="Arial" w:hAnsi="Arial" w:cs="Arial"/>
          <w:color w:val="000000" w:themeColor="text1"/>
          <w:sz w:val="20"/>
          <w:szCs w:val="20"/>
        </w:rPr>
        <w:t>://doi.org/10.1155/2020/7576818</w:t>
      </w:r>
      <w:proofErr w:type="gramEnd"/>
    </w:p>
    <w:p w14:paraId="7C0EFACE" w14:textId="2BED204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Talukdar, P., &amp; </w:t>
      </w:r>
      <w:proofErr w:type="spellStart"/>
      <w:r w:rsidRPr="00C56CB9">
        <w:rPr>
          <w:rFonts w:ascii="Arial" w:hAnsi="Arial" w:cs="Arial"/>
          <w:color w:val="000000" w:themeColor="text1"/>
          <w:sz w:val="20"/>
          <w:szCs w:val="20"/>
        </w:rPr>
        <w:t>Uppaluri</w:t>
      </w:r>
      <w:proofErr w:type="spellEnd"/>
      <w:r w:rsidRPr="00C56CB9">
        <w:rPr>
          <w:rFonts w:ascii="Arial" w:hAnsi="Arial" w:cs="Arial"/>
          <w:color w:val="000000" w:themeColor="text1"/>
          <w:sz w:val="20"/>
          <w:szCs w:val="20"/>
        </w:rPr>
        <w:t xml:space="preserve">, R. </w:t>
      </w:r>
      <w:r w:rsidR="00D32CF5" w:rsidRPr="00C56CB9">
        <w:rPr>
          <w:rFonts w:ascii="Arial" w:hAnsi="Arial" w:cs="Arial"/>
          <w:color w:val="000000" w:themeColor="text1"/>
          <w:sz w:val="20"/>
          <w:szCs w:val="20"/>
        </w:rPr>
        <w:t>(</w:t>
      </w:r>
      <w:r w:rsidRPr="00C56CB9">
        <w:rPr>
          <w:rFonts w:ascii="Arial" w:hAnsi="Arial" w:cs="Arial"/>
          <w:color w:val="000000" w:themeColor="text1"/>
          <w:sz w:val="20"/>
          <w:szCs w:val="20"/>
        </w:rPr>
        <w:t>2021</w:t>
      </w:r>
      <w:r w:rsidR="00D32CF5"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Process and product characteristics of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dried Curcuma longa. </w:t>
      </w:r>
      <w:r w:rsidRPr="00C56CB9">
        <w:rPr>
          <w:rFonts w:ascii="Arial" w:hAnsi="Arial" w:cs="Arial"/>
          <w:i/>
          <w:iCs/>
          <w:color w:val="000000" w:themeColor="text1"/>
          <w:sz w:val="20"/>
          <w:szCs w:val="20"/>
        </w:rPr>
        <w:t>J. Food Sci.</w:t>
      </w:r>
      <w:r w:rsidRPr="00C56CB9">
        <w:rPr>
          <w:rFonts w:ascii="Arial" w:hAnsi="Arial" w:cs="Arial"/>
          <w:color w:val="000000" w:themeColor="text1"/>
          <w:sz w:val="20"/>
          <w:szCs w:val="20"/>
        </w:rPr>
        <w:t xml:space="preserve"> 86(2), 443–453. doi:10.1111/1750-3841.15587</w:t>
      </w:r>
    </w:p>
    <w:p w14:paraId="65B8A9FE" w14:textId="6B999685"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lastRenderedPageBreak/>
        <w:t>Talukdar, P., Baruah, K. N. Barman, P. J., Sharma, S.</w:t>
      </w:r>
      <w:r w:rsidR="00D32CF5"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w:t>
      </w:r>
      <w:proofErr w:type="spellStart"/>
      <w:r w:rsidRPr="00C56CB9">
        <w:rPr>
          <w:rFonts w:ascii="Arial" w:hAnsi="Arial" w:cs="Arial"/>
          <w:color w:val="000000" w:themeColor="text1"/>
          <w:sz w:val="20"/>
          <w:szCs w:val="20"/>
        </w:rPr>
        <w:t>Uppaluri</w:t>
      </w:r>
      <w:proofErr w:type="spellEnd"/>
      <w:r w:rsidRPr="00C56CB9">
        <w:rPr>
          <w:rFonts w:ascii="Arial" w:hAnsi="Arial" w:cs="Arial"/>
          <w:color w:val="000000" w:themeColor="text1"/>
          <w:sz w:val="20"/>
          <w:szCs w:val="20"/>
        </w:rPr>
        <w:t xml:space="preserve">, R. V. S. </w:t>
      </w:r>
      <w:r w:rsidR="00D32CF5" w:rsidRPr="00C56CB9">
        <w:rPr>
          <w:rFonts w:ascii="Arial" w:hAnsi="Arial" w:cs="Arial"/>
          <w:color w:val="000000" w:themeColor="text1"/>
          <w:sz w:val="20"/>
          <w:szCs w:val="20"/>
        </w:rPr>
        <w:t>(</w:t>
      </w:r>
      <w:r w:rsidRPr="00C56CB9">
        <w:rPr>
          <w:rFonts w:ascii="Arial" w:hAnsi="Arial" w:cs="Arial"/>
          <w:color w:val="000000" w:themeColor="text1"/>
          <w:sz w:val="20"/>
          <w:szCs w:val="20"/>
        </w:rPr>
        <w:t>2025</w:t>
      </w:r>
      <w:r w:rsidR="00D32CF5"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Development and Characterization of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Window-Dried </w:t>
      </w:r>
      <w:r w:rsidRPr="00C56CB9">
        <w:rPr>
          <w:rFonts w:ascii="Arial" w:hAnsi="Arial" w:cs="Arial"/>
          <w:i/>
          <w:iCs/>
          <w:color w:val="000000" w:themeColor="text1"/>
          <w:sz w:val="20"/>
          <w:szCs w:val="20"/>
        </w:rPr>
        <w:t>Curcuma longa</w:t>
      </w:r>
      <w:r w:rsidRPr="00C56CB9">
        <w:rPr>
          <w:rFonts w:ascii="Arial" w:hAnsi="Arial" w:cs="Arial"/>
          <w:color w:val="000000" w:themeColor="text1"/>
          <w:sz w:val="20"/>
          <w:szCs w:val="20"/>
        </w:rPr>
        <w:t xml:space="preserve"> Powder Fortified with </w:t>
      </w:r>
      <w:proofErr w:type="spellStart"/>
      <w:r w:rsidRPr="00C56CB9">
        <w:rPr>
          <w:rFonts w:ascii="Arial" w:hAnsi="Arial" w:cs="Arial"/>
          <w:color w:val="000000" w:themeColor="text1"/>
          <w:sz w:val="20"/>
          <w:szCs w:val="20"/>
        </w:rPr>
        <w:t>NaFeEDTA</w:t>
      </w:r>
      <w:proofErr w:type="spellEnd"/>
      <w:r w:rsidRPr="00C56CB9">
        <w:rPr>
          <w:rFonts w:ascii="Arial" w:hAnsi="Arial" w:cs="Arial"/>
          <w:color w:val="000000" w:themeColor="text1"/>
          <w:sz w:val="20"/>
          <w:szCs w:val="20"/>
        </w:rPr>
        <w:t xml:space="preserve"> and Folic Acid. A Study on Thermal, Morphological, and In Vitro Bio Accessibility Properties. </w:t>
      </w:r>
      <w:r w:rsidRPr="00C56CB9">
        <w:rPr>
          <w:rFonts w:ascii="Arial" w:hAnsi="Arial" w:cs="Arial"/>
          <w:i/>
          <w:iCs/>
          <w:color w:val="000000" w:themeColor="text1"/>
          <w:sz w:val="20"/>
          <w:szCs w:val="20"/>
        </w:rPr>
        <w:t>Foods</w:t>
      </w:r>
      <w:r w:rsidRPr="00C56CB9">
        <w:rPr>
          <w:rFonts w:ascii="Arial" w:hAnsi="Arial" w:cs="Arial"/>
          <w:color w:val="000000" w:themeColor="text1"/>
          <w:sz w:val="20"/>
          <w:szCs w:val="20"/>
        </w:rPr>
        <w:t xml:space="preserve">, 14(4), 658. Doi: </w:t>
      </w:r>
      <w:hyperlink r:id="rId36" w:history="1">
        <w:r w:rsidRPr="00C56CB9">
          <w:rPr>
            <w:rStyle w:val="Hyperlink"/>
            <w:rFonts w:ascii="Arial" w:hAnsi="Arial" w:cs="Arial"/>
            <w:color w:val="000000" w:themeColor="text1"/>
            <w:sz w:val="20"/>
            <w:szCs w:val="20"/>
          </w:rPr>
          <w:t>https://doi.org/10.3390/foods14040658</w:t>
        </w:r>
      </w:hyperlink>
    </w:p>
    <w:p w14:paraId="785E6A88" w14:textId="1D9B774C"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Tepe, T. K. </w:t>
      </w:r>
      <w:r w:rsidR="00D32CF5"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D32CF5"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Effect of pretreatments on drying characteristics, rehydration properties, and total energy consumption of carrot slices: comparison between thin layer mathematical modelling and artificial neural network modelling. </w:t>
      </w:r>
      <w:r w:rsidRPr="00C56CB9">
        <w:rPr>
          <w:rFonts w:ascii="Arial" w:hAnsi="Arial" w:cs="Arial"/>
          <w:i/>
          <w:iCs/>
          <w:color w:val="000000" w:themeColor="text1"/>
          <w:sz w:val="20"/>
          <w:szCs w:val="20"/>
        </w:rPr>
        <w:t>Biomass Conversion and Biorefinery</w:t>
      </w:r>
      <w:r w:rsidRPr="00C56CB9">
        <w:rPr>
          <w:rFonts w:ascii="Arial" w:hAnsi="Arial" w:cs="Arial"/>
          <w:color w:val="000000" w:themeColor="text1"/>
          <w:sz w:val="20"/>
          <w:szCs w:val="20"/>
        </w:rPr>
        <w:t xml:space="preserve">. 14:1373-1387. </w:t>
      </w:r>
      <w:proofErr w:type="spellStart"/>
      <w:proofErr w:type="gramStart"/>
      <w:r w:rsidRPr="00C56CB9">
        <w:rPr>
          <w:rFonts w:ascii="Arial" w:hAnsi="Arial" w:cs="Arial"/>
          <w:color w:val="000000" w:themeColor="text1"/>
          <w:sz w:val="20"/>
          <w:szCs w:val="20"/>
        </w:rPr>
        <w:t>Doi:https</w:t>
      </w:r>
      <w:proofErr w:type="spellEnd"/>
      <w:r w:rsidRPr="00C56CB9">
        <w:rPr>
          <w:rFonts w:ascii="Arial" w:hAnsi="Arial" w:cs="Arial"/>
          <w:color w:val="000000" w:themeColor="text1"/>
          <w:sz w:val="20"/>
          <w:szCs w:val="20"/>
        </w:rPr>
        <w:t>://doi.org/10.1007/s13399-023-04925-z</w:t>
      </w:r>
      <w:proofErr w:type="gramEnd"/>
    </w:p>
    <w:p w14:paraId="5929EDDF" w14:textId="57480F1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Ullagaddi, R. </w:t>
      </w:r>
      <w:r w:rsidR="00D32CF5" w:rsidRPr="00C56CB9">
        <w:rPr>
          <w:rFonts w:ascii="Arial" w:hAnsi="Arial" w:cs="Arial"/>
          <w:color w:val="000000" w:themeColor="text1"/>
          <w:sz w:val="20"/>
          <w:szCs w:val="20"/>
        </w:rPr>
        <w:t>(</w:t>
      </w:r>
      <w:r w:rsidRPr="00C56CB9">
        <w:rPr>
          <w:rFonts w:ascii="Arial" w:hAnsi="Arial" w:cs="Arial"/>
          <w:color w:val="000000" w:themeColor="text1"/>
          <w:sz w:val="20"/>
          <w:szCs w:val="20"/>
        </w:rPr>
        <w:t>2025</w:t>
      </w:r>
      <w:r w:rsidR="00D32CF5"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The aromatic cure: A scientific review of Nutmeg’s medicinal properties. Int. J. Sci. Res. </w:t>
      </w:r>
      <w:proofErr w:type="spellStart"/>
      <w:r w:rsidRPr="00C56CB9">
        <w:rPr>
          <w:rFonts w:ascii="Arial" w:hAnsi="Arial" w:cs="Arial"/>
          <w:color w:val="000000" w:themeColor="text1"/>
          <w:sz w:val="20"/>
          <w:szCs w:val="20"/>
        </w:rPr>
        <w:t>Archieve</w:t>
      </w:r>
      <w:proofErr w:type="spellEnd"/>
      <w:r w:rsidRPr="00C56CB9">
        <w:rPr>
          <w:rFonts w:ascii="Arial" w:hAnsi="Arial" w:cs="Arial"/>
          <w:color w:val="000000" w:themeColor="text1"/>
          <w:sz w:val="20"/>
          <w:szCs w:val="20"/>
        </w:rPr>
        <w:t xml:space="preserve">. 15(01):1656-1663. </w:t>
      </w:r>
      <w:proofErr w:type="spellStart"/>
      <w:proofErr w:type="gramStart"/>
      <w:r w:rsidRPr="00C56CB9">
        <w:rPr>
          <w:rFonts w:ascii="Arial" w:hAnsi="Arial" w:cs="Arial"/>
          <w:color w:val="000000" w:themeColor="text1"/>
          <w:sz w:val="20"/>
          <w:szCs w:val="20"/>
        </w:rPr>
        <w:t>Doi:https</w:t>
      </w:r>
      <w:proofErr w:type="spellEnd"/>
      <w:r w:rsidRPr="00C56CB9">
        <w:rPr>
          <w:rFonts w:ascii="Arial" w:hAnsi="Arial" w:cs="Arial"/>
          <w:color w:val="000000" w:themeColor="text1"/>
          <w:sz w:val="20"/>
          <w:szCs w:val="20"/>
        </w:rPr>
        <w:t>://doi.org/10.30574/ijsra.2025.15.1.1197</w:t>
      </w:r>
      <w:proofErr w:type="gramEnd"/>
    </w:p>
    <w:p w14:paraId="389777A0"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Wu, Y., Liu, Y., Jia, Y., Feng, C. H., Zhang, H., Ren, F., &amp; Zhao, G. (2024). Effects of thermal processing on natural antioxidants in fruits and vegetables. </w:t>
      </w:r>
      <w:r w:rsidRPr="00C56CB9">
        <w:rPr>
          <w:rFonts w:ascii="Arial" w:hAnsi="Arial" w:cs="Arial"/>
          <w:i/>
          <w:iCs/>
          <w:color w:val="000000" w:themeColor="text1"/>
          <w:sz w:val="20"/>
          <w:szCs w:val="20"/>
        </w:rPr>
        <w:t>Food Research International</w:t>
      </w:r>
      <w:r w:rsidRPr="00C56CB9">
        <w:rPr>
          <w:rFonts w:ascii="Arial" w:hAnsi="Arial" w:cs="Arial"/>
          <w:color w:val="000000" w:themeColor="text1"/>
          <w:sz w:val="20"/>
          <w:szCs w:val="20"/>
        </w:rPr>
        <w:t>, 114797. DOI: </w:t>
      </w:r>
      <w:hyperlink r:id="rId37" w:tgtFrame="_blank" w:history="1">
        <w:r w:rsidRPr="00C56CB9">
          <w:rPr>
            <w:rStyle w:val="Hyperlink"/>
            <w:rFonts w:ascii="Arial" w:hAnsi="Arial" w:cs="Arial"/>
            <w:color w:val="000000" w:themeColor="text1"/>
            <w:sz w:val="20"/>
            <w:szCs w:val="20"/>
          </w:rPr>
          <w:t>10.1016/j.foodres.2024.114797</w:t>
        </w:r>
      </w:hyperlink>
    </w:p>
    <w:p w14:paraId="25D51962" w14:textId="77777777" w:rsidR="00EE1FE2" w:rsidRPr="00C56CB9" w:rsidRDefault="00EE1FE2" w:rsidP="00C56CB9">
      <w:pPr>
        <w:spacing w:line="360" w:lineRule="auto"/>
        <w:ind w:left="567" w:hanging="567"/>
        <w:jc w:val="both"/>
        <w:rPr>
          <w:rFonts w:ascii="Arial" w:hAnsi="Arial" w:cs="Arial"/>
          <w:color w:val="000000" w:themeColor="text1"/>
          <w:sz w:val="20"/>
          <w:szCs w:val="20"/>
        </w:rPr>
      </w:pPr>
      <w:proofErr w:type="spellStart"/>
      <w:r w:rsidRPr="00C56CB9">
        <w:rPr>
          <w:rFonts w:ascii="Arial" w:hAnsi="Arial" w:cs="Arial"/>
          <w:color w:val="000000" w:themeColor="text1"/>
          <w:sz w:val="20"/>
          <w:szCs w:val="20"/>
        </w:rPr>
        <w:t>Yoha</w:t>
      </w:r>
      <w:proofErr w:type="spellEnd"/>
      <w:r w:rsidRPr="00C56CB9">
        <w:rPr>
          <w:rFonts w:ascii="Arial" w:hAnsi="Arial" w:cs="Arial"/>
          <w:color w:val="000000" w:themeColor="text1"/>
          <w:sz w:val="20"/>
          <w:szCs w:val="20"/>
        </w:rPr>
        <w:t xml:space="preserve">, K. S., Moses, J. A., &amp; </w:t>
      </w:r>
      <w:proofErr w:type="spellStart"/>
      <w:r w:rsidRPr="00C56CB9">
        <w:rPr>
          <w:rFonts w:ascii="Arial" w:hAnsi="Arial" w:cs="Arial"/>
          <w:color w:val="000000" w:themeColor="text1"/>
          <w:sz w:val="20"/>
          <w:szCs w:val="20"/>
        </w:rPr>
        <w:t>Anandharamakrishnan</w:t>
      </w:r>
      <w:proofErr w:type="spellEnd"/>
      <w:r w:rsidRPr="00C56CB9">
        <w:rPr>
          <w:rFonts w:ascii="Arial" w:hAnsi="Arial" w:cs="Arial"/>
          <w:color w:val="000000" w:themeColor="text1"/>
          <w:sz w:val="20"/>
          <w:szCs w:val="20"/>
        </w:rPr>
        <w:t xml:space="preserve">, C. (2020). Conductive hydro drying through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 An alternative technique for drying of </w:t>
      </w:r>
      <w:r w:rsidRPr="00C56CB9">
        <w:rPr>
          <w:rFonts w:ascii="Arial" w:hAnsi="Arial" w:cs="Arial"/>
          <w:i/>
          <w:iCs/>
          <w:color w:val="000000" w:themeColor="text1"/>
          <w:sz w:val="20"/>
          <w:szCs w:val="20"/>
        </w:rPr>
        <w:t>Lactobacillus plantarum (NCIM 2083)</w:t>
      </w:r>
      <w:r w:rsidRPr="00C56CB9">
        <w:rPr>
          <w:rFonts w:ascii="Arial" w:hAnsi="Arial" w:cs="Arial"/>
          <w:color w:val="000000" w:themeColor="text1"/>
          <w:sz w:val="20"/>
          <w:szCs w:val="20"/>
        </w:rPr>
        <w:t xml:space="preserve">. </w:t>
      </w:r>
      <w:r w:rsidRPr="00C56CB9">
        <w:rPr>
          <w:rFonts w:ascii="Arial" w:hAnsi="Arial" w:cs="Arial"/>
          <w:i/>
          <w:iCs/>
          <w:color w:val="000000" w:themeColor="text1"/>
          <w:sz w:val="20"/>
          <w:szCs w:val="20"/>
        </w:rPr>
        <w:t>Drying Technol.</w:t>
      </w:r>
      <w:r w:rsidRPr="00C56CB9">
        <w:rPr>
          <w:rFonts w:ascii="Arial" w:hAnsi="Arial" w:cs="Arial"/>
          <w:color w:val="000000" w:themeColor="text1"/>
          <w:sz w:val="20"/>
          <w:szCs w:val="20"/>
        </w:rPr>
        <w:t xml:space="preserve">, 38(5-6), 610–620. Doi: </w:t>
      </w:r>
      <w:hyperlink r:id="rId38" w:history="1">
        <w:r w:rsidRPr="00C56CB9">
          <w:rPr>
            <w:rStyle w:val="Hyperlink"/>
            <w:rFonts w:ascii="Arial" w:hAnsi="Arial" w:cs="Arial"/>
            <w:color w:val="000000" w:themeColor="text1"/>
            <w:sz w:val="20"/>
            <w:szCs w:val="20"/>
          </w:rPr>
          <w:t>https://doi.org/10.1080/07373937.2019.1624972</w:t>
        </w:r>
      </w:hyperlink>
    </w:p>
    <w:p w14:paraId="7B3B796C" w14:textId="314B0709" w:rsidR="00EE1FE2" w:rsidRPr="00C56CB9" w:rsidRDefault="00EE1FE2" w:rsidP="00C56CB9">
      <w:pPr>
        <w:spacing w:line="360" w:lineRule="auto"/>
        <w:ind w:left="567" w:hanging="567"/>
        <w:jc w:val="both"/>
        <w:rPr>
          <w:rFonts w:ascii="Arial" w:hAnsi="Arial" w:cs="Arial"/>
          <w:color w:val="000000" w:themeColor="text1"/>
          <w:sz w:val="20"/>
          <w:szCs w:val="20"/>
        </w:rPr>
      </w:pPr>
      <w:r w:rsidRPr="00C56CB9">
        <w:rPr>
          <w:rFonts w:ascii="Arial" w:hAnsi="Arial" w:cs="Arial"/>
          <w:color w:val="000000" w:themeColor="text1"/>
          <w:sz w:val="20"/>
          <w:szCs w:val="20"/>
        </w:rPr>
        <w:t xml:space="preserve">Zhang, Q., </w:t>
      </w:r>
      <w:proofErr w:type="spellStart"/>
      <w:r w:rsidRPr="00C56CB9">
        <w:rPr>
          <w:rFonts w:ascii="Arial" w:hAnsi="Arial" w:cs="Arial"/>
          <w:color w:val="000000" w:themeColor="text1"/>
          <w:sz w:val="20"/>
          <w:szCs w:val="20"/>
        </w:rPr>
        <w:t>Pertin</w:t>
      </w:r>
      <w:proofErr w:type="spellEnd"/>
      <w:r w:rsidRPr="00C56CB9">
        <w:rPr>
          <w:rFonts w:ascii="Arial" w:hAnsi="Arial" w:cs="Arial"/>
          <w:color w:val="000000" w:themeColor="text1"/>
          <w:sz w:val="20"/>
          <w:szCs w:val="20"/>
        </w:rPr>
        <w:t xml:space="preserve">, O., Kamdi, H. S., Durgawati. Xiao, H. W. </w:t>
      </w:r>
      <w:r w:rsidR="00D32CF5" w:rsidRPr="00C56CB9">
        <w:rPr>
          <w:rFonts w:ascii="Arial" w:hAnsi="Arial" w:cs="Arial"/>
          <w:color w:val="000000" w:themeColor="text1"/>
          <w:sz w:val="20"/>
          <w:szCs w:val="20"/>
        </w:rPr>
        <w:t>&amp;</w:t>
      </w:r>
      <w:r w:rsidRPr="00C56CB9">
        <w:rPr>
          <w:rFonts w:ascii="Arial" w:hAnsi="Arial" w:cs="Arial"/>
          <w:color w:val="000000" w:themeColor="text1"/>
          <w:sz w:val="20"/>
          <w:szCs w:val="20"/>
        </w:rPr>
        <w:t xml:space="preserve"> Sutar, P. P. </w:t>
      </w:r>
      <w:r w:rsidR="00D32CF5" w:rsidRPr="00C56CB9">
        <w:rPr>
          <w:rFonts w:ascii="Arial" w:hAnsi="Arial" w:cs="Arial"/>
          <w:color w:val="000000" w:themeColor="text1"/>
          <w:sz w:val="20"/>
          <w:szCs w:val="20"/>
        </w:rPr>
        <w:t>(</w:t>
      </w:r>
      <w:r w:rsidRPr="00C56CB9">
        <w:rPr>
          <w:rFonts w:ascii="Arial" w:hAnsi="Arial" w:cs="Arial"/>
          <w:color w:val="000000" w:themeColor="text1"/>
          <w:sz w:val="20"/>
          <w:szCs w:val="20"/>
        </w:rPr>
        <w:t>2024</w:t>
      </w:r>
      <w:r w:rsidR="00D32CF5" w:rsidRPr="00C56CB9">
        <w:rPr>
          <w:rFonts w:ascii="Arial" w:hAnsi="Arial" w:cs="Arial"/>
          <w:color w:val="000000" w:themeColor="text1"/>
          <w:sz w:val="20"/>
          <w:szCs w:val="20"/>
        </w:rPr>
        <w:t>)</w:t>
      </w:r>
      <w:r w:rsidRPr="00C56CB9">
        <w:rPr>
          <w:rFonts w:ascii="Arial" w:hAnsi="Arial" w:cs="Arial"/>
          <w:color w:val="000000" w:themeColor="text1"/>
          <w:sz w:val="20"/>
          <w:szCs w:val="20"/>
        </w:rPr>
        <w:t xml:space="preserve">. Modified </w:t>
      </w:r>
      <w:proofErr w:type="spellStart"/>
      <w:r w:rsidRPr="00C56CB9">
        <w:rPr>
          <w:rFonts w:ascii="Arial" w:hAnsi="Arial" w:cs="Arial"/>
          <w:color w:val="000000" w:themeColor="text1"/>
          <w:sz w:val="20"/>
          <w:szCs w:val="20"/>
        </w:rPr>
        <w:t>refractance</w:t>
      </w:r>
      <w:proofErr w:type="spellEnd"/>
      <w:r w:rsidRPr="00C56CB9">
        <w:rPr>
          <w:rFonts w:ascii="Arial" w:hAnsi="Arial" w:cs="Arial"/>
          <w:color w:val="000000" w:themeColor="text1"/>
          <w:sz w:val="20"/>
          <w:szCs w:val="20"/>
        </w:rPr>
        <w:t xml:space="preserve"> window drying of jamun pulp (</w:t>
      </w:r>
      <w:proofErr w:type="spellStart"/>
      <w:r w:rsidRPr="00C56CB9">
        <w:rPr>
          <w:rFonts w:ascii="Arial" w:hAnsi="Arial" w:cs="Arial"/>
          <w:i/>
          <w:iCs/>
          <w:color w:val="000000" w:themeColor="text1"/>
          <w:sz w:val="20"/>
          <w:szCs w:val="20"/>
        </w:rPr>
        <w:t>Syzygium</w:t>
      </w:r>
      <w:proofErr w:type="spellEnd"/>
      <w:r w:rsidRPr="00C56CB9">
        <w:rPr>
          <w:rFonts w:ascii="Arial" w:hAnsi="Arial" w:cs="Arial"/>
          <w:i/>
          <w:iCs/>
          <w:color w:val="000000" w:themeColor="text1"/>
          <w:sz w:val="20"/>
          <w:szCs w:val="20"/>
        </w:rPr>
        <w:t xml:space="preserve"> </w:t>
      </w:r>
      <w:proofErr w:type="spellStart"/>
      <w:r w:rsidRPr="00C56CB9">
        <w:rPr>
          <w:rFonts w:ascii="Arial" w:hAnsi="Arial" w:cs="Arial"/>
          <w:i/>
          <w:iCs/>
          <w:color w:val="000000" w:themeColor="text1"/>
          <w:sz w:val="20"/>
          <w:szCs w:val="20"/>
        </w:rPr>
        <w:t>cumini</w:t>
      </w:r>
      <w:proofErr w:type="spellEnd"/>
      <w:r w:rsidRPr="00C56CB9">
        <w:rPr>
          <w:rFonts w:ascii="Arial" w:hAnsi="Arial" w:cs="Arial"/>
          <w:color w:val="000000" w:themeColor="text1"/>
          <w:sz w:val="20"/>
          <w:szCs w:val="20"/>
        </w:rPr>
        <w:t xml:space="preserve">) based on innovative infrared and microwave radiation techniques. </w:t>
      </w:r>
      <w:r w:rsidRPr="00C56CB9">
        <w:rPr>
          <w:rFonts w:ascii="Arial" w:hAnsi="Arial" w:cs="Arial"/>
          <w:i/>
          <w:iCs/>
          <w:color w:val="000000" w:themeColor="text1"/>
          <w:sz w:val="20"/>
          <w:szCs w:val="20"/>
        </w:rPr>
        <w:t>Drying Technol.</w:t>
      </w:r>
      <w:r w:rsidRPr="00C56CB9">
        <w:rPr>
          <w:rFonts w:ascii="Arial" w:hAnsi="Arial" w:cs="Arial"/>
          <w:color w:val="000000" w:themeColor="text1"/>
          <w:sz w:val="20"/>
          <w:szCs w:val="20"/>
        </w:rPr>
        <w:t>, 42(5): 775–794. DOI: 10.1080/07373937.2024.2317739</w:t>
      </w:r>
    </w:p>
    <w:p w14:paraId="618869AC" w14:textId="5B0F060B" w:rsidR="004D2A7E" w:rsidRPr="002C027E" w:rsidRDefault="007A05C8" w:rsidP="009501AC">
      <w:pPr>
        <w:spacing w:line="360" w:lineRule="auto"/>
        <w:jc w:val="both"/>
        <w:rPr>
          <w:rFonts w:ascii="Arial" w:hAnsi="Arial" w:cs="Arial"/>
          <w:vanish/>
        </w:rPr>
      </w:pPr>
      <w:r w:rsidRPr="002C027E">
        <w:rPr>
          <w:rFonts w:ascii="Arial" w:hAnsi="Arial" w:cs="Arial"/>
          <w:vanish/>
        </w:rPr>
        <w:t>Bottom</w:t>
      </w:r>
    </w:p>
    <w:sectPr w:rsidR="004D2A7E" w:rsidRPr="002C027E" w:rsidSect="00027AE0">
      <w:headerReference w:type="even" r:id="rId39"/>
      <w:headerReference w:type="default" r:id="rId40"/>
      <w:footerReference w:type="even" r:id="rId41"/>
      <w:footerReference w:type="default" r:id="rId42"/>
      <w:headerReference w:type="first" r:id="rId43"/>
      <w:footerReference w:type="first" r:id="rId4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6D9EE" w14:textId="77777777" w:rsidR="00BB7BD8" w:rsidRDefault="00BB7BD8" w:rsidP="008E0878">
      <w:pPr>
        <w:spacing w:after="0" w:line="240" w:lineRule="auto"/>
      </w:pPr>
      <w:r>
        <w:separator/>
      </w:r>
    </w:p>
  </w:endnote>
  <w:endnote w:type="continuationSeparator" w:id="0">
    <w:p w14:paraId="502E9092" w14:textId="77777777" w:rsidR="00BB7BD8" w:rsidRDefault="00BB7BD8" w:rsidP="008E0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B350" w14:textId="77777777" w:rsidR="00027AE0" w:rsidRDefault="00027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D17A" w14:textId="77777777" w:rsidR="00027AE0" w:rsidRDefault="00027A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4795" w14:textId="77777777" w:rsidR="00027AE0" w:rsidRDefault="00027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69F74" w14:textId="77777777" w:rsidR="00BB7BD8" w:rsidRDefault="00BB7BD8" w:rsidP="008E0878">
      <w:pPr>
        <w:spacing w:after="0" w:line="240" w:lineRule="auto"/>
      </w:pPr>
      <w:r>
        <w:separator/>
      </w:r>
    </w:p>
  </w:footnote>
  <w:footnote w:type="continuationSeparator" w:id="0">
    <w:p w14:paraId="367304BF" w14:textId="77777777" w:rsidR="00BB7BD8" w:rsidRDefault="00BB7BD8" w:rsidP="008E0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8C2C" w14:textId="657D0B31" w:rsidR="00027AE0" w:rsidRDefault="00000000">
    <w:pPr>
      <w:pStyle w:val="Header"/>
    </w:pPr>
    <w:r>
      <w:rPr>
        <w:noProof/>
      </w:rPr>
      <w:pict w14:anchorId="09824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91283"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75ED" w14:textId="496B5C5E" w:rsidR="00027AE0" w:rsidRDefault="00000000">
    <w:pPr>
      <w:pStyle w:val="Header"/>
    </w:pPr>
    <w:r>
      <w:rPr>
        <w:noProof/>
      </w:rPr>
      <w:pict w14:anchorId="54833A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91284"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4444" w14:textId="26A6ABEA" w:rsidR="00027AE0" w:rsidRDefault="00000000">
    <w:pPr>
      <w:pStyle w:val="Header"/>
    </w:pPr>
    <w:r>
      <w:rPr>
        <w:noProof/>
      </w:rPr>
      <w:pict w14:anchorId="17515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91282"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0482D"/>
    <w:multiLevelType w:val="multilevel"/>
    <w:tmpl w:val="449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38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4B"/>
    <w:rsid w:val="00007C12"/>
    <w:rsid w:val="0002157A"/>
    <w:rsid w:val="00027AE0"/>
    <w:rsid w:val="00031B22"/>
    <w:rsid w:val="000339F1"/>
    <w:rsid w:val="0005235E"/>
    <w:rsid w:val="00064693"/>
    <w:rsid w:val="00074F38"/>
    <w:rsid w:val="00091F3A"/>
    <w:rsid w:val="00096B35"/>
    <w:rsid w:val="000A0F42"/>
    <w:rsid w:val="000B3EA0"/>
    <w:rsid w:val="000C285D"/>
    <w:rsid w:val="001068D8"/>
    <w:rsid w:val="00110353"/>
    <w:rsid w:val="001150E8"/>
    <w:rsid w:val="00136AB5"/>
    <w:rsid w:val="0015570F"/>
    <w:rsid w:val="00164275"/>
    <w:rsid w:val="001927A8"/>
    <w:rsid w:val="001A157A"/>
    <w:rsid w:val="001B18B4"/>
    <w:rsid w:val="001B5CBA"/>
    <w:rsid w:val="001C25B0"/>
    <w:rsid w:val="001D4320"/>
    <w:rsid w:val="001D5A74"/>
    <w:rsid w:val="001E392B"/>
    <w:rsid w:val="001F5977"/>
    <w:rsid w:val="00203B1B"/>
    <w:rsid w:val="00246E34"/>
    <w:rsid w:val="002552DF"/>
    <w:rsid w:val="00275ED8"/>
    <w:rsid w:val="002C027E"/>
    <w:rsid w:val="002D2958"/>
    <w:rsid w:val="002D50E0"/>
    <w:rsid w:val="002F146F"/>
    <w:rsid w:val="0037344D"/>
    <w:rsid w:val="00387B5C"/>
    <w:rsid w:val="003A79DB"/>
    <w:rsid w:val="003D4A0C"/>
    <w:rsid w:val="003F21DE"/>
    <w:rsid w:val="003F379B"/>
    <w:rsid w:val="004131A2"/>
    <w:rsid w:val="00441309"/>
    <w:rsid w:val="0046670E"/>
    <w:rsid w:val="00467C4B"/>
    <w:rsid w:val="00486583"/>
    <w:rsid w:val="004A7A54"/>
    <w:rsid w:val="004C59B5"/>
    <w:rsid w:val="004C6C69"/>
    <w:rsid w:val="004D2A7E"/>
    <w:rsid w:val="004D34B9"/>
    <w:rsid w:val="004E2D44"/>
    <w:rsid w:val="004F77E4"/>
    <w:rsid w:val="005134B1"/>
    <w:rsid w:val="00513E1C"/>
    <w:rsid w:val="0052066B"/>
    <w:rsid w:val="00522643"/>
    <w:rsid w:val="005B0F27"/>
    <w:rsid w:val="005D5218"/>
    <w:rsid w:val="005E54F7"/>
    <w:rsid w:val="005E76EE"/>
    <w:rsid w:val="005F6D1C"/>
    <w:rsid w:val="00610FA5"/>
    <w:rsid w:val="006202D1"/>
    <w:rsid w:val="00642E6C"/>
    <w:rsid w:val="00652C6A"/>
    <w:rsid w:val="00686791"/>
    <w:rsid w:val="006E1E20"/>
    <w:rsid w:val="00734A20"/>
    <w:rsid w:val="00771536"/>
    <w:rsid w:val="00775A69"/>
    <w:rsid w:val="007A05C8"/>
    <w:rsid w:val="007B0601"/>
    <w:rsid w:val="007C61CE"/>
    <w:rsid w:val="00810D76"/>
    <w:rsid w:val="008163C9"/>
    <w:rsid w:val="00824B93"/>
    <w:rsid w:val="00824BB1"/>
    <w:rsid w:val="00860486"/>
    <w:rsid w:val="00867F0C"/>
    <w:rsid w:val="008820A7"/>
    <w:rsid w:val="008A0525"/>
    <w:rsid w:val="008C0A08"/>
    <w:rsid w:val="008E0878"/>
    <w:rsid w:val="008F22C3"/>
    <w:rsid w:val="00922A81"/>
    <w:rsid w:val="0094299C"/>
    <w:rsid w:val="0094539D"/>
    <w:rsid w:val="009501AC"/>
    <w:rsid w:val="00950327"/>
    <w:rsid w:val="00952EB3"/>
    <w:rsid w:val="00956181"/>
    <w:rsid w:val="009714D5"/>
    <w:rsid w:val="009773F0"/>
    <w:rsid w:val="00977D1B"/>
    <w:rsid w:val="00977DD7"/>
    <w:rsid w:val="009978B4"/>
    <w:rsid w:val="009A71CA"/>
    <w:rsid w:val="009C27C2"/>
    <w:rsid w:val="009D7C33"/>
    <w:rsid w:val="00A43D25"/>
    <w:rsid w:val="00A459BE"/>
    <w:rsid w:val="00A63B8B"/>
    <w:rsid w:val="00A70559"/>
    <w:rsid w:val="00AB4197"/>
    <w:rsid w:val="00AE4CF6"/>
    <w:rsid w:val="00AF46A9"/>
    <w:rsid w:val="00AF511D"/>
    <w:rsid w:val="00AF7D6E"/>
    <w:rsid w:val="00B037D0"/>
    <w:rsid w:val="00B056BE"/>
    <w:rsid w:val="00B07D9B"/>
    <w:rsid w:val="00B36835"/>
    <w:rsid w:val="00B36ABF"/>
    <w:rsid w:val="00B425C1"/>
    <w:rsid w:val="00B466A6"/>
    <w:rsid w:val="00B56144"/>
    <w:rsid w:val="00B57F0E"/>
    <w:rsid w:val="00B847F8"/>
    <w:rsid w:val="00BB7BD8"/>
    <w:rsid w:val="00BD1133"/>
    <w:rsid w:val="00BF19B5"/>
    <w:rsid w:val="00BF798E"/>
    <w:rsid w:val="00C27B75"/>
    <w:rsid w:val="00C56CB9"/>
    <w:rsid w:val="00C6191D"/>
    <w:rsid w:val="00CB2719"/>
    <w:rsid w:val="00CB3B71"/>
    <w:rsid w:val="00CD7A79"/>
    <w:rsid w:val="00CF39CC"/>
    <w:rsid w:val="00CF3BAF"/>
    <w:rsid w:val="00D042E1"/>
    <w:rsid w:val="00D31740"/>
    <w:rsid w:val="00D32CF5"/>
    <w:rsid w:val="00D3414E"/>
    <w:rsid w:val="00D50969"/>
    <w:rsid w:val="00D931A6"/>
    <w:rsid w:val="00DA3652"/>
    <w:rsid w:val="00DC790B"/>
    <w:rsid w:val="00DD490C"/>
    <w:rsid w:val="00E72C3B"/>
    <w:rsid w:val="00E8375C"/>
    <w:rsid w:val="00EA2F4B"/>
    <w:rsid w:val="00EE1FE2"/>
    <w:rsid w:val="00F14FE6"/>
    <w:rsid w:val="00F36120"/>
    <w:rsid w:val="00F51FB1"/>
    <w:rsid w:val="00F53358"/>
    <w:rsid w:val="00F70B31"/>
    <w:rsid w:val="00F97298"/>
    <w:rsid w:val="00FC6A26"/>
    <w:rsid w:val="00FD4DF6"/>
    <w:rsid w:val="00FE1D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F3B32"/>
  <w15:chartTrackingRefBased/>
  <w15:docId w15:val="{D30FFF5D-6A87-4803-820D-D38D2AAC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2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F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F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F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F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F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F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F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2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F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F4B"/>
    <w:rPr>
      <w:rFonts w:eastAsiaTheme="majorEastAsia" w:cstheme="majorBidi"/>
      <w:color w:val="272727" w:themeColor="text1" w:themeTint="D8"/>
    </w:rPr>
  </w:style>
  <w:style w:type="paragraph" w:styleId="Title">
    <w:name w:val="Title"/>
    <w:basedOn w:val="Normal"/>
    <w:next w:val="Normal"/>
    <w:link w:val="TitleChar"/>
    <w:uiPriority w:val="10"/>
    <w:qFormat/>
    <w:rsid w:val="00EA2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F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F4B"/>
    <w:pPr>
      <w:spacing w:before="160"/>
      <w:jc w:val="center"/>
    </w:pPr>
    <w:rPr>
      <w:i/>
      <w:iCs/>
      <w:color w:val="404040" w:themeColor="text1" w:themeTint="BF"/>
    </w:rPr>
  </w:style>
  <w:style w:type="character" w:customStyle="1" w:styleId="QuoteChar">
    <w:name w:val="Quote Char"/>
    <w:basedOn w:val="DefaultParagraphFont"/>
    <w:link w:val="Quote"/>
    <w:uiPriority w:val="29"/>
    <w:rsid w:val="00EA2F4B"/>
    <w:rPr>
      <w:i/>
      <w:iCs/>
      <w:color w:val="404040" w:themeColor="text1" w:themeTint="BF"/>
    </w:rPr>
  </w:style>
  <w:style w:type="paragraph" w:styleId="ListParagraph">
    <w:name w:val="List Paragraph"/>
    <w:basedOn w:val="Normal"/>
    <w:uiPriority w:val="34"/>
    <w:qFormat/>
    <w:rsid w:val="00EA2F4B"/>
    <w:pPr>
      <w:ind w:left="720"/>
      <w:contextualSpacing/>
    </w:pPr>
  </w:style>
  <w:style w:type="character" w:styleId="IntenseEmphasis">
    <w:name w:val="Intense Emphasis"/>
    <w:basedOn w:val="DefaultParagraphFont"/>
    <w:uiPriority w:val="21"/>
    <w:qFormat/>
    <w:rsid w:val="00EA2F4B"/>
    <w:rPr>
      <w:i/>
      <w:iCs/>
      <w:color w:val="0F4761" w:themeColor="accent1" w:themeShade="BF"/>
    </w:rPr>
  </w:style>
  <w:style w:type="paragraph" w:styleId="IntenseQuote">
    <w:name w:val="Intense Quote"/>
    <w:basedOn w:val="Normal"/>
    <w:next w:val="Normal"/>
    <w:link w:val="IntenseQuoteChar"/>
    <w:uiPriority w:val="30"/>
    <w:qFormat/>
    <w:rsid w:val="00EA2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F4B"/>
    <w:rPr>
      <w:i/>
      <w:iCs/>
      <w:color w:val="0F4761" w:themeColor="accent1" w:themeShade="BF"/>
    </w:rPr>
  </w:style>
  <w:style w:type="character" w:styleId="IntenseReference">
    <w:name w:val="Intense Reference"/>
    <w:basedOn w:val="DefaultParagraphFont"/>
    <w:uiPriority w:val="32"/>
    <w:qFormat/>
    <w:rsid w:val="00EA2F4B"/>
    <w:rPr>
      <w:b/>
      <w:bCs/>
      <w:smallCaps/>
      <w:color w:val="0F4761" w:themeColor="accent1" w:themeShade="BF"/>
      <w:spacing w:val="5"/>
    </w:rPr>
  </w:style>
  <w:style w:type="character" w:styleId="PlaceholderText">
    <w:name w:val="Placeholder Text"/>
    <w:basedOn w:val="DefaultParagraphFont"/>
    <w:uiPriority w:val="99"/>
    <w:semiHidden/>
    <w:rsid w:val="00007C12"/>
    <w:rPr>
      <w:color w:val="666666"/>
    </w:rPr>
  </w:style>
  <w:style w:type="table" w:styleId="TableGrid">
    <w:name w:val="Table Grid"/>
    <w:basedOn w:val="TableNormal"/>
    <w:uiPriority w:val="39"/>
    <w:rsid w:val="00BF7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67C4B"/>
    <w:rPr>
      <w:b/>
      <w:bCs/>
    </w:rPr>
  </w:style>
  <w:style w:type="paragraph" w:styleId="NormalWeb">
    <w:name w:val="Normal (Web)"/>
    <w:basedOn w:val="Normal"/>
    <w:uiPriority w:val="99"/>
    <w:semiHidden/>
    <w:unhideWhenUsed/>
    <w:rsid w:val="0046670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eader">
    <w:name w:val="header"/>
    <w:basedOn w:val="Normal"/>
    <w:link w:val="HeaderChar"/>
    <w:uiPriority w:val="99"/>
    <w:unhideWhenUsed/>
    <w:rsid w:val="008E0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878"/>
  </w:style>
  <w:style w:type="paragraph" w:styleId="Footer">
    <w:name w:val="footer"/>
    <w:basedOn w:val="Normal"/>
    <w:link w:val="FooterChar"/>
    <w:uiPriority w:val="99"/>
    <w:unhideWhenUsed/>
    <w:rsid w:val="008E0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878"/>
  </w:style>
  <w:style w:type="character" w:styleId="Hyperlink">
    <w:name w:val="Hyperlink"/>
    <w:basedOn w:val="DefaultParagraphFont"/>
    <w:uiPriority w:val="99"/>
    <w:unhideWhenUsed/>
    <w:rsid w:val="00EE1FE2"/>
    <w:rPr>
      <w:color w:val="467886" w:themeColor="hyperlink"/>
      <w:u w:val="single"/>
    </w:rPr>
  </w:style>
  <w:style w:type="character" w:styleId="LineNumber">
    <w:name w:val="line number"/>
    <w:basedOn w:val="DefaultParagraphFont"/>
    <w:uiPriority w:val="99"/>
    <w:semiHidden/>
    <w:unhideWhenUsed/>
    <w:rsid w:val="002C027E"/>
  </w:style>
  <w:style w:type="character" w:styleId="UnresolvedMention">
    <w:name w:val="Unresolved Mention"/>
    <w:basedOn w:val="DefaultParagraphFont"/>
    <w:uiPriority w:val="99"/>
    <w:semiHidden/>
    <w:unhideWhenUsed/>
    <w:rsid w:val="000C285D"/>
    <w:rPr>
      <w:color w:val="605E5C"/>
      <w:shd w:val="clear" w:color="auto" w:fill="E1DFDD"/>
    </w:rPr>
  </w:style>
  <w:style w:type="paragraph" w:styleId="NoSpacing">
    <w:name w:val="No Spacing"/>
    <w:uiPriority w:val="1"/>
    <w:qFormat/>
    <w:rsid w:val="00610FA5"/>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jsfa.13477" TargetMode="External"/><Relationship Id="rId18" Type="http://schemas.openxmlformats.org/officeDocument/2006/relationships/hyperlink" Target="https://doi.org/10.1155/2024/8604374" TargetMode="External"/><Relationship Id="rId26" Type="http://schemas.openxmlformats.org/officeDocument/2006/relationships/hyperlink" Target="https://doi.org/10.1080/07373930601152673" TargetMode="External"/><Relationship Id="rId39" Type="http://schemas.openxmlformats.org/officeDocument/2006/relationships/header" Target="header1.xml"/><Relationship Id="rId21" Type="http://schemas.openxmlformats.org/officeDocument/2006/relationships/hyperlink" Target="https://doi.org/10.1016/j.fufo.2021.100024" TargetMode="External"/><Relationship Id="rId34" Type="http://schemas.openxmlformats.org/officeDocument/2006/relationships/hyperlink" Target="https://doi.org/10.1590/1981-6723.15321" TargetMode="External"/><Relationship Id="rId42" Type="http://schemas.openxmlformats.org/officeDocument/2006/relationships/footer" Target="footer2.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7324/JAPS.2023.137812" TargetMode="External"/><Relationship Id="rId29" Type="http://schemas.openxmlformats.org/officeDocument/2006/relationships/hyperlink" Target="https://doi.org/10.1007/s11694-022-01349-7?urlappend=%3Futm_source%3Dresearchgate.net%26utm_medium%3Dartic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1002/food.19870310724" TargetMode="External"/><Relationship Id="rId32" Type="http://schemas.openxmlformats.org/officeDocument/2006/relationships/hyperlink" Target="https://doi.org/10.1016/j.ifset.2020.102530" TargetMode="External"/><Relationship Id="rId37" Type="http://schemas.openxmlformats.org/officeDocument/2006/relationships/hyperlink" Target="https://doi.org/10.1016/j.foodres.2024.114797"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07373937.2019.1655439?urlappend=%3Futm_source%3Dresearchgate.net%26utm_medium%3Darticle" TargetMode="External"/><Relationship Id="rId23" Type="http://schemas.openxmlformats.org/officeDocument/2006/relationships/hyperlink" Target="http://dx.doi.org/10.1016/j.carbpol.2017.03.087" TargetMode="External"/><Relationship Id="rId28" Type="http://schemas.openxmlformats.org/officeDocument/2006/relationships/hyperlink" Target="https://doi.org/10.1016/j.jfoodeng.2011.09.032" TargetMode="External"/><Relationship Id="rId36" Type="http://schemas.openxmlformats.org/officeDocument/2006/relationships/hyperlink" Target="https://doi.org/10.3390/foods14040658" TargetMode="External"/><Relationship Id="rId10" Type="http://schemas.openxmlformats.org/officeDocument/2006/relationships/image" Target="media/image2.png"/><Relationship Id="rId19" Type="http://schemas.openxmlformats.org/officeDocument/2006/relationships/hyperlink" Target="https://doi.org/10.3390/foods13182867" TargetMode="External"/><Relationship Id="rId31" Type="http://schemas.openxmlformats.org/officeDocument/2006/relationships/hyperlink" Target="https://doi.org/10.1007/s11947-012-0867-9?urlappend=%3Futm_source%3Dresearchgate.net%26utm_medium%3Darticle"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33545/26174693.2025.v9.i1f.3558%20%205" TargetMode="External"/><Relationship Id="rId22" Type="http://schemas.openxmlformats.org/officeDocument/2006/relationships/hyperlink" Target="https://doi.org/10.1016/j.foodres.2024.114007" TargetMode="External"/><Relationship Id="rId27" Type="http://schemas.openxmlformats.org/officeDocument/2006/relationships/hyperlink" Target="https://doi.org/10.3390/foods13111756" TargetMode="External"/><Relationship Id="rId30" Type="http://schemas.openxmlformats.org/officeDocument/2006/relationships/hyperlink" Target="https://doi.org/10.1080/07373937.2023.2234473" TargetMode="External"/><Relationship Id="rId35" Type="http://schemas.openxmlformats.org/officeDocument/2006/relationships/hyperlink" Target="https://doi.org/10.3390/applbiosci3010005%20%20%204" TargetMode="External"/><Relationship Id="rId43" Type="http://schemas.openxmlformats.org/officeDocument/2006/relationships/header" Target="header3.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doi.org/10.1080/07373937.2024.2385808" TargetMode="External"/><Relationship Id="rId25" Type="http://schemas.openxmlformats.org/officeDocument/2006/relationships/hyperlink" Target="https://doi.org/10.1155/2022/8432478" TargetMode="External"/><Relationship Id="rId33" Type="http://schemas.openxmlformats.org/officeDocument/2006/relationships/hyperlink" Target="https://doi.org/10.1016/j.jfoodeng.2021.110929" TargetMode="External"/><Relationship Id="rId38" Type="http://schemas.openxmlformats.org/officeDocument/2006/relationships/hyperlink" Target="https://doi.org/10.1080/07373937.2019.1624972" TargetMode="External"/><Relationship Id="rId46" Type="http://schemas.openxmlformats.org/officeDocument/2006/relationships/theme" Target="theme/theme1.xml"/><Relationship Id="rId20" Type="http://schemas.openxmlformats.org/officeDocument/2006/relationships/hyperlink" Target="https://doi.org/10.1080/07373937.2024.2407955" TargetMode="External"/><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6876442682643844"/>
          <c:y val="0.20646648945129709"/>
          <c:w val="0.73723486480875022"/>
          <c:h val="0.43657825904292086"/>
        </c:manualLayout>
      </c:layout>
      <c:scatterChart>
        <c:scatterStyle val="lineMarker"/>
        <c:varyColors val="0"/>
        <c:ser>
          <c:idx val="0"/>
          <c:order val="0"/>
          <c:tx>
            <c:strRef>
              <c:f>[Book1]Sheet1!$B$1</c:f>
              <c:strCache>
                <c:ptCount val="1"/>
                <c:pt idx="0">
                  <c:v>RWD</c:v>
                </c:pt>
              </c:strCache>
            </c:strRef>
          </c:tx>
          <c:marker>
            <c:symbol val="none"/>
          </c:marker>
          <c:xVal>
            <c:numRef>
              <c:f>[Book1]Sheet1!$A$2:$A$12</c:f>
              <c:numCache>
                <c:formatCode>General</c:formatCode>
                <c:ptCount val="11"/>
                <c:pt idx="0">
                  <c:v>0</c:v>
                </c:pt>
                <c:pt idx="1">
                  <c:v>30</c:v>
                </c:pt>
                <c:pt idx="2">
                  <c:v>60</c:v>
                </c:pt>
                <c:pt idx="3">
                  <c:v>90</c:v>
                </c:pt>
                <c:pt idx="4">
                  <c:v>120</c:v>
                </c:pt>
                <c:pt idx="5">
                  <c:v>150</c:v>
                </c:pt>
                <c:pt idx="6">
                  <c:v>180</c:v>
                </c:pt>
                <c:pt idx="7">
                  <c:v>210</c:v>
                </c:pt>
                <c:pt idx="8">
                  <c:v>240</c:v>
                </c:pt>
                <c:pt idx="9">
                  <c:v>270</c:v>
                </c:pt>
                <c:pt idx="10">
                  <c:v>300</c:v>
                </c:pt>
              </c:numCache>
            </c:numRef>
          </c:xVal>
          <c:yVal>
            <c:numRef>
              <c:f>[Book1]Sheet1!$B$2:$B$12</c:f>
              <c:numCache>
                <c:formatCode>General</c:formatCode>
                <c:ptCount val="11"/>
                <c:pt idx="0">
                  <c:v>92.876712330000004</c:v>
                </c:pt>
                <c:pt idx="1">
                  <c:v>57.808219180000002</c:v>
                </c:pt>
                <c:pt idx="2">
                  <c:v>40.2739726</c:v>
                </c:pt>
                <c:pt idx="3">
                  <c:v>25.75342466</c:v>
                </c:pt>
                <c:pt idx="4">
                  <c:v>16.98630137</c:v>
                </c:pt>
                <c:pt idx="5">
                  <c:v>12.05479452</c:v>
                </c:pt>
                <c:pt idx="6">
                  <c:v>8.7671232880000005</c:v>
                </c:pt>
                <c:pt idx="7">
                  <c:v>6.0273972599999999</c:v>
                </c:pt>
              </c:numCache>
            </c:numRef>
          </c:yVal>
          <c:smooth val="0"/>
          <c:extLst>
            <c:ext xmlns:c16="http://schemas.microsoft.com/office/drawing/2014/chart" uri="{C3380CC4-5D6E-409C-BE32-E72D297353CC}">
              <c16:uniqueId val="{00000000-1A73-4EFE-A3B8-70646E32B3CB}"/>
            </c:ext>
          </c:extLst>
        </c:ser>
        <c:ser>
          <c:idx val="2"/>
          <c:order val="1"/>
          <c:tx>
            <c:strRef>
              <c:f>[Book1]Sheet1!$D$1</c:f>
              <c:strCache>
                <c:ptCount val="1"/>
                <c:pt idx="0">
                  <c:v>HAD</c:v>
                </c:pt>
              </c:strCache>
            </c:strRef>
          </c:tx>
          <c:marker>
            <c:symbol val="none"/>
          </c:marker>
          <c:xVal>
            <c:numRef>
              <c:f>[Book1]Sheet1!$A$2:$A$12</c:f>
              <c:numCache>
                <c:formatCode>General</c:formatCode>
                <c:ptCount val="11"/>
                <c:pt idx="0">
                  <c:v>0</c:v>
                </c:pt>
                <c:pt idx="1">
                  <c:v>30</c:v>
                </c:pt>
                <c:pt idx="2">
                  <c:v>60</c:v>
                </c:pt>
                <c:pt idx="3">
                  <c:v>90</c:v>
                </c:pt>
                <c:pt idx="4">
                  <c:v>120</c:v>
                </c:pt>
                <c:pt idx="5">
                  <c:v>150</c:v>
                </c:pt>
                <c:pt idx="6">
                  <c:v>180</c:v>
                </c:pt>
                <c:pt idx="7">
                  <c:v>210</c:v>
                </c:pt>
                <c:pt idx="8">
                  <c:v>240</c:v>
                </c:pt>
                <c:pt idx="9">
                  <c:v>270</c:v>
                </c:pt>
                <c:pt idx="10">
                  <c:v>300</c:v>
                </c:pt>
              </c:numCache>
            </c:numRef>
          </c:xVal>
          <c:yVal>
            <c:numRef>
              <c:f>[Book1]Sheet1!$D$2:$D$12</c:f>
              <c:numCache>
                <c:formatCode>General</c:formatCode>
                <c:ptCount val="11"/>
                <c:pt idx="0">
                  <c:v>92.847529320000007</c:v>
                </c:pt>
                <c:pt idx="1">
                  <c:v>66.506441069999994</c:v>
                </c:pt>
                <c:pt idx="2">
                  <c:v>48.625264369999996</c:v>
                </c:pt>
                <c:pt idx="3">
                  <c:v>34.204960579999998</c:v>
                </c:pt>
                <c:pt idx="4">
                  <c:v>23.05325899</c:v>
                </c:pt>
                <c:pt idx="5">
                  <c:v>15.3624303</c:v>
                </c:pt>
                <c:pt idx="6">
                  <c:v>10.55566237</c:v>
                </c:pt>
                <c:pt idx="7">
                  <c:v>8.4406844840000002</c:v>
                </c:pt>
                <c:pt idx="8">
                  <c:v>7.0947894639999998</c:v>
                </c:pt>
                <c:pt idx="9">
                  <c:v>6.3776153259999999</c:v>
                </c:pt>
                <c:pt idx="10">
                  <c:v>5.93</c:v>
                </c:pt>
              </c:numCache>
            </c:numRef>
          </c:yVal>
          <c:smooth val="0"/>
          <c:extLst>
            <c:ext xmlns:c16="http://schemas.microsoft.com/office/drawing/2014/chart" uri="{C3380CC4-5D6E-409C-BE32-E72D297353CC}">
              <c16:uniqueId val="{00000001-1A73-4EFE-A3B8-70646E32B3CB}"/>
            </c:ext>
          </c:extLst>
        </c:ser>
        <c:dLbls>
          <c:showLegendKey val="0"/>
          <c:showVal val="0"/>
          <c:showCatName val="0"/>
          <c:showSerName val="0"/>
          <c:showPercent val="0"/>
          <c:showBubbleSize val="0"/>
        </c:dLbls>
        <c:axId val="143710464"/>
        <c:axId val="143716736"/>
      </c:scatterChart>
      <c:valAx>
        <c:axId val="143710464"/>
        <c:scaling>
          <c:orientation val="minMax"/>
        </c:scaling>
        <c:delete val="0"/>
        <c:axPos val="b"/>
        <c:title>
          <c:tx>
            <c:rich>
              <a:bodyPr/>
              <a:lstStyle/>
              <a:p>
                <a:pPr>
                  <a:defRPr sz="1400">
                    <a:latin typeface="Arial" pitchFamily="34" charset="0"/>
                    <a:cs typeface="Arial" pitchFamily="34" charset="0"/>
                  </a:defRPr>
                </a:pPr>
                <a:r>
                  <a:rPr lang="en-IN" sz="1400" dirty="0">
                    <a:latin typeface="Arial" pitchFamily="34" charset="0"/>
                    <a:cs typeface="Arial" pitchFamily="34" charset="0"/>
                  </a:rPr>
                  <a:t>Drying time, </a:t>
                </a:r>
                <a:r>
                  <a:rPr lang="en-IN" sz="1400" dirty="0" err="1">
                    <a:latin typeface="Arial" pitchFamily="34" charset="0"/>
                    <a:cs typeface="Arial" pitchFamily="34" charset="0"/>
                  </a:rPr>
                  <a:t>mins</a:t>
                </a:r>
                <a:endParaRPr lang="en-IN" sz="1400" dirty="0">
                  <a:latin typeface="Arial" pitchFamily="34" charset="0"/>
                  <a:cs typeface="Arial" pitchFamily="34" charset="0"/>
                </a:endParaRPr>
              </a:p>
            </c:rich>
          </c:tx>
          <c:overlay val="0"/>
        </c:title>
        <c:numFmt formatCode="General" sourceLinked="1"/>
        <c:majorTickMark val="none"/>
        <c:minorTickMark val="none"/>
        <c:tickLblPos val="nextTo"/>
        <c:crossAx val="143716736"/>
        <c:crosses val="autoZero"/>
        <c:crossBetween val="midCat"/>
      </c:valAx>
      <c:valAx>
        <c:axId val="143716736"/>
        <c:scaling>
          <c:orientation val="minMax"/>
        </c:scaling>
        <c:delete val="0"/>
        <c:axPos val="l"/>
        <c:title>
          <c:tx>
            <c:rich>
              <a:bodyPr rot="-5400000" vert="horz"/>
              <a:lstStyle/>
              <a:p>
                <a:pPr>
                  <a:defRPr sz="1400" b="1">
                    <a:latin typeface="Arial" pitchFamily="34" charset="0"/>
                    <a:cs typeface="Arial" pitchFamily="34" charset="0"/>
                  </a:defRPr>
                </a:pPr>
                <a:r>
                  <a:rPr lang="en-IN" sz="1400" b="1" dirty="0">
                    <a:latin typeface="Arial" pitchFamily="34" charset="0"/>
                    <a:cs typeface="Arial" pitchFamily="34" charset="0"/>
                  </a:rPr>
                  <a:t>Moisture Content</a:t>
                </a:r>
                <a:r>
                  <a:rPr lang="en-IN" sz="1400" b="1" baseline="0" dirty="0">
                    <a:latin typeface="Arial" pitchFamily="34" charset="0"/>
                    <a:cs typeface="Arial" pitchFamily="34" charset="0"/>
                  </a:rPr>
                  <a:t> (</a:t>
                </a:r>
                <a:r>
                  <a:rPr lang="en-IN" sz="1400" b="1" baseline="0" dirty="0" err="1">
                    <a:latin typeface="Arial" pitchFamily="34" charset="0"/>
                    <a:cs typeface="Arial" pitchFamily="34" charset="0"/>
                  </a:rPr>
                  <a:t>db</a:t>
                </a:r>
                <a:r>
                  <a:rPr lang="en-IN" sz="1400" b="1" baseline="0" dirty="0">
                    <a:latin typeface="Arial" pitchFamily="34" charset="0"/>
                    <a:cs typeface="Arial" pitchFamily="34" charset="0"/>
                  </a:rPr>
                  <a:t>),%</a:t>
                </a:r>
                <a:endParaRPr lang="en-IN" sz="1400" b="1" dirty="0">
                  <a:latin typeface="Arial" pitchFamily="34" charset="0"/>
                  <a:cs typeface="Arial" pitchFamily="34" charset="0"/>
                </a:endParaRPr>
              </a:p>
            </c:rich>
          </c:tx>
          <c:overlay val="0"/>
        </c:title>
        <c:numFmt formatCode="General" sourceLinked="1"/>
        <c:majorTickMark val="none"/>
        <c:minorTickMark val="none"/>
        <c:tickLblPos val="nextTo"/>
        <c:crossAx val="143710464"/>
        <c:crosses val="autoZero"/>
        <c:crossBetween val="midCat"/>
      </c:valAx>
    </c:plotArea>
    <c:legend>
      <c:legendPos val="b"/>
      <c:overlay val="0"/>
    </c:legend>
    <c:plotVisOnly val="1"/>
    <c:dispBlanksAs val="gap"/>
    <c:showDLblsOverMax val="0"/>
  </c:chart>
  <c:txPr>
    <a:bodyPr/>
    <a:lstStyle/>
    <a:p>
      <a:pPr>
        <a:defRPr sz="1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DR!$B$1</c:f>
              <c:strCache>
                <c:ptCount val="1"/>
                <c:pt idx="0">
                  <c:v>RWD</c:v>
                </c:pt>
              </c:strCache>
            </c:strRef>
          </c:tx>
          <c:marker>
            <c:symbol val="none"/>
          </c:marker>
          <c:xVal>
            <c:numRef>
              <c:f>DR!$A$2:$A$12</c:f>
              <c:numCache>
                <c:formatCode>General</c:formatCode>
                <c:ptCount val="11"/>
                <c:pt idx="0">
                  <c:v>0</c:v>
                </c:pt>
                <c:pt idx="1">
                  <c:v>30</c:v>
                </c:pt>
                <c:pt idx="2">
                  <c:v>60</c:v>
                </c:pt>
                <c:pt idx="3">
                  <c:v>90</c:v>
                </c:pt>
                <c:pt idx="4">
                  <c:v>120</c:v>
                </c:pt>
                <c:pt idx="5">
                  <c:v>150</c:v>
                </c:pt>
                <c:pt idx="6">
                  <c:v>180</c:v>
                </c:pt>
                <c:pt idx="7">
                  <c:v>210</c:v>
                </c:pt>
                <c:pt idx="8">
                  <c:v>240</c:v>
                </c:pt>
                <c:pt idx="9">
                  <c:v>270</c:v>
                </c:pt>
                <c:pt idx="10">
                  <c:v>300</c:v>
                </c:pt>
              </c:numCache>
            </c:numRef>
          </c:xVal>
          <c:yVal>
            <c:numRef>
              <c:f>DR!$B$2:$B$12</c:f>
              <c:numCache>
                <c:formatCode>General</c:formatCode>
                <c:ptCount val="11"/>
                <c:pt idx="1">
                  <c:v>1.1689497719999999</c:v>
                </c:pt>
                <c:pt idx="2">
                  <c:v>0.87671232880000005</c:v>
                </c:pt>
                <c:pt idx="3">
                  <c:v>0.7458143075</c:v>
                </c:pt>
                <c:pt idx="4">
                  <c:v>0.63242009129999999</c:v>
                </c:pt>
                <c:pt idx="5">
                  <c:v>0.53881278539999999</c:v>
                </c:pt>
                <c:pt idx="6">
                  <c:v>0.46727549470000002</c:v>
                </c:pt>
                <c:pt idx="7">
                  <c:v>0.41356816699999999</c:v>
                </c:pt>
              </c:numCache>
            </c:numRef>
          </c:yVal>
          <c:smooth val="0"/>
          <c:extLst>
            <c:ext xmlns:c16="http://schemas.microsoft.com/office/drawing/2014/chart" uri="{C3380CC4-5D6E-409C-BE32-E72D297353CC}">
              <c16:uniqueId val="{00000000-4128-4B90-A788-7864FBF06E3F}"/>
            </c:ext>
          </c:extLst>
        </c:ser>
        <c:ser>
          <c:idx val="2"/>
          <c:order val="1"/>
          <c:tx>
            <c:strRef>
              <c:f>DR!$D$1</c:f>
              <c:strCache>
                <c:ptCount val="1"/>
                <c:pt idx="0">
                  <c:v>HAD</c:v>
                </c:pt>
              </c:strCache>
            </c:strRef>
          </c:tx>
          <c:marker>
            <c:symbol val="none"/>
          </c:marker>
          <c:xVal>
            <c:numRef>
              <c:f>DR!$A$2:$A$12</c:f>
              <c:numCache>
                <c:formatCode>General</c:formatCode>
                <c:ptCount val="11"/>
                <c:pt idx="0">
                  <c:v>0</c:v>
                </c:pt>
                <c:pt idx="1">
                  <c:v>30</c:v>
                </c:pt>
                <c:pt idx="2">
                  <c:v>60</c:v>
                </c:pt>
                <c:pt idx="3">
                  <c:v>90</c:v>
                </c:pt>
                <c:pt idx="4">
                  <c:v>120</c:v>
                </c:pt>
                <c:pt idx="5">
                  <c:v>150</c:v>
                </c:pt>
                <c:pt idx="6">
                  <c:v>180</c:v>
                </c:pt>
                <c:pt idx="7">
                  <c:v>210</c:v>
                </c:pt>
                <c:pt idx="8">
                  <c:v>240</c:v>
                </c:pt>
                <c:pt idx="9">
                  <c:v>270</c:v>
                </c:pt>
                <c:pt idx="10">
                  <c:v>300</c:v>
                </c:pt>
              </c:numCache>
            </c:numRef>
          </c:xVal>
          <c:yVal>
            <c:numRef>
              <c:f>DR!$D$2:$D$12</c:f>
              <c:numCache>
                <c:formatCode>General</c:formatCode>
                <c:ptCount val="11"/>
                <c:pt idx="1">
                  <c:v>0.87803627510000004</c:v>
                </c:pt>
                <c:pt idx="2">
                  <c:v>0.73703774919999998</c:v>
                </c:pt>
                <c:pt idx="3">
                  <c:v>0.65158409709999998</c:v>
                </c:pt>
                <c:pt idx="4">
                  <c:v>0.58161891939999999</c:v>
                </c:pt>
                <c:pt idx="5">
                  <c:v>0.51656732679999995</c:v>
                </c:pt>
                <c:pt idx="6">
                  <c:v>0.45717703859999997</c:v>
                </c:pt>
                <c:pt idx="7">
                  <c:v>0.4019373564</c:v>
                </c:pt>
                <c:pt idx="8">
                  <c:v>0.3573030827</c:v>
                </c:pt>
                <c:pt idx="9">
                  <c:v>0.32187542279999998</c:v>
                </c:pt>
              </c:numCache>
            </c:numRef>
          </c:yVal>
          <c:smooth val="0"/>
          <c:extLst>
            <c:ext xmlns:c16="http://schemas.microsoft.com/office/drawing/2014/chart" uri="{C3380CC4-5D6E-409C-BE32-E72D297353CC}">
              <c16:uniqueId val="{00000002-4128-4B90-A788-7864FBF06E3F}"/>
            </c:ext>
          </c:extLst>
        </c:ser>
        <c:dLbls>
          <c:showLegendKey val="0"/>
          <c:showVal val="0"/>
          <c:showCatName val="0"/>
          <c:showSerName val="0"/>
          <c:showPercent val="0"/>
          <c:showBubbleSize val="0"/>
        </c:dLbls>
        <c:axId val="181748864"/>
        <c:axId val="181750784"/>
      </c:scatterChart>
      <c:valAx>
        <c:axId val="181748864"/>
        <c:scaling>
          <c:orientation val="minMax"/>
        </c:scaling>
        <c:delete val="0"/>
        <c:axPos val="b"/>
        <c:title>
          <c:tx>
            <c:rich>
              <a:bodyPr/>
              <a:lstStyle/>
              <a:p>
                <a:pPr>
                  <a:defRPr/>
                </a:pPr>
                <a:r>
                  <a:rPr lang="en-IN" dirty="0"/>
                  <a:t>Drying time, min</a:t>
                </a:r>
              </a:p>
            </c:rich>
          </c:tx>
          <c:overlay val="0"/>
        </c:title>
        <c:numFmt formatCode="General" sourceLinked="1"/>
        <c:majorTickMark val="none"/>
        <c:minorTickMark val="none"/>
        <c:tickLblPos val="nextTo"/>
        <c:crossAx val="181750784"/>
        <c:crosses val="autoZero"/>
        <c:crossBetween val="midCat"/>
      </c:valAx>
      <c:valAx>
        <c:axId val="181750784"/>
        <c:scaling>
          <c:orientation val="minMax"/>
        </c:scaling>
        <c:delete val="0"/>
        <c:axPos val="l"/>
        <c:title>
          <c:tx>
            <c:rich>
              <a:bodyPr rot="-5400000" vert="horz"/>
              <a:lstStyle/>
              <a:p>
                <a:pPr>
                  <a:defRPr/>
                </a:pPr>
                <a:r>
                  <a:rPr lang="en-IN" dirty="0"/>
                  <a:t>Drying rate, g of water/min</a:t>
                </a:r>
                <a:r>
                  <a:rPr lang="en-IN" baseline="0" dirty="0"/>
                  <a:t> 100g</a:t>
                </a:r>
              </a:p>
              <a:p>
                <a:pPr>
                  <a:defRPr/>
                </a:pPr>
                <a:r>
                  <a:rPr lang="en-IN" baseline="0" dirty="0"/>
                  <a:t>of </a:t>
                </a:r>
                <a:r>
                  <a:rPr lang="en-IN" baseline="0" dirty="0" err="1"/>
                  <a:t>b,d</a:t>
                </a:r>
                <a:r>
                  <a:rPr lang="en-IN" baseline="0" dirty="0"/>
                  <a:t> material</a:t>
                </a:r>
                <a:endParaRPr lang="en-IN" dirty="0"/>
              </a:p>
            </c:rich>
          </c:tx>
          <c:layout>
            <c:manualLayout>
              <c:xMode val="edge"/>
              <c:yMode val="edge"/>
              <c:x val="3.7756205210029295E-3"/>
              <c:y val="4.1949685534591198E-2"/>
            </c:manualLayout>
          </c:layout>
          <c:overlay val="0"/>
        </c:title>
        <c:numFmt formatCode="General" sourceLinked="1"/>
        <c:majorTickMark val="none"/>
        <c:minorTickMark val="none"/>
        <c:tickLblPos val="nextTo"/>
        <c:crossAx val="181748864"/>
        <c:crosses val="autoZero"/>
        <c:crossBetween val="midCat"/>
      </c:valAx>
    </c:plotArea>
    <c:legend>
      <c:legendPos val="b"/>
      <c:overlay val="0"/>
    </c:legend>
    <c:plotVisOnly val="1"/>
    <c:dispBlanksAs val="gap"/>
    <c:showDLblsOverMax val="0"/>
  </c:chart>
  <c:spPr>
    <a:noFill/>
  </c:spPr>
  <c:txPr>
    <a:bodyPr/>
    <a:lstStyle/>
    <a:p>
      <a:pPr>
        <a:defRPr sz="14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20</Pages>
  <Words>7808</Words>
  <Characters>44509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Annie Shaju</dc:creator>
  <cp:keywords/>
  <dc:description/>
  <cp:lastModifiedBy>Ann Annie Shaju</cp:lastModifiedBy>
  <cp:revision>8</cp:revision>
  <dcterms:created xsi:type="dcterms:W3CDTF">2026-02-25T18:01:00Z</dcterms:created>
  <dcterms:modified xsi:type="dcterms:W3CDTF">2026-03-05T06:43:00Z</dcterms:modified>
</cp:coreProperties>
</file>