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259D6" w14:textId="252E7F3D" w:rsidR="0054346E" w:rsidRPr="00A52C57" w:rsidRDefault="00A52C57" w:rsidP="005D6605">
      <w:pPr>
        <w:spacing w:line="240" w:lineRule="auto"/>
        <w:ind w:left="12"/>
        <w:jc w:val="right"/>
        <w:rPr>
          <w:rFonts w:ascii="Arial" w:hAnsi="Arial" w:cs="Arial"/>
          <w:sz w:val="20"/>
          <w:szCs w:val="20"/>
        </w:rPr>
      </w:pPr>
      <w:r w:rsidRPr="005D6605">
        <w:rPr>
          <w:rFonts w:ascii="Arial" w:hAnsi="Arial" w:cs="Arial"/>
          <w:b/>
          <w:bCs/>
          <w:sz w:val="36"/>
          <w:szCs w:val="36"/>
          <w:highlight w:val="green"/>
        </w:rPr>
        <w:t>Effect of Lifestyle Modifica</w:t>
      </w:r>
      <w:r w:rsidR="005D6605" w:rsidRPr="005D6605">
        <w:rPr>
          <w:rFonts w:ascii="Arial" w:hAnsi="Arial" w:cs="Arial"/>
          <w:b/>
          <w:bCs/>
          <w:sz w:val="36"/>
          <w:szCs w:val="36"/>
          <w:highlight w:val="green"/>
        </w:rPr>
        <w:t>tions on Urinary Protein and Medication Use in Pregnant Women with Thyroid Disorders and Hypertension</w:t>
      </w:r>
    </w:p>
    <w:bookmarkStart w:id="0" w:name="_Hlk218377945"/>
    <w:p w14:paraId="7B0688D9" w14:textId="3DE6E2DF" w:rsidR="00D253C9" w:rsidRPr="00D253C9" w:rsidRDefault="00D253C9" w:rsidP="00D253C9">
      <w:pPr>
        <w:spacing w:after="0" w:line="240" w:lineRule="auto"/>
        <w:jc w:val="both"/>
        <w:rPr>
          <w:rFonts w:ascii="Arial" w:hAnsi="Arial" w:cs="Arial"/>
          <w:b/>
          <w:bCs/>
          <w:sz w:val="20"/>
          <w:szCs w:val="20"/>
        </w:rPr>
      </w:pPr>
      <w:r w:rsidRPr="00D253C9">
        <w:rPr>
          <w:rFonts w:ascii="Arial" w:hAnsi="Arial" w:cs="Arial"/>
          <w:noProof/>
          <w:sz w:val="20"/>
          <w:szCs w:val="20"/>
          <w:lang w:val="en-US"/>
        </w:rPr>
        <mc:AlternateContent>
          <mc:Choice Requires="wps">
            <w:drawing>
              <wp:inline distT="0" distB="0" distL="0" distR="0" wp14:anchorId="5D9A490C" wp14:editId="0F5A36AE">
                <wp:extent cx="5727700" cy="45719"/>
                <wp:effectExtent l="0" t="0" r="25400" b="31115"/>
                <wp:docPr id="2628642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77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2703A2" id="_x0000_t32" coordsize="21600,21600" o:spt="32" o:oned="t" path="m,l21600,21600e" filled="f">
                <v:path arrowok="t" fillok="f" o:connecttype="none"/>
                <o:lock v:ext="edit" shapetype="t"/>
              </v:shapetype>
              <v:shape id="AutoShape 2" o:spid="_x0000_s1026" type="#_x0000_t32" style="width:451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" strokeweight="1.5pt">
                <o:lock v:ext="edit" shapetype="f"/>
                <w10:anchorlock/>
              </v:shape>
            </w:pict>
          </mc:Fallback>
        </mc:AlternateContent>
      </w:r>
    </w:p>
    <w:p w14:paraId="330062DE" w14:textId="1BCFC125" w:rsidR="009B1048" w:rsidRDefault="009B1048" w:rsidP="00D253C9">
      <w:pPr>
        <w:spacing w:after="0" w:line="240" w:lineRule="auto"/>
        <w:jc w:val="both"/>
        <w:rPr>
          <w:rFonts w:ascii="Arial" w:hAnsi="Arial" w:cs="Arial"/>
          <w:b/>
          <w:bCs/>
          <w:sz w:val="24"/>
          <w:szCs w:val="24"/>
        </w:rPr>
      </w:pPr>
      <w:r w:rsidRPr="00D253C9">
        <w:rPr>
          <w:rFonts w:ascii="Arial" w:hAnsi="Arial" w:cs="Arial"/>
          <w:b/>
          <w:bCs/>
          <w:sz w:val="24"/>
          <w:szCs w:val="24"/>
        </w:rPr>
        <w:t>Abstract</w:t>
      </w:r>
    </w:p>
    <w:p w14:paraId="09E68E75" w14:textId="77777777" w:rsidR="008A1B75" w:rsidRPr="00D253C9" w:rsidRDefault="008A1B75" w:rsidP="00D253C9">
      <w:pPr>
        <w:spacing w:after="0" w:line="240" w:lineRule="auto"/>
        <w:jc w:val="both"/>
        <w:rPr>
          <w:rFonts w:ascii="Arial" w:hAnsi="Arial" w:cs="Arial"/>
          <w:b/>
          <w:bCs/>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8212"/>
      </w:tblGrid>
      <w:tr w:rsidR="008A1B75" w14:paraId="072447E6" w14:textId="77777777" w:rsidTr="00A8719D">
        <w:tc>
          <w:tcPr>
            <w:tcW w:w="8212" w:type="dxa"/>
            <w:shd w:val="clear" w:color="auto" w:fill="F2F2F2" w:themeFill="background1" w:themeFillShade="F2"/>
          </w:tcPr>
          <w:p w14:paraId="7D0539D8" w14:textId="77777777" w:rsidR="008A1B75" w:rsidRDefault="008A1B75" w:rsidP="00A8719D">
            <w:pPr>
              <w:jc w:val="both"/>
              <w:rPr>
                <w:rFonts w:ascii="Arial" w:hAnsi="Arial" w:cs="Arial"/>
                <w:sz w:val="20"/>
                <w:szCs w:val="20"/>
              </w:rPr>
            </w:pPr>
            <w:r w:rsidRPr="004E6242">
              <w:rPr>
                <w:rFonts w:ascii="Arial" w:hAnsi="Arial" w:cs="Arial"/>
                <w:b/>
                <w:bCs/>
                <w:sz w:val="20"/>
                <w:szCs w:val="20"/>
              </w:rPr>
              <w:t>Background:</w:t>
            </w:r>
            <w:r w:rsidRPr="004E6242">
              <w:rPr>
                <w:rFonts w:ascii="Arial" w:hAnsi="Arial" w:cs="Arial"/>
                <w:sz w:val="20"/>
                <w:szCs w:val="20"/>
              </w:rPr>
              <w:br/>
            </w:r>
            <w:r w:rsidRPr="008A1B75">
              <w:rPr>
                <w:rFonts w:ascii="Arial" w:hAnsi="Arial" w:cs="Arial"/>
                <w:sz w:val="20"/>
                <w:szCs w:val="20"/>
              </w:rPr>
              <w:t xml:space="preserve">Thyroid disorders and hypertension during pregnancy pose significant maternal and </w:t>
            </w:r>
            <w:proofErr w:type="spellStart"/>
            <w:r w:rsidRPr="008A1B75">
              <w:rPr>
                <w:rFonts w:ascii="Arial" w:hAnsi="Arial" w:cs="Arial"/>
                <w:sz w:val="20"/>
                <w:szCs w:val="20"/>
              </w:rPr>
              <w:t>fetal</w:t>
            </w:r>
            <w:proofErr w:type="spellEnd"/>
            <w:r w:rsidRPr="008A1B75">
              <w:rPr>
                <w:rFonts w:ascii="Arial" w:hAnsi="Arial" w:cs="Arial"/>
                <w:sz w:val="20"/>
                <w:szCs w:val="20"/>
              </w:rPr>
              <w:t xml:space="preserve"> health risks, often requiring pharmacological treatment. Lifestyle modifications are a promising non-pharmacological approach to improve clinical outcomes.</w:t>
            </w:r>
          </w:p>
          <w:p w14:paraId="7866A3A4" w14:textId="6035D0E2" w:rsidR="008A1B75" w:rsidRPr="004E6242" w:rsidRDefault="008A1B75" w:rsidP="00A8719D">
            <w:pPr>
              <w:jc w:val="both"/>
              <w:rPr>
                <w:rFonts w:ascii="Arial" w:hAnsi="Arial" w:cs="Arial"/>
                <w:sz w:val="20"/>
                <w:szCs w:val="20"/>
              </w:rPr>
            </w:pPr>
            <w:r w:rsidRPr="004E6242">
              <w:rPr>
                <w:rFonts w:ascii="Arial" w:hAnsi="Arial" w:cs="Arial"/>
                <w:b/>
                <w:bCs/>
                <w:sz w:val="20"/>
                <w:szCs w:val="20"/>
              </w:rPr>
              <w:t>Objectives:</w:t>
            </w:r>
            <w:r w:rsidRPr="004E6242">
              <w:rPr>
                <w:rFonts w:ascii="Arial" w:hAnsi="Arial" w:cs="Arial"/>
                <w:sz w:val="20"/>
                <w:szCs w:val="20"/>
              </w:rPr>
              <w:br/>
            </w:r>
            <w:r w:rsidRPr="00D253C9">
              <w:rPr>
                <w:rFonts w:ascii="Arial" w:hAnsi="Arial" w:cs="Arial"/>
                <w:sz w:val="20"/>
                <w:szCs w:val="20"/>
              </w:rPr>
              <w:t>To evaluate the effects of structured lifestyle modifications on urinary protein status and medication use among pregnant women with thyroid disorders and hypertension.</w:t>
            </w:r>
          </w:p>
          <w:p w14:paraId="14A0B7C0" w14:textId="544480D0" w:rsidR="008A1B75" w:rsidRPr="004E6242" w:rsidRDefault="008A1B75" w:rsidP="00A8719D">
            <w:pPr>
              <w:jc w:val="both"/>
              <w:rPr>
                <w:rFonts w:ascii="Arial" w:hAnsi="Arial" w:cs="Arial"/>
                <w:sz w:val="20"/>
                <w:szCs w:val="20"/>
              </w:rPr>
            </w:pPr>
            <w:r w:rsidRPr="004E6242">
              <w:rPr>
                <w:rFonts w:ascii="Arial" w:hAnsi="Arial" w:cs="Arial"/>
                <w:b/>
                <w:bCs/>
                <w:sz w:val="20"/>
                <w:szCs w:val="20"/>
              </w:rPr>
              <w:t>Methods:</w:t>
            </w:r>
            <w:r w:rsidRPr="004E6242">
              <w:rPr>
                <w:rFonts w:ascii="Arial" w:hAnsi="Arial" w:cs="Arial"/>
                <w:sz w:val="20"/>
                <w:szCs w:val="20"/>
              </w:rPr>
              <w:br/>
            </w:r>
            <w:r w:rsidRPr="008A1B75">
              <w:rPr>
                <w:rFonts w:ascii="Arial" w:hAnsi="Arial" w:cs="Arial"/>
                <w:sz w:val="20"/>
                <w:szCs w:val="20"/>
              </w:rPr>
              <w:t xml:space="preserve">A pre-post interventional study was conducted with 200 pregnant women diagnosed with thyroid disorders and hypertension. </w:t>
            </w:r>
            <w:r w:rsidR="00BF7C96" w:rsidRPr="00BF7C96">
              <w:rPr>
                <w:rFonts w:ascii="Arial" w:hAnsi="Arial" w:cs="Arial"/>
                <w:sz w:val="20"/>
                <w:szCs w:val="20"/>
                <w:highlight w:val="green"/>
              </w:rPr>
              <w:t>The sample size was determined based on prior pregnancy intervention studies to ensure adequate statistical power. Participants underwent a 12-week multidisciplinary program including individualized DASH based dietary counselling, moderate supervised physical activity, stress management sessions, and structured antenatal education. Urinary protein and medication status were assessed before and after intervention. McNemar’s test was used for paired categorical analysis.</w:t>
            </w:r>
          </w:p>
          <w:p w14:paraId="2D32DFEE" w14:textId="403E122D" w:rsidR="007714D6" w:rsidRDefault="008A1B75" w:rsidP="007714D6">
            <w:pPr>
              <w:jc w:val="both"/>
              <w:rPr>
                <w:rFonts w:ascii="Arial" w:hAnsi="Arial" w:cs="Arial"/>
                <w:sz w:val="20"/>
                <w:szCs w:val="20"/>
              </w:rPr>
            </w:pPr>
            <w:r w:rsidRPr="004E6242">
              <w:rPr>
                <w:rFonts w:ascii="Arial" w:hAnsi="Arial" w:cs="Arial"/>
                <w:b/>
                <w:bCs/>
                <w:sz w:val="20"/>
                <w:szCs w:val="20"/>
              </w:rPr>
              <w:t>Results:</w:t>
            </w:r>
            <w:r w:rsidRPr="004E6242">
              <w:rPr>
                <w:rFonts w:ascii="Arial" w:hAnsi="Arial" w:cs="Arial"/>
                <w:sz w:val="20"/>
                <w:szCs w:val="20"/>
              </w:rPr>
              <w:br/>
            </w:r>
            <w:r w:rsidR="00BF7C96" w:rsidRPr="007714D6">
              <w:rPr>
                <w:rFonts w:ascii="Arial" w:hAnsi="Arial" w:cs="Arial"/>
                <w:sz w:val="20"/>
                <w:szCs w:val="20"/>
                <w:highlight w:val="green"/>
              </w:rPr>
              <w:t>In start, 6</w:t>
            </w:r>
            <w:r w:rsidR="008B14A4" w:rsidRPr="007714D6">
              <w:rPr>
                <w:rFonts w:ascii="Arial" w:hAnsi="Arial" w:cs="Arial"/>
                <w:sz w:val="20"/>
                <w:szCs w:val="20"/>
                <w:highlight w:val="green"/>
              </w:rPr>
              <w:t>0 participants</w:t>
            </w:r>
            <w:r w:rsidR="00BF7C96" w:rsidRPr="007714D6">
              <w:rPr>
                <w:rFonts w:ascii="Arial" w:hAnsi="Arial" w:cs="Arial"/>
                <w:sz w:val="20"/>
                <w:szCs w:val="20"/>
                <w:highlight w:val="green"/>
              </w:rPr>
              <w:t xml:space="preserve"> (30</w:t>
            </w:r>
            <w:r w:rsidR="008B14A4" w:rsidRPr="007714D6">
              <w:rPr>
                <w:rFonts w:ascii="Arial" w:hAnsi="Arial" w:cs="Arial"/>
                <w:sz w:val="20"/>
                <w:szCs w:val="20"/>
                <w:highlight w:val="green"/>
              </w:rPr>
              <w:t xml:space="preserve">%) had proteinuria, which decreased to 20 (10%) post – intervention </w:t>
            </w:r>
            <m:oMath>
              <m:d>
                <m:dPr>
                  <m:ctrlPr>
                    <w:rPr>
                      <w:rFonts w:ascii="Cambria Math" w:hAnsi="Cambria Math" w:cs="Arial"/>
                      <w:i/>
                      <w:sz w:val="20"/>
                      <w:szCs w:val="20"/>
                      <w:highlight w:val="green"/>
                    </w:rPr>
                  </m:ctrlPr>
                </m:dPr>
                <m:e>
                  <m:sSup>
                    <m:sSupPr>
                      <m:ctrlPr>
                        <w:rPr>
                          <w:rFonts w:ascii="Cambria Math" w:hAnsi="Cambria Math" w:cs="Arial"/>
                          <w:i/>
                          <w:sz w:val="20"/>
                          <w:szCs w:val="20"/>
                          <w:highlight w:val="green"/>
                        </w:rPr>
                      </m:ctrlPr>
                    </m:sSupPr>
                    <m:e>
                      <m:r>
                        <w:rPr>
                          <w:rFonts w:ascii="Cambria Math" w:hAnsi="Cambria Math" w:cs="Arial"/>
                          <w:sz w:val="20"/>
                          <w:szCs w:val="20"/>
                          <w:highlight w:val="green"/>
                        </w:rPr>
                        <m:t>χ</m:t>
                      </m:r>
                    </m:e>
                    <m:sup>
                      <m:r>
                        <w:rPr>
                          <w:rFonts w:ascii="Cambria Math" w:hAnsi="Cambria Math" w:cs="Arial"/>
                          <w:sz w:val="20"/>
                          <w:szCs w:val="20"/>
                          <w:highlight w:val="green"/>
                        </w:rPr>
                        <m:t>2</m:t>
                      </m:r>
                    </m:sup>
                  </m:sSup>
                  <m:r>
                    <w:rPr>
                      <w:rFonts w:ascii="Cambria Math" w:hAnsi="Cambria Math" w:cs="Arial"/>
                      <w:sz w:val="20"/>
                      <w:szCs w:val="20"/>
                      <w:highlight w:val="green"/>
                    </w:rPr>
                    <m:t>=35.28, p&lt;0.0001</m:t>
                  </m:r>
                </m:e>
              </m:d>
              <m:r>
                <w:rPr>
                  <w:rFonts w:ascii="Cambria Math" w:hAnsi="Cambria Math" w:cs="Arial"/>
                  <w:sz w:val="20"/>
                  <w:szCs w:val="20"/>
                  <w:highlight w:val="green"/>
                </w:rPr>
                <m:t xml:space="preserve">. </m:t>
              </m:r>
            </m:oMath>
            <w:r w:rsidR="00306F63" w:rsidRPr="007714D6">
              <w:rPr>
                <w:rFonts w:ascii="Arial" w:eastAsiaTheme="minorEastAsia" w:hAnsi="Arial" w:cs="Arial"/>
                <w:sz w:val="20"/>
                <w:szCs w:val="20"/>
                <w:highlight w:val="green"/>
              </w:rPr>
              <w:t xml:space="preserve">Among discordant pairs, 42 participants shifted from positive to negative status, while only 2 developed new – onset proteinuria. Medication use declined from 80 </w:t>
            </w:r>
            <w:r w:rsidR="007714D6" w:rsidRPr="007714D6">
              <w:rPr>
                <w:rFonts w:ascii="Arial" w:eastAsiaTheme="minorEastAsia" w:hAnsi="Arial" w:cs="Arial"/>
                <w:sz w:val="20"/>
                <w:szCs w:val="20"/>
                <w:highlight w:val="green"/>
              </w:rPr>
              <w:t xml:space="preserve">(40%) to 70 (35%) participants </w:t>
            </w:r>
            <m:oMath>
              <m:d>
                <m:dPr>
                  <m:ctrlPr>
                    <w:rPr>
                      <w:rFonts w:ascii="Cambria Math" w:hAnsi="Cambria Math" w:cs="Arial"/>
                      <w:i/>
                      <w:sz w:val="20"/>
                      <w:szCs w:val="20"/>
                      <w:highlight w:val="green"/>
                    </w:rPr>
                  </m:ctrlPr>
                </m:dPr>
                <m:e>
                  <m:sSup>
                    <m:sSupPr>
                      <m:ctrlPr>
                        <w:rPr>
                          <w:rFonts w:ascii="Cambria Math" w:hAnsi="Cambria Math" w:cs="Arial"/>
                          <w:i/>
                          <w:sz w:val="20"/>
                          <w:szCs w:val="20"/>
                          <w:highlight w:val="green"/>
                        </w:rPr>
                      </m:ctrlPr>
                    </m:sSupPr>
                    <m:e>
                      <m:r>
                        <w:rPr>
                          <w:rFonts w:ascii="Cambria Math" w:hAnsi="Cambria Math" w:cs="Arial"/>
                          <w:sz w:val="20"/>
                          <w:szCs w:val="20"/>
                          <w:highlight w:val="green"/>
                        </w:rPr>
                        <m:t>χ</m:t>
                      </m:r>
                    </m:e>
                    <m:sup>
                      <m:r>
                        <w:rPr>
                          <w:rFonts w:ascii="Cambria Math" w:hAnsi="Cambria Math" w:cs="Arial"/>
                          <w:sz w:val="20"/>
                          <w:szCs w:val="20"/>
                          <w:highlight w:val="green"/>
                        </w:rPr>
                        <m:t>2</m:t>
                      </m:r>
                    </m:sup>
                  </m:sSup>
                  <m:r>
                    <w:rPr>
                      <w:rFonts w:ascii="Cambria Math" w:hAnsi="Cambria Math" w:cs="Arial"/>
                      <w:sz w:val="20"/>
                      <w:szCs w:val="20"/>
                      <w:highlight w:val="green"/>
                    </w:rPr>
                    <m:t>=6.67, p&lt;0.098</m:t>
                  </m:r>
                </m:e>
              </m:d>
            </m:oMath>
            <w:r w:rsidR="007714D6" w:rsidRPr="007714D6">
              <w:rPr>
                <w:rFonts w:ascii="Arial" w:eastAsiaTheme="minorEastAsia" w:hAnsi="Arial" w:cs="Arial"/>
                <w:sz w:val="20"/>
                <w:szCs w:val="20"/>
                <w:highlight w:val="green"/>
              </w:rPr>
              <w:t>; 20 discontinued medication, whereas 10 initiated therapy. Additionally, 75% of participants required no dosage adjustment during follow – up, indicating clinical stability.</w:t>
            </w:r>
          </w:p>
          <w:p w14:paraId="07273B8D" w14:textId="52AC0B1B" w:rsidR="008A1B75" w:rsidRPr="00356DD6" w:rsidRDefault="008A1B75" w:rsidP="007714D6">
            <w:pPr>
              <w:jc w:val="both"/>
              <w:rPr>
                <w:rFonts w:ascii="Arial" w:hAnsi="Arial" w:cs="Arial"/>
                <w:sz w:val="20"/>
                <w:szCs w:val="20"/>
              </w:rPr>
            </w:pPr>
            <w:r w:rsidRPr="004E6242">
              <w:rPr>
                <w:rFonts w:ascii="Arial" w:hAnsi="Arial" w:cs="Arial"/>
                <w:b/>
                <w:bCs/>
                <w:sz w:val="20"/>
                <w:szCs w:val="20"/>
              </w:rPr>
              <w:t>Conclusion:</w:t>
            </w:r>
            <w:r w:rsidRPr="004E6242">
              <w:rPr>
                <w:rFonts w:ascii="Arial" w:hAnsi="Arial" w:cs="Arial"/>
                <w:sz w:val="20"/>
                <w:szCs w:val="20"/>
              </w:rPr>
              <w:br/>
            </w:r>
            <w:r w:rsidRPr="008A1B75">
              <w:rPr>
                <w:rFonts w:ascii="Arial" w:hAnsi="Arial" w:cs="Arial"/>
                <w:sz w:val="20"/>
                <w:szCs w:val="20"/>
              </w:rPr>
              <w:t>Lifestyle modifications significantly improved urine protein status and reduced medication dependency among pregnant women with thyroid disorders and hypertension, supporting the integration of lifestyle modifications into routine antenatal care for high-risk pregnant women.</w:t>
            </w:r>
          </w:p>
        </w:tc>
      </w:tr>
    </w:tbl>
    <w:p w14:paraId="6268042B" w14:textId="77777777" w:rsidR="00D253C9" w:rsidRDefault="00D253C9" w:rsidP="00D253C9">
      <w:pPr>
        <w:spacing w:after="0" w:line="240" w:lineRule="auto"/>
        <w:jc w:val="both"/>
        <w:rPr>
          <w:rFonts w:ascii="Arial" w:hAnsi="Arial" w:cs="Arial"/>
          <w:b/>
          <w:bCs/>
          <w:sz w:val="20"/>
          <w:szCs w:val="20"/>
        </w:rPr>
      </w:pPr>
    </w:p>
    <w:p w14:paraId="47AB49D2" w14:textId="78DCCBAD" w:rsidR="009B1048" w:rsidRPr="008A1B75" w:rsidRDefault="009B1048" w:rsidP="00D253C9">
      <w:pPr>
        <w:spacing w:after="0" w:line="240" w:lineRule="auto"/>
        <w:jc w:val="both"/>
        <w:rPr>
          <w:rFonts w:ascii="Arial" w:hAnsi="Arial" w:cs="Arial"/>
          <w:i/>
          <w:iCs/>
          <w:sz w:val="20"/>
          <w:szCs w:val="20"/>
        </w:rPr>
      </w:pPr>
      <w:r w:rsidRPr="008A1B75">
        <w:rPr>
          <w:rFonts w:ascii="Arial" w:hAnsi="Arial" w:cs="Arial"/>
          <w:b/>
          <w:bCs/>
          <w:i/>
          <w:iCs/>
          <w:sz w:val="20"/>
          <w:szCs w:val="20"/>
        </w:rPr>
        <w:t>Keywords:</w:t>
      </w:r>
      <w:r w:rsidRPr="008A1B75">
        <w:rPr>
          <w:rFonts w:ascii="Arial" w:hAnsi="Arial" w:cs="Arial"/>
          <w:i/>
          <w:iCs/>
          <w:sz w:val="20"/>
          <w:szCs w:val="20"/>
        </w:rPr>
        <w:t xml:space="preserve"> Lifestyle modification, pregnancy, hypertension, thyroid disorders, proteinuria</w:t>
      </w:r>
      <w:r w:rsidR="00D420B7" w:rsidRPr="008A1B75">
        <w:rPr>
          <w:rFonts w:ascii="Arial" w:hAnsi="Arial" w:cs="Arial"/>
          <w:i/>
          <w:iCs/>
          <w:sz w:val="20"/>
          <w:szCs w:val="20"/>
        </w:rPr>
        <w:t>.</w:t>
      </w:r>
    </w:p>
    <w:p w14:paraId="113BDC4D" w14:textId="067D2F5E" w:rsidR="009B1048" w:rsidRPr="00D253C9" w:rsidRDefault="009B1048" w:rsidP="00D253C9">
      <w:pPr>
        <w:spacing w:after="0" w:line="240" w:lineRule="auto"/>
        <w:jc w:val="both"/>
        <w:rPr>
          <w:rFonts w:ascii="Arial" w:hAnsi="Arial" w:cs="Arial"/>
          <w:sz w:val="20"/>
          <w:szCs w:val="20"/>
        </w:rPr>
      </w:pPr>
    </w:p>
    <w:p w14:paraId="407F35BD" w14:textId="77777777" w:rsidR="009B1048" w:rsidRPr="0063621C" w:rsidRDefault="009B1048" w:rsidP="00D253C9">
      <w:pPr>
        <w:spacing w:after="0" w:line="240" w:lineRule="auto"/>
        <w:jc w:val="both"/>
        <w:rPr>
          <w:rFonts w:ascii="Arial" w:hAnsi="Arial" w:cs="Arial"/>
          <w:b/>
          <w:bCs/>
          <w:sz w:val="24"/>
          <w:szCs w:val="24"/>
        </w:rPr>
      </w:pPr>
      <w:r w:rsidRPr="0063621C">
        <w:rPr>
          <w:rFonts w:ascii="Arial" w:hAnsi="Arial" w:cs="Arial"/>
          <w:b/>
          <w:bCs/>
          <w:sz w:val="24"/>
          <w:szCs w:val="24"/>
        </w:rPr>
        <w:t>1. Introduction</w:t>
      </w:r>
    </w:p>
    <w:p w14:paraId="6B3D5D3D"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1.1 Burden of Thyroid Disorders and Hypertension During Pregnancy</w:t>
      </w:r>
    </w:p>
    <w:p w14:paraId="3D64155F" w14:textId="4EFA265F" w:rsidR="001C6549"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Thyroid problems and hypertensive disorders are among the leading complications of pregnancy (Choudhary et al., 2025).</w:t>
      </w:r>
      <w:r w:rsidR="001C6549" w:rsidRPr="00D253C9">
        <w:rPr>
          <w:rFonts w:ascii="Arial" w:hAnsi="Arial" w:cs="Arial"/>
          <w:sz w:val="20"/>
          <w:szCs w:val="20"/>
        </w:rPr>
        <w:t xml:space="preserve"> </w:t>
      </w:r>
      <w:r w:rsidRPr="00D253C9">
        <w:rPr>
          <w:rFonts w:ascii="Arial" w:hAnsi="Arial" w:cs="Arial"/>
          <w:sz w:val="20"/>
          <w:szCs w:val="20"/>
        </w:rPr>
        <w:t xml:space="preserve">Congenital anomalies, preeclampsia, gestational hypertension, preterm birth, and neurodevelopmental problems in newborns are some complications that can result from thyroid problems or hypertensive disorders (Alexander et al., 2017; </w:t>
      </w:r>
      <w:proofErr w:type="spellStart"/>
      <w:r w:rsidRPr="00D253C9">
        <w:rPr>
          <w:rFonts w:ascii="Arial" w:hAnsi="Arial" w:cs="Arial"/>
          <w:sz w:val="20"/>
          <w:szCs w:val="20"/>
        </w:rPr>
        <w:t>Garovic</w:t>
      </w:r>
      <w:proofErr w:type="spellEnd"/>
      <w:r w:rsidRPr="00D253C9">
        <w:rPr>
          <w:rFonts w:ascii="Arial" w:hAnsi="Arial" w:cs="Arial"/>
          <w:sz w:val="20"/>
          <w:szCs w:val="20"/>
        </w:rPr>
        <w:t xml:space="preserve"> et al., 2022).</w:t>
      </w:r>
      <w:r w:rsidR="001C6549" w:rsidRPr="00D253C9">
        <w:rPr>
          <w:rFonts w:ascii="Arial" w:hAnsi="Arial" w:cs="Arial"/>
          <w:sz w:val="20"/>
          <w:szCs w:val="20"/>
        </w:rPr>
        <w:t xml:space="preserve"> </w:t>
      </w:r>
      <w:r w:rsidRPr="00D253C9">
        <w:rPr>
          <w:rFonts w:ascii="Arial" w:hAnsi="Arial" w:cs="Arial"/>
          <w:sz w:val="20"/>
          <w:szCs w:val="20"/>
        </w:rPr>
        <w:t>Thyroid problems, including hypothyroidism or hyperthyroidism, are observed in 2–3% of pregnant women (</w:t>
      </w:r>
      <w:proofErr w:type="spellStart"/>
      <w:r w:rsidRPr="00D253C9">
        <w:rPr>
          <w:rFonts w:ascii="Arial" w:hAnsi="Arial" w:cs="Arial"/>
          <w:sz w:val="20"/>
          <w:szCs w:val="20"/>
        </w:rPr>
        <w:t>Thangaratinam</w:t>
      </w:r>
      <w:proofErr w:type="spellEnd"/>
      <w:r w:rsidRPr="00D253C9">
        <w:rPr>
          <w:rFonts w:ascii="Arial" w:hAnsi="Arial" w:cs="Arial"/>
          <w:sz w:val="20"/>
          <w:szCs w:val="20"/>
        </w:rPr>
        <w:t xml:space="preserve"> et al., 2011; Lazarus et al., 2014).</w:t>
      </w:r>
    </w:p>
    <w:p w14:paraId="1BB7442D" w14:textId="1AF6673D"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 xml:space="preserve">Hypertensive disorders of pregnancy, such as chronic hypertension, gestational hypertension, and preeclampsia, occur in 5-10% of pregnancies and are a major cause of maternal and perinatal morbidity and mortality worldwide (American College of Obstetricians and </w:t>
      </w:r>
      <w:proofErr w:type="spellStart"/>
      <w:r w:rsidRPr="00D253C9">
        <w:rPr>
          <w:rFonts w:ascii="Arial" w:hAnsi="Arial" w:cs="Arial"/>
          <w:sz w:val="20"/>
          <w:szCs w:val="20"/>
        </w:rPr>
        <w:t>Gynecologists</w:t>
      </w:r>
      <w:proofErr w:type="spellEnd"/>
      <w:r w:rsidRPr="00D253C9">
        <w:rPr>
          <w:rFonts w:ascii="Arial" w:hAnsi="Arial" w:cs="Arial"/>
          <w:sz w:val="20"/>
          <w:szCs w:val="20"/>
        </w:rPr>
        <w:t xml:space="preserve">, 2019; </w:t>
      </w:r>
      <w:proofErr w:type="spellStart"/>
      <w:r w:rsidRPr="00D253C9">
        <w:rPr>
          <w:rFonts w:ascii="Arial" w:hAnsi="Arial" w:cs="Arial"/>
          <w:sz w:val="20"/>
          <w:szCs w:val="20"/>
        </w:rPr>
        <w:t>Umesawa</w:t>
      </w:r>
      <w:proofErr w:type="spellEnd"/>
      <w:r w:rsidRPr="00D253C9">
        <w:rPr>
          <w:rFonts w:ascii="Arial" w:hAnsi="Arial" w:cs="Arial"/>
          <w:sz w:val="20"/>
          <w:szCs w:val="20"/>
        </w:rPr>
        <w:t xml:space="preserve"> &amp; Kobashi, 2017).</w:t>
      </w:r>
      <w:r w:rsidR="001C6549" w:rsidRPr="00D253C9">
        <w:rPr>
          <w:rFonts w:ascii="Arial" w:hAnsi="Arial" w:cs="Arial"/>
          <w:sz w:val="20"/>
          <w:szCs w:val="20"/>
        </w:rPr>
        <w:t xml:space="preserve"> </w:t>
      </w:r>
      <w:r w:rsidRPr="00D253C9">
        <w:rPr>
          <w:rFonts w:ascii="Arial" w:hAnsi="Arial" w:cs="Arial"/>
          <w:sz w:val="20"/>
          <w:szCs w:val="20"/>
        </w:rPr>
        <w:t>The concomitance of thyroid dysfunction and hypertension is likely to increase the complications of pregnancy, and it is a complex clinical situation requiring holistic management plans (Mannisto et al., 2013; Wilson et al., 2012).</w:t>
      </w:r>
      <w:r w:rsidR="00E06A79" w:rsidRPr="00D253C9">
        <w:rPr>
          <w:rFonts w:ascii="Arial" w:hAnsi="Arial" w:cs="Arial"/>
          <w:sz w:val="20"/>
          <w:szCs w:val="20"/>
        </w:rPr>
        <w:t>Evidence suggests that thyroid autoimmunity and subclinical hypothyroidism may independently contribute to the development of hypertensive disorders during pregnancy, highlighting the interconnectedness of these conditions (Karakosta et al., 2012; Ashoor et al., 2010).</w:t>
      </w:r>
    </w:p>
    <w:p w14:paraId="60BF42F8"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1.2 Role of Lifestyle Modification in Maternal Health Management</w:t>
      </w:r>
    </w:p>
    <w:p w14:paraId="5341EE02" w14:textId="62C82DDC"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Lifestyle changes were recognized by the WHO in 2013 and Lloyd-Jones et al. in 2010 in the area of preventive medicine and the management of chronic diseases.</w:t>
      </w:r>
      <w:r w:rsidR="001C6549" w:rsidRPr="00D253C9">
        <w:rPr>
          <w:rFonts w:ascii="Arial" w:hAnsi="Arial" w:cs="Arial"/>
          <w:sz w:val="20"/>
          <w:szCs w:val="20"/>
        </w:rPr>
        <w:t xml:space="preserve"> </w:t>
      </w:r>
      <w:r w:rsidRPr="00D253C9">
        <w:rPr>
          <w:rFonts w:ascii="Arial" w:hAnsi="Arial" w:cs="Arial"/>
          <w:sz w:val="20"/>
          <w:szCs w:val="20"/>
        </w:rPr>
        <w:t xml:space="preserve">With respect to pregnancy, interventions </w:t>
      </w:r>
      <w:r w:rsidRPr="00D253C9">
        <w:rPr>
          <w:rFonts w:ascii="Arial" w:hAnsi="Arial" w:cs="Arial"/>
          <w:sz w:val="20"/>
          <w:szCs w:val="20"/>
        </w:rPr>
        <w:lastRenderedPageBreak/>
        <w:t>involving lifestyle modifications, including diet, physical activities, stress, and weight control, have been viewed as achieving promising outcomes in improving maternal metabolic profiles and decreasing complications associated with pregnancy (</w:t>
      </w:r>
      <w:proofErr w:type="spellStart"/>
      <w:r w:rsidRPr="00D253C9">
        <w:rPr>
          <w:rFonts w:ascii="Arial" w:hAnsi="Arial" w:cs="Arial"/>
          <w:sz w:val="20"/>
          <w:szCs w:val="20"/>
        </w:rPr>
        <w:t>Muktabhant</w:t>
      </w:r>
      <w:proofErr w:type="spellEnd"/>
      <w:r w:rsidRPr="00D253C9">
        <w:rPr>
          <w:rFonts w:ascii="Arial" w:hAnsi="Arial" w:cs="Arial"/>
          <w:sz w:val="20"/>
          <w:szCs w:val="20"/>
        </w:rPr>
        <w:t xml:space="preserve"> et al., 2015; </w:t>
      </w:r>
      <w:proofErr w:type="spellStart"/>
      <w:r w:rsidRPr="00D253C9">
        <w:rPr>
          <w:rFonts w:ascii="Arial" w:hAnsi="Arial" w:cs="Arial"/>
          <w:sz w:val="20"/>
          <w:szCs w:val="20"/>
        </w:rPr>
        <w:t>Ruchat</w:t>
      </w:r>
      <w:proofErr w:type="spellEnd"/>
      <w:r w:rsidRPr="00D253C9">
        <w:rPr>
          <w:rFonts w:ascii="Arial" w:hAnsi="Arial" w:cs="Arial"/>
          <w:sz w:val="20"/>
          <w:szCs w:val="20"/>
        </w:rPr>
        <w:t xml:space="preserve"> et al., 2018).</w:t>
      </w:r>
      <w:r w:rsidR="001C6549" w:rsidRPr="00D253C9">
        <w:rPr>
          <w:rFonts w:ascii="Arial" w:hAnsi="Arial" w:cs="Arial"/>
          <w:sz w:val="20"/>
          <w:szCs w:val="20"/>
        </w:rPr>
        <w:t xml:space="preserve"> </w:t>
      </w:r>
      <w:r w:rsidRPr="00D253C9">
        <w:rPr>
          <w:rFonts w:ascii="Arial" w:hAnsi="Arial" w:cs="Arial"/>
          <w:sz w:val="20"/>
          <w:szCs w:val="20"/>
        </w:rPr>
        <w:t>Systematic reviews and meta-analyses have established that lifestyle modifications during pregnancy achieve</w:t>
      </w:r>
      <w:r w:rsidR="0063621C">
        <w:rPr>
          <w:rFonts w:ascii="Arial" w:hAnsi="Arial" w:cs="Arial"/>
          <w:sz w:val="20"/>
          <w:szCs w:val="20"/>
        </w:rPr>
        <w:t xml:space="preserve"> </w:t>
      </w:r>
      <w:r w:rsidRPr="00D253C9">
        <w:rPr>
          <w:rFonts w:ascii="Arial" w:hAnsi="Arial" w:cs="Arial"/>
          <w:sz w:val="20"/>
          <w:szCs w:val="20"/>
        </w:rPr>
        <w:t>successful outcomes in reducing gestation-related weight gain, decreasing the incidence of gestational diabetes mellitus, and lowering blood pressure (</w:t>
      </w:r>
      <w:proofErr w:type="spellStart"/>
      <w:r w:rsidRPr="00D253C9">
        <w:rPr>
          <w:rFonts w:ascii="Arial" w:hAnsi="Arial" w:cs="Arial"/>
          <w:sz w:val="20"/>
          <w:szCs w:val="20"/>
        </w:rPr>
        <w:t>Rogozinska</w:t>
      </w:r>
      <w:proofErr w:type="spellEnd"/>
      <w:r w:rsidRPr="00D253C9">
        <w:rPr>
          <w:rFonts w:ascii="Arial" w:hAnsi="Arial" w:cs="Arial"/>
          <w:sz w:val="20"/>
          <w:szCs w:val="20"/>
        </w:rPr>
        <w:t xml:space="preserve"> et al., 2015; Shepherd et al., 2017).</w:t>
      </w:r>
      <w:r w:rsidR="001C6549" w:rsidRPr="00D253C9">
        <w:rPr>
          <w:rFonts w:ascii="Arial" w:hAnsi="Arial" w:cs="Arial"/>
          <w:sz w:val="20"/>
          <w:szCs w:val="20"/>
        </w:rPr>
        <w:t xml:space="preserve"> </w:t>
      </w:r>
      <w:r w:rsidRPr="00D253C9">
        <w:rPr>
          <w:rFonts w:ascii="Arial" w:hAnsi="Arial" w:cs="Arial"/>
          <w:sz w:val="20"/>
          <w:szCs w:val="20"/>
        </w:rPr>
        <w:t xml:space="preserve">In women with thyroid conditions, </w:t>
      </w:r>
      <w:r w:rsidRPr="005B0D41">
        <w:rPr>
          <w:rFonts w:ascii="Arial" w:hAnsi="Arial" w:cs="Arial"/>
          <w:sz w:val="20"/>
          <w:szCs w:val="20"/>
          <w:highlight w:val="yellow"/>
        </w:rPr>
        <w:t>dietary measures such as the use of iodine-rich foods, selenium supplements, and anti-inflammatory diet regimens have been proven beneficial in the optimization of thyroid hormones and inhibition of autoimmune functions of the thyroid (</w:t>
      </w:r>
      <w:proofErr w:type="spellStart"/>
      <w:r w:rsidRPr="005B0D41">
        <w:rPr>
          <w:rFonts w:ascii="Arial" w:hAnsi="Arial" w:cs="Arial"/>
          <w:sz w:val="20"/>
          <w:szCs w:val="20"/>
          <w:highlight w:val="yellow"/>
        </w:rPr>
        <w:t>Triggiani</w:t>
      </w:r>
      <w:proofErr w:type="spellEnd"/>
      <w:r w:rsidRPr="005B0D41">
        <w:rPr>
          <w:rFonts w:ascii="Arial" w:hAnsi="Arial" w:cs="Arial"/>
          <w:sz w:val="20"/>
          <w:szCs w:val="20"/>
          <w:highlight w:val="yellow"/>
        </w:rPr>
        <w:t xml:space="preserve"> et al., 2009; Negro et al., 2007).</w:t>
      </w:r>
      <w:r w:rsidR="001C6549" w:rsidRPr="005B0D41">
        <w:rPr>
          <w:rFonts w:ascii="Arial" w:hAnsi="Arial" w:cs="Arial"/>
          <w:sz w:val="20"/>
          <w:szCs w:val="20"/>
          <w:highlight w:val="yellow"/>
        </w:rPr>
        <w:t xml:space="preserve"> </w:t>
      </w:r>
      <w:r w:rsidRPr="005B0D41">
        <w:rPr>
          <w:rFonts w:ascii="Arial" w:hAnsi="Arial" w:cs="Arial"/>
          <w:sz w:val="20"/>
          <w:szCs w:val="20"/>
          <w:highlight w:val="yellow"/>
        </w:rPr>
        <w:t>Likewise, lifestyle changes, such as the restriction of dietary sodium intake, the DASH diet, moderate exercise, and stress management strategies, have been proven to make a valuable contribution to the reduction of blood pressure in non-pregnant women (Appel et al., 2006; Chobanian et al., 2003).</w:t>
      </w:r>
      <w:r w:rsidR="001C6549" w:rsidRPr="005B0D41">
        <w:rPr>
          <w:rFonts w:ascii="Arial" w:hAnsi="Arial" w:cs="Arial"/>
          <w:sz w:val="20"/>
          <w:szCs w:val="20"/>
          <w:highlight w:val="yellow"/>
        </w:rPr>
        <w:t xml:space="preserve"> </w:t>
      </w:r>
      <w:r w:rsidRPr="005B0D41">
        <w:rPr>
          <w:rFonts w:ascii="Arial" w:hAnsi="Arial" w:cs="Arial"/>
          <w:sz w:val="20"/>
          <w:szCs w:val="20"/>
          <w:highlight w:val="yellow"/>
        </w:rPr>
        <w:t>However, the use of these strategies and their effects in pregnant women with concomitant thyroid and hypertensive diseases have been inadequately investigated</w:t>
      </w:r>
      <w:r w:rsidRPr="00D253C9">
        <w:rPr>
          <w:rFonts w:ascii="Arial" w:hAnsi="Arial" w:cs="Arial"/>
          <w:sz w:val="20"/>
          <w:szCs w:val="20"/>
        </w:rPr>
        <w:t xml:space="preserve"> (Magee et al., 2014; </w:t>
      </w:r>
      <w:proofErr w:type="spellStart"/>
      <w:r w:rsidRPr="00D253C9">
        <w:rPr>
          <w:rFonts w:ascii="Arial" w:hAnsi="Arial" w:cs="Arial"/>
          <w:sz w:val="20"/>
          <w:szCs w:val="20"/>
        </w:rPr>
        <w:t>Steegers</w:t>
      </w:r>
      <w:proofErr w:type="spellEnd"/>
      <w:r w:rsidRPr="00D253C9">
        <w:rPr>
          <w:rFonts w:ascii="Arial" w:hAnsi="Arial" w:cs="Arial"/>
          <w:sz w:val="20"/>
          <w:szCs w:val="20"/>
        </w:rPr>
        <w:t xml:space="preserve"> et al., 2010).</w:t>
      </w:r>
    </w:p>
    <w:p w14:paraId="2354AF99"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1.3 Urine Protein as a Clinical Indicator of Pregnancy-Related Complications</w:t>
      </w:r>
    </w:p>
    <w:p w14:paraId="772EC11D" w14:textId="622E2090" w:rsidR="001C6549"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Proteinuria, or the presence of excess protein in the urine, is an important marker of renal injury and a hallmark of preeclampsia, which represents the most severe hypertensive complication of pregnancy (Brown et al., 20</w:t>
      </w:r>
      <w:r w:rsidR="00577A4E">
        <w:rPr>
          <w:rFonts w:ascii="Arial" w:hAnsi="Arial" w:cs="Arial"/>
          <w:sz w:val="20"/>
          <w:szCs w:val="20"/>
        </w:rPr>
        <w:t>21</w:t>
      </w:r>
      <w:r w:rsidRPr="00D253C9">
        <w:rPr>
          <w:rFonts w:ascii="Arial" w:hAnsi="Arial" w:cs="Arial"/>
          <w:sz w:val="20"/>
          <w:szCs w:val="20"/>
        </w:rPr>
        <w:t>; Bramham et al., 2014).</w:t>
      </w:r>
      <w:r w:rsidR="001C6549" w:rsidRPr="00D253C9">
        <w:rPr>
          <w:rFonts w:ascii="Arial" w:hAnsi="Arial" w:cs="Arial"/>
          <w:sz w:val="20"/>
          <w:szCs w:val="20"/>
        </w:rPr>
        <w:t xml:space="preserve"> </w:t>
      </w:r>
      <w:r w:rsidRPr="00D253C9">
        <w:rPr>
          <w:rFonts w:ascii="Arial" w:hAnsi="Arial" w:cs="Arial"/>
          <w:sz w:val="20"/>
          <w:szCs w:val="20"/>
        </w:rPr>
        <w:t>The appearance of proteinuria in pregnant women with hypertension indicates the transition from gestational hypertension to preeclampsia, requiring close surveillance and premature delivery (ACOG Committee on Practice Bulletins, 2020; Tranquilli et al., 2014).</w:t>
      </w:r>
      <w:r w:rsidR="001C6549" w:rsidRPr="00D253C9">
        <w:rPr>
          <w:rFonts w:ascii="Arial" w:hAnsi="Arial" w:cs="Arial"/>
          <w:sz w:val="20"/>
          <w:szCs w:val="20"/>
        </w:rPr>
        <w:t xml:space="preserve"> </w:t>
      </w:r>
      <w:r w:rsidRPr="00D253C9">
        <w:rPr>
          <w:rFonts w:ascii="Arial" w:hAnsi="Arial" w:cs="Arial"/>
          <w:sz w:val="20"/>
          <w:szCs w:val="20"/>
        </w:rPr>
        <w:t>The latest criteria for preeclampsia include new hypertension at or after 20 weeks of gestation with proteinuria (exceeding 300 mg protein in a 24-hour urine sample or protein and creatine ratio of 0.3 or higher) or, in the absence of proteinuria, evidence of end-organ damage in the mother (Hypertension in Pregnancy Task Force, 2013).</w:t>
      </w:r>
    </w:p>
    <w:p w14:paraId="0096501D" w14:textId="596852C4"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Aside from preeclampsia, proteinuria in pregnancy can be associated with underlying chronic renal disease, diabetic nephropathy, and glomerular diseases that are susceptible to hemodynamic changes during pregnancy (Piccoli et al., 2018; Zhang et al., 2016).</w:t>
      </w:r>
      <w:r w:rsidR="001C6549" w:rsidRPr="00D253C9">
        <w:rPr>
          <w:rFonts w:ascii="Arial" w:hAnsi="Arial" w:cs="Arial"/>
          <w:sz w:val="20"/>
          <w:szCs w:val="20"/>
        </w:rPr>
        <w:t xml:space="preserve"> </w:t>
      </w:r>
      <w:r w:rsidRPr="00D253C9">
        <w:rPr>
          <w:rFonts w:ascii="Arial" w:hAnsi="Arial" w:cs="Arial"/>
          <w:sz w:val="20"/>
          <w:szCs w:val="20"/>
        </w:rPr>
        <w:t xml:space="preserve">The risk of proteinuria predicts poor outcomes in the mother, including pulmonary </w:t>
      </w:r>
      <w:proofErr w:type="spellStart"/>
      <w:r w:rsidRPr="00D253C9">
        <w:rPr>
          <w:rFonts w:ascii="Arial" w:hAnsi="Arial" w:cs="Arial"/>
          <w:sz w:val="20"/>
          <w:szCs w:val="20"/>
        </w:rPr>
        <w:t>edema</w:t>
      </w:r>
      <w:proofErr w:type="spellEnd"/>
      <w:r w:rsidRPr="00D253C9">
        <w:rPr>
          <w:rFonts w:ascii="Arial" w:hAnsi="Arial" w:cs="Arial"/>
          <w:sz w:val="20"/>
          <w:szCs w:val="20"/>
        </w:rPr>
        <w:t xml:space="preserve">, renal failure, acute hepatopathy, and a higher rate of </w:t>
      </w:r>
      <w:proofErr w:type="spellStart"/>
      <w:r w:rsidRPr="00D253C9">
        <w:rPr>
          <w:rFonts w:ascii="Arial" w:hAnsi="Arial" w:cs="Arial"/>
          <w:sz w:val="20"/>
          <w:szCs w:val="20"/>
        </w:rPr>
        <w:t>cesarean</w:t>
      </w:r>
      <w:proofErr w:type="spellEnd"/>
      <w:r w:rsidRPr="00D253C9">
        <w:rPr>
          <w:rFonts w:ascii="Arial" w:hAnsi="Arial" w:cs="Arial"/>
          <w:sz w:val="20"/>
          <w:szCs w:val="20"/>
        </w:rPr>
        <w:t xml:space="preserve"> deliveries, while in the </w:t>
      </w:r>
      <w:proofErr w:type="spellStart"/>
      <w:r w:rsidRPr="00D253C9">
        <w:rPr>
          <w:rFonts w:ascii="Arial" w:hAnsi="Arial" w:cs="Arial"/>
          <w:sz w:val="20"/>
          <w:szCs w:val="20"/>
        </w:rPr>
        <w:t>fetus</w:t>
      </w:r>
      <w:proofErr w:type="spellEnd"/>
      <w:r w:rsidRPr="00D253C9">
        <w:rPr>
          <w:rFonts w:ascii="Arial" w:hAnsi="Arial" w:cs="Arial"/>
          <w:sz w:val="20"/>
          <w:szCs w:val="20"/>
        </w:rPr>
        <w:t xml:space="preserve">, these include intrauterine growth restriction, preterm birth, and perinatal death (von </w:t>
      </w:r>
      <w:proofErr w:type="spellStart"/>
      <w:r w:rsidRPr="00D253C9">
        <w:rPr>
          <w:rFonts w:ascii="Arial" w:hAnsi="Arial" w:cs="Arial"/>
          <w:sz w:val="20"/>
          <w:szCs w:val="20"/>
        </w:rPr>
        <w:t>Dadelszen</w:t>
      </w:r>
      <w:proofErr w:type="spellEnd"/>
      <w:r w:rsidRPr="00D253C9">
        <w:rPr>
          <w:rFonts w:ascii="Arial" w:hAnsi="Arial" w:cs="Arial"/>
          <w:sz w:val="20"/>
          <w:szCs w:val="20"/>
        </w:rPr>
        <w:t xml:space="preserve"> et al., 2011; </w:t>
      </w:r>
      <w:proofErr w:type="spellStart"/>
      <w:r w:rsidRPr="00D253C9">
        <w:rPr>
          <w:rFonts w:ascii="Arial" w:hAnsi="Arial" w:cs="Arial"/>
          <w:sz w:val="20"/>
          <w:szCs w:val="20"/>
        </w:rPr>
        <w:t>Thangaratinam</w:t>
      </w:r>
      <w:proofErr w:type="spellEnd"/>
      <w:r w:rsidRPr="00D253C9">
        <w:rPr>
          <w:rFonts w:ascii="Arial" w:hAnsi="Arial" w:cs="Arial"/>
          <w:sz w:val="20"/>
          <w:szCs w:val="20"/>
        </w:rPr>
        <w:t xml:space="preserve"> et al., 2012).</w:t>
      </w:r>
      <w:r w:rsidR="001C6549" w:rsidRPr="00D253C9">
        <w:rPr>
          <w:rFonts w:ascii="Arial" w:hAnsi="Arial" w:cs="Arial"/>
          <w:sz w:val="20"/>
          <w:szCs w:val="20"/>
        </w:rPr>
        <w:t xml:space="preserve"> </w:t>
      </w:r>
      <w:r w:rsidRPr="00D253C9">
        <w:rPr>
          <w:rFonts w:ascii="Arial" w:hAnsi="Arial" w:cs="Arial"/>
          <w:sz w:val="20"/>
          <w:szCs w:val="20"/>
        </w:rPr>
        <w:t>Recent findings have proposed thyroid disease as an independent risk factor for renal dysfunction and proteinuria, in part due to changes in glomerular filtration rates and renal blood flow and function (Iglesias &amp; Diez, 2009; Karanikas et al., 2008).</w:t>
      </w:r>
      <w:r w:rsidR="001C6549" w:rsidRPr="00D253C9">
        <w:rPr>
          <w:rFonts w:ascii="Arial" w:hAnsi="Arial" w:cs="Arial"/>
          <w:sz w:val="20"/>
          <w:szCs w:val="20"/>
        </w:rPr>
        <w:t xml:space="preserve"> </w:t>
      </w:r>
      <w:r w:rsidRPr="00D253C9">
        <w:rPr>
          <w:rFonts w:ascii="Arial" w:hAnsi="Arial" w:cs="Arial"/>
          <w:sz w:val="20"/>
          <w:szCs w:val="20"/>
        </w:rPr>
        <w:t>Therefore, the assessment of protein in the urine is an important part of routine pregnancy surveillance in cases at risk for providing early indicators of impending deterioration (</w:t>
      </w:r>
      <w:proofErr w:type="spellStart"/>
      <w:r w:rsidRPr="00D253C9">
        <w:rPr>
          <w:rFonts w:ascii="Arial" w:hAnsi="Arial" w:cs="Arial"/>
          <w:sz w:val="20"/>
          <w:szCs w:val="20"/>
        </w:rPr>
        <w:t>Duckitt</w:t>
      </w:r>
      <w:proofErr w:type="spellEnd"/>
      <w:r w:rsidRPr="00D253C9">
        <w:rPr>
          <w:rFonts w:ascii="Arial" w:hAnsi="Arial" w:cs="Arial"/>
          <w:sz w:val="20"/>
          <w:szCs w:val="20"/>
        </w:rPr>
        <w:t xml:space="preserve"> &amp; Harrington, 2005).</w:t>
      </w:r>
    </w:p>
    <w:p w14:paraId="3E6025F0" w14:textId="0B8ECE8B"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1.4 Need for Evidence-Based, Non-Pharmacological Interventions</w:t>
      </w:r>
    </w:p>
    <w:p w14:paraId="21443C6D" w14:textId="3D6794A4" w:rsidR="001C6549"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Although pharmacotherapy remains the mainstay in the management of thyroid diseases and hypertension during pregnancy, the safety of these therapies, the problem of multiple drug use, the sensitization of the unborn child to the drugs, and the long-term effects on the child’s development have led to growing interest in alternative non-pharmacological approaches to these issues (Bateman et al., 2015; Mitchell et al., 2011).</w:t>
      </w:r>
    </w:p>
    <w:p w14:paraId="344CD591" w14:textId="34943481" w:rsidR="001C6549"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 xml:space="preserve">The management of hormonal imbalances using levothyroxine in thyroid hormone replacement therapy, which has been adjudged relatively safe, has been shown to require careful titration of doses during pregnancy to avoid the risks of suboptimal therapy (Negro et al., 2010; </w:t>
      </w:r>
      <w:proofErr w:type="spellStart"/>
      <w:r w:rsidRPr="00D253C9">
        <w:rPr>
          <w:rFonts w:ascii="Arial" w:hAnsi="Arial" w:cs="Arial"/>
          <w:sz w:val="20"/>
          <w:szCs w:val="20"/>
        </w:rPr>
        <w:t>Abalovich</w:t>
      </w:r>
      <w:proofErr w:type="spellEnd"/>
      <w:r w:rsidRPr="00D253C9">
        <w:rPr>
          <w:rFonts w:ascii="Arial" w:hAnsi="Arial" w:cs="Arial"/>
          <w:sz w:val="20"/>
          <w:szCs w:val="20"/>
        </w:rPr>
        <w:t xml:space="preserve"> et al., 2007).</w:t>
      </w:r>
      <w:r w:rsidR="001C6549" w:rsidRPr="00D253C9">
        <w:rPr>
          <w:rFonts w:ascii="Arial" w:hAnsi="Arial" w:cs="Arial"/>
          <w:sz w:val="20"/>
          <w:szCs w:val="20"/>
        </w:rPr>
        <w:t xml:space="preserve"> </w:t>
      </w:r>
      <w:r w:rsidRPr="00D253C9">
        <w:rPr>
          <w:rFonts w:ascii="Arial" w:hAnsi="Arial" w:cs="Arial"/>
          <w:sz w:val="20"/>
          <w:szCs w:val="20"/>
        </w:rPr>
        <w:t xml:space="preserve">Similarly, the use of antihypertensives during pregnancy, such as methyldopa, labetalol, and nifedipine, has been associated with risks of therapy, including </w:t>
      </w:r>
      <w:proofErr w:type="spellStart"/>
      <w:r w:rsidRPr="00D253C9">
        <w:rPr>
          <w:rFonts w:ascii="Arial" w:hAnsi="Arial" w:cs="Arial"/>
          <w:sz w:val="20"/>
          <w:szCs w:val="20"/>
        </w:rPr>
        <w:t>fetal</w:t>
      </w:r>
      <w:proofErr w:type="spellEnd"/>
      <w:r w:rsidRPr="00D253C9">
        <w:rPr>
          <w:rFonts w:ascii="Arial" w:hAnsi="Arial" w:cs="Arial"/>
          <w:sz w:val="20"/>
          <w:szCs w:val="20"/>
        </w:rPr>
        <w:t xml:space="preserve"> growth restriction, infant hypotension, and bradycardia (Magee et al., 2015; </w:t>
      </w:r>
      <w:proofErr w:type="spellStart"/>
      <w:r w:rsidRPr="00D253C9">
        <w:rPr>
          <w:rFonts w:ascii="Arial" w:hAnsi="Arial" w:cs="Arial"/>
          <w:sz w:val="20"/>
          <w:szCs w:val="20"/>
        </w:rPr>
        <w:t>Podymow</w:t>
      </w:r>
      <w:proofErr w:type="spellEnd"/>
      <w:r w:rsidRPr="00D253C9">
        <w:rPr>
          <w:rFonts w:ascii="Arial" w:hAnsi="Arial" w:cs="Arial"/>
          <w:sz w:val="20"/>
          <w:szCs w:val="20"/>
        </w:rPr>
        <w:t>, 2008).</w:t>
      </w:r>
    </w:p>
    <w:p w14:paraId="7E906062" w14:textId="192DE8C8" w:rsidR="009E4830"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The paradigm of minimizing drug exposure during pregnancy, especially during organogenesis in the first trimester, reflects the need for the detection of effective lifestyle interventions that may lower the need for drugs or serve as an adjuvant antihypertensive effect (Daw et al., 2011).</w:t>
      </w:r>
      <w:r w:rsidR="009E4830" w:rsidRPr="00D253C9">
        <w:rPr>
          <w:rFonts w:ascii="Arial" w:hAnsi="Arial" w:cs="Arial"/>
          <w:sz w:val="20"/>
          <w:szCs w:val="20"/>
        </w:rPr>
        <w:t xml:space="preserve"> </w:t>
      </w:r>
      <w:r w:rsidRPr="00D253C9">
        <w:rPr>
          <w:rFonts w:ascii="Arial" w:hAnsi="Arial" w:cs="Arial"/>
          <w:sz w:val="20"/>
          <w:szCs w:val="20"/>
        </w:rPr>
        <w:t>Lifestyle changes are a desirable treatment modality as they simultaneously impact several pathophysiological processes, such as oxidative injury, inflammation, insulin resistance, and sympathetic stimulation, which are involved in both thyroid disorders and hypertension (Harrison et al., 2011; Straub, 2014).</w:t>
      </w:r>
      <w:r w:rsidR="009E4830" w:rsidRPr="00D253C9">
        <w:rPr>
          <w:rFonts w:ascii="Arial" w:hAnsi="Arial" w:cs="Arial"/>
          <w:sz w:val="20"/>
          <w:szCs w:val="20"/>
        </w:rPr>
        <w:t xml:space="preserve"> </w:t>
      </w:r>
      <w:r w:rsidRPr="00D253C9">
        <w:rPr>
          <w:rFonts w:ascii="Arial" w:hAnsi="Arial" w:cs="Arial"/>
          <w:sz w:val="20"/>
          <w:szCs w:val="20"/>
        </w:rPr>
        <w:t xml:space="preserve">Additionally, it places the burden of actively managing the condition on the patient, which may promote patient compliance, autonomy, and overall health </w:t>
      </w:r>
      <w:proofErr w:type="spellStart"/>
      <w:r w:rsidRPr="00D253C9">
        <w:rPr>
          <w:rFonts w:ascii="Arial" w:hAnsi="Arial" w:cs="Arial"/>
          <w:sz w:val="20"/>
          <w:szCs w:val="20"/>
        </w:rPr>
        <w:t>behaviors</w:t>
      </w:r>
      <w:proofErr w:type="spellEnd"/>
      <w:r w:rsidRPr="00D253C9">
        <w:rPr>
          <w:rFonts w:ascii="Arial" w:hAnsi="Arial" w:cs="Arial"/>
          <w:sz w:val="20"/>
          <w:szCs w:val="20"/>
        </w:rPr>
        <w:t xml:space="preserve"> beyond pregnancy management, even post-delivery (Phelan, 2010).</w:t>
      </w:r>
    </w:p>
    <w:p w14:paraId="7A7D58DC" w14:textId="2A6AC00D" w:rsidR="009E4830"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Notwithstanding the increasing appreciation of the potential benefits of lifestyle changes, the current literature related to pregnant women suffering from co-existing thyroid conditions and hypertension is still to be fully explored and understood (Hanson et al., 2017; Simmons et al., 2017).</w:t>
      </w:r>
      <w:r w:rsidR="009E4830" w:rsidRPr="00D253C9">
        <w:rPr>
          <w:rFonts w:ascii="Arial" w:hAnsi="Arial" w:cs="Arial"/>
          <w:sz w:val="20"/>
          <w:szCs w:val="20"/>
        </w:rPr>
        <w:t xml:space="preserve"> Present guidelines </w:t>
      </w:r>
      <w:r w:rsidR="009E4830" w:rsidRPr="00D253C9">
        <w:rPr>
          <w:rFonts w:ascii="Arial" w:hAnsi="Arial" w:cs="Arial"/>
          <w:sz w:val="20"/>
          <w:szCs w:val="20"/>
        </w:rPr>
        <w:lastRenderedPageBreak/>
        <w:t>for practicing healthcare for this at-risk population are still inconclusive regarding systematic lifestyle changes and provide very little evidence for related obstetric practices (American Thyroid Association Guidelines, 20</w:t>
      </w:r>
      <w:r w:rsidR="00577A4E">
        <w:rPr>
          <w:rFonts w:ascii="Arial" w:hAnsi="Arial" w:cs="Arial"/>
          <w:sz w:val="20"/>
          <w:szCs w:val="20"/>
        </w:rPr>
        <w:t>20</w:t>
      </w:r>
      <w:r w:rsidR="009E4830" w:rsidRPr="00D253C9">
        <w:rPr>
          <w:rFonts w:ascii="Arial" w:hAnsi="Arial" w:cs="Arial"/>
          <w:sz w:val="20"/>
          <w:szCs w:val="20"/>
        </w:rPr>
        <w:t>; NICE Guidelines, 2019).</w:t>
      </w:r>
    </w:p>
    <w:p w14:paraId="4BC38504" w14:textId="26B4A07B"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1.5 Rationale of the Study</w:t>
      </w:r>
    </w:p>
    <w:p w14:paraId="18269E4A" w14:textId="11FDCA23" w:rsidR="009E4830"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Given the prevalence of thyroid conditions and hypertension among pregnant women, the importance of urine protein as a predictive factor for pregnant women with comorbid conditions, and the requirement for a drug-free and effective approach to managing the conditions, this study was conceptualized to assess the influence of systematic lifestyle modification on urine protein and medication intake among pregnant women with comorbid thyroid conditions and hypertension.</w:t>
      </w:r>
      <w:r w:rsidR="009E4830" w:rsidRPr="00D253C9">
        <w:rPr>
          <w:rFonts w:ascii="Arial" w:hAnsi="Arial" w:cs="Arial"/>
          <w:sz w:val="20"/>
          <w:szCs w:val="20"/>
        </w:rPr>
        <w:t xml:space="preserve"> </w:t>
      </w:r>
      <w:r w:rsidRPr="00D253C9">
        <w:rPr>
          <w:rFonts w:ascii="Arial" w:hAnsi="Arial" w:cs="Arial"/>
          <w:sz w:val="20"/>
          <w:szCs w:val="20"/>
        </w:rPr>
        <w:t>The knowledge generated in this study can enable health professionals to make data-informed decisions regarding the overall management of pregnant women during antenatal care.</w:t>
      </w:r>
    </w:p>
    <w:p w14:paraId="1B335776" w14:textId="00334CE7" w:rsidR="009E4830"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The promotion and incorporation of lifestyle changes within traditional care guidelines may signify a paradigm shift in the management of pregnancy in a more holistic and patient-focused approach, especially among women at higher risk of pregnancy complications (Hanson et al., 2019).</w:t>
      </w:r>
      <w:r w:rsidR="009E4830" w:rsidRPr="00D253C9">
        <w:rPr>
          <w:rFonts w:ascii="Arial" w:hAnsi="Arial" w:cs="Arial"/>
          <w:sz w:val="20"/>
          <w:szCs w:val="20"/>
        </w:rPr>
        <w:t xml:space="preserve"> The appreciation of the scale of the benefits potentially accessible by making lifestyle changes may have profound resource allocation and policy impacts in the healthcare setting for maternal health (Dalton et al., 2008).</w:t>
      </w:r>
    </w:p>
    <w:p w14:paraId="30607704" w14:textId="2CFCF914" w:rsidR="00E02A13" w:rsidRDefault="00E37C7D" w:rsidP="00D253C9">
      <w:pPr>
        <w:spacing w:after="0" w:line="240" w:lineRule="auto"/>
        <w:jc w:val="both"/>
        <w:rPr>
          <w:rFonts w:ascii="Arial" w:hAnsi="Arial" w:cs="Arial"/>
          <w:sz w:val="20"/>
          <w:szCs w:val="20"/>
        </w:rPr>
      </w:pPr>
      <w:r w:rsidRPr="008C3120">
        <w:rPr>
          <w:rFonts w:ascii="Arial" w:hAnsi="Arial" w:cs="Arial"/>
          <w:sz w:val="20"/>
          <w:szCs w:val="20"/>
          <w:highlight w:val="green"/>
        </w:rPr>
        <w:t xml:space="preserve">This research is especially applicable to the scientific and clinical community as it offers empirical data in </w:t>
      </w:r>
      <w:proofErr w:type="spellStart"/>
      <w:r w:rsidRPr="008C3120">
        <w:rPr>
          <w:rFonts w:ascii="Arial" w:hAnsi="Arial" w:cs="Arial"/>
          <w:sz w:val="20"/>
          <w:szCs w:val="20"/>
          <w:highlight w:val="green"/>
        </w:rPr>
        <w:t>favor</w:t>
      </w:r>
      <w:proofErr w:type="spellEnd"/>
      <w:r w:rsidRPr="008C3120">
        <w:rPr>
          <w:rFonts w:ascii="Arial" w:hAnsi="Arial" w:cs="Arial"/>
          <w:sz w:val="20"/>
          <w:szCs w:val="20"/>
          <w:highlight w:val="green"/>
        </w:rPr>
        <w:t xml:space="preserve"> of the uniform lifestyle interventions as an adjunctive approach in managing pregnant women with comorbid thyroid disorders and hypertension. The study fulfils a significant gap in the high – risk antenatal care by showing an improvement in urinary protein status, which is measurable, and a decrease in </w:t>
      </w:r>
      <w:r w:rsidR="00DA7612" w:rsidRPr="008C3120">
        <w:rPr>
          <w:rFonts w:ascii="Arial" w:hAnsi="Arial" w:cs="Arial"/>
          <w:sz w:val="20"/>
          <w:szCs w:val="20"/>
          <w:highlight w:val="green"/>
        </w:rPr>
        <w:t xml:space="preserve">medication dependency. The outcomes will be used to enhance evidence – based maternal health practices and emphasize the capacity of multidisciplinary and non – pharmacological </w:t>
      </w:r>
      <w:r w:rsidR="00410327" w:rsidRPr="008C3120">
        <w:rPr>
          <w:rFonts w:ascii="Arial" w:hAnsi="Arial" w:cs="Arial"/>
          <w:sz w:val="20"/>
          <w:szCs w:val="20"/>
          <w:highlight w:val="green"/>
        </w:rPr>
        <w:t xml:space="preserve">strategies in enhancing maternal </w:t>
      </w:r>
      <w:proofErr w:type="spellStart"/>
      <w:r w:rsidR="00410327" w:rsidRPr="008C3120">
        <w:rPr>
          <w:rFonts w:ascii="Arial" w:hAnsi="Arial" w:cs="Arial"/>
          <w:sz w:val="20"/>
          <w:szCs w:val="20"/>
          <w:highlight w:val="green"/>
        </w:rPr>
        <w:t>fetal</w:t>
      </w:r>
      <w:proofErr w:type="spellEnd"/>
      <w:r w:rsidR="00410327" w:rsidRPr="008C3120">
        <w:rPr>
          <w:rFonts w:ascii="Arial" w:hAnsi="Arial" w:cs="Arial"/>
          <w:sz w:val="20"/>
          <w:szCs w:val="20"/>
          <w:highlight w:val="green"/>
        </w:rPr>
        <w:t xml:space="preserve"> outcomes. This evidence can be used in future clinical practices and population health policies regarding integrative pregnancy care.</w:t>
      </w:r>
      <w:r w:rsidR="00410327">
        <w:rPr>
          <w:rFonts w:ascii="Arial" w:hAnsi="Arial" w:cs="Arial"/>
          <w:sz w:val="20"/>
          <w:szCs w:val="20"/>
        </w:rPr>
        <w:t xml:space="preserve"> </w:t>
      </w:r>
    </w:p>
    <w:p w14:paraId="25CE06E2" w14:textId="77777777" w:rsidR="00410327" w:rsidRPr="00D253C9" w:rsidRDefault="00410327" w:rsidP="00D253C9">
      <w:pPr>
        <w:spacing w:after="0" w:line="240" w:lineRule="auto"/>
        <w:jc w:val="both"/>
        <w:rPr>
          <w:rFonts w:ascii="Arial" w:hAnsi="Arial" w:cs="Arial"/>
          <w:b/>
          <w:bCs/>
          <w:sz w:val="20"/>
          <w:szCs w:val="20"/>
        </w:rPr>
      </w:pPr>
    </w:p>
    <w:p w14:paraId="62FFB54A" w14:textId="22C309A7" w:rsidR="009B1048" w:rsidRPr="0063621C" w:rsidRDefault="009B1048" w:rsidP="00D253C9">
      <w:pPr>
        <w:spacing w:after="0" w:line="240" w:lineRule="auto"/>
        <w:jc w:val="both"/>
        <w:rPr>
          <w:rFonts w:ascii="Arial" w:hAnsi="Arial" w:cs="Arial"/>
          <w:b/>
          <w:bCs/>
          <w:sz w:val="24"/>
          <w:szCs w:val="24"/>
        </w:rPr>
      </w:pPr>
      <w:r w:rsidRPr="0063621C">
        <w:rPr>
          <w:rFonts w:ascii="Arial" w:hAnsi="Arial" w:cs="Arial"/>
          <w:b/>
          <w:bCs/>
          <w:sz w:val="24"/>
          <w:szCs w:val="24"/>
        </w:rPr>
        <w:t>2. Objective and Hypothesis</w:t>
      </w:r>
    </w:p>
    <w:p w14:paraId="06DAB087" w14:textId="3328B369" w:rsidR="009B1048" w:rsidRPr="00D253C9" w:rsidRDefault="007349CC" w:rsidP="00D253C9">
      <w:pPr>
        <w:spacing w:after="0" w:line="240" w:lineRule="auto"/>
        <w:jc w:val="both"/>
        <w:rPr>
          <w:rFonts w:ascii="Arial" w:hAnsi="Arial" w:cs="Arial"/>
          <w:sz w:val="20"/>
          <w:szCs w:val="20"/>
        </w:rPr>
      </w:pPr>
      <w:r w:rsidRPr="00D253C9">
        <w:rPr>
          <w:rFonts w:ascii="Arial" w:hAnsi="Arial" w:cs="Arial"/>
          <w:b/>
          <w:bCs/>
          <w:sz w:val="20"/>
          <w:szCs w:val="20"/>
        </w:rPr>
        <w:t>Objective:</w:t>
      </w:r>
      <w:r w:rsidRPr="00D253C9">
        <w:rPr>
          <w:rFonts w:ascii="Arial" w:hAnsi="Arial" w:cs="Arial"/>
          <w:sz w:val="20"/>
          <w:szCs w:val="20"/>
        </w:rPr>
        <w:t xml:space="preserve"> To study the effects of lifestyle modifications on urinary protein status and medication use among pregnant women with thyroid disorders and hypertension.</w:t>
      </w:r>
    </w:p>
    <w:p w14:paraId="7E600DE0" w14:textId="509DD8FC" w:rsidR="009B1048" w:rsidRPr="00D253C9" w:rsidRDefault="00E06A79" w:rsidP="00D253C9">
      <w:pPr>
        <w:spacing w:after="0" w:line="240" w:lineRule="auto"/>
        <w:jc w:val="both"/>
        <w:rPr>
          <w:rFonts w:ascii="Arial" w:hAnsi="Arial" w:cs="Arial"/>
          <w:sz w:val="20"/>
          <w:szCs w:val="20"/>
        </w:rPr>
      </w:pPr>
      <w:r w:rsidRPr="00D253C9">
        <w:rPr>
          <w:rFonts w:ascii="Arial" w:hAnsi="Arial" w:cs="Arial"/>
          <w:b/>
          <w:bCs/>
          <w:sz w:val="20"/>
          <w:szCs w:val="20"/>
        </w:rPr>
        <w:t>Hypothesis:</w:t>
      </w:r>
      <w:r w:rsidRPr="00D253C9">
        <w:rPr>
          <w:rFonts w:ascii="Arial" w:hAnsi="Arial" w:cs="Arial"/>
          <w:sz w:val="20"/>
          <w:szCs w:val="20"/>
        </w:rPr>
        <w:t xml:space="preserve"> Lifestyle modifications lead to significant improvements in urine protein status and a reduction in medication use among pregnant women with thyroid disorders and hypertension.</w:t>
      </w:r>
    </w:p>
    <w:p w14:paraId="1F54BA2B" w14:textId="77777777" w:rsidR="0063621C" w:rsidRPr="0063621C" w:rsidRDefault="0063621C" w:rsidP="00D253C9">
      <w:pPr>
        <w:spacing w:after="0" w:line="240" w:lineRule="auto"/>
        <w:jc w:val="both"/>
        <w:rPr>
          <w:rFonts w:ascii="Arial" w:hAnsi="Arial" w:cs="Arial"/>
          <w:b/>
          <w:bCs/>
          <w:sz w:val="24"/>
          <w:szCs w:val="24"/>
        </w:rPr>
      </w:pPr>
    </w:p>
    <w:p w14:paraId="460138F8" w14:textId="7D898232" w:rsidR="009B1048" w:rsidRPr="0063621C" w:rsidRDefault="009B1048" w:rsidP="00D253C9">
      <w:pPr>
        <w:spacing w:after="0" w:line="240" w:lineRule="auto"/>
        <w:jc w:val="both"/>
        <w:rPr>
          <w:rFonts w:ascii="Arial" w:hAnsi="Arial" w:cs="Arial"/>
          <w:b/>
          <w:bCs/>
          <w:sz w:val="24"/>
          <w:szCs w:val="24"/>
        </w:rPr>
      </w:pPr>
      <w:r w:rsidRPr="0063621C">
        <w:rPr>
          <w:rFonts w:ascii="Arial" w:hAnsi="Arial" w:cs="Arial"/>
          <w:b/>
          <w:bCs/>
          <w:sz w:val="24"/>
          <w:szCs w:val="24"/>
        </w:rPr>
        <w:t>3. Methodology</w:t>
      </w:r>
    </w:p>
    <w:p w14:paraId="0EB02AC6" w14:textId="2DF423C5" w:rsidR="009B1048" w:rsidRPr="00D253C9" w:rsidRDefault="007349CC" w:rsidP="00D253C9">
      <w:pPr>
        <w:spacing w:after="0" w:line="240" w:lineRule="auto"/>
        <w:jc w:val="both"/>
        <w:rPr>
          <w:rFonts w:ascii="Arial" w:hAnsi="Arial" w:cs="Arial"/>
          <w:b/>
          <w:bCs/>
          <w:sz w:val="20"/>
          <w:szCs w:val="20"/>
        </w:rPr>
      </w:pPr>
      <w:r w:rsidRPr="00D253C9">
        <w:rPr>
          <w:rFonts w:ascii="Arial" w:hAnsi="Arial" w:cs="Arial"/>
          <w:b/>
          <w:bCs/>
          <w:sz w:val="20"/>
          <w:szCs w:val="20"/>
        </w:rPr>
        <w:t>3.1 Study Design:</w:t>
      </w:r>
      <w:r w:rsidR="0063621C">
        <w:rPr>
          <w:rFonts w:ascii="Arial" w:hAnsi="Arial" w:cs="Arial"/>
          <w:b/>
          <w:bCs/>
          <w:sz w:val="20"/>
          <w:szCs w:val="20"/>
        </w:rPr>
        <w:t xml:space="preserve"> </w:t>
      </w:r>
      <w:r w:rsidRPr="00D253C9">
        <w:rPr>
          <w:rFonts w:ascii="Arial" w:hAnsi="Arial" w:cs="Arial"/>
          <w:sz w:val="20"/>
          <w:szCs w:val="20"/>
        </w:rPr>
        <w:t xml:space="preserve">This study employed a pre-post interventional design, a quasi-experimental approach that enables the evaluation of intervention effects by comparing outcome measures before and after implementation (Harris et al., 2006; </w:t>
      </w:r>
      <w:proofErr w:type="spellStart"/>
      <w:r w:rsidRPr="00D253C9">
        <w:rPr>
          <w:rFonts w:ascii="Arial" w:hAnsi="Arial" w:cs="Arial"/>
          <w:sz w:val="20"/>
          <w:szCs w:val="20"/>
        </w:rPr>
        <w:t>Thiese</w:t>
      </w:r>
      <w:proofErr w:type="spellEnd"/>
      <w:r w:rsidRPr="00D253C9">
        <w:rPr>
          <w:rFonts w:ascii="Arial" w:hAnsi="Arial" w:cs="Arial"/>
          <w:sz w:val="20"/>
          <w:szCs w:val="20"/>
        </w:rPr>
        <w:t>, 2014).</w:t>
      </w:r>
      <w:r w:rsidR="009B1048" w:rsidRPr="00D253C9">
        <w:rPr>
          <w:rFonts w:ascii="Arial" w:hAnsi="Arial" w:cs="Arial"/>
          <w:sz w:val="20"/>
          <w:szCs w:val="20"/>
        </w:rPr>
        <w:t xml:space="preserve"> </w:t>
      </w:r>
    </w:p>
    <w:p w14:paraId="14AB3AC5" w14:textId="3E2B1D99" w:rsidR="009B1048" w:rsidRPr="00D253C9" w:rsidRDefault="007349CC" w:rsidP="00D253C9">
      <w:pPr>
        <w:spacing w:after="0" w:line="240" w:lineRule="auto"/>
        <w:jc w:val="both"/>
        <w:rPr>
          <w:rFonts w:ascii="Arial" w:hAnsi="Arial" w:cs="Arial"/>
          <w:b/>
          <w:bCs/>
          <w:sz w:val="20"/>
          <w:szCs w:val="20"/>
        </w:rPr>
      </w:pPr>
      <w:r w:rsidRPr="00D253C9">
        <w:rPr>
          <w:rFonts w:ascii="Arial" w:hAnsi="Arial" w:cs="Arial"/>
          <w:b/>
          <w:bCs/>
          <w:sz w:val="20"/>
          <w:szCs w:val="20"/>
        </w:rPr>
        <w:t>3.2 Sample size: A</w:t>
      </w:r>
      <w:r w:rsidRPr="00D253C9">
        <w:rPr>
          <w:rFonts w:ascii="Arial" w:hAnsi="Arial" w:cs="Arial"/>
          <w:sz w:val="20"/>
          <w:szCs w:val="20"/>
        </w:rPr>
        <w:t xml:space="preserve"> total of 200 pregnant women who met the eligibility criteria were enrolled in the study.</w:t>
      </w:r>
      <w:r w:rsidR="009B1048" w:rsidRPr="00D253C9">
        <w:rPr>
          <w:rFonts w:ascii="Arial" w:hAnsi="Arial" w:cs="Arial"/>
          <w:sz w:val="20"/>
          <w:szCs w:val="20"/>
        </w:rPr>
        <w:t xml:space="preserve"> </w:t>
      </w:r>
      <w:r w:rsidRPr="00D253C9">
        <w:rPr>
          <w:rFonts w:ascii="Arial" w:hAnsi="Arial" w:cs="Arial"/>
          <w:sz w:val="20"/>
          <w:szCs w:val="20"/>
        </w:rPr>
        <w:t>The sample size calculation was based on previous studies that examined lifestyle interventions during pregnancy.</w:t>
      </w:r>
    </w:p>
    <w:p w14:paraId="320A102E" w14:textId="1BF21B6D" w:rsidR="009E4830" w:rsidRPr="00D253C9" w:rsidRDefault="007349CC" w:rsidP="00D253C9">
      <w:pPr>
        <w:spacing w:after="0" w:line="240" w:lineRule="auto"/>
        <w:jc w:val="both"/>
        <w:rPr>
          <w:rFonts w:ascii="Arial" w:hAnsi="Arial" w:cs="Arial"/>
          <w:sz w:val="20"/>
          <w:szCs w:val="20"/>
        </w:rPr>
      </w:pPr>
      <w:r w:rsidRPr="00D253C9">
        <w:rPr>
          <w:rFonts w:ascii="Arial" w:hAnsi="Arial" w:cs="Arial"/>
          <w:b/>
          <w:bCs/>
          <w:sz w:val="20"/>
          <w:szCs w:val="20"/>
        </w:rPr>
        <w:t>3.3 Intervention: Participants:</w:t>
      </w:r>
      <w:r w:rsidRPr="00D253C9">
        <w:rPr>
          <w:rFonts w:ascii="Arial" w:hAnsi="Arial" w:cs="Arial"/>
          <w:sz w:val="20"/>
          <w:szCs w:val="20"/>
        </w:rPr>
        <w:t xml:space="preserve"> After receiving a 12-week comprehensive lifestyle intervention program conducted by a multidisciplinary team of maternal-</w:t>
      </w:r>
      <w:proofErr w:type="spellStart"/>
      <w:r w:rsidRPr="00D253C9">
        <w:rPr>
          <w:rFonts w:ascii="Arial" w:hAnsi="Arial" w:cs="Arial"/>
          <w:sz w:val="20"/>
          <w:szCs w:val="20"/>
        </w:rPr>
        <w:t>fetal</w:t>
      </w:r>
      <w:proofErr w:type="spellEnd"/>
      <w:r w:rsidRPr="00D253C9">
        <w:rPr>
          <w:rFonts w:ascii="Arial" w:hAnsi="Arial" w:cs="Arial"/>
          <w:sz w:val="20"/>
          <w:szCs w:val="20"/>
        </w:rPr>
        <w:t xml:space="preserve"> medicine physicians, </w:t>
      </w:r>
      <w:r w:rsidRPr="005B0D41">
        <w:rPr>
          <w:rFonts w:ascii="Arial" w:hAnsi="Arial" w:cs="Arial"/>
          <w:sz w:val="20"/>
          <w:szCs w:val="20"/>
          <w:highlight w:val="yellow"/>
        </w:rPr>
        <w:t>registered dietitians, exercise physiologists, and psychologists.</w:t>
      </w:r>
      <w:r w:rsidR="009E4830" w:rsidRPr="005B0D41">
        <w:rPr>
          <w:rFonts w:ascii="Arial" w:hAnsi="Arial" w:cs="Arial"/>
          <w:sz w:val="20"/>
          <w:szCs w:val="20"/>
          <w:highlight w:val="yellow"/>
        </w:rPr>
        <w:t xml:space="preserve"> </w:t>
      </w:r>
      <w:r w:rsidRPr="005B0D41">
        <w:rPr>
          <w:rFonts w:ascii="Arial" w:hAnsi="Arial" w:cs="Arial"/>
          <w:sz w:val="20"/>
          <w:szCs w:val="20"/>
          <w:highlight w:val="yellow"/>
        </w:rPr>
        <w:t>The program included individualized diet management according to a pregnancy-compatible DASH diet plan, with a focus on increased intake of fruits, vegetables, whole grains, and low-fat dairy products; adequate protein intake; managed salt intake with controlled sodium restriction based on blood pressure and gestational age; and guided appropriate supplementation for thyroid health with a balance between adequate and avoiding excessive intake of goitrogenic substance</w:t>
      </w:r>
      <w:r w:rsidRPr="00D253C9">
        <w:rPr>
          <w:rFonts w:ascii="Arial" w:hAnsi="Arial" w:cs="Arial"/>
          <w:sz w:val="20"/>
          <w:szCs w:val="20"/>
        </w:rPr>
        <w:t>s.</w:t>
      </w:r>
      <w:r w:rsidR="009E4830" w:rsidRPr="00D253C9">
        <w:rPr>
          <w:rFonts w:ascii="Arial" w:hAnsi="Arial" w:cs="Arial"/>
          <w:sz w:val="20"/>
          <w:szCs w:val="20"/>
        </w:rPr>
        <w:t xml:space="preserve"> </w:t>
      </w:r>
      <w:r w:rsidRPr="00D253C9">
        <w:rPr>
          <w:rFonts w:ascii="Arial" w:hAnsi="Arial" w:cs="Arial"/>
          <w:sz w:val="20"/>
          <w:szCs w:val="20"/>
        </w:rPr>
        <w:t>Exercise was also individualized and customized to the participants' fitness level, involving moderate aerobic exercises on most days of the week with light weight-resistance exercises, prenatal yoga, and stretching, and daily monitoring of participants' activities with recommendations for daily step targets.</w:t>
      </w:r>
      <w:r w:rsidR="009E4830" w:rsidRPr="00D253C9">
        <w:rPr>
          <w:rFonts w:ascii="Arial" w:hAnsi="Arial" w:cs="Arial"/>
          <w:sz w:val="20"/>
          <w:szCs w:val="20"/>
        </w:rPr>
        <w:t xml:space="preserve"> </w:t>
      </w:r>
      <w:r w:rsidRPr="00D253C9">
        <w:rPr>
          <w:rFonts w:ascii="Arial" w:hAnsi="Arial" w:cs="Arial"/>
          <w:sz w:val="20"/>
          <w:szCs w:val="20"/>
        </w:rPr>
        <w:t>Stress was managed through weekly group therapy sessions conducted using cognitive-</w:t>
      </w:r>
      <w:proofErr w:type="spellStart"/>
      <w:r w:rsidRPr="00D253C9">
        <w:rPr>
          <w:rFonts w:ascii="Arial" w:hAnsi="Arial" w:cs="Arial"/>
          <w:sz w:val="20"/>
          <w:szCs w:val="20"/>
        </w:rPr>
        <w:t>behavioral</w:t>
      </w:r>
      <w:proofErr w:type="spellEnd"/>
      <w:r w:rsidRPr="00D253C9">
        <w:rPr>
          <w:rFonts w:ascii="Arial" w:hAnsi="Arial" w:cs="Arial"/>
          <w:sz w:val="20"/>
          <w:szCs w:val="20"/>
        </w:rPr>
        <w:t xml:space="preserve"> therapy tools, teaching and practicing mindfulness, relaxation strategies, breathing exercises, adequate sleep habits, and social skills training.</w:t>
      </w:r>
      <w:r w:rsidR="009E4830" w:rsidRPr="00D253C9">
        <w:rPr>
          <w:rFonts w:ascii="Arial" w:hAnsi="Arial" w:cs="Arial"/>
          <w:sz w:val="20"/>
          <w:szCs w:val="20"/>
        </w:rPr>
        <w:t xml:space="preserve"> </w:t>
      </w:r>
      <w:r w:rsidRPr="00D253C9">
        <w:rPr>
          <w:rFonts w:ascii="Arial" w:hAnsi="Arial" w:cs="Arial"/>
          <w:sz w:val="20"/>
          <w:szCs w:val="20"/>
        </w:rPr>
        <w:t>The attendees also participated in additional monthly health workshops focusing on thyroid and blood pressure during pregnancy and delivery.</w:t>
      </w:r>
      <w:r w:rsidR="009E4830" w:rsidRPr="00D253C9">
        <w:rPr>
          <w:rFonts w:ascii="Arial" w:hAnsi="Arial" w:cs="Arial"/>
          <w:sz w:val="20"/>
          <w:szCs w:val="20"/>
        </w:rPr>
        <w:t xml:space="preserve"> The intervention adherence was monitored and tracked daily using registration lists for workshop and therapy participation, daily diet and exercise journals, and periodic follow-through discussions</w:t>
      </w:r>
    </w:p>
    <w:p w14:paraId="32A1A771" w14:textId="267974D2"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3.</w:t>
      </w:r>
      <w:r w:rsidR="00D420B7" w:rsidRPr="00D253C9">
        <w:rPr>
          <w:rFonts w:ascii="Arial" w:hAnsi="Arial" w:cs="Arial"/>
          <w:b/>
          <w:bCs/>
          <w:sz w:val="20"/>
          <w:szCs w:val="20"/>
        </w:rPr>
        <w:t>4</w:t>
      </w:r>
      <w:r w:rsidRPr="00D253C9">
        <w:rPr>
          <w:rFonts w:ascii="Arial" w:hAnsi="Arial" w:cs="Arial"/>
          <w:b/>
          <w:bCs/>
          <w:sz w:val="20"/>
          <w:szCs w:val="20"/>
        </w:rPr>
        <w:t xml:space="preserve"> Tools and Measurements</w:t>
      </w:r>
    </w:p>
    <w:p w14:paraId="5911B7D7" w14:textId="33ADCAE7" w:rsidR="009E4830" w:rsidRPr="00D253C9" w:rsidRDefault="007349CC" w:rsidP="00D253C9">
      <w:pPr>
        <w:spacing w:after="0" w:line="240" w:lineRule="auto"/>
        <w:jc w:val="both"/>
        <w:rPr>
          <w:rFonts w:ascii="Arial" w:hAnsi="Arial" w:cs="Arial"/>
          <w:sz w:val="20"/>
          <w:szCs w:val="20"/>
        </w:rPr>
      </w:pPr>
      <w:r w:rsidRPr="00D253C9">
        <w:rPr>
          <w:rFonts w:ascii="Arial" w:hAnsi="Arial" w:cs="Arial"/>
          <w:b/>
          <w:bCs/>
          <w:sz w:val="20"/>
          <w:szCs w:val="20"/>
        </w:rPr>
        <w:t>Urine Protein Analysis:</w:t>
      </w:r>
      <w:r w:rsidRPr="00D253C9">
        <w:rPr>
          <w:rFonts w:ascii="Arial" w:hAnsi="Arial" w:cs="Arial"/>
          <w:sz w:val="20"/>
          <w:szCs w:val="20"/>
        </w:rPr>
        <w:t xml:space="preserve"> Baseline (pre-intervention) and post-intervention assessments of urine protein levels were performed using qualitative dipstick tests and quantitative 24-hour urine protein excretion.</w:t>
      </w:r>
      <w:r w:rsidR="009E4830" w:rsidRPr="00D253C9">
        <w:rPr>
          <w:rFonts w:ascii="Arial" w:hAnsi="Arial" w:cs="Arial"/>
          <w:sz w:val="20"/>
          <w:szCs w:val="20"/>
        </w:rPr>
        <w:t xml:space="preserve"> </w:t>
      </w:r>
      <w:r w:rsidRPr="00D253C9">
        <w:rPr>
          <w:rFonts w:ascii="Arial" w:hAnsi="Arial" w:cs="Arial"/>
          <w:sz w:val="20"/>
          <w:szCs w:val="20"/>
        </w:rPr>
        <w:t xml:space="preserve">These results were </w:t>
      </w:r>
      <w:proofErr w:type="spellStart"/>
      <w:r w:rsidRPr="00D253C9">
        <w:rPr>
          <w:rFonts w:ascii="Arial" w:hAnsi="Arial" w:cs="Arial"/>
          <w:sz w:val="20"/>
          <w:szCs w:val="20"/>
        </w:rPr>
        <w:t>analyzed</w:t>
      </w:r>
      <w:proofErr w:type="spellEnd"/>
      <w:r w:rsidRPr="00D253C9">
        <w:rPr>
          <w:rFonts w:ascii="Arial" w:hAnsi="Arial" w:cs="Arial"/>
          <w:sz w:val="20"/>
          <w:szCs w:val="20"/>
        </w:rPr>
        <w:t xml:space="preserve"> to determine binary outcomes for the study: positive for protein (≥1+ </w:t>
      </w:r>
      <w:r w:rsidRPr="00D253C9">
        <w:rPr>
          <w:rFonts w:ascii="Arial" w:hAnsi="Arial" w:cs="Arial"/>
          <w:sz w:val="20"/>
          <w:szCs w:val="20"/>
        </w:rPr>
        <w:lastRenderedPageBreak/>
        <w:t>dipstick or ≥300 mg/24-hour urine protein excretion) and negative for protein (&lt;1+ dipstick test or &lt;300 mg/24-hour urine protein excretion).</w:t>
      </w:r>
    </w:p>
    <w:p w14:paraId="297BD24E" w14:textId="4CE2395E" w:rsidR="009E4830" w:rsidRPr="00D253C9" w:rsidRDefault="007349CC" w:rsidP="00D253C9">
      <w:pPr>
        <w:spacing w:after="0" w:line="240" w:lineRule="auto"/>
        <w:jc w:val="both"/>
        <w:rPr>
          <w:rFonts w:ascii="Arial" w:hAnsi="Arial" w:cs="Arial"/>
          <w:b/>
          <w:bCs/>
          <w:sz w:val="20"/>
          <w:szCs w:val="20"/>
        </w:rPr>
      </w:pPr>
      <w:r w:rsidRPr="00D253C9">
        <w:rPr>
          <w:rFonts w:ascii="Arial" w:hAnsi="Arial" w:cs="Arial"/>
          <w:b/>
          <w:bCs/>
          <w:sz w:val="20"/>
          <w:szCs w:val="20"/>
        </w:rPr>
        <w:t>Medication</w:t>
      </w:r>
      <w:r w:rsidR="0063621C">
        <w:rPr>
          <w:rFonts w:ascii="Arial" w:hAnsi="Arial" w:cs="Arial"/>
          <w:b/>
          <w:bCs/>
          <w:sz w:val="20"/>
          <w:szCs w:val="20"/>
        </w:rPr>
        <w:t xml:space="preserve"> </w:t>
      </w:r>
      <w:r w:rsidRPr="00D253C9">
        <w:rPr>
          <w:rFonts w:ascii="Arial" w:hAnsi="Arial" w:cs="Arial"/>
          <w:b/>
          <w:bCs/>
          <w:sz w:val="20"/>
          <w:szCs w:val="20"/>
        </w:rPr>
        <w:t>Use Status:</w:t>
      </w:r>
      <w:r w:rsidR="0063621C">
        <w:rPr>
          <w:rFonts w:ascii="Arial" w:hAnsi="Arial" w:cs="Arial"/>
          <w:b/>
          <w:bCs/>
          <w:sz w:val="20"/>
          <w:szCs w:val="20"/>
        </w:rPr>
        <w:t xml:space="preserve"> </w:t>
      </w:r>
      <w:r w:rsidRPr="00D253C9">
        <w:rPr>
          <w:rFonts w:ascii="Arial" w:hAnsi="Arial" w:cs="Arial"/>
          <w:sz w:val="20"/>
          <w:szCs w:val="20"/>
        </w:rPr>
        <w:t>Use status of medications for thyroid conditions (levothyroxine, propylthiouracil, and methimazole) and hypertension (methyldopa, labetalol, nifedipine, and hydralazine) was measured using binary variables (yes/no) at baseline and after the intervention.</w:t>
      </w:r>
      <w:r w:rsidR="009E4830" w:rsidRPr="00D253C9">
        <w:rPr>
          <w:rFonts w:ascii="Arial" w:hAnsi="Arial" w:cs="Arial"/>
          <w:sz w:val="20"/>
          <w:szCs w:val="20"/>
        </w:rPr>
        <w:t xml:space="preserve"> The changes in medication dose were measured if recommended by the treating physician after reviewing clinical or lab</w:t>
      </w:r>
    </w:p>
    <w:p w14:paraId="52A71AAA"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3.6 Statistical Analysis</w:t>
      </w:r>
    </w:p>
    <w:p w14:paraId="53487EEC" w14:textId="3633518A" w:rsidR="009B1048" w:rsidRPr="00D253C9" w:rsidRDefault="009B1048" w:rsidP="00D253C9">
      <w:pPr>
        <w:spacing w:after="0" w:line="240" w:lineRule="auto"/>
        <w:jc w:val="both"/>
        <w:rPr>
          <w:rFonts w:ascii="Arial" w:hAnsi="Arial" w:cs="Arial"/>
          <w:sz w:val="20"/>
          <w:szCs w:val="20"/>
        </w:rPr>
      </w:pPr>
      <w:r w:rsidRPr="00D253C9">
        <w:rPr>
          <w:rFonts w:ascii="Arial" w:hAnsi="Arial" w:cs="Arial"/>
          <w:sz w:val="20"/>
          <w:szCs w:val="20"/>
        </w:rPr>
        <w:t xml:space="preserve">Data were </w:t>
      </w:r>
      <w:proofErr w:type="spellStart"/>
      <w:r w:rsidRPr="00D253C9">
        <w:rPr>
          <w:rFonts w:ascii="Arial" w:hAnsi="Arial" w:cs="Arial"/>
          <w:sz w:val="20"/>
          <w:szCs w:val="20"/>
        </w:rPr>
        <w:t>analyzed</w:t>
      </w:r>
      <w:proofErr w:type="spellEnd"/>
      <w:r w:rsidRPr="00D253C9">
        <w:rPr>
          <w:rFonts w:ascii="Arial" w:hAnsi="Arial" w:cs="Arial"/>
          <w:sz w:val="20"/>
          <w:szCs w:val="20"/>
        </w:rPr>
        <w:t xml:space="preserve"> using SPSS version 26.0. </w:t>
      </w:r>
      <w:r w:rsidR="007349CC" w:rsidRPr="00D253C9">
        <w:rPr>
          <w:rFonts w:ascii="Arial" w:hAnsi="Arial" w:cs="Arial"/>
          <w:sz w:val="20"/>
          <w:szCs w:val="20"/>
        </w:rPr>
        <w:t>Descriptive statistics included frequencies and percentages for categorical variables and means with standard deviation for continuous variables.</w:t>
      </w:r>
      <w:r w:rsidRPr="00D253C9">
        <w:rPr>
          <w:rFonts w:ascii="Arial" w:hAnsi="Arial" w:cs="Arial"/>
          <w:sz w:val="20"/>
          <w:szCs w:val="20"/>
        </w:rPr>
        <w:t xml:space="preserve"> </w:t>
      </w:r>
    </w:p>
    <w:p w14:paraId="78AEB32B" w14:textId="77777777" w:rsidR="0063621C" w:rsidRDefault="0063621C" w:rsidP="00D253C9">
      <w:pPr>
        <w:spacing w:after="0" w:line="240" w:lineRule="auto"/>
        <w:jc w:val="both"/>
        <w:rPr>
          <w:rFonts w:ascii="Arial" w:hAnsi="Arial" w:cs="Arial"/>
          <w:b/>
          <w:bCs/>
          <w:sz w:val="20"/>
          <w:szCs w:val="20"/>
        </w:rPr>
      </w:pPr>
    </w:p>
    <w:p w14:paraId="0F32451E" w14:textId="4432B88D" w:rsidR="009B1048" w:rsidRPr="0063621C" w:rsidRDefault="009B1048" w:rsidP="00D253C9">
      <w:pPr>
        <w:spacing w:after="0" w:line="240" w:lineRule="auto"/>
        <w:jc w:val="both"/>
        <w:rPr>
          <w:rFonts w:ascii="Arial" w:hAnsi="Arial" w:cs="Arial"/>
          <w:b/>
          <w:bCs/>
          <w:sz w:val="24"/>
          <w:szCs w:val="24"/>
        </w:rPr>
      </w:pPr>
      <w:r w:rsidRPr="0063621C">
        <w:rPr>
          <w:rFonts w:ascii="Arial" w:hAnsi="Arial" w:cs="Arial"/>
          <w:b/>
          <w:bCs/>
          <w:sz w:val="24"/>
          <w:szCs w:val="24"/>
        </w:rPr>
        <w:t>4. Results</w:t>
      </w:r>
      <w:r w:rsidR="00B743C3">
        <w:rPr>
          <w:rFonts w:ascii="Arial" w:hAnsi="Arial" w:cs="Arial"/>
          <w:b/>
          <w:bCs/>
          <w:sz w:val="24"/>
          <w:szCs w:val="24"/>
        </w:rPr>
        <w:t xml:space="preserve"> and Discussion</w:t>
      </w:r>
    </w:p>
    <w:p w14:paraId="169238E3"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4.1 Urine Protein Status</w:t>
      </w:r>
    </w:p>
    <w:p w14:paraId="029D1DA8" w14:textId="23F8D151"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Table.1 presents the distribution of urine protein status among participants before and after the lifestyle modification intervention.</w:t>
      </w:r>
      <w:r w:rsidR="009B1048" w:rsidRPr="00D253C9">
        <w:rPr>
          <w:rFonts w:ascii="Arial" w:hAnsi="Arial" w:cs="Arial"/>
          <w:sz w:val="20"/>
          <w:szCs w:val="20"/>
        </w:rPr>
        <w:t xml:space="preserve"> </w:t>
      </w:r>
      <w:r w:rsidRPr="00D253C9">
        <w:rPr>
          <w:rFonts w:ascii="Arial" w:hAnsi="Arial" w:cs="Arial"/>
          <w:sz w:val="20"/>
          <w:szCs w:val="20"/>
        </w:rPr>
        <w:t>At baseline (pre-test), 60 participants (30.0%) tested positive for proteinuria, and 140 participants (70.0%) tested negative.</w:t>
      </w:r>
      <w:r w:rsidR="009B1048" w:rsidRPr="00D253C9">
        <w:rPr>
          <w:rFonts w:ascii="Arial" w:hAnsi="Arial" w:cs="Arial"/>
          <w:sz w:val="20"/>
          <w:szCs w:val="20"/>
        </w:rPr>
        <w:t xml:space="preserve"> </w:t>
      </w:r>
      <w:r w:rsidRPr="00D253C9">
        <w:rPr>
          <w:rFonts w:ascii="Arial" w:hAnsi="Arial" w:cs="Arial"/>
          <w:sz w:val="20"/>
          <w:szCs w:val="20"/>
        </w:rPr>
        <w:t>Following the 12-week intervention, there was a substantial reduction in the proportion of participants with positive proteinuria, which decreased to 20 (10.0%), while those who tested negative increased to 180 (90.0%).</w:t>
      </w:r>
      <w:r w:rsidR="009B1048" w:rsidRPr="00D253C9">
        <w:rPr>
          <w:rFonts w:ascii="Arial" w:hAnsi="Arial" w:cs="Arial"/>
          <w:sz w:val="20"/>
          <w:szCs w:val="20"/>
        </w:rPr>
        <w:t xml:space="preserve"> </w:t>
      </w:r>
      <w:r w:rsidR="00E06A79" w:rsidRPr="00D253C9">
        <w:rPr>
          <w:rFonts w:ascii="Arial" w:hAnsi="Arial" w:cs="Arial"/>
          <w:sz w:val="20"/>
          <w:szCs w:val="20"/>
        </w:rPr>
        <w:t xml:space="preserve">This represents a two-thirds reduction in the prevalence of proteinuria in the study cohort (Magee et al., 2014; </w:t>
      </w:r>
      <w:proofErr w:type="spellStart"/>
      <w:r w:rsidR="00E06A79" w:rsidRPr="00D253C9">
        <w:rPr>
          <w:rFonts w:ascii="Arial" w:hAnsi="Arial" w:cs="Arial"/>
          <w:sz w:val="20"/>
          <w:szCs w:val="20"/>
        </w:rPr>
        <w:t>Thangaratinam</w:t>
      </w:r>
      <w:proofErr w:type="spellEnd"/>
      <w:r w:rsidR="00E06A79" w:rsidRPr="00D253C9">
        <w:rPr>
          <w:rFonts w:ascii="Arial" w:hAnsi="Arial" w:cs="Arial"/>
          <w:sz w:val="20"/>
          <w:szCs w:val="20"/>
        </w:rPr>
        <w:t xml:space="preserve"> et al., 2012).</w:t>
      </w:r>
    </w:p>
    <w:p w14:paraId="60876A8E" w14:textId="12FFD1B6"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Table.1: Urine Protein Status (Pre &amp; Post)</w:t>
      </w:r>
    </w:p>
    <w:tbl>
      <w:tblPr>
        <w:tblStyle w:val="TableGrid"/>
        <w:tblW w:w="5000" w:type="pct"/>
        <w:tblLook w:val="04A0" w:firstRow="1" w:lastRow="0" w:firstColumn="1" w:lastColumn="0" w:noHBand="0" w:noVBand="1"/>
      </w:tblPr>
      <w:tblGrid>
        <w:gridCol w:w="2525"/>
        <w:gridCol w:w="1490"/>
        <w:gridCol w:w="1664"/>
        <w:gridCol w:w="1581"/>
        <w:gridCol w:w="1756"/>
      </w:tblGrid>
      <w:tr w:rsidR="009B1048" w:rsidRPr="00D253C9" w14:paraId="3E07D131" w14:textId="77777777" w:rsidTr="00D36054">
        <w:tc>
          <w:tcPr>
            <w:tcW w:w="1400" w:type="pct"/>
            <w:hideMark/>
          </w:tcPr>
          <w:p w14:paraId="3065BBA9"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Urine Protein Status</w:t>
            </w:r>
          </w:p>
        </w:tc>
        <w:tc>
          <w:tcPr>
            <w:tcW w:w="826" w:type="pct"/>
            <w:hideMark/>
          </w:tcPr>
          <w:p w14:paraId="49DD20CE"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Pre-Test (f)</w:t>
            </w:r>
          </w:p>
        </w:tc>
        <w:tc>
          <w:tcPr>
            <w:tcW w:w="923" w:type="pct"/>
            <w:hideMark/>
          </w:tcPr>
          <w:p w14:paraId="43405394"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Pre-Test (%)</w:t>
            </w:r>
          </w:p>
        </w:tc>
        <w:tc>
          <w:tcPr>
            <w:tcW w:w="877" w:type="pct"/>
            <w:hideMark/>
          </w:tcPr>
          <w:p w14:paraId="15D33F51"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Post-Test (f)</w:t>
            </w:r>
          </w:p>
        </w:tc>
        <w:tc>
          <w:tcPr>
            <w:tcW w:w="974" w:type="pct"/>
            <w:hideMark/>
          </w:tcPr>
          <w:p w14:paraId="6430C524"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Post-Test (%)</w:t>
            </w:r>
          </w:p>
        </w:tc>
      </w:tr>
      <w:tr w:rsidR="009B1048" w:rsidRPr="00D253C9" w14:paraId="08FD08D3" w14:textId="77777777" w:rsidTr="00D36054">
        <w:tc>
          <w:tcPr>
            <w:tcW w:w="1400" w:type="pct"/>
            <w:hideMark/>
          </w:tcPr>
          <w:p w14:paraId="4CF119D8"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Positive (+)</w:t>
            </w:r>
          </w:p>
        </w:tc>
        <w:tc>
          <w:tcPr>
            <w:tcW w:w="826" w:type="pct"/>
            <w:hideMark/>
          </w:tcPr>
          <w:p w14:paraId="58795387"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60</w:t>
            </w:r>
          </w:p>
        </w:tc>
        <w:tc>
          <w:tcPr>
            <w:tcW w:w="923" w:type="pct"/>
            <w:hideMark/>
          </w:tcPr>
          <w:p w14:paraId="418636A3"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30.0%</w:t>
            </w:r>
          </w:p>
        </w:tc>
        <w:tc>
          <w:tcPr>
            <w:tcW w:w="877" w:type="pct"/>
            <w:hideMark/>
          </w:tcPr>
          <w:p w14:paraId="54EAE7D3"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20</w:t>
            </w:r>
          </w:p>
        </w:tc>
        <w:tc>
          <w:tcPr>
            <w:tcW w:w="974" w:type="pct"/>
            <w:hideMark/>
          </w:tcPr>
          <w:p w14:paraId="52CC76F9"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10.0%</w:t>
            </w:r>
          </w:p>
        </w:tc>
      </w:tr>
      <w:tr w:rsidR="009B1048" w:rsidRPr="00D253C9" w14:paraId="6053D8BF" w14:textId="77777777" w:rsidTr="00D36054">
        <w:tc>
          <w:tcPr>
            <w:tcW w:w="1400" w:type="pct"/>
            <w:hideMark/>
          </w:tcPr>
          <w:p w14:paraId="6E483C60"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Negative (–)</w:t>
            </w:r>
          </w:p>
        </w:tc>
        <w:tc>
          <w:tcPr>
            <w:tcW w:w="826" w:type="pct"/>
            <w:hideMark/>
          </w:tcPr>
          <w:p w14:paraId="644111C7"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140</w:t>
            </w:r>
          </w:p>
        </w:tc>
        <w:tc>
          <w:tcPr>
            <w:tcW w:w="923" w:type="pct"/>
            <w:hideMark/>
          </w:tcPr>
          <w:p w14:paraId="2F53F681"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70.0%</w:t>
            </w:r>
          </w:p>
        </w:tc>
        <w:tc>
          <w:tcPr>
            <w:tcW w:w="877" w:type="pct"/>
            <w:hideMark/>
          </w:tcPr>
          <w:p w14:paraId="43248C54"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180</w:t>
            </w:r>
          </w:p>
        </w:tc>
        <w:tc>
          <w:tcPr>
            <w:tcW w:w="974" w:type="pct"/>
            <w:hideMark/>
          </w:tcPr>
          <w:p w14:paraId="6C2847B5"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90.0%</w:t>
            </w:r>
          </w:p>
        </w:tc>
      </w:tr>
    </w:tbl>
    <w:p w14:paraId="10605956" w14:textId="2A73F749"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4.2 McNemar's Test Results for Binary Clinical Parameters</w:t>
      </w:r>
    </w:p>
    <w:p w14:paraId="5B4FFE73" w14:textId="66BA48E0"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Table 2 presents the results of McNemar's test analysis for both urine protein status and medication use, providing statistical evidence of the significance of the observed changes after the intervention.</w:t>
      </w:r>
    </w:p>
    <w:p w14:paraId="26E16330" w14:textId="41DC9FEF"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Table 2: McNemar's Test Results (Binary Clinical Parameters)</w:t>
      </w:r>
    </w:p>
    <w:tbl>
      <w:tblPr>
        <w:tblStyle w:val="TableGrid"/>
        <w:tblW w:w="0" w:type="auto"/>
        <w:tblLook w:val="04A0" w:firstRow="1" w:lastRow="0" w:firstColumn="1" w:lastColumn="0" w:noHBand="0" w:noVBand="1"/>
      </w:tblPr>
      <w:tblGrid>
        <w:gridCol w:w="1642"/>
        <w:gridCol w:w="3499"/>
        <w:gridCol w:w="1001"/>
        <w:gridCol w:w="1229"/>
        <w:gridCol w:w="1645"/>
      </w:tblGrid>
      <w:tr w:rsidR="009B1048" w:rsidRPr="00D253C9" w14:paraId="757D969C" w14:textId="77777777" w:rsidTr="00D36054">
        <w:tc>
          <w:tcPr>
            <w:tcW w:w="0" w:type="auto"/>
            <w:hideMark/>
          </w:tcPr>
          <w:p w14:paraId="4AF922DA"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Variable</w:t>
            </w:r>
          </w:p>
        </w:tc>
        <w:tc>
          <w:tcPr>
            <w:tcW w:w="0" w:type="auto"/>
            <w:hideMark/>
          </w:tcPr>
          <w:p w14:paraId="52BAE46E"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Pre → Post Categories</w:t>
            </w:r>
          </w:p>
        </w:tc>
        <w:tc>
          <w:tcPr>
            <w:tcW w:w="0" w:type="auto"/>
            <w:hideMark/>
          </w:tcPr>
          <w:p w14:paraId="66DA24A1"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Chi²</w:t>
            </w:r>
          </w:p>
        </w:tc>
        <w:tc>
          <w:tcPr>
            <w:tcW w:w="0" w:type="auto"/>
            <w:hideMark/>
          </w:tcPr>
          <w:p w14:paraId="59BC1811"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p-value</w:t>
            </w:r>
          </w:p>
        </w:tc>
        <w:tc>
          <w:tcPr>
            <w:tcW w:w="0" w:type="auto"/>
            <w:hideMark/>
          </w:tcPr>
          <w:p w14:paraId="1FF42D61"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Significant?</w:t>
            </w:r>
          </w:p>
        </w:tc>
      </w:tr>
      <w:tr w:rsidR="009B1048" w:rsidRPr="00D253C9" w14:paraId="205557FD" w14:textId="77777777" w:rsidTr="00D36054">
        <w:tc>
          <w:tcPr>
            <w:tcW w:w="0" w:type="auto"/>
            <w:hideMark/>
          </w:tcPr>
          <w:p w14:paraId="6E07DD99"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Urine Protein</w:t>
            </w:r>
          </w:p>
        </w:tc>
        <w:tc>
          <w:tcPr>
            <w:tcW w:w="0" w:type="auto"/>
            <w:hideMark/>
          </w:tcPr>
          <w:p w14:paraId="3ECD2B65"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 → +, + → –, – → +, – → –] = [18, 42, 2, 138]</w:t>
            </w:r>
          </w:p>
        </w:tc>
        <w:tc>
          <w:tcPr>
            <w:tcW w:w="0" w:type="auto"/>
            <w:hideMark/>
          </w:tcPr>
          <w:p w14:paraId="6006A26C"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35.28</w:t>
            </w:r>
          </w:p>
        </w:tc>
        <w:tc>
          <w:tcPr>
            <w:tcW w:w="0" w:type="auto"/>
            <w:hideMark/>
          </w:tcPr>
          <w:p w14:paraId="7991F62D"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&lt;0.0001</w:t>
            </w:r>
          </w:p>
        </w:tc>
        <w:tc>
          <w:tcPr>
            <w:tcW w:w="0" w:type="auto"/>
            <w:hideMark/>
          </w:tcPr>
          <w:p w14:paraId="6F9E2098"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Yes</w:t>
            </w:r>
          </w:p>
        </w:tc>
      </w:tr>
      <w:tr w:rsidR="009B1048" w:rsidRPr="00D253C9" w14:paraId="410184E2" w14:textId="77777777" w:rsidTr="00D36054">
        <w:tc>
          <w:tcPr>
            <w:tcW w:w="0" w:type="auto"/>
            <w:hideMark/>
          </w:tcPr>
          <w:p w14:paraId="051D46A0"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Medication Use</w:t>
            </w:r>
          </w:p>
        </w:tc>
        <w:tc>
          <w:tcPr>
            <w:tcW w:w="0" w:type="auto"/>
            <w:hideMark/>
          </w:tcPr>
          <w:p w14:paraId="4F2B2710"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[Yes → Yes, Yes → No, No → Yes, No → No] = [60, 20, 10, 110]</w:t>
            </w:r>
          </w:p>
        </w:tc>
        <w:tc>
          <w:tcPr>
            <w:tcW w:w="0" w:type="auto"/>
            <w:hideMark/>
          </w:tcPr>
          <w:p w14:paraId="458680D5"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6.67</w:t>
            </w:r>
          </w:p>
        </w:tc>
        <w:tc>
          <w:tcPr>
            <w:tcW w:w="0" w:type="auto"/>
            <w:hideMark/>
          </w:tcPr>
          <w:p w14:paraId="5409340F"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0.0098</w:t>
            </w:r>
          </w:p>
        </w:tc>
        <w:tc>
          <w:tcPr>
            <w:tcW w:w="0" w:type="auto"/>
            <w:hideMark/>
          </w:tcPr>
          <w:p w14:paraId="001F04A3"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Yes</w:t>
            </w:r>
          </w:p>
        </w:tc>
      </w:tr>
    </w:tbl>
    <w:p w14:paraId="40F83580" w14:textId="77777777" w:rsidR="009B1048" w:rsidRPr="00D253C9" w:rsidRDefault="009B1048" w:rsidP="00D253C9">
      <w:pPr>
        <w:spacing w:after="0" w:line="240" w:lineRule="auto"/>
        <w:jc w:val="both"/>
        <w:rPr>
          <w:rFonts w:ascii="Arial" w:hAnsi="Arial" w:cs="Arial"/>
          <w:sz w:val="20"/>
          <w:szCs w:val="20"/>
        </w:rPr>
      </w:pPr>
    </w:p>
    <w:p w14:paraId="54F061B3" w14:textId="108A55A5" w:rsidR="00E06A79" w:rsidRPr="00D253C9" w:rsidRDefault="00D420B7" w:rsidP="00D253C9">
      <w:pPr>
        <w:spacing w:after="0" w:line="240" w:lineRule="auto"/>
        <w:jc w:val="both"/>
        <w:rPr>
          <w:rFonts w:ascii="Arial" w:hAnsi="Arial" w:cs="Arial"/>
          <w:sz w:val="20"/>
          <w:szCs w:val="20"/>
        </w:rPr>
      </w:pPr>
      <w:r w:rsidRPr="00D253C9">
        <w:rPr>
          <w:rFonts w:ascii="Arial" w:hAnsi="Arial" w:cs="Arial"/>
          <w:sz w:val="20"/>
          <w:szCs w:val="20"/>
        </w:rPr>
        <w:t xml:space="preserve">McNemar’s test showed a highly significant improvement in urine protein status (χ² = 35.28, p &lt; 0.0001). </w:t>
      </w:r>
      <w:r w:rsidR="007349CC" w:rsidRPr="00D253C9">
        <w:rPr>
          <w:rFonts w:ascii="Arial" w:hAnsi="Arial" w:cs="Arial"/>
          <w:sz w:val="20"/>
          <w:szCs w:val="20"/>
        </w:rPr>
        <w:t>Of the participants, 18 remained proteinuria-positive throughout the study, 42 shifted from positive to negative, indicating resolution of proteinuria, 2 developed new-onset proteinuria, and 138 remained negative in both assessments.</w:t>
      </w:r>
      <w:r w:rsidRPr="00D253C9">
        <w:rPr>
          <w:rFonts w:ascii="Arial" w:hAnsi="Arial" w:cs="Arial"/>
          <w:sz w:val="20"/>
          <w:szCs w:val="20"/>
        </w:rPr>
        <w:t xml:space="preserve"> </w:t>
      </w:r>
      <w:r w:rsidR="007349CC" w:rsidRPr="00D253C9">
        <w:rPr>
          <w:rFonts w:ascii="Arial" w:hAnsi="Arial" w:cs="Arial"/>
          <w:sz w:val="20"/>
          <w:szCs w:val="20"/>
        </w:rPr>
        <w:t>The marked imbalance in discordant pairs (42 improvements vs. 2 deteriorations) clearly demonstrates that the intervention was associated with substantial resolution of proteinuria, reflecting improved renal function and maternal vascular stability, which is clinically important, given the association between proteinuria and adverse pregnancy outcomes.</w:t>
      </w:r>
      <w:r w:rsidR="00E06A79" w:rsidRPr="00D253C9">
        <w:rPr>
          <w:rFonts w:ascii="Arial" w:hAnsi="Arial" w:cs="Arial"/>
          <w:sz w:val="20"/>
          <w:szCs w:val="20"/>
        </w:rPr>
        <w:t xml:space="preserve"> </w:t>
      </w:r>
      <w:r w:rsidR="007349CC" w:rsidRPr="00D253C9">
        <w:rPr>
          <w:rFonts w:ascii="Arial" w:hAnsi="Arial" w:cs="Arial"/>
          <w:sz w:val="20"/>
          <w:szCs w:val="20"/>
        </w:rPr>
        <w:t>Medication use also differed significantly (χ² = 6.67, p = 0.0098) between the two groups.</w:t>
      </w:r>
      <w:r w:rsidR="00E06A79" w:rsidRPr="00D253C9">
        <w:rPr>
          <w:rFonts w:ascii="Arial" w:hAnsi="Arial" w:cs="Arial"/>
          <w:sz w:val="20"/>
          <w:szCs w:val="20"/>
        </w:rPr>
        <w:t xml:space="preserve"> </w:t>
      </w:r>
      <w:r w:rsidR="007349CC" w:rsidRPr="00D253C9">
        <w:rPr>
          <w:rFonts w:ascii="Arial" w:hAnsi="Arial" w:cs="Arial"/>
          <w:sz w:val="20"/>
          <w:szCs w:val="20"/>
        </w:rPr>
        <w:t>Sixty participants required medication both before and after the intervention, 20 were able to discontinue medication post-intervention, 10 initiated new medications, and 110 did not require medication at any time.</w:t>
      </w:r>
      <w:r w:rsidR="00E06A79" w:rsidRPr="00D253C9">
        <w:rPr>
          <w:rFonts w:ascii="Arial" w:hAnsi="Arial" w:cs="Arial"/>
          <w:sz w:val="20"/>
          <w:szCs w:val="20"/>
        </w:rPr>
        <w:t xml:space="preserve"> </w:t>
      </w:r>
      <w:r w:rsidR="007349CC" w:rsidRPr="00D253C9">
        <w:rPr>
          <w:rFonts w:ascii="Arial" w:hAnsi="Arial" w:cs="Arial"/>
          <w:sz w:val="20"/>
          <w:szCs w:val="20"/>
        </w:rPr>
        <w:t xml:space="preserve">Although the effect size was smaller than that observed for urine protein status, the net reduction in medication use (20 discontinuations versus 10 initiations) remained clinically meaningful, as reduced pharmacological exposure during pregnancy may lower </w:t>
      </w:r>
      <w:proofErr w:type="spellStart"/>
      <w:r w:rsidR="007349CC" w:rsidRPr="00D253C9">
        <w:rPr>
          <w:rFonts w:ascii="Arial" w:hAnsi="Arial" w:cs="Arial"/>
          <w:sz w:val="20"/>
          <w:szCs w:val="20"/>
        </w:rPr>
        <w:t>fetal</w:t>
      </w:r>
      <w:proofErr w:type="spellEnd"/>
      <w:r w:rsidR="007349CC" w:rsidRPr="00D253C9">
        <w:rPr>
          <w:rFonts w:ascii="Arial" w:hAnsi="Arial" w:cs="Arial"/>
          <w:sz w:val="20"/>
          <w:szCs w:val="20"/>
        </w:rPr>
        <w:t xml:space="preserve"> risk, minimize drug-related adverse effects and improve maternal quality of life.</w:t>
      </w:r>
    </w:p>
    <w:p w14:paraId="1A41ABF8"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4.3 Medication Use Among Participants</w:t>
      </w:r>
    </w:p>
    <w:p w14:paraId="646F0B7A" w14:textId="7E39F821"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Table 3 shows the changes in medication requirements for thyroid disorders and hypertension before and after the lifestyle intervention.</w:t>
      </w:r>
      <w:r w:rsidR="009B1048" w:rsidRPr="00D253C9">
        <w:rPr>
          <w:rFonts w:ascii="Arial" w:hAnsi="Arial" w:cs="Arial"/>
          <w:sz w:val="20"/>
          <w:szCs w:val="20"/>
        </w:rPr>
        <w:t xml:space="preserve"> </w:t>
      </w:r>
      <w:r w:rsidRPr="00D253C9">
        <w:rPr>
          <w:rFonts w:ascii="Arial" w:hAnsi="Arial" w:cs="Arial"/>
          <w:sz w:val="20"/>
          <w:szCs w:val="20"/>
        </w:rPr>
        <w:t>At baseline, 80 participants (40.0%) were receiving thyroid medications (levothyroxine, anti-thyroid drugs) or antihypertensive agents (methyldopa, labetalol, nifedipine), while 120 participants (60.0%) were not on any such medications, managing their conditions through monitoring or having mild disease that did not yet require pharmacotherapy (</w:t>
      </w:r>
      <w:proofErr w:type="spellStart"/>
      <w:r w:rsidRPr="00D253C9">
        <w:rPr>
          <w:rFonts w:ascii="Arial" w:hAnsi="Arial" w:cs="Arial"/>
          <w:sz w:val="20"/>
          <w:szCs w:val="20"/>
        </w:rPr>
        <w:t>Abalovich</w:t>
      </w:r>
      <w:proofErr w:type="spellEnd"/>
      <w:r w:rsidRPr="00D253C9">
        <w:rPr>
          <w:rFonts w:ascii="Arial" w:hAnsi="Arial" w:cs="Arial"/>
          <w:sz w:val="20"/>
          <w:szCs w:val="20"/>
        </w:rPr>
        <w:t xml:space="preserve"> et al., 2010; </w:t>
      </w:r>
      <w:proofErr w:type="spellStart"/>
      <w:r w:rsidRPr="00D253C9">
        <w:rPr>
          <w:rFonts w:ascii="Arial" w:hAnsi="Arial" w:cs="Arial"/>
          <w:sz w:val="20"/>
          <w:szCs w:val="20"/>
        </w:rPr>
        <w:t>Abalovich</w:t>
      </w:r>
      <w:proofErr w:type="spellEnd"/>
      <w:r w:rsidRPr="00D253C9">
        <w:rPr>
          <w:rFonts w:ascii="Arial" w:hAnsi="Arial" w:cs="Arial"/>
          <w:sz w:val="20"/>
          <w:szCs w:val="20"/>
        </w:rPr>
        <w:t xml:space="preserve"> et al., 2007).</w:t>
      </w:r>
    </w:p>
    <w:p w14:paraId="7F90B5F6" w14:textId="77777777" w:rsidR="008D71F9" w:rsidRPr="00D253C9" w:rsidRDefault="008D71F9" w:rsidP="00D253C9">
      <w:pPr>
        <w:spacing w:after="0" w:line="240" w:lineRule="auto"/>
        <w:jc w:val="both"/>
        <w:rPr>
          <w:rFonts w:ascii="Arial" w:hAnsi="Arial" w:cs="Arial"/>
          <w:b/>
          <w:bCs/>
          <w:sz w:val="20"/>
          <w:szCs w:val="20"/>
        </w:rPr>
      </w:pPr>
    </w:p>
    <w:p w14:paraId="131844FA" w14:textId="78B7B644"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Table.3: On Thyroid/BP Medication (Pre &amp; Post)</w:t>
      </w:r>
    </w:p>
    <w:tbl>
      <w:tblPr>
        <w:tblStyle w:val="TableGrid"/>
        <w:tblW w:w="5000" w:type="pct"/>
        <w:tblLook w:val="04A0" w:firstRow="1" w:lastRow="0" w:firstColumn="1" w:lastColumn="0" w:noHBand="0" w:noVBand="1"/>
      </w:tblPr>
      <w:tblGrid>
        <w:gridCol w:w="1456"/>
        <w:gridCol w:w="1714"/>
        <w:gridCol w:w="1944"/>
        <w:gridCol w:w="1836"/>
        <w:gridCol w:w="2066"/>
      </w:tblGrid>
      <w:tr w:rsidR="009B1048" w:rsidRPr="00D253C9" w14:paraId="33545943" w14:textId="77777777" w:rsidTr="00D36054">
        <w:tc>
          <w:tcPr>
            <w:tcW w:w="779" w:type="pct"/>
            <w:hideMark/>
          </w:tcPr>
          <w:p w14:paraId="7EED7EFD"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Response</w:t>
            </w:r>
          </w:p>
        </w:tc>
        <w:tc>
          <w:tcPr>
            <w:tcW w:w="926" w:type="pct"/>
            <w:hideMark/>
          </w:tcPr>
          <w:p w14:paraId="782DA40C"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Pre-Test (f)</w:t>
            </w:r>
          </w:p>
        </w:tc>
        <w:tc>
          <w:tcPr>
            <w:tcW w:w="1050" w:type="pct"/>
            <w:hideMark/>
          </w:tcPr>
          <w:p w14:paraId="09FB4F2F"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Pre-Test (%)</w:t>
            </w:r>
          </w:p>
        </w:tc>
        <w:tc>
          <w:tcPr>
            <w:tcW w:w="992" w:type="pct"/>
            <w:hideMark/>
          </w:tcPr>
          <w:p w14:paraId="09196411"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Post-Test (f)</w:t>
            </w:r>
          </w:p>
        </w:tc>
        <w:tc>
          <w:tcPr>
            <w:tcW w:w="1115" w:type="pct"/>
            <w:hideMark/>
          </w:tcPr>
          <w:p w14:paraId="2E20972D"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Post-Test (%)</w:t>
            </w:r>
          </w:p>
        </w:tc>
      </w:tr>
      <w:tr w:rsidR="009B1048" w:rsidRPr="00D253C9" w14:paraId="0A8D927F" w14:textId="77777777" w:rsidTr="00D36054">
        <w:tc>
          <w:tcPr>
            <w:tcW w:w="779" w:type="pct"/>
            <w:hideMark/>
          </w:tcPr>
          <w:p w14:paraId="45F136DB"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Yes</w:t>
            </w:r>
          </w:p>
        </w:tc>
        <w:tc>
          <w:tcPr>
            <w:tcW w:w="926" w:type="pct"/>
            <w:hideMark/>
          </w:tcPr>
          <w:p w14:paraId="51D24F64"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80</w:t>
            </w:r>
          </w:p>
        </w:tc>
        <w:tc>
          <w:tcPr>
            <w:tcW w:w="1050" w:type="pct"/>
            <w:hideMark/>
          </w:tcPr>
          <w:p w14:paraId="0C3C9562"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40.0%</w:t>
            </w:r>
          </w:p>
        </w:tc>
        <w:tc>
          <w:tcPr>
            <w:tcW w:w="992" w:type="pct"/>
            <w:hideMark/>
          </w:tcPr>
          <w:p w14:paraId="0B3B9337"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70</w:t>
            </w:r>
          </w:p>
        </w:tc>
        <w:tc>
          <w:tcPr>
            <w:tcW w:w="1115" w:type="pct"/>
            <w:hideMark/>
          </w:tcPr>
          <w:p w14:paraId="078B6AD1"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35.0%</w:t>
            </w:r>
          </w:p>
        </w:tc>
      </w:tr>
      <w:tr w:rsidR="009B1048" w:rsidRPr="00D253C9" w14:paraId="4977585E" w14:textId="77777777" w:rsidTr="00D36054">
        <w:tc>
          <w:tcPr>
            <w:tcW w:w="779" w:type="pct"/>
            <w:hideMark/>
          </w:tcPr>
          <w:p w14:paraId="7439B8F2"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lastRenderedPageBreak/>
              <w:t>No</w:t>
            </w:r>
          </w:p>
        </w:tc>
        <w:tc>
          <w:tcPr>
            <w:tcW w:w="926" w:type="pct"/>
            <w:hideMark/>
          </w:tcPr>
          <w:p w14:paraId="65791F90"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120</w:t>
            </w:r>
          </w:p>
        </w:tc>
        <w:tc>
          <w:tcPr>
            <w:tcW w:w="1050" w:type="pct"/>
            <w:hideMark/>
          </w:tcPr>
          <w:p w14:paraId="72BCB6B2"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60.0%</w:t>
            </w:r>
          </w:p>
        </w:tc>
        <w:tc>
          <w:tcPr>
            <w:tcW w:w="992" w:type="pct"/>
            <w:hideMark/>
          </w:tcPr>
          <w:p w14:paraId="4CB9AD45"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130</w:t>
            </w:r>
          </w:p>
        </w:tc>
        <w:tc>
          <w:tcPr>
            <w:tcW w:w="1115" w:type="pct"/>
            <w:hideMark/>
          </w:tcPr>
          <w:p w14:paraId="0A390B68"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65.0%</w:t>
            </w:r>
          </w:p>
        </w:tc>
      </w:tr>
    </w:tbl>
    <w:p w14:paraId="5B285B9A" w14:textId="77777777" w:rsidR="009B1048" w:rsidRPr="00D253C9" w:rsidRDefault="009B1048" w:rsidP="00D253C9">
      <w:pPr>
        <w:spacing w:after="0" w:line="240" w:lineRule="auto"/>
        <w:jc w:val="both"/>
        <w:rPr>
          <w:rFonts w:ascii="Arial" w:hAnsi="Arial" w:cs="Arial"/>
          <w:sz w:val="20"/>
          <w:szCs w:val="20"/>
        </w:rPr>
      </w:pPr>
    </w:p>
    <w:p w14:paraId="234C0C57" w14:textId="1281C32D"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Following the 12-week intervention, the number of participants requiring medication decreased to 70 (35.0%), whereas those not requiring medication increased to 130 (65.0%).</w:t>
      </w:r>
      <w:r w:rsidR="009B1048" w:rsidRPr="00D253C9">
        <w:rPr>
          <w:rFonts w:ascii="Arial" w:hAnsi="Arial" w:cs="Arial"/>
          <w:sz w:val="20"/>
          <w:szCs w:val="20"/>
        </w:rPr>
        <w:t xml:space="preserve"> </w:t>
      </w:r>
      <w:r w:rsidRPr="00D253C9">
        <w:rPr>
          <w:rFonts w:ascii="Arial" w:hAnsi="Arial" w:cs="Arial"/>
          <w:sz w:val="20"/>
          <w:szCs w:val="20"/>
        </w:rPr>
        <w:t xml:space="preserve">This </w:t>
      </w:r>
      <w:proofErr w:type="gramStart"/>
      <w:r w:rsidRPr="00D253C9">
        <w:rPr>
          <w:rFonts w:ascii="Arial" w:hAnsi="Arial" w:cs="Arial"/>
          <w:sz w:val="20"/>
          <w:szCs w:val="20"/>
        </w:rPr>
        <w:t>5 percentage</w:t>
      </w:r>
      <w:proofErr w:type="gramEnd"/>
      <w:r w:rsidRPr="00D253C9">
        <w:rPr>
          <w:rFonts w:ascii="Arial" w:hAnsi="Arial" w:cs="Arial"/>
          <w:sz w:val="20"/>
          <w:szCs w:val="20"/>
        </w:rPr>
        <w:t xml:space="preserve"> point reduction, though seemingly modest, represented a 12.5% relative decrease in medication use among the cohort.</w:t>
      </w:r>
      <w:r w:rsidR="009B1048" w:rsidRPr="00D253C9">
        <w:rPr>
          <w:rFonts w:ascii="Arial" w:hAnsi="Arial" w:cs="Arial"/>
          <w:sz w:val="20"/>
          <w:szCs w:val="20"/>
        </w:rPr>
        <w:t xml:space="preserve"> </w:t>
      </w:r>
      <w:r w:rsidR="00E06A79" w:rsidRPr="00D253C9">
        <w:rPr>
          <w:rFonts w:ascii="Arial" w:hAnsi="Arial" w:cs="Arial"/>
          <w:sz w:val="20"/>
          <w:szCs w:val="20"/>
        </w:rPr>
        <w:t>The clinical interpretation is that lifestyle modifications may have contributed to improved thyroid function, better blood pressure control, or both, thereby reducing the threshold for pharmacological intervention in a subset of participants (Mandel et al., 2011; Abalos et al., 2014).</w:t>
      </w:r>
    </w:p>
    <w:p w14:paraId="378227FE" w14:textId="17F7EF2D"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 xml:space="preserve">It is important to note that medication discontinuation decisions were made by the treating physicians based on objective clinical and laboratory parameters, including thyroid function tests, blood pressure readings, and overall clinical stability (American College of Obstetricians and </w:t>
      </w:r>
      <w:proofErr w:type="spellStart"/>
      <w:r w:rsidRPr="00D253C9">
        <w:rPr>
          <w:rFonts w:ascii="Arial" w:hAnsi="Arial" w:cs="Arial"/>
          <w:sz w:val="20"/>
          <w:szCs w:val="20"/>
        </w:rPr>
        <w:t>Gynecologists</w:t>
      </w:r>
      <w:proofErr w:type="spellEnd"/>
      <w:r w:rsidRPr="00D253C9">
        <w:rPr>
          <w:rFonts w:ascii="Arial" w:hAnsi="Arial" w:cs="Arial"/>
          <w:sz w:val="20"/>
          <w:szCs w:val="20"/>
        </w:rPr>
        <w:t xml:space="preserve"> 2019).</w:t>
      </w:r>
      <w:r w:rsidR="009B1048" w:rsidRPr="00D253C9">
        <w:rPr>
          <w:rFonts w:ascii="Arial" w:hAnsi="Arial" w:cs="Arial"/>
          <w:sz w:val="20"/>
          <w:szCs w:val="20"/>
        </w:rPr>
        <w:t xml:space="preserve"> </w:t>
      </w:r>
      <w:r w:rsidRPr="00D253C9">
        <w:rPr>
          <w:rFonts w:ascii="Arial" w:hAnsi="Arial" w:cs="Arial"/>
          <w:sz w:val="20"/>
          <w:szCs w:val="20"/>
        </w:rPr>
        <w:t>The observed reduction in medication use reflects genuine clinical improvement rather than arbitrary withdrawal, underscoring the potential of lifestyle modification to serve as an effective adjunct or, in some cases, an alternative to pharmacotherapy (Hanson et al., 2017).</w:t>
      </w:r>
    </w:p>
    <w:p w14:paraId="17451291"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4.4 Medication Dosage Changes</w:t>
      </w:r>
    </w:p>
    <w:p w14:paraId="4FE60F9A" w14:textId="7E0CCFCE"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Table 4 provides data on the medication dosage adjustments recommended by the treating physicians during the post-intervention period.</w:t>
      </w:r>
      <w:r w:rsidR="009B1048" w:rsidRPr="00D253C9">
        <w:rPr>
          <w:rFonts w:ascii="Arial" w:hAnsi="Arial" w:cs="Arial"/>
          <w:sz w:val="20"/>
          <w:szCs w:val="20"/>
        </w:rPr>
        <w:t xml:space="preserve"> </w:t>
      </w:r>
      <w:r w:rsidRPr="00D253C9">
        <w:rPr>
          <w:rFonts w:ascii="Arial" w:hAnsi="Arial" w:cs="Arial"/>
          <w:sz w:val="20"/>
          <w:szCs w:val="20"/>
        </w:rPr>
        <w:t>Of the 200 participants, 50 (25.0%) were advised to change their medication dosages and 150 (75.0%) maintained their original medication regimens without dose modifications.</w:t>
      </w:r>
    </w:p>
    <w:p w14:paraId="47F1795C" w14:textId="6F1A493B"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Table 4: Any Change in Medication Dose Advised (Post-Test Only)</w:t>
      </w:r>
    </w:p>
    <w:tbl>
      <w:tblPr>
        <w:tblStyle w:val="TableGrid"/>
        <w:tblW w:w="5000" w:type="pct"/>
        <w:tblLook w:val="04A0" w:firstRow="1" w:lastRow="0" w:firstColumn="1" w:lastColumn="0" w:noHBand="0" w:noVBand="1"/>
      </w:tblPr>
      <w:tblGrid>
        <w:gridCol w:w="2315"/>
        <w:gridCol w:w="3156"/>
        <w:gridCol w:w="3545"/>
      </w:tblGrid>
      <w:tr w:rsidR="009B1048" w:rsidRPr="00D253C9" w14:paraId="6CC73349" w14:textId="77777777" w:rsidTr="00D36054">
        <w:tc>
          <w:tcPr>
            <w:tcW w:w="1283" w:type="pct"/>
            <w:hideMark/>
          </w:tcPr>
          <w:p w14:paraId="04EF9C75"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Response</w:t>
            </w:r>
          </w:p>
        </w:tc>
        <w:tc>
          <w:tcPr>
            <w:tcW w:w="1750" w:type="pct"/>
            <w:hideMark/>
          </w:tcPr>
          <w:p w14:paraId="7751EB46"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Frequency (f)</w:t>
            </w:r>
          </w:p>
        </w:tc>
        <w:tc>
          <w:tcPr>
            <w:tcW w:w="1966" w:type="pct"/>
            <w:hideMark/>
          </w:tcPr>
          <w:p w14:paraId="1CBBD42B" w14:textId="77777777" w:rsidR="009B1048" w:rsidRPr="00D253C9" w:rsidRDefault="009B1048" w:rsidP="00D253C9">
            <w:pPr>
              <w:ind w:left="284"/>
              <w:jc w:val="both"/>
              <w:rPr>
                <w:rFonts w:ascii="Arial" w:hAnsi="Arial" w:cs="Arial"/>
                <w:b/>
                <w:bCs/>
                <w:sz w:val="20"/>
                <w:szCs w:val="20"/>
              </w:rPr>
            </w:pPr>
            <w:r w:rsidRPr="00D253C9">
              <w:rPr>
                <w:rStyle w:val="Strong"/>
                <w:rFonts w:ascii="Arial" w:hAnsi="Arial" w:cs="Arial"/>
                <w:sz w:val="20"/>
                <w:szCs w:val="20"/>
              </w:rPr>
              <w:t>Percentage (%)</w:t>
            </w:r>
          </w:p>
        </w:tc>
      </w:tr>
      <w:tr w:rsidR="009B1048" w:rsidRPr="00D253C9" w14:paraId="7A152912" w14:textId="77777777" w:rsidTr="00D36054">
        <w:tc>
          <w:tcPr>
            <w:tcW w:w="1283" w:type="pct"/>
            <w:hideMark/>
          </w:tcPr>
          <w:p w14:paraId="3107642B"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Yes</w:t>
            </w:r>
          </w:p>
        </w:tc>
        <w:tc>
          <w:tcPr>
            <w:tcW w:w="1750" w:type="pct"/>
            <w:hideMark/>
          </w:tcPr>
          <w:p w14:paraId="039A87C9"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50</w:t>
            </w:r>
          </w:p>
        </w:tc>
        <w:tc>
          <w:tcPr>
            <w:tcW w:w="1966" w:type="pct"/>
            <w:hideMark/>
          </w:tcPr>
          <w:p w14:paraId="5A57EC68"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25.0%</w:t>
            </w:r>
          </w:p>
        </w:tc>
      </w:tr>
      <w:tr w:rsidR="009B1048" w:rsidRPr="00D253C9" w14:paraId="1A2D49F7" w14:textId="77777777" w:rsidTr="00D36054">
        <w:tc>
          <w:tcPr>
            <w:tcW w:w="1283" w:type="pct"/>
            <w:hideMark/>
          </w:tcPr>
          <w:p w14:paraId="18D588D5"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No</w:t>
            </w:r>
          </w:p>
        </w:tc>
        <w:tc>
          <w:tcPr>
            <w:tcW w:w="1750" w:type="pct"/>
            <w:hideMark/>
          </w:tcPr>
          <w:p w14:paraId="52EF1F6E"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150</w:t>
            </w:r>
          </w:p>
        </w:tc>
        <w:tc>
          <w:tcPr>
            <w:tcW w:w="1966" w:type="pct"/>
            <w:hideMark/>
          </w:tcPr>
          <w:p w14:paraId="3A95A6D0" w14:textId="77777777" w:rsidR="009B1048" w:rsidRPr="00D253C9" w:rsidRDefault="009B1048" w:rsidP="00D253C9">
            <w:pPr>
              <w:ind w:left="284"/>
              <w:jc w:val="both"/>
              <w:rPr>
                <w:rFonts w:ascii="Arial" w:hAnsi="Arial" w:cs="Arial"/>
                <w:sz w:val="20"/>
                <w:szCs w:val="20"/>
              </w:rPr>
            </w:pPr>
            <w:r w:rsidRPr="00D253C9">
              <w:rPr>
                <w:rFonts w:ascii="Arial" w:hAnsi="Arial" w:cs="Arial"/>
                <w:sz w:val="20"/>
                <w:szCs w:val="20"/>
              </w:rPr>
              <w:t>75.0%</w:t>
            </w:r>
          </w:p>
        </w:tc>
      </w:tr>
    </w:tbl>
    <w:p w14:paraId="164F87E7" w14:textId="77777777" w:rsidR="009B1048" w:rsidRPr="00D253C9" w:rsidRDefault="009B1048" w:rsidP="00D253C9">
      <w:pPr>
        <w:spacing w:after="0" w:line="240" w:lineRule="auto"/>
        <w:jc w:val="both"/>
        <w:rPr>
          <w:rFonts w:ascii="Arial" w:hAnsi="Arial" w:cs="Arial"/>
          <w:sz w:val="20"/>
          <w:szCs w:val="20"/>
        </w:rPr>
      </w:pPr>
    </w:p>
    <w:p w14:paraId="727BD6B7" w14:textId="74140574"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 xml:space="preserve">Most patients maintained stable dosages, suggesting that the intervention contributed to clinical stability, preventing the need for dose escalation that might otherwise occur as pregnancy progresses and physiological demands increase (De Groot et al., 2012; </w:t>
      </w:r>
      <w:proofErr w:type="spellStart"/>
      <w:r w:rsidRPr="00D253C9">
        <w:rPr>
          <w:rFonts w:ascii="Arial" w:hAnsi="Arial" w:cs="Arial"/>
          <w:sz w:val="20"/>
          <w:szCs w:val="20"/>
        </w:rPr>
        <w:t>Glinoer</w:t>
      </w:r>
      <w:proofErr w:type="spellEnd"/>
      <w:r w:rsidRPr="00D253C9">
        <w:rPr>
          <w:rFonts w:ascii="Arial" w:hAnsi="Arial" w:cs="Arial"/>
          <w:sz w:val="20"/>
          <w:szCs w:val="20"/>
        </w:rPr>
        <w:t>, 2007).</w:t>
      </w:r>
      <w:r w:rsidR="009B1048" w:rsidRPr="00D253C9">
        <w:rPr>
          <w:rFonts w:ascii="Arial" w:hAnsi="Arial" w:cs="Arial"/>
          <w:sz w:val="20"/>
          <w:szCs w:val="20"/>
        </w:rPr>
        <w:t xml:space="preserve"> </w:t>
      </w:r>
      <w:r w:rsidR="00E06A79" w:rsidRPr="00D253C9">
        <w:rPr>
          <w:rFonts w:ascii="Arial" w:hAnsi="Arial" w:cs="Arial"/>
          <w:sz w:val="20"/>
          <w:szCs w:val="20"/>
        </w:rPr>
        <w:t>During pregnancy, thyroid hormone requirements typically increase by 30-50% due to increased thyroid-binding globulin, increased renal clearance, and placental metabolism, often necessitating increased levothyroxine doses (Alexander et al., 2017).</w:t>
      </w:r>
      <w:r w:rsidR="009B1048" w:rsidRPr="00D253C9">
        <w:rPr>
          <w:rFonts w:ascii="Arial" w:hAnsi="Arial" w:cs="Arial"/>
          <w:sz w:val="20"/>
          <w:szCs w:val="20"/>
        </w:rPr>
        <w:t xml:space="preserve"> </w:t>
      </w:r>
      <w:r w:rsidRPr="00D253C9">
        <w:rPr>
          <w:rFonts w:ascii="Arial" w:hAnsi="Arial" w:cs="Arial"/>
          <w:sz w:val="20"/>
          <w:szCs w:val="20"/>
        </w:rPr>
        <w:t>Similarly, blood pressure management may require intensification as pregnancy progresses, particularly in women with chronic hypertension or those at risk of developing preeclampsia (Bramham et al., 2014).</w:t>
      </w:r>
    </w:p>
    <w:p w14:paraId="13E914CF" w14:textId="358D8957" w:rsidR="009B1048" w:rsidRPr="00D253C9" w:rsidRDefault="007349CC" w:rsidP="00D253C9">
      <w:pPr>
        <w:spacing w:after="0" w:line="240" w:lineRule="auto"/>
        <w:jc w:val="both"/>
        <w:rPr>
          <w:rFonts w:ascii="Arial" w:hAnsi="Arial" w:cs="Arial"/>
          <w:sz w:val="20"/>
          <w:szCs w:val="20"/>
        </w:rPr>
      </w:pPr>
      <w:r w:rsidRPr="00D253C9">
        <w:rPr>
          <w:rFonts w:ascii="Arial" w:hAnsi="Arial" w:cs="Arial"/>
          <w:sz w:val="20"/>
          <w:szCs w:val="20"/>
        </w:rPr>
        <w:t>The fact that 75% of the participants did not require dose adjustments indicates relative clinical stability or improvement, potentially attributable to the lifestyle intervention's effects on metabolic regulation, blood pressure control, and overall health (</w:t>
      </w:r>
      <w:proofErr w:type="spellStart"/>
      <w:r w:rsidRPr="00D253C9">
        <w:rPr>
          <w:rFonts w:ascii="Arial" w:hAnsi="Arial" w:cs="Arial"/>
          <w:sz w:val="20"/>
          <w:szCs w:val="20"/>
        </w:rPr>
        <w:t>Rogozinska</w:t>
      </w:r>
      <w:proofErr w:type="spellEnd"/>
      <w:r w:rsidRPr="00D253C9">
        <w:rPr>
          <w:rFonts w:ascii="Arial" w:hAnsi="Arial" w:cs="Arial"/>
          <w:sz w:val="20"/>
          <w:szCs w:val="20"/>
        </w:rPr>
        <w:t xml:space="preserve"> et al., 2015).</w:t>
      </w:r>
      <w:r w:rsidR="009B1048" w:rsidRPr="00D253C9">
        <w:rPr>
          <w:rFonts w:ascii="Arial" w:hAnsi="Arial" w:cs="Arial"/>
          <w:sz w:val="20"/>
          <w:szCs w:val="20"/>
        </w:rPr>
        <w:t xml:space="preserve"> </w:t>
      </w:r>
      <w:r w:rsidR="00F81D11" w:rsidRPr="00D253C9">
        <w:rPr>
          <w:rFonts w:ascii="Arial" w:hAnsi="Arial" w:cs="Arial"/>
          <w:sz w:val="20"/>
          <w:szCs w:val="20"/>
        </w:rPr>
        <w:t>Among the 25% of patients who required dose changes, the adjustments may reflect individual variations in response to pregnancy-related physiological changes, disease severity, or intervention adherence (Gluud, 2006).</w:t>
      </w:r>
    </w:p>
    <w:p w14:paraId="6FCFF315" w14:textId="77777777" w:rsidR="009B1048" w:rsidRPr="00D253C9" w:rsidRDefault="009B1048" w:rsidP="00D253C9">
      <w:pPr>
        <w:spacing w:after="0" w:line="240" w:lineRule="auto"/>
        <w:jc w:val="both"/>
        <w:rPr>
          <w:rFonts w:ascii="Arial" w:hAnsi="Arial" w:cs="Arial"/>
          <w:b/>
          <w:bCs/>
          <w:sz w:val="20"/>
          <w:szCs w:val="20"/>
        </w:rPr>
      </w:pPr>
      <w:r w:rsidRPr="00D253C9">
        <w:rPr>
          <w:rFonts w:ascii="Arial" w:hAnsi="Arial" w:cs="Arial"/>
          <w:b/>
          <w:bCs/>
          <w:sz w:val="20"/>
          <w:szCs w:val="20"/>
        </w:rPr>
        <w:t>4.5 Summary of Findings</w:t>
      </w:r>
    </w:p>
    <w:p w14:paraId="09139832" w14:textId="562DEBB8" w:rsidR="009E4830" w:rsidRPr="00D253C9" w:rsidRDefault="00F81D11" w:rsidP="00D253C9">
      <w:pPr>
        <w:spacing w:after="0" w:line="240" w:lineRule="auto"/>
        <w:jc w:val="both"/>
        <w:rPr>
          <w:rFonts w:ascii="Arial" w:hAnsi="Arial" w:cs="Arial"/>
          <w:sz w:val="20"/>
          <w:szCs w:val="20"/>
        </w:rPr>
      </w:pPr>
      <w:r w:rsidRPr="00D253C9">
        <w:rPr>
          <w:rFonts w:ascii="Arial" w:hAnsi="Arial" w:cs="Arial"/>
          <w:sz w:val="20"/>
          <w:szCs w:val="20"/>
        </w:rPr>
        <w:t>The above table shows that structured lifestyle modifications produced measurable and statistically significant improvements in important clinical parameters in pregnant women with comorbid thyroid disorders and hypertension.</w:t>
      </w:r>
      <w:r w:rsidR="009E4830" w:rsidRPr="00D253C9">
        <w:rPr>
          <w:rFonts w:ascii="Arial" w:hAnsi="Arial" w:cs="Arial"/>
          <w:sz w:val="20"/>
          <w:szCs w:val="20"/>
        </w:rPr>
        <w:t xml:space="preserve"> </w:t>
      </w:r>
      <w:r w:rsidRPr="00D253C9">
        <w:rPr>
          <w:rFonts w:ascii="Arial" w:hAnsi="Arial" w:cs="Arial"/>
          <w:sz w:val="20"/>
          <w:szCs w:val="20"/>
        </w:rPr>
        <w:t>The greatest magnitude of effect was observed in urine protein status, where a 67% reduction in the prevalence of proteinuria with highly statistically significant evidence of improvement was recorded (p &lt; 0.0001).</w:t>
      </w:r>
      <w:r w:rsidR="009E4830" w:rsidRPr="00D253C9">
        <w:rPr>
          <w:rFonts w:ascii="Arial" w:hAnsi="Arial" w:cs="Arial"/>
          <w:sz w:val="20"/>
          <w:szCs w:val="20"/>
        </w:rPr>
        <w:t xml:space="preserve"> </w:t>
      </w:r>
      <w:r w:rsidRPr="00D253C9">
        <w:rPr>
          <w:rFonts w:ascii="Arial" w:hAnsi="Arial" w:cs="Arial"/>
          <w:sz w:val="20"/>
          <w:szCs w:val="20"/>
        </w:rPr>
        <w:t xml:space="preserve">This finding has profound clinical implications, since the reduction in proteinuria is associated with reduced risks of adverse maternal outcomes, such as eclampsia, pulmonary </w:t>
      </w:r>
      <w:proofErr w:type="spellStart"/>
      <w:r w:rsidRPr="00D253C9">
        <w:rPr>
          <w:rFonts w:ascii="Arial" w:hAnsi="Arial" w:cs="Arial"/>
          <w:sz w:val="20"/>
          <w:szCs w:val="20"/>
        </w:rPr>
        <w:t>edema</w:t>
      </w:r>
      <w:proofErr w:type="spellEnd"/>
      <w:r w:rsidRPr="00D253C9">
        <w:rPr>
          <w:rFonts w:ascii="Arial" w:hAnsi="Arial" w:cs="Arial"/>
          <w:sz w:val="20"/>
          <w:szCs w:val="20"/>
        </w:rPr>
        <w:t xml:space="preserve">, renal failure, and </w:t>
      </w:r>
      <w:proofErr w:type="spellStart"/>
      <w:r w:rsidRPr="00D253C9">
        <w:rPr>
          <w:rFonts w:ascii="Arial" w:hAnsi="Arial" w:cs="Arial"/>
          <w:sz w:val="20"/>
          <w:szCs w:val="20"/>
        </w:rPr>
        <w:t>cesarean</w:t>
      </w:r>
      <w:proofErr w:type="spellEnd"/>
      <w:r w:rsidRPr="00D253C9">
        <w:rPr>
          <w:rFonts w:ascii="Arial" w:hAnsi="Arial" w:cs="Arial"/>
          <w:sz w:val="20"/>
          <w:szCs w:val="20"/>
        </w:rPr>
        <w:t xml:space="preserve"> delivery, and improved </w:t>
      </w:r>
      <w:proofErr w:type="spellStart"/>
      <w:r w:rsidRPr="00D253C9">
        <w:rPr>
          <w:rFonts w:ascii="Arial" w:hAnsi="Arial" w:cs="Arial"/>
          <w:sz w:val="20"/>
          <w:szCs w:val="20"/>
        </w:rPr>
        <w:t>fetal</w:t>
      </w:r>
      <w:proofErr w:type="spellEnd"/>
      <w:r w:rsidRPr="00D253C9">
        <w:rPr>
          <w:rFonts w:ascii="Arial" w:hAnsi="Arial" w:cs="Arial"/>
          <w:sz w:val="20"/>
          <w:szCs w:val="20"/>
        </w:rPr>
        <w:t xml:space="preserve"> outcomes, such as reduced intrauterine growth restriction and preterm birth (</w:t>
      </w:r>
      <w:proofErr w:type="spellStart"/>
      <w:r w:rsidRPr="00D253C9">
        <w:rPr>
          <w:rFonts w:ascii="Arial" w:hAnsi="Arial" w:cs="Arial"/>
          <w:sz w:val="20"/>
          <w:szCs w:val="20"/>
        </w:rPr>
        <w:t>Thangaratinam</w:t>
      </w:r>
      <w:proofErr w:type="spellEnd"/>
      <w:r w:rsidRPr="00D253C9">
        <w:rPr>
          <w:rFonts w:ascii="Arial" w:hAnsi="Arial" w:cs="Arial"/>
          <w:sz w:val="20"/>
          <w:szCs w:val="20"/>
        </w:rPr>
        <w:t xml:space="preserve"> et al., 2012; von </w:t>
      </w:r>
      <w:proofErr w:type="spellStart"/>
      <w:r w:rsidRPr="00D253C9">
        <w:rPr>
          <w:rFonts w:ascii="Arial" w:hAnsi="Arial" w:cs="Arial"/>
          <w:sz w:val="20"/>
          <w:szCs w:val="20"/>
        </w:rPr>
        <w:t>Dadelszen</w:t>
      </w:r>
      <w:proofErr w:type="spellEnd"/>
      <w:r w:rsidRPr="00D253C9">
        <w:rPr>
          <w:rFonts w:ascii="Arial" w:hAnsi="Arial" w:cs="Arial"/>
          <w:sz w:val="20"/>
          <w:szCs w:val="20"/>
        </w:rPr>
        <w:t xml:space="preserve"> et al., 2011).</w:t>
      </w:r>
    </w:p>
    <w:p w14:paraId="4FC26CC9" w14:textId="3F4695AB" w:rsidR="009E4830" w:rsidRPr="00D253C9" w:rsidRDefault="00F81D11" w:rsidP="00D253C9">
      <w:pPr>
        <w:spacing w:after="0" w:line="240" w:lineRule="auto"/>
        <w:jc w:val="both"/>
        <w:rPr>
          <w:rFonts w:ascii="Arial" w:hAnsi="Arial" w:cs="Arial"/>
          <w:sz w:val="20"/>
          <w:szCs w:val="20"/>
        </w:rPr>
      </w:pPr>
      <w:r w:rsidRPr="00D253C9">
        <w:rPr>
          <w:rFonts w:ascii="Arial" w:hAnsi="Arial" w:cs="Arial"/>
          <w:sz w:val="20"/>
          <w:szCs w:val="20"/>
        </w:rPr>
        <w:t>The modest but significant reduction in medication use (p = 0.0098), with most participants remaining stable in terms of their medication dosing requirements, serves to strengthen the clinical relevance of lifestyle modification as an adjunctive management approach.</w:t>
      </w:r>
      <w:r w:rsidR="009E4830" w:rsidRPr="00D253C9">
        <w:rPr>
          <w:rFonts w:ascii="Arial" w:hAnsi="Arial" w:cs="Arial"/>
          <w:sz w:val="20"/>
          <w:szCs w:val="20"/>
        </w:rPr>
        <w:t xml:space="preserve"> </w:t>
      </w:r>
      <w:r w:rsidRPr="00D253C9">
        <w:rPr>
          <w:rFonts w:ascii="Arial" w:hAnsi="Arial" w:cs="Arial"/>
          <w:sz w:val="20"/>
          <w:szCs w:val="20"/>
        </w:rPr>
        <w:t xml:space="preserve">These findings add to the currently available evidence that embedding lifestyle education and </w:t>
      </w:r>
      <w:proofErr w:type="spellStart"/>
      <w:r w:rsidRPr="00D253C9">
        <w:rPr>
          <w:rFonts w:ascii="Arial" w:hAnsi="Arial" w:cs="Arial"/>
          <w:sz w:val="20"/>
          <w:szCs w:val="20"/>
        </w:rPr>
        <w:t>behavioral</w:t>
      </w:r>
      <w:proofErr w:type="spellEnd"/>
      <w:r w:rsidRPr="00D253C9">
        <w:rPr>
          <w:rFonts w:ascii="Arial" w:hAnsi="Arial" w:cs="Arial"/>
          <w:sz w:val="20"/>
          <w:szCs w:val="20"/>
        </w:rPr>
        <w:t xml:space="preserve"> interventions into routine antenatal care for high-risk pregnancies can improve clinical outcomes beyond what is possible with pharmacotherapy alone (Aggarwal et al., 2021; Ives et al., 2020; </w:t>
      </w:r>
      <w:proofErr w:type="spellStart"/>
      <w:r w:rsidRPr="00D253C9">
        <w:rPr>
          <w:rFonts w:ascii="Arial" w:hAnsi="Arial" w:cs="Arial"/>
          <w:sz w:val="20"/>
          <w:szCs w:val="20"/>
        </w:rPr>
        <w:t>Muktabhant</w:t>
      </w:r>
      <w:proofErr w:type="spellEnd"/>
      <w:r w:rsidRPr="00D253C9">
        <w:rPr>
          <w:rFonts w:ascii="Arial" w:hAnsi="Arial" w:cs="Arial"/>
          <w:sz w:val="20"/>
          <w:szCs w:val="20"/>
        </w:rPr>
        <w:t xml:space="preserve"> et al., 2015).</w:t>
      </w:r>
    </w:p>
    <w:p w14:paraId="02BC1165" w14:textId="42E334AE" w:rsidR="009E4830" w:rsidRPr="00D253C9" w:rsidRDefault="00F81D11" w:rsidP="00D253C9">
      <w:pPr>
        <w:spacing w:after="0" w:line="240" w:lineRule="auto"/>
        <w:jc w:val="both"/>
        <w:rPr>
          <w:rFonts w:ascii="Arial" w:hAnsi="Arial" w:cs="Arial"/>
          <w:sz w:val="20"/>
          <w:szCs w:val="20"/>
        </w:rPr>
      </w:pPr>
      <w:r w:rsidRPr="00D253C9">
        <w:rPr>
          <w:rFonts w:ascii="Arial" w:hAnsi="Arial" w:cs="Arial"/>
          <w:sz w:val="20"/>
          <w:szCs w:val="20"/>
        </w:rPr>
        <w:t xml:space="preserve">The underlying mechanisms of these beneficial effects are likely multifactorial and may include the following: (1) improvements in insulin sensitivity and glucose metabolism due to diet and exercise; (2) reduction in systemic inflammation and oxidative stress; (3) improvement in endothelial function and vascular health; (4) optimal metabolism of thyroid hormones due to elimination of micronutrient deficiencies; (5) reduction in sympathetic overload due to stress; and (6) improved renal </w:t>
      </w:r>
      <w:proofErr w:type="spellStart"/>
      <w:r w:rsidRPr="00D253C9">
        <w:rPr>
          <w:rFonts w:ascii="Arial" w:hAnsi="Arial" w:cs="Arial"/>
          <w:sz w:val="20"/>
          <w:szCs w:val="20"/>
        </w:rPr>
        <w:t>hemodynamics</w:t>
      </w:r>
      <w:proofErr w:type="spellEnd"/>
      <w:r w:rsidRPr="00D253C9">
        <w:rPr>
          <w:rFonts w:ascii="Arial" w:hAnsi="Arial" w:cs="Arial"/>
          <w:sz w:val="20"/>
          <w:szCs w:val="20"/>
        </w:rPr>
        <w:t xml:space="preserve"> and reduced glomerular permeability (Straub, 2014; Harrison et al., 2011; </w:t>
      </w:r>
      <w:proofErr w:type="spellStart"/>
      <w:r w:rsidRPr="00D253C9">
        <w:rPr>
          <w:rFonts w:ascii="Arial" w:hAnsi="Arial" w:cs="Arial"/>
          <w:sz w:val="20"/>
          <w:szCs w:val="20"/>
        </w:rPr>
        <w:t>Karumanchi</w:t>
      </w:r>
      <w:proofErr w:type="spellEnd"/>
      <w:r w:rsidRPr="00D253C9">
        <w:rPr>
          <w:rFonts w:ascii="Arial" w:hAnsi="Arial" w:cs="Arial"/>
          <w:sz w:val="20"/>
          <w:szCs w:val="20"/>
        </w:rPr>
        <w:t xml:space="preserve"> &amp; Granger, 2016).</w:t>
      </w:r>
    </w:p>
    <w:p w14:paraId="4EB1BB77" w14:textId="77777777" w:rsidR="0063621C" w:rsidRDefault="0063621C" w:rsidP="00D253C9">
      <w:pPr>
        <w:spacing w:after="0" w:line="240" w:lineRule="auto"/>
        <w:jc w:val="both"/>
        <w:rPr>
          <w:rFonts w:ascii="Arial" w:hAnsi="Arial" w:cs="Arial"/>
          <w:b/>
          <w:bCs/>
          <w:sz w:val="20"/>
          <w:szCs w:val="20"/>
        </w:rPr>
      </w:pPr>
    </w:p>
    <w:p w14:paraId="4FD39EDF" w14:textId="48B08D78" w:rsidR="00E4584E" w:rsidRPr="00D253C9" w:rsidRDefault="00F81D11" w:rsidP="00D253C9">
      <w:pPr>
        <w:spacing w:after="0" w:line="240" w:lineRule="auto"/>
        <w:jc w:val="both"/>
        <w:rPr>
          <w:rFonts w:ascii="Arial" w:hAnsi="Arial" w:cs="Arial"/>
          <w:sz w:val="20"/>
          <w:szCs w:val="20"/>
        </w:rPr>
      </w:pPr>
      <w:r w:rsidRPr="00D253C9">
        <w:rPr>
          <w:rFonts w:ascii="Arial" w:hAnsi="Arial" w:cs="Arial"/>
          <w:sz w:val="20"/>
          <w:szCs w:val="20"/>
        </w:rPr>
        <w:t>The significance of this research analysis lies in proving that there can be a remarkable enhancement in the levels of proteinuria and a moderate reduction in medications among pregnant patients with thyroid diseases and hypertensive disorders.</w:t>
      </w:r>
      <w:r w:rsidR="00C0756B" w:rsidRPr="00D253C9">
        <w:rPr>
          <w:rFonts w:ascii="Arial" w:hAnsi="Arial" w:cs="Arial"/>
          <w:sz w:val="20"/>
          <w:szCs w:val="20"/>
        </w:rPr>
        <w:t xml:space="preserve"> The fact that there was a two-thirds lowering of proteinuria levels indicates enhanced renal and vascular functions due to a combination of effects reaped by reduced dietary sodium intake, enhanced vasodilation from regular physical exercise and physical activity, reduced stress levels, and optimizing levels of maternal thyroid-supporting nutrients. </w:t>
      </w:r>
      <w:r w:rsidRPr="00D253C9">
        <w:rPr>
          <w:rFonts w:ascii="Arial" w:hAnsi="Arial" w:cs="Arial"/>
          <w:sz w:val="20"/>
          <w:szCs w:val="20"/>
        </w:rPr>
        <w:t>The lowering and subsequent stabilization of medication requirements can be significant since pregnancy tends to enhance these requirements.</w:t>
      </w:r>
      <w:r w:rsidR="00C0756B" w:rsidRPr="00D253C9">
        <w:rPr>
          <w:rFonts w:ascii="Arial" w:hAnsi="Arial" w:cs="Arial"/>
          <w:sz w:val="20"/>
          <w:szCs w:val="20"/>
        </w:rPr>
        <w:t xml:space="preserve"> </w:t>
      </w:r>
      <w:r w:rsidRPr="00D253C9">
        <w:rPr>
          <w:rFonts w:ascii="Arial" w:hAnsi="Arial" w:cs="Arial"/>
          <w:sz w:val="20"/>
          <w:szCs w:val="20"/>
        </w:rPr>
        <w:t>Reducing drug requirements is of prime importance because it impacts safety.</w:t>
      </w:r>
      <w:r w:rsidR="00C0756B" w:rsidRPr="00D253C9">
        <w:rPr>
          <w:rFonts w:ascii="Arial" w:hAnsi="Arial" w:cs="Arial"/>
          <w:sz w:val="20"/>
          <w:szCs w:val="20"/>
        </w:rPr>
        <w:t xml:space="preserve"> </w:t>
      </w:r>
      <w:r w:rsidRPr="00D253C9">
        <w:rPr>
          <w:rFonts w:ascii="Arial" w:hAnsi="Arial" w:cs="Arial"/>
          <w:sz w:val="20"/>
          <w:szCs w:val="20"/>
        </w:rPr>
        <w:t>These findings clinically justify the incorporation of structured, multidisciplinary lifestyle intervention programs into the core components of antenatal care for high-risk pregnancies, with potential disease-modifying effects rather than symptomatic control alone.</w:t>
      </w:r>
      <w:r w:rsidR="00C0756B" w:rsidRPr="00D253C9">
        <w:rPr>
          <w:rFonts w:ascii="Arial" w:hAnsi="Arial" w:cs="Arial"/>
          <w:sz w:val="20"/>
          <w:szCs w:val="20"/>
        </w:rPr>
        <w:t xml:space="preserve"> </w:t>
      </w:r>
      <w:r w:rsidRPr="00D253C9">
        <w:rPr>
          <w:rFonts w:ascii="Arial" w:hAnsi="Arial" w:cs="Arial"/>
          <w:sz w:val="20"/>
          <w:szCs w:val="20"/>
        </w:rPr>
        <w:t>However, the lack of a control group, short follow-up, reliance on self-reported adherence, and assessment of maternal and neonatal outcomes limit causal inference and long-term generalizability; thus, randomized controlled trials with extended follow-up are needed.</w:t>
      </w:r>
    </w:p>
    <w:p w14:paraId="62B2B067" w14:textId="77777777" w:rsidR="0063621C" w:rsidRDefault="0063621C" w:rsidP="00D253C9">
      <w:pPr>
        <w:spacing w:after="0" w:line="240" w:lineRule="auto"/>
        <w:jc w:val="both"/>
        <w:rPr>
          <w:rFonts w:ascii="Arial" w:hAnsi="Arial" w:cs="Arial"/>
          <w:b/>
          <w:bCs/>
          <w:sz w:val="20"/>
          <w:szCs w:val="20"/>
        </w:rPr>
      </w:pPr>
    </w:p>
    <w:p w14:paraId="64F6291D" w14:textId="68189779" w:rsidR="0063621C" w:rsidRPr="0063621C" w:rsidRDefault="00B743C3" w:rsidP="00D253C9">
      <w:pPr>
        <w:spacing w:after="0" w:line="240" w:lineRule="auto"/>
        <w:jc w:val="both"/>
        <w:rPr>
          <w:rFonts w:ascii="Arial" w:hAnsi="Arial" w:cs="Arial"/>
          <w:b/>
          <w:bCs/>
          <w:sz w:val="24"/>
          <w:szCs w:val="24"/>
        </w:rPr>
      </w:pPr>
      <w:r>
        <w:rPr>
          <w:rFonts w:ascii="Arial" w:hAnsi="Arial" w:cs="Arial"/>
          <w:b/>
          <w:bCs/>
          <w:sz w:val="24"/>
          <w:szCs w:val="24"/>
        </w:rPr>
        <w:t>5</w:t>
      </w:r>
      <w:r w:rsidR="009B1048" w:rsidRPr="0063621C">
        <w:rPr>
          <w:rFonts w:ascii="Arial" w:hAnsi="Arial" w:cs="Arial"/>
          <w:b/>
          <w:bCs/>
          <w:sz w:val="24"/>
          <w:szCs w:val="24"/>
        </w:rPr>
        <w:t>.</w:t>
      </w:r>
      <w:r w:rsidR="0063621C" w:rsidRPr="0063621C">
        <w:rPr>
          <w:rFonts w:ascii="Arial" w:hAnsi="Arial" w:cs="Arial"/>
          <w:b/>
          <w:bCs/>
          <w:sz w:val="24"/>
          <w:szCs w:val="24"/>
        </w:rPr>
        <w:t xml:space="preserve"> </w:t>
      </w:r>
      <w:r w:rsidR="00F81D11" w:rsidRPr="0063621C">
        <w:rPr>
          <w:rFonts w:ascii="Arial" w:hAnsi="Arial" w:cs="Arial"/>
          <w:b/>
          <w:bCs/>
          <w:sz w:val="24"/>
          <w:szCs w:val="24"/>
        </w:rPr>
        <w:t>Conclusion</w:t>
      </w:r>
    </w:p>
    <w:p w14:paraId="5329825B" w14:textId="60B6EEDB" w:rsidR="009B1048" w:rsidRPr="00D253C9" w:rsidRDefault="00F81D11" w:rsidP="00D253C9">
      <w:pPr>
        <w:spacing w:after="0" w:line="240" w:lineRule="auto"/>
        <w:jc w:val="both"/>
        <w:rPr>
          <w:rFonts w:ascii="Arial" w:hAnsi="Arial" w:cs="Arial"/>
          <w:b/>
          <w:bCs/>
          <w:sz w:val="20"/>
          <w:szCs w:val="20"/>
        </w:rPr>
      </w:pPr>
      <w:r w:rsidRPr="00D253C9">
        <w:rPr>
          <w:rFonts w:ascii="Arial" w:hAnsi="Arial" w:cs="Arial"/>
          <w:sz w:val="20"/>
          <w:szCs w:val="20"/>
        </w:rPr>
        <w:t>This pre-post interventional study provides solid evidence for structured lifestyle changes that significantly improve urine protein status and lower medication requirements in pregnant women with co-existing thyroid disease and hypertension.</w:t>
      </w:r>
      <w:r w:rsidR="00C0756B" w:rsidRPr="00D253C9">
        <w:rPr>
          <w:rFonts w:ascii="Arial" w:hAnsi="Arial" w:cs="Arial"/>
          <w:sz w:val="20"/>
          <w:szCs w:val="20"/>
        </w:rPr>
        <w:t xml:space="preserve"> </w:t>
      </w:r>
      <w:r w:rsidRPr="00D253C9">
        <w:rPr>
          <w:rFonts w:ascii="Arial" w:hAnsi="Arial" w:cs="Arial"/>
          <w:sz w:val="20"/>
          <w:szCs w:val="20"/>
        </w:rPr>
        <w:t xml:space="preserve">This reduction in proteinuria and slight yet highly significant reduction in medication requirements suggest that there are positive changes indicating improvement in renal function, lowering the progression to severe preeclampsia, and decreased </w:t>
      </w:r>
      <w:proofErr w:type="spellStart"/>
      <w:r w:rsidRPr="00D253C9">
        <w:rPr>
          <w:rFonts w:ascii="Arial" w:hAnsi="Arial" w:cs="Arial"/>
          <w:sz w:val="20"/>
          <w:szCs w:val="20"/>
        </w:rPr>
        <w:t>fetal</w:t>
      </w:r>
      <w:proofErr w:type="spellEnd"/>
      <w:r w:rsidRPr="00D253C9">
        <w:rPr>
          <w:rFonts w:ascii="Arial" w:hAnsi="Arial" w:cs="Arial"/>
          <w:sz w:val="20"/>
          <w:szCs w:val="20"/>
        </w:rPr>
        <w:t xml:space="preserve"> drug exposure to medication.</w:t>
      </w:r>
      <w:r w:rsidR="00C0756B" w:rsidRPr="00D253C9">
        <w:rPr>
          <w:rFonts w:ascii="Arial" w:hAnsi="Arial" w:cs="Arial"/>
          <w:sz w:val="20"/>
          <w:szCs w:val="20"/>
        </w:rPr>
        <w:t xml:space="preserve"> </w:t>
      </w:r>
      <w:r w:rsidRPr="00D253C9">
        <w:rPr>
          <w:rFonts w:ascii="Arial" w:hAnsi="Arial" w:cs="Arial"/>
          <w:sz w:val="20"/>
          <w:szCs w:val="20"/>
        </w:rPr>
        <w:t>Moreover, the lack of variability in medication requirements among most pregnant women indicates that lifestyle changes have the potential to help pregnant women experience stability during pregnancy.</w:t>
      </w:r>
      <w:r w:rsidR="00C0756B" w:rsidRPr="00D253C9">
        <w:rPr>
          <w:rFonts w:ascii="Arial" w:hAnsi="Arial" w:cs="Arial"/>
          <w:sz w:val="20"/>
          <w:szCs w:val="20"/>
        </w:rPr>
        <w:t xml:space="preserve"> </w:t>
      </w:r>
      <w:r w:rsidRPr="00D253C9">
        <w:rPr>
          <w:rFonts w:ascii="Arial" w:hAnsi="Arial" w:cs="Arial"/>
          <w:sz w:val="20"/>
          <w:szCs w:val="20"/>
        </w:rPr>
        <w:t xml:space="preserve">By working together on diverse </w:t>
      </w:r>
      <w:proofErr w:type="spellStart"/>
      <w:r w:rsidRPr="00D253C9">
        <w:rPr>
          <w:rFonts w:ascii="Arial" w:hAnsi="Arial" w:cs="Arial"/>
          <w:sz w:val="20"/>
          <w:szCs w:val="20"/>
        </w:rPr>
        <w:t>pathophysiologically</w:t>
      </w:r>
      <w:proofErr w:type="spellEnd"/>
      <w:r w:rsidRPr="00D253C9">
        <w:rPr>
          <w:rFonts w:ascii="Arial" w:hAnsi="Arial" w:cs="Arial"/>
          <w:sz w:val="20"/>
          <w:szCs w:val="20"/>
        </w:rPr>
        <w:t xml:space="preserve"> related but interlinked processes of endothelial dysfunction, inflammation, insulin resistance, sympathetic nervous system overactivity, and abnormalities of thyroid hormone metabolism, comprehensive lifestyle changes have the potential as a holistic approach that may work well when given along with pharmacotherapy.</w:t>
      </w:r>
      <w:r w:rsidR="00C0756B" w:rsidRPr="00D253C9">
        <w:rPr>
          <w:rFonts w:ascii="Arial" w:hAnsi="Arial" w:cs="Arial"/>
          <w:sz w:val="20"/>
          <w:szCs w:val="20"/>
        </w:rPr>
        <w:t xml:space="preserve"> </w:t>
      </w:r>
      <w:r w:rsidRPr="00D253C9">
        <w:rPr>
          <w:rFonts w:ascii="Arial" w:hAnsi="Arial" w:cs="Arial"/>
          <w:sz w:val="20"/>
          <w:szCs w:val="20"/>
        </w:rPr>
        <w:t>This study strengthens the addition of comprehensive lifestyle changes as a vital component of comprehensive antenatal care and antepartum care in cases of high-risk pregnancy and simultaneously underscores that further research is required, including well-designed controlled trials in larger populations, along with assessment of outcomes among mothers and infants and feasibility assessment of all components of lifestyle changes.</w:t>
      </w:r>
    </w:p>
    <w:p w14:paraId="094BFD2D" w14:textId="786F8446" w:rsidR="009B1048" w:rsidRPr="00D253C9" w:rsidRDefault="00E4584E" w:rsidP="00D253C9">
      <w:pPr>
        <w:spacing w:after="0" w:line="240" w:lineRule="auto"/>
        <w:jc w:val="both"/>
        <w:rPr>
          <w:rFonts w:ascii="Arial" w:hAnsi="Arial" w:cs="Arial"/>
          <w:b/>
          <w:bCs/>
          <w:sz w:val="20"/>
          <w:szCs w:val="20"/>
        </w:rPr>
      </w:pPr>
      <w:r w:rsidRPr="00D253C9">
        <w:rPr>
          <w:rFonts w:ascii="Arial" w:hAnsi="Arial" w:cs="Arial"/>
          <w:b/>
          <w:bCs/>
          <w:sz w:val="20"/>
          <w:szCs w:val="20"/>
        </w:rPr>
        <w:t>Limitations of the Study-</w:t>
      </w:r>
    </w:p>
    <w:bookmarkEnd w:id="0"/>
    <w:p w14:paraId="15A64C6D" w14:textId="128F7B12" w:rsidR="009B1048" w:rsidRPr="00D253C9" w:rsidRDefault="00F81D11" w:rsidP="00D253C9">
      <w:pPr>
        <w:spacing w:after="0" w:line="240" w:lineRule="auto"/>
        <w:jc w:val="both"/>
        <w:rPr>
          <w:rFonts w:ascii="Arial" w:hAnsi="Arial" w:cs="Arial"/>
          <w:sz w:val="20"/>
          <w:szCs w:val="20"/>
        </w:rPr>
      </w:pPr>
      <w:r w:rsidRPr="00D253C9">
        <w:rPr>
          <w:rFonts w:ascii="Arial" w:hAnsi="Arial" w:cs="Arial"/>
          <w:sz w:val="20"/>
          <w:szCs w:val="20"/>
        </w:rPr>
        <w:t>In addition to the strengths of this study, there are several weaknesses.</w:t>
      </w:r>
      <w:r w:rsidR="00C0756B" w:rsidRPr="00D253C9">
        <w:rPr>
          <w:rFonts w:ascii="Arial" w:hAnsi="Arial" w:cs="Arial"/>
          <w:sz w:val="20"/>
          <w:szCs w:val="20"/>
        </w:rPr>
        <w:t xml:space="preserve"> </w:t>
      </w:r>
      <w:r w:rsidRPr="00D253C9">
        <w:rPr>
          <w:rFonts w:ascii="Arial" w:hAnsi="Arial" w:cs="Arial"/>
          <w:sz w:val="20"/>
          <w:szCs w:val="20"/>
        </w:rPr>
        <w:t>The brief follow-up period of 12 weeks limits the evaluation of the sustained delivery of the strategy in the postpartum period, and there was no control group.</w:t>
      </w:r>
      <w:r w:rsidR="00C0756B" w:rsidRPr="00D253C9">
        <w:rPr>
          <w:rFonts w:ascii="Arial" w:hAnsi="Arial" w:cs="Arial"/>
          <w:sz w:val="20"/>
          <w:szCs w:val="20"/>
        </w:rPr>
        <w:t xml:space="preserve"> </w:t>
      </w:r>
      <w:r w:rsidRPr="00D253C9">
        <w:rPr>
          <w:rFonts w:ascii="Arial" w:hAnsi="Arial" w:cs="Arial"/>
          <w:sz w:val="20"/>
          <w:szCs w:val="20"/>
        </w:rPr>
        <w:t>In addition, bias may have been introduced because the medication use data were self-reported, and there may have been a lack of generalizability because the study population included only a single tertiary institution.</w:t>
      </w:r>
      <w:r w:rsidR="00C0756B" w:rsidRPr="00D253C9">
        <w:rPr>
          <w:rFonts w:ascii="Arial" w:hAnsi="Arial" w:cs="Arial"/>
          <w:sz w:val="20"/>
          <w:szCs w:val="20"/>
        </w:rPr>
        <w:t xml:space="preserve"> In addition, there may also be bias in the selection of patients, </w:t>
      </w:r>
      <w:r w:rsidR="00C0756B" w:rsidRPr="00E02A13">
        <w:rPr>
          <w:rFonts w:ascii="Arial" w:hAnsi="Arial" w:cs="Arial"/>
          <w:sz w:val="20"/>
          <w:szCs w:val="20"/>
          <w:highlight w:val="green"/>
        </w:rPr>
        <w:t xml:space="preserve">inability to </w:t>
      </w:r>
      <w:r w:rsidR="007714D6" w:rsidRPr="00E02A13">
        <w:rPr>
          <w:rFonts w:ascii="Arial" w:hAnsi="Arial" w:cs="Arial"/>
          <w:sz w:val="20"/>
          <w:szCs w:val="20"/>
          <w:highlight w:val="green"/>
        </w:rPr>
        <w:t>isolate the independent effect of each individual intervention component</w:t>
      </w:r>
      <w:r w:rsidR="00C0756B" w:rsidRPr="00D253C9">
        <w:rPr>
          <w:rFonts w:ascii="Arial" w:hAnsi="Arial" w:cs="Arial"/>
          <w:sz w:val="20"/>
          <w:szCs w:val="20"/>
        </w:rPr>
        <w:t>, lack of evaluation of maternal-neonatal outcomes, and uncontrolled variables, especially medication adjustments</w:t>
      </w:r>
    </w:p>
    <w:p w14:paraId="42DB209E" w14:textId="77777777" w:rsidR="0063621C" w:rsidRDefault="0063621C" w:rsidP="00D253C9">
      <w:pPr>
        <w:spacing w:after="0" w:line="240" w:lineRule="auto"/>
        <w:jc w:val="both"/>
        <w:rPr>
          <w:rFonts w:ascii="Arial" w:hAnsi="Arial" w:cs="Arial"/>
          <w:b/>
          <w:bCs/>
          <w:sz w:val="20"/>
          <w:szCs w:val="20"/>
        </w:rPr>
      </w:pPr>
    </w:p>
    <w:p w14:paraId="576549E1" w14:textId="77777777" w:rsidR="00B743C3" w:rsidRDefault="00B743C3" w:rsidP="00B743C3">
      <w:pPr>
        <w:spacing w:after="0" w:line="240" w:lineRule="auto"/>
        <w:ind w:right="-17" w:hanging="142"/>
        <w:jc w:val="both"/>
        <w:rPr>
          <w:rFonts w:ascii="Arial" w:hAnsi="Arial" w:cs="Arial"/>
          <w:noProof/>
          <w:sz w:val="20"/>
          <w:szCs w:val="20"/>
          <w:lang w:val="en-US"/>
        </w:rPr>
      </w:pPr>
      <w:r w:rsidRPr="00D253C9">
        <w:rPr>
          <w:rFonts w:ascii="Arial" w:hAnsi="Arial" w:cs="Arial"/>
          <w:b/>
          <w:bCs/>
          <w:sz w:val="20"/>
          <w:szCs w:val="20"/>
        </w:rPr>
        <w:t xml:space="preserve">  </w:t>
      </w:r>
      <w:r>
        <w:rPr>
          <w:rFonts w:ascii="Arial" w:hAnsi="Arial" w:cs="Arial"/>
          <w:b/>
          <w:bCs/>
          <w:sz w:val="20"/>
          <w:szCs w:val="20"/>
        </w:rPr>
        <w:t xml:space="preserve"> </w:t>
      </w:r>
      <w:r w:rsidRPr="00D253C9">
        <w:rPr>
          <w:rFonts w:ascii="Arial" w:hAnsi="Arial" w:cs="Arial"/>
          <w:b/>
          <w:bCs/>
          <w:sz w:val="20"/>
          <w:szCs w:val="20"/>
        </w:rPr>
        <w:t>Ethics declarations</w:t>
      </w:r>
      <w:bookmarkStart w:id="1" w:name="_Hlk206672632"/>
    </w:p>
    <w:p w14:paraId="63D01B12" w14:textId="0303CE61" w:rsidR="00B743C3" w:rsidRPr="00D253C9" w:rsidRDefault="00B743C3" w:rsidP="00B743C3">
      <w:pPr>
        <w:spacing w:after="0" w:line="240" w:lineRule="auto"/>
        <w:ind w:right="-17" w:hanging="142"/>
        <w:jc w:val="both"/>
        <w:rPr>
          <w:rFonts w:ascii="Arial" w:hAnsi="Arial" w:cs="Arial"/>
          <w:noProof/>
          <w:sz w:val="20"/>
          <w:szCs w:val="20"/>
          <w:lang w:val="en-US"/>
        </w:rPr>
      </w:pPr>
      <w:r>
        <w:rPr>
          <w:rFonts w:ascii="Arial" w:hAnsi="Arial" w:cs="Arial"/>
          <w:noProof/>
          <w:sz w:val="20"/>
          <w:szCs w:val="20"/>
          <w:lang w:val="en-US"/>
        </w:rPr>
        <w:t xml:space="preserve">   </w:t>
      </w:r>
      <w:r w:rsidR="00D67AFF" w:rsidRPr="00D67AFF">
        <w:rPr>
          <w:rFonts w:ascii="Arial" w:hAnsi="Arial" w:cs="Arial"/>
          <w:noProof/>
          <w:sz w:val="20"/>
          <w:szCs w:val="20"/>
          <w:lang w:val="en-US"/>
        </w:rPr>
        <w:t>The study protocol was approved by the Institutional Ethics Committee of the Swami Vivekanand Subharti University, Meerut.</w:t>
      </w:r>
      <w:r w:rsidR="00D67AFF">
        <w:rPr>
          <w:rFonts w:ascii="Arial" w:hAnsi="Arial" w:cs="Arial"/>
          <w:noProof/>
          <w:sz w:val="20"/>
          <w:szCs w:val="20"/>
          <w:lang w:val="en-US"/>
        </w:rPr>
        <w:t xml:space="preserve"> </w:t>
      </w:r>
      <w:bookmarkStart w:id="2" w:name="_GoBack"/>
      <w:bookmarkEnd w:id="2"/>
      <w:r w:rsidRPr="00D253C9">
        <w:rPr>
          <w:rFonts w:ascii="Arial" w:hAnsi="Arial" w:cs="Arial"/>
          <w:noProof/>
          <w:sz w:val="20"/>
          <w:szCs w:val="20"/>
          <w:lang w:val="en-US"/>
        </w:rPr>
        <w:t>Ethical approval for this study series was obtained from the University Ethics Committee (Reference</w:t>
      </w:r>
      <w:r>
        <w:rPr>
          <w:rFonts w:ascii="Arial" w:hAnsi="Arial" w:cs="Arial"/>
          <w:noProof/>
          <w:sz w:val="20"/>
          <w:szCs w:val="20"/>
          <w:lang w:val="en-US"/>
        </w:rPr>
        <w:t xml:space="preserve">  </w:t>
      </w:r>
      <w:r w:rsidRPr="00D253C9">
        <w:rPr>
          <w:rFonts w:ascii="Arial" w:hAnsi="Arial" w:cs="Arial"/>
          <w:noProof/>
          <w:sz w:val="20"/>
          <w:szCs w:val="20"/>
          <w:lang w:val="en-US"/>
        </w:rPr>
        <w:t>Number-EC/NEW/INST/2023/UP/0358).</w:t>
      </w:r>
    </w:p>
    <w:bookmarkEnd w:id="1"/>
    <w:p w14:paraId="41AB75AE" w14:textId="77777777" w:rsidR="00B743C3" w:rsidRPr="00776B13" w:rsidRDefault="00B743C3" w:rsidP="00B743C3">
      <w:pPr>
        <w:spacing w:after="0" w:line="240" w:lineRule="auto"/>
        <w:jc w:val="both"/>
        <w:rPr>
          <w:rFonts w:ascii="Arial" w:hAnsi="Arial" w:cs="Arial"/>
          <w:b/>
          <w:bCs/>
          <w:sz w:val="20"/>
          <w:szCs w:val="20"/>
        </w:rPr>
      </w:pPr>
      <w:r w:rsidRPr="00776B13">
        <w:rPr>
          <w:rFonts w:ascii="Arial" w:eastAsia="SimSun" w:hAnsi="Arial" w:cs="Arial"/>
          <w:b/>
          <w:bCs/>
          <w:sz w:val="20"/>
          <w:szCs w:val="20"/>
        </w:rPr>
        <w:t>Conflict of Interest</w:t>
      </w:r>
    </w:p>
    <w:p w14:paraId="69CE5C84" w14:textId="77777777" w:rsidR="00B743C3" w:rsidRPr="00D253C9" w:rsidRDefault="00B743C3" w:rsidP="00B743C3">
      <w:pPr>
        <w:spacing w:after="0" w:line="240" w:lineRule="auto"/>
        <w:rPr>
          <w:rFonts w:ascii="Arial" w:eastAsia="SimSun" w:hAnsi="Arial" w:cs="Arial"/>
          <w:sz w:val="20"/>
          <w:szCs w:val="20"/>
        </w:rPr>
      </w:pPr>
      <w:r w:rsidRPr="00D253C9">
        <w:rPr>
          <w:rFonts w:ascii="Arial" w:eastAsia="SimSun" w:hAnsi="Arial" w:cs="Arial"/>
          <w:sz w:val="20"/>
          <w:szCs w:val="20"/>
        </w:rPr>
        <w:t>The authors declare that they have no competing interests related to this study. There are no financial or personal relationships that could have influenced the work reported in this paper.</w:t>
      </w:r>
    </w:p>
    <w:p w14:paraId="7A253A67" w14:textId="58399DA7" w:rsidR="00B743C3" w:rsidRDefault="00B743C3" w:rsidP="00B743C3">
      <w:pPr>
        <w:spacing w:after="0" w:line="240" w:lineRule="auto"/>
        <w:rPr>
          <w:rFonts w:ascii="Arial" w:eastAsia="SimSun" w:hAnsi="Arial" w:cs="Arial"/>
          <w:sz w:val="20"/>
          <w:szCs w:val="20"/>
        </w:rPr>
      </w:pPr>
      <w:r w:rsidRPr="00D253C9">
        <w:rPr>
          <w:rFonts w:ascii="Arial" w:eastAsia="SimSun" w:hAnsi="Arial" w:cs="Arial"/>
          <w:b/>
          <w:bCs/>
          <w:sz w:val="20"/>
          <w:szCs w:val="20"/>
        </w:rPr>
        <w:t>Data Availability Statement:</w:t>
      </w:r>
      <w:r w:rsidRPr="00D253C9">
        <w:rPr>
          <w:rFonts w:ascii="Arial" w:eastAsia="SimSun" w:hAnsi="Arial" w:cs="Arial"/>
          <w:sz w:val="20"/>
          <w:szCs w:val="20"/>
        </w:rPr>
        <w:br/>
        <w:t xml:space="preserve">The datasets generated and/or </w:t>
      </w:r>
      <w:proofErr w:type="spellStart"/>
      <w:r w:rsidRPr="00D253C9">
        <w:rPr>
          <w:rFonts w:ascii="Arial" w:eastAsia="SimSun" w:hAnsi="Arial" w:cs="Arial"/>
          <w:sz w:val="20"/>
          <w:szCs w:val="20"/>
        </w:rPr>
        <w:t>analyzed</w:t>
      </w:r>
      <w:proofErr w:type="spellEnd"/>
      <w:r w:rsidRPr="00D253C9">
        <w:rPr>
          <w:rFonts w:ascii="Arial" w:eastAsia="SimSun" w:hAnsi="Arial" w:cs="Arial"/>
          <w:sz w:val="20"/>
          <w:szCs w:val="20"/>
        </w:rPr>
        <w:t xml:space="preserve"> during the current study are available from the corresponding author upon request.</w:t>
      </w:r>
    </w:p>
    <w:p w14:paraId="3561E90F" w14:textId="0836B2AE" w:rsidR="00CE7140" w:rsidRDefault="00CE7140" w:rsidP="00B743C3">
      <w:pPr>
        <w:spacing w:after="0" w:line="240" w:lineRule="auto"/>
        <w:rPr>
          <w:rFonts w:ascii="Arial" w:eastAsia="SimSun" w:hAnsi="Arial" w:cs="Arial"/>
          <w:sz w:val="20"/>
          <w:szCs w:val="20"/>
        </w:rPr>
      </w:pPr>
    </w:p>
    <w:p w14:paraId="59E079EC" w14:textId="77777777" w:rsidR="00CE7140" w:rsidRPr="00005ED1" w:rsidRDefault="00CE7140" w:rsidP="00CE7140">
      <w:pPr>
        <w:pStyle w:val="NoSpacing"/>
        <w:rPr>
          <w:rFonts w:ascii="Arial" w:hAnsi="Arial" w:cs="Arial"/>
          <w:highlight w:val="yellow"/>
        </w:rPr>
      </w:pPr>
      <w:bookmarkStart w:id="3" w:name="_Hlk219284361"/>
      <w:bookmarkStart w:id="4" w:name="_Hlk198031404"/>
      <w:bookmarkStart w:id="5" w:name="_Hlk219128673"/>
      <w:r w:rsidRPr="00005ED1">
        <w:rPr>
          <w:rFonts w:ascii="Arial" w:hAnsi="Arial" w:cs="Arial"/>
          <w:highlight w:val="yellow"/>
        </w:rPr>
        <w:t>Disclaimer (Artificial intelligence)</w:t>
      </w:r>
    </w:p>
    <w:p w14:paraId="13B2339F" w14:textId="77777777" w:rsidR="00CE7140" w:rsidRPr="00005ED1" w:rsidRDefault="00CE7140" w:rsidP="00CE7140">
      <w:pPr>
        <w:pStyle w:val="NoSpacing"/>
        <w:rPr>
          <w:rFonts w:ascii="Arial" w:hAnsi="Arial" w:cs="Arial"/>
          <w:highlight w:val="yellow"/>
        </w:rPr>
      </w:pPr>
    </w:p>
    <w:p w14:paraId="367308EB" w14:textId="77777777" w:rsidR="00CE7140" w:rsidRPr="00005ED1" w:rsidRDefault="00CE7140" w:rsidP="00CE714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p>
    <w:bookmarkEnd w:id="4"/>
    <w:p w14:paraId="7629F503" w14:textId="77777777" w:rsidR="00CE7140" w:rsidRDefault="00CE7140" w:rsidP="00CE7140">
      <w:pPr>
        <w:pStyle w:val="NoSpacing"/>
        <w:rPr>
          <w:rFonts w:ascii="Arial" w:hAnsi="Arial" w:cs="Arial"/>
        </w:rPr>
      </w:pPr>
    </w:p>
    <w:bookmarkEnd w:id="5"/>
    <w:p w14:paraId="3571629A" w14:textId="77777777" w:rsidR="00CE7140" w:rsidRPr="00531C2C" w:rsidRDefault="00CE7140" w:rsidP="00B743C3">
      <w:pPr>
        <w:spacing w:after="0" w:line="240" w:lineRule="auto"/>
        <w:rPr>
          <w:rFonts w:ascii="Arial" w:eastAsia="SimSun" w:hAnsi="Arial" w:cs="Arial"/>
          <w:sz w:val="20"/>
          <w:szCs w:val="20"/>
        </w:rPr>
      </w:pPr>
    </w:p>
    <w:p w14:paraId="4DC56182" w14:textId="77777777" w:rsidR="00B743C3" w:rsidRDefault="00B743C3" w:rsidP="00D253C9">
      <w:pPr>
        <w:spacing w:after="0" w:line="240" w:lineRule="auto"/>
        <w:jc w:val="both"/>
        <w:rPr>
          <w:rFonts w:ascii="Arial" w:hAnsi="Arial" w:cs="Arial"/>
          <w:b/>
          <w:bCs/>
          <w:sz w:val="20"/>
          <w:szCs w:val="20"/>
        </w:rPr>
      </w:pPr>
    </w:p>
    <w:p w14:paraId="27CEACFB" w14:textId="5D19D3B1" w:rsidR="009B1048" w:rsidRPr="0063621C" w:rsidRDefault="009B1048" w:rsidP="00D253C9">
      <w:pPr>
        <w:spacing w:after="0" w:line="240" w:lineRule="auto"/>
        <w:jc w:val="both"/>
        <w:rPr>
          <w:rFonts w:ascii="Arial" w:hAnsi="Arial" w:cs="Arial"/>
          <w:b/>
          <w:bCs/>
          <w:sz w:val="24"/>
          <w:szCs w:val="24"/>
        </w:rPr>
      </w:pPr>
      <w:r w:rsidRPr="0063621C">
        <w:rPr>
          <w:rFonts w:ascii="Arial" w:hAnsi="Arial" w:cs="Arial"/>
          <w:b/>
          <w:bCs/>
          <w:sz w:val="24"/>
          <w:szCs w:val="24"/>
        </w:rPr>
        <w:t>References</w:t>
      </w:r>
    </w:p>
    <w:p w14:paraId="3ECEDDEE" w14:textId="2A5ED2BC"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Abalos, E., Duley, L., Steyn, D. W., &amp; Henderson-Smart, D. J. (2014). </w:t>
      </w:r>
      <w:r w:rsidR="00F81D11" w:rsidRPr="00776B13">
        <w:rPr>
          <w:rFonts w:ascii="Arial" w:hAnsi="Arial" w:cs="Arial"/>
          <w:sz w:val="20"/>
          <w:szCs w:val="20"/>
        </w:rPr>
        <w:t>Antihypertensive drug therapy for mild-to-moderate hypertension during pregnancy.</w:t>
      </w:r>
      <w:r w:rsidRPr="00776B13">
        <w:rPr>
          <w:rFonts w:ascii="Arial" w:hAnsi="Arial" w:cs="Arial"/>
          <w:sz w:val="20"/>
          <w:szCs w:val="20"/>
        </w:rPr>
        <w:t xml:space="preserve"> </w:t>
      </w:r>
      <w:r w:rsidRPr="00776B13">
        <w:rPr>
          <w:rFonts w:ascii="Arial" w:hAnsi="Arial" w:cs="Arial"/>
          <w:i/>
          <w:iCs/>
          <w:sz w:val="20"/>
          <w:szCs w:val="20"/>
        </w:rPr>
        <w:t>Cochrane Database of Systematic Reviews</w:t>
      </w:r>
      <w:r w:rsidRPr="00776B13">
        <w:rPr>
          <w:rFonts w:ascii="Arial" w:hAnsi="Arial" w:cs="Arial"/>
          <w:sz w:val="20"/>
          <w:szCs w:val="20"/>
        </w:rPr>
        <w:t>, (2), CD002252. https://doi.org/10.1002/14651858.CD002252.pub3</w:t>
      </w:r>
    </w:p>
    <w:p w14:paraId="2124D342"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Abalovich, M., Amino, N., Barbour, L. A., et al. </w:t>
      </w:r>
      <w:r w:rsidRPr="00776B13">
        <w:rPr>
          <w:rFonts w:ascii="Arial" w:hAnsi="Arial" w:cs="Arial"/>
          <w:sz w:val="20"/>
          <w:szCs w:val="20"/>
        </w:rPr>
        <w:t xml:space="preserve">(2007). Management of thyroid dysfunction during pregnancy and postpartum: an Endocrine Society Clinical Practice Guideline. </w:t>
      </w:r>
      <w:r w:rsidRPr="00776B13">
        <w:rPr>
          <w:rFonts w:ascii="Arial" w:hAnsi="Arial" w:cs="Arial"/>
          <w:i/>
          <w:iCs/>
          <w:sz w:val="20"/>
          <w:szCs w:val="20"/>
        </w:rPr>
        <w:t>Journal of Clinical Endocrinology &amp; Metabolism</w:t>
      </w:r>
      <w:r w:rsidRPr="00776B13">
        <w:rPr>
          <w:rFonts w:ascii="Arial" w:hAnsi="Arial" w:cs="Arial"/>
          <w:sz w:val="20"/>
          <w:szCs w:val="20"/>
        </w:rPr>
        <w:t xml:space="preserve">, 92(8 </w:t>
      </w:r>
      <w:proofErr w:type="spellStart"/>
      <w:r w:rsidRPr="00776B13">
        <w:rPr>
          <w:rFonts w:ascii="Arial" w:hAnsi="Arial" w:cs="Arial"/>
          <w:sz w:val="20"/>
          <w:szCs w:val="20"/>
        </w:rPr>
        <w:t>Suppl</w:t>
      </w:r>
      <w:proofErr w:type="spellEnd"/>
      <w:r w:rsidRPr="00776B13">
        <w:rPr>
          <w:rFonts w:ascii="Arial" w:hAnsi="Arial" w:cs="Arial"/>
          <w:sz w:val="20"/>
          <w:szCs w:val="20"/>
        </w:rPr>
        <w:t>), S1-S47. https://doi.org/10.1210/jc.2007-0141</w:t>
      </w:r>
    </w:p>
    <w:p w14:paraId="1CC95A67" w14:textId="16B8A33B"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ACOG Committee on Practice Bulletins—Obstetrics. (2020). </w:t>
      </w:r>
      <w:r w:rsidR="00F81D11" w:rsidRPr="00776B13">
        <w:rPr>
          <w:rFonts w:ascii="Arial" w:hAnsi="Arial" w:cs="Arial"/>
          <w:sz w:val="20"/>
          <w:szCs w:val="20"/>
        </w:rPr>
        <w:t>Gestational hypertension and preeclampsia: ACOG Practice Bulletin Number 222.</w:t>
      </w:r>
      <w:r w:rsidRPr="00776B13">
        <w:rPr>
          <w:rFonts w:ascii="Arial" w:hAnsi="Arial" w:cs="Arial"/>
          <w:sz w:val="20"/>
          <w:szCs w:val="20"/>
        </w:rPr>
        <w:t xml:space="preserve"> </w:t>
      </w:r>
      <w:r w:rsidRPr="00776B13">
        <w:rPr>
          <w:rFonts w:ascii="Arial" w:hAnsi="Arial" w:cs="Arial"/>
          <w:i/>
          <w:iCs/>
          <w:sz w:val="20"/>
          <w:szCs w:val="20"/>
        </w:rPr>
        <w:t xml:space="preserve">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135(6), e237-e260. https://doi.org/10.1097/AOG.0000000000003891</w:t>
      </w:r>
    </w:p>
    <w:p w14:paraId="739DE992" w14:textId="0DE7B6AD"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Adedokun, O. A., &amp; Burgess, W. D. (2012). </w:t>
      </w:r>
      <w:r w:rsidR="00F81D11" w:rsidRPr="00776B13">
        <w:rPr>
          <w:rFonts w:ascii="Arial" w:hAnsi="Arial" w:cs="Arial"/>
          <w:sz w:val="20"/>
          <w:szCs w:val="20"/>
        </w:rPr>
        <w:t>Analysis of paired dichotomous data: A gentle introduction to the McNemar test in the SPSS.</w:t>
      </w:r>
      <w:r w:rsidRPr="00776B13">
        <w:rPr>
          <w:rFonts w:ascii="Arial" w:hAnsi="Arial" w:cs="Arial"/>
          <w:sz w:val="20"/>
          <w:szCs w:val="20"/>
        </w:rPr>
        <w:t xml:space="preserve"> </w:t>
      </w:r>
      <w:r w:rsidRPr="00776B13">
        <w:rPr>
          <w:rFonts w:ascii="Arial" w:hAnsi="Arial" w:cs="Arial"/>
          <w:i/>
          <w:iCs/>
          <w:sz w:val="20"/>
          <w:szCs w:val="20"/>
        </w:rPr>
        <w:t xml:space="preserve">Journal of </w:t>
      </w:r>
      <w:proofErr w:type="spellStart"/>
      <w:r w:rsidRPr="00776B13">
        <w:rPr>
          <w:rFonts w:ascii="Arial" w:hAnsi="Arial" w:cs="Arial"/>
          <w:i/>
          <w:iCs/>
          <w:sz w:val="20"/>
          <w:szCs w:val="20"/>
        </w:rPr>
        <w:t>MultiDisciplinary</w:t>
      </w:r>
      <w:proofErr w:type="spellEnd"/>
      <w:r w:rsidRPr="00776B13">
        <w:rPr>
          <w:rFonts w:ascii="Arial" w:hAnsi="Arial" w:cs="Arial"/>
          <w:i/>
          <w:iCs/>
          <w:sz w:val="20"/>
          <w:szCs w:val="20"/>
        </w:rPr>
        <w:t xml:space="preserve"> Evaluation</w:t>
      </w:r>
      <w:r w:rsidRPr="00776B13">
        <w:rPr>
          <w:rFonts w:ascii="Arial" w:hAnsi="Arial" w:cs="Arial"/>
          <w:sz w:val="20"/>
          <w:szCs w:val="20"/>
        </w:rPr>
        <w:t>, 8(17), 125-131.</w:t>
      </w:r>
    </w:p>
    <w:p w14:paraId="0C16832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Aggarwal, S., Dimitrova, N., D'Souza, D., et al. (2021). Lifestyle modifications to prevent and manage pregnancy complications: Evidence and guidelines. </w:t>
      </w:r>
      <w:r w:rsidRPr="00776B13">
        <w:rPr>
          <w:rFonts w:ascii="Arial" w:hAnsi="Arial" w:cs="Arial"/>
          <w:i/>
          <w:iCs/>
          <w:sz w:val="20"/>
          <w:szCs w:val="20"/>
        </w:rPr>
        <w:t>Journal of Maternal-</w:t>
      </w:r>
      <w:proofErr w:type="spellStart"/>
      <w:r w:rsidRPr="00776B13">
        <w:rPr>
          <w:rFonts w:ascii="Arial" w:hAnsi="Arial" w:cs="Arial"/>
          <w:i/>
          <w:iCs/>
          <w:sz w:val="20"/>
          <w:szCs w:val="20"/>
        </w:rPr>
        <w:t>Fetal</w:t>
      </w:r>
      <w:proofErr w:type="spellEnd"/>
      <w:r w:rsidRPr="00776B13">
        <w:rPr>
          <w:rFonts w:ascii="Arial" w:hAnsi="Arial" w:cs="Arial"/>
          <w:i/>
          <w:iCs/>
          <w:sz w:val="20"/>
          <w:szCs w:val="20"/>
        </w:rPr>
        <w:t xml:space="preserve"> &amp; Neonatal Medicine</w:t>
      </w:r>
      <w:r w:rsidRPr="00776B13">
        <w:rPr>
          <w:rFonts w:ascii="Arial" w:hAnsi="Arial" w:cs="Arial"/>
          <w:sz w:val="20"/>
          <w:szCs w:val="20"/>
        </w:rPr>
        <w:t>, 34(8), 1265-1276. https://doi.org/10.1080/14767058.2019.1630735</w:t>
      </w:r>
    </w:p>
    <w:p w14:paraId="56B2EFA5" w14:textId="2D72D558"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Alexander, E. K., Pearce, E. N., Brent, G. A., et al. (20</w:t>
      </w:r>
      <w:r w:rsidR="00577A4E">
        <w:rPr>
          <w:rFonts w:ascii="Arial" w:hAnsi="Arial" w:cs="Arial"/>
          <w:sz w:val="20"/>
          <w:szCs w:val="20"/>
        </w:rPr>
        <w:t>20</w:t>
      </w:r>
      <w:r w:rsidRPr="00776B13">
        <w:rPr>
          <w:rFonts w:ascii="Arial" w:hAnsi="Arial" w:cs="Arial"/>
          <w:sz w:val="20"/>
          <w:szCs w:val="20"/>
        </w:rPr>
        <w:t xml:space="preserve">). </w:t>
      </w:r>
      <w:r w:rsidR="00F81D11" w:rsidRPr="00776B13">
        <w:rPr>
          <w:rFonts w:ascii="Arial" w:hAnsi="Arial" w:cs="Arial"/>
          <w:sz w:val="20"/>
          <w:szCs w:val="20"/>
        </w:rPr>
        <w:t>20</w:t>
      </w:r>
      <w:r w:rsidR="00577A4E">
        <w:rPr>
          <w:rFonts w:ascii="Arial" w:hAnsi="Arial" w:cs="Arial"/>
          <w:sz w:val="20"/>
          <w:szCs w:val="20"/>
        </w:rPr>
        <w:t>20</w:t>
      </w:r>
      <w:r w:rsidR="00F81D11" w:rsidRPr="00776B13">
        <w:rPr>
          <w:rFonts w:ascii="Arial" w:hAnsi="Arial" w:cs="Arial"/>
          <w:sz w:val="20"/>
          <w:szCs w:val="20"/>
        </w:rPr>
        <w:t xml:space="preserve"> Guidelines of the American Thyroid Association for the diagnosis and management of thyroid disease during pregnancy and postpartum.</w:t>
      </w:r>
      <w:r w:rsidRPr="00776B13">
        <w:rPr>
          <w:rFonts w:ascii="Arial" w:hAnsi="Arial" w:cs="Arial"/>
          <w:sz w:val="20"/>
          <w:szCs w:val="20"/>
        </w:rPr>
        <w:t xml:space="preserve"> </w:t>
      </w:r>
      <w:r w:rsidRPr="00776B13">
        <w:rPr>
          <w:rFonts w:ascii="Arial" w:hAnsi="Arial" w:cs="Arial"/>
          <w:i/>
          <w:iCs/>
          <w:sz w:val="20"/>
          <w:szCs w:val="20"/>
        </w:rPr>
        <w:t>Thyroid</w:t>
      </w:r>
      <w:r w:rsidRPr="00776B13">
        <w:rPr>
          <w:rFonts w:ascii="Arial" w:hAnsi="Arial" w:cs="Arial"/>
          <w:sz w:val="20"/>
          <w:szCs w:val="20"/>
        </w:rPr>
        <w:t>, 27(3), 315-389. https://doi.org/10.1089/thy.2016.0457</w:t>
      </w:r>
    </w:p>
    <w:p w14:paraId="29A083C8" w14:textId="6AA0B9F6"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t xml:space="preserve">American College of Obstetricians and </w:t>
      </w:r>
      <w:proofErr w:type="spellStart"/>
      <w:r w:rsidRPr="00776B13">
        <w:rPr>
          <w:rFonts w:ascii="Arial" w:hAnsi="Arial" w:cs="Arial"/>
          <w:sz w:val="20"/>
          <w:szCs w:val="20"/>
        </w:rPr>
        <w:t>Gynecologists</w:t>
      </w:r>
      <w:proofErr w:type="spellEnd"/>
      <w:r w:rsidRPr="00776B13">
        <w:rPr>
          <w:rFonts w:ascii="Arial" w:hAnsi="Arial" w:cs="Arial"/>
          <w:sz w:val="20"/>
          <w:szCs w:val="20"/>
        </w:rPr>
        <w:t xml:space="preserve">. (2019). </w:t>
      </w:r>
      <w:r w:rsidR="00F81D11" w:rsidRPr="00776B13">
        <w:rPr>
          <w:rFonts w:ascii="Arial" w:hAnsi="Arial" w:cs="Arial"/>
          <w:sz w:val="20"/>
          <w:szCs w:val="20"/>
        </w:rPr>
        <w:t>Hypertension during pregnancy.</w:t>
      </w:r>
      <w:r w:rsidRPr="00776B13">
        <w:rPr>
          <w:rFonts w:ascii="Arial" w:hAnsi="Arial" w:cs="Arial"/>
          <w:sz w:val="20"/>
          <w:szCs w:val="20"/>
        </w:rPr>
        <w:t xml:space="preserve"> Report of the American College of Obstetricians and </w:t>
      </w:r>
      <w:proofErr w:type="spellStart"/>
      <w:r w:rsidRPr="00776B13">
        <w:rPr>
          <w:rFonts w:ascii="Arial" w:hAnsi="Arial" w:cs="Arial"/>
          <w:sz w:val="20"/>
          <w:szCs w:val="20"/>
        </w:rPr>
        <w:t>Gynecologists'</w:t>
      </w:r>
      <w:proofErr w:type="spellEnd"/>
      <w:r w:rsidRPr="00776B13">
        <w:rPr>
          <w:rFonts w:ascii="Arial" w:hAnsi="Arial" w:cs="Arial"/>
          <w:sz w:val="20"/>
          <w:szCs w:val="20"/>
        </w:rPr>
        <w:t xml:space="preserve"> Task Force on Hypertension in Pregnancy. </w:t>
      </w:r>
      <w:proofErr w:type="spellStart"/>
      <w:r w:rsidRPr="00776B13">
        <w:rPr>
          <w:rFonts w:ascii="Arial" w:hAnsi="Arial" w:cs="Arial"/>
          <w:i/>
          <w:iCs/>
          <w:sz w:val="20"/>
          <w:szCs w:val="20"/>
          <w:lang w:val="fr-FR"/>
        </w:rPr>
        <w:t>Obstetrics</w:t>
      </w:r>
      <w:proofErr w:type="spellEnd"/>
      <w:r w:rsidRPr="00776B13">
        <w:rPr>
          <w:rFonts w:ascii="Arial" w:hAnsi="Arial" w:cs="Arial"/>
          <w:i/>
          <w:iCs/>
          <w:sz w:val="20"/>
          <w:szCs w:val="20"/>
          <w:lang w:val="fr-FR"/>
        </w:rPr>
        <w:t xml:space="preserve"> &amp; </w:t>
      </w:r>
      <w:proofErr w:type="spellStart"/>
      <w:r w:rsidRPr="00776B13">
        <w:rPr>
          <w:rFonts w:ascii="Arial" w:hAnsi="Arial" w:cs="Arial"/>
          <w:i/>
          <w:iCs/>
          <w:sz w:val="20"/>
          <w:szCs w:val="20"/>
          <w:lang w:val="fr-FR"/>
        </w:rPr>
        <w:t>Gynecology</w:t>
      </w:r>
      <w:proofErr w:type="spellEnd"/>
      <w:r w:rsidRPr="00776B13">
        <w:rPr>
          <w:rFonts w:ascii="Arial" w:hAnsi="Arial" w:cs="Arial"/>
          <w:sz w:val="20"/>
          <w:szCs w:val="20"/>
          <w:lang w:val="fr-FR"/>
        </w:rPr>
        <w:t>, 133(1), e1-e25.</w:t>
      </w:r>
    </w:p>
    <w:p w14:paraId="0DEC4648"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Appel, L. J., Brands, M. W., Daniels, S. R., et al. </w:t>
      </w:r>
      <w:r w:rsidRPr="00776B13">
        <w:rPr>
          <w:rFonts w:ascii="Arial" w:hAnsi="Arial" w:cs="Arial"/>
          <w:sz w:val="20"/>
          <w:szCs w:val="20"/>
        </w:rPr>
        <w:t xml:space="preserve">(2006). Dietary approaches to prevent and treat hypertension: A scientific statement from the American Heart Association. </w:t>
      </w:r>
      <w:r w:rsidRPr="00776B13">
        <w:rPr>
          <w:rFonts w:ascii="Arial" w:hAnsi="Arial" w:cs="Arial"/>
          <w:i/>
          <w:iCs/>
          <w:sz w:val="20"/>
          <w:szCs w:val="20"/>
        </w:rPr>
        <w:t>Hypertension</w:t>
      </w:r>
      <w:r w:rsidRPr="00776B13">
        <w:rPr>
          <w:rFonts w:ascii="Arial" w:hAnsi="Arial" w:cs="Arial"/>
          <w:sz w:val="20"/>
          <w:szCs w:val="20"/>
        </w:rPr>
        <w:t>, 47(2), 296-308. https://doi.org/10.1161/01.HYP.0000202568.01167.B6</w:t>
      </w:r>
    </w:p>
    <w:p w14:paraId="3C50FB98"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Artal, R., &amp; O'Toole, M. (2003). Guidelines of the American College of Obstetricians and </w:t>
      </w:r>
      <w:proofErr w:type="spellStart"/>
      <w:r w:rsidRPr="00776B13">
        <w:rPr>
          <w:rFonts w:ascii="Arial" w:hAnsi="Arial" w:cs="Arial"/>
          <w:sz w:val="20"/>
          <w:szCs w:val="20"/>
        </w:rPr>
        <w:t>Gynecologists</w:t>
      </w:r>
      <w:proofErr w:type="spellEnd"/>
      <w:r w:rsidRPr="00776B13">
        <w:rPr>
          <w:rFonts w:ascii="Arial" w:hAnsi="Arial" w:cs="Arial"/>
          <w:sz w:val="20"/>
          <w:szCs w:val="20"/>
        </w:rPr>
        <w:t xml:space="preserve"> for exercise during pregnancy and the postpartum period. </w:t>
      </w:r>
      <w:r w:rsidRPr="00776B13">
        <w:rPr>
          <w:rFonts w:ascii="Arial" w:hAnsi="Arial" w:cs="Arial"/>
          <w:i/>
          <w:iCs/>
          <w:sz w:val="20"/>
          <w:szCs w:val="20"/>
        </w:rPr>
        <w:t>British Journal of Sports Medicine</w:t>
      </w:r>
      <w:r w:rsidRPr="00776B13">
        <w:rPr>
          <w:rFonts w:ascii="Arial" w:hAnsi="Arial" w:cs="Arial"/>
          <w:sz w:val="20"/>
          <w:szCs w:val="20"/>
        </w:rPr>
        <w:t>, 37(1), 6-12. https://doi.org/10.1136/bjsm.37.1.6</w:t>
      </w:r>
    </w:p>
    <w:p w14:paraId="09D0BBF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t xml:space="preserve">Ashoor, G., </w:t>
      </w:r>
      <w:proofErr w:type="spellStart"/>
      <w:r w:rsidRPr="00776B13">
        <w:rPr>
          <w:rFonts w:ascii="Arial" w:hAnsi="Arial" w:cs="Arial"/>
          <w:sz w:val="20"/>
          <w:szCs w:val="20"/>
        </w:rPr>
        <w:t>Kametas</w:t>
      </w:r>
      <w:proofErr w:type="spellEnd"/>
      <w:r w:rsidRPr="00776B13">
        <w:rPr>
          <w:rFonts w:ascii="Arial" w:hAnsi="Arial" w:cs="Arial"/>
          <w:sz w:val="20"/>
          <w:szCs w:val="20"/>
        </w:rPr>
        <w:t xml:space="preserve">, N. A., </w:t>
      </w:r>
      <w:proofErr w:type="spellStart"/>
      <w:r w:rsidRPr="00776B13">
        <w:rPr>
          <w:rFonts w:ascii="Arial" w:hAnsi="Arial" w:cs="Arial"/>
          <w:sz w:val="20"/>
          <w:szCs w:val="20"/>
        </w:rPr>
        <w:t>Akolekar</w:t>
      </w:r>
      <w:proofErr w:type="spellEnd"/>
      <w:r w:rsidRPr="00776B13">
        <w:rPr>
          <w:rFonts w:ascii="Arial" w:hAnsi="Arial" w:cs="Arial"/>
          <w:sz w:val="20"/>
          <w:szCs w:val="20"/>
        </w:rPr>
        <w:t xml:space="preserve">, R., et al. (2010). Maternal thyroid function at 11-13 weeks of gestation and spontaneous preterm delivery. </w:t>
      </w:r>
      <w:proofErr w:type="spellStart"/>
      <w:r w:rsidRPr="00776B13">
        <w:rPr>
          <w:rFonts w:ascii="Arial" w:hAnsi="Arial" w:cs="Arial"/>
          <w:i/>
          <w:iCs/>
          <w:sz w:val="20"/>
          <w:szCs w:val="20"/>
          <w:lang w:val="fr-FR"/>
        </w:rPr>
        <w:t>Obstetrics</w:t>
      </w:r>
      <w:proofErr w:type="spellEnd"/>
      <w:r w:rsidRPr="00776B13">
        <w:rPr>
          <w:rFonts w:ascii="Arial" w:hAnsi="Arial" w:cs="Arial"/>
          <w:i/>
          <w:iCs/>
          <w:sz w:val="20"/>
          <w:szCs w:val="20"/>
          <w:lang w:val="fr-FR"/>
        </w:rPr>
        <w:t xml:space="preserve"> &amp; </w:t>
      </w:r>
      <w:proofErr w:type="spellStart"/>
      <w:r w:rsidRPr="00776B13">
        <w:rPr>
          <w:rFonts w:ascii="Arial" w:hAnsi="Arial" w:cs="Arial"/>
          <w:i/>
          <w:iCs/>
          <w:sz w:val="20"/>
          <w:szCs w:val="20"/>
          <w:lang w:val="fr-FR"/>
        </w:rPr>
        <w:t>Gynecology</w:t>
      </w:r>
      <w:proofErr w:type="spellEnd"/>
      <w:r w:rsidRPr="00776B13">
        <w:rPr>
          <w:rFonts w:ascii="Arial" w:hAnsi="Arial" w:cs="Arial"/>
          <w:sz w:val="20"/>
          <w:szCs w:val="20"/>
          <w:lang w:val="fr-FR"/>
        </w:rPr>
        <w:t>, 117(2 Pt 1), 293-298. https://doi.org/10.1097/AOG.0b013e318205152c</w:t>
      </w:r>
    </w:p>
    <w:p w14:paraId="27C843C8" w14:textId="4566EF0C" w:rsidR="009B1048" w:rsidRPr="00776B13" w:rsidRDefault="00F81D11"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Bain E., Crane M., Tieu J., et al. </w:t>
      </w:r>
      <w:r w:rsidRPr="00776B13">
        <w:rPr>
          <w:rFonts w:ascii="Arial" w:hAnsi="Arial" w:cs="Arial"/>
          <w:sz w:val="20"/>
          <w:szCs w:val="20"/>
        </w:rPr>
        <w:t>(2015).</w:t>
      </w:r>
      <w:r w:rsidR="009B1048" w:rsidRPr="00776B13">
        <w:rPr>
          <w:rFonts w:ascii="Arial" w:hAnsi="Arial" w:cs="Arial"/>
          <w:sz w:val="20"/>
          <w:szCs w:val="20"/>
        </w:rPr>
        <w:t xml:space="preserve"> Diet and exercise interventions for preventing gestational diabetes mellitus. </w:t>
      </w:r>
      <w:r w:rsidR="009B1048" w:rsidRPr="00776B13">
        <w:rPr>
          <w:rFonts w:ascii="Arial" w:hAnsi="Arial" w:cs="Arial"/>
          <w:i/>
          <w:iCs/>
          <w:sz w:val="20"/>
          <w:szCs w:val="20"/>
        </w:rPr>
        <w:t>Cochrane Database of Systematic Reviews</w:t>
      </w:r>
      <w:r w:rsidR="009B1048" w:rsidRPr="00776B13">
        <w:rPr>
          <w:rFonts w:ascii="Arial" w:hAnsi="Arial" w:cs="Arial"/>
          <w:sz w:val="20"/>
          <w:szCs w:val="20"/>
        </w:rPr>
        <w:t>, (4), CD010443. https://doi.org/10.1002/14651858.CD010443.pub2</w:t>
      </w:r>
    </w:p>
    <w:p w14:paraId="48DD20F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Barlow, J., Wright, C., Sheasby, J., et al. (2006). Self-management approaches for people with chronic conditions: A review. </w:t>
      </w:r>
      <w:r w:rsidRPr="00776B13">
        <w:rPr>
          <w:rFonts w:ascii="Arial" w:hAnsi="Arial" w:cs="Arial"/>
          <w:i/>
          <w:iCs/>
          <w:sz w:val="20"/>
          <w:szCs w:val="20"/>
        </w:rPr>
        <w:t xml:space="preserve">Patient Education and </w:t>
      </w:r>
      <w:proofErr w:type="spellStart"/>
      <w:r w:rsidRPr="00776B13">
        <w:rPr>
          <w:rFonts w:ascii="Arial" w:hAnsi="Arial" w:cs="Arial"/>
          <w:i/>
          <w:iCs/>
          <w:sz w:val="20"/>
          <w:szCs w:val="20"/>
        </w:rPr>
        <w:t>Counseling</w:t>
      </w:r>
      <w:proofErr w:type="spellEnd"/>
      <w:r w:rsidRPr="00776B13">
        <w:rPr>
          <w:rFonts w:ascii="Arial" w:hAnsi="Arial" w:cs="Arial"/>
          <w:sz w:val="20"/>
          <w:szCs w:val="20"/>
        </w:rPr>
        <w:t>, 48(2), 177-187. https://doi.org/10.1016/S0738-3991(02)00032-0</w:t>
      </w:r>
    </w:p>
    <w:p w14:paraId="66460D8D"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Bateman, B. T., Hernandez-Diaz, S., Fischer, M. A., et al. (2015). Statins and congenital malformations: Cohort study. </w:t>
      </w:r>
      <w:r w:rsidRPr="00776B13">
        <w:rPr>
          <w:rFonts w:ascii="Arial" w:hAnsi="Arial" w:cs="Arial"/>
          <w:i/>
          <w:iCs/>
          <w:sz w:val="20"/>
          <w:szCs w:val="20"/>
        </w:rPr>
        <w:t>BMJ</w:t>
      </w:r>
      <w:r w:rsidRPr="00776B13">
        <w:rPr>
          <w:rFonts w:ascii="Arial" w:hAnsi="Arial" w:cs="Arial"/>
          <w:sz w:val="20"/>
          <w:szCs w:val="20"/>
        </w:rPr>
        <w:t>, 350, h1035. https://doi.org/10.1136/bmj.h1035</w:t>
      </w:r>
    </w:p>
    <w:p w14:paraId="2882BD0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Blumenthal, J. A., Babyak, M. A., Hinderliter, A., et al. (2010). Effects of the DASH diet alone and in combination with exercise and weight loss on blood pressure and cardiovascular biomarkers in men and women with high blood pressure: The ENCORE study. </w:t>
      </w:r>
      <w:r w:rsidRPr="00776B13">
        <w:rPr>
          <w:rFonts w:ascii="Arial" w:hAnsi="Arial" w:cs="Arial"/>
          <w:i/>
          <w:iCs/>
          <w:sz w:val="20"/>
          <w:szCs w:val="20"/>
        </w:rPr>
        <w:t>Archives of Internal Medicine</w:t>
      </w:r>
      <w:r w:rsidRPr="00776B13">
        <w:rPr>
          <w:rFonts w:ascii="Arial" w:hAnsi="Arial" w:cs="Arial"/>
          <w:sz w:val="20"/>
          <w:szCs w:val="20"/>
        </w:rPr>
        <w:t>, 170(2), 126-135. https://doi.org/10.1001/archinternmed.2009.470</w:t>
      </w:r>
    </w:p>
    <w:p w14:paraId="3A9B8BF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Bramham, K., Parnell, B., Nelson-Piercy, C., et al. (2014). Chronic hypertension and pregnancy outcomes: Systematic review and meta-analysis. </w:t>
      </w:r>
      <w:r w:rsidRPr="00776B13">
        <w:rPr>
          <w:rFonts w:ascii="Arial" w:hAnsi="Arial" w:cs="Arial"/>
          <w:i/>
          <w:iCs/>
          <w:sz w:val="20"/>
          <w:szCs w:val="20"/>
        </w:rPr>
        <w:t>BMJ</w:t>
      </w:r>
      <w:r w:rsidRPr="00776B13">
        <w:rPr>
          <w:rFonts w:ascii="Arial" w:hAnsi="Arial" w:cs="Arial"/>
          <w:sz w:val="20"/>
          <w:szCs w:val="20"/>
        </w:rPr>
        <w:t>, 348, g2301. https://doi.org/10.1136/bmj.g2301</w:t>
      </w:r>
    </w:p>
    <w:p w14:paraId="6D34117C" w14:textId="77777777" w:rsidR="00577A4E" w:rsidRDefault="00577A4E" w:rsidP="00776B13">
      <w:pPr>
        <w:pStyle w:val="ListParagraph"/>
        <w:numPr>
          <w:ilvl w:val="0"/>
          <w:numId w:val="4"/>
        </w:numPr>
        <w:spacing w:after="0" w:line="240" w:lineRule="auto"/>
        <w:jc w:val="both"/>
        <w:rPr>
          <w:rFonts w:ascii="Arial" w:hAnsi="Arial" w:cs="Arial"/>
          <w:sz w:val="20"/>
          <w:szCs w:val="20"/>
        </w:rPr>
      </w:pPr>
      <w:r w:rsidRPr="00577A4E">
        <w:rPr>
          <w:rFonts w:ascii="Arial" w:hAnsi="Arial" w:cs="Arial"/>
          <w:sz w:val="20"/>
          <w:szCs w:val="20"/>
        </w:rPr>
        <w:t xml:space="preserve">Brown, M. A., et al. (2021). Hypertensive disorders of pregnancy: 2021 ISSHP update. Pregnancy Hypertension, 24, 148–169. </w:t>
      </w:r>
    </w:p>
    <w:p w14:paraId="725CD83E" w14:textId="6702B058"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Brown, M. C., Best, K. E., Pearce, M. S., et al. (2013). Cardiovascular disease risk in women with pre-eclampsia: Systematic review and meta-analysis. </w:t>
      </w:r>
      <w:r w:rsidRPr="00776B13">
        <w:rPr>
          <w:rFonts w:ascii="Arial" w:hAnsi="Arial" w:cs="Arial"/>
          <w:i/>
          <w:iCs/>
          <w:sz w:val="20"/>
          <w:szCs w:val="20"/>
        </w:rPr>
        <w:t>European Journal of Epidemiology</w:t>
      </w:r>
      <w:r w:rsidRPr="00776B13">
        <w:rPr>
          <w:rFonts w:ascii="Arial" w:hAnsi="Arial" w:cs="Arial"/>
          <w:sz w:val="20"/>
          <w:szCs w:val="20"/>
        </w:rPr>
        <w:t>, 28(1), 1-19. https://doi.org/10.1007/s10654-013-9762-6</w:t>
      </w:r>
    </w:p>
    <w:p w14:paraId="6EE0B40A" w14:textId="024B79F3"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Catalano, P. M., &amp; Shankar, K. (2017). Obesity and pregnancy: Mechanisms of short term and </w:t>
      </w:r>
      <w:proofErr w:type="gramStart"/>
      <w:r w:rsidRPr="00776B13">
        <w:rPr>
          <w:rFonts w:ascii="Arial" w:hAnsi="Arial" w:cs="Arial"/>
          <w:sz w:val="20"/>
          <w:szCs w:val="20"/>
        </w:rPr>
        <w:t>long term</w:t>
      </w:r>
      <w:proofErr w:type="gramEnd"/>
      <w:r w:rsidRPr="00776B13">
        <w:rPr>
          <w:rFonts w:ascii="Arial" w:hAnsi="Arial" w:cs="Arial"/>
          <w:sz w:val="20"/>
          <w:szCs w:val="20"/>
        </w:rPr>
        <w:t xml:space="preserve"> adverse consequences for mother and child. </w:t>
      </w:r>
      <w:r w:rsidRPr="00776B13">
        <w:rPr>
          <w:rFonts w:ascii="Arial" w:hAnsi="Arial" w:cs="Arial"/>
          <w:i/>
          <w:iCs/>
          <w:sz w:val="20"/>
          <w:szCs w:val="20"/>
        </w:rPr>
        <w:t>BMJ</w:t>
      </w:r>
      <w:r w:rsidRPr="00776B13">
        <w:rPr>
          <w:rFonts w:ascii="Arial" w:hAnsi="Arial" w:cs="Arial"/>
          <w:sz w:val="20"/>
          <w:szCs w:val="20"/>
        </w:rPr>
        <w:t xml:space="preserve">, 356, j1. </w:t>
      </w:r>
      <w:hyperlink r:id="rId7" w:history="1">
        <w:r w:rsidR="00147BFC" w:rsidRPr="00776B13">
          <w:rPr>
            <w:rStyle w:val="Hyperlink"/>
            <w:rFonts w:ascii="Arial" w:hAnsi="Arial" w:cs="Arial"/>
            <w:sz w:val="20"/>
            <w:szCs w:val="20"/>
          </w:rPr>
          <w:t>https://doi.org/10.1136/bmj.j1</w:t>
        </w:r>
      </w:hyperlink>
    </w:p>
    <w:p w14:paraId="2233FD86" w14:textId="00F0561C" w:rsidR="00147BFC" w:rsidRPr="00776B13" w:rsidRDefault="00147BFC"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Choudhary, M., &amp; Singh, N. (2025). </w:t>
      </w:r>
      <w:r w:rsidRPr="00776B13">
        <w:rPr>
          <w:rFonts w:ascii="Arial" w:hAnsi="Arial" w:cs="Arial"/>
          <w:i/>
          <w:iCs/>
          <w:sz w:val="20"/>
          <w:szCs w:val="20"/>
        </w:rPr>
        <w:t>Influence of demographic factors on awareness of thyroid and hypertension management among pregnant women</w:t>
      </w:r>
      <w:r w:rsidRPr="00776B13">
        <w:rPr>
          <w:rFonts w:ascii="Arial" w:hAnsi="Arial" w:cs="Arial"/>
          <w:sz w:val="20"/>
          <w:szCs w:val="20"/>
        </w:rPr>
        <w:t xml:space="preserve">. </w:t>
      </w:r>
      <w:r w:rsidRPr="00776B13">
        <w:rPr>
          <w:rFonts w:ascii="Arial" w:hAnsi="Arial" w:cs="Arial"/>
          <w:i/>
          <w:iCs/>
          <w:sz w:val="20"/>
          <w:szCs w:val="20"/>
        </w:rPr>
        <w:t>International Journal of Environmental Sciences, 11</w:t>
      </w:r>
      <w:r w:rsidRPr="00776B13">
        <w:rPr>
          <w:rFonts w:ascii="Arial" w:hAnsi="Arial" w:cs="Arial"/>
          <w:sz w:val="20"/>
          <w:szCs w:val="20"/>
        </w:rPr>
        <w:t xml:space="preserve">(21s). </w:t>
      </w:r>
      <w:hyperlink r:id="rId8" w:tgtFrame="_new" w:history="1">
        <w:r w:rsidRPr="00776B13">
          <w:rPr>
            <w:rStyle w:val="Hyperlink"/>
            <w:rFonts w:ascii="Arial" w:hAnsi="Arial" w:cs="Arial"/>
            <w:sz w:val="20"/>
            <w:szCs w:val="20"/>
          </w:rPr>
          <w:t>https://theaspd.com/index.php</w:t>
        </w:r>
      </w:hyperlink>
    </w:p>
    <w:p w14:paraId="3D67C4A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lastRenderedPageBreak/>
        <w:t xml:space="preserve">Chobanian, A. V., Bakris, G. L., Black, H. R., et al. (2003). The Seventh Report of the Joint National Committee on Prevention, Detection, Evaluation, and Treatment of High Blood Pressure: The JNC 7 report. </w:t>
      </w:r>
      <w:r w:rsidRPr="00776B13">
        <w:rPr>
          <w:rFonts w:ascii="Arial" w:hAnsi="Arial" w:cs="Arial"/>
          <w:i/>
          <w:iCs/>
          <w:sz w:val="20"/>
          <w:szCs w:val="20"/>
          <w:lang w:val="fr-FR"/>
        </w:rPr>
        <w:t>JAMA</w:t>
      </w:r>
      <w:r w:rsidRPr="00776B13">
        <w:rPr>
          <w:rFonts w:ascii="Arial" w:hAnsi="Arial" w:cs="Arial"/>
          <w:sz w:val="20"/>
          <w:szCs w:val="20"/>
          <w:lang w:val="fr-FR"/>
        </w:rPr>
        <w:t>, 289(19), 2560-2572. https://doi.org/10.1001/jama.289.19.2560</w:t>
      </w:r>
    </w:p>
    <w:p w14:paraId="50F0904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Churchill, D., Beevers, G. D., Meher, S., et al. </w:t>
      </w:r>
      <w:r w:rsidRPr="00776B13">
        <w:rPr>
          <w:rFonts w:ascii="Arial" w:hAnsi="Arial" w:cs="Arial"/>
          <w:sz w:val="20"/>
          <w:szCs w:val="20"/>
        </w:rPr>
        <w:t xml:space="preserve">(2007). Diuretics for preventing pre-eclampsia. </w:t>
      </w:r>
      <w:r w:rsidRPr="00776B13">
        <w:rPr>
          <w:rFonts w:ascii="Arial" w:hAnsi="Arial" w:cs="Arial"/>
          <w:i/>
          <w:iCs/>
          <w:sz w:val="20"/>
          <w:szCs w:val="20"/>
        </w:rPr>
        <w:t>Cochrane Database of Systematic Reviews</w:t>
      </w:r>
      <w:r w:rsidRPr="00776B13">
        <w:rPr>
          <w:rFonts w:ascii="Arial" w:hAnsi="Arial" w:cs="Arial"/>
          <w:sz w:val="20"/>
          <w:szCs w:val="20"/>
        </w:rPr>
        <w:t>, (1), CD004451. https://doi.org/10.1002/14651858.CD004451.pub2</w:t>
      </w:r>
    </w:p>
    <w:p w14:paraId="37DC3B41"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Côté, A. M., Firoz, T., Mattman, A., et al. </w:t>
      </w:r>
      <w:r w:rsidRPr="00776B13">
        <w:rPr>
          <w:rFonts w:ascii="Arial" w:hAnsi="Arial" w:cs="Arial"/>
          <w:sz w:val="20"/>
          <w:szCs w:val="20"/>
        </w:rPr>
        <w:t xml:space="preserve">(2008). The 24-hour urine collection: Gold standard or historical practice? </w:t>
      </w:r>
      <w:r w:rsidRPr="00776B13">
        <w:rPr>
          <w:rFonts w:ascii="Arial" w:hAnsi="Arial" w:cs="Arial"/>
          <w:i/>
          <w:iCs/>
          <w:sz w:val="20"/>
          <w:szCs w:val="20"/>
        </w:rPr>
        <w:t xml:space="preserve">American Journal of 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199(6), 625.e1-6. https://doi.org/10.1016/j.ajog.2008.06.009</w:t>
      </w:r>
    </w:p>
    <w:p w14:paraId="16D9F45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Dalton, J. A., Rodger, D. L., Wilmore, M., et al. (2008). The health belief model applied to medication adherence in HIV-positive patients. </w:t>
      </w:r>
      <w:r w:rsidRPr="00776B13">
        <w:rPr>
          <w:rFonts w:ascii="Arial" w:hAnsi="Arial" w:cs="Arial"/>
          <w:i/>
          <w:iCs/>
          <w:sz w:val="20"/>
          <w:szCs w:val="20"/>
        </w:rPr>
        <w:t>Journal of Clinical Nursing</w:t>
      </w:r>
      <w:r w:rsidRPr="00776B13">
        <w:rPr>
          <w:rFonts w:ascii="Arial" w:hAnsi="Arial" w:cs="Arial"/>
          <w:sz w:val="20"/>
          <w:szCs w:val="20"/>
        </w:rPr>
        <w:t>, 17(20), 2669-2674. https://doi.org/10.1111/j.1365-2702.2008.02318.x</w:t>
      </w:r>
    </w:p>
    <w:p w14:paraId="427EC11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Dandona</w:t>
      </w:r>
      <w:proofErr w:type="spellEnd"/>
      <w:r w:rsidRPr="00776B13">
        <w:rPr>
          <w:rFonts w:ascii="Arial" w:hAnsi="Arial" w:cs="Arial"/>
          <w:sz w:val="20"/>
          <w:szCs w:val="20"/>
        </w:rPr>
        <w:t xml:space="preserve">, P., </w:t>
      </w:r>
      <w:proofErr w:type="spellStart"/>
      <w:r w:rsidRPr="00776B13">
        <w:rPr>
          <w:rFonts w:ascii="Arial" w:hAnsi="Arial" w:cs="Arial"/>
          <w:sz w:val="20"/>
          <w:szCs w:val="20"/>
        </w:rPr>
        <w:t>Aljada</w:t>
      </w:r>
      <w:proofErr w:type="spellEnd"/>
      <w:r w:rsidRPr="00776B13">
        <w:rPr>
          <w:rFonts w:ascii="Arial" w:hAnsi="Arial" w:cs="Arial"/>
          <w:sz w:val="20"/>
          <w:szCs w:val="20"/>
        </w:rPr>
        <w:t xml:space="preserve">, A., Chaudhuri, A., et al. (2011). Metabolic syndrome: A comprehensive perspective based on interactions between obesity, diabetes, and inflammation. </w:t>
      </w:r>
      <w:r w:rsidRPr="00776B13">
        <w:rPr>
          <w:rFonts w:ascii="Arial" w:hAnsi="Arial" w:cs="Arial"/>
          <w:i/>
          <w:iCs/>
          <w:sz w:val="20"/>
          <w:szCs w:val="20"/>
          <w:lang w:val="fr-FR"/>
        </w:rPr>
        <w:t>Circulation</w:t>
      </w:r>
      <w:r w:rsidRPr="00776B13">
        <w:rPr>
          <w:rFonts w:ascii="Arial" w:hAnsi="Arial" w:cs="Arial"/>
          <w:sz w:val="20"/>
          <w:szCs w:val="20"/>
          <w:lang w:val="fr-FR"/>
        </w:rPr>
        <w:t>, 111(11), 1448-1454. https://doi.org/10.1161/01.CIR.0000158483.13093.9D</w:t>
      </w:r>
    </w:p>
    <w:p w14:paraId="13C3286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Daw, J. R., Hanley, G. E., Greyson, D. L., et al. </w:t>
      </w:r>
      <w:r w:rsidRPr="00776B13">
        <w:rPr>
          <w:rFonts w:ascii="Arial" w:hAnsi="Arial" w:cs="Arial"/>
          <w:sz w:val="20"/>
          <w:szCs w:val="20"/>
        </w:rPr>
        <w:t xml:space="preserve">(2011). Prescription drug use during pregnancy in developed countries: A systematic review. </w:t>
      </w:r>
      <w:r w:rsidRPr="00776B13">
        <w:rPr>
          <w:rFonts w:ascii="Arial" w:hAnsi="Arial" w:cs="Arial"/>
          <w:i/>
          <w:iCs/>
          <w:sz w:val="20"/>
          <w:szCs w:val="20"/>
        </w:rPr>
        <w:t>Pharmacoepidemiology and Drug Safety</w:t>
      </w:r>
      <w:r w:rsidRPr="00776B13">
        <w:rPr>
          <w:rFonts w:ascii="Arial" w:hAnsi="Arial" w:cs="Arial"/>
          <w:sz w:val="20"/>
          <w:szCs w:val="20"/>
        </w:rPr>
        <w:t>, 20(9), 895-902. https://doi.org/10.1002/pds.2184</w:t>
      </w:r>
    </w:p>
    <w:p w14:paraId="40F22AC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De Groot, L., </w:t>
      </w:r>
      <w:proofErr w:type="spellStart"/>
      <w:r w:rsidRPr="00776B13">
        <w:rPr>
          <w:rFonts w:ascii="Arial" w:hAnsi="Arial" w:cs="Arial"/>
          <w:sz w:val="20"/>
          <w:szCs w:val="20"/>
        </w:rPr>
        <w:t>Abalovich</w:t>
      </w:r>
      <w:proofErr w:type="spellEnd"/>
      <w:r w:rsidRPr="00776B13">
        <w:rPr>
          <w:rFonts w:ascii="Arial" w:hAnsi="Arial" w:cs="Arial"/>
          <w:sz w:val="20"/>
          <w:szCs w:val="20"/>
        </w:rPr>
        <w:t xml:space="preserve">, M., Alexander, E. K., et al. (2012). Management of thyroid dysfunction during pregnancy and postpartum: An Endocrine Society clinical practice guideline. </w:t>
      </w:r>
      <w:r w:rsidRPr="00776B13">
        <w:rPr>
          <w:rFonts w:ascii="Arial" w:hAnsi="Arial" w:cs="Arial"/>
          <w:i/>
          <w:iCs/>
          <w:sz w:val="20"/>
          <w:szCs w:val="20"/>
        </w:rPr>
        <w:t>Journal of Clinical Endocrinology &amp; Metabolism</w:t>
      </w:r>
      <w:r w:rsidRPr="00776B13">
        <w:rPr>
          <w:rFonts w:ascii="Arial" w:hAnsi="Arial" w:cs="Arial"/>
          <w:sz w:val="20"/>
          <w:szCs w:val="20"/>
        </w:rPr>
        <w:t>, 97(8), 2543-2565. https://doi.org/10.1210/jc.2011-2803</w:t>
      </w:r>
    </w:p>
    <w:p w14:paraId="2560A81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Dodd, J. M., Turnbull, D., McPhee, A. J., et al. (2014). Antenatal lifestyle advice for women who are overweight or obese: LIMIT randomised trial. </w:t>
      </w:r>
      <w:r w:rsidRPr="00776B13">
        <w:rPr>
          <w:rFonts w:ascii="Arial" w:hAnsi="Arial" w:cs="Arial"/>
          <w:i/>
          <w:iCs/>
          <w:sz w:val="20"/>
          <w:szCs w:val="20"/>
        </w:rPr>
        <w:t>BMJ</w:t>
      </w:r>
      <w:r w:rsidRPr="00776B13">
        <w:rPr>
          <w:rFonts w:ascii="Arial" w:hAnsi="Arial" w:cs="Arial"/>
          <w:sz w:val="20"/>
          <w:szCs w:val="20"/>
        </w:rPr>
        <w:t>, 348, g1285. https://doi.org/10.1136/bmj.g1285</w:t>
      </w:r>
    </w:p>
    <w:p w14:paraId="081DDF0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Duckitt, K., &amp; Harrington, D. (2005). Risk factors for pre-eclampsia at antenatal booking: Systematic review of controlled studies. </w:t>
      </w:r>
      <w:r w:rsidRPr="00776B13">
        <w:rPr>
          <w:rFonts w:ascii="Arial" w:hAnsi="Arial" w:cs="Arial"/>
          <w:i/>
          <w:iCs/>
          <w:sz w:val="20"/>
          <w:szCs w:val="20"/>
        </w:rPr>
        <w:t>BMJ</w:t>
      </w:r>
      <w:r w:rsidRPr="00776B13">
        <w:rPr>
          <w:rFonts w:ascii="Arial" w:hAnsi="Arial" w:cs="Arial"/>
          <w:sz w:val="20"/>
          <w:szCs w:val="20"/>
        </w:rPr>
        <w:t>, 330(7491), 565. https://doi.org/10.1136/bmj.38380.674340.E0</w:t>
      </w:r>
    </w:p>
    <w:p w14:paraId="7D024431"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Dunn, O. J. (2013). Multiple comparisons among means. </w:t>
      </w:r>
      <w:r w:rsidRPr="00776B13">
        <w:rPr>
          <w:rFonts w:ascii="Arial" w:hAnsi="Arial" w:cs="Arial"/>
          <w:i/>
          <w:iCs/>
          <w:sz w:val="20"/>
          <w:szCs w:val="20"/>
        </w:rPr>
        <w:t>Journal of the American Statistical Association</w:t>
      </w:r>
      <w:r w:rsidRPr="00776B13">
        <w:rPr>
          <w:rFonts w:ascii="Arial" w:hAnsi="Arial" w:cs="Arial"/>
          <w:sz w:val="20"/>
          <w:szCs w:val="20"/>
        </w:rPr>
        <w:t>, 56(293), 52-64. https://doi.org/10.1080/01621459.1961.10482090</w:t>
      </w:r>
    </w:p>
    <w:p w14:paraId="5AFF098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t xml:space="preserve">Emanuel, E. J., Wendler, D., &amp; Grady, C. (2000). What makes clinical research ethical? </w:t>
      </w:r>
      <w:r w:rsidRPr="00776B13">
        <w:rPr>
          <w:rFonts w:ascii="Arial" w:hAnsi="Arial" w:cs="Arial"/>
          <w:i/>
          <w:iCs/>
          <w:sz w:val="20"/>
          <w:szCs w:val="20"/>
          <w:lang w:val="fr-FR"/>
        </w:rPr>
        <w:t>JAMA</w:t>
      </w:r>
      <w:r w:rsidRPr="00776B13">
        <w:rPr>
          <w:rFonts w:ascii="Arial" w:hAnsi="Arial" w:cs="Arial"/>
          <w:sz w:val="20"/>
          <w:szCs w:val="20"/>
          <w:lang w:val="fr-FR"/>
        </w:rPr>
        <w:t>, 283(20), 2701-2711. https://doi.org/10.1001/jama.283.20.2701</w:t>
      </w:r>
    </w:p>
    <w:p w14:paraId="051D7875"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Garber, C. E., </w:t>
      </w:r>
      <w:proofErr w:type="spellStart"/>
      <w:r w:rsidRPr="00776B13">
        <w:rPr>
          <w:rFonts w:ascii="Arial" w:hAnsi="Arial" w:cs="Arial"/>
          <w:sz w:val="20"/>
          <w:szCs w:val="20"/>
          <w:lang w:val="fr-FR"/>
        </w:rPr>
        <w:t>Blissmer</w:t>
      </w:r>
      <w:proofErr w:type="spellEnd"/>
      <w:r w:rsidRPr="00776B13">
        <w:rPr>
          <w:rFonts w:ascii="Arial" w:hAnsi="Arial" w:cs="Arial"/>
          <w:sz w:val="20"/>
          <w:szCs w:val="20"/>
          <w:lang w:val="fr-FR"/>
        </w:rPr>
        <w:t xml:space="preserve">, B., Deschenes, M. R., et al. </w:t>
      </w:r>
      <w:r w:rsidRPr="00776B13">
        <w:rPr>
          <w:rFonts w:ascii="Arial" w:hAnsi="Arial" w:cs="Arial"/>
          <w:sz w:val="20"/>
          <w:szCs w:val="20"/>
        </w:rPr>
        <w:t xml:space="preserve">(2011). American College of Sports Medicine position stand. Quantity and quality of exercise for developing and maintaining cardiorespiratory, musculoskeletal, and neuromotor fitness in apparently healthy adults: Guidance for prescribing exercise. </w:t>
      </w:r>
      <w:r w:rsidRPr="00776B13">
        <w:rPr>
          <w:rFonts w:ascii="Arial" w:hAnsi="Arial" w:cs="Arial"/>
          <w:i/>
          <w:iCs/>
          <w:sz w:val="20"/>
          <w:szCs w:val="20"/>
        </w:rPr>
        <w:t>Medicine &amp; Science in Sports &amp; Exercise</w:t>
      </w:r>
      <w:r w:rsidRPr="00776B13">
        <w:rPr>
          <w:rFonts w:ascii="Arial" w:hAnsi="Arial" w:cs="Arial"/>
          <w:sz w:val="20"/>
          <w:szCs w:val="20"/>
        </w:rPr>
        <w:t>, 43(7), 1334-1359. https://doi.org/10.1249/MSS.0b013e318213fefb</w:t>
      </w:r>
    </w:p>
    <w:p w14:paraId="56A2D002"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Garovic</w:t>
      </w:r>
      <w:proofErr w:type="spellEnd"/>
      <w:r w:rsidRPr="00776B13">
        <w:rPr>
          <w:rFonts w:ascii="Arial" w:hAnsi="Arial" w:cs="Arial"/>
          <w:sz w:val="20"/>
          <w:szCs w:val="20"/>
        </w:rPr>
        <w:t xml:space="preserve">, V. D., </w:t>
      </w:r>
      <w:proofErr w:type="spellStart"/>
      <w:r w:rsidRPr="00776B13">
        <w:rPr>
          <w:rFonts w:ascii="Arial" w:hAnsi="Arial" w:cs="Arial"/>
          <w:sz w:val="20"/>
          <w:szCs w:val="20"/>
        </w:rPr>
        <w:t>Dechend</w:t>
      </w:r>
      <w:proofErr w:type="spellEnd"/>
      <w:r w:rsidRPr="00776B13">
        <w:rPr>
          <w:rFonts w:ascii="Arial" w:hAnsi="Arial" w:cs="Arial"/>
          <w:sz w:val="20"/>
          <w:szCs w:val="20"/>
        </w:rPr>
        <w:t xml:space="preserve">, R., Easterling, T., et al. (2022). Hypertension in pregnancy: Diagnosis, blood pressure goals, and pharmacotherapy. A scientific statement from the American Heart Association. </w:t>
      </w:r>
      <w:r w:rsidRPr="00776B13">
        <w:rPr>
          <w:rFonts w:ascii="Arial" w:hAnsi="Arial" w:cs="Arial"/>
          <w:i/>
          <w:iCs/>
          <w:sz w:val="20"/>
          <w:szCs w:val="20"/>
        </w:rPr>
        <w:t>Hypertension</w:t>
      </w:r>
      <w:r w:rsidRPr="00776B13">
        <w:rPr>
          <w:rFonts w:ascii="Arial" w:hAnsi="Arial" w:cs="Arial"/>
          <w:sz w:val="20"/>
          <w:szCs w:val="20"/>
        </w:rPr>
        <w:t>, 79(2), e21-e41. https://doi.org/10.1161/HYP.0000000000000208</w:t>
      </w:r>
    </w:p>
    <w:p w14:paraId="3F12BCB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Glinoer</w:t>
      </w:r>
      <w:proofErr w:type="spellEnd"/>
      <w:r w:rsidRPr="00776B13">
        <w:rPr>
          <w:rFonts w:ascii="Arial" w:hAnsi="Arial" w:cs="Arial"/>
          <w:sz w:val="20"/>
          <w:szCs w:val="20"/>
        </w:rPr>
        <w:t xml:space="preserve">, D. (2007). The regulation of thyroid function during normal pregnancy: Importance of the iodine nutrition status. </w:t>
      </w:r>
      <w:r w:rsidRPr="00776B13">
        <w:rPr>
          <w:rFonts w:ascii="Arial" w:hAnsi="Arial" w:cs="Arial"/>
          <w:i/>
          <w:iCs/>
          <w:sz w:val="20"/>
          <w:szCs w:val="20"/>
        </w:rPr>
        <w:t>Best Practice &amp; Research Clinical Endocrinology &amp; Metabolism</w:t>
      </w:r>
      <w:r w:rsidRPr="00776B13">
        <w:rPr>
          <w:rFonts w:ascii="Arial" w:hAnsi="Arial" w:cs="Arial"/>
          <w:sz w:val="20"/>
          <w:szCs w:val="20"/>
        </w:rPr>
        <w:t>, 18(2), 133-152. https://doi.org/10.1016/j.beem.2004.03.001</w:t>
      </w:r>
    </w:p>
    <w:p w14:paraId="4CDE5FB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Gluud, L. L. (2006). Bias in clinical intervention research. </w:t>
      </w:r>
      <w:r w:rsidRPr="00776B13">
        <w:rPr>
          <w:rFonts w:ascii="Arial" w:hAnsi="Arial" w:cs="Arial"/>
          <w:i/>
          <w:iCs/>
          <w:sz w:val="20"/>
          <w:szCs w:val="20"/>
        </w:rPr>
        <w:t>American Journal of Epidemiology</w:t>
      </w:r>
      <w:r w:rsidRPr="00776B13">
        <w:rPr>
          <w:rFonts w:ascii="Arial" w:hAnsi="Arial" w:cs="Arial"/>
          <w:sz w:val="20"/>
          <w:szCs w:val="20"/>
        </w:rPr>
        <w:t>, 163(6), 493-501. https://doi.org/10.1093/aje/kwj069</w:t>
      </w:r>
    </w:p>
    <w:p w14:paraId="0A0BDCC2"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Grady, C. (2015). Enduring and emerging challenges of informed consent. </w:t>
      </w:r>
      <w:r w:rsidRPr="00776B13">
        <w:rPr>
          <w:rFonts w:ascii="Arial" w:hAnsi="Arial" w:cs="Arial"/>
          <w:i/>
          <w:iCs/>
          <w:sz w:val="20"/>
          <w:szCs w:val="20"/>
        </w:rPr>
        <w:t>New England Journal of Medicine</w:t>
      </w:r>
      <w:r w:rsidRPr="00776B13">
        <w:rPr>
          <w:rFonts w:ascii="Arial" w:hAnsi="Arial" w:cs="Arial"/>
          <w:sz w:val="20"/>
          <w:szCs w:val="20"/>
        </w:rPr>
        <w:t>, 372(9), 855-862. https://doi.org/10.1056/NEJMra1411250</w:t>
      </w:r>
    </w:p>
    <w:p w14:paraId="0420C510"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Guardino, C. M., &amp; Schetter, C. D. (2014). Understanding pregnancy anxiety: Concepts, correlates, and consequences. </w:t>
      </w:r>
      <w:r w:rsidRPr="00776B13">
        <w:rPr>
          <w:rFonts w:ascii="Arial" w:hAnsi="Arial" w:cs="Arial"/>
          <w:i/>
          <w:iCs/>
          <w:sz w:val="20"/>
          <w:szCs w:val="20"/>
        </w:rPr>
        <w:t>Zero to Three</w:t>
      </w:r>
      <w:r w:rsidRPr="00776B13">
        <w:rPr>
          <w:rFonts w:ascii="Arial" w:hAnsi="Arial" w:cs="Arial"/>
          <w:sz w:val="20"/>
          <w:szCs w:val="20"/>
        </w:rPr>
        <w:t>, 34(4), 12-21.</w:t>
      </w:r>
    </w:p>
    <w:p w14:paraId="7834AE55"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Gupta, S. K. (2011). Intention-to-treat concept: A review. </w:t>
      </w:r>
      <w:r w:rsidRPr="00776B13">
        <w:rPr>
          <w:rFonts w:ascii="Arial" w:hAnsi="Arial" w:cs="Arial"/>
          <w:i/>
          <w:iCs/>
          <w:sz w:val="20"/>
          <w:szCs w:val="20"/>
        </w:rPr>
        <w:t>Perspectives in Clinical Research</w:t>
      </w:r>
      <w:r w:rsidRPr="00776B13">
        <w:rPr>
          <w:rFonts w:ascii="Arial" w:hAnsi="Arial" w:cs="Arial"/>
          <w:sz w:val="20"/>
          <w:szCs w:val="20"/>
        </w:rPr>
        <w:t>, 2(3), 109-112. https://doi.org/10.4103/2229-3485.83221</w:t>
      </w:r>
    </w:p>
    <w:p w14:paraId="1810E39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Hanson, M. A., Bardsley, A., De-</w:t>
      </w:r>
      <w:proofErr w:type="spellStart"/>
      <w:r w:rsidRPr="00776B13">
        <w:rPr>
          <w:rFonts w:ascii="Arial" w:hAnsi="Arial" w:cs="Arial"/>
          <w:sz w:val="20"/>
          <w:szCs w:val="20"/>
          <w:lang w:val="fr-FR"/>
        </w:rPr>
        <w:t>Regil</w:t>
      </w:r>
      <w:proofErr w:type="spellEnd"/>
      <w:r w:rsidRPr="00776B13">
        <w:rPr>
          <w:rFonts w:ascii="Arial" w:hAnsi="Arial" w:cs="Arial"/>
          <w:sz w:val="20"/>
          <w:szCs w:val="20"/>
          <w:lang w:val="fr-FR"/>
        </w:rPr>
        <w:t xml:space="preserve">, L. M., et al. </w:t>
      </w:r>
      <w:r w:rsidRPr="00776B13">
        <w:rPr>
          <w:rFonts w:ascii="Arial" w:hAnsi="Arial" w:cs="Arial"/>
          <w:sz w:val="20"/>
          <w:szCs w:val="20"/>
        </w:rPr>
        <w:t xml:space="preserve">(2017). The International Federation of </w:t>
      </w:r>
      <w:proofErr w:type="spellStart"/>
      <w:r w:rsidRPr="00776B13">
        <w:rPr>
          <w:rFonts w:ascii="Arial" w:hAnsi="Arial" w:cs="Arial"/>
          <w:sz w:val="20"/>
          <w:szCs w:val="20"/>
        </w:rPr>
        <w:t>Gynecology</w:t>
      </w:r>
      <w:proofErr w:type="spellEnd"/>
      <w:r w:rsidRPr="00776B13">
        <w:rPr>
          <w:rFonts w:ascii="Arial" w:hAnsi="Arial" w:cs="Arial"/>
          <w:sz w:val="20"/>
          <w:szCs w:val="20"/>
        </w:rPr>
        <w:t xml:space="preserve"> and Obstetrics (FIGO) recommendations on adolescent, preconception, and maternal nutrition: "Think Nutrition First". </w:t>
      </w:r>
      <w:r w:rsidRPr="00776B13">
        <w:rPr>
          <w:rFonts w:ascii="Arial" w:hAnsi="Arial" w:cs="Arial"/>
          <w:i/>
          <w:iCs/>
          <w:sz w:val="20"/>
          <w:szCs w:val="20"/>
        </w:rPr>
        <w:t xml:space="preserve">International Journal of </w:t>
      </w:r>
      <w:proofErr w:type="spellStart"/>
      <w:r w:rsidRPr="00776B13">
        <w:rPr>
          <w:rFonts w:ascii="Arial" w:hAnsi="Arial" w:cs="Arial"/>
          <w:i/>
          <w:iCs/>
          <w:sz w:val="20"/>
          <w:szCs w:val="20"/>
        </w:rPr>
        <w:t>Gynecology</w:t>
      </w:r>
      <w:proofErr w:type="spellEnd"/>
      <w:r w:rsidRPr="00776B13">
        <w:rPr>
          <w:rFonts w:ascii="Arial" w:hAnsi="Arial" w:cs="Arial"/>
          <w:i/>
          <w:iCs/>
          <w:sz w:val="20"/>
          <w:szCs w:val="20"/>
        </w:rPr>
        <w:t xml:space="preserve"> &amp; Obstetrics</w:t>
      </w:r>
      <w:r w:rsidRPr="00776B13">
        <w:rPr>
          <w:rFonts w:ascii="Arial" w:hAnsi="Arial" w:cs="Arial"/>
          <w:sz w:val="20"/>
          <w:szCs w:val="20"/>
        </w:rPr>
        <w:t>, 131(S4), S213-S253. https://doi.org/10.1016/S0020-7292(15)30034-5</w:t>
      </w:r>
    </w:p>
    <w:p w14:paraId="5AF73912"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Hanson, M., Barker, M., Dodd, J. M., et al. </w:t>
      </w:r>
      <w:r w:rsidRPr="00776B13">
        <w:rPr>
          <w:rFonts w:ascii="Arial" w:hAnsi="Arial" w:cs="Arial"/>
          <w:sz w:val="20"/>
          <w:szCs w:val="20"/>
        </w:rPr>
        <w:t xml:space="preserve">(2019). Interventions to prevent maternal obesity before conception, during pregnancy, and </w:t>
      </w:r>
      <w:proofErr w:type="spellStart"/>
      <w:r w:rsidRPr="00776B13">
        <w:rPr>
          <w:rFonts w:ascii="Arial" w:hAnsi="Arial" w:cs="Arial"/>
          <w:sz w:val="20"/>
          <w:szCs w:val="20"/>
        </w:rPr>
        <w:t>post partum</w:t>
      </w:r>
      <w:proofErr w:type="spellEnd"/>
      <w:r w:rsidRPr="00776B13">
        <w:rPr>
          <w:rFonts w:ascii="Arial" w:hAnsi="Arial" w:cs="Arial"/>
          <w:sz w:val="20"/>
          <w:szCs w:val="20"/>
        </w:rPr>
        <w:t xml:space="preserve">. </w:t>
      </w:r>
      <w:r w:rsidRPr="00776B13">
        <w:rPr>
          <w:rFonts w:ascii="Arial" w:hAnsi="Arial" w:cs="Arial"/>
          <w:i/>
          <w:iCs/>
          <w:sz w:val="20"/>
          <w:szCs w:val="20"/>
        </w:rPr>
        <w:t>Lancet Diabetes &amp; Endocrinology</w:t>
      </w:r>
      <w:r w:rsidRPr="00776B13">
        <w:rPr>
          <w:rFonts w:ascii="Arial" w:hAnsi="Arial" w:cs="Arial"/>
          <w:sz w:val="20"/>
          <w:szCs w:val="20"/>
        </w:rPr>
        <w:t>, 5(1), 65-76. https://doi.org/10.1016/S2213-8587(16)30108-5</w:t>
      </w:r>
    </w:p>
    <w:p w14:paraId="595549F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lastRenderedPageBreak/>
        <w:t xml:space="preserve">Harris, A. D., McGregor, J. C., Perencevich, E. N., et al. (2006). The use and interpretation of quasi-experimental studies in medical informatics. </w:t>
      </w:r>
      <w:r w:rsidRPr="00776B13">
        <w:rPr>
          <w:rFonts w:ascii="Arial" w:hAnsi="Arial" w:cs="Arial"/>
          <w:i/>
          <w:iCs/>
          <w:sz w:val="20"/>
          <w:szCs w:val="20"/>
        </w:rPr>
        <w:t>Journal of the American Medical Informatics Association</w:t>
      </w:r>
      <w:r w:rsidRPr="00776B13">
        <w:rPr>
          <w:rFonts w:ascii="Arial" w:hAnsi="Arial" w:cs="Arial"/>
          <w:sz w:val="20"/>
          <w:szCs w:val="20"/>
        </w:rPr>
        <w:t>, 13(1), 16-23. https://doi.org/10.1197/jamia.M1749</w:t>
      </w:r>
    </w:p>
    <w:p w14:paraId="3804890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Harrison, D. G., Guzik, T. J., Lob, H. E., et al. (2011). Inflammation, immunity, and hypertension. </w:t>
      </w:r>
      <w:r w:rsidRPr="00776B13">
        <w:rPr>
          <w:rFonts w:ascii="Arial" w:hAnsi="Arial" w:cs="Arial"/>
          <w:i/>
          <w:iCs/>
          <w:sz w:val="20"/>
          <w:szCs w:val="20"/>
        </w:rPr>
        <w:t>Hypertension</w:t>
      </w:r>
      <w:r w:rsidRPr="00776B13">
        <w:rPr>
          <w:rFonts w:ascii="Arial" w:hAnsi="Arial" w:cs="Arial"/>
          <w:sz w:val="20"/>
          <w:szCs w:val="20"/>
        </w:rPr>
        <w:t>, 57(2), 132-140. https://doi.org/10.1161/HYPERTENSIONAHA.110.163576</w:t>
      </w:r>
    </w:p>
    <w:p w14:paraId="210A107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He, F. J., &amp; MacGregor, G. A. (2011). Salt reduction lowers cardiovascular risk: Meta-analysis of outcome trials. </w:t>
      </w:r>
      <w:r w:rsidRPr="00776B13">
        <w:rPr>
          <w:rFonts w:ascii="Arial" w:hAnsi="Arial" w:cs="Arial"/>
          <w:i/>
          <w:iCs/>
          <w:sz w:val="20"/>
          <w:szCs w:val="20"/>
        </w:rPr>
        <w:t>Lancet</w:t>
      </w:r>
      <w:r w:rsidRPr="00776B13">
        <w:rPr>
          <w:rFonts w:ascii="Arial" w:hAnsi="Arial" w:cs="Arial"/>
          <w:sz w:val="20"/>
          <w:szCs w:val="20"/>
        </w:rPr>
        <w:t>, 378(9789), 380-382. https://doi.org/10.1016/S0140-6736(11)61174-4</w:t>
      </w:r>
    </w:p>
    <w:p w14:paraId="1A2651D1"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Hypertension in Pregnancy Task Force. (2013). Hypertension in pregnancy: The management of hypertensive disorders during pregnancy. </w:t>
      </w:r>
      <w:r w:rsidRPr="00776B13">
        <w:rPr>
          <w:rFonts w:ascii="Arial" w:hAnsi="Arial" w:cs="Arial"/>
          <w:i/>
          <w:iCs/>
          <w:sz w:val="20"/>
          <w:szCs w:val="20"/>
        </w:rPr>
        <w:t>NICE Clinical Guideline</w:t>
      </w:r>
      <w:r w:rsidRPr="00776B13">
        <w:rPr>
          <w:rFonts w:ascii="Arial" w:hAnsi="Arial" w:cs="Arial"/>
          <w:sz w:val="20"/>
          <w:szCs w:val="20"/>
        </w:rPr>
        <w:t>, 107, 1-53.</w:t>
      </w:r>
    </w:p>
    <w:p w14:paraId="4B1D755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Iglesias, P., &amp; Diez, J. J. (2009). Thyroid dysfunction and kidney disease. </w:t>
      </w:r>
      <w:r w:rsidRPr="00776B13">
        <w:rPr>
          <w:rFonts w:ascii="Arial" w:hAnsi="Arial" w:cs="Arial"/>
          <w:i/>
          <w:iCs/>
          <w:sz w:val="20"/>
          <w:szCs w:val="20"/>
        </w:rPr>
        <w:t>European Journal of Endocrinology</w:t>
      </w:r>
      <w:r w:rsidRPr="00776B13">
        <w:rPr>
          <w:rFonts w:ascii="Arial" w:hAnsi="Arial" w:cs="Arial"/>
          <w:sz w:val="20"/>
          <w:szCs w:val="20"/>
        </w:rPr>
        <w:t>, 160(4), 503-515. https://doi.org/10.1530/EJE-08-0837</w:t>
      </w:r>
    </w:p>
    <w:p w14:paraId="442AC60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Ives, C. W., Sinkey, R., </w:t>
      </w:r>
      <w:proofErr w:type="spellStart"/>
      <w:r w:rsidRPr="00776B13">
        <w:rPr>
          <w:rFonts w:ascii="Arial" w:hAnsi="Arial" w:cs="Arial"/>
          <w:sz w:val="20"/>
          <w:szCs w:val="20"/>
        </w:rPr>
        <w:t>Rajapreyar</w:t>
      </w:r>
      <w:proofErr w:type="spellEnd"/>
      <w:r w:rsidRPr="00776B13">
        <w:rPr>
          <w:rFonts w:ascii="Arial" w:hAnsi="Arial" w:cs="Arial"/>
          <w:sz w:val="20"/>
          <w:szCs w:val="20"/>
        </w:rPr>
        <w:t xml:space="preserve">, I., et al. (2020). Preeclampsia-pathophysiology and clinical presentations: JACC State-of-the-Art Review. </w:t>
      </w:r>
      <w:r w:rsidRPr="00776B13">
        <w:rPr>
          <w:rFonts w:ascii="Arial" w:hAnsi="Arial" w:cs="Arial"/>
          <w:i/>
          <w:iCs/>
          <w:sz w:val="20"/>
          <w:szCs w:val="20"/>
        </w:rPr>
        <w:t>Journal of the American College of Cardiology</w:t>
      </w:r>
      <w:r w:rsidRPr="00776B13">
        <w:rPr>
          <w:rFonts w:ascii="Arial" w:hAnsi="Arial" w:cs="Arial"/>
          <w:sz w:val="20"/>
          <w:szCs w:val="20"/>
        </w:rPr>
        <w:t>, 76(14), 1690-1702. https://doi.org/10.1016/j.jacc.2020.08.014</w:t>
      </w:r>
    </w:p>
    <w:p w14:paraId="37FC8C7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Karanikas, G., Schuetz, M., Kontur, S., et al. </w:t>
      </w:r>
      <w:r w:rsidRPr="00776B13">
        <w:rPr>
          <w:rFonts w:ascii="Arial" w:hAnsi="Arial" w:cs="Arial"/>
          <w:sz w:val="20"/>
          <w:szCs w:val="20"/>
        </w:rPr>
        <w:t xml:space="preserve">(2008). Isotopic renal function studies in severe hypothyroidism and after thyroid hormone replacement therapy. </w:t>
      </w:r>
      <w:r w:rsidRPr="00776B13">
        <w:rPr>
          <w:rFonts w:ascii="Arial" w:hAnsi="Arial" w:cs="Arial"/>
          <w:i/>
          <w:iCs/>
          <w:sz w:val="20"/>
          <w:szCs w:val="20"/>
        </w:rPr>
        <w:t>American Journal of Nephrology</w:t>
      </w:r>
      <w:r w:rsidRPr="00776B13">
        <w:rPr>
          <w:rFonts w:ascii="Arial" w:hAnsi="Arial" w:cs="Arial"/>
          <w:sz w:val="20"/>
          <w:szCs w:val="20"/>
        </w:rPr>
        <w:t>, 28(3), 511-515. https://doi.org/10.1159/000113543</w:t>
      </w:r>
    </w:p>
    <w:p w14:paraId="6EA6278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Karakosta, P., Alegakis, D., Georgiou, V., et al. (2012). Thyroid dysfunction and autoantibodies in early pregnancy are associated with increased risk of gestational diabetes and adverse birth outcomes. </w:t>
      </w:r>
      <w:r w:rsidRPr="00776B13">
        <w:rPr>
          <w:rFonts w:ascii="Arial" w:hAnsi="Arial" w:cs="Arial"/>
          <w:i/>
          <w:iCs/>
          <w:sz w:val="20"/>
          <w:szCs w:val="20"/>
        </w:rPr>
        <w:t>Journal of Clinical Endocrinology &amp; Metabolism</w:t>
      </w:r>
      <w:r w:rsidRPr="00776B13">
        <w:rPr>
          <w:rFonts w:ascii="Arial" w:hAnsi="Arial" w:cs="Arial"/>
          <w:sz w:val="20"/>
          <w:szCs w:val="20"/>
        </w:rPr>
        <w:t>, 97(12), 4464-4472. https://doi.org/10.1210/jc.2012-2540</w:t>
      </w:r>
    </w:p>
    <w:p w14:paraId="7746F52D"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Karumanchi</w:t>
      </w:r>
      <w:proofErr w:type="spellEnd"/>
      <w:r w:rsidRPr="00776B13">
        <w:rPr>
          <w:rFonts w:ascii="Arial" w:hAnsi="Arial" w:cs="Arial"/>
          <w:sz w:val="20"/>
          <w:szCs w:val="20"/>
        </w:rPr>
        <w:t xml:space="preserve">, S. A., &amp; Granger, J. P. (2016). Preeclampsia and pregnancy-related hypertensive disorders. </w:t>
      </w:r>
      <w:r w:rsidRPr="00776B13">
        <w:rPr>
          <w:rFonts w:ascii="Arial" w:hAnsi="Arial" w:cs="Arial"/>
          <w:i/>
          <w:iCs/>
          <w:sz w:val="20"/>
          <w:szCs w:val="20"/>
        </w:rPr>
        <w:t>Hypertension</w:t>
      </w:r>
      <w:r w:rsidRPr="00776B13">
        <w:rPr>
          <w:rFonts w:ascii="Arial" w:hAnsi="Arial" w:cs="Arial"/>
          <w:sz w:val="20"/>
          <w:szCs w:val="20"/>
        </w:rPr>
        <w:t>, 67(2), 238-242. https://doi.org/10.1161/HYPERTENSIONAHA.115.05024</w:t>
      </w:r>
    </w:p>
    <w:p w14:paraId="7838B3D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Kiely, M., Cogan, P. F., Kearney, P. M., et al. (2013). Concentrations and prevalence of vitamin D inadequacy in a representative population in Ireland. </w:t>
      </w:r>
      <w:r w:rsidRPr="00776B13">
        <w:rPr>
          <w:rFonts w:ascii="Arial" w:hAnsi="Arial" w:cs="Arial"/>
          <w:i/>
          <w:iCs/>
          <w:sz w:val="20"/>
          <w:szCs w:val="20"/>
        </w:rPr>
        <w:t>European Journal of Clinical Nutrition</w:t>
      </w:r>
      <w:r w:rsidRPr="00776B13">
        <w:rPr>
          <w:rFonts w:ascii="Arial" w:hAnsi="Arial" w:cs="Arial"/>
          <w:sz w:val="20"/>
          <w:szCs w:val="20"/>
        </w:rPr>
        <w:t>, 67(3), 281-286. https://doi.org/10.1038/ejcn.2012.222</w:t>
      </w:r>
    </w:p>
    <w:p w14:paraId="3258EA25"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Knapp, T. R., &amp; Campbell, D. T. (2011). Exploring the validity of quasi-experimental research designs. </w:t>
      </w:r>
      <w:r w:rsidRPr="00776B13">
        <w:rPr>
          <w:rFonts w:ascii="Arial" w:hAnsi="Arial" w:cs="Arial"/>
          <w:i/>
          <w:iCs/>
          <w:sz w:val="20"/>
          <w:szCs w:val="20"/>
        </w:rPr>
        <w:t>Western Journal of Nursing Research</w:t>
      </w:r>
      <w:r w:rsidRPr="00776B13">
        <w:rPr>
          <w:rFonts w:ascii="Arial" w:hAnsi="Arial" w:cs="Arial"/>
          <w:sz w:val="20"/>
          <w:szCs w:val="20"/>
        </w:rPr>
        <w:t>, 13(2), 274-276. https://doi.org/10.1177/019394599101300209</w:t>
      </w:r>
    </w:p>
    <w:p w14:paraId="181B649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Korevaar</w:t>
      </w:r>
      <w:proofErr w:type="spellEnd"/>
      <w:r w:rsidRPr="00776B13">
        <w:rPr>
          <w:rFonts w:ascii="Arial" w:hAnsi="Arial" w:cs="Arial"/>
          <w:sz w:val="20"/>
          <w:szCs w:val="20"/>
        </w:rPr>
        <w:t xml:space="preserve">, T. I., Muetzel, R., Medici, M., et al. (2016). Association of maternal thyroid function during early pregnancy with offspring IQ and brain morphology in childhood: A population-based prospective cohort study. </w:t>
      </w:r>
      <w:r w:rsidRPr="00776B13">
        <w:rPr>
          <w:rFonts w:ascii="Arial" w:hAnsi="Arial" w:cs="Arial"/>
          <w:i/>
          <w:iCs/>
          <w:sz w:val="20"/>
          <w:szCs w:val="20"/>
          <w:lang w:val="fr-FR"/>
        </w:rPr>
        <w:t xml:space="preserve">Lancet </w:t>
      </w:r>
      <w:proofErr w:type="spellStart"/>
      <w:r w:rsidRPr="00776B13">
        <w:rPr>
          <w:rFonts w:ascii="Arial" w:hAnsi="Arial" w:cs="Arial"/>
          <w:i/>
          <w:iCs/>
          <w:sz w:val="20"/>
          <w:szCs w:val="20"/>
          <w:lang w:val="fr-FR"/>
        </w:rPr>
        <w:t>Diabetes</w:t>
      </w:r>
      <w:proofErr w:type="spellEnd"/>
      <w:r w:rsidRPr="00776B13">
        <w:rPr>
          <w:rFonts w:ascii="Arial" w:hAnsi="Arial" w:cs="Arial"/>
          <w:i/>
          <w:iCs/>
          <w:sz w:val="20"/>
          <w:szCs w:val="20"/>
          <w:lang w:val="fr-FR"/>
        </w:rPr>
        <w:t xml:space="preserve"> &amp; </w:t>
      </w:r>
      <w:proofErr w:type="spellStart"/>
      <w:r w:rsidRPr="00776B13">
        <w:rPr>
          <w:rFonts w:ascii="Arial" w:hAnsi="Arial" w:cs="Arial"/>
          <w:i/>
          <w:iCs/>
          <w:sz w:val="20"/>
          <w:szCs w:val="20"/>
          <w:lang w:val="fr-FR"/>
        </w:rPr>
        <w:t>Endocrinology</w:t>
      </w:r>
      <w:proofErr w:type="spellEnd"/>
      <w:r w:rsidRPr="00776B13">
        <w:rPr>
          <w:rFonts w:ascii="Arial" w:hAnsi="Arial" w:cs="Arial"/>
          <w:sz w:val="20"/>
          <w:szCs w:val="20"/>
          <w:lang w:val="fr-FR"/>
        </w:rPr>
        <w:t>, 4(1), 35-43. https://doi.org/10.1016/S2213-8587(15)00327-7</w:t>
      </w:r>
    </w:p>
    <w:p w14:paraId="6DEE8B7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Lazarus, J., Brown, R. S., </w:t>
      </w:r>
      <w:proofErr w:type="spellStart"/>
      <w:r w:rsidRPr="00776B13">
        <w:rPr>
          <w:rFonts w:ascii="Arial" w:hAnsi="Arial" w:cs="Arial"/>
          <w:sz w:val="20"/>
          <w:szCs w:val="20"/>
          <w:lang w:val="fr-FR"/>
        </w:rPr>
        <w:t>Daumerie</w:t>
      </w:r>
      <w:proofErr w:type="spellEnd"/>
      <w:r w:rsidRPr="00776B13">
        <w:rPr>
          <w:rFonts w:ascii="Arial" w:hAnsi="Arial" w:cs="Arial"/>
          <w:sz w:val="20"/>
          <w:szCs w:val="20"/>
          <w:lang w:val="fr-FR"/>
        </w:rPr>
        <w:t xml:space="preserve">, C., et al. </w:t>
      </w:r>
      <w:r w:rsidRPr="00776B13">
        <w:rPr>
          <w:rFonts w:ascii="Arial" w:hAnsi="Arial" w:cs="Arial"/>
          <w:sz w:val="20"/>
          <w:szCs w:val="20"/>
        </w:rPr>
        <w:t xml:space="preserve">(2014). 2014 European thyroid association guidelines for the management of subclinical hypothyroidism in pregnancy and in children. </w:t>
      </w:r>
      <w:r w:rsidRPr="00776B13">
        <w:rPr>
          <w:rFonts w:ascii="Arial" w:hAnsi="Arial" w:cs="Arial"/>
          <w:i/>
          <w:iCs/>
          <w:sz w:val="20"/>
          <w:szCs w:val="20"/>
        </w:rPr>
        <w:t>European Thyroid Journal</w:t>
      </w:r>
      <w:r w:rsidRPr="00776B13">
        <w:rPr>
          <w:rFonts w:ascii="Arial" w:hAnsi="Arial" w:cs="Arial"/>
          <w:sz w:val="20"/>
          <w:szCs w:val="20"/>
        </w:rPr>
        <w:t>, 3(2), 76-94. https://doi.org/10.1159/000362597</w:t>
      </w:r>
    </w:p>
    <w:p w14:paraId="7369E85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t xml:space="preserve">Lloyd-Jones, D. M., Hong, Y., Labarthe, D., et al. (2010). Defining and setting national goals for cardiovascular health promotion and disease reduction: The American Heart Association's strategic Impact Goal through 2020 and beyond. </w:t>
      </w:r>
      <w:r w:rsidRPr="00776B13">
        <w:rPr>
          <w:rFonts w:ascii="Arial" w:hAnsi="Arial" w:cs="Arial"/>
          <w:i/>
          <w:iCs/>
          <w:sz w:val="20"/>
          <w:szCs w:val="20"/>
          <w:lang w:val="fr-FR"/>
        </w:rPr>
        <w:t>Circulation</w:t>
      </w:r>
      <w:r w:rsidRPr="00776B13">
        <w:rPr>
          <w:rFonts w:ascii="Arial" w:hAnsi="Arial" w:cs="Arial"/>
          <w:sz w:val="20"/>
          <w:szCs w:val="20"/>
          <w:lang w:val="fr-FR"/>
        </w:rPr>
        <w:t>, 121(4), 586-613. https://doi.org/10.1161/CIRCULATIONAHA.109.192703</w:t>
      </w:r>
    </w:p>
    <w:p w14:paraId="410338C8" w14:textId="15542ED6"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Magee, L. A., von Dadelszen, P., Rey, E., et al. </w:t>
      </w:r>
      <w:r w:rsidRPr="00776B13">
        <w:rPr>
          <w:rFonts w:ascii="Arial" w:hAnsi="Arial" w:cs="Arial"/>
          <w:sz w:val="20"/>
          <w:szCs w:val="20"/>
        </w:rPr>
        <w:t xml:space="preserve">(2015). Less tight versus tight control of hypertension in pregnancy. </w:t>
      </w:r>
      <w:r w:rsidRPr="00776B13">
        <w:rPr>
          <w:rFonts w:ascii="Arial" w:hAnsi="Arial" w:cs="Arial"/>
          <w:i/>
          <w:iCs/>
          <w:sz w:val="20"/>
          <w:szCs w:val="20"/>
        </w:rPr>
        <w:t>New England Journal of Medicine</w:t>
      </w:r>
      <w:r w:rsidRPr="00776B13">
        <w:rPr>
          <w:rFonts w:ascii="Arial" w:hAnsi="Arial" w:cs="Arial"/>
          <w:sz w:val="20"/>
          <w:szCs w:val="20"/>
        </w:rPr>
        <w:t>, 372(5), 407-417. https://doi.org/10.1056/NEJMoa1404595</w:t>
      </w:r>
    </w:p>
    <w:p w14:paraId="33A62F2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Magee, L. A., Pels, A., </w:t>
      </w:r>
      <w:proofErr w:type="spellStart"/>
      <w:r w:rsidRPr="00776B13">
        <w:rPr>
          <w:rFonts w:ascii="Arial" w:hAnsi="Arial" w:cs="Arial"/>
          <w:sz w:val="20"/>
          <w:szCs w:val="20"/>
        </w:rPr>
        <w:t>Helewa</w:t>
      </w:r>
      <w:proofErr w:type="spellEnd"/>
      <w:r w:rsidRPr="00776B13">
        <w:rPr>
          <w:rFonts w:ascii="Arial" w:hAnsi="Arial" w:cs="Arial"/>
          <w:sz w:val="20"/>
          <w:szCs w:val="20"/>
        </w:rPr>
        <w:t xml:space="preserve">, M., et al. (2014). Diagnosis, evaluation, and management of the hypertensive disorders of pregnancy: Executive summary. </w:t>
      </w:r>
      <w:r w:rsidRPr="00776B13">
        <w:rPr>
          <w:rFonts w:ascii="Arial" w:hAnsi="Arial" w:cs="Arial"/>
          <w:i/>
          <w:iCs/>
          <w:sz w:val="20"/>
          <w:szCs w:val="20"/>
        </w:rPr>
        <w:t>Journal of Obstetrics and Gynaecology Canada</w:t>
      </w:r>
      <w:r w:rsidRPr="00776B13">
        <w:rPr>
          <w:rFonts w:ascii="Arial" w:hAnsi="Arial" w:cs="Arial"/>
          <w:sz w:val="20"/>
          <w:szCs w:val="20"/>
        </w:rPr>
        <w:t>, 36(5), 416-441. https://doi.org/10.1016/S1701-2163(15)30588-0</w:t>
      </w:r>
    </w:p>
    <w:p w14:paraId="096B53C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Mandel, S. J., Cooper, D. S., &amp; Kaplan, M. M. (2011). The use of antithyroid drugs in pregnancy and lactation. </w:t>
      </w:r>
      <w:r w:rsidRPr="00776B13">
        <w:rPr>
          <w:rFonts w:ascii="Arial" w:hAnsi="Arial" w:cs="Arial"/>
          <w:i/>
          <w:iCs/>
          <w:sz w:val="20"/>
          <w:szCs w:val="20"/>
        </w:rPr>
        <w:t>Journal of Clinical Endocrinology &amp; Metabolism</w:t>
      </w:r>
      <w:r w:rsidRPr="00776B13">
        <w:rPr>
          <w:rFonts w:ascii="Arial" w:hAnsi="Arial" w:cs="Arial"/>
          <w:sz w:val="20"/>
          <w:szCs w:val="20"/>
        </w:rPr>
        <w:t>, 86(6), 2354-2359. https://doi.org/10.1210/jcem.86.6.7573</w:t>
      </w:r>
    </w:p>
    <w:p w14:paraId="757A52CF"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Mannisto, T., Mendola, P., Grewal, J., et al. (2013). Thyroid diseases and adverse pregnancy outcomes in a contemporary US cohort. </w:t>
      </w:r>
      <w:r w:rsidRPr="00776B13">
        <w:rPr>
          <w:rFonts w:ascii="Arial" w:hAnsi="Arial" w:cs="Arial"/>
          <w:i/>
          <w:iCs/>
          <w:sz w:val="20"/>
          <w:szCs w:val="20"/>
        </w:rPr>
        <w:t>Journal of Clinical Endocrinology &amp; Metabolism</w:t>
      </w:r>
      <w:r w:rsidRPr="00776B13">
        <w:rPr>
          <w:rFonts w:ascii="Arial" w:hAnsi="Arial" w:cs="Arial"/>
          <w:sz w:val="20"/>
          <w:szCs w:val="20"/>
        </w:rPr>
        <w:t>, 98(7), 2725-2733. https://doi.org/10.1210/jc.2012-4233</w:t>
      </w:r>
    </w:p>
    <w:p w14:paraId="70C7B4A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Maraka</w:t>
      </w:r>
      <w:proofErr w:type="spellEnd"/>
      <w:r w:rsidRPr="00776B13">
        <w:rPr>
          <w:rFonts w:ascii="Arial" w:hAnsi="Arial" w:cs="Arial"/>
          <w:sz w:val="20"/>
          <w:szCs w:val="20"/>
        </w:rPr>
        <w:t xml:space="preserve">, S., Ospina, N. M., O'Keeffe, D. T., et al. (2016). Subclinical hypothyroidism in pregnancy: A systematic review and meta-analysis. </w:t>
      </w:r>
      <w:r w:rsidRPr="00776B13">
        <w:rPr>
          <w:rFonts w:ascii="Arial" w:hAnsi="Arial" w:cs="Arial"/>
          <w:i/>
          <w:iCs/>
          <w:sz w:val="20"/>
          <w:szCs w:val="20"/>
        </w:rPr>
        <w:t>Thyroid</w:t>
      </w:r>
      <w:r w:rsidRPr="00776B13">
        <w:rPr>
          <w:rFonts w:ascii="Arial" w:hAnsi="Arial" w:cs="Arial"/>
          <w:sz w:val="20"/>
          <w:szCs w:val="20"/>
        </w:rPr>
        <w:t>, 26(4), 580-590. https://doi.org/10.1089/thy.2015.0418</w:t>
      </w:r>
    </w:p>
    <w:p w14:paraId="386A4269"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Maxwell, S. E., &amp; Delaney, H. D. (2004). </w:t>
      </w:r>
      <w:r w:rsidRPr="00776B13">
        <w:rPr>
          <w:rFonts w:ascii="Arial" w:hAnsi="Arial" w:cs="Arial"/>
          <w:i/>
          <w:iCs/>
          <w:sz w:val="20"/>
          <w:szCs w:val="20"/>
        </w:rPr>
        <w:t xml:space="preserve">Designing experiments and </w:t>
      </w:r>
      <w:proofErr w:type="spellStart"/>
      <w:r w:rsidRPr="00776B13">
        <w:rPr>
          <w:rFonts w:ascii="Arial" w:hAnsi="Arial" w:cs="Arial"/>
          <w:i/>
          <w:iCs/>
          <w:sz w:val="20"/>
          <w:szCs w:val="20"/>
        </w:rPr>
        <w:t>analyzing</w:t>
      </w:r>
      <w:proofErr w:type="spellEnd"/>
      <w:r w:rsidRPr="00776B13">
        <w:rPr>
          <w:rFonts w:ascii="Arial" w:hAnsi="Arial" w:cs="Arial"/>
          <w:i/>
          <w:iCs/>
          <w:sz w:val="20"/>
          <w:szCs w:val="20"/>
        </w:rPr>
        <w:t xml:space="preserve"> data: A model comparison perspective</w:t>
      </w:r>
      <w:r w:rsidRPr="00776B13">
        <w:rPr>
          <w:rFonts w:ascii="Arial" w:hAnsi="Arial" w:cs="Arial"/>
          <w:sz w:val="20"/>
          <w:szCs w:val="20"/>
        </w:rPr>
        <w:t xml:space="preserve"> (2nd ed.). Lawrence Erlbaum Associates.</w:t>
      </w:r>
    </w:p>
    <w:p w14:paraId="5F828498"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lastRenderedPageBreak/>
        <w:t xml:space="preserve">McNemar, Q. (1947). Note on the sampling error of the difference between correlated proportions or percentages. </w:t>
      </w:r>
      <w:proofErr w:type="spellStart"/>
      <w:r w:rsidRPr="00776B13">
        <w:rPr>
          <w:rFonts w:ascii="Arial" w:hAnsi="Arial" w:cs="Arial"/>
          <w:i/>
          <w:iCs/>
          <w:sz w:val="20"/>
          <w:szCs w:val="20"/>
          <w:lang w:val="fr-FR"/>
        </w:rPr>
        <w:t>Psychometrika</w:t>
      </w:r>
      <w:proofErr w:type="spellEnd"/>
      <w:r w:rsidRPr="00776B13">
        <w:rPr>
          <w:rFonts w:ascii="Arial" w:hAnsi="Arial" w:cs="Arial"/>
          <w:sz w:val="20"/>
          <w:szCs w:val="20"/>
          <w:lang w:val="fr-FR"/>
        </w:rPr>
        <w:t>, 12(2), 153-157. https://doi.org/10.1007/BF02295996</w:t>
      </w:r>
    </w:p>
    <w:p w14:paraId="2D259BE1"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Mitchell, A. A., Gilboa, S. M., Werler, M. M., et al. </w:t>
      </w:r>
      <w:r w:rsidRPr="00776B13">
        <w:rPr>
          <w:rFonts w:ascii="Arial" w:hAnsi="Arial" w:cs="Arial"/>
          <w:sz w:val="20"/>
          <w:szCs w:val="20"/>
        </w:rPr>
        <w:t xml:space="preserve">(2011). Medication use during pregnancy, with particular focus on prescription drugs: 1976-2008. </w:t>
      </w:r>
      <w:r w:rsidRPr="00776B13">
        <w:rPr>
          <w:rFonts w:ascii="Arial" w:hAnsi="Arial" w:cs="Arial"/>
          <w:i/>
          <w:iCs/>
          <w:sz w:val="20"/>
          <w:szCs w:val="20"/>
        </w:rPr>
        <w:t xml:space="preserve">American Journal of 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205(1), 51.e1-8. https://doi.org/10.1016/j.ajog.2011.02.029</w:t>
      </w:r>
    </w:p>
    <w:p w14:paraId="16D9C65B"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Mottola, M. F., Davenport, M. H., </w:t>
      </w:r>
      <w:proofErr w:type="spellStart"/>
      <w:r w:rsidRPr="00776B13">
        <w:rPr>
          <w:rFonts w:ascii="Arial" w:hAnsi="Arial" w:cs="Arial"/>
          <w:sz w:val="20"/>
          <w:szCs w:val="20"/>
          <w:lang w:val="fr-FR"/>
        </w:rPr>
        <w:t>Ruchat</w:t>
      </w:r>
      <w:proofErr w:type="spellEnd"/>
      <w:r w:rsidRPr="00776B13">
        <w:rPr>
          <w:rFonts w:ascii="Arial" w:hAnsi="Arial" w:cs="Arial"/>
          <w:sz w:val="20"/>
          <w:szCs w:val="20"/>
          <w:lang w:val="fr-FR"/>
        </w:rPr>
        <w:t xml:space="preserve">, S. M., et al. </w:t>
      </w:r>
      <w:r w:rsidRPr="00776B13">
        <w:rPr>
          <w:rFonts w:ascii="Arial" w:hAnsi="Arial" w:cs="Arial"/>
          <w:sz w:val="20"/>
          <w:szCs w:val="20"/>
        </w:rPr>
        <w:t xml:space="preserve">(2018). 2019 Canadian guideline for physical activity throughout pregnancy. </w:t>
      </w:r>
      <w:r w:rsidRPr="00776B13">
        <w:rPr>
          <w:rFonts w:ascii="Arial" w:hAnsi="Arial" w:cs="Arial"/>
          <w:i/>
          <w:iCs/>
          <w:sz w:val="20"/>
          <w:szCs w:val="20"/>
        </w:rPr>
        <w:t>British Journal of Sports Medicine</w:t>
      </w:r>
      <w:r w:rsidRPr="00776B13">
        <w:rPr>
          <w:rFonts w:ascii="Arial" w:hAnsi="Arial" w:cs="Arial"/>
          <w:sz w:val="20"/>
          <w:szCs w:val="20"/>
        </w:rPr>
        <w:t>, 52(21), 1339-1346. https://doi.org/10.1136/bjsports-2018-100056</w:t>
      </w:r>
    </w:p>
    <w:p w14:paraId="3B9B4CB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Mourad, J., Elliott, J. P., Erickson, L., et al. (2014). Appendicitis in pregnancy: New information that contradicts long-held clinical beliefs. </w:t>
      </w:r>
      <w:r w:rsidRPr="00776B13">
        <w:rPr>
          <w:rFonts w:ascii="Arial" w:hAnsi="Arial" w:cs="Arial"/>
          <w:i/>
          <w:iCs/>
          <w:sz w:val="20"/>
          <w:szCs w:val="20"/>
        </w:rPr>
        <w:t xml:space="preserve">American Journal of 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182(5), 1027-1029. https://doi.org/10.1067/mob.2000.105396</w:t>
      </w:r>
    </w:p>
    <w:p w14:paraId="4FDA5F58"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Muktabhant</w:t>
      </w:r>
      <w:proofErr w:type="spellEnd"/>
      <w:r w:rsidRPr="00776B13">
        <w:rPr>
          <w:rFonts w:ascii="Arial" w:hAnsi="Arial" w:cs="Arial"/>
          <w:sz w:val="20"/>
          <w:szCs w:val="20"/>
        </w:rPr>
        <w:t xml:space="preserve">, B., Lawrie, T. A., </w:t>
      </w:r>
      <w:proofErr w:type="spellStart"/>
      <w:r w:rsidRPr="00776B13">
        <w:rPr>
          <w:rFonts w:ascii="Arial" w:hAnsi="Arial" w:cs="Arial"/>
          <w:sz w:val="20"/>
          <w:szCs w:val="20"/>
        </w:rPr>
        <w:t>Lumbiganon</w:t>
      </w:r>
      <w:proofErr w:type="spellEnd"/>
      <w:r w:rsidRPr="00776B13">
        <w:rPr>
          <w:rFonts w:ascii="Arial" w:hAnsi="Arial" w:cs="Arial"/>
          <w:sz w:val="20"/>
          <w:szCs w:val="20"/>
        </w:rPr>
        <w:t xml:space="preserve">, P., et al. (2015). Diet or exercise, or both, for preventing excessive weight gain in pregnancy. </w:t>
      </w:r>
      <w:r w:rsidRPr="00776B13">
        <w:rPr>
          <w:rFonts w:ascii="Arial" w:hAnsi="Arial" w:cs="Arial"/>
          <w:i/>
          <w:iCs/>
          <w:sz w:val="20"/>
          <w:szCs w:val="20"/>
        </w:rPr>
        <w:t>Cochrane Database of Systematic Reviews</w:t>
      </w:r>
      <w:r w:rsidRPr="00776B13">
        <w:rPr>
          <w:rFonts w:ascii="Arial" w:hAnsi="Arial" w:cs="Arial"/>
          <w:sz w:val="20"/>
          <w:szCs w:val="20"/>
        </w:rPr>
        <w:t>, (6), CD007145. https://doi.org/10.1002/14651858.CD007145.pub3</w:t>
      </w:r>
    </w:p>
    <w:p w14:paraId="0788978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Negro, R., Greco, G., Mangieri, T., et al. </w:t>
      </w:r>
      <w:r w:rsidRPr="00776B13">
        <w:rPr>
          <w:rFonts w:ascii="Arial" w:hAnsi="Arial" w:cs="Arial"/>
          <w:sz w:val="20"/>
          <w:szCs w:val="20"/>
        </w:rPr>
        <w:t xml:space="preserve">(2007). The influence of selenium supplementation on postpartum thyroid status in pregnant women with thyroid peroxidase autoantibodies. </w:t>
      </w:r>
      <w:r w:rsidRPr="00776B13">
        <w:rPr>
          <w:rFonts w:ascii="Arial" w:hAnsi="Arial" w:cs="Arial"/>
          <w:i/>
          <w:iCs/>
          <w:sz w:val="20"/>
          <w:szCs w:val="20"/>
        </w:rPr>
        <w:t>Journal of Clinical Endocrinology &amp; Metabolism</w:t>
      </w:r>
      <w:r w:rsidRPr="00776B13">
        <w:rPr>
          <w:rFonts w:ascii="Arial" w:hAnsi="Arial" w:cs="Arial"/>
          <w:sz w:val="20"/>
          <w:szCs w:val="20"/>
        </w:rPr>
        <w:t>, 92(4), 1263-1268. https://doi.org/10.1210/jc.2006-1821</w:t>
      </w:r>
    </w:p>
    <w:p w14:paraId="1E29C061"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Negro, R., Schwartz, A., Gismondi, R., et al. (2010). Increased pregnancy loss rate in thyroid antibody negative women with TSH levels between 2.5 and 5.0 in the first trimester of pregnancy. </w:t>
      </w:r>
      <w:r w:rsidRPr="00776B13">
        <w:rPr>
          <w:rFonts w:ascii="Arial" w:hAnsi="Arial" w:cs="Arial"/>
          <w:i/>
          <w:iCs/>
          <w:sz w:val="20"/>
          <w:szCs w:val="20"/>
        </w:rPr>
        <w:t>Journal of Clinical Endocrinology &amp; Metabolism</w:t>
      </w:r>
      <w:r w:rsidRPr="00776B13">
        <w:rPr>
          <w:rFonts w:ascii="Arial" w:hAnsi="Arial" w:cs="Arial"/>
          <w:sz w:val="20"/>
          <w:szCs w:val="20"/>
        </w:rPr>
        <w:t>, 95(9), E44-E48. https://doi.org/10.1210/jc.2010-0340</w:t>
      </w:r>
    </w:p>
    <w:p w14:paraId="42C614C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NICE Guidelines. (2019). Hypertension in pregnancy: Diagnosis and management. </w:t>
      </w:r>
      <w:r w:rsidRPr="00776B13">
        <w:rPr>
          <w:rFonts w:ascii="Arial" w:hAnsi="Arial" w:cs="Arial"/>
          <w:i/>
          <w:iCs/>
          <w:sz w:val="20"/>
          <w:szCs w:val="20"/>
        </w:rPr>
        <w:t>National Institute for Health and Care Excellence</w:t>
      </w:r>
      <w:r w:rsidRPr="00776B13">
        <w:rPr>
          <w:rFonts w:ascii="Arial" w:hAnsi="Arial" w:cs="Arial"/>
          <w:sz w:val="20"/>
          <w:szCs w:val="20"/>
        </w:rPr>
        <w:t>, NG133.</w:t>
      </w:r>
    </w:p>
    <w:p w14:paraId="441780A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Peacock, A. S., </w:t>
      </w:r>
      <w:proofErr w:type="spellStart"/>
      <w:r w:rsidRPr="00776B13">
        <w:rPr>
          <w:rFonts w:ascii="Arial" w:hAnsi="Arial" w:cs="Arial"/>
          <w:sz w:val="20"/>
          <w:szCs w:val="20"/>
        </w:rPr>
        <w:t>Bogossian</w:t>
      </w:r>
      <w:proofErr w:type="spellEnd"/>
      <w:r w:rsidRPr="00776B13">
        <w:rPr>
          <w:rFonts w:ascii="Arial" w:hAnsi="Arial" w:cs="Arial"/>
          <w:sz w:val="20"/>
          <w:szCs w:val="20"/>
        </w:rPr>
        <w:t xml:space="preserve">, F., Wilkinson, S., et al. (2013). A randomised controlled trial to delay or prevent type 2 diabetes after gestational diabetes: Walking for Exercise and Nutrition to Prevent Diabetes for You. </w:t>
      </w:r>
      <w:r w:rsidRPr="00776B13">
        <w:rPr>
          <w:rFonts w:ascii="Arial" w:hAnsi="Arial" w:cs="Arial"/>
          <w:i/>
          <w:iCs/>
          <w:sz w:val="20"/>
          <w:szCs w:val="20"/>
        </w:rPr>
        <w:t>International Journal of Endocrinology</w:t>
      </w:r>
      <w:r w:rsidRPr="00776B13">
        <w:rPr>
          <w:rFonts w:ascii="Arial" w:hAnsi="Arial" w:cs="Arial"/>
          <w:sz w:val="20"/>
          <w:szCs w:val="20"/>
        </w:rPr>
        <w:t>, 2015, 423717. https://doi.org/10.1155/2015/423717</w:t>
      </w:r>
    </w:p>
    <w:p w14:paraId="54AEDA7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Phelan, S. (2010). Pregnancy: A "teachable moment" for weight control and obesity prevention. </w:t>
      </w:r>
      <w:r w:rsidRPr="00776B13">
        <w:rPr>
          <w:rFonts w:ascii="Arial" w:hAnsi="Arial" w:cs="Arial"/>
          <w:i/>
          <w:iCs/>
          <w:sz w:val="20"/>
          <w:szCs w:val="20"/>
        </w:rPr>
        <w:t xml:space="preserve">American Journal of 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202(2), 135.e1-8. https://doi.org/10.1016/j.ajog.2009.06.008</w:t>
      </w:r>
    </w:p>
    <w:p w14:paraId="52FFB44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Piccoli, G. B., </w:t>
      </w:r>
      <w:proofErr w:type="spellStart"/>
      <w:r w:rsidRPr="00776B13">
        <w:rPr>
          <w:rFonts w:ascii="Arial" w:hAnsi="Arial" w:cs="Arial"/>
          <w:sz w:val="20"/>
          <w:szCs w:val="20"/>
          <w:lang w:val="fr-FR"/>
        </w:rPr>
        <w:t>Cabiddu</w:t>
      </w:r>
      <w:proofErr w:type="spellEnd"/>
      <w:r w:rsidRPr="00776B13">
        <w:rPr>
          <w:rFonts w:ascii="Arial" w:hAnsi="Arial" w:cs="Arial"/>
          <w:sz w:val="20"/>
          <w:szCs w:val="20"/>
          <w:lang w:val="fr-FR"/>
        </w:rPr>
        <w:t xml:space="preserve">, G., </w:t>
      </w:r>
      <w:proofErr w:type="spellStart"/>
      <w:r w:rsidRPr="00776B13">
        <w:rPr>
          <w:rFonts w:ascii="Arial" w:hAnsi="Arial" w:cs="Arial"/>
          <w:sz w:val="20"/>
          <w:szCs w:val="20"/>
          <w:lang w:val="fr-FR"/>
        </w:rPr>
        <w:t>Attini</w:t>
      </w:r>
      <w:proofErr w:type="spellEnd"/>
      <w:r w:rsidRPr="00776B13">
        <w:rPr>
          <w:rFonts w:ascii="Arial" w:hAnsi="Arial" w:cs="Arial"/>
          <w:sz w:val="20"/>
          <w:szCs w:val="20"/>
          <w:lang w:val="fr-FR"/>
        </w:rPr>
        <w:t xml:space="preserve">, R., et al. </w:t>
      </w:r>
      <w:r w:rsidRPr="00776B13">
        <w:rPr>
          <w:rFonts w:ascii="Arial" w:hAnsi="Arial" w:cs="Arial"/>
          <w:sz w:val="20"/>
          <w:szCs w:val="20"/>
        </w:rPr>
        <w:t xml:space="preserve">(2018). Outcomes of pregnancies with glomerular diseases. </w:t>
      </w:r>
      <w:r w:rsidRPr="00776B13">
        <w:rPr>
          <w:rFonts w:ascii="Arial" w:hAnsi="Arial" w:cs="Arial"/>
          <w:i/>
          <w:iCs/>
          <w:sz w:val="20"/>
          <w:szCs w:val="20"/>
        </w:rPr>
        <w:t>Journal of the American Society of Nephrology</w:t>
      </w:r>
      <w:r w:rsidRPr="00776B13">
        <w:rPr>
          <w:rFonts w:ascii="Arial" w:hAnsi="Arial" w:cs="Arial"/>
          <w:sz w:val="20"/>
          <w:szCs w:val="20"/>
        </w:rPr>
        <w:t>, 28(6), 1764-1777. https://doi.org/10.1681/ASN.2016101102</w:t>
      </w:r>
    </w:p>
    <w:p w14:paraId="36B34E8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Podymow</w:t>
      </w:r>
      <w:proofErr w:type="spellEnd"/>
      <w:r w:rsidRPr="00776B13">
        <w:rPr>
          <w:rFonts w:ascii="Arial" w:hAnsi="Arial" w:cs="Arial"/>
          <w:sz w:val="20"/>
          <w:szCs w:val="20"/>
        </w:rPr>
        <w:t xml:space="preserve">, T., &amp; August, P. (2008). Update on the use of antihypertensive drugs in pregnancy. </w:t>
      </w:r>
      <w:r w:rsidRPr="00776B13">
        <w:rPr>
          <w:rFonts w:ascii="Arial" w:hAnsi="Arial" w:cs="Arial"/>
          <w:i/>
          <w:iCs/>
          <w:sz w:val="20"/>
          <w:szCs w:val="20"/>
          <w:lang w:val="fr-FR"/>
        </w:rPr>
        <w:t>Hypertension</w:t>
      </w:r>
      <w:r w:rsidRPr="00776B13">
        <w:rPr>
          <w:rFonts w:ascii="Arial" w:hAnsi="Arial" w:cs="Arial"/>
          <w:sz w:val="20"/>
          <w:szCs w:val="20"/>
          <w:lang w:val="fr-FR"/>
        </w:rPr>
        <w:t>, 51(4), 960-969. https://doi.org/10.1161/HYPERTENSIONAHA.106.075895</w:t>
      </w:r>
    </w:p>
    <w:p w14:paraId="17D93365"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Redman, C. W., &amp; Sargent, I. L. (2009). </w:t>
      </w:r>
      <w:r w:rsidRPr="00776B13">
        <w:rPr>
          <w:rFonts w:ascii="Arial" w:hAnsi="Arial" w:cs="Arial"/>
          <w:sz w:val="20"/>
          <w:szCs w:val="20"/>
        </w:rPr>
        <w:t xml:space="preserve">Placental stress and pre-eclampsia: A revised view. </w:t>
      </w:r>
      <w:r w:rsidRPr="00776B13">
        <w:rPr>
          <w:rFonts w:ascii="Arial" w:hAnsi="Arial" w:cs="Arial"/>
          <w:i/>
          <w:iCs/>
          <w:sz w:val="20"/>
          <w:szCs w:val="20"/>
        </w:rPr>
        <w:t>Placenta</w:t>
      </w:r>
      <w:r w:rsidRPr="00776B13">
        <w:rPr>
          <w:rFonts w:ascii="Arial" w:hAnsi="Arial" w:cs="Arial"/>
          <w:sz w:val="20"/>
          <w:szCs w:val="20"/>
        </w:rPr>
        <w:t>, 30(</w:t>
      </w:r>
      <w:proofErr w:type="spellStart"/>
      <w:r w:rsidRPr="00776B13">
        <w:rPr>
          <w:rFonts w:ascii="Arial" w:hAnsi="Arial" w:cs="Arial"/>
          <w:sz w:val="20"/>
          <w:szCs w:val="20"/>
        </w:rPr>
        <w:t>Suppl</w:t>
      </w:r>
      <w:proofErr w:type="spellEnd"/>
      <w:r w:rsidRPr="00776B13">
        <w:rPr>
          <w:rFonts w:ascii="Arial" w:hAnsi="Arial" w:cs="Arial"/>
          <w:sz w:val="20"/>
          <w:szCs w:val="20"/>
        </w:rPr>
        <w:t xml:space="preserve"> A), S38-S42. https://doi.org/10.1016/j.placenta.2008.11.021</w:t>
      </w:r>
    </w:p>
    <w:p w14:paraId="029557B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lang w:val="fr-FR"/>
        </w:rPr>
        <w:t>Rogozinska</w:t>
      </w:r>
      <w:proofErr w:type="spellEnd"/>
      <w:r w:rsidRPr="00776B13">
        <w:rPr>
          <w:rFonts w:ascii="Arial" w:hAnsi="Arial" w:cs="Arial"/>
          <w:sz w:val="20"/>
          <w:szCs w:val="20"/>
          <w:lang w:val="fr-FR"/>
        </w:rPr>
        <w:t xml:space="preserve">, E., Marlin, N., Jackson, L., et al. </w:t>
      </w:r>
      <w:r w:rsidRPr="00776B13">
        <w:rPr>
          <w:rFonts w:ascii="Arial" w:hAnsi="Arial" w:cs="Arial"/>
          <w:sz w:val="20"/>
          <w:szCs w:val="20"/>
        </w:rPr>
        <w:t xml:space="preserve">(2015). Effects of antenatal diet and physical activity on maternal and </w:t>
      </w:r>
      <w:proofErr w:type="spellStart"/>
      <w:r w:rsidRPr="00776B13">
        <w:rPr>
          <w:rFonts w:ascii="Arial" w:hAnsi="Arial" w:cs="Arial"/>
          <w:sz w:val="20"/>
          <w:szCs w:val="20"/>
        </w:rPr>
        <w:t>fetal</w:t>
      </w:r>
      <w:proofErr w:type="spellEnd"/>
      <w:r w:rsidRPr="00776B13">
        <w:rPr>
          <w:rFonts w:ascii="Arial" w:hAnsi="Arial" w:cs="Arial"/>
          <w:sz w:val="20"/>
          <w:szCs w:val="20"/>
        </w:rPr>
        <w:t xml:space="preserve"> outcomes: Individual patient data meta-analysis and health economic evaluation. </w:t>
      </w:r>
      <w:r w:rsidRPr="00776B13">
        <w:rPr>
          <w:rFonts w:ascii="Arial" w:hAnsi="Arial" w:cs="Arial"/>
          <w:i/>
          <w:iCs/>
          <w:sz w:val="20"/>
          <w:szCs w:val="20"/>
        </w:rPr>
        <w:t>Health Technology Assessment</w:t>
      </w:r>
      <w:r w:rsidRPr="00776B13">
        <w:rPr>
          <w:rFonts w:ascii="Arial" w:hAnsi="Arial" w:cs="Arial"/>
          <w:sz w:val="20"/>
          <w:szCs w:val="20"/>
        </w:rPr>
        <w:t>, 21(41), 1-158. https://doi.org/10.3310/hta21410</w:t>
      </w:r>
    </w:p>
    <w:p w14:paraId="365235BC"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Ruchat</w:t>
      </w:r>
      <w:proofErr w:type="spellEnd"/>
      <w:r w:rsidRPr="00776B13">
        <w:rPr>
          <w:rFonts w:ascii="Arial" w:hAnsi="Arial" w:cs="Arial"/>
          <w:sz w:val="20"/>
          <w:szCs w:val="20"/>
        </w:rPr>
        <w:t xml:space="preserve">, S. M., Mottola, M. F., Skow, R. J., et al. (2018). Effectiveness of exercise interventions in the prevention of excessive gestational weight gain and postpartum weight retention: A systematic review and meta-analysis. </w:t>
      </w:r>
      <w:r w:rsidRPr="00776B13">
        <w:rPr>
          <w:rFonts w:ascii="Arial" w:hAnsi="Arial" w:cs="Arial"/>
          <w:i/>
          <w:iCs/>
          <w:sz w:val="20"/>
          <w:szCs w:val="20"/>
        </w:rPr>
        <w:t>British Journal of Sports Medicine</w:t>
      </w:r>
      <w:r w:rsidRPr="00776B13">
        <w:rPr>
          <w:rFonts w:ascii="Arial" w:hAnsi="Arial" w:cs="Arial"/>
          <w:sz w:val="20"/>
          <w:szCs w:val="20"/>
        </w:rPr>
        <w:t>, 52(21), 1347-1356. https://doi.org/10.1136/bjsports-2018-099399</w:t>
      </w:r>
    </w:p>
    <w:p w14:paraId="0AE4409F"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Sakpal, T. V. (2010). Sample size estimation in clinical trial. </w:t>
      </w:r>
      <w:r w:rsidRPr="00776B13">
        <w:rPr>
          <w:rFonts w:ascii="Arial" w:hAnsi="Arial" w:cs="Arial"/>
          <w:i/>
          <w:iCs/>
          <w:sz w:val="20"/>
          <w:szCs w:val="20"/>
        </w:rPr>
        <w:t>Perspectives in Clinical Research</w:t>
      </w:r>
      <w:r w:rsidRPr="00776B13">
        <w:rPr>
          <w:rFonts w:ascii="Arial" w:hAnsi="Arial" w:cs="Arial"/>
          <w:sz w:val="20"/>
          <w:szCs w:val="20"/>
        </w:rPr>
        <w:t>, 1(2), 67-69.</w:t>
      </w:r>
    </w:p>
    <w:p w14:paraId="718FDDA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Schetter, C. D., &amp; Tanner, L. (2012). Anxiety, depression and stress in pregnancy: Implications for mothers, children, research, and practice. </w:t>
      </w:r>
      <w:r w:rsidRPr="00776B13">
        <w:rPr>
          <w:rFonts w:ascii="Arial" w:hAnsi="Arial" w:cs="Arial"/>
          <w:i/>
          <w:iCs/>
          <w:sz w:val="20"/>
          <w:szCs w:val="20"/>
        </w:rPr>
        <w:t>Current Opinion in Psychiatry</w:t>
      </w:r>
      <w:r w:rsidRPr="00776B13">
        <w:rPr>
          <w:rFonts w:ascii="Arial" w:hAnsi="Arial" w:cs="Arial"/>
          <w:sz w:val="20"/>
          <w:szCs w:val="20"/>
        </w:rPr>
        <w:t>, 25(2), 141-148. https://doi.org/10.1097/YCO.0b013e3283503680</w:t>
      </w:r>
    </w:p>
    <w:p w14:paraId="3736BA2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t xml:space="preserve">Schoenaker, D. A., Mishra, G. D., Callaway, L. K., et al. (2015). The role of energy, nutrients, foods, and dietary patterns in the development of gestational diabetes mellitus: A systematic review of observational studies. </w:t>
      </w:r>
      <w:proofErr w:type="spellStart"/>
      <w:r w:rsidRPr="00776B13">
        <w:rPr>
          <w:rFonts w:ascii="Arial" w:hAnsi="Arial" w:cs="Arial"/>
          <w:i/>
          <w:iCs/>
          <w:sz w:val="20"/>
          <w:szCs w:val="20"/>
          <w:lang w:val="fr-FR"/>
        </w:rPr>
        <w:t>Diabetes</w:t>
      </w:r>
      <w:proofErr w:type="spellEnd"/>
      <w:r w:rsidRPr="00776B13">
        <w:rPr>
          <w:rFonts w:ascii="Arial" w:hAnsi="Arial" w:cs="Arial"/>
          <w:i/>
          <w:iCs/>
          <w:sz w:val="20"/>
          <w:szCs w:val="20"/>
          <w:lang w:val="fr-FR"/>
        </w:rPr>
        <w:t xml:space="preserve"> Care</w:t>
      </w:r>
      <w:r w:rsidRPr="00776B13">
        <w:rPr>
          <w:rFonts w:ascii="Arial" w:hAnsi="Arial" w:cs="Arial"/>
          <w:sz w:val="20"/>
          <w:szCs w:val="20"/>
          <w:lang w:val="fr-FR"/>
        </w:rPr>
        <w:t>, 39(1), 16-23. https://doi.org/10.2337/dc15-0540</w:t>
      </w:r>
    </w:p>
    <w:p w14:paraId="4990B22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Shepherd, E., Gomersall, J. C., Tieu, J., et al. </w:t>
      </w:r>
      <w:r w:rsidRPr="00776B13">
        <w:rPr>
          <w:rFonts w:ascii="Arial" w:hAnsi="Arial" w:cs="Arial"/>
          <w:sz w:val="20"/>
          <w:szCs w:val="20"/>
        </w:rPr>
        <w:t xml:space="preserve">(2017). Combined diet and exercise interventions for preventing gestational diabetes mellitus. </w:t>
      </w:r>
      <w:r w:rsidRPr="00776B13">
        <w:rPr>
          <w:rFonts w:ascii="Arial" w:hAnsi="Arial" w:cs="Arial"/>
          <w:i/>
          <w:iCs/>
          <w:sz w:val="20"/>
          <w:szCs w:val="20"/>
        </w:rPr>
        <w:t>Cochrane Database of Systematic Reviews</w:t>
      </w:r>
      <w:r w:rsidRPr="00776B13">
        <w:rPr>
          <w:rFonts w:ascii="Arial" w:hAnsi="Arial" w:cs="Arial"/>
          <w:sz w:val="20"/>
          <w:szCs w:val="20"/>
        </w:rPr>
        <w:t>, (11), CD010443. https://doi.org/10.1002/14651858.CD010443.pub3</w:t>
      </w:r>
    </w:p>
    <w:p w14:paraId="4F0F544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lastRenderedPageBreak/>
        <w:t xml:space="preserve">Simmons, D., Devlieger, R., van Assche, A., et al. </w:t>
      </w:r>
      <w:r w:rsidRPr="00776B13">
        <w:rPr>
          <w:rFonts w:ascii="Arial" w:hAnsi="Arial" w:cs="Arial"/>
          <w:sz w:val="20"/>
          <w:szCs w:val="20"/>
        </w:rPr>
        <w:t xml:space="preserve">(2017). Effect of physical activity and/or healthy eating on GDM risk: The DALI lifestyle study. </w:t>
      </w:r>
      <w:r w:rsidRPr="00776B13">
        <w:rPr>
          <w:rFonts w:ascii="Arial" w:hAnsi="Arial" w:cs="Arial"/>
          <w:i/>
          <w:iCs/>
          <w:sz w:val="20"/>
          <w:szCs w:val="20"/>
        </w:rPr>
        <w:t>Journal of Clinical Endocrinology &amp; Metabolism</w:t>
      </w:r>
      <w:r w:rsidRPr="00776B13">
        <w:rPr>
          <w:rFonts w:ascii="Arial" w:hAnsi="Arial" w:cs="Arial"/>
          <w:sz w:val="20"/>
          <w:szCs w:val="20"/>
        </w:rPr>
        <w:t>, 102(3), 903-913. https://doi.org/10.1210/jc.2016-3455</w:t>
      </w:r>
    </w:p>
    <w:p w14:paraId="1A2177B9"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Staff, A. C. (2011). The two-stage placental model of preeclampsia: An update. </w:t>
      </w:r>
      <w:r w:rsidRPr="00776B13">
        <w:rPr>
          <w:rFonts w:ascii="Arial" w:hAnsi="Arial" w:cs="Arial"/>
          <w:i/>
          <w:iCs/>
          <w:sz w:val="20"/>
          <w:szCs w:val="20"/>
        </w:rPr>
        <w:t>Journal of Reproductive Immunology</w:t>
      </w:r>
      <w:r w:rsidRPr="00776B13">
        <w:rPr>
          <w:rFonts w:ascii="Arial" w:hAnsi="Arial" w:cs="Arial"/>
          <w:sz w:val="20"/>
          <w:szCs w:val="20"/>
        </w:rPr>
        <w:t>, 134-135, 1-10. https://doi.org/10.1016/j.jri.2019.07.004</w:t>
      </w:r>
    </w:p>
    <w:p w14:paraId="10FAA9B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Steegers</w:t>
      </w:r>
      <w:proofErr w:type="spellEnd"/>
      <w:r w:rsidRPr="00776B13">
        <w:rPr>
          <w:rFonts w:ascii="Arial" w:hAnsi="Arial" w:cs="Arial"/>
          <w:sz w:val="20"/>
          <w:szCs w:val="20"/>
        </w:rPr>
        <w:t xml:space="preserve">, E. A., von </w:t>
      </w:r>
      <w:proofErr w:type="spellStart"/>
      <w:r w:rsidRPr="00776B13">
        <w:rPr>
          <w:rFonts w:ascii="Arial" w:hAnsi="Arial" w:cs="Arial"/>
          <w:sz w:val="20"/>
          <w:szCs w:val="20"/>
        </w:rPr>
        <w:t>Dadelszen</w:t>
      </w:r>
      <w:proofErr w:type="spellEnd"/>
      <w:r w:rsidRPr="00776B13">
        <w:rPr>
          <w:rFonts w:ascii="Arial" w:hAnsi="Arial" w:cs="Arial"/>
          <w:sz w:val="20"/>
          <w:szCs w:val="20"/>
        </w:rPr>
        <w:t xml:space="preserve">, P., </w:t>
      </w:r>
      <w:proofErr w:type="spellStart"/>
      <w:r w:rsidRPr="00776B13">
        <w:rPr>
          <w:rFonts w:ascii="Arial" w:hAnsi="Arial" w:cs="Arial"/>
          <w:sz w:val="20"/>
          <w:szCs w:val="20"/>
        </w:rPr>
        <w:t>Duvekot</w:t>
      </w:r>
      <w:proofErr w:type="spellEnd"/>
      <w:r w:rsidRPr="00776B13">
        <w:rPr>
          <w:rFonts w:ascii="Arial" w:hAnsi="Arial" w:cs="Arial"/>
          <w:sz w:val="20"/>
          <w:szCs w:val="20"/>
        </w:rPr>
        <w:t xml:space="preserve">, J. J., et al. (2010). Pre-eclampsia. </w:t>
      </w:r>
      <w:r w:rsidRPr="00776B13">
        <w:rPr>
          <w:rFonts w:ascii="Arial" w:hAnsi="Arial" w:cs="Arial"/>
          <w:i/>
          <w:iCs/>
          <w:sz w:val="20"/>
          <w:szCs w:val="20"/>
        </w:rPr>
        <w:t>Lancet</w:t>
      </w:r>
      <w:r w:rsidRPr="00776B13">
        <w:rPr>
          <w:rFonts w:ascii="Arial" w:hAnsi="Arial" w:cs="Arial"/>
          <w:sz w:val="20"/>
          <w:szCs w:val="20"/>
        </w:rPr>
        <w:t>, 376(9741), 631-644. https://doi.org/10.1016/S0140-6736(10)60279-6</w:t>
      </w:r>
    </w:p>
    <w:p w14:paraId="7B4D52C0"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Stephenson, J., </w:t>
      </w:r>
      <w:proofErr w:type="spellStart"/>
      <w:r w:rsidRPr="00776B13">
        <w:rPr>
          <w:rFonts w:ascii="Arial" w:hAnsi="Arial" w:cs="Arial"/>
          <w:sz w:val="20"/>
          <w:szCs w:val="20"/>
        </w:rPr>
        <w:t>Heslehurst</w:t>
      </w:r>
      <w:proofErr w:type="spellEnd"/>
      <w:r w:rsidRPr="00776B13">
        <w:rPr>
          <w:rFonts w:ascii="Arial" w:hAnsi="Arial" w:cs="Arial"/>
          <w:sz w:val="20"/>
          <w:szCs w:val="20"/>
        </w:rPr>
        <w:t xml:space="preserve">, N., Hall, J., et al. (2018). Before the beginning: Nutrition and lifestyle in the preconception period and its importance for future health. </w:t>
      </w:r>
      <w:r w:rsidRPr="00776B13">
        <w:rPr>
          <w:rFonts w:ascii="Arial" w:hAnsi="Arial" w:cs="Arial"/>
          <w:i/>
          <w:iCs/>
          <w:sz w:val="20"/>
          <w:szCs w:val="20"/>
        </w:rPr>
        <w:t>Lancet</w:t>
      </w:r>
      <w:r w:rsidRPr="00776B13">
        <w:rPr>
          <w:rFonts w:ascii="Arial" w:hAnsi="Arial" w:cs="Arial"/>
          <w:sz w:val="20"/>
          <w:szCs w:val="20"/>
        </w:rPr>
        <w:t>, 391(10132), 1830-1841. https://doi.org/10.1016/S0140-6736(18)30311-8</w:t>
      </w:r>
    </w:p>
    <w:p w14:paraId="606C9353"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Straub, R. H. (2014). Interaction of the endocrine system with inflammation: A function of energy and volume regulation. </w:t>
      </w:r>
      <w:r w:rsidRPr="00776B13">
        <w:rPr>
          <w:rFonts w:ascii="Arial" w:hAnsi="Arial" w:cs="Arial"/>
          <w:i/>
          <w:iCs/>
          <w:sz w:val="20"/>
          <w:szCs w:val="20"/>
        </w:rPr>
        <w:t>Arthritis Research &amp; Therapy</w:t>
      </w:r>
      <w:r w:rsidRPr="00776B13">
        <w:rPr>
          <w:rFonts w:ascii="Arial" w:hAnsi="Arial" w:cs="Arial"/>
          <w:sz w:val="20"/>
          <w:szCs w:val="20"/>
        </w:rPr>
        <w:t>, 16(1), 203. https://doi.org/10.1186/ar4484</w:t>
      </w:r>
    </w:p>
    <w:p w14:paraId="405CAF7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Strevens</w:t>
      </w:r>
      <w:proofErr w:type="spellEnd"/>
      <w:r w:rsidRPr="00776B13">
        <w:rPr>
          <w:rFonts w:ascii="Arial" w:hAnsi="Arial" w:cs="Arial"/>
          <w:sz w:val="20"/>
          <w:szCs w:val="20"/>
        </w:rPr>
        <w:t xml:space="preserve">, H., Wide-Swensson, D., Hansen, A., et al. (2003). Glomerular endotheliosis in normal pregnancy and pre-eclampsia. </w:t>
      </w:r>
      <w:r w:rsidRPr="00776B13">
        <w:rPr>
          <w:rFonts w:ascii="Arial" w:hAnsi="Arial" w:cs="Arial"/>
          <w:i/>
          <w:iCs/>
          <w:sz w:val="20"/>
          <w:szCs w:val="20"/>
        </w:rPr>
        <w:t>BJOG: An International Journal of Obstetrics &amp; Gynaecology</w:t>
      </w:r>
      <w:r w:rsidRPr="00776B13">
        <w:rPr>
          <w:rFonts w:ascii="Arial" w:hAnsi="Arial" w:cs="Arial"/>
          <w:sz w:val="20"/>
          <w:szCs w:val="20"/>
        </w:rPr>
        <w:t>, 110(9), 831-836. https://doi.org/10.1111/j.1471-0528.2003.02162.x</w:t>
      </w:r>
    </w:p>
    <w:p w14:paraId="3EC55488"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Thangaratinam</w:t>
      </w:r>
      <w:proofErr w:type="spellEnd"/>
      <w:r w:rsidRPr="00776B13">
        <w:rPr>
          <w:rFonts w:ascii="Arial" w:hAnsi="Arial" w:cs="Arial"/>
          <w:sz w:val="20"/>
          <w:szCs w:val="20"/>
        </w:rPr>
        <w:t xml:space="preserve">, S., Ismail, K. M., Sharp, S., et al. (2011). Accuracy of serum uric acid in predicting complications of pre-eclampsia: A systematic review. </w:t>
      </w:r>
      <w:r w:rsidRPr="00776B13">
        <w:rPr>
          <w:rFonts w:ascii="Arial" w:hAnsi="Arial" w:cs="Arial"/>
          <w:i/>
          <w:iCs/>
          <w:sz w:val="20"/>
          <w:szCs w:val="20"/>
        </w:rPr>
        <w:t>BJOG: An International Journal of Obstetrics &amp; Gynaecology</w:t>
      </w:r>
      <w:r w:rsidRPr="00776B13">
        <w:rPr>
          <w:rFonts w:ascii="Arial" w:hAnsi="Arial" w:cs="Arial"/>
          <w:sz w:val="20"/>
          <w:szCs w:val="20"/>
        </w:rPr>
        <w:t>, 113(4), 369-378. https://doi.org/10.1111/j.1471-0528.2006.00908.x</w:t>
      </w:r>
    </w:p>
    <w:p w14:paraId="3348C47E"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Thangaratinam</w:t>
      </w:r>
      <w:proofErr w:type="spellEnd"/>
      <w:r w:rsidRPr="00776B13">
        <w:rPr>
          <w:rFonts w:ascii="Arial" w:hAnsi="Arial" w:cs="Arial"/>
          <w:sz w:val="20"/>
          <w:szCs w:val="20"/>
        </w:rPr>
        <w:t xml:space="preserve">, S., </w:t>
      </w:r>
      <w:proofErr w:type="spellStart"/>
      <w:r w:rsidRPr="00776B13">
        <w:rPr>
          <w:rFonts w:ascii="Arial" w:hAnsi="Arial" w:cs="Arial"/>
          <w:sz w:val="20"/>
          <w:szCs w:val="20"/>
        </w:rPr>
        <w:t>Rogozinska</w:t>
      </w:r>
      <w:proofErr w:type="spellEnd"/>
      <w:r w:rsidRPr="00776B13">
        <w:rPr>
          <w:rFonts w:ascii="Arial" w:hAnsi="Arial" w:cs="Arial"/>
          <w:sz w:val="20"/>
          <w:szCs w:val="20"/>
        </w:rPr>
        <w:t xml:space="preserve">, E., Jolly, K., et al. (2012). Effects of interventions in pregnancy on maternal weight and obstetric outcomes: Meta-analysis of randomised evidence. </w:t>
      </w:r>
      <w:r w:rsidRPr="00776B13">
        <w:rPr>
          <w:rFonts w:ascii="Arial" w:hAnsi="Arial" w:cs="Arial"/>
          <w:i/>
          <w:iCs/>
          <w:sz w:val="20"/>
          <w:szCs w:val="20"/>
        </w:rPr>
        <w:t>BMJ</w:t>
      </w:r>
      <w:r w:rsidRPr="00776B13">
        <w:rPr>
          <w:rFonts w:ascii="Arial" w:hAnsi="Arial" w:cs="Arial"/>
          <w:sz w:val="20"/>
          <w:szCs w:val="20"/>
        </w:rPr>
        <w:t>, 344, e2088. https://doi.org/10.1136/bmj.e2088</w:t>
      </w:r>
    </w:p>
    <w:p w14:paraId="09A6DC82"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rPr>
        <w:t>Thiese</w:t>
      </w:r>
      <w:proofErr w:type="spellEnd"/>
      <w:r w:rsidRPr="00776B13">
        <w:rPr>
          <w:rFonts w:ascii="Arial" w:hAnsi="Arial" w:cs="Arial"/>
          <w:sz w:val="20"/>
          <w:szCs w:val="20"/>
        </w:rPr>
        <w:t xml:space="preserve">, M. S. (2014). Observational and interventional study design types; An overview. </w:t>
      </w:r>
      <w:proofErr w:type="spellStart"/>
      <w:r w:rsidRPr="00776B13">
        <w:rPr>
          <w:rFonts w:ascii="Arial" w:hAnsi="Arial" w:cs="Arial"/>
          <w:i/>
          <w:iCs/>
          <w:sz w:val="20"/>
          <w:szCs w:val="20"/>
        </w:rPr>
        <w:t>Biochemia</w:t>
      </w:r>
      <w:proofErr w:type="spellEnd"/>
      <w:r w:rsidRPr="00776B13">
        <w:rPr>
          <w:rFonts w:ascii="Arial" w:hAnsi="Arial" w:cs="Arial"/>
          <w:i/>
          <w:iCs/>
          <w:sz w:val="20"/>
          <w:szCs w:val="20"/>
        </w:rPr>
        <w:t xml:space="preserve"> </w:t>
      </w:r>
      <w:proofErr w:type="spellStart"/>
      <w:r w:rsidRPr="00776B13">
        <w:rPr>
          <w:rFonts w:ascii="Arial" w:hAnsi="Arial" w:cs="Arial"/>
          <w:i/>
          <w:iCs/>
          <w:sz w:val="20"/>
          <w:szCs w:val="20"/>
        </w:rPr>
        <w:t>Medica</w:t>
      </w:r>
      <w:proofErr w:type="spellEnd"/>
      <w:r w:rsidRPr="00776B13">
        <w:rPr>
          <w:rFonts w:ascii="Arial" w:hAnsi="Arial" w:cs="Arial"/>
          <w:sz w:val="20"/>
          <w:szCs w:val="20"/>
        </w:rPr>
        <w:t>, 24(2), 199-210. https://doi.org/10.11613/BM.2014.022</w:t>
      </w:r>
    </w:p>
    <w:p w14:paraId="61662CAF"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Timmermans, S., </w:t>
      </w:r>
      <w:proofErr w:type="spellStart"/>
      <w:r w:rsidRPr="00776B13">
        <w:rPr>
          <w:rFonts w:ascii="Arial" w:hAnsi="Arial" w:cs="Arial"/>
          <w:sz w:val="20"/>
          <w:szCs w:val="20"/>
        </w:rPr>
        <w:t>Steegers-Theunissen</w:t>
      </w:r>
      <w:proofErr w:type="spellEnd"/>
      <w:r w:rsidRPr="00776B13">
        <w:rPr>
          <w:rFonts w:ascii="Arial" w:hAnsi="Arial" w:cs="Arial"/>
          <w:sz w:val="20"/>
          <w:szCs w:val="20"/>
        </w:rPr>
        <w:t xml:space="preserve">, R. P., </w:t>
      </w:r>
      <w:proofErr w:type="spellStart"/>
      <w:r w:rsidRPr="00776B13">
        <w:rPr>
          <w:rFonts w:ascii="Arial" w:hAnsi="Arial" w:cs="Arial"/>
          <w:sz w:val="20"/>
          <w:szCs w:val="20"/>
        </w:rPr>
        <w:t>Vujkovic</w:t>
      </w:r>
      <w:proofErr w:type="spellEnd"/>
      <w:r w:rsidRPr="00776B13">
        <w:rPr>
          <w:rFonts w:ascii="Arial" w:hAnsi="Arial" w:cs="Arial"/>
          <w:sz w:val="20"/>
          <w:szCs w:val="20"/>
        </w:rPr>
        <w:t xml:space="preserve">, M., et al. (2011). Major dietary patterns and blood pressure patterns during pregnancy: The Generation R Study. </w:t>
      </w:r>
      <w:r w:rsidRPr="00776B13">
        <w:rPr>
          <w:rFonts w:ascii="Arial" w:hAnsi="Arial" w:cs="Arial"/>
          <w:i/>
          <w:iCs/>
          <w:sz w:val="20"/>
          <w:szCs w:val="20"/>
        </w:rPr>
        <w:t xml:space="preserve">American Journal of 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205(4), 337.e1-12. https://doi.org/10.1016/j.ajog.2011.05.013</w:t>
      </w:r>
    </w:p>
    <w:p w14:paraId="27CD1E0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lang w:val="fr-FR"/>
        </w:rPr>
        <w:t xml:space="preserve">Tranquilli, A. L., Dekker, G., Magee, L., et al. </w:t>
      </w:r>
      <w:r w:rsidRPr="00776B13">
        <w:rPr>
          <w:rFonts w:ascii="Arial" w:hAnsi="Arial" w:cs="Arial"/>
          <w:sz w:val="20"/>
          <w:szCs w:val="20"/>
        </w:rPr>
        <w:t xml:space="preserve">(2014). The classification, diagnosis and management of the hypertensive disorders of pregnancy: A revised statement from the ISSHP. </w:t>
      </w:r>
      <w:proofErr w:type="spellStart"/>
      <w:r w:rsidRPr="00776B13">
        <w:rPr>
          <w:rFonts w:ascii="Arial" w:hAnsi="Arial" w:cs="Arial"/>
          <w:i/>
          <w:iCs/>
          <w:sz w:val="20"/>
          <w:szCs w:val="20"/>
          <w:lang w:val="fr-FR"/>
        </w:rPr>
        <w:t>Pregnancy</w:t>
      </w:r>
      <w:proofErr w:type="spellEnd"/>
      <w:r w:rsidRPr="00776B13">
        <w:rPr>
          <w:rFonts w:ascii="Arial" w:hAnsi="Arial" w:cs="Arial"/>
          <w:i/>
          <w:iCs/>
          <w:sz w:val="20"/>
          <w:szCs w:val="20"/>
          <w:lang w:val="fr-FR"/>
        </w:rPr>
        <w:t xml:space="preserve"> Hypertension</w:t>
      </w:r>
      <w:r w:rsidRPr="00776B13">
        <w:rPr>
          <w:rFonts w:ascii="Arial" w:hAnsi="Arial" w:cs="Arial"/>
          <w:sz w:val="20"/>
          <w:szCs w:val="20"/>
          <w:lang w:val="fr-FR"/>
        </w:rPr>
        <w:t>, 4(2), 97-104. https://doi.org/10.1016/j.preghy.2014.02.001</w:t>
      </w:r>
    </w:p>
    <w:p w14:paraId="0305ADF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spellStart"/>
      <w:r w:rsidRPr="00776B13">
        <w:rPr>
          <w:rFonts w:ascii="Arial" w:hAnsi="Arial" w:cs="Arial"/>
          <w:sz w:val="20"/>
          <w:szCs w:val="20"/>
          <w:lang w:val="fr-FR"/>
        </w:rPr>
        <w:t>Triggiani</w:t>
      </w:r>
      <w:proofErr w:type="spellEnd"/>
      <w:r w:rsidRPr="00776B13">
        <w:rPr>
          <w:rFonts w:ascii="Arial" w:hAnsi="Arial" w:cs="Arial"/>
          <w:sz w:val="20"/>
          <w:szCs w:val="20"/>
          <w:lang w:val="fr-FR"/>
        </w:rPr>
        <w:t xml:space="preserve">, V., Tafaro, E., Giagulli, V. A., et al. </w:t>
      </w:r>
      <w:r w:rsidRPr="00776B13">
        <w:rPr>
          <w:rFonts w:ascii="Arial" w:hAnsi="Arial" w:cs="Arial"/>
          <w:sz w:val="20"/>
          <w:szCs w:val="20"/>
        </w:rPr>
        <w:t xml:space="preserve">(2009). Role of iodine, selenium and other micronutrients in thyroid function and disorders. </w:t>
      </w:r>
      <w:r w:rsidRPr="00776B13">
        <w:rPr>
          <w:rFonts w:ascii="Arial" w:hAnsi="Arial" w:cs="Arial"/>
          <w:i/>
          <w:iCs/>
          <w:sz w:val="20"/>
          <w:szCs w:val="20"/>
        </w:rPr>
        <w:t>Endocrine, Metabolic &amp; Immune Disorders Drug Targets</w:t>
      </w:r>
      <w:r w:rsidRPr="00776B13">
        <w:rPr>
          <w:rFonts w:ascii="Arial" w:hAnsi="Arial" w:cs="Arial"/>
          <w:sz w:val="20"/>
          <w:szCs w:val="20"/>
        </w:rPr>
        <w:t>, 9(3), 277-294. https://doi.org/10.2174/187153009789044370</w:t>
      </w:r>
    </w:p>
    <w:p w14:paraId="0BEF91C9"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Umesawa, M., &amp; Kobashi, G. (2017). Epidemiology of hypertensive disorders in pregnancy: Prevalence, risk factors, predictors and prognosis. </w:t>
      </w:r>
      <w:r w:rsidRPr="00776B13">
        <w:rPr>
          <w:rFonts w:ascii="Arial" w:hAnsi="Arial" w:cs="Arial"/>
          <w:i/>
          <w:iCs/>
          <w:sz w:val="20"/>
          <w:szCs w:val="20"/>
        </w:rPr>
        <w:t>Hypertension Research</w:t>
      </w:r>
      <w:r w:rsidRPr="00776B13">
        <w:rPr>
          <w:rFonts w:ascii="Arial" w:hAnsi="Arial" w:cs="Arial"/>
          <w:sz w:val="20"/>
          <w:szCs w:val="20"/>
        </w:rPr>
        <w:t>, 40(3), 213-220. https://doi.org/10.1038/hr.2016.126</w:t>
      </w:r>
    </w:p>
    <w:p w14:paraId="00B87037"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proofErr w:type="spellStart"/>
      <w:r w:rsidRPr="00776B13">
        <w:rPr>
          <w:rFonts w:ascii="Arial" w:hAnsi="Arial" w:cs="Arial"/>
          <w:sz w:val="20"/>
          <w:szCs w:val="20"/>
        </w:rPr>
        <w:t>Urech</w:t>
      </w:r>
      <w:proofErr w:type="spellEnd"/>
      <w:r w:rsidRPr="00776B13">
        <w:rPr>
          <w:rFonts w:ascii="Arial" w:hAnsi="Arial" w:cs="Arial"/>
          <w:sz w:val="20"/>
          <w:szCs w:val="20"/>
        </w:rPr>
        <w:t xml:space="preserve">, C., Fink, N. S., Hoesli, I., et al. (2010). Effects of relaxation on psychobiological wellbeing during pregnancy: A randomized controlled trial. </w:t>
      </w:r>
      <w:proofErr w:type="spellStart"/>
      <w:r w:rsidRPr="00776B13">
        <w:rPr>
          <w:rFonts w:ascii="Arial" w:hAnsi="Arial" w:cs="Arial"/>
          <w:i/>
          <w:iCs/>
          <w:sz w:val="20"/>
          <w:szCs w:val="20"/>
          <w:lang w:val="fr-FR"/>
        </w:rPr>
        <w:t>Psychoneuroendocrinology</w:t>
      </w:r>
      <w:proofErr w:type="spellEnd"/>
      <w:r w:rsidRPr="00776B13">
        <w:rPr>
          <w:rFonts w:ascii="Arial" w:hAnsi="Arial" w:cs="Arial"/>
          <w:sz w:val="20"/>
          <w:szCs w:val="20"/>
          <w:lang w:val="fr-FR"/>
        </w:rPr>
        <w:t>, 35(9), 1348-1355. https://doi.org/10.1016/j.psyneuen.2010.03.008</w:t>
      </w:r>
    </w:p>
    <w:p w14:paraId="3EB5AE2F" w14:textId="69DD77F5" w:rsidR="009B1048" w:rsidRPr="00776B13" w:rsidRDefault="009B1048" w:rsidP="00776B13">
      <w:pPr>
        <w:pStyle w:val="ListParagraph"/>
        <w:numPr>
          <w:ilvl w:val="0"/>
          <w:numId w:val="4"/>
        </w:numPr>
        <w:spacing w:after="0" w:line="240" w:lineRule="auto"/>
        <w:jc w:val="both"/>
        <w:rPr>
          <w:rFonts w:ascii="Arial" w:hAnsi="Arial" w:cs="Arial"/>
          <w:sz w:val="20"/>
          <w:szCs w:val="20"/>
        </w:rPr>
      </w:pPr>
      <w:proofErr w:type="gramStart"/>
      <w:r w:rsidRPr="00776B13">
        <w:rPr>
          <w:rFonts w:ascii="Arial" w:hAnsi="Arial" w:cs="Arial"/>
          <w:sz w:val="20"/>
          <w:szCs w:val="20"/>
          <w:lang w:val="fr-FR"/>
        </w:rPr>
        <w:t>von</w:t>
      </w:r>
      <w:proofErr w:type="gramEnd"/>
      <w:r w:rsidRPr="00776B13">
        <w:rPr>
          <w:rFonts w:ascii="Arial" w:hAnsi="Arial" w:cs="Arial"/>
          <w:sz w:val="20"/>
          <w:szCs w:val="20"/>
          <w:lang w:val="fr-FR"/>
        </w:rPr>
        <w:t xml:space="preserve"> Dadelszen, P., Payne, B., Li, J., et al. </w:t>
      </w:r>
      <w:r w:rsidRPr="00776B13">
        <w:rPr>
          <w:rFonts w:ascii="Arial" w:hAnsi="Arial" w:cs="Arial"/>
          <w:sz w:val="20"/>
          <w:szCs w:val="20"/>
        </w:rPr>
        <w:t xml:space="preserve">(2011). Prediction of adverse maternal outcomes in pre-eclampsia: Development and validation of the </w:t>
      </w:r>
      <w:r w:rsidR="00EB5211" w:rsidRPr="00776B13">
        <w:rPr>
          <w:rFonts w:ascii="Arial" w:hAnsi="Arial" w:cs="Arial"/>
          <w:sz w:val="20"/>
          <w:szCs w:val="20"/>
        </w:rPr>
        <w:t>full PIERS</w:t>
      </w:r>
      <w:r w:rsidRPr="00776B13">
        <w:rPr>
          <w:rFonts w:ascii="Arial" w:hAnsi="Arial" w:cs="Arial"/>
          <w:sz w:val="20"/>
          <w:szCs w:val="20"/>
        </w:rPr>
        <w:t xml:space="preserve"> model. </w:t>
      </w:r>
      <w:r w:rsidRPr="00776B13">
        <w:rPr>
          <w:rFonts w:ascii="Arial" w:hAnsi="Arial" w:cs="Arial"/>
          <w:i/>
          <w:iCs/>
          <w:sz w:val="20"/>
          <w:szCs w:val="20"/>
        </w:rPr>
        <w:t>Lancet</w:t>
      </w:r>
      <w:r w:rsidRPr="00776B13">
        <w:rPr>
          <w:rFonts w:ascii="Arial" w:hAnsi="Arial" w:cs="Arial"/>
          <w:sz w:val="20"/>
          <w:szCs w:val="20"/>
        </w:rPr>
        <w:t>, 377(9761), 219-227. https://doi.org/10.1016/S0140-6736(10)61351-7</w:t>
      </w:r>
    </w:p>
    <w:p w14:paraId="5AE82535"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Waugh, J., Bell, S. C., Kilby, M. D., et al. (2017). Urine protein assessment in hypertensive pregnancy: Which thresholds and laboratory assay best predict clinical outcome? </w:t>
      </w:r>
      <w:r w:rsidRPr="00776B13">
        <w:rPr>
          <w:rFonts w:ascii="Arial" w:hAnsi="Arial" w:cs="Arial"/>
          <w:i/>
          <w:iCs/>
          <w:sz w:val="20"/>
          <w:szCs w:val="20"/>
        </w:rPr>
        <w:t>Hypertension in Pregnancy</w:t>
      </w:r>
      <w:r w:rsidRPr="00776B13">
        <w:rPr>
          <w:rFonts w:ascii="Arial" w:hAnsi="Arial" w:cs="Arial"/>
          <w:sz w:val="20"/>
          <w:szCs w:val="20"/>
        </w:rPr>
        <w:t>, 24(3), 291-302. https://doi.org/10.1080/10641950500281134</w:t>
      </w:r>
    </w:p>
    <w:p w14:paraId="16E84264"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WHO. (2013). </w:t>
      </w:r>
      <w:r w:rsidRPr="00776B13">
        <w:rPr>
          <w:rFonts w:ascii="Arial" w:hAnsi="Arial" w:cs="Arial"/>
          <w:i/>
          <w:iCs/>
          <w:sz w:val="20"/>
          <w:szCs w:val="20"/>
        </w:rPr>
        <w:t>Global action plan for the prevention and control of noncommunicable diseases 2013-2020</w:t>
      </w:r>
      <w:r w:rsidRPr="00776B13">
        <w:rPr>
          <w:rFonts w:ascii="Arial" w:hAnsi="Arial" w:cs="Arial"/>
          <w:sz w:val="20"/>
          <w:szCs w:val="20"/>
        </w:rPr>
        <w:t>. World Health Organization.</w:t>
      </w:r>
    </w:p>
    <w:p w14:paraId="6747AB86"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Wilson, K. L., Casey, B. M., McIntire, D. D., et al. (2012). Subclinical thyroid disease and the incidence of hypertension in pregnancy. </w:t>
      </w:r>
      <w:r w:rsidRPr="00776B13">
        <w:rPr>
          <w:rFonts w:ascii="Arial" w:hAnsi="Arial" w:cs="Arial"/>
          <w:i/>
          <w:iCs/>
          <w:sz w:val="20"/>
          <w:szCs w:val="20"/>
        </w:rPr>
        <w:t xml:space="preserve">Obstetrics &amp; </w:t>
      </w:r>
      <w:proofErr w:type="spellStart"/>
      <w:r w:rsidRPr="00776B13">
        <w:rPr>
          <w:rFonts w:ascii="Arial" w:hAnsi="Arial" w:cs="Arial"/>
          <w:i/>
          <w:iCs/>
          <w:sz w:val="20"/>
          <w:szCs w:val="20"/>
        </w:rPr>
        <w:t>Gynecology</w:t>
      </w:r>
      <w:proofErr w:type="spellEnd"/>
      <w:r w:rsidRPr="00776B13">
        <w:rPr>
          <w:rFonts w:ascii="Arial" w:hAnsi="Arial" w:cs="Arial"/>
          <w:sz w:val="20"/>
          <w:szCs w:val="20"/>
        </w:rPr>
        <w:t>, 119(2 Pt 1), 315-320. https://doi.org/10.1097/AOG.0b013e318240de6a</w:t>
      </w:r>
    </w:p>
    <w:p w14:paraId="438C3289"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lang w:val="fr-FR"/>
        </w:rPr>
      </w:pPr>
      <w:r w:rsidRPr="00776B13">
        <w:rPr>
          <w:rFonts w:ascii="Arial" w:hAnsi="Arial" w:cs="Arial"/>
          <w:sz w:val="20"/>
          <w:szCs w:val="20"/>
        </w:rPr>
        <w:t xml:space="preserve">World Medical Association. (2013). World Medical Association Declaration of Helsinki: Ethical principles for medical research involving human subjects. </w:t>
      </w:r>
      <w:r w:rsidRPr="00776B13">
        <w:rPr>
          <w:rFonts w:ascii="Arial" w:hAnsi="Arial" w:cs="Arial"/>
          <w:i/>
          <w:iCs/>
          <w:sz w:val="20"/>
          <w:szCs w:val="20"/>
          <w:lang w:val="fr-FR"/>
        </w:rPr>
        <w:t>JAMA</w:t>
      </w:r>
      <w:r w:rsidRPr="00776B13">
        <w:rPr>
          <w:rFonts w:ascii="Arial" w:hAnsi="Arial" w:cs="Arial"/>
          <w:sz w:val="20"/>
          <w:szCs w:val="20"/>
          <w:lang w:val="fr-FR"/>
        </w:rPr>
        <w:t>, 310(20), 2191-2194. https://doi.org/10.1001/jama.2013.281053</w:t>
      </w:r>
    </w:p>
    <w:p w14:paraId="747B7919"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lang w:val="fr-FR"/>
        </w:rPr>
        <w:t xml:space="preserve">Zhang, J. J., Ma, X. X., Hao, L., et al. </w:t>
      </w:r>
      <w:r w:rsidRPr="00776B13">
        <w:rPr>
          <w:rFonts w:ascii="Arial" w:hAnsi="Arial" w:cs="Arial"/>
          <w:sz w:val="20"/>
          <w:szCs w:val="20"/>
        </w:rPr>
        <w:t xml:space="preserve">(2016). A systematic review and meta-analysis of outcomes of pregnancy in CKD and CKD outcomes in pregnancy. </w:t>
      </w:r>
      <w:r w:rsidRPr="00776B13">
        <w:rPr>
          <w:rFonts w:ascii="Arial" w:hAnsi="Arial" w:cs="Arial"/>
          <w:i/>
          <w:iCs/>
          <w:sz w:val="20"/>
          <w:szCs w:val="20"/>
        </w:rPr>
        <w:t>Clinical Journal of the American Society of Nephrology</w:t>
      </w:r>
      <w:r w:rsidRPr="00776B13">
        <w:rPr>
          <w:rFonts w:ascii="Arial" w:hAnsi="Arial" w:cs="Arial"/>
          <w:sz w:val="20"/>
          <w:szCs w:val="20"/>
        </w:rPr>
        <w:t>, 10(11), 1964-1978. https://doi.org/10.2215/CJN.09250914</w:t>
      </w:r>
    </w:p>
    <w:p w14:paraId="3FE1B14A" w14:textId="77777777" w:rsidR="009B1048" w:rsidRPr="00776B13" w:rsidRDefault="009B1048" w:rsidP="00776B13">
      <w:pPr>
        <w:pStyle w:val="ListParagraph"/>
        <w:numPr>
          <w:ilvl w:val="0"/>
          <w:numId w:val="4"/>
        </w:numPr>
        <w:spacing w:after="0" w:line="240" w:lineRule="auto"/>
        <w:jc w:val="both"/>
        <w:rPr>
          <w:rFonts w:ascii="Arial" w:hAnsi="Arial" w:cs="Arial"/>
          <w:sz w:val="20"/>
          <w:szCs w:val="20"/>
        </w:rPr>
      </w:pPr>
      <w:r w:rsidRPr="00776B13">
        <w:rPr>
          <w:rFonts w:ascii="Arial" w:hAnsi="Arial" w:cs="Arial"/>
          <w:sz w:val="20"/>
          <w:szCs w:val="20"/>
        </w:rPr>
        <w:t xml:space="preserve">Zimmermann, M. B., &amp; </w:t>
      </w:r>
      <w:proofErr w:type="spellStart"/>
      <w:r w:rsidRPr="00776B13">
        <w:rPr>
          <w:rFonts w:ascii="Arial" w:hAnsi="Arial" w:cs="Arial"/>
          <w:sz w:val="20"/>
          <w:szCs w:val="20"/>
        </w:rPr>
        <w:t>Boelaert</w:t>
      </w:r>
      <w:proofErr w:type="spellEnd"/>
      <w:r w:rsidRPr="00776B13">
        <w:rPr>
          <w:rFonts w:ascii="Arial" w:hAnsi="Arial" w:cs="Arial"/>
          <w:sz w:val="20"/>
          <w:szCs w:val="20"/>
        </w:rPr>
        <w:t xml:space="preserve">, K. (2015). Iodine deficiency and thyroid disorders. </w:t>
      </w:r>
      <w:r w:rsidRPr="00776B13">
        <w:rPr>
          <w:rFonts w:ascii="Arial" w:hAnsi="Arial" w:cs="Arial"/>
          <w:i/>
          <w:iCs/>
          <w:sz w:val="20"/>
          <w:szCs w:val="20"/>
        </w:rPr>
        <w:t>Lancet Diabetes &amp; Endocrinology</w:t>
      </w:r>
      <w:r w:rsidRPr="00776B13">
        <w:rPr>
          <w:rFonts w:ascii="Arial" w:hAnsi="Arial" w:cs="Arial"/>
          <w:sz w:val="20"/>
          <w:szCs w:val="20"/>
        </w:rPr>
        <w:t>, 3(4), 286-295. https://doi.org/10.1016/S2213-8587(14)70225-6</w:t>
      </w:r>
    </w:p>
    <w:p w14:paraId="505B2B70" w14:textId="66602BAD" w:rsidR="009B1048" w:rsidRPr="00D253C9" w:rsidRDefault="009B1048" w:rsidP="00D253C9">
      <w:pPr>
        <w:spacing w:after="0" w:line="240" w:lineRule="auto"/>
        <w:jc w:val="both"/>
        <w:rPr>
          <w:rFonts w:ascii="Arial" w:hAnsi="Arial" w:cs="Arial"/>
          <w:sz w:val="20"/>
          <w:szCs w:val="20"/>
        </w:rPr>
      </w:pPr>
    </w:p>
    <w:sectPr w:rsidR="009B1048" w:rsidRPr="00D253C9" w:rsidSect="00E00BD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CD94" w14:textId="77777777" w:rsidR="003404DA" w:rsidRDefault="003404DA" w:rsidP="00D253C9">
      <w:pPr>
        <w:spacing w:after="0" w:line="240" w:lineRule="auto"/>
      </w:pPr>
      <w:r>
        <w:separator/>
      </w:r>
    </w:p>
  </w:endnote>
  <w:endnote w:type="continuationSeparator" w:id="0">
    <w:p w14:paraId="4C2F2BB4" w14:textId="77777777" w:rsidR="003404DA" w:rsidRDefault="003404DA" w:rsidP="00D2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582B" w14:textId="77777777" w:rsidR="00E00BDE" w:rsidRDefault="00E00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A5C4" w14:textId="77777777" w:rsidR="00E00BDE" w:rsidRDefault="00E00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0519D" w14:textId="77777777" w:rsidR="00E00BDE" w:rsidRDefault="00E00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6E537" w14:textId="77777777" w:rsidR="003404DA" w:rsidRDefault="003404DA" w:rsidP="00D253C9">
      <w:pPr>
        <w:spacing w:after="0" w:line="240" w:lineRule="auto"/>
      </w:pPr>
      <w:r>
        <w:separator/>
      </w:r>
    </w:p>
  </w:footnote>
  <w:footnote w:type="continuationSeparator" w:id="0">
    <w:p w14:paraId="43CDCE36" w14:textId="77777777" w:rsidR="003404DA" w:rsidRDefault="003404DA" w:rsidP="00D25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60D5" w14:textId="79F7FBDF" w:rsidR="00E00BDE" w:rsidRDefault="003404DA">
    <w:pPr>
      <w:pStyle w:val="Header"/>
    </w:pPr>
    <w:r>
      <w:rPr>
        <w:noProof/>
      </w:rPr>
      <w:pict w14:anchorId="3BC11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8AC6" w14:textId="7C55DF89" w:rsidR="00E00BDE" w:rsidRDefault="003404DA">
    <w:pPr>
      <w:pStyle w:val="Header"/>
    </w:pPr>
    <w:r>
      <w:rPr>
        <w:noProof/>
      </w:rPr>
      <w:pict w14:anchorId="0066A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24699" w14:textId="312D2A03" w:rsidR="00E00BDE" w:rsidRDefault="003404DA">
    <w:pPr>
      <w:pStyle w:val="Header"/>
    </w:pPr>
    <w:r>
      <w:rPr>
        <w:noProof/>
      </w:rPr>
      <w:pict w14:anchorId="103DE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5EA1"/>
    <w:multiLevelType w:val="multilevel"/>
    <w:tmpl w:val="1DF8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8C1B35"/>
    <w:multiLevelType w:val="hybridMultilevel"/>
    <w:tmpl w:val="EF4266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4C727F"/>
    <w:multiLevelType w:val="multilevel"/>
    <w:tmpl w:val="A1E6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81B27"/>
    <w:multiLevelType w:val="multilevel"/>
    <w:tmpl w:val="D26E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48"/>
    <w:rsid w:val="000168C7"/>
    <w:rsid w:val="00053553"/>
    <w:rsid w:val="00082196"/>
    <w:rsid w:val="000D5F4B"/>
    <w:rsid w:val="000F67E8"/>
    <w:rsid w:val="00147BFC"/>
    <w:rsid w:val="001C6549"/>
    <w:rsid w:val="00207F19"/>
    <w:rsid w:val="00236979"/>
    <w:rsid w:val="002C2ACC"/>
    <w:rsid w:val="002E4EBA"/>
    <w:rsid w:val="00306F63"/>
    <w:rsid w:val="00330E51"/>
    <w:rsid w:val="003404DA"/>
    <w:rsid w:val="003A4565"/>
    <w:rsid w:val="003D2670"/>
    <w:rsid w:val="00410327"/>
    <w:rsid w:val="0044264F"/>
    <w:rsid w:val="00445597"/>
    <w:rsid w:val="00463D75"/>
    <w:rsid w:val="00470D1E"/>
    <w:rsid w:val="004766BD"/>
    <w:rsid w:val="00531C2C"/>
    <w:rsid w:val="00542FAD"/>
    <w:rsid w:val="0054346E"/>
    <w:rsid w:val="005772DC"/>
    <w:rsid w:val="00577A4E"/>
    <w:rsid w:val="005B0D41"/>
    <w:rsid w:val="005D6605"/>
    <w:rsid w:val="005E31D6"/>
    <w:rsid w:val="0063621C"/>
    <w:rsid w:val="0071687D"/>
    <w:rsid w:val="007349CC"/>
    <w:rsid w:val="007714D6"/>
    <w:rsid w:val="00776B13"/>
    <w:rsid w:val="007C2FE0"/>
    <w:rsid w:val="008A1B75"/>
    <w:rsid w:val="008B14A4"/>
    <w:rsid w:val="008C3120"/>
    <w:rsid w:val="008D71F9"/>
    <w:rsid w:val="009B1048"/>
    <w:rsid w:val="009E4830"/>
    <w:rsid w:val="00A52C57"/>
    <w:rsid w:val="00AF3E17"/>
    <w:rsid w:val="00B743C3"/>
    <w:rsid w:val="00BB02D0"/>
    <w:rsid w:val="00BF7C96"/>
    <w:rsid w:val="00C0756B"/>
    <w:rsid w:val="00C22B96"/>
    <w:rsid w:val="00C42939"/>
    <w:rsid w:val="00CE49F8"/>
    <w:rsid w:val="00CE7140"/>
    <w:rsid w:val="00D253C9"/>
    <w:rsid w:val="00D420B7"/>
    <w:rsid w:val="00D67AFF"/>
    <w:rsid w:val="00DA7612"/>
    <w:rsid w:val="00DD5228"/>
    <w:rsid w:val="00E00BDE"/>
    <w:rsid w:val="00E02A13"/>
    <w:rsid w:val="00E06A79"/>
    <w:rsid w:val="00E37C7D"/>
    <w:rsid w:val="00E4584E"/>
    <w:rsid w:val="00E47B43"/>
    <w:rsid w:val="00E7375E"/>
    <w:rsid w:val="00EB5211"/>
    <w:rsid w:val="00F17C8D"/>
    <w:rsid w:val="00F35E6E"/>
    <w:rsid w:val="00F81D11"/>
    <w:rsid w:val="00FA23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5EE11E"/>
  <w15:chartTrackingRefBased/>
  <w15:docId w15:val="{ABEEDBBB-D30B-4606-A50A-A89ACBAB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0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0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0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0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0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0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0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0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0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0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048"/>
    <w:rPr>
      <w:rFonts w:eastAsiaTheme="majorEastAsia" w:cstheme="majorBidi"/>
      <w:color w:val="272727" w:themeColor="text1" w:themeTint="D8"/>
    </w:rPr>
  </w:style>
  <w:style w:type="paragraph" w:styleId="Title">
    <w:name w:val="Title"/>
    <w:basedOn w:val="Normal"/>
    <w:next w:val="Normal"/>
    <w:link w:val="TitleChar"/>
    <w:uiPriority w:val="10"/>
    <w:qFormat/>
    <w:rsid w:val="009B1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048"/>
    <w:pPr>
      <w:spacing w:before="160"/>
      <w:jc w:val="center"/>
    </w:pPr>
    <w:rPr>
      <w:i/>
      <w:iCs/>
      <w:color w:val="404040" w:themeColor="text1" w:themeTint="BF"/>
    </w:rPr>
  </w:style>
  <w:style w:type="character" w:customStyle="1" w:styleId="QuoteChar">
    <w:name w:val="Quote Char"/>
    <w:basedOn w:val="DefaultParagraphFont"/>
    <w:link w:val="Quote"/>
    <w:uiPriority w:val="29"/>
    <w:rsid w:val="009B1048"/>
    <w:rPr>
      <w:i/>
      <w:iCs/>
      <w:color w:val="404040" w:themeColor="text1" w:themeTint="BF"/>
    </w:rPr>
  </w:style>
  <w:style w:type="paragraph" w:styleId="ListParagraph">
    <w:name w:val="List Paragraph"/>
    <w:basedOn w:val="Normal"/>
    <w:uiPriority w:val="34"/>
    <w:qFormat/>
    <w:rsid w:val="009B1048"/>
    <w:pPr>
      <w:ind w:left="720"/>
      <w:contextualSpacing/>
    </w:pPr>
  </w:style>
  <w:style w:type="character" w:styleId="IntenseEmphasis">
    <w:name w:val="Intense Emphasis"/>
    <w:basedOn w:val="DefaultParagraphFont"/>
    <w:uiPriority w:val="21"/>
    <w:qFormat/>
    <w:rsid w:val="009B1048"/>
    <w:rPr>
      <w:i/>
      <w:iCs/>
      <w:color w:val="2F5496" w:themeColor="accent1" w:themeShade="BF"/>
    </w:rPr>
  </w:style>
  <w:style w:type="paragraph" w:styleId="IntenseQuote">
    <w:name w:val="Intense Quote"/>
    <w:basedOn w:val="Normal"/>
    <w:next w:val="Normal"/>
    <w:link w:val="IntenseQuoteChar"/>
    <w:uiPriority w:val="30"/>
    <w:qFormat/>
    <w:rsid w:val="009B1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048"/>
    <w:rPr>
      <w:i/>
      <w:iCs/>
      <w:color w:val="2F5496" w:themeColor="accent1" w:themeShade="BF"/>
    </w:rPr>
  </w:style>
  <w:style w:type="character" w:styleId="IntenseReference">
    <w:name w:val="Intense Reference"/>
    <w:basedOn w:val="DefaultParagraphFont"/>
    <w:uiPriority w:val="32"/>
    <w:qFormat/>
    <w:rsid w:val="009B1048"/>
    <w:rPr>
      <w:b/>
      <w:bCs/>
      <w:smallCaps/>
      <w:color w:val="2F5496" w:themeColor="accent1" w:themeShade="BF"/>
      <w:spacing w:val="5"/>
    </w:rPr>
  </w:style>
  <w:style w:type="character" w:styleId="Strong">
    <w:name w:val="Strong"/>
    <w:basedOn w:val="DefaultParagraphFont"/>
    <w:uiPriority w:val="22"/>
    <w:qFormat/>
    <w:rsid w:val="009B1048"/>
    <w:rPr>
      <w:b/>
      <w:bCs/>
    </w:rPr>
  </w:style>
  <w:style w:type="table" w:styleId="TableGrid">
    <w:name w:val="Table Grid"/>
    <w:basedOn w:val="TableNormal"/>
    <w:uiPriority w:val="39"/>
    <w:rsid w:val="009B104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6A79"/>
    <w:rPr>
      <w:color w:val="666666"/>
    </w:rPr>
  </w:style>
  <w:style w:type="character" w:styleId="Hyperlink">
    <w:name w:val="Hyperlink"/>
    <w:basedOn w:val="DefaultParagraphFont"/>
    <w:uiPriority w:val="99"/>
    <w:unhideWhenUsed/>
    <w:rsid w:val="00147BFC"/>
    <w:rPr>
      <w:color w:val="0563C1" w:themeColor="hyperlink"/>
      <w:u w:val="single"/>
    </w:rPr>
  </w:style>
  <w:style w:type="character" w:customStyle="1" w:styleId="UnresolvedMention1">
    <w:name w:val="Unresolved Mention1"/>
    <w:basedOn w:val="DefaultParagraphFont"/>
    <w:uiPriority w:val="99"/>
    <w:semiHidden/>
    <w:unhideWhenUsed/>
    <w:rsid w:val="00147BFC"/>
    <w:rPr>
      <w:color w:val="605E5C"/>
      <w:shd w:val="clear" w:color="auto" w:fill="E1DFDD"/>
    </w:rPr>
  </w:style>
  <w:style w:type="paragraph" w:styleId="Header">
    <w:name w:val="header"/>
    <w:basedOn w:val="Normal"/>
    <w:link w:val="HeaderChar"/>
    <w:uiPriority w:val="99"/>
    <w:unhideWhenUsed/>
    <w:rsid w:val="00D25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3C9"/>
  </w:style>
  <w:style w:type="paragraph" w:styleId="Footer">
    <w:name w:val="footer"/>
    <w:basedOn w:val="Normal"/>
    <w:link w:val="FooterChar"/>
    <w:uiPriority w:val="99"/>
    <w:unhideWhenUsed/>
    <w:rsid w:val="00D25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3C9"/>
  </w:style>
  <w:style w:type="character" w:styleId="LineNumber">
    <w:name w:val="line number"/>
    <w:basedOn w:val="DefaultParagraphFont"/>
    <w:uiPriority w:val="99"/>
    <w:semiHidden/>
    <w:unhideWhenUsed/>
    <w:rsid w:val="00E7375E"/>
  </w:style>
  <w:style w:type="paragraph" w:styleId="NoSpacing">
    <w:name w:val="No Spacing"/>
    <w:uiPriority w:val="1"/>
    <w:qFormat/>
    <w:rsid w:val="00CE7140"/>
    <w:pPr>
      <w:spacing w:after="0" w:line="240" w:lineRule="auto"/>
    </w:pPr>
    <w:rPr>
      <w:kern w:val="0"/>
      <w:lang w:val="en-GB"/>
      <w14:ligatures w14:val="none"/>
    </w:rPr>
  </w:style>
  <w:style w:type="paragraph" w:styleId="Revision">
    <w:name w:val="Revision"/>
    <w:hidden/>
    <w:uiPriority w:val="99"/>
    <w:semiHidden/>
    <w:rsid w:val="00A52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spd.com/index.ph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36/bmj.j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650AED-E4AC-4C2B-8144-5EA5864AAEE6}">
  <we:reference id="wa200001361" version="2.129.3.0" store="en-US" storeType="OMEX"/>
  <we:alternateReferences>
    <we:reference id="WA200001361" version="2.129.3.0" store="" storeType="OMEX"/>
  </we:alternateReferences>
  <we:properties>
    <we:property name="paperpal-document-id" value="&quot;03a8ca1d-9eba-4ffa-867d-7762d187d7b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169</TotalTime>
  <Pages>11</Pages>
  <Words>7577</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 Rupanshi</dc:creator>
  <cp:keywords/>
  <dc:description/>
  <cp:lastModifiedBy>Editor GP 005</cp:lastModifiedBy>
  <cp:revision>20</cp:revision>
  <dcterms:created xsi:type="dcterms:W3CDTF">2026-02-03T07:41:00Z</dcterms:created>
  <dcterms:modified xsi:type="dcterms:W3CDTF">2026-02-16T06:15:00Z</dcterms:modified>
</cp:coreProperties>
</file>